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Calibri" w:hAnsi="Calibri" w:eastAsia="宋体" w:cs="Times New Roman"/>
          <w:szCs w:val="22"/>
        </w:rPr>
      </w:pPr>
    </w:p>
    <w:p>
      <w:pPr>
        <w:rPr>
          <w:rFonts w:ascii="Calibri" w:hAnsi="Calibri" w:eastAsia="宋体" w:cs="Times New Roman"/>
          <w:szCs w:val="22"/>
        </w:rPr>
      </w:pPr>
      <w:bookmarkStart w:id="0" w:name="EB3ace3d43b98b41779337deb808be6fa3"/>
      <w:r>
        <w:rPr>
          <w:rFonts w:hint="eastAsia" w:ascii="Calibri" w:hAnsi="Calibri" w:eastAsia="宋体" w:cs="Times New Roman"/>
          <w:sz w:val="20"/>
          <w:szCs w:val="22"/>
        </w:rPr>
        <w:t xml:space="preserve"> </w:t>
      </w:r>
      <w:bookmarkEnd w:id="0"/>
      <w:bookmarkStart w:id="1" w:name="EB57dd2a69e2b54b0cb3f5c2f03a1ab7bf"/>
      <w:r>
        <w:rPr>
          <w:rFonts w:hint="eastAsia" w:ascii="Calibri" w:hAnsi="Calibri" w:eastAsia="宋体" w:cs="Times New Roman"/>
          <w:sz w:val="20"/>
          <w:szCs w:val="22"/>
        </w:rPr>
        <w:t xml:space="preserve"> </w:t>
      </w:r>
      <w:bookmarkEnd w:id="1"/>
    </w:p>
    <w:p>
      <w:pPr>
        <w:rPr>
          <w:rFonts w:ascii="Calibri" w:hAnsi="Calibri" w:eastAsia="宋体" w:cs="Times New Roman"/>
          <w:szCs w:val="22"/>
        </w:rPr>
      </w:pPr>
    </w:p>
    <w:p>
      <w:pPr>
        <w:spacing w:before="120" w:after="120" w:line="360" w:lineRule="auto"/>
        <w:jc w:val="center"/>
        <w:rPr>
          <w:rFonts w:ascii="Arial" w:hAnsi="Arial" w:eastAsia="黑体" w:cs="黑体"/>
          <w:b/>
          <w:sz w:val="84"/>
        </w:rPr>
      </w:pPr>
      <w:r>
        <w:rPr>
          <w:rFonts w:hint="eastAsia" w:ascii="Arial" w:hAnsi="Arial" w:eastAsia="黑体" w:cs="黑体"/>
          <w:b/>
          <w:sz w:val="84"/>
        </w:rPr>
        <w:t>招　标　文　件</w:t>
      </w:r>
    </w:p>
    <w:p>
      <w:pPr>
        <w:ind w:firstLine="1506"/>
        <w:rPr>
          <w:rFonts w:ascii="Times New Roman" w:hAnsi="Times New Roman" w:eastAsia="宋体" w:cs="宋体"/>
          <w:b/>
          <w:sz w:val="30"/>
          <w:szCs w:val="30"/>
        </w:rPr>
      </w:pPr>
    </w:p>
    <w:p>
      <w:pPr>
        <w:ind w:firstLine="1506"/>
        <w:rPr>
          <w:rFonts w:ascii="Times New Roman" w:hAnsi="Times New Roman" w:eastAsia="宋体" w:cs="宋体"/>
          <w:b/>
          <w:sz w:val="30"/>
          <w:szCs w:val="30"/>
        </w:rPr>
      </w:pPr>
    </w:p>
    <w:p>
      <w:pPr>
        <w:ind w:firstLine="1506"/>
        <w:rPr>
          <w:rFonts w:ascii="Times New Roman" w:hAnsi="Times New Roman" w:eastAsia="宋体" w:cs="宋体"/>
          <w:b/>
          <w:sz w:val="30"/>
          <w:szCs w:val="30"/>
        </w:rPr>
      </w:pPr>
    </w:p>
    <w:p>
      <w:pPr>
        <w:spacing w:before="120" w:after="120" w:line="360" w:lineRule="auto"/>
        <w:jc w:val="center"/>
        <w:rPr>
          <w:rFonts w:ascii="宋体" w:hAnsi="宋体" w:eastAsia="宋体" w:cs="宋体"/>
          <w:b/>
          <w:bCs/>
          <w:sz w:val="32"/>
        </w:rPr>
      </w:pPr>
      <w:r>
        <w:rPr>
          <w:rFonts w:hint="eastAsia" w:ascii="Times New Roman" w:hAnsi="Times New Roman" w:eastAsia="宋体" w:cs="宋体"/>
          <w:b/>
          <w:sz w:val="30"/>
          <w:szCs w:val="30"/>
        </w:rPr>
        <w:t>项目名称：</w:t>
      </w:r>
      <w:r>
        <w:rPr>
          <w:rFonts w:hint="eastAsia" w:ascii="宋体" w:hAnsi="宋体" w:eastAsia="宋体" w:cs="宋体"/>
          <w:b/>
          <w:bCs/>
          <w:sz w:val="32"/>
        </w:rPr>
        <w:t>沭阳县2026年飞机施药防治美国白蛾项目</w:t>
      </w:r>
    </w:p>
    <w:p>
      <w:pPr>
        <w:ind w:firstLine="1506"/>
        <w:rPr>
          <w:rFonts w:ascii="Calibri" w:hAnsi="Calibri" w:eastAsia="宋体" w:cs="Times New Roman"/>
          <w:b/>
          <w:sz w:val="30"/>
          <w:szCs w:val="30"/>
        </w:rPr>
      </w:pPr>
    </w:p>
    <w:p>
      <w:pPr>
        <w:ind w:firstLine="1506"/>
        <w:rPr>
          <w:rFonts w:ascii="Times New Roman" w:hAnsi="Times New Roman" w:eastAsia="宋体" w:cs="宋体"/>
          <w:b/>
          <w:sz w:val="30"/>
          <w:szCs w:val="30"/>
        </w:rPr>
      </w:pPr>
    </w:p>
    <w:p>
      <w:pPr>
        <w:ind w:firstLine="904"/>
        <w:rPr>
          <w:rFonts w:ascii="Times New Roman" w:hAnsi="Times New Roman" w:eastAsia="宋体" w:cs="宋体"/>
          <w:b/>
          <w:sz w:val="30"/>
          <w:szCs w:val="30"/>
        </w:rPr>
      </w:pPr>
      <w:r>
        <w:rPr>
          <w:rFonts w:hint="eastAsia" w:ascii="Times New Roman" w:hAnsi="Times New Roman" w:eastAsia="宋体" w:cs="宋体"/>
          <w:b/>
          <w:sz w:val="30"/>
          <w:szCs w:val="30"/>
        </w:rPr>
        <w:t>项目编号：JSZC-321322-JSDX-G2026-0007</w:t>
      </w:r>
    </w:p>
    <w:p>
      <w:pPr>
        <w:ind w:left="2800" w:hanging="2800"/>
        <w:rPr>
          <w:rFonts w:ascii="Times New Roman" w:hAnsi="Times New Roman" w:eastAsia="宋体" w:cs="Times New Roman"/>
          <w:sz w:val="28"/>
          <w:szCs w:val="28"/>
        </w:rPr>
      </w:pPr>
    </w:p>
    <w:p>
      <w:pPr>
        <w:ind w:left="2800" w:hanging="2800"/>
        <w:rPr>
          <w:rFonts w:ascii="Calibri" w:hAnsi="Calibri" w:eastAsia="宋体" w:cs="Times New Roman"/>
          <w:b/>
          <w:sz w:val="28"/>
          <w:szCs w:val="28"/>
        </w:rPr>
      </w:pP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 xml:space="preserve">   </w:t>
      </w:r>
      <w:r>
        <w:rPr>
          <w:rFonts w:ascii="Times New Roman" w:hAnsi="Times New Roman" w:eastAsia="宋体" w:cs="Times New Roman"/>
          <w:b/>
          <w:sz w:val="28"/>
          <w:szCs w:val="28"/>
        </w:rPr>
        <w:t xml:space="preserve"> </w:t>
      </w:r>
    </w:p>
    <w:p>
      <w:pPr>
        <w:spacing w:line="360" w:lineRule="auto"/>
        <w:jc w:val="left"/>
        <w:rPr>
          <w:rFonts w:ascii="宋体" w:hAnsi="宋体" w:eastAsia="宋体" w:cs="宋体"/>
          <w:sz w:val="24"/>
        </w:rPr>
      </w:pPr>
    </w:p>
    <w:p>
      <w:pPr>
        <w:spacing w:line="360" w:lineRule="auto"/>
        <w:jc w:val="left"/>
        <w:rPr>
          <w:rFonts w:ascii="宋体" w:hAnsi="宋体" w:eastAsia="宋体" w:cs="宋体"/>
          <w:sz w:val="24"/>
        </w:rPr>
      </w:pPr>
    </w:p>
    <w:tbl>
      <w:tblPr>
        <w:tblStyle w:val="31"/>
        <w:tblpPr w:leftFromText="180" w:rightFromText="180" w:vertAnchor="text" w:horzAnchor="page" w:tblpXSpec="center" w:tblpY="466"/>
        <w:tblW w:w="0" w:type="auto"/>
        <w:jc w:val="center"/>
        <w:tblLayout w:type="autofit"/>
        <w:tblCellMar>
          <w:top w:w="0" w:type="dxa"/>
          <w:left w:w="108" w:type="dxa"/>
          <w:bottom w:w="0" w:type="dxa"/>
          <w:right w:w="108" w:type="dxa"/>
        </w:tblCellMar>
      </w:tblPr>
      <w:tblGrid>
        <w:gridCol w:w="2923"/>
        <w:gridCol w:w="4677"/>
      </w:tblGrid>
      <w:tr>
        <w:tblPrEx>
          <w:tblCellMar>
            <w:top w:w="0" w:type="dxa"/>
            <w:left w:w="108" w:type="dxa"/>
            <w:bottom w:w="0" w:type="dxa"/>
            <w:right w:w="108" w:type="dxa"/>
          </w:tblCellMar>
        </w:tblPrEx>
        <w:trPr>
          <w:trHeight w:val="586" w:hRule="atLeast"/>
          <w:jc w:val="center"/>
        </w:trPr>
        <w:tc>
          <w:tcPr>
            <w:tcW w:w="2923" w:type="dxa"/>
            <w:tcBorders>
              <w:top w:val="nil"/>
              <w:left w:val="nil"/>
              <w:bottom w:val="nil"/>
              <w:right w:val="nil"/>
            </w:tcBorders>
            <w:noWrap w:val="0"/>
            <w:vAlign w:val="center"/>
          </w:tcPr>
          <w:p>
            <w:pPr>
              <w:spacing w:line="500" w:lineRule="exact"/>
              <w:jc w:val="center"/>
              <w:rPr>
                <w:rFonts w:ascii="仿宋" w:hAnsi="仿宋" w:eastAsia="仿宋" w:cs="仿宋"/>
                <w:sz w:val="24"/>
              </w:rPr>
            </w:pPr>
            <w:r>
              <w:rPr>
                <w:rFonts w:hint="eastAsia" w:ascii="Times New Roman" w:hAnsi="Times New Roman" w:eastAsia="宋体" w:cs="Times New Roman"/>
                <w:b/>
                <w:bCs/>
                <w:spacing w:val="45"/>
                <w:sz w:val="32"/>
              </w:rPr>
              <w:t>采  购 人</w:t>
            </w:r>
            <w:r>
              <w:rPr>
                <w:rFonts w:hint="eastAsia" w:ascii="Times New Roman" w:hAnsi="Times New Roman" w:eastAsia="宋体" w:cs="Times New Roman"/>
                <w:b/>
                <w:bCs/>
                <w:spacing w:val="1"/>
                <w:sz w:val="32"/>
              </w:rPr>
              <w:t>：</w:t>
            </w:r>
          </w:p>
        </w:tc>
        <w:tc>
          <w:tcPr>
            <w:tcW w:w="4677" w:type="dxa"/>
            <w:tcBorders>
              <w:top w:val="nil"/>
              <w:left w:val="nil"/>
              <w:bottom w:val="nil"/>
              <w:right w:val="nil"/>
            </w:tcBorders>
            <w:noWrap w:val="0"/>
            <w:vAlign w:val="center"/>
          </w:tcPr>
          <w:p>
            <w:pPr>
              <w:spacing w:line="500" w:lineRule="exact"/>
              <w:rPr>
                <w:rFonts w:ascii="Times New Roman" w:hAnsi="Times New Roman" w:eastAsia="宋体" w:cs="Times New Roman"/>
                <w:b/>
                <w:bCs/>
                <w:sz w:val="32"/>
              </w:rPr>
            </w:pPr>
            <w:r>
              <w:rPr>
                <w:rFonts w:hint="eastAsia" w:ascii="Times New Roman" w:hAnsi="Times New Roman" w:eastAsia="宋体" w:cs="Times New Roman"/>
                <w:b/>
                <w:bCs/>
                <w:sz w:val="32"/>
              </w:rPr>
              <w:t>沭阳县自然资源和规划局</w:t>
            </w:r>
          </w:p>
        </w:tc>
      </w:tr>
      <w:tr>
        <w:tblPrEx>
          <w:tblCellMar>
            <w:top w:w="0" w:type="dxa"/>
            <w:left w:w="108" w:type="dxa"/>
            <w:bottom w:w="0" w:type="dxa"/>
            <w:right w:w="108" w:type="dxa"/>
          </w:tblCellMar>
        </w:tblPrEx>
        <w:trPr>
          <w:trHeight w:val="617" w:hRule="atLeast"/>
          <w:jc w:val="center"/>
        </w:trPr>
        <w:tc>
          <w:tcPr>
            <w:tcW w:w="2923" w:type="dxa"/>
            <w:tcBorders>
              <w:top w:val="nil"/>
              <w:left w:val="nil"/>
              <w:bottom w:val="nil"/>
              <w:right w:val="nil"/>
            </w:tcBorders>
            <w:noWrap w:val="0"/>
            <w:vAlign w:val="center"/>
          </w:tcPr>
          <w:p>
            <w:pPr>
              <w:spacing w:line="500" w:lineRule="exact"/>
              <w:jc w:val="center"/>
              <w:rPr>
                <w:rFonts w:ascii="Times New Roman" w:hAnsi="Times New Roman" w:eastAsia="宋体" w:cs="Times New Roman"/>
                <w:b/>
                <w:bCs/>
                <w:spacing w:val="45"/>
                <w:sz w:val="32"/>
              </w:rPr>
            </w:pPr>
            <w:r>
              <w:rPr>
                <w:rFonts w:hint="eastAsia" w:ascii="Times New Roman" w:hAnsi="Times New Roman" w:eastAsia="宋体" w:cs="Times New Roman"/>
                <w:b/>
                <w:bCs/>
                <w:sz w:val="32"/>
              </w:rPr>
              <w:t>采购代理机构：</w:t>
            </w:r>
          </w:p>
        </w:tc>
        <w:tc>
          <w:tcPr>
            <w:tcW w:w="4677" w:type="dxa"/>
            <w:tcBorders>
              <w:top w:val="nil"/>
              <w:left w:val="nil"/>
              <w:bottom w:val="nil"/>
              <w:right w:val="nil"/>
            </w:tcBorders>
            <w:noWrap w:val="0"/>
            <w:vAlign w:val="center"/>
          </w:tcPr>
          <w:p>
            <w:pPr>
              <w:spacing w:line="500" w:lineRule="exact"/>
              <w:rPr>
                <w:rFonts w:ascii="Times New Roman" w:hAnsi="Times New Roman" w:eastAsia="宋体" w:cs="Times New Roman"/>
                <w:b/>
                <w:bCs/>
                <w:sz w:val="32"/>
              </w:rPr>
            </w:pPr>
            <w:r>
              <w:rPr>
                <w:rFonts w:hint="eastAsia" w:ascii="Times New Roman" w:hAnsi="Times New Roman" w:eastAsia="宋体" w:cs="Times New Roman"/>
                <w:b/>
                <w:bCs/>
                <w:sz w:val="32"/>
              </w:rPr>
              <w:t>江苏鼎新工程咨询有限公司</w:t>
            </w:r>
          </w:p>
        </w:tc>
      </w:tr>
    </w:tbl>
    <w:p>
      <w:pPr>
        <w:spacing w:line="360" w:lineRule="auto"/>
        <w:jc w:val="left"/>
        <w:rPr>
          <w:rFonts w:ascii="宋体" w:hAnsi="宋体" w:eastAsia="宋体" w:cs="宋体"/>
          <w:sz w:val="24"/>
        </w:rPr>
      </w:pPr>
    </w:p>
    <w:p>
      <w:pPr>
        <w:spacing w:before="120" w:after="120" w:line="360" w:lineRule="auto"/>
        <w:jc w:val="center"/>
        <w:rPr>
          <w:rFonts w:ascii="Arial" w:hAnsi="Arial" w:eastAsia="宋体" w:cs="Times New Roman"/>
          <w:b/>
          <w:sz w:val="32"/>
        </w:rPr>
      </w:pPr>
    </w:p>
    <w:p>
      <w:pPr>
        <w:spacing w:before="120" w:after="120" w:line="360" w:lineRule="auto"/>
        <w:jc w:val="center"/>
        <w:rPr>
          <w:rFonts w:ascii="Arial" w:hAnsi="Arial" w:eastAsia="宋体" w:cs="Times New Roman"/>
          <w:b/>
          <w:sz w:val="32"/>
        </w:rPr>
      </w:pPr>
    </w:p>
    <w:p>
      <w:pPr>
        <w:spacing w:before="120" w:after="120" w:line="360" w:lineRule="auto"/>
        <w:jc w:val="center"/>
        <w:rPr>
          <w:rFonts w:ascii="Arial" w:hAnsi="Arial" w:eastAsia="宋体" w:cs="Times New Roman"/>
          <w:b/>
          <w:sz w:val="32"/>
        </w:rPr>
      </w:pPr>
      <w:r>
        <w:rPr>
          <w:rFonts w:hint="eastAsia" w:ascii="Arial" w:hAnsi="Arial" w:eastAsia="宋体" w:cs="Times New Roman"/>
          <w:b/>
          <w:sz w:val="32"/>
        </w:rPr>
        <w:t xml:space="preserve"> 2026</w:t>
      </w:r>
      <w:r>
        <w:rPr>
          <w:rFonts w:hint="eastAsia" w:ascii="Arial" w:hAnsi="Arial" w:eastAsia="宋体" w:cs="宋体"/>
          <w:b/>
          <w:sz w:val="32"/>
        </w:rPr>
        <w:t>年</w:t>
      </w:r>
      <w:r>
        <w:rPr>
          <w:rFonts w:hint="eastAsia" w:ascii="Arial" w:hAnsi="Arial" w:eastAsia="宋体" w:cs="宋体"/>
          <w:b/>
          <w:sz w:val="32"/>
          <w:lang w:val="en-US" w:eastAsia="zh-CN"/>
        </w:rPr>
        <w:t>6</w:t>
      </w:r>
      <w:r>
        <w:rPr>
          <w:rFonts w:hint="eastAsia" w:ascii="Arial" w:hAnsi="Arial" w:eastAsia="宋体" w:cs="宋体"/>
          <w:b/>
          <w:sz w:val="32"/>
        </w:rPr>
        <w:t>月</w:t>
      </w:r>
      <w:r>
        <w:rPr>
          <w:rFonts w:hint="eastAsia" w:ascii="Arial" w:hAnsi="Arial" w:eastAsia="宋体" w:cs="宋体"/>
          <w:b/>
          <w:sz w:val="32"/>
          <w:lang w:val="en-US" w:eastAsia="zh-CN"/>
        </w:rPr>
        <w:t>03</w:t>
      </w:r>
      <w:r>
        <w:rPr>
          <w:rFonts w:hint="eastAsia" w:ascii="Arial" w:hAnsi="Arial" w:eastAsia="宋体" w:cs="宋体"/>
          <w:b/>
          <w:sz w:val="32"/>
        </w:rPr>
        <w:t>日</w:t>
      </w:r>
    </w:p>
    <w:p>
      <w:pPr>
        <w:spacing w:before="120" w:after="120" w:line="360" w:lineRule="auto"/>
        <w:jc w:val="center"/>
        <w:rPr>
          <w:rFonts w:ascii="Arial" w:hAnsi="Arial" w:eastAsia="宋体" w:cs="Times New Roman"/>
          <w:b/>
          <w:sz w:val="32"/>
        </w:rPr>
      </w:pPr>
    </w:p>
    <w:p>
      <w:pPr>
        <w:keepNext/>
        <w:keepLines/>
        <w:pageBreakBefore/>
        <w:jc w:val="center"/>
        <w:rPr>
          <w:rFonts w:ascii="Calibri" w:hAnsi="Calibri" w:eastAsia="宋体" w:cs="Times New Roman"/>
          <w:b/>
          <w:sz w:val="44"/>
          <w:szCs w:val="44"/>
        </w:rPr>
      </w:pPr>
      <w:r>
        <w:rPr>
          <w:rFonts w:hint="eastAsia" w:ascii="Calibri" w:hAnsi="Calibri" w:eastAsia="宋体" w:cs="Times New Roman"/>
          <w:b/>
          <w:sz w:val="44"/>
          <w:szCs w:val="44"/>
        </w:rPr>
        <w:t>目 录</w:t>
      </w:r>
    </w:p>
    <w:p>
      <w:pPr>
        <w:tabs>
          <w:tab w:val="right" w:leader="dot" w:pos="9185"/>
        </w:tabs>
        <w:spacing w:before="120" w:after="120" w:line="600" w:lineRule="exact"/>
        <w:jc w:val="left"/>
        <w:rPr>
          <w:rFonts w:ascii="Times New Roman" w:hAnsi="Times New Roman" w:eastAsia="黑体" w:cs="Calibri"/>
          <w:caps/>
          <w:sz w:val="32"/>
          <w:szCs w:val="20"/>
        </w:rPr>
      </w:pPr>
      <w:r>
        <w:rPr>
          <w:rFonts w:ascii="Calibri" w:hAnsi="Calibri" w:eastAsia="宋体" w:cs="Calibri"/>
          <w:b/>
          <w:bCs/>
          <w:caps/>
          <w:sz w:val="20"/>
          <w:szCs w:val="20"/>
        </w:rPr>
        <w:fldChar w:fldCharType="begin"/>
      </w:r>
      <w:r>
        <w:rPr>
          <w:rFonts w:ascii="Calibri" w:hAnsi="Calibri" w:eastAsia="宋体" w:cs="Calibri"/>
          <w:b/>
          <w:bCs/>
          <w:caps/>
          <w:sz w:val="20"/>
          <w:szCs w:val="20"/>
        </w:rPr>
        <w:instrText xml:space="preserve">TOC \o "1-1" \h \u </w:instrText>
      </w:r>
      <w:r>
        <w:rPr>
          <w:rFonts w:ascii="Calibri" w:hAnsi="Calibri" w:eastAsia="宋体" w:cs="Calibri"/>
          <w:b/>
          <w:bCs/>
          <w:caps/>
          <w:sz w:val="20"/>
          <w:szCs w:val="20"/>
        </w:rPr>
        <w:fldChar w:fldCharType="separate"/>
      </w:r>
      <w:r>
        <w:fldChar w:fldCharType="begin"/>
      </w:r>
      <w:r>
        <w:instrText xml:space="preserve"> HYPERLINK \l "_Toc10813" </w:instrText>
      </w:r>
      <w:r>
        <w:fldChar w:fldCharType="separate"/>
      </w:r>
      <w:r>
        <w:rPr>
          <w:rFonts w:hint="eastAsia" w:ascii="Times New Roman" w:hAnsi="Times New Roman" w:eastAsia="黑体" w:cs="Calibri"/>
          <w:caps/>
          <w:sz w:val="32"/>
          <w:szCs w:val="20"/>
        </w:rPr>
        <w:t>第一章  投标邀请</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_Toc10813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3</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tabs>
          <w:tab w:val="right" w:leader="dot" w:pos="9185"/>
        </w:tabs>
        <w:spacing w:before="120" w:after="120" w:line="600" w:lineRule="exact"/>
        <w:jc w:val="left"/>
        <w:rPr>
          <w:rFonts w:ascii="Times New Roman" w:hAnsi="Times New Roman" w:eastAsia="黑体" w:cs="Calibri"/>
          <w:caps/>
          <w:sz w:val="32"/>
          <w:szCs w:val="20"/>
        </w:rPr>
      </w:pPr>
      <w:r>
        <w:fldChar w:fldCharType="begin"/>
      </w:r>
      <w:r>
        <w:instrText xml:space="preserve"> HYPERLINK \l "_Toc9425" </w:instrText>
      </w:r>
      <w:r>
        <w:fldChar w:fldCharType="separate"/>
      </w:r>
      <w:r>
        <w:rPr>
          <w:rFonts w:hint="eastAsia" w:ascii="Times New Roman" w:hAnsi="Times New Roman" w:eastAsia="黑体" w:cs="Calibri"/>
          <w:caps/>
          <w:sz w:val="32"/>
          <w:szCs w:val="20"/>
        </w:rPr>
        <w:t>第二章  投标人须知</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_Toc9425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6</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tabs>
          <w:tab w:val="right" w:leader="dot" w:pos="9185"/>
        </w:tabs>
        <w:spacing w:before="120" w:after="120" w:line="600" w:lineRule="exact"/>
        <w:jc w:val="left"/>
        <w:rPr>
          <w:rFonts w:ascii="Times New Roman" w:hAnsi="Times New Roman" w:eastAsia="黑体" w:cs="Calibri"/>
          <w:caps/>
          <w:sz w:val="32"/>
          <w:szCs w:val="20"/>
        </w:rPr>
      </w:pPr>
      <w:r>
        <w:fldChar w:fldCharType="begin"/>
      </w:r>
      <w:r>
        <w:instrText xml:space="preserve"> HYPERLINK \l "_Toc17996" </w:instrText>
      </w:r>
      <w:r>
        <w:fldChar w:fldCharType="separate"/>
      </w:r>
      <w:r>
        <w:rPr>
          <w:rFonts w:hint="eastAsia" w:ascii="Times New Roman" w:hAnsi="Times New Roman" w:eastAsia="黑体" w:cs="Times New Roman"/>
          <w:caps/>
          <w:sz w:val="32"/>
          <w:szCs w:val="44"/>
        </w:rPr>
        <w:t>第三章  资格审查及评标办法</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_Toc17996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19</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tabs>
          <w:tab w:val="right" w:leader="dot" w:pos="9185"/>
        </w:tabs>
        <w:spacing w:before="120" w:after="120" w:line="600" w:lineRule="exact"/>
        <w:jc w:val="left"/>
        <w:rPr>
          <w:rFonts w:ascii="Times New Roman" w:hAnsi="Times New Roman" w:eastAsia="黑体" w:cs="Calibri"/>
          <w:caps/>
          <w:sz w:val="32"/>
          <w:szCs w:val="20"/>
        </w:rPr>
      </w:pPr>
      <w:r>
        <w:fldChar w:fldCharType="begin"/>
      </w:r>
      <w:r>
        <w:instrText xml:space="preserve"> HYPERLINK \l "_Toc22314" </w:instrText>
      </w:r>
      <w:r>
        <w:fldChar w:fldCharType="separate"/>
      </w:r>
      <w:r>
        <w:rPr>
          <w:rFonts w:hint="eastAsia" w:ascii="Times New Roman" w:hAnsi="Times New Roman" w:eastAsia="黑体" w:cs="Calibri"/>
          <w:caps/>
          <w:sz w:val="32"/>
          <w:szCs w:val="44"/>
        </w:rPr>
        <w:t>第四章</w:t>
      </w:r>
      <w:r>
        <w:rPr>
          <w:rFonts w:ascii="Times New Roman" w:hAnsi="Times New Roman" w:eastAsia="黑体" w:cs="Calibri"/>
          <w:caps/>
          <w:sz w:val="32"/>
          <w:szCs w:val="44"/>
        </w:rPr>
        <w:t xml:space="preserve">  </w:t>
      </w:r>
      <w:r>
        <w:rPr>
          <w:rFonts w:hint="eastAsia" w:ascii="Times New Roman" w:hAnsi="Times New Roman" w:eastAsia="黑体" w:cs="Calibri"/>
          <w:caps/>
          <w:sz w:val="32"/>
          <w:szCs w:val="44"/>
        </w:rPr>
        <w:t>采购需求</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_Toc22314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22</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tabs>
          <w:tab w:val="right" w:leader="dot" w:pos="9185"/>
        </w:tabs>
        <w:spacing w:before="120" w:after="120" w:line="600" w:lineRule="exact"/>
        <w:jc w:val="left"/>
        <w:rPr>
          <w:rFonts w:ascii="Times New Roman" w:hAnsi="Times New Roman" w:eastAsia="黑体" w:cs="Calibri"/>
          <w:caps/>
          <w:sz w:val="32"/>
          <w:szCs w:val="20"/>
        </w:rPr>
      </w:pPr>
      <w:r>
        <w:fldChar w:fldCharType="begin"/>
      </w:r>
      <w:r>
        <w:instrText xml:space="preserve"> HYPERLINK \l "_Toc2513" </w:instrText>
      </w:r>
      <w:r>
        <w:fldChar w:fldCharType="separate"/>
      </w:r>
      <w:r>
        <w:rPr>
          <w:rFonts w:hint="eastAsia" w:ascii="Times New Roman" w:hAnsi="Times New Roman" w:eastAsia="黑体" w:cs="Calibri"/>
          <w:caps/>
          <w:sz w:val="32"/>
          <w:szCs w:val="44"/>
        </w:rPr>
        <w:t>第五章</w:t>
      </w:r>
      <w:r>
        <w:rPr>
          <w:rFonts w:ascii="Times New Roman" w:hAnsi="Times New Roman" w:eastAsia="黑体" w:cs="Calibri"/>
          <w:caps/>
          <w:sz w:val="32"/>
          <w:szCs w:val="44"/>
        </w:rPr>
        <w:t xml:space="preserve">  </w:t>
      </w:r>
      <w:r>
        <w:rPr>
          <w:rFonts w:hint="eastAsia" w:ascii="Times New Roman" w:hAnsi="Times New Roman" w:eastAsia="黑体" w:cs="Calibri"/>
          <w:caps/>
          <w:sz w:val="32"/>
          <w:szCs w:val="44"/>
        </w:rPr>
        <w:t>合同文本</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_Toc2513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22</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tabs>
          <w:tab w:val="right" w:leader="dot" w:pos="9185"/>
        </w:tabs>
        <w:spacing w:before="120" w:after="120" w:line="600" w:lineRule="exact"/>
        <w:jc w:val="left"/>
        <w:rPr>
          <w:rFonts w:ascii="Calibri" w:hAnsi="Calibri" w:eastAsia="宋体" w:cs="Calibri"/>
          <w:b/>
          <w:bCs/>
          <w:caps/>
          <w:sz w:val="20"/>
          <w:szCs w:val="20"/>
        </w:rPr>
      </w:pPr>
      <w:r>
        <w:fldChar w:fldCharType="begin"/>
      </w:r>
      <w:r>
        <w:instrText xml:space="preserve"> HYPERLINK \l "_Toc12937" </w:instrText>
      </w:r>
      <w:r>
        <w:fldChar w:fldCharType="separate"/>
      </w:r>
      <w:r>
        <w:rPr>
          <w:rFonts w:hint="eastAsia" w:ascii="Times New Roman" w:hAnsi="Times New Roman" w:eastAsia="黑体" w:cs="Calibri"/>
          <w:caps/>
          <w:sz w:val="32"/>
          <w:szCs w:val="44"/>
        </w:rPr>
        <w:t>第六章  投标文件格式</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_Toc12937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31</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p>
    <w:p>
      <w:pPr>
        <w:rPr>
          <w:rFonts w:ascii="Calibri" w:hAnsi="Calibri" w:eastAsia="宋体" w:cs="Times New Roman"/>
          <w:szCs w:val="22"/>
        </w:rPr>
      </w:pPr>
      <w:r>
        <w:rPr>
          <w:rFonts w:ascii="Calibri" w:hAnsi="Calibri" w:eastAsia="宋体" w:cs="Times New Roman"/>
          <w:szCs w:val="22"/>
        </w:rPr>
        <w:fldChar w:fldCharType="end"/>
      </w:r>
    </w:p>
    <w:p>
      <w:pPr>
        <w:keepNext/>
        <w:keepLines/>
        <w:pageBreakBefore/>
        <w:jc w:val="center"/>
        <w:outlineLvl w:val="0"/>
        <w:rPr>
          <w:b/>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pPr>
        <w:keepNext/>
        <w:keepLines/>
        <w:spacing w:before="200" w:after="200"/>
        <w:jc w:val="center"/>
        <w:outlineLvl w:val="0"/>
        <w:rPr>
          <w:rFonts w:ascii="Arial" w:hAnsi="Arial" w:eastAsia="黑体" w:cs="Arial"/>
          <w:sz w:val="44"/>
          <w:szCs w:val="40"/>
        </w:rPr>
      </w:pPr>
      <w:bookmarkStart w:id="4" w:name="_Toc30943"/>
      <w:bookmarkStart w:id="5" w:name="_Toc25722"/>
      <w:bookmarkStart w:id="6" w:name="_Toc10813"/>
      <w:r>
        <w:rPr>
          <w:rFonts w:hint="eastAsia" w:ascii="Arial" w:hAnsi="Arial" w:eastAsia="黑体" w:cs="Arial"/>
          <w:sz w:val="44"/>
          <w:szCs w:val="40"/>
        </w:rPr>
        <w:t>第一章  投标邀请</w:t>
      </w:r>
      <w:bookmarkEnd w:id="2"/>
      <w:bookmarkEnd w:id="3"/>
      <w:bookmarkEnd w:id="4"/>
      <w:bookmarkEnd w:id="5"/>
      <w:bookmarkEnd w:id="6"/>
    </w:p>
    <w:p>
      <w:pPr>
        <w:ind w:firstLine="480"/>
        <w:jc w:val="left"/>
        <w:rPr>
          <w:rFonts w:ascii="Times New Roman" w:hAnsi="Times New Roman" w:eastAsia="宋体" w:cs="方正仿宋_GBK"/>
          <w:sz w:val="24"/>
        </w:rPr>
      </w:pPr>
      <w:r>
        <w:rPr>
          <w:rFonts w:hint="eastAsia" w:ascii="宋体" w:hAnsi="宋体" w:eastAsia="宋体" w:cs="宋体"/>
          <w:sz w:val="24"/>
        </w:rPr>
        <w:t>受</w:t>
      </w:r>
      <w:r>
        <w:rPr>
          <w:rFonts w:hint="eastAsia" w:ascii="宋体" w:hAnsi="宋体" w:eastAsia="宋体" w:cs="宋体"/>
          <w:sz w:val="24"/>
          <w:u w:val="single"/>
        </w:rPr>
        <w:t>沭阳县自然资源和规划局</w:t>
      </w:r>
      <w:r>
        <w:rPr>
          <w:rFonts w:hint="eastAsia" w:ascii="宋体" w:hAnsi="宋体" w:eastAsia="宋体" w:cs="宋体"/>
          <w:sz w:val="24"/>
        </w:rPr>
        <w:t>的委托，</w:t>
      </w:r>
      <w:r>
        <w:rPr>
          <w:rFonts w:hint="eastAsia" w:ascii="宋体" w:hAnsi="宋体" w:eastAsia="宋体" w:cs="宋体"/>
          <w:sz w:val="24"/>
          <w:u w:val="single"/>
        </w:rPr>
        <w:t>江苏鼎新工程咨询有限公司</w:t>
      </w:r>
      <w:r>
        <w:rPr>
          <w:rFonts w:hint="eastAsia" w:ascii="宋体" w:hAnsi="宋体" w:eastAsia="宋体" w:cs="宋体"/>
          <w:sz w:val="24"/>
        </w:rPr>
        <w:t>就</w:t>
      </w:r>
      <w:r>
        <w:rPr>
          <w:rFonts w:hint="eastAsia" w:ascii="宋体" w:hAnsi="宋体" w:eastAsia="宋体" w:cs="宋体"/>
          <w:sz w:val="24"/>
          <w:u w:val="single"/>
        </w:rPr>
        <w:t>沭阳县2026年飞机施药防治美国白蛾项目(项目编号</w:t>
      </w:r>
      <w:r>
        <w:rPr>
          <w:rFonts w:hint="eastAsia" w:ascii="宋体" w:hAnsi="宋体" w:eastAsia="宋体" w:cs="宋体"/>
          <w:sz w:val="24"/>
          <w:u w:val="single"/>
          <w:lang w:eastAsia="zh-CN"/>
        </w:rPr>
        <w:t>：JSZC-321322-JSDX-G2026-0007</w:t>
      </w:r>
      <w:r>
        <w:rPr>
          <w:rFonts w:hint="eastAsia" w:ascii="宋体" w:hAnsi="宋体" w:eastAsia="宋体" w:cs="宋体"/>
          <w:sz w:val="24"/>
          <w:u w:val="single"/>
        </w:rPr>
        <w:t xml:space="preserve"> )</w:t>
      </w:r>
      <w:r>
        <w:rPr>
          <w:rFonts w:hint="eastAsia" w:ascii="宋体" w:hAnsi="宋体" w:eastAsia="宋体" w:cs="宋体"/>
          <w:sz w:val="24"/>
        </w:rPr>
        <w:t>项目进行公开招标采购，欢迎符合条件的投标人投标。</w:t>
      </w:r>
    </w:p>
    <w:p>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eastAsia="宋体" w:cs="方正仿宋_GBK"/>
          <w:sz w:val="24"/>
        </w:rPr>
      </w:pPr>
      <w:r>
        <w:rPr>
          <w:rFonts w:hint="eastAsia" w:ascii="Times New Roman" w:hAnsi="Times New Roman" w:eastAsia="宋体" w:cs="方正仿宋_GBK"/>
          <w:sz w:val="24"/>
        </w:rPr>
        <w:t>项目概况</w:t>
      </w:r>
    </w:p>
    <w:p>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sz w:val="24"/>
        </w:rPr>
      </w:pPr>
      <w:r>
        <w:rPr>
          <w:rFonts w:hint="eastAsia" w:ascii="宋体" w:hAnsi="宋体" w:eastAsia="宋体" w:cs="宋体"/>
          <w:sz w:val="24"/>
          <w:u w:val="single"/>
        </w:rPr>
        <w:t>沭阳县2026年飞机施药防治美国白蛾项目</w:t>
      </w:r>
      <w:r>
        <w:rPr>
          <w:rFonts w:hint="eastAsia" w:ascii="Times New Roman" w:hAnsi="Times New Roman" w:eastAsia="宋体" w:cs="方正仿宋_GBK"/>
          <w:sz w:val="24"/>
        </w:rPr>
        <w:t>招标项目的潜在投标人可在“江苏政府采购网”、</w:t>
      </w:r>
      <w:r>
        <w:rPr>
          <w:rFonts w:hint="eastAsia" w:ascii="Times New Roman" w:hAnsi="Times New Roman" w:eastAsia="宋体" w:cs="方正仿宋_GBK"/>
          <w:sz w:val="24"/>
          <w:u w:val="single"/>
        </w:rPr>
        <w:t>“宿迁市政府采购网”自行免费</w:t>
      </w:r>
      <w:r>
        <w:rPr>
          <w:rFonts w:hint="eastAsia" w:ascii="Times New Roman" w:hAnsi="Times New Roman" w:eastAsia="宋体" w:cs="方正仿宋_GBK"/>
          <w:sz w:val="24"/>
        </w:rPr>
        <w:t>获取招标文件，并于</w:t>
      </w:r>
      <w:r>
        <w:rPr>
          <w:rFonts w:hint="eastAsia" w:ascii="宋体" w:hAnsi="宋体" w:eastAsia="宋体" w:cs="Times New Roman"/>
          <w:sz w:val="24"/>
          <w:u w:val="single"/>
        </w:rPr>
        <w:t>2026</w:t>
      </w:r>
      <w:r>
        <w:rPr>
          <w:rFonts w:hint="eastAsia" w:ascii="宋体" w:hAnsi="宋体" w:eastAsia="宋体" w:cs="Times New Roman"/>
          <w:bCs/>
          <w:sz w:val="24"/>
          <w:u w:val="single"/>
        </w:rPr>
        <w:t>年</w:t>
      </w:r>
      <w:r>
        <w:rPr>
          <w:rFonts w:hint="eastAsia" w:ascii="宋体" w:hAnsi="宋体" w:eastAsia="宋体" w:cs="Times New Roman"/>
          <w:bCs/>
          <w:sz w:val="24"/>
          <w:u w:val="single"/>
          <w:lang w:val="en-US" w:eastAsia="zh-CN"/>
        </w:rPr>
        <w:t>6</w:t>
      </w:r>
      <w:r>
        <w:rPr>
          <w:rFonts w:hint="eastAsia" w:ascii="宋体" w:hAnsi="宋体" w:eastAsia="宋体" w:cs="Times New Roman"/>
          <w:bCs/>
          <w:sz w:val="24"/>
          <w:u w:val="single"/>
        </w:rPr>
        <w:t>月</w:t>
      </w:r>
      <w:r>
        <w:rPr>
          <w:rFonts w:hint="eastAsia" w:ascii="宋体" w:hAnsi="宋体" w:eastAsia="宋体" w:cs="Times New Roman"/>
          <w:bCs/>
          <w:sz w:val="24"/>
          <w:u w:val="single"/>
          <w:lang w:val="en-US" w:eastAsia="zh-CN"/>
        </w:rPr>
        <w:t>22</w:t>
      </w:r>
      <w:r>
        <w:rPr>
          <w:rFonts w:hint="eastAsia" w:ascii="宋体" w:hAnsi="宋体" w:eastAsia="宋体" w:cs="Times New Roman"/>
          <w:bCs/>
          <w:sz w:val="24"/>
          <w:u w:val="single"/>
        </w:rPr>
        <w:t>日09点30分（</w:t>
      </w:r>
      <w:r>
        <w:rPr>
          <w:rFonts w:hint="eastAsia" w:ascii="宋体" w:hAnsi="宋体" w:eastAsia="宋体" w:cs="Times New Roman"/>
          <w:bCs/>
          <w:sz w:val="24"/>
        </w:rPr>
        <w:t>北京时间）</w:t>
      </w:r>
      <w:r>
        <w:rPr>
          <w:rFonts w:hint="eastAsia" w:ascii="Times New Roman" w:hAnsi="Times New Roman" w:eastAsia="宋体" w:cs="方正仿宋_GBK"/>
          <w:bCs/>
          <w:sz w:val="24"/>
        </w:rPr>
        <w:t>前递交投标文件</w:t>
      </w:r>
      <w:r>
        <w:rPr>
          <w:rFonts w:hint="eastAsia" w:ascii="Times New Roman" w:hAnsi="Times New Roman" w:eastAsia="宋体" w:cs="方正仿宋_GBK"/>
          <w:sz w:val="24"/>
        </w:rPr>
        <w:t>。</w:t>
      </w:r>
    </w:p>
    <w:p>
      <w:pPr>
        <w:keepNext/>
        <w:keepLines/>
        <w:spacing w:line="480" w:lineRule="exact"/>
        <w:ind w:firstLine="643"/>
        <w:outlineLvl w:val="1"/>
        <w:rPr>
          <w:rFonts w:ascii="Arial" w:hAnsi="Arial" w:eastAsia="宋体" w:cs="Arial"/>
          <w:b/>
          <w:bCs/>
          <w:sz w:val="32"/>
          <w:szCs w:val="22"/>
        </w:rPr>
      </w:pPr>
      <w:bookmarkStart w:id="7" w:name="_Toc35393621"/>
      <w:bookmarkStart w:id="8" w:name="_Toc38985263"/>
      <w:bookmarkStart w:id="9" w:name="_Toc35393790"/>
      <w:bookmarkStart w:id="10" w:name="_Toc28359079"/>
      <w:bookmarkStart w:id="11" w:name="_Toc28359002"/>
      <w:bookmarkStart w:id="12" w:name="_Toc2584"/>
      <w:bookmarkStart w:id="13" w:name="_Hlk24379207"/>
      <w:r>
        <w:rPr>
          <w:rFonts w:hint="eastAsia" w:ascii="Arial" w:hAnsi="Arial" w:eastAsia="宋体" w:cs="Arial"/>
          <w:b/>
          <w:bCs/>
          <w:sz w:val="32"/>
          <w:szCs w:val="22"/>
        </w:rPr>
        <w:t>一、项目基本情况</w:t>
      </w:r>
      <w:bookmarkEnd w:id="7"/>
      <w:bookmarkEnd w:id="8"/>
      <w:bookmarkEnd w:id="9"/>
      <w:bookmarkEnd w:id="10"/>
      <w:bookmarkEnd w:id="11"/>
      <w:bookmarkEnd w:id="12"/>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1.项目编号：JSZC-321322-JSDX-G2026-0007</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2.项目名称：</w:t>
      </w:r>
      <w:bookmarkEnd w:id="13"/>
      <w:r>
        <w:rPr>
          <w:rFonts w:hint="eastAsia" w:ascii="宋体" w:hAnsi="宋体" w:eastAsia="宋体" w:cs="宋体"/>
          <w:sz w:val="24"/>
        </w:rPr>
        <w:t>沭阳县2026年飞机施药防治美国白蛾项目</w:t>
      </w:r>
    </w:p>
    <w:p>
      <w:pPr>
        <w:spacing w:line="480" w:lineRule="exact"/>
        <w:ind w:firstLine="480"/>
        <w:rPr>
          <w:rFonts w:ascii="仿宋" w:hAnsi="仿宋" w:eastAsia="宋体" w:cs="Times New Roman"/>
          <w:sz w:val="24"/>
        </w:rPr>
      </w:pPr>
      <w:r>
        <w:rPr>
          <w:rFonts w:hint="eastAsia" w:ascii="Times New Roman" w:hAnsi="Times New Roman" w:eastAsia="宋体" w:cs="仿宋"/>
          <w:sz w:val="24"/>
        </w:rPr>
        <w:t>3.预算金额：</w:t>
      </w:r>
      <w:r>
        <w:rPr>
          <w:rFonts w:ascii="Times New Roman" w:hAnsi="Times New Roman" w:eastAsia="宋体" w:cs="Times New Roman"/>
          <w:color w:val="333333"/>
          <w:sz w:val="24"/>
        </w:rPr>
        <w:t>180</w:t>
      </w:r>
      <w:r>
        <w:rPr>
          <w:rFonts w:ascii="Times New Roman" w:hAnsi="宋体" w:eastAsia="宋体" w:cs="Times New Roman"/>
          <w:color w:val="333333"/>
          <w:sz w:val="24"/>
        </w:rPr>
        <w:t>万元</w:t>
      </w:r>
    </w:p>
    <w:p>
      <w:pPr>
        <w:spacing w:line="560" w:lineRule="exact"/>
        <w:ind w:firstLine="480"/>
        <w:rPr>
          <w:rFonts w:ascii="宋体" w:hAnsi="宋体" w:eastAsia="宋体" w:cs="宋体"/>
          <w:sz w:val="24"/>
          <w:lang w:val="zh-CN"/>
        </w:rPr>
      </w:pPr>
      <w:r>
        <w:rPr>
          <w:rFonts w:hint="eastAsia" w:ascii="Times New Roman" w:hAnsi="Times New Roman" w:eastAsia="宋体" w:cs="仿宋"/>
          <w:sz w:val="24"/>
        </w:rPr>
        <w:t>4.本项目设定最高限价，最高限价</w:t>
      </w:r>
      <w:r>
        <w:rPr>
          <w:rFonts w:hint="eastAsia" w:ascii="宋体" w:hAnsi="宋体" w:eastAsia="宋体" w:cs="宋体"/>
          <w:sz w:val="24"/>
        </w:rPr>
        <w:t>为180万元</w:t>
      </w:r>
    </w:p>
    <w:p>
      <w:pPr>
        <w:widowControl/>
        <w:shd w:val="clear" w:color="auto" w:fill="FFFFFF"/>
        <w:spacing w:line="500" w:lineRule="atLeast"/>
        <w:ind w:firstLine="480"/>
        <w:rPr>
          <w:rFonts w:ascii="Times New Roman" w:hAnsi="Times New Roman" w:eastAsia="宋体" w:cs="Times New Roman"/>
          <w:color w:val="333333"/>
          <w:szCs w:val="21"/>
        </w:rPr>
      </w:pPr>
      <w:r>
        <w:rPr>
          <w:rFonts w:hint="eastAsia" w:ascii="Times New Roman" w:hAnsi="Times New Roman" w:eastAsia="宋体" w:cs="仿宋"/>
          <w:sz w:val="24"/>
        </w:rPr>
        <w:t>5.采购需求（简介）：</w:t>
      </w:r>
      <w:r>
        <w:rPr>
          <w:rFonts w:ascii="Times New Roman" w:hAnsi="宋体" w:eastAsia="宋体" w:cs="Times New Roman"/>
          <w:color w:val="333333"/>
          <w:sz w:val="24"/>
        </w:rPr>
        <w:t>沭阳县</w:t>
      </w:r>
      <w:r>
        <w:rPr>
          <w:rFonts w:ascii="Times New Roman" w:hAnsi="Times New Roman" w:eastAsia="宋体" w:cs="Times New Roman"/>
          <w:color w:val="333333"/>
          <w:sz w:val="24"/>
        </w:rPr>
        <w:t>202</w:t>
      </w:r>
      <w:r>
        <w:rPr>
          <w:rFonts w:hint="eastAsia" w:ascii="Times New Roman" w:hAnsi="Times New Roman" w:eastAsia="宋体" w:cs="Times New Roman"/>
          <w:color w:val="333333"/>
          <w:sz w:val="24"/>
        </w:rPr>
        <w:t>6</w:t>
      </w:r>
      <w:r>
        <w:rPr>
          <w:rFonts w:ascii="Times New Roman" w:hAnsi="宋体" w:eastAsia="宋体" w:cs="Times New Roman"/>
          <w:color w:val="333333"/>
          <w:sz w:val="24"/>
        </w:rPr>
        <w:t>年飞机施药防治美国白蛾项目；计划飞防亩数</w:t>
      </w:r>
      <w:r>
        <w:rPr>
          <w:rFonts w:hint="eastAsia" w:ascii="Times New Roman" w:hAnsi="Times New Roman" w:eastAsia="宋体" w:cs="Times New Roman"/>
          <w:color w:val="333333"/>
          <w:sz w:val="24"/>
          <w:lang w:eastAsia="zh-CN"/>
        </w:rPr>
        <w:t>35万亩</w:t>
      </w:r>
      <w:r>
        <w:rPr>
          <w:rFonts w:ascii="Times New Roman" w:hAnsi="宋体" w:eastAsia="宋体" w:cs="Times New Roman"/>
          <w:color w:val="333333"/>
          <w:sz w:val="24"/>
        </w:rPr>
        <w:t>（详细内容见本招标文件第四章）。</w:t>
      </w:r>
    </w:p>
    <w:p>
      <w:pPr>
        <w:spacing w:line="480" w:lineRule="exact"/>
        <w:ind w:firstLine="480"/>
        <w:rPr>
          <w:rFonts w:ascii="宋体" w:hAnsi="宋体" w:eastAsia="宋体" w:cs="宋体"/>
          <w:sz w:val="24"/>
        </w:rPr>
      </w:pPr>
      <w:r>
        <w:rPr>
          <w:rFonts w:hint="eastAsia" w:ascii="Times New Roman" w:hAnsi="Times New Roman" w:eastAsia="宋体" w:cs="仿宋"/>
          <w:sz w:val="24"/>
        </w:rPr>
        <w:t>6.合同履行期限：</w:t>
      </w:r>
      <w:r>
        <w:rPr>
          <w:rFonts w:hint="eastAsia" w:ascii="宋体" w:hAnsi="宋体" w:eastAsia="宋体" w:cs="宋体"/>
          <w:sz w:val="24"/>
          <w:lang w:val="zh-CN"/>
        </w:rPr>
        <w:t>具体飞防时间以采购人通知时间为准。</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7.本项目</w:t>
      </w:r>
      <w:r>
        <w:rPr>
          <w:rFonts w:hint="eastAsia" w:ascii="Times New Roman" w:hAnsi="Times New Roman" w:eastAsia="宋体" w:cs="仿宋"/>
          <w:sz w:val="24"/>
          <w:u w:val="single"/>
        </w:rPr>
        <w:t>不接受</w:t>
      </w:r>
      <w:r>
        <w:rPr>
          <w:rFonts w:hint="eastAsia" w:ascii="Times New Roman" w:hAnsi="Times New Roman" w:eastAsia="宋体" w:cs="仿宋"/>
          <w:sz w:val="24"/>
        </w:rPr>
        <w:t>联合体投标。</w:t>
      </w:r>
    </w:p>
    <w:p>
      <w:pPr>
        <w:keepNext/>
        <w:keepLines/>
        <w:spacing w:line="480" w:lineRule="exact"/>
        <w:ind w:firstLine="643"/>
        <w:outlineLvl w:val="1"/>
        <w:rPr>
          <w:rFonts w:ascii="Arial" w:hAnsi="Arial" w:eastAsia="宋体" w:cs="Arial"/>
          <w:b/>
          <w:bCs/>
          <w:sz w:val="32"/>
          <w:szCs w:val="22"/>
        </w:rPr>
      </w:pPr>
      <w:bookmarkStart w:id="14" w:name="_Toc28359003"/>
      <w:bookmarkStart w:id="15" w:name="_Toc35393622"/>
      <w:bookmarkStart w:id="16" w:name="_Toc27291"/>
      <w:bookmarkStart w:id="17" w:name="_Toc35393791"/>
      <w:bookmarkStart w:id="18" w:name="_Toc38985264"/>
      <w:bookmarkStart w:id="19" w:name="_Toc28359080"/>
      <w:r>
        <w:rPr>
          <w:rFonts w:hint="eastAsia" w:ascii="Arial" w:hAnsi="Arial" w:eastAsia="宋体" w:cs="Arial"/>
          <w:b/>
          <w:bCs/>
          <w:sz w:val="32"/>
          <w:szCs w:val="22"/>
        </w:rPr>
        <w:t>二、申请人的资格要求</w:t>
      </w:r>
      <w:bookmarkEnd w:id="14"/>
      <w:bookmarkEnd w:id="15"/>
      <w:bookmarkEnd w:id="16"/>
      <w:bookmarkEnd w:id="17"/>
      <w:bookmarkEnd w:id="18"/>
      <w:bookmarkEnd w:id="19"/>
    </w:p>
    <w:p>
      <w:pPr>
        <w:spacing w:line="480" w:lineRule="exact"/>
        <w:ind w:firstLine="480"/>
        <w:rPr>
          <w:rFonts w:ascii="Times New Roman" w:hAnsi="Times New Roman" w:eastAsia="宋体" w:cs="仿宋"/>
          <w:sz w:val="24"/>
        </w:rPr>
      </w:pPr>
      <w:bookmarkStart w:id="20" w:name="_Toc28359081"/>
      <w:bookmarkStart w:id="21" w:name="_Toc38985265"/>
      <w:bookmarkStart w:id="22" w:name="_Toc35393792"/>
      <w:bookmarkStart w:id="23" w:name="_Toc35393623"/>
      <w:bookmarkStart w:id="24" w:name="_Toc28359004"/>
      <w:r>
        <w:rPr>
          <w:rFonts w:hint="eastAsia" w:ascii="Times New Roman" w:hAnsi="Times New Roman" w:eastAsia="宋体" w:cs="仿宋"/>
          <w:sz w:val="24"/>
        </w:rPr>
        <w:t>（一）通用资格要求</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1.具备《中华人民共和国政府采购法》第二十二条第一款规定的6项条件（按要求提供投标函）。</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落实政府采购政策需满足的资格要求：本项目不专门面向中小微企业采购，执行价格扣除优惠政策，对符合条件的小微企业、监狱企业或残疾人福利性单位参与投标，对其产品的价格给予10%的扣除，用扣除后的价格参与评审。</w:t>
      </w:r>
    </w:p>
    <w:p>
      <w:pPr>
        <w:widowControl/>
        <w:shd w:val="clear" w:color="auto" w:fill="FFFFFF"/>
        <w:spacing w:line="500" w:lineRule="exact"/>
        <w:ind w:firstLine="480"/>
        <w:rPr>
          <w:rFonts w:ascii="Times New Roman" w:hAnsi="Times New Roman" w:eastAsia="宋体" w:cs="仿宋"/>
          <w:sz w:val="24"/>
        </w:rPr>
      </w:pPr>
      <w:r>
        <w:rPr>
          <w:rFonts w:hint="eastAsia" w:ascii="Times New Roman" w:hAnsi="Times New Roman" w:eastAsia="宋体" w:cs="仿宋"/>
          <w:sz w:val="24"/>
        </w:rPr>
        <w:t>（二）本项目的特定资格要求：</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1</w:t>
      </w:r>
      <w:r>
        <w:rPr>
          <w:rFonts w:ascii="Times New Roman" w:hAnsi="宋体" w:eastAsia="宋体" w:cs="Times New Roman"/>
          <w:color w:val="333333"/>
          <w:sz w:val="24"/>
        </w:rPr>
        <w:t>、投标人须是具有航空资格且同时具有林业有害生物防控能力的独立法人。</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2</w:t>
      </w:r>
      <w:r>
        <w:rPr>
          <w:rFonts w:ascii="Times New Roman" w:hAnsi="宋体" w:eastAsia="宋体" w:cs="Times New Roman"/>
          <w:color w:val="333333"/>
          <w:sz w:val="24"/>
        </w:rPr>
        <w:t>、投标人须拥有</w:t>
      </w:r>
      <w:r>
        <w:rPr>
          <w:rFonts w:hint="eastAsia" w:ascii="Times New Roman" w:hAnsi="宋体" w:eastAsia="宋体" w:cs="Times New Roman"/>
          <w:color w:val="333333"/>
          <w:sz w:val="24"/>
        </w:rPr>
        <w:t>2架以上用于作业的直升机，</w:t>
      </w:r>
      <w:r>
        <w:rPr>
          <w:rFonts w:ascii="Times New Roman" w:hAnsi="宋体" w:eastAsia="宋体" w:cs="Times New Roman"/>
          <w:color w:val="333333"/>
          <w:sz w:val="24"/>
        </w:rPr>
        <w:t>适航证、国籍登记证、电台执照三证齐全，国籍登记证发给人与投标人名称一致</w:t>
      </w:r>
      <w:r>
        <w:rPr>
          <w:rFonts w:hint="eastAsia" w:ascii="Times New Roman" w:hAnsi="Times New Roman" w:eastAsia="宋体" w:cs="Times New Roman"/>
          <w:color w:val="333333"/>
          <w:sz w:val="24"/>
        </w:rPr>
        <w:t>，</w:t>
      </w:r>
      <w:r>
        <w:rPr>
          <w:rFonts w:ascii="Times New Roman" w:hAnsi="宋体" w:eastAsia="宋体" w:cs="Times New Roman"/>
          <w:color w:val="333333"/>
          <w:sz w:val="24"/>
        </w:rPr>
        <w:t>并加入投标人运行规范。</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3</w:t>
      </w:r>
      <w:r>
        <w:rPr>
          <w:rFonts w:ascii="Times New Roman" w:hAnsi="宋体" w:eastAsia="宋体" w:cs="Times New Roman"/>
          <w:color w:val="333333"/>
          <w:sz w:val="24"/>
        </w:rPr>
        <w:t>、参加作业的飞行员须具有</w:t>
      </w:r>
      <w:r>
        <w:rPr>
          <w:rFonts w:ascii="Times New Roman" w:hAnsi="Times New Roman" w:eastAsia="宋体" w:cs="Times New Roman"/>
          <w:color w:val="333333"/>
          <w:sz w:val="24"/>
        </w:rPr>
        <w:t>3</w:t>
      </w:r>
      <w:r>
        <w:rPr>
          <w:rFonts w:ascii="Times New Roman" w:hAnsi="宋体" w:eastAsia="宋体" w:cs="Times New Roman"/>
          <w:color w:val="333333"/>
          <w:sz w:val="24"/>
        </w:rPr>
        <w:t>年以上（含</w:t>
      </w:r>
      <w:r>
        <w:rPr>
          <w:rFonts w:ascii="Times New Roman" w:hAnsi="Times New Roman" w:eastAsia="宋体" w:cs="Times New Roman"/>
          <w:color w:val="333333"/>
          <w:sz w:val="24"/>
        </w:rPr>
        <w:t>3</w:t>
      </w:r>
      <w:r>
        <w:rPr>
          <w:rFonts w:ascii="Times New Roman" w:hAnsi="宋体" w:eastAsia="宋体" w:cs="Times New Roman"/>
          <w:color w:val="333333"/>
          <w:sz w:val="24"/>
        </w:rPr>
        <w:t>年）飞行经验（以投标文件中上传飞行员执照为准）。</w:t>
      </w:r>
    </w:p>
    <w:p>
      <w:pPr>
        <w:widowControl/>
        <w:shd w:val="clear" w:color="auto" w:fill="FFFFFF"/>
        <w:spacing w:line="500" w:lineRule="exact"/>
        <w:ind w:firstLine="480"/>
        <w:rPr>
          <w:rFonts w:ascii="Times New Roman" w:hAnsi="宋体" w:eastAsia="宋体" w:cs="Times New Roman"/>
          <w:color w:val="333333"/>
          <w:sz w:val="24"/>
        </w:rPr>
      </w:pPr>
      <w:r>
        <w:rPr>
          <w:rFonts w:ascii="Times New Roman" w:hAnsi="宋体" w:eastAsia="宋体" w:cs="Times New Roman"/>
          <w:color w:val="333333"/>
          <w:sz w:val="24"/>
        </w:rPr>
        <w:t>4、</w:t>
      </w:r>
      <w:r>
        <w:rPr>
          <w:rFonts w:hint="eastAsia" w:ascii="Times New Roman" w:hAnsi="宋体" w:eastAsia="宋体" w:cs="Times New Roman"/>
          <w:color w:val="333333"/>
          <w:kern w:val="0"/>
          <w:sz w:val="24"/>
        </w:rPr>
        <w:t>投标人在以往的飞行作业中无重大安全事故发生（人员死亡、失踪），无鱼、虾、蟹、蜂、蚕等死亡的次生灾害事故及因飞防引起的民事纠纷等。（提供承诺书加盖投标人公章原件扫描件、承诺书格式自拟）。</w:t>
      </w:r>
      <w:bookmarkStart w:id="197" w:name="_GoBack"/>
      <w:bookmarkEnd w:id="197"/>
    </w:p>
    <w:p>
      <w:pPr>
        <w:keepNext/>
        <w:keepLines/>
        <w:spacing w:line="480" w:lineRule="exact"/>
        <w:ind w:firstLine="643"/>
        <w:outlineLvl w:val="1"/>
        <w:rPr>
          <w:rFonts w:ascii="Arial" w:hAnsi="Arial" w:eastAsia="宋体" w:cs="Arial"/>
          <w:b/>
          <w:bCs/>
          <w:sz w:val="32"/>
          <w:szCs w:val="22"/>
        </w:rPr>
      </w:pPr>
      <w:bookmarkStart w:id="25" w:name="_Toc22204"/>
      <w:r>
        <w:rPr>
          <w:rFonts w:hint="eastAsia" w:ascii="Arial" w:hAnsi="Arial" w:eastAsia="宋体" w:cs="Arial"/>
          <w:b/>
          <w:bCs/>
          <w:sz w:val="32"/>
          <w:szCs w:val="22"/>
        </w:rPr>
        <w:t>三、获取招标文件</w:t>
      </w:r>
      <w:bookmarkEnd w:id="20"/>
      <w:bookmarkEnd w:id="21"/>
      <w:bookmarkEnd w:id="22"/>
      <w:bookmarkEnd w:id="23"/>
      <w:bookmarkEnd w:id="24"/>
      <w:bookmarkEnd w:id="25"/>
    </w:p>
    <w:p>
      <w:pPr>
        <w:spacing w:line="480" w:lineRule="exact"/>
        <w:ind w:firstLine="480"/>
        <w:rPr>
          <w:rFonts w:ascii="Times New Roman" w:hAnsi="Times New Roman" w:eastAsia="宋体" w:cs="仿宋"/>
          <w:sz w:val="24"/>
        </w:rPr>
      </w:pPr>
      <w:bookmarkStart w:id="26" w:name="_Toc28359005"/>
      <w:bookmarkStart w:id="27" w:name="_Toc28359082"/>
      <w:bookmarkStart w:id="28" w:name="_Toc35393624"/>
      <w:bookmarkStart w:id="29" w:name="_Toc38985266"/>
      <w:bookmarkStart w:id="30" w:name="_Toc35393793"/>
      <w:r>
        <w:rPr>
          <w:rFonts w:hint="eastAsia" w:ascii="Times New Roman" w:hAnsi="Times New Roman" w:eastAsia="宋体" w:cs="仿宋"/>
          <w:sz w:val="24"/>
        </w:rPr>
        <w:t>1.时间：招标公告发布之日起5个工作日。</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2.方式：投标人应在招标文件提供的时间内，通过“苏采云”系统（网址： http://jszfcg.jsczt.cn/），使用CA锁登录系统后，找到本项目获取招标文件（后缀名为“.kedt”）。</w:t>
      </w:r>
    </w:p>
    <w:p>
      <w:pPr>
        <w:spacing w:line="480" w:lineRule="exact"/>
        <w:ind w:firstLine="480"/>
        <w:rPr>
          <w:rFonts w:ascii="Times New Roman" w:hAnsi="Times New Roman" w:eastAsia="宋体" w:cs="仿宋"/>
          <w:sz w:val="24"/>
        </w:rPr>
      </w:pPr>
      <w:bookmarkStart w:id="31" w:name="EB0c44ff4da61f4af989d119fe214be450"/>
      <w:r>
        <w:rPr>
          <w:rFonts w:hint="eastAsia" w:ascii="Times New Roman" w:hAnsi="Times New Roman" w:eastAsia="宋体" w:cs="仿宋"/>
          <w:sz w:val="24"/>
        </w:rPr>
        <w:t>3.本项目共分一个采购包。投标人参与多个采购包投标的，应按采购包分别获取招标文件。投标人未按要求获取招标文件，后果自负（其投标文件不予接受）。</w:t>
      </w:r>
      <w:bookmarkEnd w:id="31"/>
    </w:p>
    <w:p>
      <w:pPr>
        <w:keepNext/>
        <w:keepLines/>
        <w:spacing w:line="480" w:lineRule="exact"/>
        <w:ind w:firstLine="643"/>
        <w:outlineLvl w:val="1"/>
        <w:rPr>
          <w:rFonts w:ascii="Arial" w:hAnsi="Arial" w:eastAsia="宋体" w:cs="Arial"/>
          <w:b/>
          <w:bCs/>
          <w:sz w:val="32"/>
          <w:szCs w:val="22"/>
        </w:rPr>
      </w:pPr>
      <w:bookmarkStart w:id="32" w:name="_Toc19148"/>
      <w:r>
        <w:rPr>
          <w:rFonts w:hint="eastAsia" w:ascii="Arial" w:hAnsi="Arial" w:eastAsia="宋体" w:cs="Arial"/>
          <w:b/>
          <w:bCs/>
          <w:sz w:val="32"/>
          <w:szCs w:val="22"/>
        </w:rPr>
        <w:t>四、提交投标文件</w:t>
      </w:r>
      <w:bookmarkEnd w:id="26"/>
      <w:bookmarkEnd w:id="27"/>
      <w:r>
        <w:rPr>
          <w:rFonts w:hint="eastAsia" w:ascii="Arial" w:hAnsi="Arial" w:eastAsia="宋体" w:cs="Arial"/>
          <w:b/>
          <w:bCs/>
          <w:sz w:val="32"/>
          <w:szCs w:val="22"/>
        </w:rPr>
        <w:t>截止时间、开标时间和地点</w:t>
      </w:r>
      <w:bookmarkEnd w:id="28"/>
      <w:bookmarkEnd w:id="29"/>
      <w:bookmarkEnd w:id="30"/>
      <w:bookmarkEnd w:id="32"/>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1.提交投标文件截止时间、开标时间：2026年</w:t>
      </w:r>
      <w:r>
        <w:rPr>
          <w:rFonts w:hint="eastAsia" w:ascii="Times New Roman" w:hAnsi="Times New Roman" w:eastAsia="宋体" w:cs="仿宋"/>
          <w:sz w:val="24"/>
          <w:lang w:val="en-US" w:eastAsia="zh-CN"/>
        </w:rPr>
        <w:t>6</w:t>
      </w:r>
      <w:r>
        <w:rPr>
          <w:rFonts w:hint="eastAsia" w:ascii="Times New Roman" w:hAnsi="Times New Roman" w:eastAsia="宋体" w:cs="仿宋"/>
          <w:sz w:val="24"/>
        </w:rPr>
        <w:t>月</w:t>
      </w:r>
      <w:r>
        <w:rPr>
          <w:rFonts w:hint="eastAsia" w:ascii="Times New Roman" w:hAnsi="Times New Roman" w:eastAsia="宋体" w:cs="仿宋"/>
          <w:sz w:val="24"/>
          <w:lang w:val="en-US" w:eastAsia="zh-CN"/>
        </w:rPr>
        <w:t>22</w:t>
      </w:r>
      <w:r>
        <w:rPr>
          <w:rFonts w:hint="eastAsia" w:ascii="Times New Roman" w:hAnsi="Times New Roman" w:eastAsia="宋体" w:cs="仿宋"/>
          <w:sz w:val="24"/>
        </w:rPr>
        <w:t>日09点30分（北京时间）</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2.地点：“苏采云”政府采购交易系统网上开标大厅。</w:t>
      </w:r>
    </w:p>
    <w:p>
      <w:pPr>
        <w:keepNext/>
        <w:keepLines/>
        <w:spacing w:line="480" w:lineRule="exact"/>
        <w:ind w:firstLine="643"/>
        <w:outlineLvl w:val="1"/>
        <w:rPr>
          <w:rFonts w:ascii="Arial" w:hAnsi="Arial" w:eastAsia="宋体" w:cs="Arial"/>
          <w:b/>
          <w:bCs/>
          <w:sz w:val="32"/>
          <w:szCs w:val="22"/>
        </w:rPr>
      </w:pPr>
      <w:bookmarkStart w:id="33" w:name="_Toc38985267"/>
      <w:bookmarkStart w:id="34" w:name="_Toc24820"/>
      <w:bookmarkStart w:id="35" w:name="_Toc28359007"/>
      <w:bookmarkStart w:id="36" w:name="_Toc35393625"/>
      <w:bookmarkStart w:id="37" w:name="_Toc28359084"/>
      <w:bookmarkStart w:id="38" w:name="_Toc35393794"/>
      <w:r>
        <w:rPr>
          <w:rFonts w:hint="eastAsia" w:ascii="Arial" w:hAnsi="Arial" w:eastAsia="宋体" w:cs="Arial"/>
          <w:b/>
          <w:bCs/>
          <w:sz w:val="32"/>
          <w:szCs w:val="22"/>
        </w:rPr>
        <w:t>五、公告期限</w:t>
      </w:r>
      <w:bookmarkEnd w:id="33"/>
      <w:bookmarkEnd w:id="34"/>
      <w:bookmarkEnd w:id="35"/>
      <w:bookmarkEnd w:id="36"/>
      <w:bookmarkEnd w:id="37"/>
      <w:bookmarkEnd w:id="38"/>
    </w:p>
    <w:p>
      <w:pPr>
        <w:spacing w:line="480" w:lineRule="exact"/>
        <w:ind w:firstLine="480"/>
        <w:rPr>
          <w:rFonts w:ascii="Times New Roman" w:hAnsi="Times New Roman" w:eastAsia="宋体" w:cs="仿宋"/>
          <w:sz w:val="24"/>
        </w:rPr>
      </w:pPr>
      <w:bookmarkStart w:id="39" w:name="_Toc38985268"/>
      <w:bookmarkStart w:id="40" w:name="_Toc35393795"/>
      <w:bookmarkStart w:id="41" w:name="_Toc35393626"/>
      <w:r>
        <w:rPr>
          <w:rFonts w:hint="eastAsia" w:ascii="Times New Roman" w:hAnsi="Times New Roman" w:eastAsia="宋体" w:cs="仿宋"/>
          <w:sz w:val="24"/>
        </w:rPr>
        <w:t>招标公告及招标文件公告期限为自本公告发布之日起5个工作日。</w:t>
      </w:r>
    </w:p>
    <w:p>
      <w:pPr>
        <w:keepNext/>
        <w:keepLines/>
        <w:spacing w:line="480" w:lineRule="exact"/>
        <w:ind w:firstLine="643"/>
        <w:outlineLvl w:val="1"/>
        <w:rPr>
          <w:rFonts w:ascii="Arial" w:hAnsi="Arial" w:eastAsia="宋体" w:cs="Arial"/>
          <w:b/>
          <w:bCs/>
          <w:sz w:val="32"/>
          <w:szCs w:val="22"/>
        </w:rPr>
      </w:pPr>
      <w:bookmarkStart w:id="42" w:name="_Toc13415"/>
      <w:r>
        <w:rPr>
          <w:rFonts w:hint="eastAsia" w:ascii="Arial" w:hAnsi="Arial" w:eastAsia="宋体" w:cs="Arial"/>
          <w:b/>
          <w:bCs/>
          <w:sz w:val="32"/>
          <w:szCs w:val="22"/>
        </w:rPr>
        <w:t>六、其他补充事宜</w:t>
      </w:r>
      <w:bookmarkEnd w:id="39"/>
      <w:bookmarkEnd w:id="40"/>
      <w:bookmarkEnd w:id="41"/>
      <w:bookmarkEnd w:id="42"/>
    </w:p>
    <w:p>
      <w:pPr>
        <w:spacing w:line="480" w:lineRule="exact"/>
        <w:ind w:firstLine="480"/>
        <w:rPr>
          <w:rFonts w:ascii="Times New Roman" w:hAnsi="Times New Roman" w:eastAsia="宋体" w:cs="仿宋"/>
          <w:sz w:val="24"/>
        </w:rPr>
      </w:pPr>
      <w:bookmarkStart w:id="43" w:name="EB64e1f522fd8c43fcb4d3ba471386b3e7"/>
      <w:bookmarkStart w:id="44" w:name="_Toc35393627"/>
      <w:bookmarkStart w:id="45" w:name="_Toc38985269"/>
      <w:bookmarkStart w:id="46" w:name="_Toc35393796"/>
      <w:bookmarkStart w:id="47" w:name="_Toc28359085"/>
      <w:bookmarkStart w:id="48" w:name="_Toc28359008"/>
      <w:r>
        <w:rPr>
          <w:rFonts w:hint="eastAsia" w:ascii="Times New Roman" w:hAnsi="Times New Roman" w:eastAsia="宋体" w:cs="仿宋"/>
          <w:sz w:val="24"/>
        </w:rPr>
        <w:t>1.招标公告发布媒体：</w:t>
      </w:r>
      <w:bookmarkStart w:id="49" w:name="OLE_LINK3"/>
      <w:r>
        <w:rPr>
          <w:rFonts w:hint="eastAsia" w:ascii="Times New Roman" w:hAnsi="Times New Roman" w:eastAsia="宋体" w:cs="仿宋"/>
          <w:sz w:val="24"/>
        </w:rPr>
        <w:t>江苏政府采购网</w:t>
      </w:r>
      <w:bookmarkEnd w:id="49"/>
      <w:r>
        <w:rPr>
          <w:rFonts w:hint="eastAsia" w:ascii="Times New Roman" w:hAnsi="Times New Roman" w:eastAsia="宋体" w:cs="仿宋"/>
          <w:sz w:val="24"/>
        </w:rPr>
        <w:t>、宿迁市政府采购网等。</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2.“CA”数字证书办理：“苏采云”系统目前仅支持“苏采云”系统下的意源CA。省内各地区办理的“苏采云”系统下的意源CA全省通用。宿迁地区CA数字证书办理联系方式：18351098172。</w:t>
      </w:r>
    </w:p>
    <w:p>
      <w:pPr>
        <w:spacing w:line="480" w:lineRule="exact"/>
        <w:ind w:firstLine="480"/>
        <w:rPr>
          <w:rFonts w:ascii="Times New Roman" w:hAnsi="Times New Roman" w:eastAsia="宋体" w:cs="仿宋"/>
          <w:sz w:val="24"/>
        </w:rPr>
      </w:pPr>
      <w:r>
        <w:rPr>
          <w:rFonts w:hint="eastAsia" w:ascii="Times New Roman" w:hAnsi="Times New Roman" w:eastAsia="宋体" w:cs="仿宋"/>
          <w:sz w:val="24"/>
        </w:rPr>
        <w:t>3.宿迁地区“苏采云”系统技术支持客服电话：</w:t>
      </w:r>
      <w:r>
        <w:rPr>
          <w:rFonts w:hint="eastAsia" w:ascii="Times New Roman" w:hAnsi="Times New Roman" w:eastAsia="宋体" w:cs="仿宋"/>
          <w:color w:val="000000"/>
          <w:sz w:val="24"/>
        </w:rPr>
        <w:t>0527-84363067、0519-86722806</w:t>
      </w:r>
      <w:r>
        <w:rPr>
          <w:rFonts w:hint="eastAsia" w:ascii="Times New Roman" w:hAnsi="Times New Roman" w:eastAsia="宋体" w:cs="仿宋"/>
          <w:sz w:val="24"/>
        </w:rPr>
        <w:t>。</w:t>
      </w:r>
      <w:bookmarkEnd w:id="43"/>
    </w:p>
    <w:p>
      <w:pPr>
        <w:spacing w:line="480" w:lineRule="exact"/>
        <w:ind w:firstLine="480"/>
        <w:rPr>
          <w:rFonts w:ascii="Times New Roman" w:hAnsi="Times New Roman" w:eastAsia="宋体" w:cs="仿宋"/>
          <w:sz w:val="24"/>
          <w:szCs w:val="22"/>
        </w:rPr>
      </w:pPr>
      <w:bookmarkStart w:id="50" w:name="_Toc29049"/>
      <w:r>
        <w:rPr>
          <w:rFonts w:hint="eastAsia" w:ascii="Times New Roman" w:hAnsi="Times New Roman" w:eastAsia="宋体" w:cs="仿宋"/>
          <w:sz w:val="24"/>
        </w:rPr>
        <w:t>4.</w:t>
      </w:r>
      <w:r>
        <w:rPr>
          <w:rFonts w:hint="eastAsia" w:ascii="Times New Roman" w:hAnsi="Times New Roman" w:eastAsia="宋体" w:cs="仿宋"/>
          <w:sz w:val="24"/>
          <w:szCs w:val="22"/>
        </w:rPr>
        <w:t>质疑渠道：投标人登录“苏采云”系统“项目质疑申请”模块向采购人提出，质疑处理联系方式详见“采购人信息”；</w:t>
      </w:r>
      <w:r>
        <w:rPr>
          <w:rFonts w:hint="eastAsia" w:ascii="Times New Roman" w:hAnsi="Times New Roman" w:eastAsia="宋体" w:cs="仿宋"/>
          <w:sz w:val="24"/>
        </w:rPr>
        <w:t>财政部门投诉受理电话：</w:t>
      </w:r>
      <w:r>
        <w:rPr>
          <w:rFonts w:hint="eastAsia" w:ascii="宋体" w:hAnsi="宋体" w:eastAsia="宋体" w:cs="宋体"/>
          <w:sz w:val="24"/>
          <w:szCs w:val="22"/>
        </w:rPr>
        <w:t>0527-83559270</w:t>
      </w:r>
      <w:r>
        <w:rPr>
          <w:rFonts w:hint="eastAsia" w:ascii="Times New Roman" w:hAnsi="Times New Roman" w:eastAsia="宋体" w:cs="仿宋"/>
          <w:sz w:val="24"/>
        </w:rPr>
        <w:t>。</w:t>
      </w:r>
    </w:p>
    <w:p>
      <w:pPr>
        <w:keepNext/>
        <w:keepLines/>
        <w:spacing w:line="480" w:lineRule="exact"/>
        <w:ind w:firstLine="643"/>
        <w:outlineLvl w:val="1"/>
        <w:rPr>
          <w:rFonts w:ascii="Arial" w:hAnsi="Arial" w:eastAsia="宋体" w:cs="Arial"/>
          <w:b/>
          <w:bCs/>
          <w:sz w:val="32"/>
          <w:szCs w:val="22"/>
        </w:rPr>
      </w:pPr>
      <w:r>
        <w:rPr>
          <w:rFonts w:hint="eastAsia" w:ascii="Arial" w:hAnsi="Arial" w:eastAsia="宋体" w:cs="Arial"/>
          <w:b/>
          <w:bCs/>
          <w:sz w:val="32"/>
          <w:szCs w:val="22"/>
        </w:rPr>
        <w:t>七、本次招标联系方式</w:t>
      </w:r>
      <w:bookmarkEnd w:id="44"/>
      <w:bookmarkEnd w:id="45"/>
      <w:bookmarkEnd w:id="46"/>
      <w:bookmarkEnd w:id="47"/>
      <w:bookmarkEnd w:id="48"/>
      <w:bookmarkEnd w:id="50"/>
    </w:p>
    <w:p>
      <w:pPr>
        <w:widowControl/>
        <w:spacing w:line="560" w:lineRule="exact"/>
        <w:ind w:firstLine="480"/>
        <w:jc w:val="left"/>
        <w:rPr>
          <w:rFonts w:ascii="宋体" w:hAnsi="宋体" w:eastAsia="宋体" w:cs="宋体"/>
          <w:sz w:val="24"/>
        </w:rPr>
      </w:pPr>
      <w:r>
        <w:rPr>
          <w:rFonts w:hint="eastAsia" w:ascii="宋体" w:hAnsi="宋体" w:eastAsia="宋体" w:cs="宋体"/>
          <w:sz w:val="24"/>
        </w:rPr>
        <w:t>1.采购人信息</w:t>
      </w:r>
    </w:p>
    <w:p>
      <w:pPr>
        <w:spacing w:line="560" w:lineRule="exact"/>
        <w:ind w:firstLine="720"/>
        <w:jc w:val="left"/>
        <w:rPr>
          <w:rFonts w:ascii="宋体" w:hAnsi="宋体" w:eastAsia="宋体" w:cs="宋体"/>
          <w:sz w:val="24"/>
        </w:rPr>
      </w:pPr>
      <w:r>
        <w:rPr>
          <w:rFonts w:hint="eastAsia" w:ascii="宋体" w:hAnsi="宋体" w:eastAsia="宋体" w:cs="宋体"/>
          <w:sz w:val="24"/>
        </w:rPr>
        <w:t>名 称：沭阳县自然资源和规划局</w:t>
      </w:r>
    </w:p>
    <w:p>
      <w:pPr>
        <w:spacing w:line="560" w:lineRule="exact"/>
        <w:ind w:firstLine="720"/>
        <w:jc w:val="left"/>
        <w:rPr>
          <w:rFonts w:ascii="宋体" w:hAnsi="宋体" w:eastAsia="宋体" w:cs="宋体"/>
          <w:sz w:val="24"/>
        </w:rPr>
      </w:pPr>
      <w:r>
        <w:rPr>
          <w:rFonts w:hint="eastAsia" w:ascii="宋体" w:hAnsi="宋体" w:eastAsia="宋体" w:cs="宋体"/>
          <w:sz w:val="24"/>
        </w:rPr>
        <w:t>地址：</w:t>
      </w:r>
      <w:bookmarkStart w:id="51" w:name="EB56584df6d7a94fbba4fdfdc5b0e454cb"/>
      <w:r>
        <w:rPr>
          <w:rFonts w:hint="eastAsia" w:ascii="宋体" w:hAnsi="宋体" w:cs="宋体"/>
          <w:color w:val="000000"/>
          <w:sz w:val="24"/>
          <w:shd w:val="clear" w:color="auto" w:fill="FFFFFF"/>
        </w:rPr>
        <w:t>江苏省宿迁市沭阳县学院路5号</w:t>
      </w:r>
      <w:bookmarkEnd w:id="51"/>
    </w:p>
    <w:p>
      <w:pPr>
        <w:widowControl/>
        <w:spacing w:line="560" w:lineRule="exact"/>
        <w:ind w:firstLine="787"/>
        <w:jc w:val="left"/>
        <w:rPr>
          <w:rFonts w:ascii="宋体" w:hAnsi="宋体" w:eastAsia="宋体" w:cs="宋体"/>
          <w:sz w:val="24"/>
        </w:rPr>
      </w:pPr>
      <w:bookmarkStart w:id="52" w:name="_Toc28359009"/>
      <w:bookmarkStart w:id="53" w:name="_Toc28359086"/>
      <w:r>
        <w:rPr>
          <w:rFonts w:hint="eastAsia" w:ascii="宋体" w:hAnsi="宋体" w:eastAsia="宋体" w:cs="宋体"/>
          <w:sz w:val="24"/>
        </w:rPr>
        <w:t xml:space="preserve">联系人：汪立三  </w:t>
      </w:r>
    </w:p>
    <w:p>
      <w:pPr>
        <w:widowControl/>
        <w:spacing w:line="560" w:lineRule="exact"/>
        <w:ind w:firstLine="787"/>
        <w:jc w:val="left"/>
        <w:rPr>
          <w:rFonts w:ascii="宋体" w:hAnsi="宋体" w:eastAsia="宋体" w:cs="宋体"/>
          <w:sz w:val="24"/>
        </w:rPr>
      </w:pPr>
      <w:r>
        <w:rPr>
          <w:rFonts w:hint="eastAsia" w:ascii="宋体" w:hAnsi="宋体" w:eastAsia="宋体" w:cs="宋体"/>
          <w:sz w:val="24"/>
        </w:rPr>
        <w:t>联系方式：15850985878</w:t>
      </w:r>
    </w:p>
    <w:p>
      <w:pPr>
        <w:widowControl/>
        <w:spacing w:line="560" w:lineRule="exact"/>
        <w:ind w:firstLine="480"/>
        <w:jc w:val="left"/>
        <w:rPr>
          <w:rFonts w:ascii="宋体" w:hAnsi="宋体" w:eastAsia="宋体" w:cs="宋体"/>
          <w:sz w:val="24"/>
        </w:rPr>
      </w:pPr>
      <w:r>
        <w:rPr>
          <w:rFonts w:hint="eastAsia" w:ascii="宋体" w:hAnsi="宋体" w:eastAsia="宋体" w:cs="宋体"/>
          <w:sz w:val="24"/>
        </w:rPr>
        <w:t>2.</w:t>
      </w:r>
      <w:bookmarkEnd w:id="52"/>
      <w:bookmarkEnd w:id="53"/>
      <w:r>
        <w:rPr>
          <w:rFonts w:hint="eastAsia" w:ascii="宋体" w:hAnsi="宋体" w:eastAsia="宋体" w:cs="宋体"/>
          <w:sz w:val="24"/>
        </w:rPr>
        <w:t>采购代理机构信息</w:t>
      </w:r>
    </w:p>
    <w:p>
      <w:pPr>
        <w:spacing w:line="560" w:lineRule="exact"/>
        <w:ind w:left="479" w:firstLine="180"/>
        <w:jc w:val="left"/>
        <w:rPr>
          <w:rFonts w:ascii="宋体" w:hAnsi="宋体" w:eastAsia="宋体" w:cs="宋体"/>
          <w:sz w:val="24"/>
        </w:rPr>
      </w:pPr>
      <w:r>
        <w:rPr>
          <w:rFonts w:hint="eastAsia" w:ascii="宋体" w:hAnsi="宋体" w:eastAsia="宋体" w:cs="宋体"/>
          <w:sz w:val="24"/>
        </w:rPr>
        <w:t>名 称：</w:t>
      </w:r>
      <w:bookmarkStart w:id="54" w:name="EB428b58a0efec4a7f97890403ab826602"/>
      <w:r>
        <w:rPr>
          <w:rFonts w:hint="eastAsia" w:ascii="宋体" w:hAnsi="宋体" w:eastAsia="宋体" w:cs="宋体"/>
          <w:sz w:val="24"/>
        </w:rPr>
        <w:t>江苏鼎新工程咨询有限公司</w:t>
      </w:r>
      <w:bookmarkEnd w:id="54"/>
    </w:p>
    <w:p>
      <w:pPr>
        <w:spacing w:line="560" w:lineRule="exact"/>
        <w:ind w:firstLine="720"/>
        <w:rPr>
          <w:rFonts w:ascii="宋体" w:hAnsi="宋体" w:eastAsia="宋体" w:cs="宋体"/>
          <w:sz w:val="24"/>
        </w:rPr>
      </w:pPr>
      <w:r>
        <w:rPr>
          <w:rFonts w:hint="eastAsia" w:ascii="宋体" w:hAnsi="宋体" w:eastAsia="宋体" w:cs="宋体"/>
          <w:sz w:val="24"/>
        </w:rPr>
        <w:t>地　址：</w:t>
      </w:r>
      <w:bookmarkStart w:id="55" w:name="EB08225640f9de4100a05d495bb483e049"/>
      <w:r>
        <w:rPr>
          <w:rFonts w:hint="eastAsia" w:ascii="宋体" w:hAnsi="宋体" w:eastAsia="宋体" w:cs="宋体"/>
          <w:sz w:val="24"/>
        </w:rPr>
        <w:t>沭阳县东方名都 29 栋5号商铺</w:t>
      </w:r>
      <w:bookmarkEnd w:id="55"/>
    </w:p>
    <w:p>
      <w:pPr>
        <w:spacing w:line="560" w:lineRule="exact"/>
        <w:ind w:firstLine="720"/>
        <w:rPr>
          <w:rFonts w:ascii="宋体" w:hAnsi="宋体" w:eastAsia="宋体" w:cs="宋体"/>
          <w:sz w:val="24"/>
        </w:rPr>
      </w:pPr>
      <w:r>
        <w:rPr>
          <w:rFonts w:hint="eastAsia" w:ascii="宋体" w:hAnsi="宋体" w:eastAsia="宋体" w:cs="宋体"/>
          <w:sz w:val="24"/>
        </w:rPr>
        <w:t>联系人：</w:t>
      </w:r>
      <w:bookmarkStart w:id="56" w:name="EB7068699ee1d14b3e8880f7b644c54f05"/>
      <w:r>
        <w:rPr>
          <w:rFonts w:hint="eastAsia" w:ascii="宋体" w:hAnsi="宋体" w:eastAsia="宋体" w:cs="宋体"/>
          <w:sz w:val="24"/>
        </w:rPr>
        <w:t>韩桃</w:t>
      </w:r>
      <w:bookmarkEnd w:id="56"/>
    </w:p>
    <w:p>
      <w:pPr>
        <w:spacing w:line="560" w:lineRule="exact"/>
        <w:ind w:firstLine="720"/>
        <w:rPr>
          <w:rFonts w:ascii="宋体" w:hAnsi="宋体" w:eastAsia="宋体" w:cs="宋体"/>
          <w:sz w:val="24"/>
        </w:rPr>
      </w:pPr>
      <w:r>
        <w:rPr>
          <w:rFonts w:hint="eastAsia" w:ascii="宋体" w:hAnsi="宋体" w:eastAsia="宋体" w:cs="宋体"/>
          <w:sz w:val="24"/>
        </w:rPr>
        <w:t>联系方式：</w:t>
      </w:r>
      <w:bookmarkStart w:id="57" w:name="_Toc28359010"/>
      <w:bookmarkStart w:id="58" w:name="_Toc28359087"/>
      <w:r>
        <w:rPr>
          <w:rFonts w:hint="eastAsia" w:ascii="宋体" w:hAnsi="宋体" w:eastAsia="宋体" w:cs="宋体"/>
          <w:sz w:val="24"/>
        </w:rPr>
        <w:t>15105244198</w:t>
      </w:r>
      <w:bookmarkEnd w:id="57"/>
      <w:bookmarkEnd w:id="58"/>
    </w:p>
    <w:p>
      <w:pPr>
        <w:spacing w:line="480" w:lineRule="exact"/>
        <w:ind w:firstLine="2640"/>
        <w:outlineLvl w:val="0"/>
        <w:rPr>
          <w:rFonts w:ascii="Calibri" w:hAnsi="Calibri" w:eastAsia="黑体" w:cs="Times New Roman"/>
          <w:sz w:val="44"/>
          <w:szCs w:val="22"/>
        </w:rPr>
      </w:pPr>
      <w:bookmarkStart w:id="59" w:name="_Toc81575153"/>
      <w:bookmarkStart w:id="60" w:name="_Toc11687"/>
      <w:bookmarkStart w:id="61" w:name="_Toc81575190"/>
      <w:bookmarkStart w:id="62" w:name="_Toc15265"/>
      <w:bookmarkStart w:id="63" w:name="_Toc9425"/>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p>
    <w:p>
      <w:pPr>
        <w:spacing w:line="480" w:lineRule="exact"/>
        <w:ind w:firstLine="2640"/>
        <w:outlineLvl w:val="0"/>
        <w:rPr>
          <w:rFonts w:hint="eastAsia" w:ascii="Calibri" w:hAnsi="Calibri" w:eastAsia="黑体" w:cs="Times New Roman"/>
          <w:sz w:val="44"/>
          <w:szCs w:val="22"/>
        </w:rPr>
      </w:pPr>
    </w:p>
    <w:p>
      <w:pPr>
        <w:spacing w:line="480" w:lineRule="exact"/>
        <w:ind w:firstLine="2640"/>
        <w:outlineLvl w:val="0"/>
        <w:rPr>
          <w:rFonts w:ascii="Calibri" w:hAnsi="Calibri" w:eastAsia="黑体" w:cs="Times New Roman"/>
          <w:sz w:val="44"/>
          <w:szCs w:val="22"/>
        </w:rPr>
      </w:pPr>
      <w:r>
        <w:rPr>
          <w:rFonts w:hint="eastAsia" w:ascii="Calibri" w:hAnsi="Calibri" w:eastAsia="黑体" w:cs="Times New Roman"/>
          <w:sz w:val="44"/>
          <w:szCs w:val="22"/>
        </w:rPr>
        <w:t>第二章  投标人须知</w:t>
      </w:r>
      <w:bookmarkEnd w:id="59"/>
      <w:bookmarkEnd w:id="60"/>
      <w:bookmarkEnd w:id="61"/>
      <w:bookmarkEnd w:id="62"/>
      <w:bookmarkEnd w:id="63"/>
    </w:p>
    <w:p>
      <w:pPr>
        <w:keepNext/>
        <w:keepLines/>
        <w:spacing w:after="120" w:line="520" w:lineRule="exact"/>
        <w:outlineLvl w:val="1"/>
        <w:rPr>
          <w:rFonts w:ascii="Arial" w:hAnsi="Arial" w:eastAsia="宋体" w:cs="Arial"/>
          <w:b/>
          <w:bCs/>
          <w:sz w:val="32"/>
          <w:szCs w:val="22"/>
        </w:rPr>
      </w:pPr>
      <w:bookmarkStart w:id="64" w:name="_Toc4529"/>
      <w:r>
        <w:rPr>
          <w:rFonts w:hint="eastAsia" w:ascii="Arial" w:hAnsi="Arial" w:eastAsia="宋体" w:cs="Arial"/>
          <w:b/>
          <w:bCs/>
          <w:sz w:val="32"/>
          <w:szCs w:val="22"/>
        </w:rPr>
        <w:t>投标人须知前附表：</w:t>
      </w:r>
      <w:bookmarkEnd w:id="64"/>
    </w:p>
    <w:tbl>
      <w:tblPr>
        <w:tblStyle w:val="31"/>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pPr>
              <w:jc w:val="center"/>
              <w:rPr>
                <w:rFonts w:ascii="仿宋_GB2312" w:hAnsi="仿宋" w:eastAsia="宋体" w:cs="Times New Roman"/>
                <w:b/>
                <w:sz w:val="24"/>
              </w:rPr>
            </w:pPr>
            <w:bookmarkStart w:id="65" w:name="_Toc81575191"/>
            <w:bookmarkStart w:id="66" w:name="_Toc29262"/>
            <w:bookmarkStart w:id="67" w:name="_Toc81575154"/>
            <w:r>
              <w:rPr>
                <w:rFonts w:hint="eastAsia" w:ascii="仿宋_GB2312" w:hAnsi="仿宋" w:eastAsia="宋体" w:cs="Times New Roman"/>
                <w:b/>
                <w:sz w:val="24"/>
              </w:rPr>
              <w:t>序号</w:t>
            </w:r>
          </w:p>
        </w:tc>
        <w:tc>
          <w:tcPr>
            <w:tcW w:w="1772" w:type="dxa"/>
            <w:noWrap w:val="0"/>
            <w:vAlign w:val="center"/>
          </w:tcPr>
          <w:p>
            <w:pPr>
              <w:jc w:val="center"/>
              <w:rPr>
                <w:rFonts w:ascii="仿宋_GB2312" w:hAnsi="仿宋" w:eastAsia="宋体" w:cs="Times New Roman"/>
                <w:b/>
                <w:sz w:val="24"/>
              </w:rPr>
            </w:pPr>
            <w:r>
              <w:rPr>
                <w:rFonts w:hint="eastAsia" w:ascii="仿宋_GB2312" w:hAnsi="仿宋" w:eastAsia="宋体" w:cs="Times New Roman"/>
                <w:b/>
                <w:sz w:val="24"/>
              </w:rPr>
              <w:t>内容</w:t>
            </w:r>
          </w:p>
        </w:tc>
        <w:tc>
          <w:tcPr>
            <w:tcW w:w="6579" w:type="dxa"/>
            <w:noWrap w:val="0"/>
            <w:vAlign w:val="center"/>
          </w:tcPr>
          <w:p>
            <w:pPr>
              <w:jc w:val="center"/>
              <w:rPr>
                <w:rFonts w:ascii="仿宋_GB2312" w:hAnsi="仿宋" w:eastAsia="宋体" w:cs="Times New Roman"/>
                <w:b/>
                <w:sz w:val="24"/>
              </w:rPr>
            </w:pPr>
            <w:r>
              <w:rPr>
                <w:rFonts w:hint="eastAsia" w:ascii="仿宋_GB2312" w:hAnsi="仿宋" w:eastAsia="宋体" w:cs="Times New Roman"/>
                <w:b/>
                <w:sz w:val="24"/>
              </w:rPr>
              <w:t>说明及要求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1</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项目属性</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本项目</w:t>
            </w:r>
            <w:bookmarkStart w:id="68" w:name="EB9a5853ee094f4f0ea6ec3169265f6f2c"/>
            <w:r>
              <w:rPr>
                <w:rFonts w:hint="eastAsia" w:ascii="Times New Roman" w:hAnsi="Times New Roman" w:eastAsia="宋体" w:cs="仿宋"/>
                <w:sz w:val="24"/>
              </w:rPr>
              <w:t>属性按以下第</w:t>
            </w:r>
            <w:bookmarkEnd w:id="68"/>
            <w:r>
              <w:rPr>
                <w:rFonts w:hint="eastAsia" w:ascii="Times New Roman" w:hAnsi="Times New Roman" w:eastAsia="宋体" w:cs="仿宋"/>
                <w:sz w:val="24"/>
                <w:u w:val="single"/>
              </w:rPr>
              <w:t>2</w:t>
            </w:r>
            <w:r>
              <w:rPr>
                <w:rFonts w:hint="eastAsia" w:ascii="Times New Roman" w:hAnsi="Times New Roman" w:eastAsia="宋体" w:cs="仿宋"/>
                <w:sz w:val="24"/>
              </w:rPr>
              <w:t>种确定：</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1.货物</w:t>
            </w:r>
            <w:bookmarkStart w:id="69" w:name="EBd5c6c026f9674c39b21b31ecd0c1e7fa"/>
            <w:r>
              <w:rPr>
                <w:rFonts w:hint="eastAsia" w:ascii="Times New Roman" w:hAnsi="Times New Roman" w:eastAsia="宋体" w:cs="仿宋"/>
                <w:sz w:val="24"/>
              </w:rPr>
              <w:t>采购；2.</w:t>
            </w:r>
            <w:bookmarkEnd w:id="69"/>
            <w:r>
              <w:rPr>
                <w:rFonts w:hint="eastAsia" w:ascii="Times New Roman" w:hAnsi="Times New Roman" w:eastAsia="宋体" w:cs="仿宋"/>
                <w:sz w:val="24"/>
              </w:rPr>
              <w:t>服务</w:t>
            </w:r>
            <w:bookmarkStart w:id="70" w:name="EBf7d2a4f44ecb4166a93ea852e73be69f"/>
            <w:r>
              <w:rPr>
                <w:rFonts w:hint="eastAsia" w:ascii="Times New Roman" w:hAnsi="Times New Roman" w:eastAsia="宋体" w:cs="仿宋"/>
                <w:sz w:val="24"/>
              </w:rPr>
              <w:t>采购；3.</w:t>
            </w:r>
            <w:bookmarkEnd w:id="70"/>
            <w:r>
              <w:rPr>
                <w:rFonts w:hint="eastAsia" w:ascii="Times New Roman" w:hAnsi="Times New Roman" w:eastAsia="宋体" w:cs="仿宋"/>
                <w:sz w:val="24"/>
              </w:rPr>
              <w:t>工程采购。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2</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投标有效期</w:t>
            </w:r>
          </w:p>
        </w:tc>
        <w:tc>
          <w:tcPr>
            <w:tcW w:w="6579" w:type="dxa"/>
            <w:noWrap w:val="0"/>
            <w:vAlign w:val="center"/>
          </w:tcPr>
          <w:p>
            <w:pPr>
              <w:spacing w:line="400" w:lineRule="exact"/>
              <w:jc w:val="left"/>
              <w:rPr>
                <w:rFonts w:ascii="Times New Roman" w:hAnsi="Times New Roman" w:eastAsia="宋体" w:cs="仿宋"/>
                <w:sz w:val="24"/>
              </w:rPr>
            </w:pPr>
            <w:bookmarkStart w:id="71" w:name="EBd40b5fb42f2944a3b45e579ce3941f02"/>
            <w:bookmarkEnd w:id="71"/>
            <w:r>
              <w:rPr>
                <w:rFonts w:hint="eastAsia" w:ascii="Times New Roman" w:hAnsi="Times New Roman" w:eastAsia="宋体" w:cs="仿宋"/>
                <w:sz w:val="24"/>
              </w:rPr>
              <w:t>60日（从提交投标文件截止之日起算）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3</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投标文件份数</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提交加密电子投标文件</w:t>
            </w:r>
            <w:r>
              <w:rPr>
                <w:rFonts w:hint="eastAsia" w:ascii="Times New Roman" w:hAnsi="Times New Roman" w:eastAsia="宋体" w:cs="仿宋"/>
                <w:sz w:val="24"/>
                <w:u w:val="single"/>
              </w:rPr>
              <w:t>1</w:t>
            </w:r>
            <w:r>
              <w:rPr>
                <w:rFonts w:hint="eastAsia" w:ascii="Times New Roman" w:hAnsi="Times New Roman" w:eastAsia="宋体" w:cs="仿宋"/>
                <w:sz w:val="24"/>
              </w:rPr>
              <w:t>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4</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开标</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“苏采云”政府采购交易系统网上开标大厅进行不见面开标。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5</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进口产品</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按以下第</w:t>
            </w:r>
            <w:r>
              <w:rPr>
                <w:rFonts w:hint="eastAsia" w:ascii="Times New Roman" w:hAnsi="Times New Roman" w:eastAsia="宋体" w:cs="仿宋"/>
                <w:sz w:val="24"/>
                <w:u w:val="single"/>
              </w:rPr>
              <w:t>2</w:t>
            </w:r>
            <w:r>
              <w:rPr>
                <w:rFonts w:hint="eastAsia" w:ascii="Times New Roman" w:hAnsi="Times New Roman" w:eastAsia="宋体" w:cs="仿宋"/>
                <w:sz w:val="24"/>
              </w:rPr>
              <w:t>种方式确定：</w:t>
            </w:r>
          </w:p>
          <w:p>
            <w:pPr>
              <w:widowControl/>
              <w:spacing w:line="360" w:lineRule="exact"/>
              <w:jc w:val="left"/>
              <w:rPr>
                <w:rFonts w:ascii="Times New Roman" w:hAnsi="Times New Roman" w:eastAsia="宋体" w:cs="仿宋"/>
                <w:sz w:val="24"/>
              </w:rPr>
            </w:pPr>
            <w:r>
              <w:rPr>
                <w:rFonts w:hint="eastAsia" w:ascii="Times New Roman" w:hAnsi="Times New Roman" w:eastAsia="宋体" w:cs="仿宋"/>
                <w:sz w:val="24"/>
              </w:rPr>
              <w:t>1.接受进口产品。</w:t>
            </w:r>
            <w:r>
              <w:rPr>
                <w:rFonts w:hint="eastAsia" w:ascii="Times New Roman" w:hAnsi="Times New Roman" w:eastAsia="宋体" w:cs="仿宋"/>
                <w:sz w:val="24"/>
                <w:szCs w:val="22"/>
              </w:rPr>
              <w:t>应当符合《政府采购进口产品管理办法》（财库〔2007〕119号）、《关于政府采购进口产品管理有关问题的通知》（财办库〔2008〕248号）等相关规定</w:t>
            </w:r>
            <w:r>
              <w:rPr>
                <w:rFonts w:hint="eastAsia" w:ascii="Times New Roman" w:hAnsi="Times New Roman" w:eastAsia="宋体" w:cs="仿宋"/>
                <w:sz w:val="24"/>
              </w:rPr>
              <w:t>；</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2.不接受进口产品。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6</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评标办法</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具体评标办法详见招标文件第三章。</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评标委员会依据招标文件规定的评标办法和标准推荐</w:t>
            </w:r>
            <w:r>
              <w:rPr>
                <w:rFonts w:hint="eastAsia" w:ascii="Times New Roman" w:hAnsi="Times New Roman" w:eastAsia="宋体" w:cs="仿宋"/>
                <w:sz w:val="24"/>
                <w:u w:val="single"/>
              </w:rPr>
              <w:t>3</w:t>
            </w:r>
            <w:r>
              <w:rPr>
                <w:rFonts w:hint="eastAsia" w:ascii="Times New Roman" w:hAnsi="Times New Roman" w:eastAsia="宋体" w:cs="仿宋"/>
                <w:sz w:val="24"/>
              </w:rPr>
              <w:t>名中标候选人。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7</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确定中标人</w:t>
            </w:r>
          </w:p>
        </w:tc>
        <w:tc>
          <w:tcPr>
            <w:tcW w:w="6579" w:type="dxa"/>
            <w:noWrap w:val="0"/>
            <w:vAlign w:val="center"/>
          </w:tcPr>
          <w:p>
            <w:pPr>
              <w:spacing w:line="400" w:lineRule="exact"/>
              <w:jc w:val="left"/>
              <w:rPr>
                <w:rFonts w:ascii="Times New Roman" w:hAnsi="Times New Roman" w:eastAsia="宋体" w:cs="仿宋"/>
                <w:sz w:val="24"/>
              </w:rPr>
            </w:pPr>
            <w:r>
              <w:rPr>
                <w:rFonts w:hint="eastAsia" w:ascii="Times New Roman" w:hAnsi="Times New Roman" w:eastAsia="宋体" w:cs="仿宋"/>
                <w:sz w:val="24"/>
              </w:rPr>
              <w:t>按以下第</w:t>
            </w:r>
            <w:r>
              <w:rPr>
                <w:rFonts w:hint="eastAsia" w:ascii="Times New Roman" w:hAnsi="Times New Roman" w:eastAsia="宋体" w:cs="仿宋"/>
                <w:sz w:val="24"/>
                <w:u w:val="single"/>
              </w:rPr>
              <w:t>2</w:t>
            </w:r>
            <w:r>
              <w:rPr>
                <w:rFonts w:hint="eastAsia" w:ascii="Times New Roman" w:hAnsi="Times New Roman" w:eastAsia="宋体" w:cs="仿宋"/>
                <w:sz w:val="24"/>
              </w:rPr>
              <w:t>种方式确定中标人：</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1.采购人按规定在评标委员会推荐的中标候选人中确定中标人；</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2.采购人授权评标委员会直接确定中标人。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8</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分包要求</w:t>
            </w:r>
          </w:p>
        </w:tc>
        <w:tc>
          <w:tcPr>
            <w:tcW w:w="6579" w:type="dxa"/>
            <w:noWrap w:val="0"/>
            <w:vAlign w:val="center"/>
          </w:tcPr>
          <w:p>
            <w:pPr>
              <w:spacing w:line="400" w:lineRule="exact"/>
              <w:jc w:val="left"/>
              <w:rPr>
                <w:rFonts w:ascii="Times New Roman" w:hAnsi="Times New Roman" w:eastAsia="宋体" w:cs="仿宋"/>
                <w:sz w:val="24"/>
              </w:rPr>
            </w:pPr>
            <w:bookmarkStart w:id="72" w:name="EBebac1462c5d9459fbda8a75065c2455d"/>
            <w:r>
              <w:rPr>
                <w:rFonts w:hint="eastAsia" w:ascii="Times New Roman" w:hAnsi="Times New Roman" w:eastAsia="宋体" w:cs="仿宋"/>
                <w:sz w:val="24"/>
              </w:rPr>
              <w:t>本项目的非主体、非关键性工作是否允许分包</w:t>
            </w:r>
            <w:bookmarkEnd w:id="72"/>
            <w:r>
              <w:rPr>
                <w:rFonts w:hint="eastAsia" w:ascii="Times New Roman" w:hAnsi="Times New Roman" w:eastAsia="宋体" w:cs="仿宋"/>
                <w:sz w:val="24"/>
              </w:rPr>
              <w:t>按以下第</w:t>
            </w:r>
            <w:r>
              <w:rPr>
                <w:rFonts w:hint="eastAsia" w:ascii="Times New Roman" w:hAnsi="Times New Roman" w:eastAsia="宋体" w:cs="仿宋"/>
                <w:sz w:val="24"/>
                <w:u w:val="single"/>
              </w:rPr>
              <w:t>  2  </w:t>
            </w:r>
            <w:r>
              <w:rPr>
                <w:rFonts w:hint="eastAsia" w:ascii="Times New Roman" w:hAnsi="Times New Roman" w:eastAsia="宋体" w:cs="仿宋"/>
                <w:sz w:val="24"/>
              </w:rPr>
              <w:t>种方式确定：</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1.允许分包，</w:t>
            </w:r>
            <w:bookmarkStart w:id="73" w:name="EB512ba06683724173802e2aae54a26079"/>
            <w:r>
              <w:rPr>
                <w:rFonts w:hint="eastAsia" w:ascii="Times New Roman" w:hAnsi="Times New Roman" w:eastAsia="宋体" w:cs="仿宋"/>
                <w:sz w:val="24"/>
              </w:rPr>
              <w:t>允许大中型企业向一家或者多家小微企业分包，分包具体内容、金额或比例：</w:t>
            </w:r>
            <w:bookmarkEnd w:id="73"/>
            <w:r>
              <w:rPr>
                <w:rFonts w:hint="eastAsia" w:ascii="Times New Roman" w:hAnsi="Times New Roman" w:eastAsia="宋体" w:cs="仿宋"/>
                <w:sz w:val="24"/>
              </w:rPr>
              <w:t>无</w:t>
            </w:r>
          </w:p>
          <w:p>
            <w:pPr>
              <w:spacing w:line="400" w:lineRule="exact"/>
              <w:jc w:val="left"/>
              <w:rPr>
                <w:rFonts w:ascii="Times New Roman" w:hAnsi="Times New Roman" w:eastAsia="宋体" w:cs="仿宋"/>
                <w:sz w:val="24"/>
              </w:rPr>
            </w:pPr>
            <w:r>
              <w:rPr>
                <w:rFonts w:hint="eastAsia" w:ascii="Times New Roman" w:hAnsi="Times New Roman" w:eastAsia="宋体" w:cs="仿宋"/>
                <w:sz w:val="24"/>
              </w:rPr>
              <w:t>2.不允许分包。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9</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代理费用收取方式及标准</w:t>
            </w:r>
          </w:p>
        </w:tc>
        <w:tc>
          <w:tcPr>
            <w:tcW w:w="6579" w:type="dxa"/>
            <w:noWrap w:val="0"/>
            <w:vAlign w:val="center"/>
          </w:tcPr>
          <w:p>
            <w:pPr>
              <w:spacing w:line="400" w:lineRule="exact"/>
              <w:jc w:val="left"/>
              <w:rPr>
                <w:rFonts w:ascii="Times New Roman" w:hAnsi="Times New Roman" w:eastAsia="宋体" w:cs="仿宋"/>
                <w:sz w:val="24"/>
              </w:rPr>
            </w:pPr>
            <w:bookmarkStart w:id="74" w:name="EBfe735bb6fc4d4e5e9e350f940db98c5f"/>
            <w:bookmarkEnd w:id="74"/>
            <w:bookmarkStart w:id="75" w:name="EB494c0bc35e674ba8ba0c8d892ff35fa5"/>
            <w:r>
              <w:rPr>
                <w:rFonts w:hint="eastAsia" w:ascii="宋体" w:hAnsi="宋体" w:eastAsia="宋体" w:cs="宋体"/>
                <w:sz w:val="24"/>
                <w:szCs w:val="21"/>
                <w:lang w:val="zh-CN"/>
              </w:rPr>
              <w:t>依据</w:t>
            </w:r>
            <w:r>
              <w:rPr>
                <w:rFonts w:hint="eastAsia" w:ascii="Times New Roman" w:hAnsi="Times New Roman" w:eastAsia="宋体" w:cs="Times New Roman"/>
                <w:sz w:val="24"/>
                <w:szCs w:val="21"/>
                <w:lang w:val="zh-CN"/>
              </w:rPr>
              <w:t>按照苏招协【2022】002号文件规定标准向采购代理机构支付代理服务费；</w:t>
            </w:r>
            <w:r>
              <w:rPr>
                <w:rFonts w:hint="eastAsia" w:ascii="Times New Roman" w:hAnsi="Times New Roman" w:eastAsia="宋体" w:cs="Times New Roman"/>
                <w:sz w:val="24"/>
                <w:szCs w:val="21"/>
              </w:rPr>
              <w:t>支持</w:t>
            </w:r>
            <w:r>
              <w:rPr>
                <w:rFonts w:hint="eastAsia" w:ascii="Times New Roman" w:hAnsi="Times New Roman" w:eastAsia="宋体" w:cs="Times New Roman"/>
                <w:sz w:val="24"/>
                <w:szCs w:val="21"/>
                <w:lang w:val="zh-CN"/>
              </w:rPr>
              <w:t>数字人民币方式</w:t>
            </w:r>
            <w:r>
              <w:rPr>
                <w:rFonts w:hint="eastAsia" w:ascii="Times New Roman" w:hAnsi="Times New Roman" w:eastAsia="宋体" w:cs="Times New Roman"/>
                <w:sz w:val="24"/>
                <w:szCs w:val="21"/>
              </w:rPr>
              <w:t>支付</w:t>
            </w:r>
            <w:r>
              <w:rPr>
                <w:rFonts w:hint="eastAsia" w:ascii="Times New Roman" w:hAnsi="Times New Roman" w:eastAsia="宋体" w:cs="仿宋"/>
                <w:sz w:val="24"/>
              </w:rPr>
              <w:t>。</w:t>
            </w:r>
            <w:bookmarkEnd w:id="7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10</w:t>
            </w:r>
          </w:p>
        </w:tc>
        <w:tc>
          <w:tcPr>
            <w:tcW w:w="1772" w:type="dxa"/>
            <w:noWrap w:val="0"/>
            <w:vAlign w:val="center"/>
          </w:tcPr>
          <w:p>
            <w:pPr>
              <w:spacing w:line="400" w:lineRule="exact"/>
              <w:jc w:val="center"/>
              <w:rPr>
                <w:rFonts w:ascii="Times New Roman" w:hAnsi="Times New Roman" w:eastAsia="宋体" w:cs="仿宋"/>
                <w:sz w:val="24"/>
              </w:rPr>
            </w:pPr>
            <w:r>
              <w:rPr>
                <w:rFonts w:hint="eastAsia" w:ascii="Times New Roman" w:hAnsi="Times New Roman" w:eastAsia="宋体" w:cs="仿宋"/>
                <w:sz w:val="24"/>
              </w:rPr>
              <w:t>其他</w:t>
            </w:r>
            <w:bookmarkEnd w:id="65"/>
            <w:bookmarkEnd w:id="66"/>
            <w:bookmarkEnd w:id="67"/>
          </w:p>
        </w:tc>
        <w:tc>
          <w:tcPr>
            <w:tcW w:w="6579" w:type="dxa"/>
            <w:noWrap w:val="0"/>
            <w:vAlign w:val="center"/>
          </w:tcPr>
          <w:p>
            <w:pPr>
              <w:spacing w:line="400" w:lineRule="exact"/>
              <w:jc w:val="left"/>
              <w:rPr>
                <w:rFonts w:ascii="Times New Roman" w:hAnsi="Times New Roman" w:eastAsia="宋体" w:cs="Times New Roman"/>
                <w:sz w:val="24"/>
                <w:szCs w:val="21"/>
                <w:lang w:val="zh-CN"/>
              </w:rPr>
            </w:pPr>
            <w:r>
              <w:rPr>
                <w:rFonts w:hint="eastAsia" w:ascii="Times New Roman" w:hAnsi="Times New Roman" w:eastAsia="宋体" w:cs="Times New Roman"/>
                <w:sz w:val="24"/>
                <w:szCs w:val="21"/>
              </w:rPr>
              <w:t>1.</w:t>
            </w:r>
            <w:r>
              <w:rPr>
                <w:rFonts w:hint="eastAsia" w:ascii="Times New Roman" w:hAnsi="Times New Roman" w:eastAsia="宋体" w:cs="Times New Roman"/>
                <w:sz w:val="24"/>
                <w:szCs w:val="21"/>
                <w:lang w:val="zh-CN"/>
              </w:rPr>
              <w:t>信用信息查询截止时间：资格审查结束前。由采购人在资格审查现场查询信用信息，网页截屏打印，查询结果留存并归档。</w:t>
            </w:r>
          </w:p>
          <w:p>
            <w:pPr>
              <w:spacing w:line="400" w:lineRule="exact"/>
              <w:jc w:val="left"/>
              <w:rPr>
                <w:rFonts w:eastAsia="宋体"/>
              </w:rPr>
            </w:pPr>
            <w:r>
              <w:rPr>
                <w:rFonts w:hint="eastAsia" w:ascii="Times New Roman" w:hAnsi="Times New Roman" w:eastAsia="宋体" w:cs="Times New Roman"/>
                <w:sz w:val="24"/>
                <w:szCs w:val="21"/>
              </w:rPr>
              <w:t>2.本项目落实“关于推动解决政府采购异常低价问题的通知(苏财购(2026)36号)”文件规定。</w:t>
            </w:r>
          </w:p>
        </w:tc>
      </w:tr>
    </w:tbl>
    <w:p>
      <w:pPr>
        <w:rPr>
          <w:rFonts w:ascii="Calibri" w:hAnsi="Calibri" w:eastAsia="宋体" w:cs="Times New Roman"/>
          <w:sz w:val="20"/>
          <w:szCs w:val="22"/>
        </w:rPr>
      </w:pPr>
    </w:p>
    <w:p>
      <w:pPr>
        <w:keepNext/>
        <w:keepLines/>
        <w:spacing w:line="480" w:lineRule="exact"/>
        <w:ind w:firstLine="321"/>
        <w:outlineLvl w:val="1"/>
        <w:rPr>
          <w:rFonts w:ascii="Arial" w:hAnsi="Arial" w:eastAsia="宋体" w:cs="Arial"/>
          <w:b/>
          <w:bCs/>
          <w:sz w:val="32"/>
          <w:szCs w:val="22"/>
        </w:rPr>
      </w:pPr>
      <w:bookmarkStart w:id="76" w:name="EB6eaaf474639940df900ef4965d71f450"/>
      <w:bookmarkEnd w:id="76"/>
      <w:bookmarkStart w:id="77" w:name="_Toc8239"/>
      <w:bookmarkStart w:id="78" w:name="_Toc30953"/>
      <w:bookmarkStart w:id="79" w:name="_Toc81575192"/>
      <w:bookmarkStart w:id="80" w:name="_Toc81575155"/>
      <w:r>
        <w:rPr>
          <w:rFonts w:hint="eastAsia" w:ascii="Arial" w:hAnsi="Arial" w:eastAsia="宋体" w:cs="Arial"/>
          <w:b/>
          <w:bCs/>
          <w:sz w:val="32"/>
          <w:szCs w:val="22"/>
        </w:rPr>
        <w:t>一、总 则</w:t>
      </w:r>
      <w:bookmarkEnd w:id="77"/>
      <w:bookmarkEnd w:id="78"/>
      <w:bookmarkEnd w:id="79"/>
      <w:bookmarkEnd w:id="80"/>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1、招标方式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本次采购采取公开招标方式。</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2、合格的投标人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2.1合格的投标人必须符合招标文件第一章《投标邀请》第二条及投标人须知前附表相关规定，且具备完成本项目的能力，中标后不允许转包。</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2.2满足本文件实质性要求的规定。</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3、适用法律</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本次招标及由招标产生的合同受中华人民共和国的相关法律、法规制约和保护。</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4、投标费用</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投标人应自行承担所有参加投标有关的费用。</w:t>
      </w:r>
    </w:p>
    <w:p>
      <w:pPr>
        <w:keepNext/>
        <w:keepLines/>
        <w:spacing w:line="480" w:lineRule="exact"/>
        <w:ind w:firstLine="321"/>
        <w:outlineLvl w:val="1"/>
        <w:rPr>
          <w:rFonts w:ascii="Arial" w:hAnsi="Arial" w:eastAsia="宋体" w:cs="Arial"/>
          <w:b/>
          <w:bCs/>
          <w:sz w:val="32"/>
          <w:szCs w:val="22"/>
        </w:rPr>
      </w:pPr>
      <w:bookmarkStart w:id="81" w:name="_Toc29306"/>
      <w:bookmarkStart w:id="82" w:name="_Toc15995"/>
      <w:bookmarkStart w:id="83" w:name="_Toc81575156"/>
      <w:bookmarkStart w:id="84" w:name="_Toc81575193"/>
      <w:r>
        <w:rPr>
          <w:rFonts w:hint="eastAsia" w:ascii="Arial" w:hAnsi="Arial" w:eastAsia="宋体" w:cs="Arial"/>
          <w:b/>
          <w:bCs/>
          <w:sz w:val="32"/>
          <w:szCs w:val="22"/>
        </w:rPr>
        <w:t>二、招标文件</w:t>
      </w:r>
      <w:bookmarkEnd w:id="81"/>
      <w:bookmarkEnd w:id="82"/>
      <w:bookmarkEnd w:id="83"/>
      <w:bookmarkEnd w:id="84"/>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5、招标文件构成</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5.1招标文件由以下部分组成：</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第一章：投标邀请；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第二章：投标人须知；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第三章：资格审查及评标办法；</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第四章：采购需求；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第五章：合同文本；</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第六章：投标文件格式。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请仔细检查招标文件是否齐全，如有缺漏请立即与代理机构联系解决。</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6、政府采购政策功能落实</w:t>
      </w:r>
    </w:p>
    <w:p>
      <w:pPr>
        <w:spacing w:line="480" w:lineRule="exact"/>
        <w:ind w:firstLine="482"/>
        <w:rPr>
          <w:rFonts w:ascii="Times New Roman" w:hAnsi="Times New Roman" w:eastAsia="宋体" w:cs="仿宋"/>
          <w:b/>
          <w:bCs/>
          <w:sz w:val="24"/>
          <w:szCs w:val="22"/>
          <w:u w:val="single"/>
        </w:rPr>
      </w:pPr>
      <w:r>
        <w:rPr>
          <w:rFonts w:hint="eastAsia" w:ascii="Times New Roman" w:hAnsi="Times New Roman" w:eastAsia="宋体" w:cs="仿宋"/>
          <w:b/>
          <w:bCs/>
          <w:sz w:val="24"/>
          <w:szCs w:val="22"/>
        </w:rPr>
        <w:t>本项目落实的政府采购政策对应序号为</w:t>
      </w:r>
      <w:r>
        <w:rPr>
          <w:rFonts w:hint="eastAsia" w:ascii="Times New Roman" w:hAnsi="Times New Roman" w:eastAsia="宋体" w:cs="仿宋"/>
          <w:b/>
          <w:bCs/>
          <w:sz w:val="24"/>
          <w:szCs w:val="22"/>
          <w:u w:val="single"/>
        </w:rPr>
        <w:t>6.1</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6.1中小企业政策</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本项目按第</w:t>
      </w:r>
      <w:r>
        <w:rPr>
          <w:rFonts w:hint="eastAsia" w:ascii="Times New Roman" w:hAnsi="Times New Roman" w:eastAsia="宋体" w:cs="仿宋"/>
          <w:sz w:val="24"/>
          <w:szCs w:val="22"/>
          <w:u w:val="single"/>
        </w:rPr>
        <w:t>（</w:t>
      </w:r>
      <w:r>
        <w:rPr>
          <w:rFonts w:hint="eastAsia" w:ascii="Times New Roman" w:hAnsi="Times New Roman" w:eastAsia="宋体" w:cs="仿宋"/>
          <w:sz w:val="24"/>
          <w:szCs w:val="22"/>
          <w:u w:val="single"/>
          <w:lang w:val="en-US" w:eastAsia="zh-CN"/>
        </w:rPr>
        <w:t>2</w:t>
      </w:r>
      <w:r>
        <w:rPr>
          <w:rFonts w:hint="eastAsia" w:ascii="Times New Roman" w:hAnsi="Times New Roman" w:eastAsia="宋体" w:cs="仿宋"/>
          <w:sz w:val="24"/>
          <w:szCs w:val="22"/>
          <w:u w:val="single"/>
        </w:rPr>
        <w:t>）</w:t>
      </w:r>
      <w:r>
        <w:rPr>
          <w:rFonts w:hint="eastAsia" w:ascii="Times New Roman" w:hAnsi="Times New Roman" w:eastAsia="宋体" w:cs="仿宋"/>
          <w:sz w:val="24"/>
          <w:szCs w:val="22"/>
        </w:rPr>
        <w:t>种政策落实：</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（1）本项目专门面向中小企业（含监狱与戒毒企业、残疾人福利企业）采购。</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（2）对符合规定情形的小微企业报价给予</w:t>
      </w:r>
      <w:r>
        <w:rPr>
          <w:rFonts w:hint="eastAsia" w:ascii="Times New Roman" w:hAnsi="Times New Roman" w:eastAsia="宋体" w:cs="仿宋"/>
          <w:sz w:val="24"/>
          <w:szCs w:val="22"/>
          <w:u w:val="single"/>
          <w:lang w:val="en-US" w:eastAsia="zh-CN"/>
        </w:rPr>
        <w:t>10</w:t>
      </w:r>
      <w:r>
        <w:rPr>
          <w:rFonts w:hint="eastAsia" w:ascii="Times New Roman" w:hAnsi="Times New Roman" w:eastAsia="宋体" w:cs="仿宋"/>
          <w:sz w:val="24"/>
          <w:szCs w:val="22"/>
          <w:u w:val="single"/>
        </w:rPr>
        <w:t>%</w:t>
      </w:r>
      <w:r>
        <w:rPr>
          <w:rFonts w:hint="eastAsia" w:ascii="Times New Roman" w:hAnsi="Times New Roman" w:eastAsia="宋体" w:cs="仿宋"/>
          <w:sz w:val="24"/>
          <w:szCs w:val="22"/>
        </w:rPr>
        <w:t>扣除，用扣除后的价格参加评审。</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在服务采购项目中，服务由中小企业承接，即提供服务的人员为中小企业依照《中华人民共和国劳动合同法》订立劳动合同的从业人员。</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_GB2312"/>
          <w:sz w:val="24"/>
          <w:szCs w:val="22"/>
        </w:rPr>
        <w:t>在货物采购项目中，货物由中小企业制造，即货物由中小企业生产且使用该中小企业商号或者注册商标。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注：①参加投标的中小企业，应当按照《政府采购促进中小企业发展管理办法》（财库〔2020〕46号）规定，出具《中小企业声明函》，中小企业划型依据《关于印发中小企业划型标准规定的通知》（工信部联企业〔2011〕300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sz w:val="24"/>
          <w:szCs w:val="22"/>
          <w:u w:val="single"/>
        </w:rPr>
        <w:t>5</w:t>
      </w:r>
      <w:r>
        <w:rPr>
          <w:rFonts w:hint="eastAsia" w:ascii="Times New Roman" w:hAnsi="Times New Roman" w:eastAsia="宋体" w:cs="仿宋"/>
          <w:sz w:val="24"/>
          <w:szCs w:val="22"/>
        </w:rPr>
        <w:t>%（工程项目为</w:t>
      </w:r>
      <w:r>
        <w:rPr>
          <w:rFonts w:hint="eastAsia" w:ascii="Times New Roman" w:hAnsi="Times New Roman" w:eastAsia="宋体" w:cs="仿宋"/>
          <w:sz w:val="24"/>
          <w:szCs w:val="22"/>
          <w:u w:val="single"/>
        </w:rPr>
        <w:t>2</w:t>
      </w:r>
      <w:r>
        <w:rPr>
          <w:rFonts w:hint="eastAsia" w:ascii="Times New Roman" w:hAnsi="Times New Roman" w:eastAsia="宋体" w:cs="仿宋"/>
          <w:sz w:val="24"/>
          <w:szCs w:val="22"/>
        </w:rPr>
        <w:t>%）的扣除，用扣除后的价格参加评审。（是否接受联合体以“项目基本情况”相关内容为准，是否允许大中型企业向一家或者多家小微企业分包以“须知前附表”、“采购需求”相关内容为准。）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6.2节能产品、环境标志产品</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拟采购的产品属于品目清单范围的，采购人将依据国家确定的认证机构出具的、处于有效期之内的节能产品、环境标志产品认证证书，对获得证书的产品实施政府优先采购或强制采购。</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6.2.1拟采购的产品属于政府强制采购的节能产品品目清单范围的，投标人须提供国家确定的认证机构出具的、处于有效期之内的节能产品认证证书，否则其投标文件作无效标处理。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6.2.2采购人拟采购的产品属于优先采购的节能环保品目清单范围的，按以下条件优先采购：</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采用综合评分法的项目，对提供有效节能环保证书的投标人加分。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采用最低评标价法的项目，同等条件下优先推荐提供有效节能环保证书多的投标人为中标人。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6.3政府采购需求标准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6.3.1商品包装、快递包装政府采购需求标准（试行）</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按照财政部印发的《商品包装政府采购需求标准（试行）》《快递包装政府采购需求标准（试行）》要求执行，本项目商品包装和快递包装的具体需求详见第四章采购需求。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6.3.2绿色数据中心政府采购需求标准（试行）</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按照财政部 生态环境部 工业和信息化部关于印发《绿色数据中心政府采购需求标准（试行）》的通知）要求执行，本项目绿色数据中心的具体需求详见第四章采购需求。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6.3.3绿色建材政府采购需求标准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按照财政部 住房和城乡建设部 工业和信息化部关于印发《关于扩大政府采购支持绿色建材促进建筑品质提升政策实施范围的通知》要求执行，本项目绿色建材的具体需求详见第四章采购需求。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7、招标文件的澄清或修改</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7.2招标文件的澄清、修改将在原公告媒体上发布更正公告，澄清、修改文件均作为招标文件的组成部分，并对投标人具有约束力。</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7.3投标人应及时登录“苏采云”系统获取澄清答疑文件（修改后的招标文件），如投标人未能及时下载澄清答疑文件，造成的相关责任由投标人承担。</w:t>
      </w:r>
    </w:p>
    <w:p>
      <w:pPr>
        <w:keepNext/>
        <w:keepLines/>
        <w:spacing w:line="480" w:lineRule="exact"/>
        <w:ind w:firstLine="321"/>
        <w:outlineLvl w:val="1"/>
        <w:rPr>
          <w:rFonts w:ascii="Arial" w:hAnsi="Arial" w:eastAsia="宋体" w:cs="Arial"/>
          <w:b/>
          <w:bCs/>
          <w:sz w:val="32"/>
          <w:szCs w:val="22"/>
        </w:rPr>
      </w:pPr>
      <w:bookmarkStart w:id="85" w:name="_Toc81575194"/>
      <w:bookmarkStart w:id="86" w:name="_Toc5574"/>
      <w:bookmarkStart w:id="87" w:name="_Toc11461"/>
      <w:bookmarkStart w:id="88" w:name="_Toc81575157"/>
      <w:r>
        <w:rPr>
          <w:rFonts w:hint="eastAsia" w:ascii="Arial" w:hAnsi="Arial" w:eastAsia="宋体" w:cs="Arial"/>
          <w:b/>
          <w:bCs/>
          <w:sz w:val="32"/>
          <w:szCs w:val="22"/>
        </w:rPr>
        <w:t>三、投标文件的编制</w:t>
      </w:r>
      <w:bookmarkEnd w:id="85"/>
      <w:bookmarkEnd w:id="86"/>
      <w:bookmarkEnd w:id="87"/>
      <w:bookmarkEnd w:id="88"/>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8、投标文件的编制要求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8.1投标人应仔细阅读“招标文件”的所有内容，保证所提供的全部资料的真实性、完整性及有效性，以使其投标对“招标文件”作出实质性响应。</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8.2投标文件要求加盖电子签章之处，应按要求加盖投标人数字证书的电子签章。其他需要盖章但未明确要求电子签章的，投标人可按要求加盖公章后上传材料电子件或直接加盖电子签章。</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9、投标文件构成</w:t>
      </w:r>
    </w:p>
    <w:p>
      <w:pPr>
        <w:spacing w:line="480" w:lineRule="exact"/>
        <w:ind w:firstLine="480"/>
        <w:rPr>
          <w:rFonts w:ascii="Times New Roman" w:hAnsi="Times New Roman" w:eastAsia="宋体" w:cs="仿宋"/>
          <w:bCs/>
          <w:sz w:val="24"/>
          <w:szCs w:val="22"/>
        </w:rPr>
      </w:pPr>
      <w:r>
        <w:rPr>
          <w:rFonts w:hint="eastAsia" w:ascii="Times New Roman" w:hAnsi="Times New Roman" w:eastAsia="宋体" w:cs="仿宋"/>
          <w:sz w:val="24"/>
          <w:szCs w:val="22"/>
        </w:rPr>
        <w:t>9.1投标文件包括资格证明文件、开标一览表、分项报价表、响应及偏离表、投标函、其他证明文件等部分。</w:t>
      </w:r>
      <w:r>
        <w:rPr>
          <w:rFonts w:hint="eastAsia" w:ascii="Times New Roman" w:hAnsi="Times New Roman" w:eastAsia="宋体" w:cs="仿宋"/>
          <w:bCs/>
          <w:sz w:val="24"/>
          <w:szCs w:val="22"/>
        </w:rPr>
        <w:t>投标文件构成资料为非中文时应提供中文译版。</w:t>
      </w:r>
      <w:bookmarkStart w:id="89" w:name="EBc50e2bb832bb43068403b10c1cce6141"/>
    </w:p>
    <w:p>
      <w:pPr>
        <w:spacing w:line="480" w:lineRule="exact"/>
        <w:ind w:firstLine="482"/>
        <w:rPr>
          <w:rFonts w:ascii="Times New Roman" w:hAnsi="Times New Roman" w:eastAsia="宋体" w:cs="仿宋"/>
          <w:bCs/>
          <w:sz w:val="24"/>
          <w:szCs w:val="22"/>
        </w:rPr>
      </w:pPr>
      <w:r>
        <w:rPr>
          <w:rFonts w:hint="eastAsia" w:ascii="Times New Roman" w:hAnsi="Times New Roman" w:eastAsia="宋体" w:cs="仿宋"/>
          <w:b/>
          <w:sz w:val="24"/>
          <w:szCs w:val="22"/>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9"/>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10、投标报价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10.1报价为一次报价，本项目不接受备选的投标方案或有选择的报价，只允许有一个报价。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10.2报价注意事项：投标价格一律以人民币计算，以元为单位标注，最多保留至小数点后两位，招标文件有规定的按招标文件执行。</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11、投标保证金</w:t>
      </w:r>
      <w:bookmarkStart w:id="90" w:name="EB183a0bf075204c54a4ff090f1aecaaa7"/>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本项目不收取投标保证金。</w:t>
      </w:r>
      <w:bookmarkEnd w:id="90"/>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12、投标有效期</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12.1在投标人须知前附表规定的投标有效期内，投标有效期从提交投标文件的截止之日起算。投标有效期比规定短的将被视为未实质性响应招标文件。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pPr>
        <w:keepNext/>
        <w:keepLines/>
        <w:spacing w:line="480" w:lineRule="exact"/>
        <w:ind w:firstLine="321"/>
        <w:outlineLvl w:val="1"/>
        <w:rPr>
          <w:rFonts w:ascii="Arial" w:hAnsi="Arial" w:eastAsia="宋体" w:cs="Arial"/>
          <w:b/>
          <w:bCs/>
          <w:sz w:val="32"/>
          <w:szCs w:val="22"/>
        </w:rPr>
      </w:pPr>
      <w:bookmarkStart w:id="91" w:name="_Toc81575195"/>
      <w:bookmarkStart w:id="92" w:name="_Toc23443"/>
      <w:bookmarkStart w:id="93" w:name="_Toc2773"/>
      <w:bookmarkStart w:id="94" w:name="_Toc81575158"/>
      <w:r>
        <w:rPr>
          <w:rFonts w:hint="eastAsia" w:ascii="Arial" w:hAnsi="Arial" w:eastAsia="宋体" w:cs="Arial"/>
          <w:b/>
          <w:bCs/>
          <w:sz w:val="32"/>
          <w:szCs w:val="22"/>
        </w:rPr>
        <w:t>四、投标文件的提交</w:t>
      </w:r>
      <w:bookmarkEnd w:id="91"/>
      <w:bookmarkEnd w:id="92"/>
      <w:bookmarkEnd w:id="93"/>
      <w:bookmarkEnd w:id="94"/>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13、投标文件的提交</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13.1投标人应在招标文件规定的投标截止时间前提交投标文件并将电子投标文件上传至“苏采云”系统对应的本次开标采购包中。除招标文件另有规定外，投标人所提交的投标文件不予退还。</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13.2投标文件的修改和撤回：在投标截止时间前，投标人可以撤回或重新提交投标文件。投标文件以最终完成上传的为准。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13.3采购人、采购代理机构可以通过修改招标文件酌情延长投标文件接收截止日期，在此情况下，投标人的所有权利和义务以及投标人受制约的截止日期均应以延长后新的截止日期为准。</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14、投标文件被拒绝接收的情形</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在招标文件规定的投标截止时间后上传的投标文件或对投标报价或其他实质性内容修正的文件。</w:t>
      </w:r>
    </w:p>
    <w:p>
      <w:pPr>
        <w:keepNext/>
        <w:keepLines/>
        <w:spacing w:line="520" w:lineRule="exact"/>
        <w:ind w:firstLine="321"/>
        <w:outlineLvl w:val="1"/>
        <w:rPr>
          <w:rFonts w:ascii="Arial" w:hAnsi="Arial" w:eastAsia="宋体" w:cs="Arial"/>
          <w:b/>
          <w:bCs/>
          <w:sz w:val="32"/>
          <w:szCs w:val="22"/>
        </w:rPr>
      </w:pPr>
      <w:bookmarkStart w:id="95" w:name="_Toc20026"/>
      <w:bookmarkStart w:id="96" w:name="_Toc81575197"/>
      <w:bookmarkStart w:id="97" w:name="_Toc81575160"/>
      <w:bookmarkStart w:id="98" w:name="_Toc959"/>
      <w:r>
        <w:rPr>
          <w:rFonts w:hint="eastAsia" w:ascii="Arial" w:hAnsi="Arial" w:eastAsia="宋体" w:cs="Arial"/>
          <w:b/>
          <w:bCs/>
          <w:sz w:val="32"/>
          <w:szCs w:val="22"/>
        </w:rPr>
        <w:t>五、开标、评标程序</w:t>
      </w:r>
      <w:bookmarkEnd w:id="95"/>
      <w:bookmarkEnd w:id="96"/>
      <w:bookmarkEnd w:id="97"/>
      <w:bookmarkEnd w:id="98"/>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15、开标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15.1采购代理机构将在招标公告中规定的时间和地点组织公开开标。投标人应当按照《操作手册》规定，参加开标活动，在“苏采云”系统规定的时间内对投标文件解密。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15.2开标仪式由采购代理机构组织。“苏采云”系统将自动对项目进行开标，并宣布各投标人名称和投标价格。</w:t>
      </w:r>
    </w:p>
    <w:p>
      <w:pPr>
        <w:spacing w:line="480" w:lineRule="exact"/>
        <w:ind w:firstLine="482"/>
        <w:rPr>
          <w:rFonts w:ascii="Times New Roman" w:hAnsi="Times New Roman" w:eastAsia="宋体" w:cs="仿宋"/>
          <w:b/>
          <w:bCs/>
          <w:sz w:val="24"/>
          <w:szCs w:val="22"/>
        </w:rPr>
      </w:pPr>
      <w:r>
        <w:rPr>
          <w:rFonts w:hint="eastAsia" w:ascii="Times New Roman" w:hAnsi="Times New Roman" w:eastAsia="宋体" w:cs="仿宋"/>
          <w:b/>
          <w:bCs/>
          <w:sz w:val="24"/>
          <w:szCs w:val="22"/>
        </w:rPr>
        <w:t>15.3投标人用于解密的CA证书应为该投标文件生成加密、上传的同一把CA证书。投标人应登录“苏采云”系统进入“开标大厅”，在系统约定时间内使用CA证书解密，未成功解密的视为放弃投标。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15.4投标人如果对开标过程和开标记录有疑义，应当根据《操作手册》规定提出。如“苏采云”系统中《开标记录表》宣布后5分钟内未提出的，视同认可开标结果。</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15.5投标人在开、评标全过程中应保持通讯畅通，及时登录“苏采云”系统查阅、答复相关信息。</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16、评标委员会</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17、评标程序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17.1资格审查</w:t>
      </w:r>
      <w:bookmarkStart w:id="99" w:name="EBa9c0a2c9e523494487594c65b2a92370"/>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开标结束后，采购人依法根据招标文件的规定对投标人的资格证明文件等进行审查。</w:t>
      </w:r>
      <w:bookmarkEnd w:id="99"/>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17.2符合性检查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17.2.1依据招标文件的规定，由评标委员会从投标文件的有效性、完整性和对招标文件的响应程度进行审查，以确定是否对招标文件的实质性要求作出响应。</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17.2.2在详细评标之前，评标委员会将首先审查每份投标文件是否实质性响应了招标文件的要求。实质性响应的投标应是与招标文件要求的全部条款、条件和规格相符，没有重大偏离的投标。</w:t>
      </w:r>
      <w:bookmarkStart w:id="100" w:name="EB1499356fad43416eb16398733accabf7"/>
      <w:r>
        <w:rPr>
          <w:rFonts w:hint="eastAsia" w:ascii="Times New Roman" w:hAnsi="Times New Roman" w:eastAsia="宋体" w:cs="仿宋"/>
          <w:sz w:val="24"/>
          <w:szCs w:val="22"/>
        </w:rPr>
        <w:t>所谓重大偏离是指投标人投标文件中所述设备质量、技术规格、数量、交货期、服务等明显不能满足招标文件要求。</w:t>
      </w:r>
      <w:bookmarkEnd w:id="100"/>
      <w:r>
        <w:rPr>
          <w:rFonts w:hint="eastAsia" w:ascii="Times New Roman" w:hAnsi="Times New Roman" w:eastAsia="宋体" w:cs="仿宋"/>
          <w:sz w:val="24"/>
          <w:szCs w:val="22"/>
        </w:rPr>
        <w:t>重大偏离的认定需经过评标委员会以少数服从多数的原则作出结论。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17.3未通过资格审查或符合性审查的投标人，采购代理机构将在“苏采云”系统中告知未通过资格审查或符合性审查的原因，评标结束后，采购代理机构将不再告知未通过资格审查或符合性审查的原因。</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17.4评标委员会判断投标文件的响应性，仅基于投标文件本身而不靠外部证据。对非实质性响应的投标文件，投标人不能通过修正或撤销不符之处，而使其成为实质性响应。</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17.5相同品牌产品投标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17.5.3非单一产品采购项目，采购人确定核心产品，并在招标文件中载明。多家投标人提供的核心产品品牌相同的，按前两款规定处理。</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17.6有关问题的澄清</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17.6.2投标文件报价出现前后不一致的，除招标文件另有规定外，按照下列规定修正：</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①投标文件中开标一览表（报价表）内容与投标文件中相应内容不一致的，以开标一览表（报价表）为准；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②大写金额和小写金额不一致的，以大写金额为准；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③单价金额小数点或者百分比有明显错位的，以开标一览表的总价为准，并修改单价；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④总价金额与按单价汇总金额不一致的，以单价金额计算结果为准。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同时出现两种以上不一致的，按照前款规定的顺序修正。</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17.6.3评标委员会将按上述修正错误的方法调整投标文件中的投标报价，并通过“苏采云”系统告知投标人，调整后的价格应对投标人具有约束力。投标人不接受修正后的价格，其投标将被拒绝。</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评标过程中，不得去掉报价中的最高报价和最低报价。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17.7比较</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评标委员会将按招标文件中规定的评标方法和标准，对符合性检查合格的投标文件进行商务和技术评比。</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17.8推荐中标候选人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评标委员会按照招标文件中规定的评标方法和标准推荐中标候选人。</w:t>
      </w:r>
    </w:p>
    <w:p>
      <w:pPr>
        <w:keepNext/>
        <w:keepLines/>
        <w:spacing w:line="480" w:lineRule="exact"/>
        <w:ind w:firstLine="321"/>
        <w:outlineLvl w:val="1"/>
        <w:rPr>
          <w:rFonts w:ascii="Arial" w:hAnsi="Arial" w:eastAsia="宋体" w:cs="Arial"/>
          <w:b/>
          <w:bCs/>
          <w:sz w:val="32"/>
          <w:szCs w:val="22"/>
        </w:rPr>
      </w:pPr>
      <w:bookmarkStart w:id="101" w:name="_Toc81575196"/>
      <w:bookmarkStart w:id="102" w:name="_Toc8712"/>
      <w:bookmarkStart w:id="103" w:name="_Toc8841"/>
      <w:bookmarkStart w:id="104" w:name="_Toc81575159"/>
      <w:r>
        <w:rPr>
          <w:rFonts w:hint="eastAsia" w:ascii="Arial" w:hAnsi="Arial" w:eastAsia="宋体" w:cs="Arial"/>
          <w:b/>
          <w:bCs/>
          <w:sz w:val="32"/>
          <w:szCs w:val="22"/>
        </w:rPr>
        <w:t>六、无效投标、废标、串通投标</w:t>
      </w:r>
      <w:bookmarkEnd w:id="101"/>
      <w:bookmarkEnd w:id="102"/>
      <w:bookmarkEnd w:id="103"/>
      <w:bookmarkEnd w:id="104"/>
      <w:r>
        <w:rPr>
          <w:rFonts w:hint="eastAsia" w:ascii="Arial" w:hAnsi="Arial" w:eastAsia="宋体" w:cs="Arial"/>
          <w:b/>
          <w:bCs/>
          <w:sz w:val="32"/>
          <w:szCs w:val="22"/>
        </w:rPr>
        <w:t>及取消中标候选人资格情形</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18、无效投标情形</w:t>
      </w:r>
    </w:p>
    <w:p>
      <w:pPr>
        <w:spacing w:line="480" w:lineRule="exact"/>
        <w:ind w:firstLine="480"/>
        <w:rPr>
          <w:rFonts w:ascii="Times New Roman" w:hAnsi="Times New Roman" w:eastAsia="宋体" w:cs="仿宋"/>
          <w:strike/>
          <w:sz w:val="24"/>
          <w:szCs w:val="22"/>
        </w:rPr>
      </w:pPr>
      <w:r>
        <w:rPr>
          <w:rFonts w:hint="eastAsia" w:ascii="Times New Roman" w:hAnsi="Times New Roman" w:eastAsia="宋体" w:cs="仿宋"/>
          <w:sz w:val="24"/>
          <w:szCs w:val="22"/>
        </w:rPr>
        <w:t>18.1投标人同一采购包提交两个（含两个）以上不同的投标报价的。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18.2投标人不符合招标文件规定资格要求的或未按规定提交资质证件的。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18.3投标人的报价超过了采购预算或最高限价的。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18.4投标文件未通过符合性审查的。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18.5投标文件出现重大偏离，不符合招标文件中规定的实质性要求的（★部分为实质性要求）。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18.6评标委员会认为投标人的报价明显低于其他通过符合性审查投标人的报价，有可能影响产品质量或者不能诚信履约的，且投标人不能在合理的时间内提供说明，证明其报价合理性的。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18.7投标文件未按照招标文件要求加盖CA电子公章的。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18.8投标人有本招标文件规定的恶意串通投标情形的。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18.9投标文件含有采购人不能接受的附加条件的。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18.10其他法律、法规及本招标文件规定的属无效投标的情形。</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19、废标情形</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19.1符合专业条件的投标人或者对招标文件作实质响应的投标人不足三家的。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19.2出现影响采购公正的违法、违规行为的。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19.3因重大变故，采购任务取消的。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19.4评标委员会认定招标文件存在歧义、重大缺陷导致评审工作无法进行的。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19.5在“苏采云”系统规定时间内成功解密电子投标文件的投标人不足3家的。</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20、投标人不足三家情形处理</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投标截止后投标人不足3家或者通过资格审查或符合性审查的投标人不足3家的，除采购任务取消情形外，按财政部令第87号第四十三条条款进行处理。</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21、串通投标情形</w:t>
      </w:r>
    </w:p>
    <w:p>
      <w:pPr>
        <w:spacing w:line="500" w:lineRule="exact"/>
        <w:ind w:firstLine="480"/>
        <w:rPr>
          <w:rFonts w:ascii="黑体" w:hAnsi="黑体" w:eastAsia="黑体" w:cs="Times New Roman"/>
          <w:sz w:val="24"/>
          <w:szCs w:val="22"/>
        </w:rPr>
      </w:pPr>
      <w:r>
        <w:rPr>
          <w:rFonts w:hint="eastAsia" w:ascii="黑体" w:hAnsi="黑体" w:eastAsia="黑体" w:cs="Times New Roman"/>
          <w:sz w:val="24"/>
          <w:szCs w:val="22"/>
        </w:rPr>
        <w:t>有下列情形之一的，属于恶意串通投标：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21.1供应商直接或间接从采购人或采购代理机构处获得其他供应商的投标情况，并修改其投标文件；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21.2评审活动开始前供应商直接或间接从采购人或采购代理机构处获得评标委员会组成人员情况；</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21.3供应商接受采购人或采购代理机构授意撤换、修改投标文件；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21.4供应商之间协商投标报价、技术方案等投标文件实质性内容；</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21.5属于同一集团、协会、商会等组织成员的供应商按照该组织要求协同投标；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21.6供应商之间事先约定由某一特定供应商中标、成交；</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21.7供应商之间商定部分供应商放弃投标或者放弃中标、成交；</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21.8供应商与采购人或采购代理机构之间、供应商相互之间为谋求特定供应商中标成交或者排斥其他供应商的其他串通行为；</w:t>
      </w:r>
    </w:p>
    <w:p>
      <w:pPr>
        <w:spacing w:line="500" w:lineRule="exact"/>
        <w:ind w:firstLine="482"/>
        <w:rPr>
          <w:rFonts w:ascii="黑体" w:hAnsi="黑体" w:eastAsia="黑体" w:cs="Times New Roman"/>
          <w:sz w:val="24"/>
          <w:szCs w:val="22"/>
        </w:rPr>
      </w:pPr>
      <w:r>
        <w:rPr>
          <w:rFonts w:hint="eastAsia" w:ascii="黑体" w:hAnsi="黑体" w:eastAsia="黑体" w:cs="Times New Roman"/>
          <w:sz w:val="24"/>
          <w:szCs w:val="22"/>
        </w:rPr>
        <w:t>有下列情形之一的，视为投标人串通投标，其投标无效：</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21.9不同投标人的投标文件由同一单位或者个人编制；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21.10不同投标人委托同一单位或者个人办理投标事宜；</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21.11不同投标人的投标文件载明的项目管理成员或者联系人员为同一人；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21.12不同投标人的投标文件异常一致或者投标报价呈规律性差异；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21.13不同投标人的投标文件相互混装；</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21.14不同投标人的投标保证金从同一单位或者个人的账户转出。</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22、</w:t>
      </w:r>
      <w:bookmarkStart w:id="105" w:name="OLE_LINK4"/>
      <w:r>
        <w:rPr>
          <w:rFonts w:hint="eastAsia" w:ascii="Times New Roman" w:hAnsi="Times New Roman" w:eastAsia="宋体" w:cs="仿宋"/>
          <w:b/>
          <w:sz w:val="24"/>
          <w:szCs w:val="22"/>
        </w:rPr>
        <w:t>取消中标候选人资格情形</w:t>
      </w:r>
      <w:bookmarkEnd w:id="105"/>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22.1提供虚假材料谋取中标的；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22.2采取不正当手段诋毁、排挤其他投标人的；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22.3与采购人、其他投标人或者采购代理机构恶意串通的；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22.4向采购人、采购代理机构行贿或者提供其他不正当利益的；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22.5未在规定时间内与采购人签订采购合同的；</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22.6法律、法规规定的其它情况。</w:t>
      </w:r>
      <w:bookmarkStart w:id="106" w:name="_Toc81575161"/>
      <w:bookmarkStart w:id="107" w:name="_Toc2391"/>
      <w:bookmarkStart w:id="108" w:name="_Toc81575198"/>
      <w:bookmarkStart w:id="109" w:name="_Toc6494"/>
    </w:p>
    <w:p>
      <w:pPr>
        <w:spacing w:line="480" w:lineRule="exact"/>
        <w:ind w:firstLine="321"/>
        <w:outlineLvl w:val="1"/>
        <w:rPr>
          <w:rFonts w:ascii="Arial" w:hAnsi="Arial" w:eastAsia="宋体" w:cs="Arial"/>
          <w:b/>
          <w:bCs/>
          <w:sz w:val="32"/>
          <w:szCs w:val="22"/>
        </w:rPr>
      </w:pPr>
      <w:r>
        <w:rPr>
          <w:rFonts w:hint="eastAsia" w:ascii="Arial" w:hAnsi="Arial" w:eastAsia="宋体" w:cs="Arial"/>
          <w:b/>
          <w:bCs/>
          <w:sz w:val="32"/>
          <w:szCs w:val="22"/>
        </w:rPr>
        <w:t>七、中标及合同签订</w:t>
      </w:r>
      <w:bookmarkEnd w:id="106"/>
      <w:bookmarkEnd w:id="107"/>
      <w:bookmarkEnd w:id="108"/>
      <w:bookmarkEnd w:id="109"/>
    </w:p>
    <w:p>
      <w:pPr>
        <w:spacing w:line="50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23、确定中标人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23.1采购人应当自收到评审报告之日起5个工作日内在评审报告推荐的中标候选人中按顺序确定中标人。</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23.2中标人确定之日起2个工作日内，采购人、采购代理机构将发布中标结果，中标公告的公告期限为1个工作日。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23.3采购人确定正被列为失信被执行人的投标人为中标人的，中标结果无效。</w:t>
      </w:r>
    </w:p>
    <w:p>
      <w:pPr>
        <w:spacing w:line="50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24、中标通知书</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24.1在公告中标结果的同时，采购代理机构将向中标人发出中标通知书。中标人使用CA数字证书登录“苏采云”系统及时下载中标通知书。</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24.2中标通知书发出后，采购人改变中标结果的，或者中标人放弃中标项目的，应当依法承担法律责任。</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24.3采用综合评分法评审的，未中标人可于中标结果公告期限届满之日起通过“苏采云”系统查看</w:t>
      </w:r>
      <w:bookmarkStart w:id="110" w:name="OLE_LINK5"/>
      <w:r>
        <w:rPr>
          <w:rFonts w:hint="eastAsia" w:ascii="Times New Roman" w:hAnsi="Times New Roman" w:eastAsia="宋体" w:cs="仿宋"/>
          <w:sz w:val="24"/>
          <w:szCs w:val="22"/>
        </w:rPr>
        <w:t>自己的评审得分及排序情况。</w:t>
      </w:r>
      <w:bookmarkEnd w:id="110"/>
    </w:p>
    <w:p>
      <w:pPr>
        <w:spacing w:line="50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25、授予合同</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25.1采购人与中标人应当在中标通知书发出之日起15日内签订政府采购合同。招标文件、中标人的投标文件以及评标过程中有关澄清文件均作为合同附件。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25.2采购人在自合同签订之日起2个工作日内，将合同在指定的媒体上公告。</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26、履约保证金</w:t>
      </w:r>
    </w:p>
    <w:p>
      <w:pPr>
        <w:spacing w:line="480" w:lineRule="exact"/>
        <w:ind w:firstLine="480"/>
        <w:rPr>
          <w:rFonts w:ascii="Times New Roman" w:hAnsi="Times New Roman" w:eastAsia="宋体" w:cs="仿宋"/>
          <w:sz w:val="24"/>
          <w:szCs w:val="22"/>
          <w:lang w:val="zh-CN"/>
        </w:rPr>
      </w:pPr>
      <w:r>
        <w:rPr>
          <w:rFonts w:hint="eastAsia" w:ascii="Times New Roman" w:hAnsi="Times New Roman" w:eastAsia="宋体" w:cs="仿宋"/>
          <w:sz w:val="24"/>
          <w:szCs w:val="22"/>
          <w:lang w:val="zh-CN"/>
        </w:rPr>
        <w:t>按照以下第</w:t>
      </w:r>
      <w:r>
        <w:rPr>
          <w:rFonts w:hint="eastAsia" w:ascii="Times New Roman" w:hAnsi="Times New Roman" w:eastAsia="宋体" w:cs="仿宋"/>
          <w:sz w:val="24"/>
          <w:szCs w:val="22"/>
          <w:u w:val="single"/>
        </w:rPr>
        <w:t>（</w:t>
      </w:r>
      <w:r>
        <w:rPr>
          <w:rFonts w:hint="eastAsia" w:ascii="Times New Roman" w:hAnsi="Times New Roman" w:eastAsia="宋体" w:cs="仿宋"/>
          <w:sz w:val="24"/>
          <w:szCs w:val="22"/>
          <w:u w:val="single"/>
          <w:lang w:val="en-US" w:eastAsia="zh-CN"/>
        </w:rPr>
        <w:t>2</w:t>
      </w:r>
      <w:r>
        <w:rPr>
          <w:rFonts w:hint="eastAsia" w:ascii="Times New Roman" w:hAnsi="Times New Roman" w:eastAsia="宋体" w:cs="仿宋"/>
          <w:sz w:val="24"/>
          <w:szCs w:val="22"/>
          <w:u w:val="single"/>
        </w:rPr>
        <w:t>）</w:t>
      </w:r>
      <w:r>
        <w:rPr>
          <w:rFonts w:hint="eastAsia" w:ascii="Times New Roman" w:hAnsi="Times New Roman" w:eastAsia="宋体" w:cs="仿宋"/>
          <w:sz w:val="24"/>
          <w:szCs w:val="22"/>
          <w:lang w:val="zh-CN"/>
        </w:rPr>
        <w:t>方式确定履约保证</w:t>
      </w:r>
      <w:r>
        <w:rPr>
          <w:rFonts w:hint="eastAsia" w:ascii="Times New Roman" w:hAnsi="Times New Roman" w:eastAsia="宋体" w:cs="仿宋"/>
          <w:sz w:val="24"/>
          <w:szCs w:val="22"/>
        </w:rPr>
        <w:t>金</w:t>
      </w:r>
      <w:r>
        <w:rPr>
          <w:rFonts w:hint="eastAsia" w:ascii="Times New Roman" w:hAnsi="Times New Roman" w:eastAsia="宋体" w:cs="仿宋"/>
          <w:sz w:val="24"/>
          <w:szCs w:val="22"/>
          <w:lang w:val="zh-CN"/>
        </w:rPr>
        <w:t>收取方式。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（1）本项目不收取履约保证金。</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（2）本项目收取履约保证金。</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26.1履约保证金提交形式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履约保证金应在采购合同签订前提交，除银行电汇、网上银行、数字人民币外，投标人还可选用银行保函、担保公司的保证担保或保险公司的保证保险等多种形式向采购人缴纳。</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26.2履约保证金提交金额</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按采购合同总价的</w:t>
      </w:r>
      <w:r>
        <w:rPr>
          <w:rFonts w:hint="eastAsia" w:ascii="Times New Roman" w:hAnsi="Times New Roman" w:eastAsia="宋体" w:cs="仿宋"/>
          <w:sz w:val="24"/>
          <w:szCs w:val="22"/>
          <w:u w:val="single"/>
          <w:lang w:val="en-US" w:eastAsia="zh-CN"/>
        </w:rPr>
        <w:t>5</w:t>
      </w:r>
      <w:r>
        <w:rPr>
          <w:rFonts w:hint="eastAsia" w:ascii="Times New Roman" w:hAnsi="Times New Roman" w:eastAsia="宋体" w:cs="仿宋"/>
          <w:sz w:val="24"/>
          <w:szCs w:val="22"/>
        </w:rPr>
        <w:t>%提交。</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sz w:val="24"/>
          <w:szCs w:val="22"/>
          <w:u w:val="single"/>
          <w:lang w:val="en-US" w:eastAsia="zh-CN"/>
        </w:rPr>
        <w:t>3</w:t>
      </w:r>
      <w:r>
        <w:rPr>
          <w:rFonts w:hint="eastAsia" w:ascii="Times New Roman" w:hAnsi="Times New Roman" w:eastAsia="宋体" w:cs="仿宋"/>
          <w:sz w:val="24"/>
          <w:szCs w:val="22"/>
        </w:rPr>
        <w:t>%（履约保证金原提交金额的6折）提交。办理流程、偿付等内容见江苏政府采购网“保险保函”模块。</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26.3履约保证金退还方式</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以银行电汇、网上银行、数字人民币形式缴纳履约保证金的，退回至投标人存款账户或数字人民币账户；以保函、担保、保险等形式缴纳履约保证金的，在保函、担保、保险约定的保证期限届满之日起自行失效。</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26.4履约保证金退还条件</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具有验收合格相关证明材料。</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26.5履约保证金退还时间</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采购人收到投标人退付申请后5个工作日内退还。</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26.6履约保证金不予退还情形</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除不可抗力外，中标人不履行与采购人订立的采购合同的，履约保证金不予退还，给采购人造成的损失超过履约保证金数额的，还应对超过部分予以赔偿。</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26.7逾期退还履约保证金违约责任</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采购人逾期退还履约保证金的，除应退还履约保证金外，还应按中国人民银行同期贷款基准利率上浮20％后的利率支付超期资金占用费，但因投标人自身原因导致无法及时退还的除外。</w:t>
      </w:r>
    </w:p>
    <w:p>
      <w:pPr>
        <w:spacing w:line="480" w:lineRule="exact"/>
        <w:ind w:firstLine="482"/>
        <w:rPr>
          <w:rFonts w:ascii="Times New Roman" w:hAnsi="Times New Roman" w:eastAsia="宋体" w:cs="仿宋"/>
          <w:b/>
          <w:bCs/>
          <w:sz w:val="24"/>
        </w:rPr>
      </w:pPr>
      <w:r>
        <w:rPr>
          <w:rFonts w:hint="eastAsia" w:ascii="Times New Roman" w:hAnsi="Times New Roman" w:eastAsia="宋体" w:cs="仿宋"/>
          <w:b/>
          <w:sz w:val="24"/>
          <w:szCs w:val="22"/>
        </w:rPr>
        <w:t>27、线上融资</w:t>
      </w:r>
    </w:p>
    <w:p>
      <w:pPr>
        <w:spacing w:line="480" w:lineRule="exact"/>
        <w:ind w:firstLine="480"/>
        <w:rPr>
          <w:rFonts w:ascii="Times New Roman" w:hAnsi="Times New Roman" w:eastAsia="宋体" w:cs="仿宋"/>
          <w:b/>
          <w:bCs/>
          <w:sz w:val="24"/>
        </w:rPr>
      </w:pPr>
      <w:r>
        <w:rPr>
          <w:rFonts w:hint="eastAsia" w:ascii="宋体" w:hAnsi="宋体" w:eastAsia="宋体" w:cs="Times New Roman"/>
          <w:bCs/>
          <w:sz w:val="24"/>
        </w:rPr>
        <w:t>中标人可凭政府采购合同办理融资贷款，详情见江苏政府采购网“政采贷”专栏。</w:t>
      </w:r>
    </w:p>
    <w:p>
      <w:pPr>
        <w:spacing w:line="480" w:lineRule="exact"/>
        <w:ind w:firstLine="482"/>
        <w:rPr>
          <w:rFonts w:ascii="Times New Roman" w:hAnsi="Times New Roman" w:eastAsia="宋体" w:cs="仿宋"/>
          <w:sz w:val="24"/>
          <w:szCs w:val="22"/>
        </w:rPr>
      </w:pPr>
      <w:r>
        <w:rPr>
          <w:rFonts w:hint="eastAsia" w:ascii="Times New Roman" w:hAnsi="Times New Roman" w:eastAsia="宋体" w:cs="仿宋"/>
          <w:b/>
          <w:sz w:val="24"/>
          <w:szCs w:val="22"/>
        </w:rPr>
        <w:t>28、合同履行</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28.1政府采购合同订立后，合同各方不得擅自变更、中止或者终止合同。</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28.2政府采购合同履行中，采购人需追加与合同标的相同的货物、工程或者服务的，在不改变合同其他条款的前提下，可以与中标人签订补充合同，但所补充合同的采购金额不得超过原采购金额的10%。</w:t>
      </w:r>
    </w:p>
    <w:p>
      <w:pPr>
        <w:keepNext/>
        <w:keepLines/>
        <w:spacing w:line="520" w:lineRule="exact"/>
        <w:outlineLvl w:val="1"/>
        <w:rPr>
          <w:rFonts w:ascii="Arial" w:hAnsi="Arial" w:eastAsia="宋体" w:cs="Arial"/>
          <w:b/>
          <w:bCs/>
          <w:sz w:val="32"/>
          <w:szCs w:val="22"/>
        </w:rPr>
      </w:pPr>
      <w:bookmarkStart w:id="111" w:name="_Toc81575162"/>
      <w:bookmarkStart w:id="112" w:name="_Toc81575199"/>
      <w:bookmarkStart w:id="113" w:name="_Toc7550"/>
      <w:bookmarkStart w:id="114" w:name="_Toc22084"/>
      <w:r>
        <w:rPr>
          <w:rFonts w:hint="eastAsia" w:ascii="Arial" w:hAnsi="Arial" w:eastAsia="宋体" w:cs="Arial"/>
          <w:b/>
          <w:bCs/>
          <w:sz w:val="32"/>
          <w:szCs w:val="22"/>
        </w:rPr>
        <w:t>八、</w:t>
      </w:r>
      <w:bookmarkEnd w:id="111"/>
      <w:bookmarkEnd w:id="112"/>
      <w:bookmarkEnd w:id="113"/>
      <w:bookmarkEnd w:id="114"/>
      <w:bookmarkStart w:id="115" w:name="_Toc81575163"/>
      <w:bookmarkStart w:id="116" w:name="_Toc81575200"/>
      <w:bookmarkStart w:id="117" w:name="_Toc31888"/>
      <w:bookmarkStart w:id="118" w:name="_Toc12263"/>
      <w:r>
        <w:rPr>
          <w:rFonts w:hint="eastAsia" w:ascii="Arial" w:hAnsi="Arial" w:eastAsia="宋体" w:cs="Arial"/>
          <w:b/>
          <w:bCs/>
          <w:sz w:val="32"/>
          <w:szCs w:val="22"/>
        </w:rPr>
        <w:t>质疑与投诉</w:t>
      </w:r>
      <w:bookmarkEnd w:id="115"/>
      <w:bookmarkEnd w:id="116"/>
      <w:bookmarkEnd w:id="117"/>
      <w:bookmarkEnd w:id="118"/>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29、质疑</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29.1供应商认为采购文件、采购过程和中标结果使自己的权益受到损害的，可以在知道或者应知其权益受到损害之日起七个工作日内，</w:t>
      </w:r>
      <w:bookmarkStart w:id="119" w:name="OLE_LINK2"/>
      <w:r>
        <w:rPr>
          <w:rFonts w:hint="eastAsia" w:ascii="Times New Roman" w:hAnsi="Times New Roman" w:eastAsia="宋体" w:cs="仿宋"/>
          <w:b/>
          <w:bCs/>
          <w:sz w:val="24"/>
          <w:szCs w:val="22"/>
        </w:rPr>
        <w:t>登录“苏采云”系统，从“项目质疑申请”模块向采购人提出质疑</w:t>
      </w:r>
      <w:bookmarkEnd w:id="119"/>
      <w:r>
        <w:rPr>
          <w:rFonts w:hint="eastAsia" w:ascii="Times New Roman" w:hAnsi="Times New Roman" w:eastAsia="宋体" w:cs="仿宋"/>
          <w:b/>
          <w:bCs/>
          <w:sz w:val="24"/>
          <w:szCs w:val="22"/>
        </w:rPr>
        <w:t>。</w:t>
      </w:r>
      <w:bookmarkStart w:id="120" w:name="OLE_LINK1"/>
      <w:r>
        <w:rPr>
          <w:rFonts w:hint="eastAsia" w:ascii="Times New Roman" w:hAnsi="Times New Roman" w:eastAsia="宋体" w:cs="仿宋"/>
          <w:sz w:val="24"/>
          <w:szCs w:val="22"/>
        </w:rPr>
        <w:t>质疑联系部门、联系电话、通讯地址详见采购公告。</w:t>
      </w:r>
      <w:bookmarkEnd w:id="120"/>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29.2供应商应知其权益受到损害之日，是指：</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（1）对本项目采购文件提出质疑的，为获取采购文件之日或者采购文件公告期限届满之日；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（2）对本项目采购过程提出质疑的，为各采购程序环节结束之日；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（3）对本项目中标结果提出质疑的，为中标结果公告期限届满之日。</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29.3质疑供应商应当是参与所质疑项目采购活动的供应商。潜在供应商已依法获取其可质疑的采购文件的，方可对该文件提出质疑。供应商在法定质疑期内应一次性提出针对同一采购程序环节的质疑。</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29.4供应商提出质疑应当提交质疑函和必要的证明材料。质疑函的必备内容：</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（1）供应商的姓名或者名称、地址、邮编、联系人及联系电话；</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（2）质疑项目的名称、编号；</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（3）获取采购文件的时间；</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（4）具体、明确的质疑事项和质疑事项相关的请求；</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（5）事实依据；</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（6）必要的法律依据；</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（7）提出质疑的日期；</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（8）供应商为自然人的，由本人签字；供应商为法人或者其他组织的，应当由法定代表人、主要负责人，或者其授权代表签字或者盖章，并加盖公章；</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29.5采购人在收到质疑函后7个工作日内作出答复，并以书面形式通知质疑供应商和其他有关供应商，但质疑答复的内容不涉及商业秘密。</w:t>
      </w:r>
    </w:p>
    <w:p>
      <w:pPr>
        <w:spacing w:line="480" w:lineRule="exact"/>
        <w:ind w:firstLine="482"/>
        <w:rPr>
          <w:rFonts w:ascii="Times New Roman" w:hAnsi="Times New Roman" w:eastAsia="宋体" w:cs="仿宋"/>
          <w:b/>
          <w:sz w:val="24"/>
          <w:szCs w:val="22"/>
        </w:rPr>
      </w:pPr>
      <w:r>
        <w:rPr>
          <w:rFonts w:hint="eastAsia" w:ascii="Times New Roman" w:hAnsi="Times New Roman" w:eastAsia="宋体" w:cs="仿宋"/>
          <w:b/>
          <w:sz w:val="24"/>
          <w:szCs w:val="22"/>
        </w:rPr>
        <w:t>30、投诉</w:t>
      </w:r>
    </w:p>
    <w:p>
      <w:pPr>
        <w:spacing w:line="480" w:lineRule="exact"/>
        <w:ind w:firstLine="480"/>
        <w:rPr>
          <w:rFonts w:ascii="Times New Roman" w:hAnsi="Times New Roman" w:eastAsia="宋体" w:cs="仿宋"/>
          <w:sz w:val="24"/>
          <w:szCs w:val="22"/>
        </w:rPr>
      </w:pPr>
      <w:r>
        <w:rPr>
          <w:rFonts w:hint="eastAsia" w:ascii="Times New Roman" w:hAnsi="Times New Roman" w:eastAsia="宋体" w:cs="仿宋"/>
          <w:sz w:val="24"/>
          <w:szCs w:val="22"/>
        </w:rPr>
        <w:t>质疑供应商对答复不满意或采购人、采购代理机构未在规定时间内作出答复的，可在答复期满后15个工作日内向同级财政部门提起投诉。</w:t>
      </w:r>
    </w:p>
    <w:p>
      <w:pPr>
        <w:keepNext/>
        <w:keepLines/>
        <w:spacing w:before="200" w:after="200"/>
        <w:jc w:val="center"/>
        <w:outlineLvl w:val="0"/>
        <w:rPr>
          <w:rFonts w:ascii="Arial" w:hAnsi="Arial" w:eastAsia="Arial" w:cs="Arial"/>
          <w:sz w:val="40"/>
          <w:szCs w:val="40"/>
        </w:rPr>
      </w:pPr>
      <w:bookmarkStart w:id="121" w:name="EB4d341233595e4bf8ad7006b4bd78d974"/>
      <w:bookmarkEnd w:id="121"/>
      <w:bookmarkStart w:id="122" w:name="_Toc81575164"/>
      <w:bookmarkStart w:id="123" w:name="_Toc81575201"/>
      <w:bookmarkStart w:id="124" w:name="_Hlk166141273"/>
      <w:r>
        <w:rPr>
          <w:rFonts w:hint="eastAsia" w:ascii="Arial" w:hAnsi="Arial" w:eastAsia="Arial" w:cs="Arial"/>
          <w:sz w:val="40"/>
          <w:szCs w:val="40"/>
        </w:rPr>
        <w:br w:type="page" w:clear="all"/>
      </w:r>
      <w:bookmarkStart w:id="125" w:name="_Toc17996"/>
      <w:r>
        <w:rPr>
          <w:rFonts w:hint="eastAsia" w:ascii="Calibri" w:hAnsi="Calibri" w:eastAsia="宋体" w:cs="Times New Roman"/>
          <w:b/>
          <w:sz w:val="44"/>
          <w:szCs w:val="44"/>
        </w:rPr>
        <w:t>第三章  资格审查及评标</w:t>
      </w:r>
      <w:bookmarkEnd w:id="122"/>
      <w:bookmarkEnd w:id="123"/>
      <w:bookmarkEnd w:id="125"/>
      <w:r>
        <w:rPr>
          <w:rFonts w:hint="eastAsia" w:ascii="Calibri" w:hAnsi="Calibri" w:eastAsia="宋体" w:cs="Times New Roman"/>
          <w:b/>
          <w:sz w:val="44"/>
          <w:szCs w:val="44"/>
        </w:rPr>
        <w:t>方法</w:t>
      </w:r>
    </w:p>
    <w:p>
      <w:pPr>
        <w:spacing w:line="480" w:lineRule="exact"/>
        <w:ind w:firstLine="482"/>
        <w:jc w:val="left"/>
        <w:rPr>
          <w:rFonts w:ascii="Times New Roman" w:hAnsi="Times New Roman" w:eastAsia="宋体" w:cs="仿宋"/>
          <w:b/>
          <w:bCs/>
          <w:sz w:val="24"/>
          <w:szCs w:val="22"/>
        </w:rPr>
      </w:pPr>
      <w:r>
        <w:rPr>
          <w:rFonts w:hint="eastAsia" w:ascii="Times New Roman" w:hAnsi="Times New Roman" w:eastAsia="宋体" w:cs="仿宋"/>
          <w:b/>
          <w:bCs/>
          <w:sz w:val="24"/>
          <w:szCs w:val="22"/>
        </w:rPr>
        <w:t>一、资格审查</w:t>
      </w:r>
    </w:p>
    <w:p>
      <w:pPr>
        <w:spacing w:line="480" w:lineRule="exact"/>
        <w:ind w:firstLine="480"/>
        <w:jc w:val="left"/>
        <w:rPr>
          <w:rFonts w:ascii="Times New Roman" w:hAnsi="Times New Roman" w:eastAsia="宋体" w:cs="仿宋"/>
          <w:sz w:val="24"/>
          <w:szCs w:val="22"/>
        </w:rPr>
      </w:pPr>
      <w:r>
        <w:rPr>
          <w:rFonts w:hint="eastAsia" w:ascii="Calibri" w:hAnsi="Calibri" w:eastAsia="宋体" w:cs="Times New Roman"/>
          <w:sz w:val="24"/>
          <w:szCs w:val="28"/>
        </w:rPr>
        <w:t>资格审查人员按照下列指标对各投标人的资格进行审查，未通过审查的为无效标，不参与评标。</w:t>
      </w:r>
    </w:p>
    <w:tbl>
      <w:tblPr>
        <w:tblStyle w:val="3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资格审查因素</w:t>
            </w:r>
          </w:p>
        </w:tc>
        <w:tc>
          <w:tcPr>
            <w:tcW w:w="424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审查标准</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投标声明及承诺函</w:t>
            </w:r>
          </w:p>
        </w:tc>
        <w:tc>
          <w:tcPr>
            <w:tcW w:w="424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信用信息</w:t>
            </w:r>
          </w:p>
        </w:tc>
        <w:tc>
          <w:tcPr>
            <w:tcW w:w="424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宋体" w:cs="仿宋"/>
                <w:szCs w:val="22"/>
              </w:rPr>
            </w:pPr>
            <w:r>
              <w:rPr>
                <w:rFonts w:hint="eastAsia" w:ascii="Times New Roman" w:hAnsi="Times New Roman" w:eastAsia="宋体" w:cs="仿宋"/>
                <w:szCs w:val="22"/>
              </w:rPr>
              <w:t>本项目的特定资格要求</w:t>
            </w:r>
          </w:p>
          <w:p>
            <w:pPr>
              <w:spacing w:line="400" w:lineRule="exact"/>
              <w:jc w:val="center"/>
              <w:rPr>
                <w:rFonts w:ascii="Times New Roman" w:hAnsi="Times New Roman" w:eastAsia="宋体" w:cs="仿宋"/>
                <w:szCs w:val="22"/>
              </w:rPr>
            </w:pPr>
          </w:p>
        </w:tc>
        <w:tc>
          <w:tcPr>
            <w:tcW w:w="4246"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bl>
    <w:p>
      <w:pPr>
        <w:spacing w:line="480" w:lineRule="exact"/>
        <w:ind w:firstLine="482"/>
        <w:jc w:val="left"/>
        <w:rPr>
          <w:rFonts w:ascii="Times New Roman" w:hAnsi="Times New Roman" w:eastAsia="宋体" w:cs="仿宋"/>
          <w:b/>
          <w:bCs/>
          <w:sz w:val="24"/>
          <w:szCs w:val="22"/>
        </w:rPr>
      </w:pPr>
      <w:r>
        <w:rPr>
          <w:rFonts w:hint="eastAsia" w:ascii="Times New Roman" w:hAnsi="Times New Roman" w:eastAsia="宋体" w:cs="仿宋"/>
          <w:b/>
          <w:bCs/>
          <w:sz w:val="24"/>
          <w:szCs w:val="22"/>
        </w:rPr>
        <w:t>二、符合性审查</w:t>
      </w:r>
    </w:p>
    <w:p>
      <w:pPr>
        <w:spacing w:line="480" w:lineRule="exact"/>
        <w:ind w:firstLine="480"/>
        <w:jc w:val="left"/>
        <w:rPr>
          <w:rFonts w:ascii="方正仿宋_GBK" w:hAnsi="Calibri" w:eastAsia="方正仿宋_GBK" w:cs="Times New Roman"/>
          <w:sz w:val="24"/>
          <w:szCs w:val="22"/>
        </w:rPr>
      </w:pPr>
      <w:r>
        <w:rPr>
          <w:rFonts w:hint="eastAsia" w:ascii="Calibri" w:hAnsi="Calibri" w:eastAsia="宋体" w:cs="Times New Roman"/>
          <w:sz w:val="24"/>
          <w:szCs w:val="28"/>
        </w:rPr>
        <w:t>评标委员会对符合资格的投标人的投标文件进行符合性审查，未通过审查的为无效标，不再参与评审。</w:t>
      </w:r>
    </w:p>
    <w:tbl>
      <w:tblPr>
        <w:tblStyle w:val="3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符合性审查因素</w:t>
            </w:r>
          </w:p>
        </w:tc>
        <w:tc>
          <w:tcPr>
            <w:tcW w:w="43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审查标准</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法人授权书</w:t>
            </w:r>
          </w:p>
        </w:tc>
        <w:tc>
          <w:tcPr>
            <w:tcW w:w="43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4364"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技术标准和要求</w:t>
            </w:r>
          </w:p>
        </w:tc>
        <w:tc>
          <w:tcPr>
            <w:tcW w:w="4304"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其他</w:t>
            </w:r>
          </w:p>
        </w:tc>
        <w:tc>
          <w:tcPr>
            <w:tcW w:w="43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宋体" w:cs="仿宋"/>
                <w:szCs w:val="22"/>
              </w:rPr>
            </w:pPr>
            <w:r>
              <w:rPr>
                <w:rFonts w:hint="eastAsia" w:ascii="Times New Roman" w:hAnsi="Times New Roman" w:eastAsia="宋体" w:cs="仿宋"/>
                <w:szCs w:val="22"/>
              </w:rPr>
              <w:t>符合招标文件要求</w:t>
            </w:r>
          </w:p>
        </w:tc>
      </w:tr>
    </w:tbl>
    <w:p>
      <w:pPr>
        <w:spacing w:line="480" w:lineRule="exact"/>
        <w:ind w:firstLine="482"/>
        <w:jc w:val="left"/>
        <w:rPr>
          <w:rFonts w:ascii="Times New Roman" w:hAnsi="Times New Roman" w:eastAsia="宋体" w:cs="仿宋"/>
          <w:b/>
          <w:bCs/>
          <w:sz w:val="24"/>
          <w:szCs w:val="22"/>
        </w:rPr>
      </w:pPr>
      <w:r>
        <w:rPr>
          <w:rFonts w:hint="eastAsia" w:ascii="Times New Roman" w:hAnsi="Times New Roman" w:eastAsia="宋体" w:cs="仿宋"/>
          <w:b/>
          <w:bCs/>
          <w:sz w:val="24"/>
          <w:szCs w:val="22"/>
        </w:rPr>
        <w:t>三、评标方法</w:t>
      </w:r>
    </w:p>
    <w:p>
      <w:pPr>
        <w:spacing w:line="480" w:lineRule="exact"/>
        <w:ind w:firstLine="480"/>
        <w:jc w:val="left"/>
        <w:rPr>
          <w:rFonts w:ascii="Times New Roman" w:hAnsi="Times New Roman" w:eastAsia="宋体" w:cs="仿宋"/>
          <w:sz w:val="24"/>
          <w:szCs w:val="22"/>
        </w:rPr>
      </w:pPr>
      <w:r>
        <w:rPr>
          <w:rFonts w:hint="eastAsia" w:ascii="Calibri" w:hAnsi="Calibri" w:eastAsia="宋体" w:cs="Times New Roman"/>
          <w:sz w:val="24"/>
          <w:szCs w:val="28"/>
        </w:rPr>
        <w:t>本项目采用综合评分法，评标结果按评审后得分由高到低顺序排列。得分相同的，按投标报价由低到高顺序排序。得分且投标报价相同的并列。</w:t>
      </w:r>
    </w:p>
    <w:p>
      <w:pPr>
        <w:spacing w:line="480" w:lineRule="exact"/>
        <w:ind w:firstLine="480"/>
        <w:jc w:val="left"/>
        <w:rPr>
          <w:rFonts w:ascii="Times New Roman" w:hAnsi="Times New Roman" w:eastAsia="宋体" w:cs="仿宋"/>
          <w:sz w:val="24"/>
          <w:szCs w:val="22"/>
        </w:rPr>
      </w:pPr>
      <w:r>
        <w:rPr>
          <w:rFonts w:hint="eastAsia" w:ascii="Times New Roman" w:hAnsi="Times New Roman" w:eastAsia="宋体" w:cs="仿宋"/>
          <w:sz w:val="24"/>
          <w:szCs w:val="22"/>
        </w:rPr>
        <w:t>综合评分保留至小数点后两位。</w:t>
      </w:r>
    </w:p>
    <w:p>
      <w:pPr>
        <w:spacing w:line="480" w:lineRule="exact"/>
        <w:ind w:firstLine="480"/>
        <w:jc w:val="left"/>
        <w:rPr>
          <w:rFonts w:ascii="Times New Roman" w:hAnsi="Times New Roman" w:eastAsia="宋体" w:cs="仿宋"/>
          <w:sz w:val="24"/>
          <w:szCs w:val="22"/>
        </w:rPr>
      </w:pPr>
      <w:r>
        <w:rPr>
          <w:rFonts w:hint="eastAsia" w:ascii="Times New Roman" w:hAnsi="Times New Roman" w:eastAsia="宋体" w:cs="仿宋"/>
          <w:sz w:val="24"/>
          <w:szCs w:val="22"/>
        </w:rPr>
        <w:t>评标委员会根据评标后投标人排序推荐中标候选人，并形成评标报告。</w:t>
      </w:r>
    </w:p>
    <w:p>
      <w:pPr>
        <w:numPr>
          <w:ilvl w:val="0"/>
          <w:numId w:val="1"/>
        </w:numPr>
        <w:spacing w:line="480" w:lineRule="exact"/>
        <w:ind w:firstLine="482"/>
        <w:jc w:val="left"/>
        <w:rPr>
          <w:rFonts w:ascii="Times New Roman" w:hAnsi="Times New Roman" w:eastAsia="宋体" w:cs="仿宋"/>
          <w:b/>
          <w:bCs/>
          <w:sz w:val="24"/>
          <w:szCs w:val="22"/>
        </w:rPr>
      </w:pPr>
      <w:r>
        <w:rPr>
          <w:rFonts w:hint="eastAsia" w:ascii="Times New Roman" w:hAnsi="Times New Roman" w:eastAsia="宋体" w:cs="仿宋"/>
          <w:b/>
          <w:bCs/>
          <w:sz w:val="24"/>
          <w:szCs w:val="22"/>
        </w:rPr>
        <w:t>评标标准</w:t>
      </w:r>
    </w:p>
    <w:tbl>
      <w:tblPr>
        <w:tblStyle w:val="31"/>
        <w:tblW w:w="5175"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353"/>
        <w:gridCol w:w="1202"/>
        <w:gridCol w:w="1360"/>
        <w:gridCol w:w="56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2553" w:type="dxa"/>
            <w:gridSpan w:val="2"/>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评审因素</w:t>
            </w:r>
          </w:p>
        </w:tc>
        <w:tc>
          <w:tcPr>
            <w:tcW w:w="1359" w:type="dxa"/>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分数</w:t>
            </w:r>
          </w:p>
        </w:tc>
        <w:tc>
          <w:tcPr>
            <w:tcW w:w="5595" w:type="dxa"/>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1352" w:type="dxa"/>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报价分</w:t>
            </w:r>
          </w:p>
        </w:tc>
        <w:tc>
          <w:tcPr>
            <w:tcW w:w="1201" w:type="dxa"/>
            <w:noWrap w:val="0"/>
            <w:vAlign w:val="center"/>
          </w:tcPr>
          <w:p>
            <w:pPr>
              <w:jc w:val="left"/>
              <w:rPr>
                <w:rFonts w:ascii="宋体" w:hAnsi="宋体" w:eastAsia="宋体" w:cs="Times New Roman"/>
                <w:sz w:val="24"/>
              </w:rPr>
            </w:pPr>
            <w:r>
              <w:rPr>
                <w:rFonts w:ascii="Times New Roman" w:hAnsi="Times New Roman" w:eastAsia="宋体" w:cs="Times New Roman"/>
                <w:color w:val="000000"/>
                <w:sz w:val="24"/>
              </w:rPr>
              <w:t>投标报价</w:t>
            </w:r>
          </w:p>
        </w:tc>
        <w:tc>
          <w:tcPr>
            <w:tcW w:w="1359" w:type="dxa"/>
            <w:noWrap w:val="0"/>
            <w:vAlign w:val="center"/>
          </w:tcPr>
          <w:p>
            <w:pPr>
              <w:jc w:val="center"/>
              <w:rPr>
                <w:rFonts w:ascii="宋体" w:hAnsi="宋体" w:eastAsia="宋体" w:cs="Times New Roman"/>
                <w:sz w:val="24"/>
              </w:rPr>
            </w:pPr>
            <w:r>
              <w:rPr>
                <w:rFonts w:hint="eastAsia" w:ascii="Times New Roman" w:hAnsi="Times New Roman" w:eastAsia="宋体" w:cs="Times New Roman"/>
                <w:color w:val="000000"/>
                <w:sz w:val="24"/>
                <w:lang w:val="en-US" w:eastAsia="zh-CN"/>
              </w:rPr>
              <w:t>30</w:t>
            </w:r>
            <w:r>
              <w:rPr>
                <w:rFonts w:ascii="Times New Roman" w:hAnsi="Times New Roman" w:eastAsia="宋体" w:cs="Times New Roman"/>
                <w:color w:val="000000"/>
                <w:sz w:val="24"/>
              </w:rPr>
              <w:t>.00分</w:t>
            </w:r>
          </w:p>
        </w:tc>
        <w:tc>
          <w:tcPr>
            <w:tcW w:w="5595" w:type="dxa"/>
            <w:noWrap w:val="0"/>
            <w:vAlign w:val="center"/>
          </w:tcPr>
          <w:p>
            <w:pPr>
              <w:jc w:val="left"/>
              <w:rPr>
                <w:rFonts w:ascii="宋体" w:hAnsi="宋体" w:eastAsia="宋体" w:cs="Times New Roman"/>
                <w:sz w:val="24"/>
              </w:rPr>
            </w:pPr>
            <w:r>
              <w:rPr>
                <w:rFonts w:ascii="宋体" w:hAnsi="宋体" w:eastAsia="宋体" w:cs="Times New Roman"/>
                <w:sz w:val="24"/>
              </w:rPr>
              <w:t>采用低价优先法计算，即满足招标文件要求且投标价格最低的投标报价为评标基准价，其价格分为满分。其他投标人投标报价得分＝（评标基准价/投标报价）*</w:t>
            </w:r>
            <w:r>
              <w:rPr>
                <w:rFonts w:hint="eastAsia" w:ascii="宋体" w:hAnsi="宋体" w:eastAsia="宋体" w:cs="Times New Roman"/>
                <w:sz w:val="24"/>
                <w:lang w:val="en-US" w:eastAsia="zh-CN"/>
              </w:rPr>
              <w:t>30</w:t>
            </w:r>
            <w:r>
              <w:rPr>
                <w:rFonts w:ascii="宋体" w:hAnsi="宋体" w:eastAsia="宋体" w:cs="Times New Roman"/>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352" w:type="dxa"/>
            <w:noWrap w:val="0"/>
            <w:vAlign w:val="center"/>
          </w:tcPr>
          <w:p>
            <w:pPr>
              <w:jc w:val="left"/>
              <w:rPr>
                <w:rFonts w:ascii="宋体" w:hAnsi="宋体" w:eastAsia="宋体" w:cs="Times New Roman"/>
                <w:sz w:val="24"/>
              </w:rPr>
            </w:pPr>
            <w:r>
              <w:rPr>
                <w:rFonts w:ascii="宋体" w:hAnsi="宋体" w:eastAsia="宋体" w:cs="Times New Roman"/>
                <w:sz w:val="24"/>
              </w:rPr>
              <w:t>技术响应</w:t>
            </w:r>
          </w:p>
        </w:tc>
        <w:tc>
          <w:tcPr>
            <w:tcW w:w="1201" w:type="dxa"/>
            <w:noWrap w:val="0"/>
            <w:vAlign w:val="center"/>
          </w:tcPr>
          <w:p>
            <w:pPr>
              <w:jc w:val="left"/>
              <w:rPr>
                <w:rFonts w:ascii="宋体" w:hAnsi="宋体" w:eastAsia="宋体" w:cs="Times New Roman"/>
                <w:sz w:val="24"/>
              </w:rPr>
            </w:pPr>
            <w:r>
              <w:rPr>
                <w:rFonts w:ascii="宋体" w:hAnsi="宋体" w:eastAsia="宋体" w:cs="Times New Roman"/>
                <w:sz w:val="24"/>
              </w:rPr>
              <w:t>技术参数响应</w:t>
            </w:r>
          </w:p>
        </w:tc>
        <w:tc>
          <w:tcPr>
            <w:tcW w:w="1359" w:type="dxa"/>
            <w:noWrap w:val="0"/>
            <w:vAlign w:val="center"/>
          </w:tcPr>
          <w:p>
            <w:pPr>
              <w:jc w:val="center"/>
              <w:rPr>
                <w:rFonts w:ascii="宋体" w:hAnsi="宋体" w:eastAsia="宋体" w:cs="Times New Roman"/>
                <w:sz w:val="24"/>
              </w:rPr>
            </w:pPr>
            <w:r>
              <w:rPr>
                <w:rFonts w:hint="eastAsia" w:ascii="宋体" w:hAnsi="宋体" w:eastAsia="宋体" w:cs="Times New Roman"/>
                <w:sz w:val="24"/>
              </w:rPr>
              <w:t>6</w:t>
            </w:r>
            <w:r>
              <w:rPr>
                <w:rFonts w:hint="eastAsia" w:ascii="宋体" w:hAnsi="宋体" w:eastAsia="宋体" w:cs="Times New Roman"/>
                <w:sz w:val="24"/>
                <w:lang w:eastAsia="zh-CN"/>
              </w:rPr>
              <w:t>.</w:t>
            </w:r>
            <w:r>
              <w:rPr>
                <w:rFonts w:hint="eastAsia" w:ascii="宋体" w:hAnsi="宋体" w:eastAsia="宋体" w:cs="Times New Roman"/>
                <w:sz w:val="24"/>
                <w:lang w:val="en-US" w:eastAsia="zh-CN"/>
              </w:rPr>
              <w:t>00</w:t>
            </w:r>
            <w:r>
              <w:rPr>
                <w:rFonts w:hint="eastAsia" w:ascii="宋体" w:hAnsi="宋体" w:eastAsia="宋体" w:cs="Times New Roman"/>
                <w:sz w:val="24"/>
              </w:rPr>
              <w:t>分</w:t>
            </w:r>
          </w:p>
        </w:tc>
        <w:tc>
          <w:tcPr>
            <w:tcW w:w="5595" w:type="dxa"/>
            <w:noWrap w:val="0"/>
            <w:vAlign w:val="center"/>
          </w:tcPr>
          <w:p>
            <w:pPr>
              <w:jc w:val="left"/>
              <w:rPr>
                <w:rFonts w:ascii="宋体" w:hAnsi="宋体" w:eastAsia="宋体" w:cs="Times New Roman"/>
                <w:sz w:val="24"/>
              </w:rPr>
            </w:pPr>
            <w:r>
              <w:rPr>
                <w:rFonts w:ascii="宋体" w:hAnsi="宋体" w:eastAsia="宋体" w:cs="Times New Roman"/>
                <w:sz w:val="24"/>
              </w:rPr>
              <w:t>由评标委员会根据投标单位的投标文件中《技术响应偏差表》及所投设备，投入机型、用药选择及用药效果的详细规格、产地、数量、功能描述等资料进行打分。供应商完全响应采购需求内容的得满分</w:t>
            </w:r>
            <w:r>
              <w:rPr>
                <w:rFonts w:hint="eastAsia" w:ascii="宋体" w:hAnsi="宋体" w:eastAsia="宋体" w:cs="Times New Roman"/>
                <w:sz w:val="24"/>
              </w:rPr>
              <w:t>6分</w:t>
            </w:r>
            <w:r>
              <w:rPr>
                <w:rFonts w:ascii="宋体" w:hAnsi="宋体" w:eastAsia="宋体" w:cs="Times New Roman"/>
                <w:sz w:val="24"/>
              </w:rPr>
              <w:t>。技术参数每有一项负偏离扣1分，扣完为止。</w:t>
            </w:r>
          </w:p>
          <w:p>
            <w:pPr>
              <w:jc w:val="left"/>
              <w:rPr>
                <w:rFonts w:ascii="宋体" w:hAnsi="宋体" w:eastAsia="宋体" w:cs="Times New Roman"/>
                <w:sz w:val="24"/>
              </w:rPr>
            </w:pPr>
            <w:r>
              <w:rPr>
                <w:rFonts w:ascii="宋体" w:hAnsi="宋体" w:eastAsia="宋体" w:cs="Times New Roman"/>
                <w:sz w:val="24"/>
              </w:rPr>
              <w:t>注：投标人针对本项评分内容在投标文件《</w:t>
            </w:r>
            <w:r>
              <w:rPr>
                <w:rFonts w:hint="eastAsia" w:ascii="宋体" w:hAnsi="宋体" w:eastAsia="宋体" w:cs="Times New Roman"/>
                <w:sz w:val="24"/>
                <w:lang w:val="en-US" w:eastAsia="zh-CN"/>
              </w:rPr>
              <w:t>技术</w:t>
            </w:r>
            <w:r>
              <w:rPr>
                <w:rFonts w:ascii="宋体" w:hAnsi="宋体" w:eastAsia="宋体" w:cs="Times New Roman"/>
                <w:sz w:val="24"/>
              </w:rPr>
              <w:t>响应偏离表》中逐条列出响应及偏离情况，采购需求中要求提供证明材料的，以要求的证明材料为准；采购需求中未要求提供证明材料的，以《</w:t>
            </w:r>
            <w:r>
              <w:rPr>
                <w:rFonts w:hint="eastAsia" w:ascii="宋体" w:hAnsi="宋体" w:eastAsia="宋体" w:cs="Times New Roman"/>
                <w:sz w:val="24"/>
                <w:lang w:val="en-US" w:eastAsia="zh-CN"/>
              </w:rPr>
              <w:t>技术</w:t>
            </w:r>
            <w:r>
              <w:rPr>
                <w:rFonts w:ascii="宋体" w:hAnsi="宋体" w:eastAsia="宋体" w:cs="Times New Roman"/>
                <w:sz w:val="24"/>
              </w:rPr>
              <w:t>响应偏离表》为准。未按要求提供证明材料或未在响应偏离表中列明偏离情况的对应项按负偏离进行处理。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352" w:type="dxa"/>
            <w:vMerge w:val="restart"/>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企业业绩</w:t>
            </w:r>
            <w:r>
              <w:rPr>
                <w:rFonts w:hint="eastAsia" w:ascii="Times New Roman" w:hAnsi="Times New Roman" w:eastAsia="宋体" w:cs="Times New Roman"/>
                <w:color w:val="000000"/>
                <w:sz w:val="24"/>
              </w:rPr>
              <w:t>、实力</w:t>
            </w:r>
          </w:p>
        </w:tc>
        <w:tc>
          <w:tcPr>
            <w:tcW w:w="1201" w:type="dxa"/>
            <w:noWrap w:val="0"/>
            <w:vAlign w:val="center"/>
          </w:tcPr>
          <w:p>
            <w:pPr>
              <w:jc w:val="center"/>
              <w:rPr>
                <w:rFonts w:ascii="宋体" w:hAnsi="宋体" w:eastAsia="宋体" w:cs="Times New Roman"/>
                <w:sz w:val="24"/>
              </w:rPr>
            </w:pPr>
            <w:r>
              <w:rPr>
                <w:rFonts w:ascii="Times New Roman" w:hAnsi="Times New Roman" w:eastAsia="宋体" w:cs="Times New Roman"/>
                <w:color w:val="000000"/>
                <w:sz w:val="24"/>
              </w:rPr>
              <w:t>企业业绩</w:t>
            </w:r>
          </w:p>
        </w:tc>
        <w:tc>
          <w:tcPr>
            <w:tcW w:w="1359" w:type="dxa"/>
            <w:noWrap w:val="0"/>
            <w:vAlign w:val="center"/>
          </w:tcPr>
          <w:p>
            <w:pPr>
              <w:jc w:val="center"/>
              <w:rPr>
                <w:rFonts w:ascii="宋体" w:hAnsi="宋体" w:eastAsia="宋体" w:cs="Times New Roman"/>
                <w:sz w:val="24"/>
              </w:rPr>
            </w:pPr>
            <w:r>
              <w:rPr>
                <w:rFonts w:hint="eastAsia" w:ascii="Times New Roman" w:hAnsi="Times New Roman" w:eastAsia="宋体" w:cs="Times New Roman"/>
                <w:color w:val="000000"/>
                <w:sz w:val="24"/>
              </w:rPr>
              <w:t>5</w:t>
            </w:r>
            <w:r>
              <w:rPr>
                <w:rFonts w:ascii="Times New Roman" w:hAnsi="Times New Roman" w:eastAsia="宋体" w:cs="Times New Roman"/>
                <w:color w:val="000000"/>
                <w:sz w:val="24"/>
              </w:rPr>
              <w:t>.00分</w:t>
            </w:r>
          </w:p>
        </w:tc>
        <w:tc>
          <w:tcPr>
            <w:tcW w:w="5595" w:type="dxa"/>
            <w:noWrap w:val="0"/>
            <w:vAlign w:val="center"/>
          </w:tcPr>
          <w:p>
            <w:pPr>
              <w:jc w:val="left"/>
              <w:rPr>
                <w:rFonts w:ascii="宋体" w:hAnsi="宋体" w:eastAsia="宋体" w:cs="Times New Roman"/>
                <w:sz w:val="24"/>
              </w:rPr>
            </w:pPr>
            <w:r>
              <w:rPr>
                <w:rFonts w:hint="eastAsia" w:ascii="宋体" w:hAnsi="宋体" w:eastAsia="宋体" w:cs="Times New Roman"/>
                <w:sz w:val="24"/>
              </w:rPr>
              <w:t>投标人自2024年1月1日以来（以合同签订时间为准），有类似项目业绩的1个得1分，最高得5分。注：须提供项目合同及中标（成交）通知书电子件或扫描件、验收报告并加盖供应商公章，缺一不可，合同内容须清晰可见；若合同或中标通知书无法体现服务内容的，供应商应提供相应补充证明材料予以明确。业绩材料要明确反映供应商名称、项目名称、项目内容等，否则不予计分。</w:t>
            </w:r>
            <w:r>
              <w:rPr>
                <w:rFonts w:hint="eastAsia" w:ascii="宋体" w:hAnsi="宋体" w:eastAsia="宋体" w:cs="宋体"/>
                <w:color w:val="auto"/>
                <w:sz w:val="24"/>
                <w:szCs w:val="24"/>
                <w:highlight w:val="none"/>
              </w:rPr>
              <w:t>本项得分证明材料随中标公告同步公示</w:t>
            </w:r>
            <w:r>
              <w:rPr>
                <w:rFonts w:hint="eastAsia" w:ascii="宋体" w:hAnsi="宋体" w:eastAsia="宋体" w:cs="宋体"/>
                <w:b/>
                <w:bCs/>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352" w:type="dxa"/>
            <w:vMerge w:val="continue"/>
            <w:noWrap w:val="0"/>
            <w:vAlign w:val="center"/>
          </w:tcPr>
          <w:p>
            <w:pPr>
              <w:jc w:val="center"/>
              <w:rPr>
                <w:rFonts w:ascii="Times New Roman" w:hAnsi="Times New Roman" w:eastAsia="宋体" w:cs="Times New Roman"/>
                <w:color w:val="000000"/>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color w:val="000000"/>
                <w:sz w:val="24"/>
              </w:rPr>
            </w:pPr>
            <w:r>
              <w:rPr>
                <w:rFonts w:ascii="Times New Roman" w:hAnsi="Times New Roman" w:eastAsia="宋体" w:cs="Times New Roman"/>
                <w:color w:val="000000"/>
                <w:sz w:val="24"/>
              </w:rPr>
              <w:t>拟投入设备</w:t>
            </w:r>
          </w:p>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color w:val="000000"/>
                <w:sz w:val="24"/>
              </w:rPr>
            </w:pP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color w:val="000000"/>
                <w:sz w:val="24"/>
              </w:rPr>
            </w:pPr>
            <w:r>
              <w:rPr>
                <w:rFonts w:hint="eastAsia" w:ascii="Times New Roman" w:hAnsi="Times New Roman"/>
                <w:color w:val="000000"/>
                <w:sz w:val="24"/>
              </w:rPr>
              <w:t>6.00分</w:t>
            </w:r>
          </w:p>
        </w:tc>
        <w:tc>
          <w:tcPr>
            <w:tcW w:w="5595" w:type="dxa"/>
            <w:noWrap w:val="0"/>
            <w:vAlign w:val="center"/>
          </w:tcPr>
          <w:p>
            <w:pPr>
              <w:rPr>
                <w:rFonts w:ascii="宋体" w:hAnsi="宋体" w:eastAsia="宋体" w:cs="Times New Roman"/>
                <w:sz w:val="24"/>
              </w:rPr>
            </w:pPr>
            <w:r>
              <w:rPr>
                <w:rFonts w:hint="eastAsia" w:ascii="宋体" w:hAnsi="宋体" w:eastAsia="宋体" w:cs="Times New Roman"/>
                <w:sz w:val="24"/>
              </w:rPr>
              <w:t>1.投标人拟</w:t>
            </w:r>
            <w:r>
              <w:rPr>
                <w:rFonts w:hint="eastAsia" w:ascii="宋体" w:hAnsi="宋体" w:eastAsia="宋体" w:cs="Times New Roman"/>
                <w:sz w:val="24"/>
                <w:lang w:val="en-US" w:eastAsia="zh-CN"/>
              </w:rPr>
              <w:t>投入</w:t>
            </w:r>
            <w:r>
              <w:rPr>
                <w:rFonts w:hint="eastAsia" w:ascii="宋体" w:hAnsi="宋体" w:eastAsia="宋体" w:cs="Times New Roman"/>
                <w:sz w:val="24"/>
              </w:rPr>
              <w:t>本项目的2架</w:t>
            </w:r>
            <w:r>
              <w:rPr>
                <w:rFonts w:ascii="Times New Roman" w:hAnsi="Times New Roman" w:eastAsia="宋体" w:cs="Times New Roman"/>
                <w:color w:val="333333"/>
                <w:sz w:val="24"/>
              </w:rPr>
              <w:t>飞机</w:t>
            </w:r>
            <w:r>
              <w:rPr>
                <w:rFonts w:hint="eastAsia" w:ascii="宋体" w:hAnsi="宋体" w:eastAsia="宋体" w:cs="Times New Roman"/>
                <w:sz w:val="24"/>
              </w:rPr>
              <w:t>，每架载药量600公斤及以上的得2分；每增加1架载药量600公斤及以上的加2分，本项最高得6分。</w:t>
            </w:r>
          </w:p>
          <w:p>
            <w:pPr>
              <w:rPr>
                <w:rFonts w:ascii="宋体" w:hAnsi="宋体" w:eastAsia="宋体" w:cs="Times New Roman"/>
                <w:sz w:val="24"/>
              </w:rPr>
            </w:pPr>
            <w:r>
              <w:rPr>
                <w:rFonts w:hint="eastAsia" w:ascii="宋体" w:hAnsi="宋体" w:eastAsia="宋体" w:cs="Times New Roman"/>
                <w:sz w:val="24"/>
              </w:rPr>
              <w:t>（投标人须提供有关直升机民用航空器标准适航证、民用航空器电台执照和民用航空器国籍登记证原件扫描件或公证件，飞机数量以加入本公司最新运行规范为准、民航局网上可查，须提供网址链接、截图和民航监管局签字的运行规范文本</w:t>
            </w:r>
            <w:r>
              <w:rPr>
                <w:rFonts w:hint="eastAsia" w:ascii="宋体" w:hAnsi="宋体" w:eastAsia="宋体" w:cs="Times New Roman"/>
                <w:sz w:val="24"/>
                <w:lang w:eastAsia="zh-CN"/>
              </w:rPr>
              <w:t>。</w:t>
            </w:r>
            <w:r>
              <w:rPr>
                <w:rFonts w:hint="eastAsia" w:ascii="宋体" w:hAnsi="宋体" w:eastAsia="宋体" w:cs="Times New Roman"/>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1352" w:type="dxa"/>
            <w:vMerge w:val="continue"/>
            <w:noWrap w:val="0"/>
            <w:vAlign w:val="center"/>
          </w:tcPr>
          <w:p>
            <w:pPr>
              <w:jc w:val="center"/>
              <w:rPr>
                <w:rFonts w:ascii="Times New Roman" w:hAnsi="Times New Roman" w:eastAsia="宋体" w:cs="Times New Roman"/>
                <w:color w:val="000000"/>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jc w:val="center"/>
              <w:rPr>
                <w:rFonts w:ascii="宋体" w:hAnsi="宋体" w:eastAsia="宋体"/>
                <w:color w:val="000000"/>
                <w:sz w:val="24"/>
              </w:rPr>
            </w:pPr>
            <w:r>
              <w:rPr>
                <w:rFonts w:hint="eastAsia" w:ascii="宋体" w:hAnsi="宋体" w:eastAsia="宋体"/>
                <w:color w:val="000000"/>
                <w:sz w:val="24"/>
              </w:rPr>
              <w:t>飞行人员</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color w:val="000000"/>
                <w:sz w:val="24"/>
              </w:rPr>
            </w:pPr>
            <w:r>
              <w:rPr>
                <w:rFonts w:hint="eastAsia" w:ascii="Times New Roman" w:hAnsi="Times New Roman"/>
                <w:color w:val="000000"/>
                <w:sz w:val="24"/>
              </w:rPr>
              <w:t>4.00分</w:t>
            </w:r>
          </w:p>
        </w:tc>
        <w:tc>
          <w:tcPr>
            <w:tcW w:w="5595" w:type="dxa"/>
            <w:noWrap w:val="0"/>
            <w:vAlign w:val="center"/>
          </w:tcPr>
          <w:p>
            <w:pPr>
              <w:pStyle w:val="29"/>
              <w:spacing w:beforeAutospacing="0" w:afterAutospacing="0" w:line="0" w:lineRule="atLeast"/>
              <w:jc w:val="both"/>
            </w:pPr>
            <w:r>
              <w:rPr>
                <w:rFonts w:hint="eastAsia" w:ascii="宋体" w:hAnsi="宋体" w:eastAsia="宋体" w:cs="宋体"/>
                <w:color w:val="000000"/>
              </w:rPr>
              <w:t>供应商拟投入为本项目的每架</w:t>
            </w:r>
            <w:r>
              <w:rPr>
                <w:rFonts w:ascii="Times New Roman" w:hAnsi="Times New Roman" w:eastAsia="宋体" w:cs="Times New Roman"/>
                <w:color w:val="333333"/>
                <w:sz w:val="24"/>
              </w:rPr>
              <w:t>飞机</w:t>
            </w:r>
            <w:r>
              <w:rPr>
                <w:rFonts w:hint="eastAsia" w:ascii="宋体" w:hAnsi="宋体" w:eastAsia="宋体" w:cs="宋体"/>
                <w:color w:val="000000"/>
              </w:rPr>
              <w:t>配备相适应的飞机驾驶人员。配备2名飞机驾驶人员的得2分；配备3名及以上飞机驾驶人员的得4分；本项最高得4分。</w:t>
            </w:r>
          </w:p>
          <w:p>
            <w:pPr>
              <w:pStyle w:val="29"/>
              <w:spacing w:beforeAutospacing="0" w:afterAutospacing="0" w:line="0" w:lineRule="atLeast"/>
              <w:rPr>
                <w:rFonts w:ascii="宋体" w:hAnsi="宋体" w:eastAsia="宋体" w:cs="Times New Roman"/>
                <w:sz w:val="24"/>
              </w:rPr>
            </w:pPr>
            <w:r>
              <w:rPr>
                <w:rFonts w:hint="eastAsia" w:ascii="宋体" w:hAnsi="宋体" w:eastAsia="宋体" w:cs="宋体"/>
                <w:color w:val="000000"/>
              </w:rPr>
              <w:t>（提供相关技术资格证书、提供供应商为其缴纳自投标前6个月内任意一个月由社保机构出具的社保缴纳证明；已退休仍在执业有效期内的必须提供退休证明及聘用合同等证明材料原件扫描件</w:t>
            </w:r>
            <w:r>
              <w:rPr>
                <w:rFonts w:hint="eastAsia" w:ascii="宋体" w:hAnsi="宋体" w:eastAsia="宋体" w:cs="宋体"/>
                <w:color w:val="000000"/>
                <w:lang w:eastAsia="zh-CN"/>
              </w:rPr>
              <w:t>。</w:t>
            </w:r>
            <w:r>
              <w:rPr>
                <w:rFonts w:hint="eastAsia" w:ascii="宋体" w:hAnsi="宋体" w:eastAsia="宋体" w:cs="宋体"/>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5" w:hRule="atLeast"/>
        </w:trPr>
        <w:tc>
          <w:tcPr>
            <w:tcW w:w="1352" w:type="dxa"/>
            <w:vMerge w:val="restart"/>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sz w:val="24"/>
              </w:rPr>
            </w:pPr>
            <w:r>
              <w:rPr>
                <w:rFonts w:ascii="宋体" w:hAnsi="宋体" w:eastAsia="宋体" w:cs="Times New Roman"/>
                <w:color w:val="000000"/>
                <w:sz w:val="24"/>
              </w:rPr>
              <w:t>项目实施方案</w:t>
            </w:r>
          </w:p>
          <w:p>
            <w:pPr>
              <w:rPr>
                <w:rFonts w:ascii="宋体" w:hAnsi="宋体" w:eastAsia="宋体" w:cs="Times New Roman"/>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Times New Roman" w:hAnsi="Times New Roman" w:eastAsia="宋体" w:cs="Times New Roman"/>
                <w:sz w:val="24"/>
              </w:rPr>
            </w:pPr>
            <w:r>
              <w:rPr>
                <w:rFonts w:ascii="Times New Roman" w:hAnsi="Times New Roman" w:eastAsia="Times New Roman" w:cs="Times New Roman"/>
                <w:color w:val="000000"/>
                <w:sz w:val="24"/>
              </w:rPr>
              <w:t> </w:t>
            </w:r>
          </w:p>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hint="eastAsia" w:ascii="Times New Roman" w:hAnsi="Times New Roman" w:eastAsia="Times New Roman" w:cs="Times New Roman"/>
                <w:color w:val="000000"/>
                <w:sz w:val="24"/>
              </w:rPr>
              <w:t>飞防项目实施方案</w:t>
            </w:r>
            <w:r>
              <w:rPr>
                <w:rFonts w:ascii="Times New Roman" w:hAnsi="Times New Roman" w:eastAsia="Times New Roman" w:cs="Times New Roman"/>
                <w:color w:val="000000"/>
                <w:sz w:val="24"/>
              </w:rPr>
              <w:t> </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宋体" w:hAnsi="宋体" w:eastAsia="宋体" w:cs="Times New Roman"/>
                <w:sz w:val="24"/>
              </w:rPr>
            </w:pPr>
            <w:r>
              <w:rPr>
                <w:rFonts w:hint="eastAsia" w:ascii="Times New Roman" w:hAnsi="Times New Roman" w:eastAsia="宋体" w:cs="Times New Roman"/>
                <w:color w:val="000000"/>
                <w:sz w:val="24"/>
              </w:rPr>
              <w:t>1</w:t>
            </w:r>
            <w:r>
              <w:rPr>
                <w:rFonts w:hint="eastAsia" w:ascii="Times New Roman" w:hAnsi="Times New Roman" w:eastAsia="宋体" w:cs="Times New Roman"/>
                <w:color w:val="000000"/>
                <w:sz w:val="24"/>
                <w:lang w:val="en-US" w:eastAsia="zh-CN"/>
              </w:rPr>
              <w:t>2</w:t>
            </w:r>
            <w:r>
              <w:rPr>
                <w:rFonts w:ascii="Times New Roman" w:hAnsi="Times New Roman" w:eastAsia="Times New Roman" w:cs="Times New Roman"/>
                <w:color w:val="000000"/>
                <w:sz w:val="24"/>
              </w:rPr>
              <w:t>.00</w:t>
            </w:r>
            <w:r>
              <w:rPr>
                <w:rFonts w:ascii="宋体" w:hAnsi="宋体" w:eastAsia="宋体" w:cs="Times New Roman"/>
                <w:color w:val="000000"/>
                <w:sz w:val="24"/>
              </w:rPr>
              <w:t>分</w:t>
            </w:r>
          </w:p>
        </w:tc>
        <w:tc>
          <w:tcPr>
            <w:tcW w:w="5595"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委会根据投标人编制的项目实施步骤、计划进度安排、药剂的选择，施药方案，机型选择方案，效果预测及安全保障措施进行综合评定，没有方案的不得分。飞防方案思路清晰、能够针对采购项目内容要求而细化制定，详细阐述飞防项目的步骤细节，</w:t>
            </w:r>
            <w:r>
              <w:rPr>
                <w:rFonts w:hint="eastAsia" w:ascii="宋体" w:hAnsi="宋体" w:eastAsia="宋体" w:cs="Times New Roman"/>
                <w:sz w:val="24"/>
                <w:lang w:val="en-US" w:eastAsia="zh-CN"/>
              </w:rPr>
              <w:t>完全满足</w:t>
            </w:r>
            <w:r>
              <w:rPr>
                <w:rFonts w:ascii="宋体" w:hAnsi="宋体" w:eastAsia="宋体" w:cs="Times New Roman"/>
                <w:sz w:val="24"/>
              </w:rPr>
              <w:t>采购需求的得1</w:t>
            </w:r>
            <w:r>
              <w:rPr>
                <w:rFonts w:hint="eastAsia" w:ascii="宋体" w:hAnsi="宋体" w:eastAsia="宋体" w:cs="Times New Roman"/>
                <w:sz w:val="24"/>
                <w:lang w:val="en-US" w:eastAsia="zh-CN"/>
              </w:rPr>
              <w:t>2</w:t>
            </w:r>
            <w:r>
              <w:rPr>
                <w:rFonts w:ascii="宋体" w:hAnsi="宋体" w:eastAsia="宋体" w:cs="Times New Roman"/>
                <w:sz w:val="24"/>
              </w:rPr>
              <w:t>分；飞防内容较完整、较详细具体、组织较严谨，基本满足采购需求的得</w:t>
            </w:r>
            <w:r>
              <w:rPr>
                <w:rFonts w:hint="eastAsia" w:ascii="宋体" w:hAnsi="宋体" w:eastAsia="宋体" w:cs="Times New Roman"/>
                <w:sz w:val="24"/>
                <w:lang w:val="en-US" w:eastAsia="zh-CN"/>
              </w:rPr>
              <w:t>7</w:t>
            </w:r>
            <w:r>
              <w:rPr>
                <w:rFonts w:ascii="宋体" w:hAnsi="宋体" w:eastAsia="宋体" w:cs="Times New Roman"/>
                <w:sz w:val="24"/>
              </w:rPr>
              <w:t>分；内容有欠缺、措施有偏差、经过后期优化可满足采购需求的得</w:t>
            </w:r>
            <w:r>
              <w:rPr>
                <w:rFonts w:hint="eastAsia" w:ascii="宋体" w:hAnsi="宋体" w:eastAsia="宋体" w:cs="Times New Roman"/>
                <w:sz w:val="24"/>
                <w:lang w:val="en-US" w:eastAsia="zh-CN"/>
              </w:rPr>
              <w:t>3</w:t>
            </w:r>
            <w:r>
              <w:rPr>
                <w:rFonts w:ascii="宋体" w:hAnsi="宋体" w:eastAsia="宋体" w:cs="Times New Roman"/>
                <w:sz w:val="24"/>
              </w:rPr>
              <w:t>分。没有内容不得分</w:t>
            </w:r>
            <w:r>
              <w:rPr>
                <w:rFonts w:hint="eastAsia" w:ascii="宋体" w:hAnsi="宋体" w:eastAsia="宋体" w:cs="Times New Roman"/>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0" w:hRule="atLeast"/>
        </w:trPr>
        <w:tc>
          <w:tcPr>
            <w:tcW w:w="1352" w:type="dxa"/>
            <w:vMerge w:val="continue"/>
            <w:noWrap w:val="0"/>
            <w:vAlign w:val="center"/>
          </w:tcPr>
          <w:p>
            <w:pPr>
              <w:rPr>
                <w:rFonts w:ascii="宋体" w:hAnsi="宋体" w:eastAsia="宋体" w:cs="Times New Roman"/>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应急及突发事件的处理措施</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宋体" w:hAnsi="宋体" w:eastAsia="宋体" w:cs="Times New Roman"/>
                <w:sz w:val="24"/>
              </w:rPr>
            </w:pPr>
            <w:r>
              <w:rPr>
                <w:rFonts w:hint="eastAsia" w:ascii="宋体" w:hAnsi="宋体" w:eastAsia="宋体" w:cs="Times New Roman"/>
                <w:sz w:val="24"/>
                <w:lang w:val="en-US" w:eastAsia="zh-CN"/>
              </w:rPr>
              <w:t>8</w:t>
            </w:r>
            <w:r>
              <w:rPr>
                <w:rFonts w:ascii="宋体" w:hAnsi="宋体" w:eastAsia="宋体" w:cs="Times New Roman"/>
                <w:sz w:val="24"/>
              </w:rPr>
              <w:t>.00分</w:t>
            </w:r>
          </w:p>
        </w:tc>
        <w:tc>
          <w:tcPr>
            <w:tcW w:w="5595"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投标人提供服务保障应急预案，制定可能遇到的问题及其应对措施、详细的应急预案和应急保障机制。制定能够预见可能发生的事故的应对措施和联系机制、应急响应、安全事件推送等内容。服务保障中应急事件考虑全面、应对措施科学合理、处理机制可行性强、应急响应快速、处理时间短、突发性事件、应急事件及密集工作时间的应急调配措施切实有效、应急事件现场服务措施全面、安全事件推送迅速且</w:t>
            </w:r>
            <w:r>
              <w:rPr>
                <w:rFonts w:hint="eastAsia" w:ascii="宋体" w:hAnsi="宋体" w:eastAsia="宋体" w:cs="Times New Roman"/>
                <w:sz w:val="24"/>
                <w:lang w:val="en-US" w:eastAsia="zh-CN"/>
              </w:rPr>
              <w:t>完全满足</w:t>
            </w:r>
            <w:r>
              <w:rPr>
                <w:rFonts w:ascii="宋体" w:hAnsi="宋体" w:eastAsia="宋体" w:cs="Times New Roman"/>
                <w:sz w:val="24"/>
              </w:rPr>
              <w:t>采购需求的得</w:t>
            </w:r>
            <w:r>
              <w:rPr>
                <w:rFonts w:hint="eastAsia" w:ascii="宋体" w:hAnsi="宋体" w:eastAsia="宋体" w:cs="Times New Roman"/>
                <w:sz w:val="24"/>
                <w:lang w:val="en-US" w:eastAsia="zh-CN"/>
              </w:rPr>
              <w:t>8</w:t>
            </w:r>
            <w:r>
              <w:rPr>
                <w:rFonts w:ascii="宋体" w:hAnsi="宋体" w:eastAsia="宋体" w:cs="Times New Roman"/>
                <w:sz w:val="24"/>
              </w:rPr>
              <w:t>分；服务保障中应急事件考虑较全面、应对措施较少、处理机制可行性较强、应急响应比较慢、故障处理时间较长、突发性事件、应急事件及密集工作时间的应急调配措施基本有效、应急事件现场服务措施比较基本满足采购的得</w:t>
            </w:r>
            <w:r>
              <w:rPr>
                <w:rFonts w:hint="eastAsia" w:ascii="宋体" w:hAnsi="宋体" w:eastAsia="宋体" w:cs="Times New Roman"/>
                <w:sz w:val="24"/>
                <w:lang w:val="en-US" w:eastAsia="zh-CN"/>
              </w:rPr>
              <w:t>5</w:t>
            </w:r>
            <w:r>
              <w:rPr>
                <w:rFonts w:ascii="宋体" w:hAnsi="宋体" w:eastAsia="宋体" w:cs="Times New Roman"/>
                <w:sz w:val="24"/>
              </w:rPr>
              <w:t>分；服务保障中应急事件考虑有偏差、应对措施欠缺、经过后期优化可满足采购需求的得2分；没有内容不得分。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7" w:hRule="atLeast"/>
        </w:trPr>
        <w:tc>
          <w:tcPr>
            <w:tcW w:w="1352" w:type="dxa"/>
            <w:vMerge w:val="continue"/>
            <w:noWrap w:val="0"/>
            <w:vAlign w:val="center"/>
          </w:tcPr>
          <w:p>
            <w:pPr>
              <w:rPr>
                <w:rFonts w:ascii="宋体" w:hAnsi="宋体" w:eastAsia="宋体" w:cs="Times New Roman"/>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药品选择及用药质量保障</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宋体" w:hAnsi="宋体" w:eastAsia="宋体" w:cs="Times New Roman"/>
                <w:sz w:val="24"/>
              </w:rPr>
            </w:pPr>
            <w:r>
              <w:rPr>
                <w:rFonts w:hint="eastAsia" w:ascii="Times New Roman" w:hAnsi="Times New Roman" w:eastAsia="宋体" w:cs="Times New Roman"/>
                <w:color w:val="000000"/>
                <w:sz w:val="24"/>
                <w:lang w:val="en-US" w:eastAsia="zh-CN"/>
              </w:rPr>
              <w:t>8</w:t>
            </w:r>
            <w:r>
              <w:rPr>
                <w:rFonts w:ascii="Times New Roman" w:hAnsi="Times New Roman" w:eastAsia="Times New Roman" w:cs="Times New Roman"/>
                <w:color w:val="000000"/>
                <w:sz w:val="24"/>
              </w:rPr>
              <w:t>.00</w:t>
            </w:r>
            <w:r>
              <w:rPr>
                <w:rFonts w:ascii="宋体" w:hAnsi="宋体" w:eastAsia="宋体" w:cs="Times New Roman"/>
                <w:color w:val="000000"/>
                <w:sz w:val="24"/>
              </w:rPr>
              <w:t>分</w:t>
            </w:r>
          </w:p>
        </w:tc>
        <w:tc>
          <w:tcPr>
            <w:tcW w:w="5595"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投标人针对本项目使用的药剂符合国家行业标准并满足招标要求的，以及针对本项目做出质量保障等措施，评委会根据投标单位的药剂使用方案和质量保证说明的科学合理性及满足要求的程度进行打分。内容完整、详细具体、合理可行、组织严谨、阐述详尽且</w:t>
            </w:r>
            <w:r>
              <w:rPr>
                <w:rFonts w:hint="eastAsia" w:ascii="宋体" w:hAnsi="宋体" w:eastAsia="宋体" w:cs="Times New Roman"/>
                <w:sz w:val="24"/>
                <w:lang w:val="en-US" w:eastAsia="zh-CN"/>
              </w:rPr>
              <w:t>完全满足</w:t>
            </w:r>
            <w:r>
              <w:rPr>
                <w:rFonts w:ascii="宋体" w:hAnsi="宋体" w:eastAsia="宋体" w:cs="Times New Roman"/>
                <w:sz w:val="24"/>
              </w:rPr>
              <w:t>采购需求的得</w:t>
            </w:r>
            <w:r>
              <w:rPr>
                <w:rFonts w:hint="eastAsia" w:ascii="宋体" w:hAnsi="宋体" w:eastAsia="宋体" w:cs="Times New Roman"/>
                <w:sz w:val="24"/>
                <w:lang w:val="en-US" w:eastAsia="zh-CN"/>
              </w:rPr>
              <w:t>8</w:t>
            </w:r>
            <w:r>
              <w:rPr>
                <w:rFonts w:ascii="宋体" w:hAnsi="宋体" w:eastAsia="宋体" w:cs="Times New Roman"/>
                <w:sz w:val="24"/>
              </w:rPr>
              <w:t>分；内容较完整、详细具体，阐述较完整基本满足采购需求的得</w:t>
            </w:r>
            <w:r>
              <w:rPr>
                <w:rFonts w:hint="eastAsia" w:ascii="宋体" w:hAnsi="宋体" w:eastAsia="宋体" w:cs="Times New Roman"/>
                <w:sz w:val="24"/>
                <w:lang w:val="en-US" w:eastAsia="zh-CN"/>
              </w:rPr>
              <w:t>5</w:t>
            </w:r>
            <w:r>
              <w:rPr>
                <w:rFonts w:ascii="宋体" w:hAnsi="宋体" w:eastAsia="宋体" w:cs="Times New Roman"/>
                <w:sz w:val="24"/>
              </w:rPr>
              <w:t>分，内容欠缺一般，缺乏合理性，经过后期优化可满足采购需求的得</w:t>
            </w:r>
            <w:r>
              <w:rPr>
                <w:rFonts w:hint="eastAsia" w:ascii="宋体" w:hAnsi="宋体" w:eastAsia="宋体" w:cs="Times New Roman"/>
                <w:sz w:val="24"/>
                <w:lang w:val="en-US" w:eastAsia="zh-CN"/>
              </w:rPr>
              <w:t>2</w:t>
            </w:r>
            <w:r>
              <w:rPr>
                <w:rFonts w:ascii="宋体" w:hAnsi="宋体" w:eastAsia="宋体" w:cs="Times New Roman"/>
                <w:sz w:val="24"/>
              </w:rPr>
              <w:t>分；没有内容不得分。（所使用药品须为正规厂家生产，须提供农药三证（农药登记证、农药生产许可证或批准文件、农药标准）复印件或扫描件并经生产厂家确认）。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8" w:hRule="atLeast"/>
        </w:trPr>
        <w:tc>
          <w:tcPr>
            <w:tcW w:w="1352" w:type="dxa"/>
            <w:vMerge w:val="continue"/>
            <w:noWrap w:val="0"/>
            <w:vAlign w:val="center"/>
          </w:tcPr>
          <w:p>
            <w:pPr>
              <w:rPr>
                <w:rFonts w:ascii="宋体" w:hAnsi="宋体" w:eastAsia="宋体" w:cs="Times New Roman"/>
                <w:sz w:val="24"/>
              </w:rPr>
            </w:pPr>
            <w:bookmarkStart w:id="126" w:name="OLE_LINK7"/>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服务保证措施</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宋体" w:hAnsi="宋体" w:eastAsia="宋体" w:cs="Times New Roman"/>
                <w:sz w:val="24"/>
              </w:rPr>
            </w:pPr>
            <w:r>
              <w:rPr>
                <w:rFonts w:hint="eastAsia" w:ascii="Times New Roman" w:hAnsi="Times New Roman" w:eastAsia="宋体" w:cs="Times New Roman"/>
                <w:color w:val="000000"/>
                <w:sz w:val="24"/>
                <w:lang w:val="en-US" w:eastAsia="zh-CN"/>
              </w:rPr>
              <w:t>7</w:t>
            </w:r>
            <w:r>
              <w:rPr>
                <w:rFonts w:hint="eastAsia" w:ascii="Times New Roman" w:hAnsi="Times New Roman" w:eastAsia="宋体" w:cs="Times New Roman"/>
                <w:color w:val="000000"/>
                <w:sz w:val="24"/>
              </w:rPr>
              <w:t>.00分</w:t>
            </w:r>
          </w:p>
        </w:tc>
        <w:tc>
          <w:tcPr>
            <w:tcW w:w="5595"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根据服务体系、服务人员的技术水平及现场服务措施，项目流程设置，工作台帐记录</w:t>
            </w:r>
            <w:r>
              <w:rPr>
                <w:rFonts w:hint="eastAsia" w:ascii="宋体" w:hAnsi="宋体" w:eastAsia="宋体" w:cs="Times New Roman"/>
                <w:sz w:val="24"/>
                <w:lang w:val="en-US" w:eastAsia="zh-CN"/>
              </w:rPr>
              <w:t>等评</w:t>
            </w:r>
            <w:r>
              <w:rPr>
                <w:rFonts w:ascii="宋体" w:hAnsi="宋体" w:eastAsia="宋体" w:cs="Times New Roman"/>
                <w:sz w:val="24"/>
              </w:rPr>
              <w:t>分。</w:t>
            </w:r>
          </w:p>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项目流程设置完善，工作台帐记录完整，收集所得工作信息和反馈详细得</w:t>
            </w:r>
            <w:r>
              <w:rPr>
                <w:rFonts w:hint="eastAsia" w:ascii="宋体" w:hAnsi="宋体" w:eastAsia="宋体" w:cs="Times New Roman"/>
                <w:sz w:val="24"/>
                <w:lang w:val="en-US" w:eastAsia="zh-CN"/>
              </w:rPr>
              <w:t>7</w:t>
            </w:r>
            <w:r>
              <w:rPr>
                <w:rFonts w:ascii="宋体" w:hAnsi="宋体" w:eastAsia="宋体" w:cs="Times New Roman"/>
                <w:sz w:val="24"/>
              </w:rPr>
              <w:t>分；项目流程设置较为完善，工作台帐记录较为完整，收集所得工作信息和反馈较为详细得</w:t>
            </w:r>
            <w:r>
              <w:rPr>
                <w:rFonts w:hint="eastAsia" w:ascii="宋体" w:hAnsi="宋体" w:eastAsia="宋体" w:cs="Times New Roman"/>
                <w:sz w:val="24"/>
                <w:lang w:val="en-US" w:eastAsia="zh-CN"/>
              </w:rPr>
              <w:t>4</w:t>
            </w:r>
            <w:r>
              <w:rPr>
                <w:rFonts w:ascii="宋体" w:hAnsi="宋体" w:eastAsia="宋体" w:cs="Times New Roman"/>
                <w:sz w:val="24"/>
              </w:rPr>
              <w:t>分；项目流程设置较为简单，工作台帐记录较为粗糙，收集所得工作信息和反馈粗略，得</w:t>
            </w:r>
            <w:r>
              <w:rPr>
                <w:rFonts w:hint="eastAsia" w:ascii="宋体" w:hAnsi="宋体" w:eastAsia="宋体" w:cs="Times New Roman"/>
                <w:sz w:val="24"/>
                <w:lang w:val="en-US" w:eastAsia="zh-CN"/>
              </w:rPr>
              <w:t>2</w:t>
            </w:r>
            <w:r>
              <w:rPr>
                <w:rFonts w:ascii="宋体" w:hAnsi="宋体" w:eastAsia="宋体" w:cs="Times New Roman"/>
                <w:sz w:val="24"/>
              </w:rPr>
              <w:t>分。</w:t>
            </w:r>
          </w:p>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本项未提供不得分。</w:t>
            </w:r>
            <w:bookmarkEnd w:id="12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6" w:hRule="atLeast"/>
        </w:trPr>
        <w:tc>
          <w:tcPr>
            <w:tcW w:w="1352" w:type="dxa"/>
            <w:vMerge w:val="continue"/>
            <w:noWrap w:val="0"/>
            <w:vAlign w:val="center"/>
          </w:tcPr>
          <w:p>
            <w:pPr>
              <w:pBdr>
                <w:top w:val="none" w:color="000000" w:sz="0" w:space="0"/>
                <w:left w:val="none" w:color="000000" w:sz="0" w:space="0"/>
                <w:bottom w:val="none" w:color="000000" w:sz="0" w:space="0"/>
                <w:right w:val="none" w:color="000000" w:sz="0" w:space="0"/>
              </w:pBdr>
              <w:ind w:firstLine="420"/>
              <w:rPr>
                <w:rFonts w:ascii="宋体" w:hAnsi="宋体" w:eastAsia="宋体" w:cs="Times New Roman"/>
                <w:sz w:val="24"/>
              </w:rPr>
            </w:pPr>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售后服务能力</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sz w:val="24"/>
              </w:rPr>
            </w:pPr>
            <w:r>
              <w:rPr>
                <w:rFonts w:hint="eastAsia" w:ascii="Times New Roman" w:hAnsi="Times New Roman" w:eastAsia="宋体" w:cs="Times New Roman"/>
                <w:color w:val="000000"/>
                <w:sz w:val="24"/>
                <w:lang w:val="en-US" w:eastAsia="zh-CN"/>
              </w:rPr>
              <w:t>6</w:t>
            </w:r>
            <w:r>
              <w:rPr>
                <w:rFonts w:hint="eastAsia" w:ascii="Times New Roman" w:hAnsi="Times New Roman" w:eastAsia="宋体" w:cs="Times New Roman"/>
                <w:color w:val="000000"/>
                <w:sz w:val="24"/>
              </w:rPr>
              <w:t>.00分</w:t>
            </w:r>
          </w:p>
        </w:tc>
        <w:tc>
          <w:tcPr>
            <w:tcW w:w="5595"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sz w:val="24"/>
              </w:rPr>
            </w:pPr>
            <w:r>
              <w:rPr>
                <w:rFonts w:ascii="宋体" w:hAnsi="宋体" w:eastAsia="宋体" w:cs="Times New Roman"/>
                <w:sz w:val="24"/>
              </w:rPr>
              <w:t>供应商制定详细的售后服务方案、配备大型喷药车辆或无人机等补防设备，能够长期和及时提供售后技术支持能力的方案。评委会根据投标单位的售后服务的科学合理性及满足要求的程度进行打分。内容完整、详细具体、合理可行、组织严谨、针对性强的，</w:t>
            </w:r>
            <w:r>
              <w:rPr>
                <w:rFonts w:hint="eastAsia" w:ascii="宋体" w:hAnsi="宋体" w:eastAsia="宋体" w:cs="Times New Roman"/>
                <w:sz w:val="24"/>
                <w:lang w:val="en-US" w:eastAsia="zh-CN"/>
              </w:rPr>
              <w:t>完全满足</w:t>
            </w:r>
            <w:r>
              <w:rPr>
                <w:rFonts w:ascii="宋体" w:hAnsi="宋体" w:eastAsia="宋体" w:cs="Times New Roman"/>
                <w:sz w:val="24"/>
              </w:rPr>
              <w:t>采购需求的得</w:t>
            </w:r>
            <w:r>
              <w:rPr>
                <w:rFonts w:hint="eastAsia" w:ascii="宋体" w:hAnsi="宋体" w:eastAsia="宋体" w:cs="Times New Roman"/>
                <w:sz w:val="24"/>
                <w:lang w:val="en-US" w:eastAsia="zh-CN"/>
              </w:rPr>
              <w:t>6</w:t>
            </w:r>
            <w:r>
              <w:rPr>
                <w:rFonts w:ascii="宋体" w:hAnsi="宋体" w:eastAsia="宋体" w:cs="Times New Roman"/>
                <w:sz w:val="24"/>
              </w:rPr>
              <w:t>分；内容较完整、详细具体，阐述较完整基本满足采购需求的得</w:t>
            </w:r>
            <w:r>
              <w:rPr>
                <w:rFonts w:hint="eastAsia" w:ascii="宋体" w:hAnsi="宋体" w:eastAsia="宋体" w:cs="Times New Roman"/>
                <w:sz w:val="24"/>
                <w:lang w:val="en-US" w:eastAsia="zh-CN"/>
              </w:rPr>
              <w:t>3</w:t>
            </w:r>
            <w:r>
              <w:rPr>
                <w:rFonts w:ascii="宋体" w:hAnsi="宋体" w:eastAsia="宋体" w:cs="Times New Roman"/>
                <w:sz w:val="24"/>
              </w:rPr>
              <w:t>分，内容欠缺一般，缺乏合理性，经过后期优化可满足采购需求的得</w:t>
            </w:r>
            <w:r>
              <w:rPr>
                <w:rFonts w:hint="eastAsia" w:ascii="宋体" w:hAnsi="宋体" w:eastAsia="宋体" w:cs="Times New Roman"/>
                <w:sz w:val="24"/>
                <w:lang w:val="en-US" w:eastAsia="zh-CN"/>
              </w:rPr>
              <w:t>1</w:t>
            </w:r>
            <w:r>
              <w:rPr>
                <w:rFonts w:ascii="宋体" w:hAnsi="宋体" w:eastAsia="宋体" w:cs="Times New Roman"/>
                <w:sz w:val="24"/>
              </w:rPr>
              <w:t>分；没有内容不得分。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2" w:hRule="atLeast"/>
        </w:trPr>
        <w:tc>
          <w:tcPr>
            <w:tcW w:w="1352" w:type="dxa"/>
            <w:noWrap w:val="0"/>
            <w:vAlign w:val="center"/>
          </w:tcPr>
          <w:p>
            <w:pPr>
              <w:pBdr>
                <w:top w:val="none" w:color="000000" w:sz="0" w:space="0"/>
                <w:left w:val="none" w:color="000000" w:sz="0" w:space="0"/>
                <w:bottom w:val="none" w:color="000000" w:sz="0" w:space="0"/>
                <w:right w:val="none" w:color="000000" w:sz="0" w:space="0"/>
              </w:pBdr>
              <w:ind w:firstLine="420"/>
              <w:rPr>
                <w:rFonts w:ascii="宋体" w:hAnsi="宋体" w:eastAsia="宋体" w:cs="Times New Roman"/>
                <w:color w:val="000000"/>
                <w:sz w:val="24"/>
              </w:rPr>
            </w:pPr>
            <w:r>
              <w:rPr>
                <w:rFonts w:ascii="宋体" w:hAnsi="宋体" w:eastAsia="宋体" w:cs="Times New Roman"/>
                <w:color w:val="000000"/>
                <w:sz w:val="24"/>
              </w:rPr>
              <w:t>其他</w:t>
            </w:r>
          </w:p>
        </w:tc>
        <w:tc>
          <w:tcPr>
            <w:tcW w:w="1201" w:type="dxa"/>
            <w:noWrap w:val="0"/>
            <w:vAlign w:val="center"/>
          </w:tcPr>
          <w:p>
            <w:pPr>
              <w:pBdr>
                <w:top w:val="none" w:color="000000" w:sz="0" w:space="0"/>
                <w:left w:val="none" w:color="000000" w:sz="0" w:space="0"/>
                <w:bottom w:val="none" w:color="000000" w:sz="0" w:space="0"/>
                <w:right w:val="none" w:color="000000" w:sz="0" w:space="0"/>
              </w:pBdr>
              <w:rPr>
                <w:rFonts w:ascii="宋体" w:hAnsi="宋体" w:eastAsia="宋体" w:cs="Times New Roman"/>
                <w:color w:val="000000"/>
                <w:sz w:val="24"/>
              </w:rPr>
            </w:pPr>
            <w:r>
              <w:rPr>
                <w:rFonts w:hint="eastAsia" w:ascii="宋体" w:hAnsi="宋体" w:eastAsia="宋体" w:cs="Times New Roman"/>
                <w:color w:val="000000"/>
                <w:sz w:val="24"/>
              </w:rPr>
              <w:t>人员配置</w:t>
            </w:r>
          </w:p>
        </w:tc>
        <w:tc>
          <w:tcPr>
            <w:tcW w:w="1359" w:type="dxa"/>
            <w:noWrap w:val="0"/>
            <w:vAlign w:val="center"/>
          </w:tcPr>
          <w:p>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color w:val="000000"/>
                <w:sz w:val="24"/>
              </w:rPr>
            </w:pPr>
            <w:r>
              <w:rPr>
                <w:rFonts w:hint="eastAsia" w:ascii="Times New Roman" w:hAnsi="Times New Roman" w:eastAsia="宋体" w:cs="Times New Roman"/>
                <w:color w:val="000000"/>
                <w:sz w:val="24"/>
              </w:rPr>
              <w:t>8.00分</w:t>
            </w:r>
          </w:p>
        </w:tc>
        <w:tc>
          <w:tcPr>
            <w:tcW w:w="5595" w:type="dxa"/>
            <w:noWrap w:val="0"/>
            <w:vAlign w:val="center"/>
          </w:tcPr>
          <w:p>
            <w:pPr>
              <w:pBdr>
                <w:top w:val="none" w:color="000000" w:sz="0" w:space="0"/>
                <w:left w:val="none" w:color="000000" w:sz="0" w:space="0"/>
                <w:bottom w:val="none" w:color="000000" w:sz="0" w:space="0"/>
                <w:right w:val="none" w:color="000000" w:sz="0" w:space="0"/>
                <w:between w:val="none" w:color="000000" w:sz="0" w:space="0"/>
              </w:pBdr>
              <w:rPr>
                <w:rFonts w:ascii="宋体" w:hAnsi="宋体" w:eastAsia="宋体" w:cs="Times New Roman"/>
                <w:sz w:val="24"/>
              </w:rPr>
            </w:pPr>
            <w:r>
              <w:rPr>
                <w:rFonts w:hint="eastAsia" w:ascii="宋体" w:hAnsi="宋体" w:eastAsia="宋体" w:cs="Times New Roman"/>
                <w:sz w:val="24"/>
              </w:rPr>
              <w:t>1、投标人每提供1名机务人员得1分，</w:t>
            </w:r>
            <w:r>
              <w:rPr>
                <w:rFonts w:hint="eastAsia" w:ascii="宋体" w:hAnsi="宋体" w:eastAsia="宋体" w:cs="Times New Roman"/>
                <w:sz w:val="24"/>
                <w:lang w:val="en-US" w:eastAsia="zh-CN"/>
              </w:rPr>
              <w:t>本项</w:t>
            </w:r>
            <w:r>
              <w:rPr>
                <w:rFonts w:hint="eastAsia" w:ascii="宋体" w:hAnsi="宋体" w:eastAsia="宋体" w:cs="Times New Roman"/>
                <w:sz w:val="24"/>
              </w:rPr>
              <w:t>最高得3分；</w:t>
            </w:r>
          </w:p>
          <w:p>
            <w:pPr>
              <w:pBdr>
                <w:top w:val="none" w:color="000000" w:sz="0" w:space="0"/>
                <w:left w:val="none" w:color="000000" w:sz="0" w:space="0"/>
                <w:bottom w:val="none" w:color="000000" w:sz="0" w:space="0"/>
                <w:right w:val="none" w:color="000000" w:sz="0" w:space="0"/>
                <w:between w:val="none" w:color="000000" w:sz="0" w:space="0"/>
              </w:pBdr>
              <w:rPr>
                <w:rFonts w:ascii="宋体" w:hAnsi="宋体" w:eastAsia="宋体" w:cs="Times New Roman"/>
                <w:sz w:val="24"/>
              </w:rPr>
            </w:pPr>
            <w:r>
              <w:rPr>
                <w:rFonts w:hint="eastAsia" w:ascii="宋体" w:hAnsi="宋体" w:eastAsia="宋体" w:cs="Times New Roman"/>
                <w:sz w:val="24"/>
              </w:rPr>
              <w:t>2、投标人每提供1名林业有害生物防治员得1分，</w:t>
            </w:r>
            <w:r>
              <w:rPr>
                <w:rFonts w:hint="eastAsia" w:ascii="宋体" w:hAnsi="宋体" w:eastAsia="宋体" w:cs="Times New Roman"/>
                <w:sz w:val="24"/>
                <w:lang w:val="en-US" w:eastAsia="zh-CN"/>
              </w:rPr>
              <w:t>本项</w:t>
            </w:r>
            <w:r>
              <w:rPr>
                <w:rFonts w:hint="eastAsia" w:ascii="宋体" w:hAnsi="宋体" w:eastAsia="宋体" w:cs="Times New Roman"/>
                <w:sz w:val="24"/>
              </w:rPr>
              <w:t>最高得2分。</w:t>
            </w:r>
          </w:p>
          <w:p>
            <w:pPr>
              <w:pBdr>
                <w:top w:val="none" w:color="000000" w:sz="0" w:space="0"/>
                <w:left w:val="none" w:color="000000" w:sz="0" w:space="0"/>
                <w:bottom w:val="none" w:color="000000" w:sz="0" w:space="0"/>
                <w:right w:val="none" w:color="000000" w:sz="0" w:space="0"/>
                <w:between w:val="none" w:color="000000" w:sz="0" w:space="0"/>
              </w:pBdr>
              <w:rPr>
                <w:rFonts w:ascii="宋体" w:hAnsi="宋体" w:eastAsia="宋体" w:cs="Times New Roman"/>
                <w:sz w:val="24"/>
              </w:rPr>
            </w:pPr>
            <w:r>
              <w:rPr>
                <w:rFonts w:hint="eastAsia" w:ascii="宋体" w:hAnsi="宋体" w:eastAsia="宋体" w:cs="Times New Roman"/>
                <w:sz w:val="24"/>
              </w:rPr>
              <w:t>3、投标人提供具有农林相关领域中级及以上专业技术职称证书的得1分，</w:t>
            </w:r>
            <w:r>
              <w:rPr>
                <w:rFonts w:hint="eastAsia" w:ascii="宋体" w:hAnsi="宋体" w:eastAsia="宋体" w:cs="Times New Roman"/>
                <w:sz w:val="24"/>
                <w:lang w:val="en-US" w:eastAsia="zh-CN"/>
              </w:rPr>
              <w:t>本项</w:t>
            </w:r>
            <w:r>
              <w:rPr>
                <w:rFonts w:hint="eastAsia" w:ascii="宋体" w:hAnsi="宋体" w:eastAsia="宋体" w:cs="Times New Roman"/>
                <w:sz w:val="24"/>
              </w:rPr>
              <w:t>最高得3分。</w:t>
            </w:r>
          </w:p>
          <w:p>
            <w:pPr>
              <w:pBdr>
                <w:top w:val="none" w:color="000000" w:sz="0" w:space="0"/>
                <w:left w:val="none" w:color="000000" w:sz="0" w:space="0"/>
                <w:bottom w:val="none" w:color="000000" w:sz="0" w:space="0"/>
                <w:right w:val="none" w:color="000000" w:sz="0" w:space="0"/>
                <w:between w:val="none" w:color="000000" w:sz="0" w:space="0"/>
              </w:pBdr>
              <w:rPr>
                <w:rFonts w:ascii="宋体" w:hAnsi="宋体" w:eastAsia="宋体" w:cs="Times New Roman"/>
                <w:sz w:val="24"/>
              </w:rPr>
            </w:pPr>
            <w:r>
              <w:rPr>
                <w:rFonts w:hint="eastAsia" w:ascii="宋体" w:hAnsi="宋体" w:eastAsia="宋体" w:cs="Times New Roman"/>
                <w:sz w:val="24"/>
              </w:rPr>
              <w:t>注：投标人须提供上述要求的相应人员的资格证书、职称证书、身份证、劳动合同</w:t>
            </w:r>
            <w:r>
              <w:rPr>
                <w:rFonts w:hint="eastAsia" w:ascii="宋体" w:hAnsi="宋体" w:eastAsia="宋体" w:cs="Times New Roman"/>
                <w:sz w:val="24"/>
                <w:lang w:eastAsia="zh-CN"/>
              </w:rPr>
              <w:t>、提供为其缴纳自投标前6个月内任意一个月由社保机构出具的社保缴纳证明；已退休仍在执业有效期内的必须提供退休证明及聘用合同等证明材料原件扫描件）</w:t>
            </w:r>
            <w:r>
              <w:rPr>
                <w:rFonts w:hint="eastAsia" w:ascii="宋体" w:hAnsi="宋体" w:eastAsia="宋体" w:cs="Times New Roman"/>
                <w:sz w:val="24"/>
              </w:rPr>
              <w:t>等证明材料原件扫描件，若职称证书无法体现专业，以毕业证或技术职称申报表为准并提供相应的原件扫描件。</w:t>
            </w:r>
          </w:p>
        </w:tc>
      </w:tr>
    </w:tbl>
    <w:p>
      <w:pPr>
        <w:spacing w:line="480" w:lineRule="exact"/>
        <w:jc w:val="left"/>
        <w:rPr>
          <w:rFonts w:ascii="Times New Roman" w:hAnsi="Times New Roman" w:eastAsia="宋体" w:cs="仿宋"/>
          <w:b/>
          <w:bCs/>
          <w:sz w:val="24"/>
          <w:szCs w:val="22"/>
        </w:rPr>
      </w:pPr>
    </w:p>
    <w:p>
      <w:pPr>
        <w:keepNext/>
        <w:keepLines/>
        <w:pageBreakBefore/>
        <w:jc w:val="center"/>
        <w:outlineLvl w:val="0"/>
        <w:rPr>
          <w:rFonts w:ascii="Calibri" w:hAnsi="Calibri" w:eastAsia="宋体" w:cs="Times New Roman"/>
          <w:b/>
          <w:sz w:val="44"/>
          <w:szCs w:val="44"/>
        </w:rPr>
      </w:pPr>
      <w:bookmarkStart w:id="127" w:name="_Toc81575168"/>
      <w:bookmarkStart w:id="128" w:name="_Toc12255"/>
      <w:bookmarkStart w:id="129" w:name="_Toc81575205"/>
      <w:bookmarkStart w:id="130" w:name="_Toc2916"/>
      <w:bookmarkStart w:id="131" w:name="_Toc22314"/>
      <w:r>
        <w:rPr>
          <w:rFonts w:hint="eastAsia" w:ascii="Calibri" w:hAnsi="Calibri" w:eastAsia="宋体" w:cs="Times New Roman"/>
          <w:b/>
          <w:sz w:val="44"/>
          <w:szCs w:val="44"/>
        </w:rPr>
        <w:t>第四章</w:t>
      </w:r>
      <w:r>
        <w:rPr>
          <w:rFonts w:ascii="Calibri" w:hAnsi="Calibri" w:eastAsia="宋体" w:cs="Times New Roman"/>
          <w:b/>
          <w:sz w:val="44"/>
          <w:szCs w:val="44"/>
        </w:rPr>
        <w:t xml:space="preserve">  </w:t>
      </w:r>
      <w:r>
        <w:rPr>
          <w:rFonts w:hint="eastAsia" w:ascii="Calibri" w:hAnsi="Calibri" w:eastAsia="宋体" w:cs="Times New Roman"/>
          <w:b/>
          <w:sz w:val="44"/>
          <w:szCs w:val="44"/>
        </w:rPr>
        <w:t>采购需求</w:t>
      </w:r>
      <w:bookmarkEnd w:id="124"/>
      <w:bookmarkEnd w:id="127"/>
      <w:bookmarkEnd w:id="128"/>
      <w:bookmarkEnd w:id="129"/>
      <w:bookmarkEnd w:id="130"/>
      <w:bookmarkEnd w:id="131"/>
    </w:p>
    <w:p>
      <w:pPr>
        <w:numPr>
          <w:ilvl w:val="0"/>
          <w:numId w:val="2"/>
        </w:numPr>
        <w:spacing w:line="480" w:lineRule="exact"/>
        <w:ind w:firstLine="482"/>
        <w:rPr>
          <w:rFonts w:ascii="宋体" w:hAnsi="宋体" w:eastAsia="宋体" w:cs="Times New Roman"/>
          <w:b/>
          <w:color w:val="000000"/>
          <w:sz w:val="24"/>
        </w:rPr>
      </w:pPr>
      <w:bookmarkStart w:id="132" w:name="_Toc81575206"/>
      <w:bookmarkStart w:id="133" w:name="_Toc22098"/>
      <w:bookmarkStart w:id="134" w:name="_Toc81575169"/>
      <w:bookmarkStart w:id="135" w:name="_Toc31499"/>
      <w:bookmarkStart w:id="136" w:name="_Toc2513"/>
      <w:r>
        <w:rPr>
          <w:rFonts w:hint="eastAsia" w:ascii="宋体" w:hAnsi="宋体" w:eastAsia="宋体" w:cs="Times New Roman"/>
          <w:b/>
          <w:color w:val="000000"/>
          <w:sz w:val="24"/>
        </w:rPr>
        <w:t>采购</w:t>
      </w:r>
      <w:r>
        <w:rPr>
          <w:rFonts w:ascii="宋体" w:hAnsi="宋体" w:eastAsia="宋体" w:cs="Times New Roman"/>
          <w:b/>
          <w:color w:val="000000"/>
          <w:sz w:val="24"/>
        </w:rPr>
        <w:t>标的清单</w:t>
      </w:r>
    </w:p>
    <w:p>
      <w:pPr>
        <w:pStyle w:val="185"/>
        <w:ind w:firstLine="0"/>
      </w:pPr>
    </w:p>
    <w:tbl>
      <w:tblPr>
        <w:tblStyle w:val="31"/>
        <w:tblW w:w="7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25"/>
        <w:gridCol w:w="2516"/>
        <w:gridCol w:w="27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825" w:type="dxa"/>
            <w:noWrap w:val="0"/>
            <w:vAlign w:val="center"/>
          </w:tcPr>
          <w:p>
            <w:pPr>
              <w:spacing w:line="360" w:lineRule="exact"/>
              <w:jc w:val="center"/>
              <w:rPr>
                <w:rFonts w:ascii="宋体" w:hAnsi="宋体" w:eastAsia="宋体" w:cs="Times New Roman"/>
                <w:color w:val="000000"/>
                <w:sz w:val="24"/>
              </w:rPr>
            </w:pPr>
            <w:r>
              <w:rPr>
                <w:rFonts w:hint="eastAsia" w:ascii="宋体" w:hAnsi="宋体" w:eastAsia="宋体" w:cs="Times New Roman"/>
                <w:color w:val="000000"/>
                <w:sz w:val="24"/>
              </w:rPr>
              <w:t>采购包</w:t>
            </w:r>
          </w:p>
        </w:tc>
        <w:tc>
          <w:tcPr>
            <w:tcW w:w="2516" w:type="dxa"/>
            <w:noWrap w:val="0"/>
            <w:vAlign w:val="center"/>
          </w:tcPr>
          <w:p>
            <w:pPr>
              <w:spacing w:line="360" w:lineRule="exact"/>
              <w:jc w:val="center"/>
              <w:rPr>
                <w:rFonts w:ascii="宋体" w:hAnsi="宋体" w:eastAsia="宋体" w:cs="Times New Roman"/>
                <w:color w:val="000000"/>
                <w:sz w:val="24"/>
              </w:rPr>
            </w:pPr>
            <w:r>
              <w:rPr>
                <w:rFonts w:hint="eastAsia" w:ascii="宋体" w:hAnsi="宋体" w:eastAsia="宋体" w:cs="Times New Roman"/>
                <w:color w:val="000000"/>
                <w:sz w:val="24"/>
              </w:rPr>
              <w:t>采购标的</w:t>
            </w:r>
          </w:p>
        </w:tc>
        <w:tc>
          <w:tcPr>
            <w:tcW w:w="2720" w:type="dxa"/>
            <w:noWrap w:val="0"/>
            <w:vAlign w:val="center"/>
          </w:tcPr>
          <w:p>
            <w:pPr>
              <w:spacing w:line="360" w:lineRule="exact"/>
              <w:jc w:val="center"/>
              <w:rPr>
                <w:rFonts w:ascii="宋体" w:hAnsi="宋体" w:eastAsia="宋体" w:cs="Times New Roman"/>
                <w:color w:val="000000"/>
                <w:sz w:val="24"/>
              </w:rPr>
            </w:pPr>
            <w:r>
              <w:rPr>
                <w:rFonts w:hint="eastAsia" w:ascii="宋体" w:hAnsi="宋体" w:eastAsia="宋体" w:cs="Times New Roman"/>
                <w:color w:val="000000"/>
                <w:sz w:val="24"/>
              </w:rPr>
              <w:t>对应中</w:t>
            </w:r>
            <w:r>
              <w:rPr>
                <w:rFonts w:ascii="宋体" w:hAnsi="宋体" w:eastAsia="宋体" w:cs="Times New Roman"/>
                <w:color w:val="000000"/>
                <w:sz w:val="24"/>
              </w:rPr>
              <w:t>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80" w:hRule="atLeast"/>
          <w:jc w:val="center"/>
        </w:trPr>
        <w:tc>
          <w:tcPr>
            <w:tcW w:w="1825" w:type="dxa"/>
            <w:noWrap w:val="0"/>
            <w:vAlign w:val="center"/>
          </w:tcPr>
          <w:p>
            <w:pPr>
              <w:spacing w:line="0" w:lineRule="atLeast"/>
              <w:jc w:val="center"/>
              <w:rPr>
                <w:rFonts w:ascii="宋体" w:hAnsi="宋体" w:eastAsia="宋体" w:cs="Times New Roman"/>
                <w:color w:val="000000"/>
                <w:sz w:val="24"/>
              </w:rPr>
            </w:pPr>
            <w:r>
              <w:rPr>
                <w:rFonts w:hint="eastAsia" w:ascii="宋体" w:hAnsi="宋体" w:eastAsia="宋体" w:cs="Times New Roman"/>
                <w:color w:val="000000"/>
                <w:sz w:val="24"/>
              </w:rPr>
              <w:t>沭阳县2026年飞机施药防治美国白蛾项目</w:t>
            </w:r>
          </w:p>
        </w:tc>
        <w:tc>
          <w:tcPr>
            <w:tcW w:w="2516" w:type="dxa"/>
            <w:noWrap w:val="0"/>
            <w:vAlign w:val="center"/>
          </w:tcPr>
          <w:p>
            <w:pPr>
              <w:tabs>
                <w:tab w:val="left" w:pos="2020"/>
              </w:tabs>
              <w:spacing w:line="0" w:lineRule="atLeast"/>
              <w:jc w:val="left"/>
              <w:rPr>
                <w:rFonts w:ascii="宋体" w:hAnsi="宋体" w:eastAsia="宋体" w:cs="宋体"/>
                <w:sz w:val="24"/>
              </w:rPr>
            </w:pPr>
            <w:r>
              <w:rPr>
                <w:rFonts w:ascii="Times New Roman" w:hAnsi="Times New Roman" w:eastAsia="宋体" w:cs="Times New Roman"/>
                <w:sz w:val="24"/>
              </w:rPr>
              <w:t>沭阳县202</w:t>
            </w:r>
            <w:r>
              <w:rPr>
                <w:rFonts w:hint="eastAsia" w:ascii="Times New Roman" w:hAnsi="Times New Roman" w:eastAsia="宋体" w:cs="Times New Roman"/>
                <w:sz w:val="24"/>
              </w:rPr>
              <w:t>6</w:t>
            </w:r>
            <w:r>
              <w:rPr>
                <w:rFonts w:ascii="Times New Roman" w:hAnsi="Times New Roman" w:eastAsia="宋体" w:cs="Times New Roman"/>
                <w:sz w:val="24"/>
              </w:rPr>
              <w:t>年飞机施药防治美国白蛾项目</w:t>
            </w:r>
          </w:p>
        </w:tc>
        <w:tc>
          <w:tcPr>
            <w:tcW w:w="2720" w:type="dxa"/>
            <w:noWrap w:val="0"/>
            <w:vAlign w:val="center"/>
          </w:tcPr>
          <w:p>
            <w:pPr>
              <w:spacing w:line="0" w:lineRule="atLeast"/>
              <w:jc w:val="center"/>
              <w:rPr>
                <w:rFonts w:ascii="宋体" w:hAnsi="宋体" w:eastAsia="宋体" w:cs="Times New Roman"/>
                <w:color w:val="000000"/>
                <w:sz w:val="24"/>
              </w:rPr>
            </w:pPr>
            <w:r>
              <w:rPr>
                <w:rFonts w:ascii="宋体" w:hAnsi="宋体" w:eastAsia="宋体" w:cs="Times New Roman"/>
                <w:color w:val="000000"/>
                <w:sz w:val="24"/>
              </w:rPr>
              <w:t xml:space="preserve"> 农、林、牧、渔业  </w:t>
            </w:r>
          </w:p>
        </w:tc>
      </w:tr>
    </w:tbl>
    <w:p>
      <w:pPr>
        <w:spacing w:line="400" w:lineRule="exact"/>
        <w:ind w:firstLine="482"/>
        <w:rPr>
          <w:rFonts w:ascii="宋体" w:hAnsi="宋体" w:eastAsia="宋体" w:cs="Times New Roman"/>
          <w:b/>
          <w:color w:val="000000"/>
          <w:sz w:val="24"/>
        </w:rPr>
      </w:pPr>
    </w:p>
    <w:p>
      <w:pPr>
        <w:widowControl/>
        <w:shd w:val="clear" w:color="auto" w:fill="FFFFFF"/>
        <w:spacing w:line="500" w:lineRule="exact"/>
        <w:ind w:firstLine="538"/>
        <w:jc w:val="left"/>
        <w:rPr>
          <w:rFonts w:ascii="Times New Roman" w:hAnsi="Times New Roman" w:eastAsia="宋体" w:cs="Times New Roman"/>
          <w:color w:val="333333"/>
          <w:szCs w:val="21"/>
        </w:rPr>
      </w:pPr>
      <w:r>
        <w:rPr>
          <w:rFonts w:hint="eastAsia" w:ascii="Times New Roman" w:hAnsi="Times New Roman" w:eastAsia="宋体" w:cs="Times New Roman"/>
          <w:b/>
          <w:bCs/>
          <w:color w:val="333333"/>
          <w:spacing w:val="14"/>
          <w:sz w:val="24"/>
        </w:rPr>
        <w:t>二</w:t>
      </w:r>
      <w:r>
        <w:rPr>
          <w:rFonts w:ascii="Times New Roman" w:hAnsi="Times New Roman" w:eastAsia="宋体" w:cs="Times New Roman"/>
          <w:b/>
          <w:bCs/>
          <w:color w:val="333333"/>
          <w:spacing w:val="14"/>
          <w:sz w:val="24"/>
        </w:rPr>
        <w:t>、项目背景</w:t>
      </w:r>
    </w:p>
    <w:p>
      <w:pPr>
        <w:widowControl/>
        <w:shd w:val="clear" w:color="auto" w:fill="FFFFFF"/>
        <w:spacing w:line="500" w:lineRule="exact"/>
        <w:ind w:firstLine="536"/>
        <w:jc w:val="left"/>
        <w:rPr>
          <w:rFonts w:ascii="Times New Roman" w:hAnsi="Times New Roman" w:eastAsia="宋体" w:cs="Times New Roman"/>
          <w:color w:val="333333"/>
          <w:szCs w:val="21"/>
        </w:rPr>
      </w:pPr>
      <w:bookmarkStart w:id="137" w:name="_Toc22264"/>
      <w:bookmarkEnd w:id="137"/>
      <w:r>
        <w:rPr>
          <w:rFonts w:ascii="Times New Roman" w:hAnsi="Times New Roman" w:eastAsia="宋体" w:cs="Times New Roman"/>
          <w:color w:val="333333"/>
          <w:sz w:val="24"/>
        </w:rPr>
        <w:t>（一）项目简介</w:t>
      </w:r>
    </w:p>
    <w:p>
      <w:pPr>
        <w:widowControl/>
        <w:shd w:val="clear" w:color="auto" w:fill="FFFFFF"/>
        <w:spacing w:line="500" w:lineRule="exact"/>
        <w:ind w:firstLine="536"/>
        <w:jc w:val="left"/>
        <w:rPr>
          <w:rFonts w:ascii="Times New Roman" w:hAnsi="Times New Roman" w:eastAsia="宋体" w:cs="Times New Roman"/>
          <w:color w:val="333333"/>
          <w:szCs w:val="21"/>
        </w:rPr>
      </w:pPr>
      <w:r>
        <w:rPr>
          <w:rFonts w:ascii="Times New Roman" w:hAnsi="Times New Roman" w:eastAsia="宋体" w:cs="Times New Roman"/>
          <w:color w:val="333333"/>
          <w:sz w:val="24"/>
        </w:rPr>
        <w:t>1、飞防区域：沭阳县全域(具体飞防地段在签订合同时由招标单位确定)。</w:t>
      </w:r>
    </w:p>
    <w:p>
      <w:pPr>
        <w:widowControl/>
        <w:shd w:val="clear" w:color="auto" w:fill="FFFFFF"/>
        <w:spacing w:line="500" w:lineRule="exact"/>
        <w:ind w:firstLine="536"/>
        <w:jc w:val="left"/>
        <w:rPr>
          <w:rFonts w:ascii="Times New Roman" w:hAnsi="Times New Roman" w:eastAsia="宋体" w:cs="Times New Roman"/>
          <w:color w:val="333333"/>
          <w:szCs w:val="21"/>
        </w:rPr>
      </w:pPr>
      <w:r>
        <w:rPr>
          <w:rFonts w:ascii="Times New Roman" w:hAnsi="Times New Roman" w:eastAsia="宋体" w:cs="Times New Roman"/>
          <w:color w:val="333333"/>
          <w:sz w:val="24"/>
        </w:rPr>
        <w:t>2、数量：约</w:t>
      </w:r>
      <w:r>
        <w:rPr>
          <w:rFonts w:hint="eastAsia" w:ascii="Times New Roman" w:hAnsi="Times New Roman" w:eastAsia="宋体" w:cs="Times New Roman"/>
          <w:color w:val="333333"/>
          <w:sz w:val="24"/>
          <w:lang w:eastAsia="zh-CN"/>
        </w:rPr>
        <w:t>35万亩</w:t>
      </w:r>
      <w:r>
        <w:rPr>
          <w:rFonts w:ascii="Times New Roman" w:hAnsi="Times New Roman" w:eastAsia="宋体" w:cs="Times New Roman"/>
          <w:color w:val="333333"/>
          <w:sz w:val="24"/>
        </w:rPr>
        <w:t>（具体以实际飞防面积及双方认可的专家验收组确认的合格面积为准）。</w:t>
      </w:r>
    </w:p>
    <w:p>
      <w:pPr>
        <w:pStyle w:val="190"/>
        <w:spacing w:line="500" w:lineRule="exact"/>
        <w:ind w:firstLine="480"/>
        <w:rPr>
          <w:rFonts w:hint="eastAsia" w:ascii="Times New Roman" w:hAnsi="Times New Roman" w:eastAsia="宋体" w:cs="Times New Roman"/>
          <w:color w:val="333333"/>
          <w:sz w:val="24"/>
          <w:lang w:eastAsia="zh-CN"/>
        </w:rPr>
      </w:pPr>
      <w:bookmarkStart w:id="138" w:name="_Toc3838"/>
      <w:bookmarkEnd w:id="138"/>
      <w:r>
        <w:rPr>
          <w:rFonts w:ascii="Times New Roman" w:hAnsi="Times New Roman" w:eastAsia="宋体" w:cs="Times New Roman"/>
          <w:color w:val="333333"/>
          <w:sz w:val="24"/>
        </w:rPr>
        <w:t>（二）付款方式：合同签订后，中标人开具正式发票预付</w:t>
      </w:r>
      <w:r>
        <w:rPr>
          <w:rFonts w:hint="eastAsia" w:ascii="Times New Roman" w:hAnsi="Times New Roman" w:eastAsia="宋体" w:cs="Times New Roman"/>
          <w:color w:val="333333"/>
          <w:sz w:val="24"/>
          <w:lang w:val="en-US" w:eastAsia="zh-CN"/>
        </w:rPr>
        <w:t>15</w:t>
      </w:r>
      <w:r>
        <w:rPr>
          <w:rFonts w:ascii="Times New Roman" w:hAnsi="Times New Roman" w:eastAsia="宋体" w:cs="Times New Roman"/>
          <w:color w:val="333333"/>
          <w:sz w:val="24"/>
        </w:rPr>
        <w:t>%合同价款。飞防后10天内经初验收达到约定飞防效果后，中标人开具正式发票，支付至合同金额的50%。经全面验收飞防效果达到预定目标后，付清剩余飞防费用。</w:t>
      </w:r>
      <w:r>
        <w:rPr>
          <w:rFonts w:hint="eastAsia" w:ascii="Times New Roman" w:hAnsi="Times New Roman" w:cs="Times New Roman"/>
          <w:color w:val="333333"/>
          <w:sz w:val="24"/>
          <w:lang w:eastAsia="zh-CN"/>
        </w:rPr>
        <w:t>（</w:t>
      </w:r>
      <w:r>
        <w:rPr>
          <w:rFonts w:hint="eastAsia"/>
          <w:bCs/>
          <w:color w:val="auto"/>
          <w:sz w:val="24"/>
          <w:highlight w:val="none"/>
        </w:rPr>
        <w:t>可以采用数字人民币形式支付</w:t>
      </w:r>
      <w:r>
        <w:rPr>
          <w:rFonts w:hint="eastAsia" w:ascii="Times New Roman" w:hAnsi="Times New Roman" w:cs="Times New Roman"/>
          <w:color w:val="333333"/>
          <w:sz w:val="24"/>
          <w:lang w:eastAsia="zh-CN"/>
        </w:rPr>
        <w:t>）</w:t>
      </w:r>
    </w:p>
    <w:p>
      <w:pPr>
        <w:widowControl/>
        <w:shd w:val="clear" w:color="auto" w:fill="FFFFFF"/>
        <w:spacing w:line="500" w:lineRule="exact"/>
        <w:ind w:firstLine="538"/>
        <w:jc w:val="left"/>
        <w:rPr>
          <w:rFonts w:ascii="Times New Roman" w:hAnsi="Times New Roman" w:eastAsia="宋体" w:cs="Times New Roman"/>
          <w:color w:val="333333"/>
          <w:szCs w:val="21"/>
        </w:rPr>
      </w:pPr>
      <w:bookmarkStart w:id="139" w:name="_Toc27993"/>
      <w:bookmarkEnd w:id="139"/>
      <w:r>
        <w:rPr>
          <w:rFonts w:hint="eastAsia" w:ascii="Times New Roman" w:hAnsi="Times New Roman" w:eastAsia="宋体" w:cs="Times New Roman"/>
          <w:b/>
          <w:bCs/>
          <w:color w:val="333333"/>
          <w:spacing w:val="14"/>
          <w:sz w:val="24"/>
        </w:rPr>
        <w:t>三</w:t>
      </w:r>
      <w:r>
        <w:rPr>
          <w:rFonts w:ascii="Times New Roman" w:hAnsi="Times New Roman" w:eastAsia="宋体" w:cs="Times New Roman"/>
          <w:b/>
          <w:bCs/>
          <w:color w:val="333333"/>
          <w:spacing w:val="14"/>
          <w:sz w:val="24"/>
        </w:rPr>
        <w:t>、 技术参数</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（一）飞机种类技术参数设备要求：直升机机型</w:t>
      </w:r>
      <w:r>
        <w:rPr>
          <w:rFonts w:hint="eastAsia" w:ascii="Times New Roman" w:hAnsi="Times New Roman" w:eastAsia="宋体" w:cs="Times New Roman"/>
          <w:color w:val="333333"/>
          <w:sz w:val="24"/>
          <w:lang w:val="en-US" w:eastAsia="zh-CN"/>
        </w:rPr>
        <w:t>，</w:t>
      </w:r>
      <w:r>
        <w:rPr>
          <w:rFonts w:ascii="Times New Roman" w:hAnsi="Times New Roman" w:eastAsia="宋体" w:cs="Times New Roman"/>
          <w:color w:val="333333"/>
          <w:sz w:val="24"/>
        </w:rPr>
        <w:t>飞机性能完好、安全，喷药设备先进、采用超低容量喷雾(具体要求见下表)。</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飞机技术参数表(按载药量600公斤计算，其他载药量以此类推。)</w:t>
      </w:r>
    </w:p>
    <w:tbl>
      <w:tblPr>
        <w:tblStyle w:val="31"/>
        <w:tblW w:w="0" w:type="auto"/>
        <w:jc w:val="center"/>
        <w:tblLayout w:type="autofit"/>
        <w:tblCellMar>
          <w:top w:w="0" w:type="dxa"/>
          <w:left w:w="0" w:type="dxa"/>
          <w:bottom w:w="0" w:type="dxa"/>
          <w:right w:w="0" w:type="dxa"/>
        </w:tblCellMar>
      </w:tblPr>
      <w:tblGrid>
        <w:gridCol w:w="3997"/>
        <w:gridCol w:w="4329"/>
      </w:tblGrid>
      <w:tr>
        <w:tblPrEx>
          <w:tblCellMar>
            <w:top w:w="0" w:type="dxa"/>
            <w:left w:w="0" w:type="dxa"/>
            <w:bottom w:w="0" w:type="dxa"/>
            <w:right w:w="0" w:type="dxa"/>
          </w:tblCellMar>
        </w:tblPrEx>
        <w:trPr>
          <w:trHeight w:val="455" w:hRule="atLeast"/>
          <w:jc w:val="center"/>
        </w:trPr>
        <w:tc>
          <w:tcPr>
            <w:tcW w:w="8326" w:type="dxa"/>
            <w:gridSpan w:val="2"/>
            <w:tcBorders>
              <w:top w:val="single" w:color="000000" w:sz="8" w:space="0"/>
              <w:left w:val="single" w:color="000000" w:sz="8" w:space="0"/>
              <w:bottom w:val="single" w:color="auto" w:sz="8"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Cs w:val="21"/>
              </w:rPr>
            </w:pPr>
            <w:r>
              <w:rPr>
                <w:rFonts w:ascii="Times New Roman" w:hAnsi="Times New Roman" w:eastAsia="宋体" w:cs="Times New Roman"/>
                <w:b/>
                <w:bCs/>
                <w:spacing w:val="-2"/>
                <w:sz w:val="24"/>
              </w:rPr>
              <w:t>技术参数要求</w:t>
            </w:r>
          </w:p>
        </w:tc>
      </w:tr>
      <w:tr>
        <w:tblPrEx>
          <w:tblCellMar>
            <w:top w:w="0" w:type="dxa"/>
            <w:left w:w="0" w:type="dxa"/>
            <w:bottom w:w="0" w:type="dxa"/>
            <w:right w:w="0" w:type="dxa"/>
          </w:tblCellMar>
        </w:tblPrEx>
        <w:trPr>
          <w:trHeight w:val="408" w:hRule="atLeast"/>
          <w:jc w:val="center"/>
        </w:trPr>
        <w:tc>
          <w:tcPr>
            <w:tcW w:w="3997" w:type="dxa"/>
            <w:tcBorders>
              <w:top w:val="single" w:color="auto" w:sz="8"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Cs w:val="21"/>
              </w:rPr>
            </w:pPr>
            <w:r>
              <w:rPr>
                <w:rFonts w:ascii="Times New Roman" w:hAnsi="Times New Roman" w:eastAsia="宋体" w:cs="Times New Roman"/>
                <w:spacing w:val="6"/>
                <w:sz w:val="24"/>
              </w:rPr>
              <w:t>机型</w:t>
            </w:r>
          </w:p>
        </w:tc>
        <w:tc>
          <w:tcPr>
            <w:tcW w:w="4329" w:type="dxa"/>
            <w:tcBorders>
              <w:top w:val="single" w:color="auto" w:sz="8"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Cs w:val="21"/>
              </w:rPr>
            </w:pPr>
            <w:r>
              <w:rPr>
                <w:rFonts w:ascii="Times New Roman" w:hAnsi="Times New Roman" w:eastAsia="宋体" w:cs="Times New Roman"/>
                <w:spacing w:val="-2"/>
                <w:sz w:val="24"/>
              </w:rPr>
              <w:t>直升机</w:t>
            </w:r>
          </w:p>
        </w:tc>
      </w:tr>
      <w:tr>
        <w:tblPrEx>
          <w:tblCellMar>
            <w:top w:w="0" w:type="dxa"/>
            <w:left w:w="0" w:type="dxa"/>
            <w:bottom w:w="0" w:type="dxa"/>
            <w:right w:w="0" w:type="dxa"/>
          </w:tblCellMar>
        </w:tblPrEx>
        <w:trPr>
          <w:trHeight w:val="155" w:hRule="atLeast"/>
          <w:jc w:val="center"/>
        </w:trPr>
        <w:tc>
          <w:tcPr>
            <w:tcW w:w="3997"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 w:val="24"/>
              </w:rPr>
            </w:pPr>
            <w:r>
              <w:rPr>
                <w:rFonts w:ascii="Times New Roman" w:hAnsi="Times New Roman" w:eastAsia="宋体" w:cs="Times New Roman"/>
                <w:spacing w:val="6"/>
                <w:sz w:val="24"/>
              </w:rPr>
              <w:t>作业喷幅(米）</w:t>
            </w:r>
          </w:p>
        </w:tc>
        <w:tc>
          <w:tcPr>
            <w:tcW w:w="4329"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 w:val="24"/>
              </w:rPr>
            </w:pPr>
            <w:r>
              <w:rPr>
                <w:rFonts w:ascii="Times New Roman" w:hAnsi="Times New Roman" w:eastAsia="宋体" w:cs="Times New Roman"/>
                <w:spacing w:val="-2"/>
                <w:sz w:val="24"/>
              </w:rPr>
              <w:t>45-50</w:t>
            </w:r>
          </w:p>
        </w:tc>
      </w:tr>
      <w:tr>
        <w:tblPrEx>
          <w:tblCellMar>
            <w:top w:w="0" w:type="dxa"/>
            <w:left w:w="0" w:type="dxa"/>
            <w:bottom w:w="0" w:type="dxa"/>
            <w:right w:w="0" w:type="dxa"/>
          </w:tblCellMar>
        </w:tblPrEx>
        <w:trPr>
          <w:trHeight w:val="330" w:hRule="atLeast"/>
          <w:jc w:val="center"/>
        </w:trPr>
        <w:tc>
          <w:tcPr>
            <w:tcW w:w="3997" w:type="dxa"/>
            <w:tcBorders>
              <w:top w:val="single" w:color="auto" w:sz="4"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 w:val="24"/>
              </w:rPr>
            </w:pPr>
            <w:r>
              <w:rPr>
                <w:rFonts w:ascii="Times New Roman" w:hAnsi="Times New Roman" w:eastAsia="宋体" w:cs="Times New Roman"/>
                <w:spacing w:val="10"/>
                <w:sz w:val="24"/>
              </w:rPr>
              <w:t>航速(</w:t>
            </w:r>
            <w:r>
              <w:rPr>
                <w:rFonts w:ascii="Times New Roman" w:hAnsi="Times New Roman" w:eastAsia="宋体" w:cs="Times New Roman"/>
                <w:sz w:val="24"/>
              </w:rPr>
              <w:t>km</w:t>
            </w:r>
            <w:r>
              <w:rPr>
                <w:rFonts w:hint="eastAsia" w:ascii="Times New Roman" w:hAnsi="Times New Roman" w:eastAsia="宋体" w:cs="Times New Roman"/>
                <w:sz w:val="24"/>
              </w:rPr>
              <w:t>/h</w:t>
            </w:r>
            <w:r>
              <w:rPr>
                <w:rFonts w:ascii="Times New Roman" w:hAnsi="Times New Roman" w:eastAsia="宋体" w:cs="Times New Roman"/>
                <w:spacing w:val="10"/>
                <w:sz w:val="24"/>
              </w:rPr>
              <w:t>)</w:t>
            </w:r>
          </w:p>
        </w:tc>
        <w:tc>
          <w:tcPr>
            <w:tcW w:w="4329" w:type="dxa"/>
            <w:tcBorders>
              <w:top w:val="single" w:color="auto" w:sz="4"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 w:val="24"/>
              </w:rPr>
            </w:pPr>
            <w:r>
              <w:rPr>
                <w:rFonts w:ascii="Times New Roman" w:hAnsi="Times New Roman" w:eastAsia="宋体" w:cs="Times New Roman"/>
                <w:spacing w:val="-4"/>
                <w:sz w:val="24"/>
              </w:rPr>
              <w:t>110-130</w:t>
            </w:r>
          </w:p>
        </w:tc>
      </w:tr>
      <w:tr>
        <w:tblPrEx>
          <w:tblCellMar>
            <w:top w:w="0" w:type="dxa"/>
            <w:left w:w="0" w:type="dxa"/>
            <w:bottom w:w="0" w:type="dxa"/>
            <w:right w:w="0" w:type="dxa"/>
          </w:tblCellMar>
        </w:tblPrEx>
        <w:trPr>
          <w:trHeight w:val="329" w:hRule="atLeast"/>
          <w:jc w:val="center"/>
        </w:trPr>
        <w:tc>
          <w:tcPr>
            <w:tcW w:w="399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 w:val="24"/>
              </w:rPr>
            </w:pPr>
            <w:r>
              <w:rPr>
                <w:rFonts w:hint="eastAsia" w:ascii="Times New Roman" w:hAnsi="Times New Roman" w:eastAsia="宋体" w:cs="Times New Roman"/>
                <w:sz w:val="24"/>
              </w:rPr>
              <w:t>单架次作业时间</w:t>
            </w:r>
          </w:p>
        </w:tc>
        <w:tc>
          <w:tcPr>
            <w:tcW w:w="432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 w:val="24"/>
              </w:rPr>
            </w:pPr>
            <w:r>
              <w:rPr>
                <w:rFonts w:hint="eastAsia" w:ascii="Times New Roman" w:hAnsi="Times New Roman" w:eastAsia="宋体" w:cs="Times New Roman"/>
                <w:sz w:val="24"/>
              </w:rPr>
              <w:t>≥20分钟</w:t>
            </w:r>
          </w:p>
        </w:tc>
      </w:tr>
      <w:tr>
        <w:tblPrEx>
          <w:tblCellMar>
            <w:top w:w="0" w:type="dxa"/>
            <w:left w:w="0" w:type="dxa"/>
            <w:bottom w:w="0" w:type="dxa"/>
            <w:right w:w="0" w:type="dxa"/>
          </w:tblCellMar>
        </w:tblPrEx>
        <w:trPr>
          <w:trHeight w:val="225" w:hRule="atLeast"/>
          <w:jc w:val="center"/>
        </w:trPr>
        <w:tc>
          <w:tcPr>
            <w:tcW w:w="3997"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 w:val="24"/>
              </w:rPr>
            </w:pPr>
            <w:r>
              <w:rPr>
                <w:rFonts w:hint="eastAsia" w:ascii="Times New Roman" w:hAnsi="Times New Roman" w:eastAsia="宋体" w:cs="Times New Roman"/>
                <w:sz w:val="24"/>
              </w:rPr>
              <w:t>飞行高度（树冠上部）</w:t>
            </w:r>
          </w:p>
        </w:tc>
        <w:tc>
          <w:tcPr>
            <w:tcW w:w="4329"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 w:val="24"/>
              </w:rPr>
            </w:pPr>
            <w:r>
              <w:rPr>
                <w:rFonts w:hint="eastAsia" w:ascii="Times New Roman" w:hAnsi="Times New Roman" w:eastAsia="宋体" w:cs="Times New Roman"/>
                <w:sz w:val="24"/>
              </w:rPr>
              <w:t>10-15米</w:t>
            </w:r>
          </w:p>
        </w:tc>
      </w:tr>
      <w:tr>
        <w:tblPrEx>
          <w:tblCellMar>
            <w:top w:w="0" w:type="dxa"/>
            <w:left w:w="0" w:type="dxa"/>
            <w:bottom w:w="0" w:type="dxa"/>
            <w:right w:w="0" w:type="dxa"/>
          </w:tblCellMar>
        </w:tblPrEx>
        <w:trPr>
          <w:trHeight w:val="270" w:hRule="atLeast"/>
          <w:jc w:val="center"/>
        </w:trPr>
        <w:tc>
          <w:tcPr>
            <w:tcW w:w="3997" w:type="dxa"/>
            <w:tcBorders>
              <w:top w:val="single" w:color="auto" w:sz="4"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105"/>
              <w:jc w:val="center"/>
              <w:rPr>
                <w:rFonts w:ascii="Times New Roman" w:hAnsi="Times New Roman" w:eastAsia="宋体" w:cs="Times New Roman"/>
                <w:sz w:val="24"/>
              </w:rPr>
            </w:pPr>
            <w:r>
              <w:rPr>
                <w:rFonts w:ascii="Times New Roman" w:hAnsi="Times New Roman" w:eastAsia="宋体" w:cs="Times New Roman"/>
                <w:spacing w:val="4"/>
                <w:sz w:val="24"/>
              </w:rPr>
              <w:t>一次作业面积(亩)</w:t>
            </w:r>
          </w:p>
        </w:tc>
        <w:tc>
          <w:tcPr>
            <w:tcW w:w="4329" w:type="dxa"/>
            <w:tcBorders>
              <w:top w:val="single" w:color="auto" w:sz="4" w:space="0"/>
              <w:left w:val="single" w:color="000000" w:sz="8" w:space="0"/>
              <w:bottom w:val="single" w:color="000000" w:sz="8" w:space="0"/>
              <w:right w:val="single" w:color="000000" w:sz="8" w:space="0"/>
            </w:tcBorders>
            <w:shd w:val="clear" w:color="auto" w:fill="auto"/>
            <w:noWrap w:val="0"/>
            <w:vAlign w:val="center"/>
          </w:tcPr>
          <w:p>
            <w:pPr>
              <w:widowControl/>
              <w:spacing w:line="500" w:lineRule="exact"/>
              <w:ind w:left="75"/>
              <w:jc w:val="center"/>
              <w:rPr>
                <w:rFonts w:ascii="Times New Roman" w:hAnsi="Times New Roman" w:eastAsia="宋体" w:cs="Times New Roman"/>
                <w:sz w:val="24"/>
              </w:rPr>
            </w:pPr>
            <w:r>
              <w:rPr>
                <w:rFonts w:ascii="Times New Roman" w:hAnsi="Times New Roman" w:eastAsia="宋体" w:cs="Times New Roman"/>
                <w:spacing w:val="-2"/>
                <w:sz w:val="24"/>
              </w:rPr>
              <w:t>2500-3000</w:t>
            </w:r>
          </w:p>
        </w:tc>
      </w:tr>
    </w:tbl>
    <w:p>
      <w:pPr>
        <w:widowControl/>
        <w:shd w:val="clear" w:color="auto" w:fill="FFFFFF"/>
        <w:spacing w:line="500" w:lineRule="exact"/>
        <w:ind w:firstLine="576"/>
        <w:rPr>
          <w:rFonts w:ascii="Times New Roman" w:hAnsi="Times New Roman" w:eastAsia="宋体" w:cs="Times New Roman"/>
          <w:color w:val="333333"/>
          <w:szCs w:val="21"/>
        </w:rPr>
      </w:pPr>
      <w:r>
        <w:rPr>
          <w:rFonts w:ascii="Times New Roman" w:hAnsi="Times New Roman" w:eastAsia="宋体" w:cs="Times New Roman"/>
          <w:color w:val="333333"/>
          <w:sz w:val="24"/>
        </w:rPr>
        <w:t>（二）飞防效果实施方案及技术参数</w:t>
      </w:r>
    </w:p>
    <w:p>
      <w:pPr>
        <w:widowControl/>
        <w:shd w:val="clear" w:color="auto" w:fill="FFFFFF"/>
        <w:spacing w:line="500" w:lineRule="exact"/>
        <w:ind w:right="6" w:firstLine="552"/>
        <w:jc w:val="left"/>
        <w:rPr>
          <w:rFonts w:ascii="Times New Roman" w:hAnsi="Times New Roman" w:eastAsia="宋体" w:cs="Times New Roman"/>
          <w:color w:val="333333"/>
          <w:szCs w:val="21"/>
        </w:rPr>
      </w:pPr>
      <w:r>
        <w:rPr>
          <w:rFonts w:ascii="Times New Roman" w:hAnsi="Times New Roman" w:eastAsia="宋体" w:cs="Times New Roman"/>
          <w:color w:val="333333"/>
          <w:sz w:val="24"/>
        </w:rPr>
        <w:t>1、飞机喷洒药液密度。每平方厘米叶片雾滴在5滴以上。保证作业区内施药全覆盖、无缝隙，所有树木均匀施药，局部区域如遇喷药不均匀，留缝隙，造成飞防达不到标准的，不予计算飞防架次和面积，乙方应当按照甲方要求免费重新飞防。</w:t>
      </w:r>
    </w:p>
    <w:p>
      <w:pPr>
        <w:widowControl/>
        <w:shd w:val="clear" w:color="auto" w:fill="FFFFFF"/>
        <w:spacing w:line="500" w:lineRule="exact"/>
        <w:ind w:right="23" w:firstLine="480"/>
        <w:rPr>
          <w:rFonts w:ascii="Times New Roman" w:hAnsi="Times New Roman" w:eastAsia="宋体" w:cs="Times New Roman"/>
          <w:color w:val="333333"/>
          <w:szCs w:val="21"/>
        </w:rPr>
      </w:pPr>
      <w:r>
        <w:rPr>
          <w:rFonts w:ascii="Times New Roman" w:hAnsi="Times New Roman" w:eastAsia="宋体" w:cs="Times New Roman"/>
          <w:color w:val="333333"/>
          <w:sz w:val="24"/>
        </w:rPr>
        <w:t>2、飞防效果 ：实行防治一代包全年的效果(飞防前情况不包括)。飞防区域内，美国白蛾有虫株率控制在1%以下，且全年叶片保存率不低于85%。漏喷率控制在0.01%以内，并能提供完整的喷药飞行航迹。</w:t>
      </w:r>
    </w:p>
    <w:p>
      <w:pPr>
        <w:widowControl/>
        <w:shd w:val="clear" w:color="auto" w:fill="FFFFFF"/>
        <w:spacing w:line="500" w:lineRule="exact"/>
        <w:ind w:right="23" w:firstLine="584"/>
        <w:rPr>
          <w:rFonts w:ascii="Times New Roman" w:hAnsi="Times New Roman" w:eastAsia="宋体" w:cs="Times New Roman"/>
          <w:color w:val="333333"/>
          <w:szCs w:val="21"/>
        </w:rPr>
      </w:pPr>
      <w:r>
        <w:rPr>
          <w:rFonts w:ascii="Times New Roman" w:hAnsi="Times New Roman" w:eastAsia="宋体" w:cs="Times New Roman"/>
          <w:color w:val="333333"/>
          <w:sz w:val="24"/>
        </w:rPr>
        <w:t>（三）施用药剂。根据《国家林业和草原局生物灾害防控中心文件（防控发［2021］14号）推荐目录》精神结合本地实际情况，药品选择使用25%甲维·灭幼脲、25%阿维·灭幼脲、10%甲维·除虫脲、25%灭幼脲、20%除虫脲、5%杀铃脲、1%苦参碱等农药中的一种及对水产养殖无碍的药剂(水产养殖规避点喷洒，投标人自选）用于本项目的实施。所使用药品为正规厂家生产，须提供农药三证（农药登记证、农药生产许可证或批准文件、农药标准）复印件或扫描件并经生产厂家确认。投标文件须根据选用药剂制定飞防用药计划，包括药物配比、用药量、用药效果预测、次生灾害应急措施等。</w:t>
      </w:r>
    </w:p>
    <w:p>
      <w:pPr>
        <w:widowControl/>
        <w:shd w:val="clear" w:color="auto" w:fill="FFFFFF"/>
        <w:spacing w:line="500" w:lineRule="exact"/>
        <w:ind w:firstLine="498"/>
        <w:rPr>
          <w:rFonts w:ascii="Times New Roman" w:hAnsi="Times New Roman" w:eastAsia="宋体" w:cs="Times New Roman"/>
          <w:color w:val="333333"/>
          <w:szCs w:val="21"/>
        </w:rPr>
      </w:pPr>
      <w:bookmarkStart w:id="140" w:name="_Toc19759"/>
      <w:bookmarkEnd w:id="140"/>
      <w:r>
        <w:rPr>
          <w:rFonts w:ascii="Times New Roman" w:hAnsi="Times New Roman" w:eastAsia="宋体" w:cs="Times New Roman"/>
          <w:color w:val="333333"/>
          <w:sz w:val="24"/>
        </w:rPr>
        <w:t>（四）作业要求：投标人需确保同时使用载重量不低于投标文件中飞机2架用于本项目实施（中标后</w:t>
      </w:r>
      <w:r>
        <w:rPr>
          <w:rFonts w:hint="eastAsia" w:ascii="Times New Roman" w:hAnsi="Times New Roman" w:eastAsia="宋体" w:cs="Times New Roman"/>
          <w:color w:val="333333"/>
          <w:sz w:val="24"/>
        </w:rPr>
        <w:t>无正当理由</w:t>
      </w:r>
      <w:r>
        <w:rPr>
          <w:rFonts w:ascii="Times New Roman" w:hAnsi="Times New Roman" w:eastAsia="宋体" w:cs="Times New Roman"/>
          <w:color w:val="333333"/>
          <w:sz w:val="24"/>
        </w:rPr>
        <w:t>不能同时按要求提供2架直升机实施项目，按违约处理）。飞机性能必须完好、安全，喷药设备齐全、先进，飞防过程中喷洒均匀；防治效果达到95%以上，漏喷率控制在0.01%以内，并能提供完整的喷药飞行航迹；用于作业的飞机要能提供完整的飞机施药作业航迹。全部飞防作业结束后，中标单位在10天内需将全部飞防航迹无理由、无条件提供给甲方(招标人),否则视作违约，按违约处理。</w:t>
      </w:r>
    </w:p>
    <w:p>
      <w:pPr>
        <w:widowControl/>
        <w:shd w:val="clear" w:color="auto" w:fill="FFFFFF"/>
        <w:spacing w:line="500" w:lineRule="exact"/>
        <w:ind w:firstLine="498"/>
        <w:rPr>
          <w:rFonts w:ascii="Times New Roman" w:hAnsi="Times New Roman" w:eastAsia="宋体" w:cs="Times New Roman"/>
          <w:color w:val="333333"/>
          <w:szCs w:val="21"/>
        </w:rPr>
      </w:pPr>
      <w:r>
        <w:rPr>
          <w:rFonts w:hint="eastAsia" w:ascii="Times New Roman" w:hAnsi="Times New Roman" w:eastAsia="宋体" w:cs="Times New Roman"/>
          <w:b/>
          <w:bCs/>
          <w:color w:val="333333"/>
          <w:spacing w:val="4"/>
          <w:sz w:val="24"/>
        </w:rPr>
        <w:t>四</w:t>
      </w:r>
      <w:r>
        <w:rPr>
          <w:rFonts w:ascii="Times New Roman" w:hAnsi="Times New Roman" w:eastAsia="宋体" w:cs="Times New Roman"/>
          <w:b/>
          <w:bCs/>
          <w:color w:val="333333"/>
          <w:spacing w:val="4"/>
          <w:sz w:val="24"/>
        </w:rPr>
        <w:t>、飞防时间</w:t>
      </w:r>
    </w:p>
    <w:p>
      <w:pPr>
        <w:widowControl/>
        <w:shd w:val="clear" w:color="auto" w:fill="FFFFFF"/>
        <w:spacing w:line="500" w:lineRule="exact"/>
        <w:ind w:firstLine="600"/>
        <w:rPr>
          <w:rFonts w:ascii="Times New Roman" w:hAnsi="Times New Roman" w:eastAsia="宋体" w:cs="Times New Roman"/>
          <w:color w:val="333333"/>
          <w:szCs w:val="21"/>
        </w:rPr>
      </w:pPr>
      <w:r>
        <w:rPr>
          <w:rFonts w:ascii="Times New Roman" w:hAnsi="Times New Roman" w:eastAsia="宋体" w:cs="Times New Roman"/>
          <w:color w:val="333333"/>
          <w:sz w:val="24"/>
        </w:rPr>
        <w:t>具体飞防时间按采购人要求，以实际测报为准。</w:t>
      </w:r>
    </w:p>
    <w:p>
      <w:pPr>
        <w:widowControl/>
        <w:shd w:val="clear" w:color="auto" w:fill="FFFFFF"/>
        <w:spacing w:line="500" w:lineRule="exact"/>
        <w:ind w:firstLine="480"/>
        <w:rPr>
          <w:rFonts w:ascii="Times New Roman" w:hAnsi="Times New Roman" w:eastAsia="宋体" w:cs="Times New Roman"/>
          <w:color w:val="333333"/>
          <w:szCs w:val="21"/>
        </w:rPr>
      </w:pPr>
      <w:r>
        <w:rPr>
          <w:rFonts w:hint="eastAsia" w:ascii="Times New Roman" w:hAnsi="Times New Roman" w:eastAsia="宋体" w:cs="Times New Roman"/>
          <w:b/>
          <w:bCs/>
          <w:color w:val="333333"/>
          <w:sz w:val="24"/>
        </w:rPr>
        <w:t>五</w:t>
      </w:r>
      <w:r>
        <w:rPr>
          <w:rFonts w:ascii="Times New Roman" w:hAnsi="Times New Roman" w:eastAsia="宋体" w:cs="Times New Roman"/>
          <w:b/>
          <w:bCs/>
          <w:color w:val="333333"/>
          <w:sz w:val="24"/>
        </w:rPr>
        <w:t>、</w:t>
      </w:r>
      <w:bookmarkStart w:id="141" w:name="_Toc21098"/>
      <w:bookmarkEnd w:id="141"/>
      <w:r>
        <w:rPr>
          <w:rFonts w:ascii="Times New Roman" w:hAnsi="Times New Roman" w:eastAsia="宋体" w:cs="Times New Roman"/>
          <w:b/>
          <w:bCs/>
          <w:color w:val="333333"/>
          <w:sz w:val="24"/>
        </w:rPr>
        <w:t>其它要求</w:t>
      </w:r>
    </w:p>
    <w:p>
      <w:pPr>
        <w:widowControl/>
        <w:shd w:val="clear" w:color="auto" w:fill="FFFFFF"/>
        <w:spacing w:line="500" w:lineRule="exact"/>
        <w:ind w:firstLine="480"/>
        <w:rPr>
          <w:rFonts w:ascii="Times New Roman" w:hAnsi="Times New Roman" w:eastAsia="宋体" w:cs="Times New Roman"/>
          <w:color w:val="333333"/>
          <w:szCs w:val="21"/>
        </w:rPr>
      </w:pPr>
      <w:bookmarkStart w:id="142" w:name="_Toc21557"/>
      <w:bookmarkEnd w:id="142"/>
      <w:r>
        <w:rPr>
          <w:rFonts w:ascii="Times New Roman" w:hAnsi="Times New Roman" w:eastAsia="宋体" w:cs="Times New Roman"/>
          <w:color w:val="333333"/>
          <w:sz w:val="24"/>
        </w:rPr>
        <w:t>（一）项目组人员：</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项目组成员不少于5人。</w:t>
      </w:r>
    </w:p>
    <w:p>
      <w:pPr>
        <w:widowControl/>
        <w:shd w:val="clear" w:color="auto" w:fill="FFFFFF"/>
        <w:spacing w:line="500" w:lineRule="exact"/>
        <w:ind w:firstLine="480"/>
        <w:rPr>
          <w:rFonts w:ascii="Times New Roman" w:hAnsi="Times New Roman" w:eastAsia="宋体" w:cs="Times New Roman"/>
          <w:color w:val="333333"/>
          <w:szCs w:val="21"/>
        </w:rPr>
      </w:pPr>
      <w:bookmarkStart w:id="143" w:name="_Toc23377"/>
      <w:bookmarkEnd w:id="143"/>
      <w:r>
        <w:rPr>
          <w:rFonts w:ascii="Times New Roman" w:hAnsi="Times New Roman" w:eastAsia="宋体" w:cs="Times New Roman"/>
          <w:color w:val="333333"/>
          <w:sz w:val="24"/>
        </w:rPr>
        <w:t>（二）飞防项目实施方案：</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项目实施步骤、计划进度安排、药剂的选择，施药方案，机型选择方案，效果预测及安全保障措施。</w:t>
      </w:r>
    </w:p>
    <w:p>
      <w:pPr>
        <w:widowControl/>
        <w:shd w:val="clear" w:color="auto" w:fill="FFFFFF"/>
        <w:spacing w:line="500" w:lineRule="exact"/>
        <w:ind w:firstLine="480"/>
        <w:rPr>
          <w:rFonts w:ascii="Times New Roman" w:hAnsi="Times New Roman" w:eastAsia="宋体" w:cs="Times New Roman"/>
          <w:color w:val="333333"/>
          <w:szCs w:val="21"/>
        </w:rPr>
      </w:pPr>
      <w:bookmarkStart w:id="144" w:name="_Toc7603"/>
      <w:bookmarkEnd w:id="144"/>
      <w:r>
        <w:rPr>
          <w:rFonts w:ascii="Times New Roman" w:hAnsi="Times New Roman" w:eastAsia="宋体" w:cs="Times New Roman"/>
          <w:color w:val="333333"/>
          <w:sz w:val="24"/>
        </w:rPr>
        <w:t>（三）应急及突发事件的处理措施：</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制定详细的应急预案，应急和保障机制健全，能够预见并有效应对各种突发事件，有明确的应急组织机构，能落实到具体负责人。</w:t>
      </w:r>
    </w:p>
    <w:p>
      <w:pPr>
        <w:widowControl/>
        <w:shd w:val="clear" w:color="auto" w:fill="FFFFFF"/>
        <w:spacing w:line="500" w:lineRule="exact"/>
        <w:ind w:firstLine="480"/>
        <w:rPr>
          <w:rFonts w:ascii="Times New Roman" w:hAnsi="Times New Roman" w:eastAsia="宋体" w:cs="Times New Roman"/>
          <w:color w:val="333333"/>
          <w:sz w:val="32"/>
          <w:szCs w:val="32"/>
        </w:rPr>
      </w:pPr>
      <w:r>
        <w:rPr>
          <w:rFonts w:ascii="Times New Roman" w:hAnsi="Times New Roman" w:eastAsia="宋体" w:cs="Times New Roman"/>
          <w:color w:val="333333"/>
          <w:sz w:val="24"/>
        </w:rPr>
        <w:t>（四）</w:t>
      </w:r>
      <w:bookmarkStart w:id="145" w:name="_Toc6103"/>
      <w:bookmarkEnd w:id="145"/>
      <w:r>
        <w:rPr>
          <w:rFonts w:ascii="Times New Roman" w:hAnsi="Times New Roman" w:eastAsia="宋体" w:cs="Times New Roman"/>
          <w:color w:val="333333"/>
          <w:sz w:val="24"/>
        </w:rPr>
        <w:t>药品选择及用药质量保障</w:t>
      </w:r>
    </w:p>
    <w:p>
      <w:pPr>
        <w:widowControl/>
        <w:shd w:val="clear" w:color="auto" w:fill="FFFFFF"/>
        <w:spacing w:line="500" w:lineRule="exact"/>
        <w:ind w:firstLine="480"/>
        <w:rPr>
          <w:rFonts w:ascii="Times New Roman" w:hAnsi="Times New Roman" w:eastAsia="宋体" w:cs="Times New Roman"/>
          <w:color w:val="333333"/>
          <w:sz w:val="32"/>
          <w:szCs w:val="32"/>
        </w:rPr>
      </w:pPr>
      <w:r>
        <w:rPr>
          <w:rFonts w:ascii="Times New Roman" w:hAnsi="Times New Roman" w:eastAsia="宋体" w:cs="Times New Roman"/>
          <w:color w:val="333333"/>
          <w:sz w:val="24"/>
        </w:rPr>
        <w:t>投标人针对本项目使用的药剂符合国家行业标准并满足招标要求，以及针对本项目做出质量保障措施。</w:t>
      </w:r>
    </w:p>
    <w:p>
      <w:pPr>
        <w:widowControl/>
        <w:shd w:val="clear" w:color="auto" w:fill="FFFFFF"/>
        <w:spacing w:line="500" w:lineRule="exact"/>
        <w:ind w:firstLine="480"/>
        <w:rPr>
          <w:rFonts w:ascii="Times New Roman" w:hAnsi="Times New Roman" w:eastAsia="宋体" w:cs="Times New Roman"/>
          <w:color w:val="333333"/>
          <w:szCs w:val="21"/>
        </w:rPr>
      </w:pPr>
      <w:bookmarkStart w:id="146" w:name="_Toc19518"/>
      <w:bookmarkEnd w:id="146"/>
      <w:r>
        <w:rPr>
          <w:rFonts w:ascii="Times New Roman" w:hAnsi="Times New Roman" w:eastAsia="宋体" w:cs="Times New Roman"/>
          <w:color w:val="333333"/>
          <w:sz w:val="24"/>
        </w:rPr>
        <w:t>（五）售后服务方案</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售后服务：售后服务体系完善，配备大型喷药车辆或无人机等补防设备，能够及时提供售后服务。</w:t>
      </w:r>
      <w:bookmarkStart w:id="147" w:name="_Toc26554093"/>
      <w:bookmarkEnd w:id="147"/>
      <w:bookmarkStart w:id="148" w:name="_Toc120614281"/>
      <w:bookmarkEnd w:id="148"/>
      <w:bookmarkStart w:id="149" w:name="_Toc49090575"/>
      <w:bookmarkEnd w:id="149"/>
    </w:p>
    <w:p>
      <w:pPr>
        <w:spacing w:line="360" w:lineRule="auto"/>
        <w:ind w:firstLine="482"/>
        <w:contextualSpacing/>
        <w:rPr>
          <w:rFonts w:ascii="宋体" w:hAnsi="宋体" w:eastAsia="宋体" w:cs="宋体"/>
          <w:b/>
          <w:sz w:val="24"/>
        </w:rPr>
      </w:pPr>
      <w:r>
        <w:rPr>
          <w:rFonts w:hint="eastAsia" w:ascii="宋体" w:hAnsi="宋体" w:eastAsia="宋体" w:cs="宋体"/>
          <w:b/>
          <w:sz w:val="24"/>
        </w:rPr>
        <w:t>六、其他要求：</w:t>
      </w:r>
    </w:p>
    <w:p>
      <w:pPr>
        <w:spacing w:line="360" w:lineRule="auto"/>
        <w:ind w:firstLine="480"/>
        <w:contextualSpacing/>
        <w:rPr>
          <w:rFonts w:ascii="宋体" w:hAnsi="宋体" w:eastAsia="宋体" w:cs="宋体"/>
          <w:sz w:val="24"/>
        </w:rPr>
      </w:pPr>
      <w:r>
        <w:rPr>
          <w:rFonts w:ascii="宋体" w:hAnsi="宋体" w:eastAsia="宋体" w:cs="宋体"/>
          <w:sz w:val="24"/>
        </w:rPr>
        <w:t>本项目落实“关于推动解决政府采购异常低价问题的通知(苏财购(202</w:t>
      </w:r>
      <w:r>
        <w:rPr>
          <w:rFonts w:hint="eastAsia" w:ascii="宋体" w:hAnsi="宋体" w:eastAsia="宋体" w:cs="宋体"/>
          <w:sz w:val="24"/>
        </w:rPr>
        <w:t>6</w:t>
      </w:r>
      <w:r>
        <w:rPr>
          <w:rFonts w:ascii="宋体" w:hAnsi="宋体" w:eastAsia="宋体" w:cs="宋体"/>
          <w:sz w:val="24"/>
        </w:rPr>
        <w:t>)</w:t>
      </w:r>
      <w:r>
        <w:rPr>
          <w:rFonts w:hint="eastAsia" w:ascii="宋体" w:hAnsi="宋体" w:eastAsia="宋体" w:cs="宋体"/>
          <w:sz w:val="24"/>
        </w:rPr>
        <w:t>36</w:t>
      </w:r>
      <w:r>
        <w:rPr>
          <w:rFonts w:ascii="宋体" w:hAnsi="宋体" w:eastAsia="宋体" w:cs="宋体"/>
          <w:sz w:val="24"/>
        </w:rPr>
        <w:t>号)”文件规定。</w:t>
      </w:r>
    </w:p>
    <w:p>
      <w:pPr>
        <w:widowControl/>
        <w:shd w:val="clear" w:color="auto" w:fill="FFFFFF"/>
        <w:spacing w:line="500" w:lineRule="exact"/>
        <w:ind w:firstLine="241"/>
        <w:rPr>
          <w:rFonts w:ascii="Times New Roman" w:hAnsi="Times New Roman" w:eastAsia="宋体" w:cs="Times New Roman"/>
          <w:color w:val="333333"/>
          <w:szCs w:val="21"/>
        </w:rPr>
      </w:pPr>
      <w:r>
        <w:rPr>
          <w:rFonts w:hint="eastAsia" w:ascii="Times New Roman" w:hAnsi="Times New Roman" w:eastAsia="宋体" w:cs="Times New Roman"/>
          <w:b/>
          <w:bCs/>
          <w:color w:val="333333"/>
          <w:sz w:val="24"/>
        </w:rPr>
        <w:t>七、</w:t>
      </w:r>
      <w:r>
        <w:rPr>
          <w:rFonts w:ascii="Times New Roman" w:hAnsi="Times New Roman" w:eastAsia="宋体" w:cs="Times New Roman"/>
          <w:b/>
          <w:bCs/>
          <w:color w:val="333333"/>
          <w:sz w:val="24"/>
        </w:rPr>
        <w:t>政府采购政策功能落实</w:t>
      </w:r>
    </w:p>
    <w:p>
      <w:pPr>
        <w:widowControl/>
        <w:shd w:val="clear" w:color="auto" w:fill="FFFFFF"/>
        <w:spacing w:line="500" w:lineRule="exact"/>
        <w:rPr>
          <w:rFonts w:ascii="Times New Roman" w:hAnsi="Times New Roman" w:eastAsia="宋体" w:cs="Times New Roman"/>
          <w:color w:val="333333"/>
          <w:szCs w:val="21"/>
        </w:rPr>
      </w:pPr>
      <w:r>
        <w:rPr>
          <w:rFonts w:ascii="Times New Roman" w:hAnsi="Times New Roman" w:eastAsia="宋体" w:cs="Times New Roman"/>
          <w:b/>
          <w:bCs/>
          <w:color w:val="333333"/>
          <w:sz w:val="24"/>
        </w:rPr>
        <w:t>本项目落实的政府采购政策对应以下序号为</w:t>
      </w:r>
      <w:r>
        <w:rPr>
          <w:rFonts w:ascii="Times New Roman" w:hAnsi="Times New Roman" w:eastAsia="宋体" w:cs="Times New Roman"/>
          <w:b/>
          <w:bCs/>
          <w:color w:val="333333"/>
          <w:sz w:val="24"/>
          <w:u w:val="single"/>
        </w:rPr>
        <w:t> 1、2、3、4、5 </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1、采购本国货物、工程和服务</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2、中小企业政策</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本项目按以下第</w:t>
      </w:r>
      <w:r>
        <w:rPr>
          <w:rFonts w:ascii="Times New Roman" w:hAnsi="Times New Roman" w:eastAsia="宋体" w:cs="Times New Roman"/>
          <w:color w:val="333333"/>
          <w:sz w:val="24"/>
          <w:u w:val="single"/>
        </w:rPr>
        <w:t>（</w:t>
      </w:r>
      <w:r>
        <w:rPr>
          <w:rFonts w:hint="eastAsia" w:ascii="Times New Roman" w:hAnsi="Times New Roman" w:eastAsia="宋体" w:cs="Times New Roman"/>
          <w:color w:val="333333"/>
          <w:sz w:val="24"/>
          <w:u w:val="single"/>
          <w:lang w:val="en-US" w:eastAsia="zh-CN"/>
        </w:rPr>
        <w:t>2</w:t>
      </w:r>
      <w:r>
        <w:rPr>
          <w:rFonts w:ascii="Times New Roman" w:hAnsi="Times New Roman" w:eastAsia="宋体" w:cs="Times New Roman"/>
          <w:color w:val="333333"/>
          <w:sz w:val="24"/>
          <w:u w:val="single"/>
        </w:rPr>
        <w:t>）</w:t>
      </w:r>
      <w:r>
        <w:rPr>
          <w:rFonts w:ascii="Times New Roman" w:hAnsi="Times New Roman" w:eastAsia="宋体" w:cs="Times New Roman"/>
          <w:color w:val="333333"/>
          <w:sz w:val="24"/>
        </w:rPr>
        <w:t>种政策确定本项目落实的中小企业政策：</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（1）本项目专门面向中小企业（含监狱企业、残疾人福利企业）采购。</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（2）投标人提供的服务符合下列情形的，对小微企业报价给予</w:t>
      </w:r>
      <w:r>
        <w:rPr>
          <w:rFonts w:ascii="Times New Roman" w:hAnsi="Times New Roman" w:eastAsia="宋体" w:cs="Times New Roman"/>
          <w:color w:val="333333"/>
          <w:sz w:val="24"/>
          <w:u w:val="single"/>
        </w:rPr>
        <w:t>10%</w:t>
      </w:r>
      <w:r>
        <w:rPr>
          <w:rFonts w:ascii="Times New Roman" w:hAnsi="Times New Roman" w:eastAsia="宋体" w:cs="Times New Roman"/>
          <w:color w:val="333333"/>
          <w:sz w:val="24"/>
        </w:rPr>
        <w:t>的扣除，用扣除后的价格参加评审。</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在服务采购项目中，服务由中小企业承接，即提供服务的人员为中小企业依照《中华人民共和国民法典》订立劳动合同的从业人员。</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注：①参加投标的中小企业，应当按照《政府采购促进中小企业发展管理办法》（财库〔2020〕46号）规定，出具《中小企业声明函》，中小企业划型依据《关于印发中小企业划型标准规定的通知》（工信部联企业〔2011〕300 号）。</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3、政府采购节能产品、环境标志产品</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（2）采购人拟采购的产品属于政府强制采购的节能产品品目清单范围的，投标人须提供国家确定的认证机构出具的、处于有效期之内的节能产品认证证书的，否则无效标处理。</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（3）采购人拟采购的产品属于优先采购的节能环保品目清单范围的，按以下条件优先采购：</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采用综合评分法的项目，对提供有效节能环保证书的投标人加分。</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采用最低评标价法的项目，同等条件下优先推荐提供有效节能环保证书多的投标人为中标人。</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4、商品包装、快递包装政府采购需求标准（试行）</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为助力打好污染防治攻坚战，推广使用绿色包装，根据财政部印发的《商品包装政府采购需求标准（试行）》、《快递包装政府采购需求标准（试行）》，如本项目涉及商品包装和快递包装的，具体需求详见第四章采购需求。</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5、绿色数据中心政府采购需求标准（试行）</w:t>
      </w:r>
    </w:p>
    <w:p>
      <w:pPr>
        <w:widowControl/>
        <w:shd w:val="clear" w:color="auto" w:fill="FFFFFF"/>
        <w:spacing w:line="500" w:lineRule="exact"/>
        <w:ind w:firstLine="480"/>
        <w:rPr>
          <w:rFonts w:ascii="Times New Roman" w:hAnsi="Times New Roman" w:eastAsia="宋体" w:cs="Times New Roman"/>
          <w:color w:val="333333"/>
          <w:sz w:val="24"/>
        </w:rPr>
      </w:pPr>
      <w:r>
        <w:rPr>
          <w:rFonts w:ascii="Times New Roman" w:hAnsi="Times New Roman" w:eastAsia="宋体" w:cs="Times New Roman"/>
          <w:color w:val="333333"/>
          <w:sz w:val="24"/>
        </w:rPr>
        <w:t>为加快数据中心绿色转型，根据财政部 生态环境部 工业和信息化部关于印发《绿色数据中心政府采购需求标准（试行）》的通知），本项目如涉及绿色数据中心，具体需求详见第四章采购需求。</w:t>
      </w: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ascii="Times New Roman" w:hAnsi="Times New Roman" w:eastAsia="宋体" w:cs="Times New Roman"/>
          <w:color w:val="333333"/>
          <w:sz w:val="24"/>
        </w:rPr>
      </w:pPr>
    </w:p>
    <w:p>
      <w:pPr>
        <w:pStyle w:val="3"/>
        <w:rPr>
          <w:rFonts w:ascii="Times New Roman" w:hAnsi="Times New Roman" w:eastAsia="宋体" w:cs="Times New Roman"/>
          <w:color w:val="333333"/>
          <w:sz w:val="24"/>
        </w:rPr>
      </w:pPr>
    </w:p>
    <w:p>
      <w:pPr>
        <w:rPr>
          <w:rFonts w:ascii="Times New Roman" w:hAnsi="Times New Roman" w:eastAsia="宋体" w:cs="Times New Roman"/>
          <w:color w:val="333333"/>
          <w:sz w:val="24"/>
        </w:rPr>
      </w:pPr>
    </w:p>
    <w:p>
      <w:pPr>
        <w:pStyle w:val="2"/>
        <w:rPr>
          <w:rFonts w:hint="eastAsia"/>
        </w:rPr>
      </w:pPr>
    </w:p>
    <w:p>
      <w:pPr>
        <w:keepNext/>
        <w:keepLines/>
        <w:spacing w:before="200" w:after="200"/>
        <w:jc w:val="center"/>
        <w:outlineLvl w:val="0"/>
        <w:rPr>
          <w:rFonts w:ascii="Calibri" w:hAnsi="Calibri" w:eastAsia="宋体" w:cs="Times New Roman"/>
          <w:b/>
          <w:sz w:val="44"/>
          <w:szCs w:val="44"/>
        </w:rPr>
      </w:pPr>
      <w:r>
        <w:rPr>
          <w:rFonts w:hint="eastAsia" w:ascii="Calibri" w:hAnsi="Calibri" w:eastAsia="宋体" w:cs="Times New Roman"/>
          <w:b/>
          <w:sz w:val="44"/>
          <w:szCs w:val="44"/>
        </w:rPr>
        <w:t>第五章</w:t>
      </w:r>
      <w:r>
        <w:rPr>
          <w:rFonts w:ascii="Calibri" w:hAnsi="Calibri" w:eastAsia="宋体" w:cs="Times New Roman"/>
          <w:b/>
          <w:sz w:val="44"/>
          <w:szCs w:val="44"/>
        </w:rPr>
        <w:t xml:space="preserve">  </w:t>
      </w:r>
      <w:r>
        <w:rPr>
          <w:rFonts w:hint="eastAsia" w:ascii="Calibri" w:hAnsi="Calibri" w:eastAsia="宋体" w:cs="Times New Roman"/>
          <w:b/>
          <w:sz w:val="44"/>
          <w:szCs w:val="44"/>
        </w:rPr>
        <w:t>合同文本</w:t>
      </w:r>
      <w:bookmarkEnd w:id="132"/>
      <w:bookmarkEnd w:id="133"/>
      <w:bookmarkEnd w:id="134"/>
      <w:bookmarkEnd w:id="135"/>
      <w:bookmarkEnd w:id="136"/>
      <w:bookmarkStart w:id="150" w:name="_Toc513029243"/>
      <w:bookmarkEnd w:id="150"/>
      <w:bookmarkStart w:id="151" w:name="_Toc20823315"/>
      <w:bookmarkEnd w:id="151"/>
      <w:bookmarkStart w:id="152" w:name="_Toc16938559"/>
      <w:bookmarkEnd w:id="152"/>
    </w:p>
    <w:p>
      <w:pPr>
        <w:keepNext/>
        <w:pBdr>
          <w:top w:val="none" w:color="000000" w:sz="0" w:space="0"/>
          <w:left w:val="none" w:color="000000" w:sz="0" w:space="0"/>
          <w:bottom w:val="none" w:color="000000" w:sz="0" w:space="0"/>
          <w:right w:val="none" w:color="000000" w:sz="0" w:space="0"/>
          <w:between w:val="none" w:color="000000" w:sz="0" w:space="0"/>
        </w:pBdr>
        <w:ind w:firstLine="2640"/>
        <w:rPr>
          <w:rFonts w:ascii="宋体" w:hAnsi="宋体" w:eastAsia="宋体" w:cs="宋体"/>
          <w:sz w:val="24"/>
        </w:rPr>
      </w:pPr>
      <w:bookmarkStart w:id="153" w:name="_Toc12937"/>
      <w:bookmarkStart w:id="154" w:name="_Toc9003"/>
      <w:bookmarkStart w:id="155" w:name="_Toc22853"/>
      <w:bookmarkStart w:id="156" w:name="_Toc81575207"/>
      <w:bookmarkStart w:id="157" w:name="_Toc81575170"/>
      <w:bookmarkStart w:id="158" w:name="_Toc19649"/>
    </w:p>
    <w:p>
      <w:pPr>
        <w:widowControl/>
        <w:shd w:val="clear" w:color="auto" w:fill="FFFFFF"/>
        <w:spacing w:line="500" w:lineRule="exact"/>
        <w:ind w:left="357" w:firstLine="420"/>
        <w:jc w:val="left"/>
        <w:rPr>
          <w:rFonts w:ascii="Times New Roman" w:hAnsi="Times New Roman" w:eastAsia="宋体" w:cs="Times New Roman"/>
          <w:color w:val="333333"/>
          <w:szCs w:val="21"/>
        </w:rPr>
      </w:pPr>
      <w:bookmarkStart w:id="159" w:name="_Toc16938590"/>
      <w:bookmarkEnd w:id="159"/>
      <w:bookmarkStart w:id="160" w:name="_Toc20823346"/>
      <w:bookmarkEnd w:id="160"/>
      <w:bookmarkStart w:id="161" w:name="_Toc120614244"/>
      <w:bookmarkEnd w:id="161"/>
      <w:bookmarkStart w:id="162" w:name="_Hlt16619369"/>
      <w:bookmarkEnd w:id="162"/>
      <w:bookmarkStart w:id="163" w:name="_Toc479757211"/>
      <w:bookmarkEnd w:id="163"/>
      <w:bookmarkStart w:id="164" w:name="_Toc462564139"/>
      <w:bookmarkEnd w:id="164"/>
      <w:bookmarkStart w:id="165" w:name="_Hlt16619350"/>
      <w:bookmarkEnd w:id="165"/>
      <w:r>
        <w:rPr>
          <w:rFonts w:ascii="Times New Roman" w:hAnsi="Times New Roman" w:eastAsia="宋体" w:cs="Times New Roman"/>
          <w:color w:val="333333"/>
          <w:sz w:val="24"/>
        </w:rPr>
        <w:t>采购单位（全称）：</w:t>
      </w:r>
      <w:r>
        <w:rPr>
          <w:rFonts w:ascii="Times New Roman" w:hAnsi="Times New Roman" w:eastAsia="宋体" w:cs="Times New Roman"/>
          <w:color w:val="333333"/>
          <w:sz w:val="24"/>
          <w:u w:val="single"/>
        </w:rPr>
        <w:t>                           </w:t>
      </w:r>
      <w:r>
        <w:rPr>
          <w:rFonts w:ascii="Times New Roman" w:hAnsi="Times New Roman" w:eastAsia="宋体" w:cs="Times New Roman"/>
          <w:color w:val="333333"/>
          <w:sz w:val="24"/>
        </w:rPr>
        <w:t>（简称甲方）</w:t>
      </w:r>
    </w:p>
    <w:p>
      <w:pPr>
        <w:widowControl/>
        <w:shd w:val="clear" w:color="auto" w:fill="FFFFFF"/>
        <w:spacing w:line="500" w:lineRule="exact"/>
        <w:ind w:left="357" w:firstLine="420"/>
        <w:jc w:val="left"/>
        <w:rPr>
          <w:rFonts w:ascii="Times New Roman" w:hAnsi="Times New Roman" w:eastAsia="宋体" w:cs="Times New Roman"/>
          <w:color w:val="333333"/>
          <w:szCs w:val="21"/>
        </w:rPr>
      </w:pPr>
      <w:r>
        <w:rPr>
          <w:rFonts w:ascii="Times New Roman" w:hAnsi="Times New Roman" w:eastAsia="宋体" w:cs="Times New Roman"/>
          <w:color w:val="333333"/>
          <w:sz w:val="24"/>
        </w:rPr>
        <w:t>供 应 商（全称）：</w:t>
      </w:r>
      <w:r>
        <w:rPr>
          <w:rFonts w:ascii="Times New Roman" w:hAnsi="Times New Roman" w:eastAsia="宋体" w:cs="Times New Roman"/>
          <w:color w:val="333333"/>
          <w:sz w:val="24"/>
          <w:u w:val="single"/>
        </w:rPr>
        <w:t>                           </w:t>
      </w:r>
      <w:r>
        <w:rPr>
          <w:rFonts w:ascii="Times New Roman" w:hAnsi="Times New Roman" w:eastAsia="宋体" w:cs="Times New Roman"/>
          <w:color w:val="333333"/>
          <w:sz w:val="24"/>
        </w:rPr>
        <w:t>（简称乙方）</w:t>
      </w:r>
    </w:p>
    <w:p>
      <w:pPr>
        <w:widowControl/>
        <w:shd w:val="clear" w:color="auto" w:fill="FFFFFF"/>
        <w:spacing w:line="500" w:lineRule="exact"/>
        <w:ind w:firstLine="480"/>
        <w:jc w:val="left"/>
        <w:rPr>
          <w:rFonts w:ascii="Times New Roman" w:hAnsi="Times New Roman" w:eastAsia="宋体" w:cs="Times New Roman"/>
          <w:color w:val="333333"/>
          <w:szCs w:val="21"/>
        </w:rPr>
      </w:pPr>
      <w:bookmarkStart w:id="166" w:name="_Toc1719"/>
      <w:bookmarkEnd w:id="166"/>
      <w:r>
        <w:rPr>
          <w:rFonts w:ascii="Times New Roman" w:hAnsi="Times New Roman" w:eastAsia="宋体" w:cs="Times New Roman"/>
          <w:color w:val="333333"/>
          <w:sz w:val="24"/>
        </w:rPr>
        <w:t>甲、乙双方根据</w:t>
      </w:r>
      <w:r>
        <w:rPr>
          <w:rFonts w:ascii="Times New Roman" w:hAnsi="Times New Roman" w:eastAsia="宋体" w:cs="Times New Roman"/>
          <w:color w:val="333333"/>
          <w:sz w:val="24"/>
          <w:u w:val="single"/>
        </w:rPr>
        <w:t>（项目编号：  </w:t>
      </w:r>
      <w:r>
        <w:rPr>
          <w:rFonts w:hint="eastAsia" w:ascii="宋体" w:hAnsi="宋体" w:eastAsia="宋体" w:cs="宋体"/>
          <w:sz w:val="24"/>
          <w:u w:val="single"/>
          <w:lang w:eastAsia="zh-CN"/>
        </w:rPr>
        <w:t>JSZC-321322-JSDX-G2026-0007</w:t>
      </w:r>
      <w:r>
        <w:rPr>
          <w:rFonts w:hint="eastAsia" w:ascii="宋体" w:hAnsi="宋体" w:eastAsia="宋体" w:cs="宋体"/>
          <w:sz w:val="24"/>
          <w:u w:val="single"/>
        </w:rPr>
        <w:t xml:space="preserve">  </w:t>
      </w:r>
      <w:r>
        <w:rPr>
          <w:rFonts w:ascii="Times New Roman" w:hAnsi="Times New Roman" w:eastAsia="宋体" w:cs="Times New Roman"/>
          <w:color w:val="333333"/>
          <w:sz w:val="24"/>
          <w:u w:val="single"/>
        </w:rPr>
        <w:t>  ）</w:t>
      </w:r>
      <w:r>
        <w:rPr>
          <w:rFonts w:hint="eastAsia" w:ascii="Times New Roman" w:hAnsi="Times New Roman" w:eastAsia="宋体" w:cs="Times New Roman"/>
          <w:color w:val="333333"/>
          <w:sz w:val="24"/>
          <w:u w:val="single"/>
          <w:lang w:eastAsia="zh-CN"/>
        </w:rPr>
        <w:t>沭阳县2026年飞机施药防治美国白蛾项目</w:t>
      </w:r>
      <w:r>
        <w:rPr>
          <w:rFonts w:ascii="Times New Roman" w:hAnsi="Times New Roman" w:eastAsia="宋体" w:cs="Times New Roman"/>
          <w:color w:val="333333"/>
          <w:sz w:val="24"/>
        </w:rPr>
        <w:t>公开招标的结果，签署本合同。</w:t>
      </w:r>
    </w:p>
    <w:p>
      <w:pPr>
        <w:widowControl/>
        <w:shd w:val="clear" w:color="auto" w:fill="FFFFFF"/>
        <w:spacing w:line="500" w:lineRule="exact"/>
        <w:ind w:firstLine="482"/>
        <w:jc w:val="left"/>
        <w:rPr>
          <w:rFonts w:ascii="Times New Roman" w:hAnsi="Times New Roman" w:eastAsia="宋体" w:cs="Times New Roman"/>
          <w:color w:val="333333"/>
          <w:szCs w:val="21"/>
        </w:rPr>
      </w:pPr>
      <w:r>
        <w:rPr>
          <w:rFonts w:ascii="Times New Roman" w:hAnsi="Times New Roman" w:eastAsia="宋体" w:cs="Times New Roman"/>
          <w:b/>
          <w:bCs/>
          <w:color w:val="333333"/>
          <w:sz w:val="24"/>
        </w:rPr>
        <w:t>第一条  合同内容</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1.1标 的 清 单</w:t>
      </w:r>
    </w:p>
    <w:tbl>
      <w:tblPr>
        <w:tblStyle w:val="31"/>
        <w:tblW w:w="0" w:type="auto"/>
        <w:jc w:val="center"/>
        <w:tblLayout w:type="autofit"/>
        <w:tblCellMar>
          <w:top w:w="0" w:type="dxa"/>
          <w:left w:w="0" w:type="dxa"/>
          <w:bottom w:w="0" w:type="dxa"/>
          <w:right w:w="0" w:type="dxa"/>
        </w:tblCellMar>
      </w:tblPr>
      <w:tblGrid>
        <w:gridCol w:w="1985"/>
        <w:gridCol w:w="1315"/>
        <w:gridCol w:w="1704"/>
        <w:gridCol w:w="1705"/>
        <w:gridCol w:w="1705"/>
      </w:tblGrid>
      <w:tr>
        <w:tblPrEx>
          <w:tblCellMar>
            <w:top w:w="0" w:type="dxa"/>
            <w:left w:w="0" w:type="dxa"/>
            <w:bottom w:w="0" w:type="dxa"/>
            <w:right w:w="0" w:type="dxa"/>
          </w:tblCellMar>
        </w:tblPrEx>
        <w:trPr>
          <w:jc w:val="center"/>
        </w:trPr>
        <w:tc>
          <w:tcPr>
            <w:tcW w:w="198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名称</w:t>
            </w:r>
          </w:p>
        </w:tc>
        <w:tc>
          <w:tcPr>
            <w:tcW w:w="131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单位</w:t>
            </w:r>
          </w:p>
        </w:tc>
        <w:tc>
          <w:tcPr>
            <w:tcW w:w="1704"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数量</w:t>
            </w:r>
          </w:p>
        </w:tc>
        <w:tc>
          <w:tcPr>
            <w:tcW w:w="170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jc w:val="left"/>
              <w:rPr>
                <w:rFonts w:ascii="Times New Roman" w:hAnsi="Times New Roman" w:eastAsia="宋体" w:cs="Times New Roman"/>
                <w:szCs w:val="21"/>
              </w:rPr>
            </w:pPr>
            <w:r>
              <w:rPr>
                <w:rFonts w:ascii="Times New Roman" w:hAnsi="Times New Roman" w:eastAsia="宋体" w:cs="Times New Roman"/>
                <w:sz w:val="24"/>
              </w:rPr>
              <w:t>单价（元）</w:t>
            </w:r>
          </w:p>
        </w:tc>
        <w:tc>
          <w:tcPr>
            <w:tcW w:w="170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jc w:val="left"/>
              <w:rPr>
                <w:rFonts w:ascii="Times New Roman" w:hAnsi="Times New Roman" w:eastAsia="宋体" w:cs="Times New Roman"/>
                <w:szCs w:val="21"/>
              </w:rPr>
            </w:pPr>
            <w:r>
              <w:rPr>
                <w:rFonts w:ascii="Times New Roman" w:hAnsi="Times New Roman" w:eastAsia="宋体" w:cs="Times New Roman"/>
                <w:sz w:val="24"/>
              </w:rPr>
              <w:t>总价（元）</w:t>
            </w:r>
          </w:p>
        </w:tc>
      </w:tr>
      <w:tr>
        <w:tblPrEx>
          <w:tblCellMar>
            <w:top w:w="0" w:type="dxa"/>
            <w:left w:w="0" w:type="dxa"/>
            <w:bottom w:w="0" w:type="dxa"/>
            <w:right w:w="0" w:type="dxa"/>
          </w:tblCellMar>
        </w:tblPrEx>
        <w:trPr>
          <w:trHeight w:val="389" w:hRule="atLeast"/>
          <w:jc w:val="center"/>
        </w:trPr>
        <w:tc>
          <w:tcPr>
            <w:tcW w:w="198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 </w:t>
            </w:r>
          </w:p>
        </w:tc>
        <w:tc>
          <w:tcPr>
            <w:tcW w:w="131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 </w:t>
            </w:r>
          </w:p>
        </w:tc>
        <w:tc>
          <w:tcPr>
            <w:tcW w:w="1704"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 </w:t>
            </w:r>
          </w:p>
        </w:tc>
        <w:tc>
          <w:tcPr>
            <w:tcW w:w="170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 </w:t>
            </w:r>
          </w:p>
        </w:tc>
        <w:tc>
          <w:tcPr>
            <w:tcW w:w="170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 </w:t>
            </w:r>
          </w:p>
        </w:tc>
      </w:tr>
      <w:tr>
        <w:tblPrEx>
          <w:tblCellMar>
            <w:top w:w="0" w:type="dxa"/>
            <w:left w:w="0" w:type="dxa"/>
            <w:bottom w:w="0" w:type="dxa"/>
            <w:right w:w="0" w:type="dxa"/>
          </w:tblCellMar>
        </w:tblPrEx>
        <w:trPr>
          <w:jc w:val="center"/>
        </w:trPr>
        <w:tc>
          <w:tcPr>
            <w:tcW w:w="8414" w:type="dxa"/>
            <w:gridSpan w:val="5"/>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合计人民币金额（大写）：            （￥：         ）</w:t>
            </w:r>
          </w:p>
        </w:tc>
      </w:tr>
      <w:tr>
        <w:tblPrEx>
          <w:tblCellMar>
            <w:top w:w="0" w:type="dxa"/>
            <w:left w:w="0" w:type="dxa"/>
            <w:bottom w:w="0" w:type="dxa"/>
            <w:right w:w="0" w:type="dxa"/>
          </w:tblCellMar>
        </w:tblPrEx>
        <w:trPr>
          <w:jc w:val="center"/>
        </w:trPr>
        <w:tc>
          <w:tcPr>
            <w:tcW w:w="8414" w:type="dxa"/>
            <w:gridSpan w:val="5"/>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pPr>
              <w:widowControl/>
              <w:spacing w:line="500" w:lineRule="exact"/>
              <w:ind w:firstLine="480"/>
              <w:jc w:val="left"/>
              <w:rPr>
                <w:rFonts w:ascii="Times New Roman" w:hAnsi="Times New Roman" w:eastAsia="宋体" w:cs="Times New Roman"/>
                <w:szCs w:val="21"/>
              </w:rPr>
            </w:pPr>
            <w:r>
              <w:rPr>
                <w:rFonts w:ascii="Times New Roman" w:hAnsi="Times New Roman" w:eastAsia="宋体" w:cs="Times New Roman"/>
                <w:sz w:val="24"/>
              </w:rPr>
              <w:t>注：可另附清单</w:t>
            </w:r>
          </w:p>
        </w:tc>
      </w:tr>
    </w:tbl>
    <w:p>
      <w:pPr>
        <w:widowControl/>
        <w:shd w:val="clear" w:color="auto" w:fill="FFFFFF"/>
        <w:spacing w:line="500" w:lineRule="exact"/>
        <w:ind w:firstLine="546"/>
        <w:rPr>
          <w:rFonts w:ascii="Times New Roman" w:hAnsi="Times New Roman" w:eastAsia="宋体" w:cs="Times New Roman"/>
          <w:color w:val="333333"/>
          <w:szCs w:val="21"/>
        </w:rPr>
      </w:pPr>
      <w:r>
        <w:rPr>
          <w:rFonts w:ascii="Times New Roman" w:hAnsi="Times New Roman" w:eastAsia="宋体" w:cs="Times New Roman"/>
          <w:b/>
          <w:bCs/>
          <w:color w:val="333333"/>
          <w:sz w:val="24"/>
        </w:rPr>
        <w:t>第二条  合同总金额及质量标准、数量、价格</w:t>
      </w:r>
    </w:p>
    <w:p>
      <w:pPr>
        <w:widowControl/>
        <w:shd w:val="clear" w:color="auto" w:fill="FFFFFF"/>
        <w:spacing w:line="500" w:lineRule="exact"/>
        <w:ind w:firstLine="508"/>
        <w:rPr>
          <w:rFonts w:ascii="Times New Roman" w:hAnsi="Times New Roman" w:eastAsia="宋体" w:cs="Times New Roman"/>
          <w:color w:val="333333"/>
          <w:szCs w:val="21"/>
        </w:rPr>
      </w:pPr>
      <w:r>
        <w:rPr>
          <w:rFonts w:ascii="Times New Roman" w:hAnsi="Times New Roman" w:eastAsia="宋体" w:cs="Times New Roman"/>
          <w:color w:val="333333"/>
          <w:sz w:val="24"/>
        </w:rPr>
        <w:t>2.1合同总金额为人民币(大写): </w:t>
      </w:r>
      <w:r>
        <w:rPr>
          <w:rFonts w:ascii="Times New Roman" w:hAnsi="Times New Roman" w:eastAsia="宋体" w:cs="Times New Roman"/>
          <w:color w:val="333333"/>
          <w:sz w:val="24"/>
          <w:u w:val="single"/>
        </w:rPr>
        <w:t>             </w:t>
      </w:r>
      <w:r>
        <w:rPr>
          <w:rFonts w:ascii="Times New Roman" w:hAnsi="Times New Roman" w:eastAsia="宋体" w:cs="Times New Roman"/>
          <w:color w:val="333333"/>
          <w:sz w:val="24"/>
        </w:rPr>
        <w:t>元 ( ¥ :       )。</w:t>
      </w:r>
    </w:p>
    <w:p>
      <w:pPr>
        <w:widowControl/>
        <w:shd w:val="clear" w:color="auto" w:fill="FFFFFF"/>
        <w:spacing w:line="500" w:lineRule="exact"/>
        <w:ind w:firstLine="482"/>
        <w:rPr>
          <w:rFonts w:ascii="Times New Roman" w:hAnsi="Times New Roman" w:eastAsia="宋体" w:cs="Times New Roman"/>
          <w:color w:val="333333"/>
          <w:szCs w:val="21"/>
        </w:rPr>
      </w:pPr>
      <w:r>
        <w:rPr>
          <w:rFonts w:ascii="Times New Roman" w:hAnsi="Times New Roman" w:eastAsia="宋体" w:cs="Times New Roman"/>
          <w:b/>
          <w:bCs/>
          <w:color w:val="333333"/>
          <w:sz w:val="24"/>
        </w:rPr>
        <w:t>第三条 税费</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3.1中国政府根据现行税法规定对征收的与本合同有关的一切税费由乙方负担。</w:t>
      </w:r>
    </w:p>
    <w:p>
      <w:pPr>
        <w:widowControl/>
        <w:shd w:val="clear" w:color="auto" w:fill="FFFFFF"/>
        <w:spacing w:line="500" w:lineRule="exact"/>
        <w:ind w:firstLine="482"/>
        <w:rPr>
          <w:rFonts w:ascii="Times New Roman" w:hAnsi="Times New Roman" w:eastAsia="宋体" w:cs="Times New Roman"/>
          <w:color w:val="333333"/>
          <w:szCs w:val="21"/>
        </w:rPr>
      </w:pPr>
      <w:r>
        <w:rPr>
          <w:rFonts w:ascii="Times New Roman" w:hAnsi="Times New Roman" w:eastAsia="宋体" w:cs="Times New Roman"/>
          <w:b/>
          <w:bCs/>
          <w:color w:val="333333"/>
          <w:sz w:val="24"/>
        </w:rPr>
        <w:t>第四条</w:t>
      </w:r>
      <w:r>
        <w:rPr>
          <w:rFonts w:ascii="Times New Roman" w:hAnsi="Times New Roman" w:eastAsia="宋体" w:cs="Times New Roman"/>
          <w:color w:val="333333"/>
          <w:sz w:val="24"/>
        </w:rPr>
        <w:t>  </w:t>
      </w:r>
      <w:r>
        <w:rPr>
          <w:rFonts w:ascii="Times New Roman" w:hAnsi="Times New Roman" w:eastAsia="宋体" w:cs="Times New Roman"/>
          <w:b/>
          <w:bCs/>
          <w:color w:val="333333"/>
          <w:sz w:val="24"/>
        </w:rPr>
        <w:t>质量保证</w:t>
      </w:r>
    </w:p>
    <w:p>
      <w:pPr>
        <w:widowControl/>
        <w:shd w:val="clear" w:color="auto" w:fill="FFFFFF"/>
        <w:spacing w:line="500" w:lineRule="exact"/>
        <w:ind w:left="103" w:right="97" w:firstLine="429"/>
        <w:rPr>
          <w:rFonts w:ascii="Times New Roman" w:hAnsi="Times New Roman" w:eastAsia="宋体" w:cs="Times New Roman"/>
          <w:color w:val="333333"/>
          <w:szCs w:val="21"/>
        </w:rPr>
      </w:pPr>
      <w:r>
        <w:rPr>
          <w:rFonts w:ascii="Times New Roman" w:hAnsi="Times New Roman" w:eastAsia="宋体" w:cs="Times New Roman"/>
          <w:color w:val="333333"/>
          <w:sz w:val="24"/>
        </w:rPr>
        <w:t>4.1承包人提供的产品性能及质量有国家标准的应符合国家标准。无国家标准的应符 合行业标准或企业标准，并满足招标文件要求，实现投标文件承诺条款。</w:t>
      </w:r>
    </w:p>
    <w:p>
      <w:pPr>
        <w:widowControl/>
        <w:shd w:val="clear" w:color="auto" w:fill="FFFFFF"/>
        <w:spacing w:line="500" w:lineRule="exact"/>
        <w:ind w:firstLine="518"/>
        <w:rPr>
          <w:rFonts w:ascii="Times New Roman" w:hAnsi="Times New Roman" w:eastAsia="宋体" w:cs="Times New Roman"/>
          <w:color w:val="333333"/>
          <w:szCs w:val="21"/>
        </w:rPr>
      </w:pPr>
      <w:r>
        <w:rPr>
          <w:rFonts w:ascii="Times New Roman" w:hAnsi="Times New Roman" w:eastAsia="宋体" w:cs="Times New Roman"/>
          <w:b/>
          <w:bCs/>
          <w:color w:val="333333"/>
          <w:sz w:val="24"/>
        </w:rPr>
        <w:t>第五条  付款方式及期限</w:t>
      </w:r>
    </w:p>
    <w:p>
      <w:pPr>
        <w:widowControl/>
        <w:shd w:val="clear" w:color="auto" w:fill="FFFFFF"/>
        <w:spacing w:line="500" w:lineRule="exact"/>
        <w:ind w:left="103" w:right="97" w:firstLine="429"/>
        <w:rPr>
          <w:rFonts w:ascii="Times New Roman" w:hAnsi="Times New Roman" w:eastAsia="宋体" w:cs="Times New Roman"/>
          <w:color w:val="333333"/>
          <w:szCs w:val="21"/>
        </w:rPr>
      </w:pPr>
      <w:r>
        <w:rPr>
          <w:rFonts w:ascii="Times New Roman" w:hAnsi="Times New Roman" w:eastAsia="宋体" w:cs="Times New Roman"/>
          <w:color w:val="333333"/>
          <w:sz w:val="24"/>
        </w:rPr>
        <w:t>5.1付款方式：合同签订后，乙方开具正式发票预付</w:t>
      </w:r>
      <w:r>
        <w:rPr>
          <w:rFonts w:hint="eastAsia" w:ascii="Times New Roman" w:hAnsi="Times New Roman" w:eastAsia="宋体" w:cs="Times New Roman"/>
          <w:color w:val="333333"/>
          <w:sz w:val="24"/>
          <w:lang w:val="en-US" w:eastAsia="zh-CN"/>
        </w:rPr>
        <w:t>15</w:t>
      </w:r>
      <w:r>
        <w:rPr>
          <w:rFonts w:ascii="Times New Roman" w:hAnsi="Times New Roman" w:eastAsia="宋体" w:cs="Times New Roman"/>
          <w:color w:val="333333"/>
          <w:sz w:val="24"/>
        </w:rPr>
        <w:t>%合同价款；飞防后10天内经初验收达到约定飞防效果后，乙方开具正式发票，支付至合同金额的50%。经全面验收飞防效果达到预定目标后，付清剩余飞防费用。</w:t>
      </w:r>
    </w:p>
    <w:p>
      <w:pPr>
        <w:widowControl/>
        <w:shd w:val="clear" w:color="auto" w:fill="FFFFFF"/>
        <w:spacing w:line="500" w:lineRule="exact"/>
        <w:ind w:left="103" w:right="97" w:firstLine="429"/>
        <w:rPr>
          <w:rFonts w:ascii="Times New Roman" w:hAnsi="Times New Roman" w:eastAsia="宋体" w:cs="Times New Roman"/>
          <w:color w:val="333333"/>
          <w:szCs w:val="21"/>
        </w:rPr>
      </w:pPr>
      <w:r>
        <w:rPr>
          <w:rFonts w:ascii="Times New Roman" w:hAnsi="Times New Roman" w:eastAsia="宋体" w:cs="Times New Roman"/>
          <w:b/>
          <w:bCs/>
          <w:color w:val="333333"/>
          <w:sz w:val="24"/>
        </w:rPr>
        <w:t>第六条  飞防时间及地点</w:t>
      </w:r>
    </w:p>
    <w:p>
      <w:pPr>
        <w:widowControl/>
        <w:shd w:val="clear" w:color="auto" w:fill="FFFFFF"/>
        <w:spacing w:line="500" w:lineRule="exact"/>
        <w:ind w:firstLine="512"/>
        <w:rPr>
          <w:rFonts w:ascii="Times New Roman" w:hAnsi="Times New Roman" w:eastAsia="宋体" w:cs="Times New Roman"/>
          <w:color w:val="333333"/>
          <w:szCs w:val="21"/>
        </w:rPr>
      </w:pPr>
      <w:r>
        <w:rPr>
          <w:rFonts w:ascii="Times New Roman" w:hAnsi="Times New Roman" w:eastAsia="宋体" w:cs="Times New Roman"/>
          <w:color w:val="333333"/>
          <w:sz w:val="24"/>
        </w:rPr>
        <w:t>6.1 供方按需方要求供货到指定地点。</w:t>
      </w:r>
    </w:p>
    <w:p>
      <w:pPr>
        <w:widowControl/>
        <w:shd w:val="clear" w:color="auto" w:fill="FFFFFF"/>
        <w:spacing w:line="500" w:lineRule="exact"/>
        <w:ind w:firstLine="506"/>
        <w:rPr>
          <w:rFonts w:ascii="Times New Roman" w:hAnsi="Times New Roman" w:eastAsia="宋体" w:cs="Times New Roman"/>
          <w:color w:val="333333"/>
          <w:szCs w:val="21"/>
        </w:rPr>
      </w:pPr>
      <w:r>
        <w:rPr>
          <w:rFonts w:ascii="Times New Roman" w:hAnsi="Times New Roman" w:eastAsia="宋体" w:cs="Times New Roman"/>
          <w:color w:val="333333"/>
          <w:sz w:val="24"/>
        </w:rPr>
        <w:t>6.2 飞防时间：</w:t>
      </w:r>
      <w:r>
        <w:rPr>
          <w:rFonts w:ascii="Times New Roman" w:hAnsi="Times New Roman" w:eastAsia="宋体" w:cs="Times New Roman"/>
          <w:color w:val="333333"/>
          <w:sz w:val="24"/>
          <w:u w:val="single"/>
        </w:rPr>
        <w:t>202</w:t>
      </w:r>
      <w:r>
        <w:rPr>
          <w:rFonts w:hint="eastAsia" w:ascii="Times New Roman" w:hAnsi="Times New Roman" w:eastAsia="宋体" w:cs="Times New Roman"/>
          <w:color w:val="333333"/>
          <w:sz w:val="24"/>
          <w:u w:val="single"/>
        </w:rPr>
        <w:t>6</w:t>
      </w:r>
      <w:r>
        <w:rPr>
          <w:rFonts w:ascii="Times New Roman" w:hAnsi="Times New Roman" w:eastAsia="宋体" w:cs="Times New Roman"/>
          <w:color w:val="333333"/>
          <w:sz w:val="24"/>
          <w:u w:val="single"/>
        </w:rPr>
        <w:t>年   月   日至 202</w:t>
      </w:r>
      <w:r>
        <w:rPr>
          <w:rFonts w:hint="eastAsia" w:ascii="Times New Roman" w:hAnsi="Times New Roman" w:eastAsia="宋体" w:cs="Times New Roman"/>
          <w:color w:val="333333"/>
          <w:sz w:val="24"/>
          <w:u w:val="single"/>
        </w:rPr>
        <w:t>6</w:t>
      </w:r>
      <w:r>
        <w:rPr>
          <w:rFonts w:ascii="Times New Roman" w:hAnsi="Times New Roman" w:eastAsia="宋体" w:cs="Times New Roman"/>
          <w:color w:val="333333"/>
          <w:sz w:val="24"/>
          <w:u w:val="single"/>
        </w:rPr>
        <w:t>年   月   日</w:t>
      </w:r>
      <w:r>
        <w:rPr>
          <w:rFonts w:ascii="Times New Roman" w:hAnsi="Times New Roman" w:eastAsia="宋体" w:cs="Times New Roman"/>
          <w:color w:val="333333"/>
          <w:sz w:val="24"/>
        </w:rPr>
        <w:t>（最终根据虫情监测结果及气象条件，双方共同商定）。</w:t>
      </w:r>
    </w:p>
    <w:p>
      <w:pPr>
        <w:widowControl/>
        <w:shd w:val="clear" w:color="auto" w:fill="FFFFFF"/>
        <w:spacing w:line="500" w:lineRule="exact"/>
        <w:ind w:firstLine="506"/>
        <w:rPr>
          <w:rFonts w:ascii="Times New Roman" w:hAnsi="Times New Roman" w:eastAsia="宋体" w:cs="Times New Roman"/>
          <w:color w:val="333333"/>
          <w:szCs w:val="21"/>
        </w:rPr>
      </w:pPr>
      <w:r>
        <w:rPr>
          <w:rFonts w:ascii="Times New Roman" w:hAnsi="Times New Roman" w:eastAsia="宋体" w:cs="Times New Roman"/>
          <w:b/>
          <w:bCs/>
          <w:color w:val="333333"/>
          <w:sz w:val="24"/>
        </w:rPr>
        <w:t>第七条  验收</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7.1 甲方依法组织履约验收工作。</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7.2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7.3 如有必要，甲方邀请参加本项目的其他投标人或第三方专业机构及专家参与验收，相关意见将作为验收书的参考资料。</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7.4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7.5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pPr>
        <w:widowControl/>
        <w:shd w:val="clear" w:color="auto" w:fill="FFFFFF"/>
        <w:spacing w:line="500" w:lineRule="exact"/>
        <w:ind w:firstLine="574"/>
        <w:rPr>
          <w:rFonts w:ascii="Times New Roman" w:hAnsi="Times New Roman" w:eastAsia="宋体" w:cs="Times New Roman"/>
          <w:color w:val="333333"/>
          <w:szCs w:val="21"/>
        </w:rPr>
      </w:pPr>
      <w:r>
        <w:rPr>
          <w:rFonts w:ascii="Times New Roman" w:hAnsi="Times New Roman" w:eastAsia="宋体" w:cs="Times New Roman"/>
          <w:b/>
          <w:bCs/>
          <w:color w:val="333333"/>
          <w:sz w:val="24"/>
        </w:rPr>
        <w:t>第八条  违约责任</w:t>
      </w:r>
    </w:p>
    <w:p>
      <w:pPr>
        <w:widowControl/>
        <w:shd w:val="clear" w:color="auto" w:fill="FFFFFF"/>
        <w:spacing w:line="500" w:lineRule="exact"/>
        <w:ind w:firstLine="548"/>
        <w:rPr>
          <w:rFonts w:ascii="Times New Roman" w:hAnsi="Times New Roman" w:eastAsia="宋体" w:cs="Times New Roman"/>
          <w:color w:val="333333"/>
          <w:szCs w:val="21"/>
        </w:rPr>
      </w:pPr>
      <w:r>
        <w:rPr>
          <w:rFonts w:ascii="Times New Roman" w:hAnsi="Times New Roman" w:eastAsia="宋体" w:cs="Times New Roman"/>
          <w:color w:val="333333"/>
          <w:sz w:val="24"/>
        </w:rPr>
        <w:t>8.1飞防经验收不符合第三条要求的，需方有权不予支付合同款。</w:t>
      </w:r>
    </w:p>
    <w:p>
      <w:pPr>
        <w:widowControl/>
        <w:shd w:val="clear" w:color="auto" w:fill="FFFFFF"/>
        <w:spacing w:line="500" w:lineRule="exact"/>
        <w:ind w:firstLine="548"/>
        <w:rPr>
          <w:rFonts w:ascii="Times New Roman" w:hAnsi="Times New Roman" w:eastAsia="宋体" w:cs="Times New Roman"/>
          <w:color w:val="333333"/>
          <w:szCs w:val="21"/>
        </w:rPr>
      </w:pPr>
      <w:r>
        <w:rPr>
          <w:rFonts w:ascii="Times New Roman" w:hAnsi="Times New Roman" w:eastAsia="宋体" w:cs="Times New Roman"/>
          <w:color w:val="333333"/>
          <w:sz w:val="24"/>
        </w:rPr>
        <w:t>8.2飞防药物质量应符合国家标准要求，达不到要求，所造成的一切损失由供方负责，未在规定时间内完成飞放期限每推迟1天，供方支付违约金5000元。 如采购人未在规定时间内支付采购款，按中国人民银行同期利率增加支付给中标人。</w:t>
      </w:r>
    </w:p>
    <w:p>
      <w:pPr>
        <w:widowControl/>
        <w:shd w:val="clear" w:color="auto" w:fill="FFFFFF"/>
        <w:spacing w:line="500" w:lineRule="exact"/>
        <w:ind w:firstLine="574"/>
        <w:rPr>
          <w:rFonts w:ascii="Times New Roman" w:hAnsi="Times New Roman" w:eastAsia="宋体" w:cs="Times New Roman"/>
          <w:color w:val="333333"/>
          <w:szCs w:val="21"/>
        </w:rPr>
      </w:pPr>
      <w:r>
        <w:rPr>
          <w:rFonts w:ascii="Times New Roman" w:hAnsi="Times New Roman" w:eastAsia="宋体" w:cs="Times New Roman"/>
          <w:b/>
          <w:bCs/>
          <w:color w:val="333333"/>
          <w:sz w:val="24"/>
        </w:rPr>
        <w:t>第九条  不可抗力事件处理</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9.1 在合同有效期内，任何一方因不可抗力事件导致不能履行合同，则合同履行期可延长，其延长期与不可抗力影响期相同。</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9.2 不可抗力事件发生后，应立即通知对方，并寄送有关权威机构出具的证明。</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9.3 不可抗力事件延续120天以上，双方应通过友好协商，确定是否继续履行合同。</w:t>
      </w:r>
    </w:p>
    <w:p>
      <w:pPr>
        <w:widowControl/>
        <w:shd w:val="clear" w:color="auto" w:fill="FFFFFF"/>
        <w:spacing w:line="500" w:lineRule="exact"/>
        <w:ind w:firstLine="550"/>
        <w:rPr>
          <w:rFonts w:ascii="Times New Roman" w:hAnsi="Times New Roman" w:eastAsia="宋体" w:cs="Times New Roman"/>
          <w:color w:val="333333"/>
          <w:szCs w:val="21"/>
        </w:rPr>
      </w:pPr>
      <w:r>
        <w:rPr>
          <w:rFonts w:ascii="Times New Roman" w:hAnsi="Times New Roman" w:eastAsia="宋体" w:cs="Times New Roman"/>
          <w:b/>
          <w:bCs/>
          <w:color w:val="333333"/>
          <w:sz w:val="24"/>
        </w:rPr>
        <w:t>第十条  合同争议的解决方式</w:t>
      </w:r>
    </w:p>
    <w:p>
      <w:pPr>
        <w:widowControl/>
        <w:shd w:val="clear" w:color="auto" w:fill="FFFFFF"/>
        <w:spacing w:line="500" w:lineRule="exact"/>
        <w:ind w:firstLine="548"/>
        <w:rPr>
          <w:rFonts w:ascii="Times New Roman" w:hAnsi="Times New Roman" w:eastAsia="宋体" w:cs="Times New Roman"/>
          <w:color w:val="333333"/>
          <w:szCs w:val="21"/>
        </w:rPr>
      </w:pPr>
      <w:r>
        <w:rPr>
          <w:rFonts w:ascii="Times New Roman" w:hAnsi="Times New Roman" w:eastAsia="宋体" w:cs="Times New Roman"/>
          <w:color w:val="333333"/>
          <w:sz w:val="24"/>
        </w:rPr>
        <w:t>10.1本合同款项发生争议，由当事人协商或申请调解解决；协商或调解解决不成的，可依法向沭阳县人民法院起诉，或按照另行达成的仲裁条款或仲裁协议申请仲裁。</w:t>
      </w:r>
    </w:p>
    <w:p>
      <w:pPr>
        <w:widowControl/>
        <w:shd w:val="clear" w:color="auto" w:fill="FFFFFF"/>
        <w:spacing w:line="500" w:lineRule="exact"/>
        <w:ind w:right="57" w:firstLine="546"/>
        <w:rPr>
          <w:rFonts w:ascii="Times New Roman" w:hAnsi="Times New Roman" w:eastAsia="宋体" w:cs="Times New Roman"/>
          <w:color w:val="333333"/>
          <w:szCs w:val="21"/>
        </w:rPr>
      </w:pPr>
      <w:r>
        <w:rPr>
          <w:rFonts w:ascii="Times New Roman" w:hAnsi="Times New Roman" w:eastAsia="宋体" w:cs="Times New Roman"/>
          <w:b/>
          <w:bCs/>
          <w:color w:val="333333"/>
          <w:sz w:val="24"/>
        </w:rPr>
        <w:t>第十</w:t>
      </w:r>
      <w:r>
        <w:rPr>
          <w:rFonts w:hint="eastAsia" w:ascii="Times New Roman" w:hAnsi="Times New Roman" w:eastAsia="宋体" w:cs="Times New Roman"/>
          <w:b/>
          <w:bCs/>
          <w:color w:val="333333"/>
          <w:sz w:val="24"/>
          <w:lang w:val="en-US" w:eastAsia="zh-CN"/>
        </w:rPr>
        <w:t>一</w:t>
      </w:r>
      <w:r>
        <w:rPr>
          <w:rFonts w:ascii="Times New Roman" w:hAnsi="Times New Roman" w:eastAsia="宋体" w:cs="Times New Roman"/>
          <w:b/>
          <w:bCs/>
          <w:color w:val="333333"/>
          <w:sz w:val="24"/>
        </w:rPr>
        <w:t>条  本合同一式四份，供、需双方各执二份，自供、需双方签字之日起生效。</w:t>
      </w:r>
    </w:p>
    <w:p>
      <w:pPr>
        <w:widowControl/>
        <w:shd w:val="clear" w:color="auto" w:fill="FFFFFF"/>
        <w:spacing w:line="500" w:lineRule="exact"/>
        <w:rPr>
          <w:rFonts w:ascii="Times New Roman" w:hAnsi="Times New Roman" w:eastAsia="宋体" w:cs="Times New Roman"/>
          <w:color w:val="333333"/>
          <w:szCs w:val="21"/>
        </w:rPr>
      </w:pPr>
      <w:r>
        <w:rPr>
          <w:rFonts w:ascii="Times New Roman" w:hAnsi="Times New Roman" w:eastAsia="宋体" w:cs="Times New Roman"/>
          <w:color w:val="333333"/>
          <w:sz w:val="24"/>
        </w:rPr>
        <w:t> </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甲方：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  乙方：</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地址：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地址：</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法定代表人或授权代表：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法定代表人或授权代表：</w:t>
      </w:r>
    </w:p>
    <w:p>
      <w:pPr>
        <w:widowControl/>
        <w:shd w:val="clear" w:color="auto" w:fill="FFFFFF"/>
        <w:spacing w:line="500" w:lineRule="exact"/>
        <w:ind w:firstLine="480"/>
        <w:jc w:val="left"/>
        <w:rPr>
          <w:rFonts w:ascii="Times New Roman" w:hAnsi="Times New Roman" w:eastAsia="宋体" w:cs="Times New Roman"/>
          <w:color w:val="333333"/>
          <w:szCs w:val="21"/>
        </w:rPr>
      </w:pPr>
      <w:r>
        <w:rPr>
          <w:rFonts w:ascii="Times New Roman" w:hAnsi="Times New Roman" w:eastAsia="宋体" w:cs="Times New Roman"/>
          <w:color w:val="333333"/>
          <w:sz w:val="24"/>
        </w:rPr>
        <w:t>联系电话：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 联系电话：         </w:t>
      </w:r>
    </w:p>
    <w:p>
      <w:pPr>
        <w:widowControl/>
        <w:shd w:val="clear" w:color="auto" w:fill="FFFFFF"/>
        <w:spacing w:line="500" w:lineRule="exact"/>
        <w:ind w:firstLine="480"/>
        <w:rPr>
          <w:rFonts w:ascii="Times New Roman" w:hAnsi="Times New Roman" w:eastAsia="宋体" w:cs="Times New Roman"/>
          <w:color w:val="333333"/>
          <w:szCs w:val="21"/>
        </w:rPr>
      </w:pPr>
      <w:r>
        <w:rPr>
          <w:rFonts w:ascii="Times New Roman" w:hAnsi="Times New Roman" w:eastAsia="宋体" w:cs="Times New Roman"/>
          <w:color w:val="333333"/>
          <w:sz w:val="24"/>
        </w:rPr>
        <w:t>签订日期：202</w:t>
      </w:r>
      <w:r>
        <w:rPr>
          <w:rFonts w:hint="eastAsia" w:ascii="Times New Roman" w:hAnsi="Times New Roman" w:eastAsia="宋体" w:cs="Times New Roman"/>
          <w:color w:val="333333"/>
          <w:sz w:val="24"/>
        </w:rPr>
        <w:t>6</w:t>
      </w:r>
      <w:r>
        <w:rPr>
          <w:rFonts w:ascii="Times New Roman" w:hAnsi="Times New Roman" w:eastAsia="宋体" w:cs="Times New Roman"/>
          <w:color w:val="333333"/>
          <w:sz w:val="24"/>
        </w:rPr>
        <w:t>年  月  日    </w:t>
      </w:r>
      <w:r>
        <w:rPr>
          <w:rFonts w:hint="eastAsia" w:ascii="Times New Roman" w:hAnsi="Times New Roman" w:eastAsia="宋体" w:cs="Times New Roman"/>
          <w:color w:val="333333"/>
          <w:sz w:val="24"/>
        </w:rPr>
        <w:t xml:space="preserve">               </w:t>
      </w:r>
      <w:r>
        <w:rPr>
          <w:rFonts w:ascii="Times New Roman" w:hAnsi="Times New Roman" w:eastAsia="宋体" w:cs="Times New Roman"/>
          <w:color w:val="333333"/>
          <w:sz w:val="24"/>
        </w:rPr>
        <w:t>签订日期：202</w:t>
      </w:r>
      <w:r>
        <w:rPr>
          <w:rFonts w:hint="eastAsia" w:ascii="Times New Roman" w:hAnsi="Times New Roman" w:eastAsia="宋体" w:cs="Times New Roman"/>
          <w:color w:val="333333"/>
          <w:sz w:val="24"/>
        </w:rPr>
        <w:t>6</w:t>
      </w:r>
      <w:r>
        <w:rPr>
          <w:rFonts w:ascii="Times New Roman" w:hAnsi="Times New Roman" w:eastAsia="宋体" w:cs="Times New Roman"/>
          <w:color w:val="333333"/>
          <w:sz w:val="24"/>
        </w:rPr>
        <w:t>年  月  日</w:t>
      </w:r>
    </w:p>
    <w:p>
      <w:pPr>
        <w:widowControl/>
        <w:shd w:val="clear" w:color="auto" w:fill="FFFFFF"/>
        <w:spacing w:line="500" w:lineRule="exact"/>
        <w:jc w:val="center"/>
        <w:rPr>
          <w:rFonts w:ascii="Times New Roman" w:hAnsi="Times New Roman" w:eastAsia="宋体" w:cs="Times New Roman"/>
          <w:color w:val="333333"/>
          <w:szCs w:val="21"/>
        </w:rPr>
      </w:pPr>
      <w:r>
        <w:rPr>
          <w:rFonts w:ascii="Times New Roman" w:hAnsi="Times New Roman" w:eastAsia="宋体" w:cs="Times New Roman"/>
          <w:b/>
          <w:bCs/>
          <w:color w:val="333333"/>
          <w:sz w:val="44"/>
          <w:szCs w:val="44"/>
        </w:rPr>
        <w:t> </w:t>
      </w:r>
    </w:p>
    <w:p>
      <w:pPr>
        <w:widowControl/>
        <w:shd w:val="clear" w:color="auto" w:fill="FFFFFF"/>
        <w:spacing w:line="500" w:lineRule="exact"/>
        <w:jc w:val="center"/>
        <w:rPr>
          <w:rFonts w:ascii="Times New Roman" w:hAnsi="Times New Roman" w:eastAsia="宋体" w:cs="Times New Roman"/>
          <w:color w:val="333333"/>
          <w:szCs w:val="21"/>
        </w:rPr>
      </w:pPr>
      <w:r>
        <w:rPr>
          <w:rFonts w:ascii="Times New Roman" w:hAnsi="Times New Roman" w:eastAsia="宋体" w:cs="Times New Roman"/>
          <w:b/>
          <w:bCs/>
          <w:color w:val="333333"/>
          <w:sz w:val="44"/>
          <w:szCs w:val="44"/>
        </w:rPr>
        <w:t> </w:t>
      </w:r>
    </w:p>
    <w:p>
      <w:pPr>
        <w:keepNext/>
        <w:keepLines/>
        <w:pageBreakBefore/>
        <w:jc w:val="center"/>
        <w:outlineLvl w:val="0"/>
        <w:rPr>
          <w:rFonts w:ascii="Calibri" w:hAnsi="Calibri" w:eastAsia="宋体" w:cs="Times New Roman"/>
          <w:b/>
          <w:sz w:val="44"/>
          <w:szCs w:val="44"/>
        </w:rPr>
      </w:pPr>
      <w:r>
        <w:rPr>
          <w:rFonts w:hint="eastAsia" w:ascii="Calibri" w:hAnsi="Calibri" w:eastAsia="宋体" w:cs="Times New Roman"/>
          <w:b/>
          <w:sz w:val="44"/>
          <w:szCs w:val="44"/>
        </w:rPr>
        <w:t>第六章  投标文件格式</w:t>
      </w:r>
      <w:bookmarkEnd w:id="153"/>
      <w:bookmarkEnd w:id="154"/>
      <w:bookmarkEnd w:id="155"/>
      <w:bookmarkEnd w:id="156"/>
      <w:bookmarkEnd w:id="157"/>
      <w:bookmarkEnd w:id="158"/>
    </w:p>
    <w:p>
      <w:pPr>
        <w:rPr>
          <w:rFonts w:ascii="Calibri" w:hAnsi="Calibri" w:eastAsia="宋体" w:cs="Times New Roman"/>
          <w:szCs w:val="22"/>
        </w:rPr>
      </w:pPr>
      <w:bookmarkStart w:id="167" w:name="EB819316f773b24a75aef829f9b72900c0"/>
    </w:p>
    <w:p>
      <w:pPr>
        <w:rPr>
          <w:rFonts w:ascii="Times New Roman" w:hAnsi="Times New Roman" w:eastAsia="宋体" w:cs="Times New Roman"/>
          <w:b/>
          <w:sz w:val="72"/>
          <w:szCs w:val="22"/>
        </w:rPr>
      </w:pPr>
      <w:bookmarkStart w:id="168" w:name="_Toc15716"/>
    </w:p>
    <w:p>
      <w:pPr>
        <w:rPr>
          <w:rFonts w:ascii="Times New Roman" w:hAnsi="Times New Roman" w:eastAsia="宋体" w:cs="Times New Roman"/>
          <w:b/>
          <w:sz w:val="72"/>
          <w:szCs w:val="22"/>
        </w:rPr>
      </w:pPr>
    </w:p>
    <w:p>
      <w:pPr>
        <w:rPr>
          <w:rFonts w:ascii="Times New Roman" w:hAnsi="Times New Roman" w:eastAsia="宋体" w:cs="Times New Roman"/>
          <w:b/>
          <w:sz w:val="72"/>
          <w:szCs w:val="22"/>
        </w:rPr>
      </w:pPr>
    </w:p>
    <w:p>
      <w:pPr>
        <w:jc w:val="center"/>
        <w:rPr>
          <w:rFonts w:ascii="Times New Roman" w:hAnsi="Times New Roman" w:eastAsia="宋体" w:cs="Times New Roman"/>
          <w:b/>
          <w:sz w:val="72"/>
          <w:szCs w:val="22"/>
        </w:rPr>
      </w:pPr>
      <w:r>
        <w:rPr>
          <w:rFonts w:hint="eastAsia" w:ascii="Times New Roman" w:hAnsi="Times New Roman" w:eastAsia="宋体" w:cs="Times New Roman"/>
          <w:b/>
          <w:sz w:val="72"/>
          <w:szCs w:val="22"/>
        </w:rPr>
        <w:t>投  标  文  件</w:t>
      </w:r>
    </w:p>
    <w:p>
      <w:pPr>
        <w:jc w:val="center"/>
        <w:rPr>
          <w:rFonts w:ascii="Times New Roman" w:hAnsi="Times New Roman" w:eastAsia="宋体" w:cs="Times New Roman"/>
          <w:b/>
          <w:sz w:val="72"/>
          <w:szCs w:val="22"/>
        </w:rPr>
      </w:pPr>
    </w:p>
    <w:p>
      <w:pPr>
        <w:jc w:val="center"/>
        <w:rPr>
          <w:rFonts w:ascii="Times New Roman" w:hAnsi="Times New Roman" w:eastAsia="宋体" w:cs="Times New Roman"/>
          <w:b/>
          <w:sz w:val="72"/>
          <w:szCs w:val="22"/>
        </w:rPr>
      </w:pPr>
    </w:p>
    <w:p>
      <w:pPr>
        <w:jc w:val="center"/>
        <w:rPr>
          <w:rFonts w:ascii="Times New Roman" w:hAnsi="Times New Roman" w:eastAsia="宋体" w:cs="Times New Roman"/>
          <w:b/>
          <w:sz w:val="72"/>
          <w:szCs w:val="22"/>
        </w:rPr>
      </w:pPr>
    </w:p>
    <w:p>
      <w:pPr>
        <w:jc w:val="center"/>
        <w:rPr>
          <w:rFonts w:ascii="Times New Roman" w:hAnsi="Times New Roman" w:eastAsia="宋体" w:cs="Times New Roman"/>
          <w:b/>
          <w:sz w:val="72"/>
          <w:szCs w:val="22"/>
        </w:rPr>
      </w:pPr>
    </w:p>
    <w:p>
      <w:pPr>
        <w:jc w:val="center"/>
        <w:rPr>
          <w:rFonts w:ascii="Times New Roman" w:hAnsi="Times New Roman" w:eastAsia="宋体" w:cs="Times New Roman"/>
          <w:b/>
          <w:sz w:val="72"/>
          <w:szCs w:val="22"/>
        </w:rPr>
      </w:pPr>
    </w:p>
    <w:p>
      <w:pPr>
        <w:jc w:val="center"/>
        <w:rPr>
          <w:rFonts w:ascii="Times New Roman" w:hAnsi="Times New Roman" w:eastAsia="宋体" w:cs="Times New Roman"/>
          <w:b/>
          <w:sz w:val="36"/>
          <w:szCs w:val="22"/>
        </w:rPr>
      </w:pPr>
    </w:p>
    <w:p>
      <w:pPr>
        <w:jc w:val="center"/>
        <w:rPr>
          <w:rFonts w:ascii="Times New Roman" w:hAnsi="Times New Roman" w:eastAsia="宋体" w:cs="Times New Roman"/>
          <w:b/>
          <w:sz w:val="36"/>
          <w:szCs w:val="22"/>
        </w:rPr>
      </w:pPr>
    </w:p>
    <w:p>
      <w:pPr>
        <w:jc w:val="center"/>
        <w:rPr>
          <w:rFonts w:ascii="Times New Roman" w:hAnsi="Times New Roman" w:eastAsia="宋体" w:cs="Times New Roman"/>
          <w:b/>
          <w:sz w:val="36"/>
          <w:szCs w:val="22"/>
        </w:rPr>
      </w:pPr>
    </w:p>
    <w:p>
      <w:pPr>
        <w:ind w:firstLine="1084"/>
        <w:rPr>
          <w:rFonts w:ascii="Times New Roman" w:hAnsi="Times New Roman" w:eastAsia="宋体" w:cs="Times New Roman"/>
          <w:b/>
          <w:sz w:val="36"/>
          <w:szCs w:val="22"/>
        </w:rPr>
      </w:pPr>
      <w:r>
        <w:rPr>
          <w:rFonts w:hint="eastAsia" w:ascii="Times New Roman" w:hAnsi="Times New Roman" w:eastAsia="宋体" w:cs="Times New Roman"/>
          <w:b/>
          <w:sz w:val="36"/>
          <w:szCs w:val="22"/>
        </w:rPr>
        <w:t>项 目 名 称：</w:t>
      </w:r>
      <w:r>
        <w:rPr>
          <w:rFonts w:hint="eastAsia" w:ascii="Times New Roman" w:hAnsi="Times New Roman" w:eastAsia="宋体" w:cs="Times New Roman"/>
          <w:b/>
          <w:sz w:val="36"/>
          <w:szCs w:val="22"/>
          <w:u w:val="single"/>
        </w:rPr>
        <w:t xml:space="preserve">               </w:t>
      </w:r>
    </w:p>
    <w:p>
      <w:pPr>
        <w:ind w:firstLine="1084"/>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项 目 编 号：</w:t>
      </w:r>
      <w:r>
        <w:rPr>
          <w:rFonts w:hint="eastAsia" w:ascii="Times New Roman" w:hAnsi="Times New Roman" w:eastAsia="宋体" w:cs="Times New Roman"/>
          <w:b/>
          <w:sz w:val="36"/>
          <w:szCs w:val="22"/>
          <w:u w:val="single"/>
        </w:rPr>
        <w:t xml:space="preserve">               </w:t>
      </w:r>
    </w:p>
    <w:p>
      <w:pPr>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 xml:space="preserve">      投标人名称 ：</w:t>
      </w:r>
      <w:r>
        <w:rPr>
          <w:rFonts w:hint="eastAsia" w:ascii="Times New Roman" w:hAnsi="Times New Roman" w:eastAsia="宋体" w:cs="Times New Roman"/>
          <w:b/>
          <w:sz w:val="36"/>
          <w:szCs w:val="22"/>
          <w:u w:val="single"/>
        </w:rPr>
        <w:t>（盖CA电子公章）</w:t>
      </w:r>
    </w:p>
    <w:p>
      <w:pPr>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 xml:space="preserve">      日      期 ：</w:t>
      </w:r>
      <w:r>
        <w:rPr>
          <w:rFonts w:hint="eastAsia" w:ascii="Times New Roman" w:hAnsi="Times New Roman" w:eastAsia="宋体" w:cs="Times New Roman"/>
          <w:b/>
          <w:sz w:val="36"/>
          <w:szCs w:val="22"/>
          <w:u w:val="single"/>
        </w:rPr>
        <w:t xml:space="preserve">               </w:t>
      </w:r>
      <w:bookmarkEnd w:id="168"/>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bookmarkEnd w:id="167"/>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投标文件目录</w:t>
      </w:r>
    </w:p>
    <w:p>
      <w:pPr>
        <w:spacing w:line="360" w:lineRule="auto"/>
        <w:rPr>
          <w:rFonts w:ascii="宋体" w:hAnsi="宋体" w:eastAsia="宋体" w:cs="宋体"/>
          <w:sz w:val="28"/>
          <w:szCs w:val="28"/>
        </w:rPr>
      </w:pP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一、投标函</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二、特定资格要求</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三、法人授权书</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四、开标一览表</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五、分项报价表</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六、中小企业或残疾人福利性单位声明函</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七、技术响应偏离表</w:t>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八、项目组成员</w:t>
      </w:r>
    </w:p>
    <w:p>
      <w:pPr>
        <w:spacing w:line="360" w:lineRule="auto"/>
        <w:rPr>
          <w:rFonts w:ascii="宋体" w:hAnsi="宋体" w:eastAsia="宋体" w:cs="宋体"/>
          <w:sz w:val="28"/>
          <w:szCs w:val="28"/>
        </w:rPr>
      </w:pPr>
      <w:r>
        <w:rPr>
          <w:rFonts w:hint="eastAsia" w:ascii="Times New Roman" w:hAnsi="Times New Roman" w:eastAsia="宋体" w:cs="Times New Roman"/>
          <w:sz w:val="28"/>
          <w:szCs w:val="28"/>
        </w:rPr>
        <w:t>九、项目实施方案</w:t>
      </w:r>
    </w:p>
    <w:p>
      <w:pPr>
        <w:spacing w:line="360" w:lineRule="auto"/>
        <w:rPr>
          <w:rFonts w:ascii="宋体" w:hAnsi="宋体" w:eastAsia="宋体" w:cs="宋体"/>
          <w:sz w:val="28"/>
          <w:szCs w:val="28"/>
        </w:rPr>
      </w:pPr>
      <w:bookmarkStart w:id="169" w:name="_Toc26005"/>
      <w:bookmarkStart w:id="170" w:name="_Toc20577"/>
      <w:r>
        <w:rPr>
          <w:rFonts w:hint="eastAsia" w:ascii="Times New Roman" w:hAnsi="Times New Roman" w:eastAsia="宋体" w:cs="Times New Roman"/>
          <w:sz w:val="28"/>
          <w:szCs w:val="28"/>
        </w:rPr>
        <w:t>十、企业业绩</w:t>
      </w:r>
    </w:p>
    <w:p>
      <w:pPr>
        <w:spacing w:line="360" w:lineRule="auto"/>
        <w:rPr>
          <w:rFonts w:ascii="宋体" w:hAnsi="宋体" w:eastAsia="宋体" w:cs="宋体"/>
          <w:sz w:val="28"/>
          <w:szCs w:val="28"/>
        </w:rPr>
      </w:pPr>
      <w:r>
        <w:rPr>
          <w:rFonts w:hint="eastAsia" w:ascii="Times New Roman" w:hAnsi="Times New Roman" w:eastAsia="宋体" w:cs="Times New Roman"/>
          <w:sz w:val="28"/>
          <w:szCs w:val="28"/>
        </w:rPr>
        <w:t>十一、投标所需其他材料</w:t>
      </w: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numPr>
          <w:ilvl w:val="0"/>
          <w:numId w:val="3"/>
        </w:numPr>
        <w:outlineLvl w:val="1"/>
        <w:rPr>
          <w:rFonts w:ascii="黑体" w:hAnsi="黑体" w:eastAsia="黑体" w:cs="黑体"/>
          <w:bCs/>
          <w:sz w:val="32"/>
        </w:rPr>
      </w:pPr>
      <w:bookmarkStart w:id="171" w:name="_Toc8978"/>
      <w:r>
        <w:rPr>
          <w:rFonts w:ascii="黑体" w:hAnsi="黑体" w:eastAsia="黑体" w:cs="黑体"/>
          <w:bCs/>
          <w:sz w:val="32"/>
        </w:rPr>
        <w:t>投标函</w:t>
      </w:r>
      <w:bookmarkEnd w:id="169"/>
      <w:bookmarkEnd w:id="170"/>
      <w:bookmarkEnd w:id="171"/>
    </w:p>
    <w:p>
      <w:pPr>
        <w:jc w:val="center"/>
        <w:outlineLvl w:val="1"/>
        <w:rPr>
          <w:rFonts w:ascii="方正小标宋_GBK" w:hAnsi="Calibri" w:eastAsia="方正小标宋_GBK" w:cs="Times New Roman"/>
          <w:bCs/>
          <w:sz w:val="32"/>
          <w:szCs w:val="32"/>
        </w:rPr>
      </w:pPr>
      <w:r>
        <w:rPr>
          <w:rFonts w:hint="eastAsia" w:ascii="黑体" w:hAnsi="黑体" w:eastAsia="黑体" w:cs="黑体"/>
          <w:bCs/>
          <w:sz w:val="32"/>
        </w:rPr>
        <w:t>投标函</w:t>
      </w:r>
    </w:p>
    <w:p>
      <w:pPr>
        <w:spacing w:line="500" w:lineRule="exact"/>
        <w:jc w:val="left"/>
        <w:rPr>
          <w:rFonts w:ascii="宋体" w:hAnsi="宋体" w:eastAsia="宋体" w:cs="Times New Roman"/>
          <w:sz w:val="24"/>
          <w:u w:val="single"/>
        </w:rPr>
      </w:pPr>
      <w:r>
        <w:rPr>
          <w:rFonts w:hint="eastAsia" w:ascii="宋体" w:hAnsi="宋体" w:eastAsia="宋体" w:cs="Times New Roman"/>
          <w:sz w:val="24"/>
          <w:u w:val="single"/>
        </w:rPr>
        <w:t>（采购单位名称）：</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根据已收到的项目编号为</w:t>
      </w:r>
      <w:r>
        <w:rPr>
          <w:rFonts w:hint="eastAsia" w:ascii="宋体" w:hAnsi="宋体" w:eastAsia="宋体" w:cs="Times New Roman"/>
          <w:sz w:val="24"/>
          <w:u w:val="single"/>
        </w:rPr>
        <w:t>（项目编号）</w:t>
      </w:r>
      <w:r>
        <w:rPr>
          <w:rFonts w:hint="eastAsia" w:ascii="宋体" w:hAnsi="宋体" w:eastAsia="宋体" w:cs="Times New Roman"/>
          <w:sz w:val="24"/>
        </w:rPr>
        <w:t>的</w:t>
      </w:r>
      <w:r>
        <w:rPr>
          <w:rFonts w:hint="eastAsia" w:ascii="宋体" w:hAnsi="宋体" w:eastAsia="宋体" w:cs="Times New Roman"/>
          <w:sz w:val="24"/>
          <w:u w:val="single"/>
        </w:rPr>
        <w:t>（项目名称）</w:t>
      </w:r>
      <w:r>
        <w:rPr>
          <w:rFonts w:hint="eastAsia" w:ascii="宋体" w:hAnsi="宋体" w:eastAsia="宋体" w:cs="Times New Roman"/>
          <w:sz w:val="24"/>
        </w:rPr>
        <w:t>的招标文件，我方在参加本项目招投标活动中，特作出如下承诺：</w:t>
      </w:r>
    </w:p>
    <w:p>
      <w:pPr>
        <w:spacing w:line="500" w:lineRule="exact"/>
        <w:ind w:firstLine="480"/>
        <w:jc w:val="left"/>
        <w:rPr>
          <w:rFonts w:ascii="宋体" w:hAnsi="宋体" w:eastAsia="宋体" w:cs="Times New Roman"/>
          <w:sz w:val="24"/>
          <w:szCs w:val="22"/>
        </w:rPr>
      </w:pPr>
      <w:r>
        <w:rPr>
          <w:rFonts w:hint="eastAsia" w:ascii="宋体" w:hAnsi="宋体" w:eastAsia="宋体" w:cs="Times New Roman"/>
          <w:sz w:val="24"/>
        </w:rPr>
        <w:t>一、我方</w:t>
      </w:r>
      <w:r>
        <w:rPr>
          <w:rFonts w:ascii="宋体" w:hAnsi="宋体" w:eastAsia="宋体" w:cs="Times New Roman"/>
          <w:sz w:val="24"/>
          <w:szCs w:val="22"/>
        </w:rPr>
        <w:t>具备《中华人民共和国政府采购法》第二十二条第一款规定的6项条件；</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二、我方在参加政府采购活动前三年内（自本项目开标时间之日起计算），在经营活动中没有重大违法记录（指因违法经营受到刑事处罚或者责令停产停业、吊销许可证或者执照、较大数额罚款等行政处罚）。</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三、我方按招标文件要求提交投标文件，响应招标文件规定的投标有效期；</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四、如果我方的投标文件被接受，我方将按《中华人民共和国民法典（第三编合同）》及其他有关法律、法规的规定，按期、按质、按量交付采购单位，全面做到履约守信；</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五、我方若违背本声明及承诺约定，经查实，自愿接受采购人及相关主管部门相应的规定处理，并依法承担相应的法律责任。</w:t>
      </w: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六、我方同意采购人、采购代理机构将本函上网公开。</w:t>
      </w:r>
    </w:p>
    <w:p>
      <w:pPr>
        <w:spacing w:line="500" w:lineRule="exact"/>
        <w:ind w:firstLine="480"/>
        <w:jc w:val="left"/>
        <w:rPr>
          <w:rFonts w:ascii="方正仿宋_GBK" w:hAnsi="Calibri" w:eastAsia="方正仿宋_GBK" w:cs="Times New Roman"/>
          <w:sz w:val="24"/>
        </w:rPr>
      </w:pPr>
    </w:p>
    <w:p>
      <w:pPr>
        <w:spacing w:line="500" w:lineRule="exact"/>
        <w:jc w:val="left"/>
        <w:rPr>
          <w:rFonts w:ascii="宋体" w:hAnsi="宋体" w:eastAsia="宋体" w:cs="Times New Roman"/>
          <w:sz w:val="24"/>
        </w:rPr>
      </w:pPr>
    </w:p>
    <w:p>
      <w:pPr>
        <w:spacing w:line="500" w:lineRule="exact"/>
        <w:ind w:firstLine="480"/>
        <w:jc w:val="left"/>
        <w:rPr>
          <w:rFonts w:ascii="宋体" w:hAnsi="宋体" w:eastAsia="宋体" w:cs="Times New Roman"/>
          <w:sz w:val="24"/>
        </w:rPr>
      </w:pPr>
      <w:r>
        <w:rPr>
          <w:rFonts w:hint="eastAsia" w:ascii="宋体" w:hAnsi="宋体" w:eastAsia="宋体" w:cs="Times New Roman"/>
          <w:sz w:val="24"/>
        </w:rPr>
        <w:t xml:space="preserve">投标人名称： </w:t>
      </w:r>
      <w:r>
        <w:rPr>
          <w:rFonts w:hint="eastAsia" w:ascii="宋体" w:hAnsi="宋体" w:eastAsia="宋体" w:cs="Times New Roman"/>
          <w:sz w:val="24"/>
          <w:u w:val="single"/>
        </w:rPr>
        <w:t xml:space="preserve">          </w:t>
      </w:r>
      <w:r>
        <w:rPr>
          <w:rFonts w:hint="eastAsia" w:ascii="宋体" w:hAnsi="宋体" w:eastAsia="宋体" w:cs="Times New Roman"/>
          <w:sz w:val="24"/>
        </w:rPr>
        <w:t>（盖CA电子公章）</w:t>
      </w:r>
    </w:p>
    <w:p>
      <w:pPr>
        <w:ind w:firstLine="480"/>
        <w:rPr>
          <w:rFonts w:ascii="宋体" w:hAnsi="宋体" w:eastAsia="宋体" w:cs="Times New Roman"/>
          <w:sz w:val="24"/>
        </w:rPr>
      </w:pPr>
    </w:p>
    <w:p>
      <w:pPr>
        <w:ind w:firstLine="480"/>
        <w:rPr>
          <w:rFonts w:ascii="宋体" w:hAnsi="宋体" w:eastAsia="宋体" w:cs="Times New Roman"/>
          <w:szCs w:val="22"/>
        </w:rPr>
      </w:pPr>
      <w:r>
        <w:rPr>
          <w:rFonts w:hint="eastAsia" w:ascii="宋体" w:hAnsi="宋体" w:eastAsia="宋体" w:cs="Times New Roman"/>
          <w:sz w:val="24"/>
        </w:rPr>
        <w:t>日期：    年    月   日</w:t>
      </w: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outlineLvl w:val="1"/>
        <w:rPr>
          <w:rFonts w:ascii="黑体" w:hAnsi="黑体" w:eastAsia="黑体" w:cs="黑体"/>
          <w:bCs/>
          <w:sz w:val="32"/>
        </w:rPr>
      </w:pPr>
      <w:bookmarkStart w:id="172" w:name="_Toc15099"/>
    </w:p>
    <w:p>
      <w:pPr>
        <w:outlineLvl w:val="1"/>
        <w:rPr>
          <w:rFonts w:ascii="黑体" w:hAnsi="黑体" w:eastAsia="黑体" w:cs="黑体"/>
          <w:bCs/>
          <w:sz w:val="32"/>
        </w:rPr>
      </w:pPr>
    </w:p>
    <w:p>
      <w:pPr>
        <w:outlineLvl w:val="1"/>
        <w:rPr>
          <w:rFonts w:ascii="黑体" w:hAnsi="黑体" w:eastAsia="黑体" w:cs="黑体"/>
          <w:bCs/>
          <w:sz w:val="32"/>
        </w:rPr>
      </w:pPr>
    </w:p>
    <w:p>
      <w:pPr>
        <w:outlineLvl w:val="1"/>
        <w:rPr>
          <w:rFonts w:ascii="黑体" w:hAnsi="黑体" w:eastAsia="黑体" w:cs="黑体"/>
          <w:bCs/>
          <w:sz w:val="32"/>
        </w:rPr>
      </w:pPr>
      <w:r>
        <w:rPr>
          <w:rFonts w:hint="eastAsia" w:ascii="黑体" w:hAnsi="黑体" w:eastAsia="黑体" w:cs="黑体"/>
          <w:bCs/>
          <w:sz w:val="32"/>
        </w:rPr>
        <w:t>二、</w:t>
      </w:r>
      <w:bookmarkEnd w:id="172"/>
      <w:r>
        <w:rPr>
          <w:rFonts w:hint="eastAsia" w:ascii="黑体" w:hAnsi="黑体" w:eastAsia="黑体" w:cs="黑体"/>
          <w:bCs/>
          <w:sz w:val="32"/>
        </w:rPr>
        <w:t>特定资格要求</w:t>
      </w:r>
    </w:p>
    <w:p>
      <w:pPr>
        <w:rPr>
          <w:rFonts w:ascii="Calibri" w:hAnsi="Calibri" w:eastAsia="宋体" w:cs="Times New Roman"/>
          <w:szCs w:val="22"/>
        </w:rPr>
      </w:pPr>
      <w:r>
        <w:rPr>
          <w:rFonts w:hint="eastAsia" w:ascii="Calibri" w:hAnsi="Calibri" w:eastAsia="宋体" w:cs="Times New Roman"/>
          <w:szCs w:val="22"/>
        </w:rPr>
        <w:t>按招标文件要求提供相应资质证书</w:t>
      </w:r>
    </w:p>
    <w:p>
      <w:pPr>
        <w:outlineLvl w:val="1"/>
        <w:rPr>
          <w:rFonts w:ascii="Calibri" w:hAnsi="Calibri" w:eastAsia="宋体" w:cs="Times New Roman"/>
          <w:szCs w:val="22"/>
        </w:rPr>
      </w:pPr>
      <w:r>
        <w:rPr>
          <w:rFonts w:hint="eastAsia" w:ascii="Calibri" w:hAnsi="Calibri" w:eastAsia="宋体" w:cs="Times New Roman"/>
          <w:szCs w:val="22"/>
        </w:rPr>
        <w:br w:type="page" w:clear="all"/>
      </w:r>
      <w:bookmarkStart w:id="173" w:name="_Toc3680"/>
      <w:bookmarkStart w:id="174" w:name="_Toc29506"/>
      <w:bookmarkStart w:id="175" w:name="_Toc27409"/>
      <w:r>
        <w:rPr>
          <w:rFonts w:hint="eastAsia" w:ascii="黑体" w:hAnsi="黑体" w:eastAsia="黑体" w:cs="黑体"/>
          <w:bCs/>
          <w:sz w:val="32"/>
        </w:rPr>
        <w:t>三、</w:t>
      </w:r>
      <w:bookmarkEnd w:id="173"/>
      <w:bookmarkEnd w:id="174"/>
      <w:r>
        <w:rPr>
          <w:rFonts w:hint="eastAsia" w:ascii="黑体" w:hAnsi="黑体" w:eastAsia="黑体" w:cs="黑体"/>
          <w:bCs/>
          <w:sz w:val="32"/>
        </w:rPr>
        <w:t>法人授权书</w:t>
      </w:r>
      <w:bookmarkEnd w:id="175"/>
    </w:p>
    <w:p>
      <w:pPr>
        <w:jc w:val="center"/>
        <w:rPr>
          <w:rFonts w:ascii="方正小标宋_GBK" w:hAnsi="Calibri" w:eastAsia="方正小标宋_GBK" w:cs="Times New Roman"/>
          <w:bCs/>
          <w:sz w:val="32"/>
          <w:szCs w:val="32"/>
        </w:rPr>
      </w:pPr>
      <w:bookmarkStart w:id="176" w:name="OLE_LINK6"/>
      <w:r>
        <w:rPr>
          <w:rFonts w:hint="eastAsia" w:ascii="方正小标宋_GBK" w:hAnsi="Calibri" w:eastAsia="方正小标宋_GBK" w:cs="Times New Roman"/>
          <w:bCs/>
          <w:sz w:val="32"/>
          <w:szCs w:val="32"/>
        </w:rPr>
        <w:t>法人授权书</w:t>
      </w:r>
      <w:bookmarkEnd w:id="176"/>
    </w:p>
    <w:p>
      <w:pPr>
        <w:spacing w:line="480" w:lineRule="exact"/>
        <w:ind w:firstLine="482"/>
        <w:rPr>
          <w:rFonts w:ascii="宋体" w:hAnsi="宋体" w:eastAsia="宋体" w:cs="Times New Roman"/>
          <w:sz w:val="24"/>
        </w:rPr>
      </w:pPr>
      <w:r>
        <w:rPr>
          <w:rFonts w:hint="eastAsia" w:ascii="宋体" w:hAnsi="宋体" w:eastAsia="宋体" w:cs="Times New Roman"/>
          <w:sz w:val="24"/>
        </w:rPr>
        <w:t>本授权书声明：____________（投标人名称）授权________________（被授权人的姓名）为我方就</w:t>
      </w:r>
      <w:r>
        <w:rPr>
          <w:rFonts w:hint="eastAsia" w:ascii="宋体" w:hAnsi="宋体" w:eastAsia="宋体" w:cs="Times New Roman"/>
          <w:sz w:val="24"/>
          <w:u w:val="single"/>
        </w:rPr>
        <w:t>（项目编号）</w:t>
      </w:r>
      <w:r>
        <w:rPr>
          <w:rFonts w:hint="eastAsia" w:ascii="宋体" w:hAnsi="宋体" w:eastAsia="宋体" w:cs="Times New Roman"/>
          <w:sz w:val="24"/>
        </w:rPr>
        <w:t>号</w:t>
      </w:r>
      <w:r>
        <w:rPr>
          <w:rFonts w:hint="eastAsia" w:ascii="宋体" w:hAnsi="宋体" w:eastAsia="宋体" w:cs="Times New Roman"/>
          <w:sz w:val="24"/>
          <w:u w:val="single"/>
        </w:rPr>
        <w:t xml:space="preserve">          （项目名称）           项目</w:t>
      </w:r>
      <w:r>
        <w:rPr>
          <w:rFonts w:hint="eastAsia" w:ascii="宋体" w:hAnsi="宋体" w:eastAsia="宋体" w:cs="Times New Roman"/>
          <w:sz w:val="24"/>
        </w:rPr>
        <w:t>采购活动的合法代理人，以本单位名义全权处理一切与该项目采购有关的事务。</w:t>
      </w:r>
    </w:p>
    <w:p>
      <w:pPr>
        <w:spacing w:line="480" w:lineRule="exact"/>
        <w:ind w:firstLine="482"/>
        <w:rPr>
          <w:rFonts w:ascii="宋体" w:hAnsi="宋体" w:eastAsia="宋体" w:cs="Times New Roman"/>
          <w:sz w:val="24"/>
        </w:rPr>
      </w:pPr>
      <w:r>
        <w:rPr>
          <w:rFonts w:hint="eastAsia" w:ascii="宋体" w:hAnsi="宋体" w:eastAsia="宋体" w:cs="Times New Roman"/>
          <w:sz w:val="24"/>
        </w:rPr>
        <w:t>本授权书于______年____月____日起生效，特此声明。</w:t>
      </w:r>
    </w:p>
    <w:p>
      <w:pPr>
        <w:spacing w:line="480" w:lineRule="exact"/>
        <w:ind w:firstLine="482"/>
        <w:rPr>
          <w:rFonts w:ascii="Times New Roman" w:hAnsi="Times New Roman" w:eastAsia="宋体" w:cs="Times New Roman"/>
          <w:sz w:val="24"/>
          <w:u w:val="single"/>
        </w:rPr>
      </w:pPr>
      <w:r>
        <w:rPr>
          <w:rFonts w:hint="eastAsia" w:ascii="Times New Roman" w:hAnsi="Times New Roman" w:eastAsia="宋体" w:cs="Times New Roman"/>
          <w:sz w:val="24"/>
        </w:rPr>
        <w:t>被授权人身份证号码：</w:t>
      </w:r>
      <w:r>
        <w:rPr>
          <w:rFonts w:hint="eastAsia" w:ascii="Times New Roman" w:hAnsi="Times New Roman" w:eastAsia="宋体" w:cs="Times New Roman"/>
          <w:sz w:val="24"/>
          <w:u w:val="single"/>
        </w:rPr>
        <w:t xml:space="preserve">                             </w:t>
      </w:r>
    </w:p>
    <w:p>
      <w:pPr>
        <w:spacing w:line="480" w:lineRule="exact"/>
        <w:ind w:firstLine="482"/>
        <w:rPr>
          <w:rFonts w:ascii="宋体" w:hAnsi="宋体" w:eastAsia="宋体" w:cs="Times New Roman"/>
          <w:sz w:val="24"/>
        </w:rPr>
      </w:pPr>
      <w:r>
        <w:rPr>
          <w:rFonts w:hint="eastAsia" w:ascii="Times New Roman" w:hAnsi="Times New Roman" w:eastAsia="宋体" w:cs="Times New Roman"/>
          <w:sz w:val="24"/>
        </w:rPr>
        <w:t>被授权人联系电话：（手机）</w:t>
      </w:r>
      <w:r>
        <w:rPr>
          <w:rFonts w:hint="eastAsia" w:ascii="Times New Roman" w:hAnsi="Times New Roman" w:eastAsia="宋体" w:cs="Times New Roman"/>
          <w:sz w:val="24"/>
          <w:u w:val="single"/>
        </w:rPr>
        <w:t xml:space="preserve">                          </w:t>
      </w:r>
    </w:p>
    <w:p>
      <w:pPr>
        <w:spacing w:line="480" w:lineRule="exact"/>
        <w:ind w:firstLine="482"/>
        <w:rPr>
          <w:rFonts w:ascii="宋体" w:hAnsi="宋体" w:eastAsia="宋体" w:cs="Times New Roman"/>
          <w:sz w:val="24"/>
        </w:rPr>
      </w:pPr>
      <w:r>
        <w:rPr>
          <w:rFonts w:hint="eastAsia" w:ascii="Times New Roman" w:hAnsi="Times New Roman" w:eastAsia="宋体" w:cs="Times New Roman"/>
          <w:sz w:val="24"/>
        </w:rPr>
        <w:t>授权单位名称：</w:t>
      </w:r>
      <w:r>
        <w:rPr>
          <w:rFonts w:hint="eastAsia" w:ascii="Times New Roman" w:hAnsi="Times New Roman" w:eastAsia="宋体" w:cs="Times New Roman"/>
          <w:sz w:val="24"/>
          <w:u w:val="single"/>
        </w:rPr>
        <w:t>（盖CA电子公章）</w:t>
      </w:r>
    </w:p>
    <w:p>
      <w:pPr>
        <w:spacing w:line="480" w:lineRule="exact"/>
        <w:ind w:firstLine="482"/>
        <w:rPr>
          <w:rFonts w:ascii="宋体" w:hAnsi="宋体" w:eastAsia="宋体" w:cs="Times New Roman"/>
          <w:sz w:val="24"/>
        </w:rPr>
      </w:pPr>
      <w:r>
        <w:rPr>
          <w:rFonts w:hint="eastAsia" w:ascii="Times New Roman" w:hAnsi="Times New Roman" w:eastAsia="宋体" w:cs="Times New Roman"/>
          <w:sz w:val="24"/>
        </w:rPr>
        <w:t>单位地址：</w:t>
      </w:r>
      <w:r>
        <w:rPr>
          <w:rFonts w:hint="eastAsia" w:ascii="Times New Roman" w:hAnsi="Times New Roman" w:eastAsia="宋体" w:cs="Times New Roman"/>
          <w:sz w:val="24"/>
          <w:u w:val="single"/>
        </w:rPr>
        <w:t xml:space="preserve">                                         </w:t>
      </w:r>
    </w:p>
    <w:p>
      <w:pPr>
        <w:spacing w:line="480" w:lineRule="exact"/>
        <w:ind w:firstLine="482"/>
        <w:rPr>
          <w:rFonts w:ascii="宋体" w:hAnsi="宋体" w:eastAsia="宋体" w:cs="Times New Roman"/>
          <w:sz w:val="24"/>
        </w:rPr>
      </w:pPr>
      <w:r>
        <w:rPr>
          <w:rFonts w:hint="eastAsia" w:ascii="Times New Roman" w:hAnsi="Times New Roman" w:eastAsia="宋体" w:cs="Times New Roman"/>
          <w:sz w:val="24"/>
        </w:rPr>
        <w:t>日期：</w:t>
      </w:r>
      <w:bookmarkStart w:id="177" w:name="_Hlt26955070"/>
      <w:bookmarkEnd w:id="177"/>
      <w:bookmarkStart w:id="178" w:name="_Hlt26671380"/>
      <w:bookmarkEnd w:id="178"/>
      <w:bookmarkStart w:id="179" w:name="_格式3__银行出具的资信证明"/>
      <w:bookmarkEnd w:id="179"/>
      <w:r>
        <w:rPr>
          <w:rFonts w:hint="eastAsia" w:ascii="Times New Roman" w:hAnsi="Times New Roman" w:eastAsia="宋体" w:cs="Times New Roman"/>
          <w:sz w:val="24"/>
          <w:u w:val="single"/>
        </w:rPr>
        <w:t xml:space="preserve">                                         </w:t>
      </w:r>
    </w:p>
    <w:p>
      <w:pPr>
        <w:spacing w:line="700" w:lineRule="exact"/>
        <w:ind w:firstLine="629"/>
        <w:rPr>
          <w:rFonts w:ascii="方正仿宋_GBK" w:hAnsi="Times New Roman" w:eastAsia="方正仿宋_GBK" w:cs="Times New Roman"/>
          <w:sz w:val="24"/>
          <w:szCs w:val="22"/>
        </w:rPr>
      </w:pPr>
    </w:p>
    <w:p>
      <w:pPr>
        <w:outlineLvl w:val="1"/>
        <w:rPr>
          <w:rFonts w:ascii="黑体" w:hAnsi="黑体" w:eastAsia="黑体" w:cs="黑体"/>
          <w:b/>
          <w:sz w:val="32"/>
        </w:rPr>
      </w:pPr>
      <w:r>
        <w:rPr>
          <w:rFonts w:ascii="黑体" w:hAnsi="黑体" w:eastAsia="黑体" w:cs="黑体"/>
          <w:b/>
          <w:sz w:val="32"/>
        </w:rPr>
        <w:br w:type="page" w:clear="all"/>
      </w:r>
      <w:bookmarkStart w:id="180" w:name="_Toc13550"/>
      <w:bookmarkStart w:id="181" w:name="_Toc27199"/>
      <w:bookmarkStart w:id="182" w:name="_Toc30543"/>
      <w:r>
        <w:rPr>
          <w:rFonts w:hint="eastAsia" w:ascii="黑体" w:hAnsi="黑体" w:eastAsia="黑体" w:cs="黑体"/>
          <w:bCs/>
          <w:sz w:val="32"/>
        </w:rPr>
        <w:t>四</w:t>
      </w:r>
      <w:r>
        <w:rPr>
          <w:rFonts w:ascii="黑体" w:hAnsi="黑体" w:eastAsia="黑体" w:cs="黑体"/>
          <w:bCs/>
          <w:sz w:val="32"/>
        </w:rPr>
        <w:t>、开标一览表</w:t>
      </w:r>
      <w:bookmarkEnd w:id="180"/>
      <w:bookmarkEnd w:id="181"/>
      <w:bookmarkEnd w:id="182"/>
    </w:p>
    <w:p>
      <w:pPr>
        <w:rPr>
          <w:rFonts w:ascii="宋体" w:hAnsi="宋体" w:eastAsia="宋体" w:cs="宋体"/>
          <w:sz w:val="24"/>
        </w:rPr>
      </w:pPr>
    </w:p>
    <w:p>
      <w:pPr>
        <w:rPr>
          <w:rFonts w:ascii="Times New Roman" w:hAnsi="Times New Roman" w:eastAsia="Times New Roman" w:cs="Times New Roman"/>
          <w:sz w:val="24"/>
        </w:rPr>
      </w:pPr>
      <w:r>
        <w:rPr>
          <w:rFonts w:hint="eastAsia" w:ascii="宋体" w:hAnsi="宋体" w:eastAsia="宋体" w:cs="宋体"/>
          <w:sz w:val="24"/>
        </w:rPr>
        <w:t>投标人全称</w:t>
      </w:r>
      <w:r>
        <w:rPr>
          <w:rFonts w:hint="eastAsia" w:ascii="Times New Roman" w:hAnsi="Times New Roman" w:eastAsia="Times New Roman" w:cs="Times New Roman"/>
          <w:sz w:val="24"/>
        </w:rPr>
        <w:t>(CA</w:t>
      </w:r>
      <w:r>
        <w:rPr>
          <w:rFonts w:hint="eastAsia" w:ascii="宋体" w:hAnsi="宋体" w:eastAsia="宋体" w:cs="宋体"/>
          <w:sz w:val="24"/>
        </w:rPr>
        <w:t>公章</w:t>
      </w:r>
      <w:r>
        <w:rPr>
          <w:rFonts w:hint="eastAsia" w:ascii="Times New Roman" w:hAnsi="Times New Roman" w:eastAsia="Times New Roman" w:cs="Times New Roman"/>
          <w:sz w:val="24"/>
        </w:rPr>
        <w:t xml:space="preserve">) </w:t>
      </w:r>
      <w:r>
        <w:rPr>
          <w:rFonts w:hint="eastAsia" w:ascii="Times New Roman" w:hAnsi="Times New Roman" w:eastAsia="宋体" w:cs="Times New Roman"/>
          <w:sz w:val="24"/>
        </w:rPr>
        <w:t>：</w:t>
      </w:r>
      <w:r>
        <w:rPr>
          <w:rFonts w:hint="eastAsia" w:ascii="宋体" w:hAnsi="宋体" w:eastAsia="宋体" w:cs="宋体"/>
          <w:sz w:val="24"/>
        </w:rPr>
        <w:t>供应商名称</w:t>
      </w:r>
    </w:p>
    <w:p>
      <w:pPr>
        <w:spacing w:line="500" w:lineRule="exact"/>
        <w:rPr>
          <w:rFonts w:ascii="宋体" w:hAnsi="宋体" w:eastAsia="宋体" w:cs="宋体"/>
          <w:sz w:val="24"/>
        </w:rPr>
      </w:pPr>
      <w:r>
        <w:rPr>
          <w:rFonts w:hint="eastAsia" w:ascii="宋体" w:hAnsi="宋体" w:eastAsia="宋体" w:cs="宋体"/>
          <w:sz w:val="24"/>
        </w:rPr>
        <w:t>采购项目名称：</w:t>
      </w:r>
    </w:p>
    <w:p>
      <w:pPr>
        <w:spacing w:line="500" w:lineRule="exact"/>
        <w:rPr>
          <w:rFonts w:ascii="宋体" w:hAnsi="宋体" w:eastAsia="宋体" w:cs="宋体"/>
          <w:sz w:val="24"/>
        </w:rPr>
      </w:pPr>
      <w:r>
        <w:rPr>
          <w:rFonts w:hint="eastAsia" w:ascii="宋体" w:hAnsi="宋体" w:eastAsia="宋体" w:cs="宋体"/>
          <w:sz w:val="24"/>
        </w:rPr>
        <w:t xml:space="preserve">采购项目编号： </w:t>
      </w:r>
    </w:p>
    <w:p>
      <w:pPr>
        <w:spacing w:line="500" w:lineRule="exact"/>
        <w:rPr>
          <w:rFonts w:ascii="宋体" w:hAnsi="宋体" w:eastAsia="宋体" w:cs="宋体"/>
          <w:sz w:val="24"/>
        </w:rPr>
      </w:pPr>
      <w:r>
        <w:rPr>
          <w:rFonts w:hint="eastAsia" w:ascii="宋体" w:hAnsi="宋体" w:eastAsia="宋体" w:cs="宋体"/>
          <w:sz w:val="24"/>
        </w:rPr>
        <w:t>采购包号：</w:t>
      </w:r>
      <w:r>
        <w:rPr>
          <w:rFonts w:ascii="宋体" w:hAnsi="宋体" w:eastAsia="宋体" w:cs="宋体"/>
          <w:sz w:val="24"/>
        </w:rPr>
        <w:t>分包号 </w:t>
      </w:r>
    </w:p>
    <w:tbl>
      <w:tblPr>
        <w:tblStyle w:val="18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tcPr>
          <w:p>
            <w:pPr>
              <w:spacing w:line="500" w:lineRule="exact"/>
              <w:jc w:val="center"/>
              <w:rPr>
                <w:rFonts w:ascii="宋体" w:hAnsi="宋体" w:eastAsia="宋体" w:cs="宋体"/>
                <w:sz w:val="24"/>
              </w:rPr>
            </w:pPr>
            <w:r>
              <w:rPr>
                <w:rFonts w:hint="eastAsia" w:ascii="宋体" w:hAnsi="宋体" w:eastAsia="宋体" w:cs="宋体"/>
                <w:sz w:val="24"/>
              </w:rPr>
              <w:t>投标总报价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tcPr>
          <w:p>
            <w:pPr>
              <w:spacing w:line="500" w:lineRule="exact"/>
              <w:rPr>
                <w:rFonts w:ascii="宋体" w:hAnsi="宋体" w:eastAsia="宋体" w:cs="宋体"/>
                <w:sz w:val="24"/>
              </w:rPr>
            </w:pPr>
            <w:r>
              <w:rPr>
                <w:rFonts w:hint="eastAsia" w:ascii="宋体" w:hAnsi="宋体" w:eastAsia="宋体" w:cs="宋体"/>
                <w:sz w:val="24"/>
              </w:rPr>
              <w:t xml:space="preserve">报价（小写）：         </w:t>
            </w:r>
            <w:r>
              <w:rPr>
                <w:rFonts w:ascii="宋体" w:hAnsi="宋体" w:eastAsia="宋体" w:cs="宋体"/>
                <w:sz w:val="24"/>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tcPr>
          <w:p>
            <w:pPr>
              <w:spacing w:line="500" w:lineRule="exact"/>
              <w:rPr>
                <w:rFonts w:ascii="宋体" w:hAnsi="宋体" w:eastAsia="宋体" w:cs="宋体"/>
                <w:sz w:val="24"/>
              </w:rPr>
            </w:pPr>
            <w:r>
              <w:rPr>
                <w:rFonts w:hint="eastAsia" w:ascii="宋体" w:hAnsi="宋体" w:eastAsia="宋体" w:cs="宋体"/>
                <w:sz w:val="24"/>
              </w:rPr>
              <w:t>报</w:t>
            </w:r>
            <w:r>
              <w:rPr>
                <w:rFonts w:ascii="宋体" w:hAnsi="宋体" w:eastAsia="宋体" w:cs="宋体"/>
                <w:sz w:val="24"/>
              </w:rPr>
              <w:t>价（大写）：金额大写 （人民币：元）</w:t>
            </w:r>
          </w:p>
        </w:tc>
      </w:tr>
    </w:tbl>
    <w:p>
      <w:pPr>
        <w:spacing w:line="500" w:lineRule="exact"/>
        <w:rPr>
          <w:rFonts w:ascii="宋体" w:hAnsi="宋体" w:eastAsia="宋体" w:cs="宋体"/>
          <w:sz w:val="24"/>
        </w:rPr>
      </w:pPr>
    </w:p>
    <w:p>
      <w:pPr>
        <w:rPr>
          <w:rFonts w:ascii="Calibri" w:hAnsi="Calibri" w:eastAsia="宋体" w:cs="Times New Roman"/>
          <w:szCs w:val="22"/>
        </w:rPr>
      </w:pPr>
    </w:p>
    <w:p>
      <w:pPr>
        <w:rPr>
          <w:rFonts w:ascii="Calibri" w:hAnsi="Calibri" w:eastAsia="宋体" w:cs="Times New Roman"/>
          <w:szCs w:val="22"/>
        </w:rPr>
      </w:pPr>
    </w:p>
    <w:p>
      <w:pPr>
        <w:rPr>
          <w:rFonts w:ascii="Calibri" w:hAnsi="Calibri" w:eastAsia="宋体" w:cs="Times New Roman"/>
          <w:szCs w:val="22"/>
        </w:rPr>
      </w:pPr>
    </w:p>
    <w:p>
      <w:pPr>
        <w:rPr>
          <w:rFonts w:ascii="宋体" w:hAnsi="宋体" w:eastAsia="宋体" w:cs="宋体"/>
          <w:sz w:val="24"/>
          <w:szCs w:val="22"/>
        </w:rPr>
      </w:pPr>
      <w:r>
        <w:rPr>
          <w:rFonts w:hint="eastAsia" w:ascii="Calibri" w:hAnsi="Calibri" w:eastAsia="宋体" w:cs="Times New Roman"/>
          <w:szCs w:val="22"/>
        </w:rPr>
        <w:t xml:space="preserve"> </w:t>
      </w:r>
      <w:r>
        <w:rPr>
          <w:rFonts w:ascii="Calibri" w:hAnsi="Calibri" w:eastAsia="宋体" w:cs="Times New Roman"/>
          <w:szCs w:val="22"/>
        </w:rPr>
        <w:t xml:space="preserve">                   </w:t>
      </w:r>
      <w:r>
        <w:rPr>
          <w:rFonts w:hint="eastAsia" w:ascii="Calibri" w:hAnsi="Calibri" w:eastAsia="宋体" w:cs="Times New Roman"/>
          <w:szCs w:val="22"/>
        </w:rPr>
        <w:t xml:space="preserve">                   </w:t>
      </w:r>
      <w:r>
        <w:rPr>
          <w:rFonts w:ascii="Calibri" w:hAnsi="Calibri" w:eastAsia="宋体" w:cs="Times New Roman"/>
          <w:szCs w:val="22"/>
        </w:rPr>
        <w:t xml:space="preserve">     </w:t>
      </w:r>
      <w:bookmarkStart w:id="183" w:name="_Toc12113"/>
      <w:r>
        <w:rPr>
          <w:rFonts w:hint="eastAsia" w:ascii="宋体" w:hAnsi="宋体" w:eastAsia="宋体" w:cs="宋体"/>
          <w:sz w:val="24"/>
          <w:szCs w:val="22"/>
        </w:rPr>
        <w:t xml:space="preserve">日期： </w:t>
      </w:r>
      <w:r>
        <w:rPr>
          <w:rFonts w:ascii="宋体" w:hAnsi="宋体" w:eastAsia="宋体" w:cs="宋体"/>
          <w:sz w:val="24"/>
          <w:szCs w:val="22"/>
        </w:rPr>
        <w:t xml:space="preserve">    </w:t>
      </w:r>
      <w:r>
        <w:rPr>
          <w:rFonts w:hint="eastAsia" w:ascii="宋体" w:hAnsi="宋体" w:eastAsia="宋体" w:cs="宋体"/>
          <w:sz w:val="24"/>
          <w:szCs w:val="22"/>
        </w:rPr>
        <w:t xml:space="preserve">年 </w:t>
      </w:r>
      <w:r>
        <w:rPr>
          <w:rFonts w:ascii="宋体" w:hAnsi="宋体" w:eastAsia="宋体" w:cs="宋体"/>
          <w:sz w:val="24"/>
          <w:szCs w:val="22"/>
        </w:rPr>
        <w:t xml:space="preserve">    </w:t>
      </w:r>
      <w:r>
        <w:rPr>
          <w:rFonts w:hint="eastAsia" w:ascii="宋体" w:hAnsi="宋体" w:eastAsia="宋体" w:cs="宋体"/>
          <w:sz w:val="24"/>
          <w:szCs w:val="22"/>
        </w:rPr>
        <w:t xml:space="preserve">月 </w:t>
      </w:r>
      <w:r>
        <w:rPr>
          <w:rFonts w:ascii="宋体" w:hAnsi="宋体" w:eastAsia="宋体" w:cs="宋体"/>
          <w:sz w:val="24"/>
          <w:szCs w:val="22"/>
        </w:rPr>
        <w:t xml:space="preserve">    </w:t>
      </w:r>
      <w:r>
        <w:rPr>
          <w:rFonts w:hint="eastAsia" w:ascii="宋体" w:hAnsi="宋体" w:eastAsia="宋体" w:cs="宋体"/>
          <w:sz w:val="24"/>
          <w:szCs w:val="22"/>
        </w:rPr>
        <w:t>日</w:t>
      </w:r>
      <w:bookmarkEnd w:id="183"/>
    </w:p>
    <w:p>
      <w:pPr>
        <w:outlineLvl w:val="1"/>
        <w:rPr>
          <w:rFonts w:ascii="黑体" w:hAnsi="黑体" w:eastAsia="黑体" w:cs="黑体"/>
          <w:b/>
          <w:sz w:val="32"/>
        </w:rPr>
      </w:pPr>
      <w:r>
        <w:rPr>
          <w:rFonts w:ascii="黑体" w:hAnsi="黑体" w:eastAsia="黑体" w:cs="黑体"/>
          <w:b/>
          <w:sz w:val="32"/>
        </w:rPr>
        <w:br w:type="page" w:clear="all"/>
      </w:r>
      <w:bookmarkStart w:id="184" w:name="_Toc956"/>
      <w:bookmarkStart w:id="185" w:name="_Toc26543"/>
      <w:bookmarkStart w:id="186" w:name="_Toc12614"/>
      <w:r>
        <w:rPr>
          <w:rFonts w:hint="eastAsia" w:ascii="黑体" w:hAnsi="黑体" w:eastAsia="黑体" w:cs="黑体"/>
          <w:bCs/>
          <w:sz w:val="32"/>
        </w:rPr>
        <w:t>五</w:t>
      </w:r>
      <w:r>
        <w:rPr>
          <w:rFonts w:ascii="黑体" w:hAnsi="黑体" w:eastAsia="黑体" w:cs="黑体"/>
          <w:bCs/>
          <w:sz w:val="32"/>
        </w:rPr>
        <w:t>、</w:t>
      </w:r>
      <w:bookmarkEnd w:id="184"/>
      <w:bookmarkEnd w:id="185"/>
      <w:r>
        <w:rPr>
          <w:rFonts w:hint="eastAsia" w:ascii="黑体" w:hAnsi="黑体" w:eastAsia="黑体" w:cs="黑体"/>
          <w:bCs/>
          <w:sz w:val="32"/>
        </w:rPr>
        <w:t>分项报价表</w:t>
      </w:r>
      <w:bookmarkEnd w:id="186"/>
    </w:p>
    <w:p>
      <w:pPr>
        <w:rPr>
          <w:rFonts w:ascii="方正小标宋_GBK" w:hAnsi="Calibri" w:eastAsia="方正小标宋_GBK" w:cs="Times New Roman"/>
          <w:bCs/>
          <w:sz w:val="32"/>
          <w:szCs w:val="32"/>
        </w:rPr>
      </w:pPr>
    </w:p>
    <w:p>
      <w:pPr>
        <w:jc w:val="center"/>
        <w:rPr>
          <w:rFonts w:ascii="方正小标宋_GBK" w:hAnsi="Calibri" w:eastAsia="方正小标宋_GBK" w:cs="Times New Roman"/>
          <w:bCs/>
          <w:sz w:val="32"/>
          <w:szCs w:val="32"/>
        </w:rPr>
      </w:pP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分项报价表</w:t>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（服务类）</w:t>
      </w:r>
    </w:p>
    <w:tbl>
      <w:tblPr>
        <w:tblStyle w:val="31"/>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4"/>
        <w:gridCol w:w="1407"/>
        <w:gridCol w:w="2266"/>
        <w:gridCol w:w="1134"/>
        <w:gridCol w:w="992"/>
        <w:gridCol w:w="1541"/>
        <w:gridCol w:w="9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654" w:type="dxa"/>
            <w:noWrap w:val="0"/>
            <w:vAlign w:val="center"/>
          </w:tcPr>
          <w:p>
            <w:pPr>
              <w:widowControl/>
              <w:spacing w:line="360" w:lineRule="exact"/>
              <w:jc w:val="center"/>
              <w:rPr>
                <w:rFonts w:ascii="宋体" w:hAnsi="宋体" w:eastAsia="宋体" w:cs="Times New Roman"/>
                <w:sz w:val="28"/>
                <w:szCs w:val="28"/>
              </w:rPr>
            </w:pPr>
            <w:bookmarkStart w:id="187" w:name="_Toc17418"/>
            <w:r>
              <w:rPr>
                <w:rFonts w:hint="eastAsia" w:ascii="宋体" w:hAnsi="宋体" w:eastAsia="宋体" w:cs="Times New Roman"/>
                <w:sz w:val="28"/>
                <w:szCs w:val="28"/>
              </w:rPr>
              <w:t>序号</w:t>
            </w:r>
          </w:p>
        </w:tc>
        <w:tc>
          <w:tcPr>
            <w:tcW w:w="3673" w:type="dxa"/>
            <w:gridSpan w:val="2"/>
            <w:noWrap w:val="0"/>
            <w:vAlign w:val="center"/>
          </w:tcPr>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服务费用简述</w:t>
            </w:r>
          </w:p>
        </w:tc>
        <w:tc>
          <w:tcPr>
            <w:tcW w:w="1134" w:type="dxa"/>
            <w:noWrap w:val="0"/>
            <w:vAlign w:val="center"/>
          </w:tcPr>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单价</w:t>
            </w:r>
          </w:p>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（元）</w:t>
            </w:r>
          </w:p>
        </w:tc>
        <w:tc>
          <w:tcPr>
            <w:tcW w:w="992" w:type="dxa"/>
            <w:noWrap w:val="0"/>
            <w:vAlign w:val="center"/>
          </w:tcPr>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数量</w:t>
            </w:r>
          </w:p>
        </w:tc>
        <w:tc>
          <w:tcPr>
            <w:tcW w:w="1541" w:type="dxa"/>
            <w:noWrap w:val="0"/>
            <w:vAlign w:val="center"/>
          </w:tcPr>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合价</w:t>
            </w:r>
          </w:p>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（元）</w:t>
            </w:r>
          </w:p>
        </w:tc>
        <w:tc>
          <w:tcPr>
            <w:tcW w:w="991" w:type="dxa"/>
            <w:noWrap w:val="0"/>
            <w:vAlign w:val="center"/>
          </w:tcPr>
          <w:p>
            <w:pPr>
              <w:widowControl/>
              <w:spacing w:line="360" w:lineRule="exact"/>
              <w:jc w:val="center"/>
              <w:rPr>
                <w:rFonts w:ascii="宋体" w:hAnsi="宋体" w:eastAsia="宋体" w:cs="Times New Roman"/>
                <w:sz w:val="28"/>
                <w:szCs w:val="28"/>
              </w:rPr>
            </w:pPr>
            <w:r>
              <w:rPr>
                <w:rFonts w:hint="eastAsia" w:ascii="宋体" w:hAnsi="宋体" w:eastAsia="宋体" w:cs="Times New Roman"/>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trPr>
        <w:tc>
          <w:tcPr>
            <w:tcW w:w="654" w:type="dxa"/>
            <w:noWrap w:val="0"/>
          </w:tcPr>
          <w:p>
            <w:pPr>
              <w:widowControl/>
              <w:spacing w:line="560" w:lineRule="exact"/>
              <w:jc w:val="center"/>
              <w:rPr>
                <w:rFonts w:ascii="宋体" w:hAnsi="宋体" w:eastAsia="宋体" w:cs="Times New Roman"/>
                <w:sz w:val="28"/>
                <w:szCs w:val="28"/>
              </w:rPr>
            </w:pPr>
            <w:r>
              <w:rPr>
                <w:rFonts w:hint="eastAsia" w:ascii="宋体" w:hAnsi="宋体" w:eastAsia="宋体" w:cs="Times New Roman"/>
                <w:sz w:val="28"/>
                <w:szCs w:val="28"/>
              </w:rPr>
              <w:t>1</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trPr>
        <w:tc>
          <w:tcPr>
            <w:tcW w:w="654" w:type="dxa"/>
            <w:noWrap w:val="0"/>
          </w:tcPr>
          <w:p>
            <w:pPr>
              <w:widowControl/>
              <w:spacing w:line="560" w:lineRule="exact"/>
              <w:jc w:val="center"/>
              <w:rPr>
                <w:rFonts w:ascii="宋体" w:hAnsi="宋体" w:eastAsia="宋体" w:cs="Times New Roman"/>
                <w:sz w:val="28"/>
                <w:szCs w:val="28"/>
              </w:rPr>
            </w:pPr>
            <w:r>
              <w:rPr>
                <w:rFonts w:hint="eastAsia" w:ascii="宋体" w:hAnsi="宋体" w:eastAsia="宋体" w:cs="Times New Roman"/>
                <w:sz w:val="28"/>
                <w:szCs w:val="28"/>
              </w:rPr>
              <w:t>2</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noWrap w:val="0"/>
          </w:tcPr>
          <w:p>
            <w:pPr>
              <w:widowControl/>
              <w:spacing w:line="560" w:lineRule="exact"/>
              <w:jc w:val="center"/>
              <w:rPr>
                <w:rFonts w:ascii="宋体" w:hAnsi="宋体" w:eastAsia="宋体" w:cs="Times New Roman"/>
                <w:sz w:val="28"/>
                <w:szCs w:val="28"/>
              </w:rPr>
            </w:pPr>
            <w:r>
              <w:rPr>
                <w:rFonts w:hint="eastAsia" w:ascii="宋体" w:hAnsi="宋体" w:eastAsia="宋体" w:cs="Times New Roman"/>
                <w:sz w:val="28"/>
                <w:szCs w:val="28"/>
              </w:rPr>
              <w:t>3</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noWrap w:val="0"/>
          </w:tcPr>
          <w:p>
            <w:pPr>
              <w:widowControl/>
              <w:spacing w:line="560" w:lineRule="exact"/>
              <w:jc w:val="center"/>
              <w:rPr>
                <w:rFonts w:ascii="宋体" w:hAnsi="宋体" w:eastAsia="宋体" w:cs="Times New Roman"/>
                <w:sz w:val="28"/>
                <w:szCs w:val="28"/>
              </w:rPr>
            </w:pPr>
            <w:r>
              <w:rPr>
                <w:rFonts w:hint="eastAsia" w:ascii="宋体" w:hAnsi="宋体" w:eastAsia="宋体" w:cs="Times New Roman"/>
                <w:sz w:val="28"/>
                <w:szCs w:val="28"/>
              </w:rPr>
              <w:t>4</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noWrap w:val="0"/>
          </w:tcPr>
          <w:p>
            <w:pPr>
              <w:widowControl/>
              <w:spacing w:line="560" w:lineRule="exact"/>
              <w:jc w:val="center"/>
              <w:rPr>
                <w:rFonts w:ascii="宋体" w:hAnsi="宋体" w:eastAsia="宋体" w:cs="Times New Roman"/>
                <w:sz w:val="28"/>
                <w:szCs w:val="28"/>
              </w:rPr>
            </w:pPr>
            <w:r>
              <w:rPr>
                <w:rFonts w:hint="eastAsia" w:ascii="宋体" w:hAnsi="宋体" w:eastAsia="宋体" w:cs="Times New Roman"/>
                <w:sz w:val="28"/>
                <w:szCs w:val="28"/>
              </w:rPr>
              <w:t>5</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654" w:type="dxa"/>
            <w:noWrap w:val="0"/>
          </w:tcPr>
          <w:p>
            <w:pPr>
              <w:widowControl/>
              <w:spacing w:line="560" w:lineRule="exact"/>
              <w:rPr>
                <w:rFonts w:ascii="仿宋_GB2312" w:hAnsi="仿宋_GB2312" w:eastAsia="宋体" w:cs="Times New Roman"/>
                <w:sz w:val="28"/>
                <w:szCs w:val="28"/>
              </w:rPr>
            </w:pPr>
            <w:r>
              <w:rPr>
                <w:rFonts w:ascii="仿宋_GB2312" w:hAnsi="Calibri" w:eastAsia="仿宋_GB2312" w:cs="Times New Roman"/>
                <w:sz w:val="28"/>
                <w:szCs w:val="28"/>
              </w:rPr>
              <w:t>…</w:t>
            </w:r>
          </w:p>
        </w:tc>
        <w:tc>
          <w:tcPr>
            <w:tcW w:w="3673" w:type="dxa"/>
            <w:gridSpan w:val="2"/>
            <w:noWrap w:val="0"/>
          </w:tcPr>
          <w:p>
            <w:pPr>
              <w:widowControl/>
              <w:spacing w:line="560" w:lineRule="exact"/>
              <w:jc w:val="center"/>
              <w:rPr>
                <w:rFonts w:ascii="仿宋_GB2312" w:hAnsi="仿宋_GB2312" w:eastAsia="宋体" w:cs="Times New Roman"/>
                <w:sz w:val="24"/>
                <w:szCs w:val="22"/>
              </w:rPr>
            </w:pPr>
          </w:p>
        </w:tc>
        <w:tc>
          <w:tcPr>
            <w:tcW w:w="1134" w:type="dxa"/>
            <w:noWrap w:val="0"/>
            <w:vAlign w:val="center"/>
          </w:tcPr>
          <w:p>
            <w:pPr>
              <w:spacing w:line="560" w:lineRule="exact"/>
              <w:jc w:val="center"/>
              <w:rPr>
                <w:rFonts w:ascii="仿宋_GB2312" w:hAnsi="仿宋_GB2312" w:eastAsia="宋体" w:cs="Times New Roman"/>
                <w:sz w:val="24"/>
                <w:szCs w:val="22"/>
              </w:rPr>
            </w:pPr>
          </w:p>
        </w:tc>
        <w:tc>
          <w:tcPr>
            <w:tcW w:w="992" w:type="dxa"/>
            <w:noWrap w:val="0"/>
          </w:tcPr>
          <w:p>
            <w:pPr>
              <w:widowControl/>
              <w:spacing w:line="560" w:lineRule="exact"/>
              <w:jc w:val="center"/>
              <w:rPr>
                <w:rFonts w:ascii="仿宋_GB2312" w:hAnsi="仿宋_GB2312" w:eastAsia="宋体" w:cs="Times New Roman"/>
                <w:sz w:val="24"/>
                <w:szCs w:val="22"/>
              </w:rPr>
            </w:pPr>
          </w:p>
        </w:tc>
        <w:tc>
          <w:tcPr>
            <w:tcW w:w="1541" w:type="dxa"/>
            <w:noWrap w:val="0"/>
            <w:vAlign w:val="center"/>
          </w:tcPr>
          <w:p>
            <w:pPr>
              <w:spacing w:line="560" w:lineRule="exact"/>
              <w:jc w:val="center"/>
              <w:rPr>
                <w:rFonts w:ascii="仿宋_GB2312" w:hAnsi="仿宋_GB2312" w:eastAsia="宋体" w:cs="Times New Roman"/>
                <w:sz w:val="24"/>
                <w:szCs w:val="22"/>
              </w:rPr>
            </w:pPr>
          </w:p>
        </w:tc>
        <w:tc>
          <w:tcPr>
            <w:tcW w:w="991" w:type="dxa"/>
            <w:noWrap w:val="0"/>
            <w:vAlign w:val="center"/>
          </w:tcPr>
          <w:p>
            <w:pPr>
              <w:spacing w:line="560" w:lineRule="exact"/>
              <w:jc w:val="center"/>
              <w:rPr>
                <w:rFonts w:ascii="仿宋_GB2312" w:hAnsi="仿宋_GB2312" w:eastAsia="宋体" w:cs="Times New Roman"/>
                <w:sz w:val="24"/>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6" w:hRule="atLeast"/>
        </w:trPr>
        <w:tc>
          <w:tcPr>
            <w:tcW w:w="2061" w:type="dxa"/>
            <w:gridSpan w:val="2"/>
            <w:noWrap w:val="0"/>
            <w:vAlign w:val="center"/>
          </w:tcPr>
          <w:p>
            <w:pPr>
              <w:spacing w:line="500" w:lineRule="exact"/>
              <w:jc w:val="center"/>
              <w:rPr>
                <w:rFonts w:ascii="宋体" w:hAnsi="宋体" w:eastAsia="宋体" w:cs="Times New Roman"/>
                <w:b/>
                <w:bCs/>
                <w:sz w:val="24"/>
                <w:szCs w:val="22"/>
              </w:rPr>
            </w:pPr>
            <w:r>
              <w:rPr>
                <w:rFonts w:hint="eastAsia" w:ascii="宋体" w:hAnsi="宋体" w:eastAsia="宋体" w:cs="Times New Roman"/>
                <w:b/>
                <w:bCs/>
                <w:sz w:val="28"/>
                <w:szCs w:val="28"/>
              </w:rPr>
              <w:t>投标总报价</w:t>
            </w:r>
          </w:p>
        </w:tc>
        <w:tc>
          <w:tcPr>
            <w:tcW w:w="6924" w:type="dxa"/>
            <w:gridSpan w:val="5"/>
            <w:noWrap w:val="0"/>
            <w:vAlign w:val="center"/>
          </w:tcPr>
          <w:p>
            <w:pPr>
              <w:spacing w:line="500" w:lineRule="exact"/>
              <w:rPr>
                <w:rFonts w:ascii="宋体" w:hAnsi="宋体" w:eastAsia="宋体" w:cs="Times New Roman"/>
                <w:b/>
                <w:bCs/>
                <w:sz w:val="24"/>
                <w:szCs w:val="22"/>
              </w:rPr>
            </w:pPr>
            <w:r>
              <w:rPr>
                <w:rFonts w:hint="eastAsia" w:ascii="宋体" w:hAnsi="宋体" w:eastAsia="宋体" w:cs="Times New Roman"/>
                <w:b/>
                <w:bCs/>
                <w:sz w:val="24"/>
                <w:szCs w:val="22"/>
              </w:rPr>
              <w:t>￥</w:t>
            </w:r>
            <w:r>
              <w:rPr>
                <w:rFonts w:hint="eastAsia" w:ascii="宋体" w:hAnsi="宋体" w:eastAsia="宋体" w:cs="Times New Roman"/>
                <w:sz w:val="24"/>
                <w:szCs w:val="22"/>
              </w:rPr>
              <w:t xml:space="preserve">  </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w:t>
            </w:r>
          </w:p>
          <w:p>
            <w:pPr>
              <w:spacing w:line="500" w:lineRule="exact"/>
              <w:rPr>
                <w:rFonts w:ascii="宋体" w:hAnsi="宋体" w:eastAsia="宋体" w:cs="Times New Roman"/>
                <w:b/>
                <w:bCs/>
                <w:sz w:val="24"/>
                <w:szCs w:val="22"/>
              </w:rPr>
            </w:pPr>
            <w:r>
              <w:rPr>
                <w:rFonts w:hint="eastAsia" w:ascii="宋体" w:hAnsi="宋体" w:eastAsia="宋体" w:cs="Times New Roman"/>
                <w:b/>
                <w:bCs/>
                <w:sz w:val="24"/>
                <w:szCs w:val="22"/>
              </w:rPr>
              <w:t>人民币（大写）：</w:t>
            </w:r>
            <w:r>
              <w:rPr>
                <w:rFonts w:hint="eastAsia" w:ascii="宋体" w:hAnsi="宋体" w:eastAsia="宋体" w:cs="Times New Roman"/>
                <w:b/>
                <w:bCs/>
                <w:sz w:val="24"/>
                <w:szCs w:val="22"/>
                <w:u w:val="single"/>
              </w:rPr>
              <w:t xml:space="preserve"> </w:t>
            </w:r>
            <w:r>
              <w:rPr>
                <w:rFonts w:ascii="宋体" w:hAnsi="宋体" w:eastAsia="宋体" w:cs="Times New Roman"/>
                <w:b/>
                <w:bCs/>
                <w:sz w:val="24"/>
                <w:szCs w:val="22"/>
                <w:u w:val="single"/>
              </w:rPr>
              <w:t xml:space="preserve">    </w:t>
            </w:r>
            <w:r>
              <w:rPr>
                <w:rFonts w:ascii="宋体" w:hAnsi="宋体" w:eastAsia="宋体" w:cs="Times New Roman"/>
                <w:sz w:val="24"/>
                <w:szCs w:val="22"/>
                <w:u w:val="single"/>
              </w:rPr>
              <w:t xml:space="preserve"> </w:t>
            </w:r>
            <w:r>
              <w:rPr>
                <w:rFonts w:hint="eastAsia" w:ascii="宋体" w:hAnsi="宋体" w:eastAsia="宋体" w:cs="Times New Roman"/>
                <w:sz w:val="24"/>
                <w:szCs w:val="22"/>
                <w:u w:val="single"/>
              </w:rPr>
              <w:t xml:space="preserve">仟     </w:t>
            </w:r>
            <w:r>
              <w:rPr>
                <w:rFonts w:hint="eastAsia" w:ascii="宋体" w:hAnsi="宋体" w:eastAsia="宋体" w:cs="Times New Roman"/>
                <w:bCs/>
                <w:sz w:val="24"/>
                <w:szCs w:val="22"/>
              </w:rPr>
              <w:t>佰</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拾</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 万</w:t>
            </w:r>
            <w:r>
              <w:rPr>
                <w:rFonts w:hint="eastAsia" w:ascii="宋体" w:hAnsi="宋体" w:eastAsia="宋体" w:cs="Times New Roman"/>
                <w:bCs/>
                <w:sz w:val="24"/>
                <w:szCs w:val="22"/>
                <w:u w:val="single"/>
              </w:rPr>
              <w:t xml:space="preserve">    </w:t>
            </w:r>
            <w:r>
              <w:rPr>
                <w:rFonts w:hint="eastAsia" w:ascii="宋体" w:hAnsi="宋体" w:eastAsia="宋体" w:cs="Times New Roman"/>
                <w:bCs/>
                <w:sz w:val="24"/>
                <w:szCs w:val="22"/>
              </w:rPr>
              <w:t>仟</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佰</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拾</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元</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角</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分</w:t>
            </w:r>
          </w:p>
        </w:tc>
      </w:tr>
    </w:tbl>
    <w:p>
      <w:pPr>
        <w:rPr>
          <w:rFonts w:ascii="宋体" w:hAnsi="宋体" w:eastAsia="宋体" w:cs="Times New Roman"/>
          <w:sz w:val="24"/>
          <w:szCs w:val="22"/>
        </w:rPr>
      </w:pPr>
    </w:p>
    <w:p>
      <w:pPr>
        <w:spacing w:line="0" w:lineRule="atLeast"/>
        <w:rPr>
          <w:rFonts w:ascii="宋体" w:hAnsi="宋体" w:eastAsia="宋体" w:cs="Times New Roman"/>
          <w:sz w:val="24"/>
        </w:rPr>
      </w:pPr>
      <w:r>
        <w:rPr>
          <w:rFonts w:hint="eastAsia" w:ascii="宋体" w:hAnsi="宋体" w:eastAsia="宋体" w:cs="Times New Roman"/>
          <w:sz w:val="24"/>
        </w:rPr>
        <w:t>备注：“投标总报价”数额应当与“开标一览表”中“投标总报价”数额一致。</w:t>
      </w:r>
    </w:p>
    <w:p>
      <w:pPr>
        <w:jc w:val="center"/>
        <w:rPr>
          <w:rFonts w:ascii="Calibri" w:hAnsi="Calibri" w:eastAsia="宋体" w:cs="Times New Roman"/>
          <w:szCs w:val="22"/>
        </w:rPr>
      </w:pPr>
      <w:r>
        <w:rPr>
          <w:rFonts w:hint="eastAsia" w:ascii="Calibri" w:hAnsi="Calibri" w:eastAsia="宋体" w:cs="Times New Roman"/>
          <w:b/>
          <w:bCs/>
          <w:szCs w:val="22"/>
        </w:rPr>
        <w:br w:type="page" w:clear="all"/>
      </w:r>
    </w:p>
    <w:p>
      <w:pPr>
        <w:outlineLvl w:val="1"/>
        <w:rPr>
          <w:rFonts w:ascii="黑体" w:hAnsi="黑体" w:eastAsia="黑体" w:cs="黑体"/>
          <w:bCs/>
          <w:sz w:val="32"/>
        </w:rPr>
      </w:pPr>
      <w:bookmarkStart w:id="188" w:name="_Toc21129"/>
      <w:bookmarkStart w:id="189" w:name="_Toc2747"/>
      <w:r>
        <w:rPr>
          <w:rFonts w:hint="eastAsia" w:ascii="黑体" w:hAnsi="黑体" w:eastAsia="黑体" w:cs="黑体"/>
          <w:bCs/>
          <w:sz w:val="32"/>
        </w:rPr>
        <w:t>六、中小企业或残疾人福利性单位声明函</w:t>
      </w:r>
      <w:bookmarkEnd w:id="187"/>
      <w:bookmarkEnd w:id="188"/>
      <w:bookmarkEnd w:id="189"/>
    </w:p>
    <w:p>
      <w:pPr>
        <w:ind w:firstLine="2880"/>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中小微企业声明函</w:t>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（服务类项目）</w:t>
      </w:r>
    </w:p>
    <w:p>
      <w:pPr>
        <w:spacing w:line="500" w:lineRule="exact"/>
        <w:ind w:firstLine="480"/>
        <w:rPr>
          <w:rFonts w:ascii="宋体" w:hAnsi="宋体" w:eastAsia="宋体" w:cs="Times New Roman"/>
          <w:sz w:val="24"/>
        </w:rPr>
      </w:pPr>
    </w:p>
    <w:p>
      <w:pPr>
        <w:spacing w:line="500" w:lineRule="exact"/>
        <w:ind w:firstLine="480"/>
        <w:rPr>
          <w:rFonts w:ascii="宋体" w:hAnsi="宋体" w:eastAsia="宋体" w:cs="Times New Roman"/>
          <w:sz w:val="24"/>
        </w:rPr>
      </w:pPr>
      <w:r>
        <w:rPr>
          <w:rFonts w:hint="eastAsia" w:ascii="宋体" w:hAnsi="宋体" w:eastAsia="宋体" w:cs="Times New Roman"/>
          <w:sz w:val="24"/>
        </w:rPr>
        <w:t>本公司（联合体）郑重声明，根据《政府采购促进中小企业发展管理办法》(财库</w:t>
      </w:r>
      <w:r>
        <w:rPr>
          <w:rFonts w:hint="eastAsia" w:ascii="Times New Roman" w:hAnsi="Times New Roman" w:eastAsia="宋体" w:cs="Times New Roman"/>
          <w:sz w:val="24"/>
        </w:rPr>
        <w:t>〔2020〕</w:t>
      </w:r>
      <w:r>
        <w:rPr>
          <w:rFonts w:hint="eastAsia" w:ascii="宋体" w:hAnsi="宋体" w:eastAsia="宋体" w:cs="Times New Roman"/>
          <w:sz w:val="24"/>
        </w:rPr>
        <w:t>46号)的规定，本公司（联合体）参加</w:t>
      </w:r>
      <w:r>
        <w:rPr>
          <w:rFonts w:hint="eastAsia" w:ascii="宋体" w:hAnsi="宋体" w:eastAsia="宋体" w:cs="Times New Roman"/>
          <w:sz w:val="24"/>
          <w:u w:val="single"/>
        </w:rPr>
        <w:t xml:space="preserve"> 单位名称 </w:t>
      </w:r>
      <w:r>
        <w:rPr>
          <w:rFonts w:hint="eastAsia" w:ascii="宋体" w:hAnsi="宋体" w:eastAsia="宋体" w:cs="Times New Roman"/>
          <w:sz w:val="24"/>
        </w:rPr>
        <w:t xml:space="preserve"> 的</w:t>
      </w:r>
      <w:r>
        <w:rPr>
          <w:rFonts w:hint="eastAsia" w:ascii="宋体" w:hAnsi="宋体" w:eastAsia="宋体" w:cs="Times New Roman"/>
          <w:sz w:val="24"/>
          <w:u w:val="single"/>
        </w:rPr>
        <w:t>（项目名称）</w:t>
      </w:r>
      <w:r>
        <w:rPr>
          <w:rFonts w:hint="eastAsia" w:ascii="宋体" w:hAnsi="宋体" w:eastAsia="宋体" w:cs="Times New Roman"/>
          <w:sz w:val="24"/>
        </w:rPr>
        <w:t xml:space="preserve"> 采购活动，服务全部由符合政策的中小微企业承接。相关企业（含联合体中的中小微企业、签订采购包意向协议的中小微企业）的具体情况如下：</w:t>
      </w:r>
    </w:p>
    <w:p>
      <w:pPr>
        <w:spacing w:line="500" w:lineRule="exact"/>
        <w:ind w:firstLine="480"/>
        <w:rPr>
          <w:rFonts w:ascii="宋体" w:hAnsi="宋体" w:eastAsia="宋体" w:cs="Times New Roman"/>
          <w:i/>
          <w:sz w:val="24"/>
          <w:u w:val="single"/>
        </w:rPr>
      </w:pPr>
      <w:r>
        <w:rPr>
          <w:rFonts w:hint="eastAsia" w:ascii="宋体" w:hAnsi="宋体" w:eastAsia="宋体" w:cs="Times New Roman"/>
          <w:sz w:val="24"/>
        </w:rPr>
        <w:t>1.</w:t>
      </w:r>
      <w:r>
        <w:rPr>
          <w:rFonts w:hint="eastAsia" w:ascii="宋体" w:hAnsi="宋体" w:eastAsia="宋体" w:cs="Times New Roman"/>
          <w:sz w:val="24"/>
          <w:u w:val="single"/>
        </w:rPr>
        <w:t>（标的名称）</w:t>
      </w:r>
      <w:r>
        <w:rPr>
          <w:rFonts w:hint="eastAsia" w:ascii="宋体" w:hAnsi="宋体" w:eastAsia="宋体" w:cs="Times New Roman"/>
          <w:i/>
          <w:sz w:val="24"/>
        </w:rPr>
        <w:t>，</w:t>
      </w:r>
      <w:r>
        <w:rPr>
          <w:rFonts w:hint="eastAsia" w:ascii="宋体" w:hAnsi="宋体" w:eastAsia="宋体" w:cs="Times New Roman"/>
          <w:sz w:val="24"/>
        </w:rPr>
        <w:t>属于</w:t>
      </w:r>
      <w:r>
        <w:rPr>
          <w:rFonts w:hint="eastAsia" w:ascii="宋体" w:hAnsi="宋体" w:eastAsia="宋体" w:cs="Times New Roman"/>
          <w:sz w:val="24"/>
          <w:u w:val="single"/>
        </w:rPr>
        <w:t>（投标人填写招标文件中明确的所属行业）</w:t>
      </w:r>
      <w:r>
        <w:rPr>
          <w:rFonts w:hint="eastAsia" w:ascii="宋体" w:hAnsi="宋体" w:eastAsia="宋体" w:cs="Times New Roman"/>
          <w:sz w:val="24"/>
        </w:rPr>
        <w:t>行业；承接企业为</w:t>
      </w:r>
      <w:r>
        <w:rPr>
          <w:rFonts w:hint="eastAsia" w:ascii="宋体" w:hAnsi="宋体" w:eastAsia="宋体" w:cs="Times New Roman"/>
          <w:sz w:val="24"/>
          <w:u w:val="single"/>
        </w:rPr>
        <w:t>（企业名称）</w:t>
      </w:r>
      <w:r>
        <w:rPr>
          <w:rFonts w:hint="eastAsia" w:ascii="宋体" w:hAnsi="宋体" w:eastAsia="宋体" w:cs="Times New Roman"/>
          <w:sz w:val="24"/>
        </w:rPr>
        <w:t>，从业人员</w:t>
      </w:r>
      <w:r>
        <w:rPr>
          <w:rFonts w:hint="eastAsia" w:ascii="宋体" w:hAnsi="宋体" w:eastAsia="宋体" w:cs="Times New Roman"/>
          <w:sz w:val="24"/>
          <w:u w:val="single"/>
        </w:rPr>
        <w:t xml:space="preserve">      </w:t>
      </w:r>
      <w:r>
        <w:rPr>
          <w:rFonts w:hint="eastAsia" w:ascii="宋体" w:hAnsi="宋体" w:eastAsia="宋体" w:cs="Times New Roman"/>
          <w:sz w:val="24"/>
        </w:rPr>
        <w:t>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万元，属于</w:t>
      </w:r>
      <w:r>
        <w:rPr>
          <w:rFonts w:hint="eastAsia" w:ascii="宋体" w:hAnsi="宋体" w:eastAsia="宋体" w:cs="Times New Roman"/>
          <w:sz w:val="24"/>
          <w:u w:val="single"/>
        </w:rPr>
        <w:t>（□中型企业 □小型企业 □微型企业）；</w:t>
      </w:r>
    </w:p>
    <w:p>
      <w:pPr>
        <w:spacing w:line="500" w:lineRule="exact"/>
        <w:ind w:firstLine="480"/>
        <w:rPr>
          <w:rFonts w:ascii="宋体" w:hAnsi="宋体" w:eastAsia="宋体" w:cs="Times New Roman"/>
          <w:i/>
          <w:sz w:val="24"/>
          <w:u w:val="single"/>
        </w:rPr>
      </w:pPr>
      <w:r>
        <w:rPr>
          <w:rFonts w:hint="eastAsia" w:ascii="宋体" w:hAnsi="宋体" w:eastAsia="宋体" w:cs="Times New Roman"/>
          <w:sz w:val="24"/>
        </w:rPr>
        <w:t>2.</w:t>
      </w:r>
      <w:r>
        <w:rPr>
          <w:rFonts w:hint="eastAsia" w:ascii="宋体" w:hAnsi="宋体" w:eastAsia="宋体" w:cs="Times New Roman"/>
          <w:sz w:val="24"/>
          <w:u w:val="single"/>
        </w:rPr>
        <w:t>（标的名称）</w:t>
      </w:r>
      <w:r>
        <w:rPr>
          <w:rFonts w:hint="eastAsia" w:ascii="宋体" w:hAnsi="宋体" w:eastAsia="宋体" w:cs="Times New Roman"/>
          <w:i/>
          <w:sz w:val="24"/>
        </w:rPr>
        <w:t>，</w:t>
      </w:r>
      <w:r>
        <w:rPr>
          <w:rFonts w:hint="eastAsia" w:ascii="宋体" w:hAnsi="宋体" w:eastAsia="宋体" w:cs="Times New Roman"/>
          <w:sz w:val="24"/>
        </w:rPr>
        <w:t>属于</w:t>
      </w:r>
      <w:r>
        <w:rPr>
          <w:rFonts w:hint="eastAsia" w:ascii="宋体" w:hAnsi="宋体" w:eastAsia="宋体" w:cs="Times New Roman"/>
          <w:sz w:val="24"/>
          <w:u w:val="single"/>
        </w:rPr>
        <w:t>（投标人填写招标文件中明确的所属行业）</w:t>
      </w:r>
      <w:r>
        <w:rPr>
          <w:rFonts w:hint="eastAsia" w:ascii="宋体" w:hAnsi="宋体" w:eastAsia="宋体" w:cs="Times New Roman"/>
          <w:sz w:val="24"/>
        </w:rPr>
        <w:t>行业；承接企业为</w:t>
      </w:r>
      <w:r>
        <w:rPr>
          <w:rFonts w:hint="eastAsia" w:ascii="宋体" w:hAnsi="宋体" w:eastAsia="宋体" w:cs="Times New Roman"/>
          <w:sz w:val="24"/>
          <w:u w:val="single"/>
        </w:rPr>
        <w:t>（企业名称）</w:t>
      </w:r>
      <w:r>
        <w:rPr>
          <w:rFonts w:hint="eastAsia" w:ascii="宋体" w:hAnsi="宋体" w:eastAsia="宋体" w:cs="Times New Roman"/>
          <w:sz w:val="24"/>
        </w:rPr>
        <w:t>，从业人员</w:t>
      </w:r>
      <w:r>
        <w:rPr>
          <w:rFonts w:hint="eastAsia" w:ascii="宋体" w:hAnsi="宋体" w:eastAsia="宋体" w:cs="Times New Roman"/>
          <w:sz w:val="24"/>
          <w:u w:val="single"/>
        </w:rPr>
        <w:t xml:space="preserve">      </w:t>
      </w:r>
      <w:r>
        <w:rPr>
          <w:rFonts w:hint="eastAsia" w:ascii="宋体" w:hAnsi="宋体" w:eastAsia="宋体" w:cs="Times New Roman"/>
          <w:sz w:val="24"/>
        </w:rPr>
        <w:t>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万元，属于</w:t>
      </w:r>
      <w:r>
        <w:rPr>
          <w:rFonts w:hint="eastAsia" w:ascii="宋体" w:hAnsi="宋体" w:eastAsia="宋体" w:cs="Times New Roman"/>
          <w:sz w:val="24"/>
          <w:u w:val="single"/>
        </w:rPr>
        <w:t>（□中型企业 □小型企业 □微型企业）；</w:t>
      </w:r>
    </w:p>
    <w:p>
      <w:pPr>
        <w:spacing w:line="500" w:lineRule="exact"/>
        <w:ind w:firstLine="480"/>
        <w:rPr>
          <w:rFonts w:ascii="宋体" w:hAnsi="宋体" w:eastAsia="宋体" w:cs="Times New Roman"/>
          <w:sz w:val="24"/>
        </w:rPr>
      </w:pPr>
      <w:r>
        <w:rPr>
          <w:rFonts w:hint="eastAsia" w:ascii="宋体" w:hAnsi="宋体" w:eastAsia="宋体" w:cs="Times New Roman"/>
          <w:sz w:val="24"/>
        </w:rPr>
        <w:t>……</w:t>
      </w:r>
    </w:p>
    <w:p>
      <w:pPr>
        <w:spacing w:line="500" w:lineRule="exact"/>
        <w:ind w:firstLine="480"/>
        <w:rPr>
          <w:rFonts w:ascii="宋体" w:hAnsi="宋体" w:eastAsia="宋体" w:cs="Times New Roman"/>
          <w:sz w:val="24"/>
        </w:rPr>
      </w:pPr>
      <w:r>
        <w:rPr>
          <w:rFonts w:hint="eastAsia" w:ascii="宋体" w:hAnsi="宋体" w:eastAsia="宋体" w:cs="Times New Roman"/>
          <w:sz w:val="24"/>
        </w:rPr>
        <w:t>以上企业，不属于大企业的分支机构，不存在控股股东为大企业的情形，也不存在与大企业的负责人为同一人的情形。</w:t>
      </w:r>
    </w:p>
    <w:p>
      <w:pPr>
        <w:spacing w:line="500" w:lineRule="exact"/>
        <w:ind w:firstLine="480"/>
        <w:rPr>
          <w:rFonts w:ascii="宋体" w:hAnsi="宋体" w:eastAsia="宋体" w:cs="Times New Roman"/>
          <w:sz w:val="24"/>
        </w:rPr>
      </w:pPr>
      <w:r>
        <w:rPr>
          <w:rFonts w:hint="eastAsia" w:ascii="宋体" w:hAnsi="宋体" w:eastAsia="宋体" w:cs="Times New Roman"/>
          <w:sz w:val="24"/>
        </w:rPr>
        <w:t>本企业对上述声明内容的真实性负责。如有虚假，将依法承担相应责任</w:t>
      </w:r>
    </w:p>
    <w:p>
      <w:pPr>
        <w:spacing w:line="500" w:lineRule="exact"/>
        <w:ind w:firstLine="480"/>
        <w:rPr>
          <w:rFonts w:ascii="宋体" w:hAnsi="宋体" w:eastAsia="宋体" w:cs="Times New Roman"/>
          <w:sz w:val="24"/>
        </w:rPr>
      </w:pPr>
    </w:p>
    <w:p>
      <w:pPr>
        <w:spacing w:line="500" w:lineRule="exact"/>
        <w:ind w:firstLine="480"/>
        <w:jc w:val="right"/>
        <w:rPr>
          <w:rFonts w:ascii="宋体" w:hAnsi="宋体" w:eastAsia="宋体" w:cs="Times New Roman"/>
          <w:sz w:val="24"/>
        </w:rPr>
      </w:pPr>
      <w:r>
        <w:rPr>
          <w:rFonts w:hint="eastAsia" w:ascii="宋体" w:hAnsi="宋体" w:eastAsia="宋体" w:cs="Times New Roman"/>
          <w:sz w:val="24"/>
        </w:rPr>
        <w:t>企业名称（加盖CA电子公章）：</w:t>
      </w:r>
    </w:p>
    <w:p>
      <w:pPr>
        <w:spacing w:line="500" w:lineRule="exact"/>
        <w:ind w:firstLine="6960"/>
        <w:rPr>
          <w:rFonts w:ascii="宋体" w:hAnsi="宋体" w:eastAsia="宋体" w:cs="Times New Roman"/>
          <w:sz w:val="24"/>
        </w:rPr>
      </w:pPr>
      <w:r>
        <w:rPr>
          <w:rFonts w:hint="eastAsia" w:ascii="宋体" w:hAnsi="宋体" w:eastAsia="宋体" w:cs="Times New Roman"/>
          <w:sz w:val="24"/>
        </w:rPr>
        <w:t>日  期：</w:t>
      </w:r>
    </w:p>
    <w:p>
      <w:pPr>
        <w:spacing w:line="400" w:lineRule="exact"/>
        <w:ind w:firstLine="240"/>
        <w:rPr>
          <w:rFonts w:ascii="宋体" w:hAnsi="宋体" w:eastAsia="宋体" w:cs="Times New Roman"/>
          <w:sz w:val="24"/>
        </w:rPr>
      </w:pPr>
    </w:p>
    <w:p>
      <w:pPr>
        <w:spacing w:line="400" w:lineRule="exact"/>
        <w:ind w:firstLine="480"/>
        <w:rPr>
          <w:rFonts w:ascii="Times New Roman" w:hAnsi="Times New Roman" w:eastAsia="宋体" w:cs="Times New Roman"/>
          <w:sz w:val="24"/>
        </w:rPr>
      </w:pPr>
      <w:r>
        <w:rPr>
          <w:rFonts w:ascii="Times New Roman" w:hAnsi="Times New Roman" w:eastAsia="宋体" w:cs="Times New Roman"/>
          <w:sz w:val="24"/>
        </w:rPr>
        <w:t>备注：1.从业人员、营业收入、资产总额填报上一年度数据，无上一年度数据的新成立企业可不填报。</w:t>
      </w:r>
    </w:p>
    <w:p>
      <w:pPr>
        <w:spacing w:line="400" w:lineRule="exact"/>
        <w:ind w:firstLine="480"/>
        <w:rPr>
          <w:rFonts w:ascii="Times New Roman" w:hAnsi="Times New Roman" w:eastAsia="宋体" w:cs="Times New Roman"/>
          <w:sz w:val="22"/>
          <w:szCs w:val="21"/>
        </w:rPr>
      </w:pPr>
      <w:r>
        <w:rPr>
          <w:rFonts w:ascii="Times New Roman" w:hAnsi="Times New Roman" w:eastAsia="宋体" w:cs="Times New Roman"/>
          <w:sz w:val="24"/>
        </w:rPr>
        <w:t>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sz w:val="24"/>
        </w:rPr>
        <w:t>投标人</w:t>
      </w:r>
      <w:r>
        <w:rPr>
          <w:rFonts w:ascii="Times New Roman" w:hAnsi="Times New Roman" w:eastAsia="宋体" w:cs="Times New Roman"/>
          <w:sz w:val="24"/>
        </w:rPr>
        <w:t>自行勾选承接企业的企业规模类型。</w:t>
      </w:r>
    </w:p>
    <w:p>
      <w:pPr>
        <w:rPr>
          <w:rFonts w:ascii="方正小标宋_GBK" w:hAnsi="Calibri" w:eastAsia="方正小标宋_GBK" w:cs="Times New Roman"/>
          <w:sz w:val="32"/>
          <w:szCs w:val="32"/>
        </w:rPr>
      </w:pPr>
    </w:p>
    <w:p>
      <w:pPr>
        <w:jc w:val="center"/>
        <w:rPr>
          <w:rFonts w:ascii="方正小标宋_GBK" w:hAnsi="Calibri" w:eastAsia="方正小标宋_GBK" w:cs="Times New Roman"/>
          <w:sz w:val="32"/>
          <w:szCs w:val="32"/>
        </w:rPr>
      </w:pPr>
    </w:p>
    <w:p>
      <w:pPr>
        <w:jc w:val="center"/>
        <w:rPr>
          <w:rFonts w:ascii="方正小标宋_GBK" w:hAnsi="Calibri" w:eastAsia="方正小标宋_GBK" w:cs="Times New Roman"/>
          <w:sz w:val="32"/>
          <w:szCs w:val="32"/>
        </w:rPr>
      </w:pPr>
      <w:r>
        <w:rPr>
          <w:rFonts w:hint="eastAsia" w:ascii="方正小标宋_GBK" w:hAnsi="Calibri" w:eastAsia="方正小标宋_GBK" w:cs="Times New Roman"/>
          <w:bCs/>
          <w:sz w:val="32"/>
          <w:szCs w:val="32"/>
        </w:rPr>
        <w:t>残疾人福利性单位声明函</w:t>
      </w:r>
    </w:p>
    <w:p>
      <w:pPr>
        <w:spacing w:line="588" w:lineRule="exact"/>
        <w:rPr>
          <w:rFonts w:ascii="仿宋_GB2312" w:hAnsi="Calibri" w:eastAsia="仿宋_GB2312" w:cs="Times New Roman"/>
          <w:b/>
          <w:spacing w:val="6"/>
          <w:sz w:val="30"/>
          <w:szCs w:val="30"/>
        </w:rPr>
      </w:pPr>
    </w:p>
    <w:p>
      <w:pPr>
        <w:spacing w:line="500" w:lineRule="exact"/>
        <w:ind w:firstLine="480"/>
        <w:rPr>
          <w:rFonts w:ascii="Times New Roman" w:hAnsi="Times New Roman" w:eastAsia="宋体" w:cs="Times New Roman"/>
          <w:sz w:val="24"/>
          <w:szCs w:val="22"/>
        </w:rPr>
      </w:pPr>
      <w:r>
        <w:rPr>
          <w:rFonts w:hint="eastAsia" w:ascii="Times New Roman" w:hAnsi="Times New Roman" w:eastAsia="宋体" w:cs="Times New Roman"/>
          <w:sz w:val="24"/>
          <w:szCs w:val="22"/>
        </w:rPr>
        <w:t>本单位郑重声明，根据《财政部 民政部 中国残疾人联合会关于促进残疾人就业政府采购政策的通知》（财库〔</w:t>
      </w:r>
      <w:r>
        <w:rPr>
          <w:rFonts w:ascii="Times New Roman" w:hAnsi="Times New Roman" w:eastAsia="宋体" w:cs="Times New Roman"/>
          <w:sz w:val="24"/>
          <w:szCs w:val="22"/>
        </w:rPr>
        <w:t>2017</w:t>
      </w:r>
      <w:r>
        <w:rPr>
          <w:rFonts w:hint="eastAsia" w:ascii="Times New Roman" w:hAnsi="Times New Roman" w:eastAsia="宋体" w:cs="Times New Roman"/>
          <w:sz w:val="24"/>
          <w:szCs w:val="22"/>
        </w:rPr>
        <w:t>〕</w:t>
      </w:r>
      <w:r>
        <w:rPr>
          <w:rFonts w:ascii="Times New Roman" w:hAnsi="Times New Roman" w:eastAsia="宋体" w:cs="Times New Roman"/>
          <w:sz w:val="24"/>
          <w:szCs w:val="22"/>
        </w:rPr>
        <w:t>141</w:t>
      </w:r>
      <w:r>
        <w:rPr>
          <w:rFonts w:hint="eastAsia" w:ascii="Times New Roman" w:hAnsi="Times New Roman" w:eastAsia="宋体" w:cs="Times New Roman"/>
          <w:sz w:val="24"/>
          <w:szCs w:val="22"/>
        </w:rPr>
        <w:t>号）的规定，本单位为符合条件的残疾人福利性单位，且本单位参加</w:t>
      </w:r>
      <w:r>
        <w:rPr>
          <w:rFonts w:hint="eastAsia" w:ascii="Times New Roman" w:hAnsi="Times New Roman" w:eastAsia="宋体" w:cs="Times New Roman"/>
          <w:sz w:val="24"/>
          <w:szCs w:val="22"/>
          <w:u w:val="single"/>
        </w:rPr>
        <w:t>（</w:t>
      </w:r>
      <w:r>
        <w:rPr>
          <w:rFonts w:hint="eastAsia" w:ascii="Times New Roman" w:hAnsi="Times New Roman" w:eastAsia="宋体" w:cs="Times New Roman"/>
          <w:sz w:val="24"/>
          <w:u w:val="single"/>
        </w:rPr>
        <w:t>单位名称）</w:t>
      </w:r>
      <w:r>
        <w:rPr>
          <w:rFonts w:hint="eastAsia" w:ascii="Times New Roman" w:hAnsi="Times New Roman" w:eastAsia="宋体" w:cs="Times New Roman"/>
          <w:sz w:val="24"/>
          <w:szCs w:val="22"/>
        </w:rPr>
        <w:t>的</w:t>
      </w:r>
      <w:r>
        <w:rPr>
          <w:rFonts w:hint="eastAsia" w:ascii="Times New Roman" w:hAnsi="Times New Roman" w:eastAsia="宋体" w:cs="Times New Roman"/>
          <w:sz w:val="24"/>
          <w:szCs w:val="22"/>
          <w:u w:val="single"/>
        </w:rPr>
        <w:t xml:space="preserve">（项目名称） </w:t>
      </w:r>
      <w:r>
        <w:rPr>
          <w:rFonts w:hint="eastAsia" w:ascii="Times New Roman" w:hAnsi="Times New Roman" w:eastAsia="宋体" w:cs="Times New Roman"/>
          <w:sz w:val="24"/>
          <w:szCs w:val="22"/>
        </w:rPr>
        <w:t>采购活动提供本单位制造的货物（由本单位承担工程/提供服务），或者提供其他残疾人福利性单位制造的货物（不包括使用非残疾人福利性单位注册商标的货物）。</w:t>
      </w:r>
    </w:p>
    <w:p>
      <w:pPr>
        <w:spacing w:line="500" w:lineRule="exact"/>
        <w:ind w:firstLine="480"/>
        <w:rPr>
          <w:rFonts w:ascii="Times New Roman" w:hAnsi="Times New Roman" w:eastAsia="宋体" w:cs="Times New Roman"/>
          <w:sz w:val="24"/>
          <w:szCs w:val="22"/>
        </w:rPr>
      </w:pPr>
      <w:r>
        <w:rPr>
          <w:rFonts w:hint="eastAsia" w:ascii="Times New Roman" w:hAnsi="Times New Roman" w:eastAsia="宋体" w:cs="Times New Roman"/>
          <w:sz w:val="24"/>
          <w:szCs w:val="22"/>
        </w:rPr>
        <w:t>本单位对上述声明的真实性负责。如有虚假，将依法承担相应责任。</w:t>
      </w:r>
    </w:p>
    <w:p>
      <w:pPr>
        <w:spacing w:line="500" w:lineRule="exact"/>
        <w:ind w:firstLine="3810"/>
        <w:rPr>
          <w:rFonts w:ascii="Times New Roman" w:hAnsi="Times New Roman" w:eastAsia="宋体" w:cs="Times New Roman"/>
          <w:spacing w:val="6"/>
          <w:sz w:val="24"/>
        </w:rPr>
      </w:pPr>
    </w:p>
    <w:p>
      <w:pPr>
        <w:spacing w:line="500" w:lineRule="exact"/>
        <w:ind w:firstLine="3629"/>
        <w:jc w:val="left"/>
        <w:rPr>
          <w:rFonts w:ascii="Times New Roman" w:hAnsi="Times New Roman" w:eastAsia="宋体" w:cs="Times New Roman"/>
          <w:sz w:val="24"/>
          <w:szCs w:val="22"/>
        </w:rPr>
      </w:pPr>
    </w:p>
    <w:p>
      <w:pPr>
        <w:spacing w:line="500" w:lineRule="exact"/>
        <w:ind w:firstLine="480"/>
        <w:jc w:val="left"/>
        <w:rPr>
          <w:rFonts w:ascii="Times New Roman" w:hAnsi="Times New Roman" w:eastAsia="宋体" w:cs="Times New Roman"/>
          <w:sz w:val="24"/>
          <w:szCs w:val="22"/>
        </w:rPr>
      </w:pPr>
      <w:r>
        <w:rPr>
          <w:rFonts w:hint="eastAsia" w:ascii="Times New Roman" w:hAnsi="Times New Roman" w:eastAsia="宋体" w:cs="Times New Roman"/>
          <w:sz w:val="24"/>
          <w:szCs w:val="22"/>
        </w:rPr>
        <w:t>单位名称：</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rPr>
        <w:t>（</w:t>
      </w:r>
      <w:r>
        <w:rPr>
          <w:rFonts w:hint="eastAsia" w:ascii="Times New Roman" w:hAnsi="Times New Roman" w:eastAsia="宋体" w:cs="Times New Roman"/>
          <w:sz w:val="24"/>
        </w:rPr>
        <w:t>盖CA电子公章</w:t>
      </w:r>
      <w:r>
        <w:rPr>
          <w:rFonts w:hint="eastAsia" w:ascii="Times New Roman" w:hAnsi="Times New Roman" w:eastAsia="宋体" w:cs="Times New Roman"/>
          <w:sz w:val="24"/>
          <w:szCs w:val="22"/>
        </w:rPr>
        <w:t>）</w:t>
      </w:r>
    </w:p>
    <w:p>
      <w:pPr>
        <w:spacing w:line="500" w:lineRule="exact"/>
        <w:ind w:firstLine="480"/>
        <w:jc w:val="left"/>
        <w:rPr>
          <w:rFonts w:ascii="Times New Roman" w:hAnsi="Times New Roman" w:eastAsia="宋体" w:cs="Times New Roman"/>
          <w:sz w:val="24"/>
          <w:szCs w:val="20"/>
        </w:rPr>
      </w:pPr>
      <w:r>
        <w:rPr>
          <w:rFonts w:hint="eastAsia" w:ascii="Times New Roman" w:hAnsi="Times New Roman" w:eastAsia="宋体" w:cs="Times New Roman"/>
          <w:sz w:val="24"/>
          <w:szCs w:val="20"/>
        </w:rPr>
        <w:t>日期：  年  月  日</w:t>
      </w:r>
    </w:p>
    <w:p>
      <w:pPr>
        <w:tabs>
          <w:tab w:val="left" w:pos="4860"/>
        </w:tabs>
        <w:spacing w:line="588" w:lineRule="exact"/>
        <w:ind w:right="1560" w:firstLine="480"/>
        <w:jc w:val="center"/>
        <w:rPr>
          <w:rFonts w:ascii="Times New Roman" w:hAnsi="Times New Roman" w:eastAsia="宋体" w:cs="Arial"/>
          <w:sz w:val="24"/>
        </w:rPr>
      </w:pPr>
    </w:p>
    <w:p>
      <w:pPr>
        <w:spacing w:line="500" w:lineRule="exact"/>
        <w:ind w:left="357"/>
        <w:rPr>
          <w:rFonts w:ascii="Times New Roman" w:hAnsi="Times New Roman" w:eastAsia="宋体" w:cs="Arial"/>
          <w:sz w:val="24"/>
        </w:rPr>
      </w:pPr>
    </w:p>
    <w:p>
      <w:pPr>
        <w:spacing w:line="480" w:lineRule="exact"/>
        <w:ind w:firstLine="442"/>
        <w:rPr>
          <w:rFonts w:ascii="Times New Roman" w:hAnsi="Times New Roman" w:eastAsia="宋体" w:cs="Times New Roman"/>
          <w:sz w:val="24"/>
        </w:rPr>
      </w:pPr>
      <w:r>
        <w:rPr>
          <w:rFonts w:hint="eastAsia" w:ascii="Times New Roman" w:hAnsi="Times New Roman" w:eastAsia="宋体" w:cs="Times New Roman"/>
          <w:sz w:val="24"/>
        </w:rPr>
        <w:t>备注：1.非残疾人福利性单位不需提供此函。</w:t>
      </w: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ind w:firstLine="442"/>
        <w:rPr>
          <w:rFonts w:ascii="Times New Roman" w:hAnsi="Times New Roman" w:eastAsia="宋体" w:cs="Times New Roman"/>
          <w:sz w:val="24"/>
        </w:rPr>
      </w:pPr>
    </w:p>
    <w:p>
      <w:pPr>
        <w:spacing w:line="480" w:lineRule="exact"/>
        <w:rPr>
          <w:rFonts w:ascii="Times New Roman" w:hAnsi="Times New Roman" w:eastAsia="宋体" w:cs="Times New Roman"/>
          <w:sz w:val="24"/>
        </w:rPr>
      </w:pPr>
    </w:p>
    <w:p>
      <w:pPr>
        <w:keepNext/>
        <w:keepLines/>
        <w:spacing w:line="520" w:lineRule="exact"/>
        <w:outlineLvl w:val="1"/>
        <w:rPr>
          <w:rFonts w:ascii="宋体" w:hAnsi="宋体" w:eastAsia="宋体" w:cs="宋体"/>
          <w:b/>
          <w:bCs/>
          <w:sz w:val="32"/>
          <w:szCs w:val="32"/>
        </w:rPr>
      </w:pPr>
      <w:r>
        <w:rPr>
          <w:rFonts w:hint="eastAsia" w:ascii="宋体" w:hAnsi="宋体" w:eastAsia="宋体" w:cs="宋体"/>
          <w:b/>
          <w:bCs/>
          <w:sz w:val="32"/>
          <w:szCs w:val="32"/>
        </w:rPr>
        <w:t>七、技术响应偏离表（技术参数响应）</w:t>
      </w:r>
    </w:p>
    <w:tbl>
      <w:tblPr>
        <w:tblStyle w:val="31"/>
        <w:tblW w:w="0" w:type="auto"/>
        <w:tblInd w:w="-333" w:type="dxa"/>
        <w:tblLayout w:type="autofit"/>
        <w:tblCellMar>
          <w:top w:w="0" w:type="dxa"/>
          <w:left w:w="108" w:type="dxa"/>
          <w:bottom w:w="0" w:type="dxa"/>
          <w:right w:w="108" w:type="dxa"/>
        </w:tblCellMar>
      </w:tblPr>
      <w:tblGrid>
        <w:gridCol w:w="2791"/>
        <w:gridCol w:w="2386"/>
        <w:gridCol w:w="1994"/>
        <w:gridCol w:w="2223"/>
      </w:tblGrid>
      <w:tr>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pPr>
              <w:spacing w:before="100" w:line="559" w:lineRule="atLeast"/>
              <w:jc w:val="center"/>
              <w:rPr>
                <w:rFonts w:ascii="宋体" w:hAnsi="宋体" w:eastAsia="宋体" w:cs="仿宋"/>
                <w:szCs w:val="22"/>
              </w:rPr>
            </w:pPr>
            <w:r>
              <w:rPr>
                <w:rFonts w:hint="eastAsia" w:ascii="宋体" w:hAnsi="宋体" w:eastAsia="宋体" w:cs="仿宋"/>
                <w:sz w:val="28"/>
                <w:szCs w:val="22"/>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pPr>
              <w:spacing w:before="100" w:line="559" w:lineRule="atLeast"/>
              <w:jc w:val="center"/>
              <w:rPr>
                <w:rFonts w:ascii="宋体" w:hAnsi="宋体" w:eastAsia="宋体" w:cs="仿宋"/>
                <w:szCs w:val="22"/>
              </w:rPr>
            </w:pPr>
            <w:r>
              <w:rPr>
                <w:rFonts w:hint="eastAsia" w:ascii="宋体" w:hAnsi="宋体" w:eastAsia="宋体" w:cs="仿宋"/>
                <w:sz w:val="28"/>
                <w:szCs w:val="22"/>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pPr>
              <w:spacing w:before="100" w:line="400" w:lineRule="exact"/>
              <w:jc w:val="center"/>
              <w:rPr>
                <w:rFonts w:ascii="宋体" w:hAnsi="宋体" w:eastAsia="宋体" w:cs="仿宋"/>
                <w:sz w:val="28"/>
                <w:szCs w:val="22"/>
              </w:rPr>
            </w:pPr>
            <w:r>
              <w:rPr>
                <w:rFonts w:hint="eastAsia" w:ascii="宋体" w:hAnsi="宋体" w:eastAsia="宋体" w:cs="仿宋"/>
                <w:sz w:val="28"/>
                <w:szCs w:val="22"/>
              </w:rPr>
              <w:t>偏离情况</w:t>
            </w:r>
          </w:p>
          <w:p>
            <w:pPr>
              <w:spacing w:before="100" w:line="400" w:lineRule="exact"/>
              <w:jc w:val="center"/>
              <w:rPr>
                <w:rFonts w:ascii="宋体" w:hAnsi="宋体" w:eastAsia="宋体" w:cs="仿宋"/>
                <w:sz w:val="28"/>
                <w:szCs w:val="22"/>
              </w:rPr>
            </w:pPr>
            <w:r>
              <w:rPr>
                <w:rFonts w:hint="eastAsia" w:ascii="宋体" w:hAnsi="宋体" w:eastAsia="宋体" w:cs="仿宋"/>
                <w:sz w:val="28"/>
                <w:szCs w:val="22"/>
              </w:rPr>
              <w:t>（</w:t>
            </w:r>
            <w:r>
              <w:rPr>
                <w:rFonts w:ascii="宋体" w:hAnsi="宋体" w:eastAsia="宋体" w:cs="仿宋"/>
                <w:b/>
                <w:sz w:val="24"/>
                <w:szCs w:val="22"/>
              </w:rPr>
              <w:t>正偏离、负偏离、无偏离</w:t>
            </w:r>
            <w:r>
              <w:rPr>
                <w:rFonts w:hint="eastAsia" w:ascii="宋体" w:hAnsi="宋体" w:eastAsia="宋体" w:cs="仿宋"/>
                <w:sz w:val="28"/>
                <w:szCs w:val="22"/>
              </w:rPr>
              <w:t>）</w:t>
            </w:r>
          </w:p>
        </w:tc>
        <w:tc>
          <w:tcPr>
            <w:tcW w:w="2223" w:type="dxa"/>
            <w:tcBorders>
              <w:top w:val="single" w:color="000000" w:sz="8" w:space="0"/>
              <w:left w:val="nil"/>
              <w:bottom w:val="single" w:color="000000" w:sz="8" w:space="0"/>
              <w:right w:val="single" w:color="000000" w:sz="8" w:space="0"/>
            </w:tcBorders>
            <w:noWrap w:val="0"/>
            <w:vAlign w:val="center"/>
          </w:tcPr>
          <w:p>
            <w:pPr>
              <w:spacing w:before="100" w:line="559" w:lineRule="atLeast"/>
              <w:jc w:val="center"/>
              <w:rPr>
                <w:rFonts w:ascii="宋体" w:hAnsi="宋体" w:eastAsia="宋体" w:cs="仿宋"/>
                <w:sz w:val="28"/>
                <w:szCs w:val="28"/>
              </w:rPr>
            </w:pPr>
            <w:r>
              <w:rPr>
                <w:rFonts w:hint="eastAsia" w:ascii="宋体" w:hAnsi="宋体" w:eastAsia="宋体" w:cs="仿宋"/>
                <w:sz w:val="28"/>
                <w:szCs w:val="22"/>
              </w:rPr>
              <w:t>偏离内容及说明</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r>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2386"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c>
          <w:tcPr>
            <w:tcW w:w="1994"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 w:val="24"/>
                <w:szCs w:val="22"/>
              </w:rPr>
            </w:pPr>
          </w:p>
        </w:tc>
        <w:tc>
          <w:tcPr>
            <w:tcW w:w="2223" w:type="dxa"/>
            <w:tcBorders>
              <w:top w:val="nil"/>
              <w:left w:val="nil"/>
              <w:bottom w:val="single" w:color="000000" w:sz="8" w:space="0"/>
              <w:right w:val="single" w:color="000000" w:sz="8" w:space="0"/>
            </w:tcBorders>
            <w:noWrap w:val="0"/>
            <w:vAlign w:val="center"/>
          </w:tcPr>
          <w:p>
            <w:pPr>
              <w:spacing w:line="559" w:lineRule="atLeast"/>
              <w:jc w:val="center"/>
              <w:rPr>
                <w:rFonts w:ascii="仿宋" w:hAnsi="仿宋" w:eastAsia="仿宋" w:cs="仿宋"/>
                <w:szCs w:val="22"/>
              </w:rPr>
            </w:pPr>
            <w:r>
              <w:rPr>
                <w:rFonts w:hint="eastAsia" w:ascii="仿宋" w:hAnsi="仿宋" w:eastAsia="仿宋" w:cs="仿宋"/>
                <w:sz w:val="24"/>
                <w:szCs w:val="22"/>
              </w:rPr>
              <w:t> </w:t>
            </w:r>
          </w:p>
        </w:tc>
      </w:tr>
    </w:tbl>
    <w:p>
      <w:pPr>
        <w:spacing w:line="559" w:lineRule="atLeast"/>
        <w:jc w:val="right"/>
        <w:rPr>
          <w:rFonts w:ascii="宋体" w:hAnsi="宋体" w:eastAsia="宋体" w:cs="仿宋"/>
          <w:szCs w:val="22"/>
        </w:rPr>
      </w:pPr>
      <w:r>
        <w:rPr>
          <w:rFonts w:hint="eastAsia" w:ascii="宋体" w:hAnsi="宋体" w:eastAsia="宋体" w:cs="仿宋"/>
          <w:sz w:val="24"/>
          <w:szCs w:val="22"/>
        </w:rPr>
        <w:t>单位名称：</w:t>
      </w:r>
      <w:r>
        <w:rPr>
          <w:rFonts w:hint="eastAsia" w:ascii="宋体" w:hAnsi="宋体" w:eastAsia="宋体" w:cs="仿宋"/>
          <w:sz w:val="24"/>
          <w:szCs w:val="22"/>
          <w:u w:val="single"/>
        </w:rPr>
        <w:t>             </w:t>
      </w:r>
      <w:r>
        <w:rPr>
          <w:rFonts w:hint="eastAsia" w:ascii="宋体" w:hAnsi="宋体" w:eastAsia="宋体" w:cs="仿宋"/>
          <w:sz w:val="24"/>
          <w:szCs w:val="22"/>
        </w:rPr>
        <w:t>（</w:t>
      </w:r>
      <w:r>
        <w:rPr>
          <w:rFonts w:ascii="宋体" w:hAnsi="宋体" w:eastAsia="宋体" w:cs="仿宋"/>
          <w:sz w:val="24"/>
          <w:szCs w:val="22"/>
        </w:rPr>
        <w:t>盖</w:t>
      </w:r>
      <w:r>
        <w:rPr>
          <w:rFonts w:hint="eastAsia" w:ascii="宋体" w:hAnsi="宋体" w:eastAsia="宋体" w:cs="仿宋"/>
          <w:sz w:val="24"/>
          <w:szCs w:val="22"/>
        </w:rPr>
        <w:t>CA</w:t>
      </w:r>
      <w:r>
        <w:rPr>
          <w:rFonts w:ascii="宋体" w:hAnsi="宋体" w:eastAsia="宋体" w:cs="仿宋"/>
          <w:sz w:val="24"/>
          <w:szCs w:val="22"/>
        </w:rPr>
        <w:t>电子公章）</w:t>
      </w:r>
    </w:p>
    <w:p>
      <w:pPr>
        <w:spacing w:line="400" w:lineRule="exact"/>
        <w:ind w:firstLine="482"/>
        <w:rPr>
          <w:rFonts w:ascii="宋体" w:hAnsi="宋体" w:eastAsia="宋体" w:cs="仿宋"/>
          <w:b/>
          <w:bCs/>
          <w:sz w:val="24"/>
          <w:szCs w:val="28"/>
        </w:rPr>
      </w:pPr>
    </w:p>
    <w:p>
      <w:pPr>
        <w:spacing w:line="400" w:lineRule="exact"/>
        <w:ind w:firstLine="482"/>
        <w:rPr>
          <w:rFonts w:ascii="Times New Roman" w:hAnsi="Times New Roman" w:eastAsia="宋体" w:cs="宋体"/>
          <w:b/>
          <w:bCs/>
          <w:sz w:val="24"/>
          <w:szCs w:val="20"/>
        </w:rPr>
      </w:pPr>
      <w:r>
        <w:rPr>
          <w:rFonts w:hint="eastAsia" w:ascii="Times New Roman" w:hAnsi="Times New Roman" w:eastAsia="宋体" w:cs="仿宋"/>
          <w:b/>
          <w:bCs/>
          <w:sz w:val="24"/>
          <w:szCs w:val="28"/>
        </w:rPr>
        <w:t>备注：</w:t>
      </w:r>
      <w:r>
        <w:rPr>
          <w:rFonts w:hint="eastAsia" w:ascii="Times New Roman" w:hAnsi="Times New Roman" w:eastAsia="宋体" w:cs="仿宋"/>
          <w:sz w:val="24"/>
          <w:szCs w:val="28"/>
        </w:rPr>
        <w:t>1</w:t>
      </w:r>
      <w:bookmarkStart w:id="190" w:name="_Hlk187934629"/>
      <w:r>
        <w:rPr>
          <w:rFonts w:hint="eastAsia" w:ascii="Times New Roman" w:hAnsi="Times New Roman" w:eastAsia="宋体" w:cs="仿宋"/>
          <w:sz w:val="24"/>
          <w:szCs w:val="28"/>
        </w:rPr>
        <w:t>.</w:t>
      </w:r>
      <w:r>
        <w:rPr>
          <w:rFonts w:hint="eastAsia" w:ascii="Times New Roman" w:hAnsi="Times New Roman" w:eastAsia="宋体" w:cs="宋体"/>
          <w:sz w:val="24"/>
          <w:szCs w:val="20"/>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sz w:val="24"/>
          <w:szCs w:val="20"/>
        </w:rPr>
        <w:t>作无效响应处理。</w:t>
      </w:r>
    </w:p>
    <w:p>
      <w:pPr>
        <w:spacing w:line="400" w:lineRule="exact"/>
        <w:ind w:firstLine="480"/>
        <w:rPr>
          <w:rFonts w:ascii="Times New Roman" w:hAnsi="Times New Roman" w:eastAsia="宋体" w:cs="宋体"/>
          <w:sz w:val="24"/>
          <w:szCs w:val="20"/>
        </w:rPr>
      </w:pPr>
      <w:r>
        <w:rPr>
          <w:rFonts w:hint="eastAsia" w:ascii="Times New Roman" w:hAnsi="Times New Roman" w:eastAsia="宋体" w:cs="仿宋"/>
          <w:sz w:val="24"/>
          <w:szCs w:val="28"/>
        </w:rPr>
        <w:t>2.对采购需求的其它非实质性要求，投标人按所投产品情况</w:t>
      </w:r>
      <w:r>
        <w:rPr>
          <w:rFonts w:ascii="Times New Roman" w:hAnsi="Times New Roman" w:eastAsia="宋体" w:cs="仿宋"/>
          <w:sz w:val="24"/>
          <w:szCs w:val="28"/>
        </w:rPr>
        <w:t>在此表中详细列出偏离情况（包括正偏离、负偏离、无偏离）并说明理由</w:t>
      </w:r>
      <w:r>
        <w:rPr>
          <w:rFonts w:hint="eastAsia" w:ascii="Times New Roman" w:hAnsi="Times New Roman" w:eastAsia="宋体" w:cs="仿宋"/>
          <w:sz w:val="24"/>
          <w:szCs w:val="28"/>
        </w:rPr>
        <w:t>；未列明的均视为未响应招标文件要求</w:t>
      </w:r>
      <w:r>
        <w:rPr>
          <w:rFonts w:ascii="Times New Roman" w:hAnsi="Times New Roman" w:eastAsia="宋体" w:cs="仿宋"/>
          <w:sz w:val="24"/>
          <w:szCs w:val="28"/>
        </w:rPr>
        <w:t>。</w:t>
      </w:r>
      <w:bookmarkEnd w:id="190"/>
    </w:p>
    <w:p>
      <w:pPr>
        <w:pBdr>
          <w:top w:val="none" w:color="000000" w:sz="0" w:space="0"/>
          <w:left w:val="none" w:color="000000" w:sz="0" w:space="0"/>
          <w:bottom w:val="none" w:color="000000" w:sz="0" w:space="0"/>
          <w:right w:val="none" w:color="000000" w:sz="0" w:space="0"/>
        </w:pBdr>
        <w:spacing w:line="400" w:lineRule="exact"/>
        <w:rPr>
          <w:rFonts w:ascii="Times New Roman" w:hAnsi="Times New Roman" w:eastAsia="宋体" w:cs="Times New Roman"/>
          <w:sz w:val="24"/>
          <w:szCs w:val="21"/>
        </w:rPr>
      </w:pPr>
    </w:p>
    <w:p>
      <w:pPr>
        <w:keepNext/>
        <w:keepLines/>
        <w:spacing w:before="260" w:after="260" w:line="413" w:lineRule="auto"/>
        <w:outlineLvl w:val="1"/>
        <w:rPr>
          <w:rFonts w:ascii="宋体" w:hAnsi="宋体" w:eastAsia="宋体" w:cs="宋体"/>
          <w:b/>
          <w:bCs/>
          <w:sz w:val="32"/>
          <w:szCs w:val="20"/>
        </w:rPr>
      </w:pPr>
      <w:bookmarkStart w:id="191" w:name="_Toc25337"/>
      <w:bookmarkStart w:id="192" w:name="_Toc15871"/>
      <w:r>
        <w:rPr>
          <w:rFonts w:hint="eastAsia" w:ascii="宋体" w:hAnsi="宋体" w:eastAsia="宋体" w:cs="宋体"/>
          <w:b/>
          <w:bCs/>
          <w:sz w:val="32"/>
          <w:szCs w:val="20"/>
        </w:rPr>
        <w:t>八、项目组人员</w:t>
      </w:r>
    </w:p>
    <w:tbl>
      <w:tblPr>
        <w:tblStyle w:val="31"/>
        <w:tblpPr w:leftFromText="180" w:rightFromText="180" w:vertAnchor="text" w:horzAnchor="margin" w:tblpXSpec="center" w:tblpY="7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pPr>
              <w:widowControl/>
              <w:spacing w:beforeAutospacing="1" w:line="560" w:lineRule="exact"/>
              <w:jc w:val="center"/>
              <w:rPr>
                <w:rFonts w:ascii="宋体" w:hAnsi="宋体" w:eastAsia="宋体" w:cs="仿宋"/>
                <w:sz w:val="28"/>
                <w:szCs w:val="28"/>
              </w:rPr>
            </w:pPr>
            <w:r>
              <w:rPr>
                <w:rFonts w:hint="eastAsia" w:ascii="宋体" w:hAnsi="宋体" w:eastAsia="宋体" w:cs="仿宋"/>
                <w:sz w:val="28"/>
                <w:szCs w:val="28"/>
              </w:rPr>
              <w:t>姓名</w:t>
            </w:r>
          </w:p>
        </w:tc>
        <w:tc>
          <w:tcPr>
            <w:tcW w:w="1843" w:type="dxa"/>
            <w:noWrap w:val="0"/>
            <w:vAlign w:val="center"/>
          </w:tcPr>
          <w:p>
            <w:pPr>
              <w:widowControl/>
              <w:spacing w:beforeAutospacing="1" w:line="560" w:lineRule="exact"/>
              <w:jc w:val="center"/>
              <w:rPr>
                <w:rFonts w:ascii="宋体" w:hAnsi="宋体" w:eastAsia="宋体" w:cs="仿宋"/>
                <w:sz w:val="28"/>
                <w:szCs w:val="28"/>
              </w:rPr>
            </w:pPr>
            <w:r>
              <w:rPr>
                <w:rFonts w:hint="eastAsia" w:ascii="宋体" w:hAnsi="宋体" w:eastAsia="宋体" w:cs="仿宋"/>
                <w:sz w:val="28"/>
                <w:szCs w:val="28"/>
              </w:rPr>
              <w:t>职务</w:t>
            </w:r>
          </w:p>
        </w:tc>
        <w:tc>
          <w:tcPr>
            <w:tcW w:w="992" w:type="dxa"/>
            <w:noWrap w:val="0"/>
            <w:vAlign w:val="center"/>
          </w:tcPr>
          <w:p>
            <w:pPr>
              <w:widowControl/>
              <w:spacing w:beforeAutospacing="1" w:line="560" w:lineRule="exact"/>
              <w:jc w:val="center"/>
              <w:rPr>
                <w:rFonts w:ascii="宋体" w:hAnsi="宋体" w:eastAsia="宋体" w:cs="仿宋"/>
                <w:sz w:val="28"/>
                <w:szCs w:val="28"/>
              </w:rPr>
            </w:pPr>
            <w:r>
              <w:rPr>
                <w:rFonts w:hint="eastAsia" w:ascii="宋体" w:hAnsi="宋体" w:eastAsia="宋体" w:cs="仿宋"/>
                <w:sz w:val="28"/>
                <w:szCs w:val="28"/>
              </w:rPr>
              <w:t>学历</w:t>
            </w:r>
          </w:p>
        </w:tc>
        <w:tc>
          <w:tcPr>
            <w:tcW w:w="1984" w:type="dxa"/>
            <w:noWrap w:val="0"/>
            <w:vAlign w:val="center"/>
          </w:tcPr>
          <w:p>
            <w:pPr>
              <w:widowControl/>
              <w:spacing w:beforeAutospacing="1" w:line="560" w:lineRule="exact"/>
              <w:ind w:firstLine="280"/>
              <w:rPr>
                <w:rFonts w:ascii="宋体" w:hAnsi="宋体" w:eastAsia="宋体" w:cs="仿宋"/>
                <w:sz w:val="28"/>
                <w:szCs w:val="28"/>
              </w:rPr>
            </w:pPr>
            <w:r>
              <w:rPr>
                <w:rFonts w:hint="eastAsia" w:ascii="宋体" w:hAnsi="宋体" w:eastAsia="宋体" w:cs="仿宋"/>
                <w:sz w:val="28"/>
                <w:szCs w:val="28"/>
              </w:rPr>
              <w:t>身份证号</w:t>
            </w:r>
          </w:p>
        </w:tc>
        <w:tc>
          <w:tcPr>
            <w:tcW w:w="1702" w:type="dxa"/>
            <w:noWrap w:val="0"/>
            <w:vAlign w:val="center"/>
          </w:tcPr>
          <w:p>
            <w:pPr>
              <w:widowControl/>
              <w:spacing w:beforeAutospacing="1" w:line="560" w:lineRule="exact"/>
              <w:jc w:val="center"/>
              <w:rPr>
                <w:rFonts w:ascii="宋体" w:hAnsi="宋体" w:eastAsia="宋体" w:cs="仿宋"/>
                <w:sz w:val="28"/>
                <w:szCs w:val="28"/>
              </w:rPr>
            </w:pPr>
            <w:r>
              <w:rPr>
                <w:rFonts w:hint="eastAsia" w:ascii="宋体" w:hAnsi="宋体" w:eastAsia="宋体" w:cs="仿宋"/>
                <w:sz w:val="28"/>
                <w:szCs w:val="28"/>
              </w:rPr>
              <w:t>相关证书</w:t>
            </w:r>
          </w:p>
        </w:tc>
        <w:tc>
          <w:tcPr>
            <w:tcW w:w="962" w:type="dxa"/>
            <w:noWrap w:val="0"/>
            <w:vAlign w:val="center"/>
          </w:tcPr>
          <w:p>
            <w:pPr>
              <w:widowControl/>
              <w:spacing w:beforeAutospacing="1" w:line="560" w:lineRule="exact"/>
              <w:rPr>
                <w:rFonts w:ascii="宋体" w:hAnsi="宋体" w:eastAsia="宋体" w:cs="仿宋"/>
                <w:sz w:val="28"/>
                <w:szCs w:val="28"/>
              </w:rPr>
            </w:pPr>
            <w:r>
              <w:rPr>
                <w:rFonts w:hint="eastAsia" w:ascii="宋体" w:hAnsi="宋体" w:eastAsia="宋体" w:cs="仿宋"/>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pPr>
              <w:widowControl/>
              <w:spacing w:line="560" w:lineRule="exact"/>
              <w:ind w:firstLine="560"/>
              <w:jc w:val="center"/>
              <w:rPr>
                <w:rFonts w:ascii="仿宋" w:hAnsi="仿宋" w:eastAsia="仿宋" w:cs="仿宋"/>
                <w:sz w:val="28"/>
                <w:szCs w:val="28"/>
              </w:rPr>
            </w:pPr>
          </w:p>
        </w:tc>
        <w:tc>
          <w:tcPr>
            <w:tcW w:w="1843" w:type="dxa"/>
            <w:noWrap w:val="0"/>
            <w:vAlign w:val="center"/>
          </w:tcPr>
          <w:p>
            <w:pPr>
              <w:jc w:val="center"/>
              <w:rPr>
                <w:rFonts w:ascii="仿宋" w:hAnsi="仿宋" w:eastAsia="仿宋" w:cs="仿宋"/>
                <w:sz w:val="20"/>
                <w:szCs w:val="20"/>
              </w:rPr>
            </w:pPr>
          </w:p>
        </w:tc>
        <w:tc>
          <w:tcPr>
            <w:tcW w:w="992" w:type="dxa"/>
            <w:noWrap w:val="0"/>
            <w:vAlign w:val="center"/>
          </w:tcPr>
          <w:p>
            <w:pPr>
              <w:widowControl/>
              <w:spacing w:line="560" w:lineRule="exact"/>
              <w:ind w:firstLine="560"/>
              <w:jc w:val="center"/>
              <w:rPr>
                <w:rFonts w:ascii="仿宋" w:hAnsi="仿宋" w:eastAsia="仿宋" w:cs="仿宋"/>
                <w:sz w:val="28"/>
                <w:szCs w:val="28"/>
              </w:rPr>
            </w:pPr>
          </w:p>
        </w:tc>
        <w:tc>
          <w:tcPr>
            <w:tcW w:w="1984" w:type="dxa"/>
            <w:noWrap w:val="0"/>
            <w:vAlign w:val="center"/>
          </w:tcPr>
          <w:p>
            <w:pPr>
              <w:widowControl/>
              <w:spacing w:line="560" w:lineRule="exact"/>
              <w:ind w:firstLine="560"/>
              <w:jc w:val="center"/>
              <w:rPr>
                <w:rFonts w:ascii="仿宋" w:hAnsi="仿宋" w:eastAsia="仿宋" w:cs="仿宋"/>
                <w:sz w:val="28"/>
                <w:szCs w:val="28"/>
              </w:rPr>
            </w:pPr>
          </w:p>
        </w:tc>
        <w:tc>
          <w:tcPr>
            <w:tcW w:w="1702" w:type="dxa"/>
            <w:noWrap w:val="0"/>
            <w:vAlign w:val="center"/>
          </w:tcPr>
          <w:p>
            <w:pPr>
              <w:widowControl/>
              <w:spacing w:line="560" w:lineRule="exact"/>
              <w:ind w:firstLine="560"/>
              <w:jc w:val="center"/>
              <w:rPr>
                <w:rFonts w:ascii="仿宋" w:hAnsi="仿宋" w:eastAsia="仿宋" w:cs="仿宋"/>
                <w:sz w:val="28"/>
                <w:szCs w:val="28"/>
              </w:rPr>
            </w:pPr>
          </w:p>
        </w:tc>
        <w:tc>
          <w:tcPr>
            <w:tcW w:w="962" w:type="dxa"/>
            <w:noWrap w:val="0"/>
            <w:vAlign w:val="center"/>
          </w:tcPr>
          <w:p>
            <w:pPr>
              <w:widowControl/>
              <w:spacing w:line="560" w:lineRule="exact"/>
              <w:ind w:firstLine="560"/>
              <w:jc w:val="center"/>
              <w:rPr>
                <w:rFonts w:ascii="仿宋" w:hAnsi="仿宋" w:eastAsia="仿宋" w:cs="仿宋"/>
                <w:sz w:val="28"/>
                <w:szCs w:val="28"/>
              </w:rPr>
            </w:pPr>
          </w:p>
        </w:tc>
      </w:tr>
    </w:tbl>
    <w:p>
      <w:pPr>
        <w:spacing w:line="480" w:lineRule="exact"/>
        <w:ind w:firstLine="210"/>
        <w:rPr>
          <w:rFonts w:ascii="Times New Roman" w:hAnsi="Times New Roman" w:eastAsia="宋体" w:cs="宋体"/>
          <w:sz w:val="24"/>
          <w:szCs w:val="20"/>
        </w:rPr>
      </w:pPr>
      <w:r>
        <w:rPr>
          <w:rFonts w:hint="eastAsia" w:ascii="Times New Roman" w:hAnsi="Times New Roman" w:eastAsia="宋体" w:cs="宋体"/>
          <w:sz w:val="24"/>
          <w:szCs w:val="20"/>
        </w:rPr>
        <w:t>注：如投标人中标，项目组成员按本表承诺人员操作，不得随意更换。按采购文件要求附相关人员证书。</w:t>
      </w:r>
      <w:bookmarkStart w:id="193" w:name="_格式2__法定代表人授权书"/>
      <w:bookmarkEnd w:id="193"/>
    </w:p>
    <w:p>
      <w:pPr>
        <w:ind w:firstLine="210"/>
        <w:rPr>
          <w:rFonts w:ascii="仿宋" w:hAnsi="仿宋" w:eastAsia="仿宋" w:cs="仿宋"/>
          <w:szCs w:val="21"/>
        </w:rPr>
      </w:pPr>
    </w:p>
    <w:p>
      <w:pPr>
        <w:ind w:firstLine="210"/>
        <w:rPr>
          <w:rFonts w:ascii="仿宋" w:hAnsi="仿宋" w:eastAsia="仿宋" w:cs="仿宋"/>
          <w:szCs w:val="21"/>
        </w:rPr>
      </w:pPr>
    </w:p>
    <w:p>
      <w:pPr>
        <w:ind w:left="210"/>
        <w:outlineLvl w:val="1"/>
        <w:rPr>
          <w:rFonts w:ascii="宋体" w:hAnsi="黑体" w:eastAsia="黑体" w:cs="黑体"/>
          <w:sz w:val="32"/>
          <w:szCs w:val="32"/>
        </w:rPr>
      </w:pPr>
      <w:r>
        <w:rPr>
          <w:rFonts w:hint="eastAsia" w:ascii="宋体" w:hAnsi="黑体" w:eastAsia="黑体" w:cs="黑体"/>
          <w:sz w:val="32"/>
          <w:szCs w:val="32"/>
        </w:rPr>
        <w:br w:type="page" w:clear="all"/>
      </w:r>
      <w:r>
        <w:rPr>
          <w:rFonts w:hint="eastAsia" w:ascii="宋体" w:hAnsi="黑体" w:eastAsia="黑体" w:cs="黑体"/>
          <w:sz w:val="32"/>
          <w:szCs w:val="32"/>
        </w:rPr>
        <w:t>九、项目实施方案</w:t>
      </w:r>
    </w:p>
    <w:p>
      <w:pPr>
        <w:ind w:left="210"/>
        <w:outlineLvl w:val="1"/>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rPr>
          <w:rFonts w:ascii="宋体" w:hAnsi="黑体" w:eastAsia="黑体" w:cs="黑体"/>
          <w:sz w:val="32"/>
          <w:szCs w:val="32"/>
        </w:rPr>
      </w:pPr>
    </w:p>
    <w:p>
      <w:pPr>
        <w:ind w:left="210"/>
        <w:outlineLvl w:val="1"/>
        <w:rPr>
          <w:rFonts w:ascii="宋体" w:hAnsi="黑体" w:eastAsia="黑体" w:cs="黑体"/>
          <w:sz w:val="32"/>
          <w:szCs w:val="32"/>
        </w:rPr>
      </w:pPr>
      <w:r>
        <w:rPr>
          <w:rFonts w:hint="eastAsia" w:ascii="宋体" w:hAnsi="黑体" w:eastAsia="黑体" w:cs="黑体"/>
          <w:sz w:val="32"/>
          <w:szCs w:val="32"/>
        </w:rPr>
        <w:t>十、企业业绩</w:t>
      </w:r>
      <w:bookmarkEnd w:id="191"/>
      <w:bookmarkEnd w:id="192"/>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投标人</w:t>
      </w:r>
      <w:bookmarkStart w:id="194" w:name="_Hlk187935031"/>
      <w:r>
        <w:rPr>
          <w:rFonts w:hint="eastAsia" w:ascii="方正小标宋_GBK" w:hAnsi="Calibri" w:eastAsia="方正小标宋_GBK" w:cs="Times New Roman"/>
          <w:bCs/>
          <w:sz w:val="32"/>
          <w:szCs w:val="32"/>
        </w:rPr>
        <w:t>自</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年</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月</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日以来承担</w:t>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类似项目业绩一览表</w:t>
      </w:r>
      <w:bookmarkEnd w:id="194"/>
    </w:p>
    <w:tbl>
      <w:tblPr>
        <w:tblStyle w:val="3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pPr>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序号</w:t>
            </w:r>
          </w:p>
        </w:tc>
        <w:tc>
          <w:tcPr>
            <w:tcW w:w="3827" w:type="dxa"/>
            <w:noWrap w:val="0"/>
            <w:vAlign w:val="center"/>
          </w:tcPr>
          <w:p>
            <w:pPr>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项目名称</w:t>
            </w:r>
          </w:p>
        </w:tc>
        <w:tc>
          <w:tcPr>
            <w:tcW w:w="2433" w:type="dxa"/>
            <w:noWrap w:val="0"/>
            <w:vAlign w:val="center"/>
          </w:tcPr>
          <w:p>
            <w:pPr>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采购单位</w:t>
            </w:r>
          </w:p>
        </w:tc>
        <w:tc>
          <w:tcPr>
            <w:tcW w:w="1395" w:type="dxa"/>
            <w:noWrap w:val="0"/>
            <w:vAlign w:val="center"/>
          </w:tcPr>
          <w:p>
            <w:pPr>
              <w:spacing w:line="560" w:lineRule="exact"/>
              <w:jc w:val="center"/>
              <w:rPr>
                <w:rFonts w:ascii="仿宋_GB2312" w:hAnsi="Times New Roman" w:eastAsia="仿宋_GB2312" w:cs="Times New Roman"/>
                <w:sz w:val="28"/>
                <w:szCs w:val="28"/>
              </w:rPr>
            </w:pPr>
            <w:r>
              <w:rPr>
                <w:rFonts w:hint="eastAsia" w:ascii="仿宋_GB2312" w:hAnsi="Times New Roman" w:eastAsia="仿宋_GB2312" w:cs="Times New Roman"/>
                <w:sz w:val="28"/>
                <w:szCs w:val="28"/>
              </w:rPr>
              <w:t>服务主要内容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pPr>
              <w:spacing w:line="560" w:lineRule="exact"/>
              <w:jc w:val="center"/>
              <w:rPr>
                <w:rFonts w:ascii="仿宋_GB2312" w:hAnsi="Times New Roman" w:eastAsia="仿宋_GB2312" w:cs="Times New Roman"/>
                <w:sz w:val="28"/>
              </w:rPr>
            </w:pPr>
          </w:p>
        </w:tc>
        <w:tc>
          <w:tcPr>
            <w:tcW w:w="3827" w:type="dxa"/>
            <w:noWrap w:val="0"/>
            <w:vAlign w:val="center"/>
          </w:tcPr>
          <w:p>
            <w:pPr>
              <w:spacing w:line="560" w:lineRule="exact"/>
              <w:jc w:val="center"/>
              <w:rPr>
                <w:rFonts w:ascii="仿宋_GB2312" w:hAnsi="Times New Roman" w:eastAsia="仿宋_GB2312" w:cs="Times New Roman"/>
                <w:sz w:val="28"/>
              </w:rPr>
            </w:pPr>
          </w:p>
        </w:tc>
        <w:tc>
          <w:tcPr>
            <w:tcW w:w="2433" w:type="dxa"/>
            <w:noWrap w:val="0"/>
            <w:vAlign w:val="center"/>
          </w:tcPr>
          <w:p>
            <w:pPr>
              <w:spacing w:line="560" w:lineRule="exact"/>
              <w:jc w:val="center"/>
              <w:rPr>
                <w:rFonts w:ascii="仿宋_GB2312" w:hAnsi="Times New Roman" w:eastAsia="仿宋_GB2312" w:cs="Times New Roman"/>
                <w:sz w:val="28"/>
              </w:rPr>
            </w:pPr>
          </w:p>
        </w:tc>
        <w:tc>
          <w:tcPr>
            <w:tcW w:w="1395" w:type="dxa"/>
            <w:noWrap w:val="0"/>
            <w:vAlign w:val="center"/>
          </w:tcPr>
          <w:p>
            <w:pPr>
              <w:spacing w:line="560" w:lineRule="exact"/>
              <w:jc w:val="center"/>
              <w:rPr>
                <w:rFonts w:ascii="仿宋_GB2312" w:hAnsi="Times New Roman" w:eastAsia="仿宋_GB2312" w:cs="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pPr>
              <w:spacing w:line="560" w:lineRule="exact"/>
              <w:jc w:val="center"/>
              <w:rPr>
                <w:rFonts w:ascii="仿宋_GB2312" w:hAnsi="Times New Roman" w:eastAsia="仿宋_GB2312" w:cs="Times New Roman"/>
                <w:sz w:val="28"/>
              </w:rPr>
            </w:pPr>
          </w:p>
        </w:tc>
        <w:tc>
          <w:tcPr>
            <w:tcW w:w="3827" w:type="dxa"/>
            <w:noWrap w:val="0"/>
            <w:vAlign w:val="center"/>
          </w:tcPr>
          <w:p>
            <w:pPr>
              <w:spacing w:line="560" w:lineRule="exact"/>
              <w:jc w:val="center"/>
              <w:rPr>
                <w:rFonts w:ascii="仿宋_GB2312" w:hAnsi="Times New Roman" w:eastAsia="仿宋_GB2312" w:cs="Times New Roman"/>
                <w:sz w:val="28"/>
              </w:rPr>
            </w:pPr>
          </w:p>
        </w:tc>
        <w:tc>
          <w:tcPr>
            <w:tcW w:w="2433" w:type="dxa"/>
            <w:noWrap w:val="0"/>
            <w:vAlign w:val="center"/>
          </w:tcPr>
          <w:p>
            <w:pPr>
              <w:spacing w:line="560" w:lineRule="exact"/>
              <w:jc w:val="center"/>
              <w:rPr>
                <w:rFonts w:ascii="仿宋_GB2312" w:hAnsi="Times New Roman" w:eastAsia="仿宋_GB2312" w:cs="Times New Roman"/>
                <w:sz w:val="28"/>
              </w:rPr>
            </w:pPr>
          </w:p>
        </w:tc>
        <w:tc>
          <w:tcPr>
            <w:tcW w:w="1395" w:type="dxa"/>
            <w:noWrap w:val="0"/>
            <w:vAlign w:val="center"/>
          </w:tcPr>
          <w:p>
            <w:pPr>
              <w:spacing w:line="560" w:lineRule="exact"/>
              <w:jc w:val="center"/>
              <w:rPr>
                <w:rFonts w:ascii="仿宋_GB2312" w:hAnsi="Times New Roman" w:eastAsia="仿宋_GB2312" w:cs="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pPr>
              <w:spacing w:line="560" w:lineRule="exact"/>
              <w:jc w:val="center"/>
              <w:rPr>
                <w:rFonts w:ascii="仿宋_GB2312" w:hAnsi="Times New Roman" w:eastAsia="仿宋_GB2312" w:cs="Times New Roman"/>
                <w:sz w:val="28"/>
              </w:rPr>
            </w:pPr>
          </w:p>
        </w:tc>
        <w:tc>
          <w:tcPr>
            <w:tcW w:w="3827" w:type="dxa"/>
            <w:noWrap w:val="0"/>
            <w:vAlign w:val="center"/>
          </w:tcPr>
          <w:p>
            <w:pPr>
              <w:spacing w:line="560" w:lineRule="exact"/>
              <w:jc w:val="center"/>
              <w:rPr>
                <w:rFonts w:ascii="仿宋_GB2312" w:hAnsi="Times New Roman" w:eastAsia="仿宋_GB2312" w:cs="Times New Roman"/>
                <w:sz w:val="28"/>
              </w:rPr>
            </w:pPr>
          </w:p>
        </w:tc>
        <w:tc>
          <w:tcPr>
            <w:tcW w:w="2433" w:type="dxa"/>
            <w:noWrap w:val="0"/>
            <w:vAlign w:val="center"/>
          </w:tcPr>
          <w:p>
            <w:pPr>
              <w:spacing w:line="560" w:lineRule="exact"/>
              <w:jc w:val="center"/>
              <w:rPr>
                <w:rFonts w:ascii="仿宋_GB2312" w:hAnsi="Times New Roman" w:eastAsia="仿宋_GB2312" w:cs="Times New Roman"/>
                <w:sz w:val="28"/>
              </w:rPr>
            </w:pPr>
          </w:p>
        </w:tc>
        <w:tc>
          <w:tcPr>
            <w:tcW w:w="1395" w:type="dxa"/>
            <w:noWrap w:val="0"/>
            <w:vAlign w:val="center"/>
          </w:tcPr>
          <w:p>
            <w:pPr>
              <w:spacing w:line="560" w:lineRule="exact"/>
              <w:jc w:val="center"/>
              <w:rPr>
                <w:rFonts w:ascii="仿宋_GB2312" w:hAnsi="Times New Roman" w:eastAsia="仿宋_GB2312" w:cs="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pPr>
              <w:spacing w:line="560" w:lineRule="exact"/>
              <w:jc w:val="center"/>
              <w:rPr>
                <w:rFonts w:ascii="仿宋_GB2312" w:hAnsi="Times New Roman" w:eastAsia="仿宋_GB2312" w:cs="Times New Roman"/>
                <w:sz w:val="28"/>
              </w:rPr>
            </w:pPr>
          </w:p>
        </w:tc>
        <w:tc>
          <w:tcPr>
            <w:tcW w:w="3827" w:type="dxa"/>
            <w:noWrap w:val="0"/>
            <w:vAlign w:val="center"/>
          </w:tcPr>
          <w:p>
            <w:pPr>
              <w:spacing w:line="560" w:lineRule="exact"/>
              <w:jc w:val="center"/>
              <w:rPr>
                <w:rFonts w:ascii="仿宋_GB2312" w:hAnsi="Times New Roman" w:eastAsia="仿宋_GB2312" w:cs="Times New Roman"/>
                <w:sz w:val="28"/>
              </w:rPr>
            </w:pPr>
          </w:p>
        </w:tc>
        <w:tc>
          <w:tcPr>
            <w:tcW w:w="2433" w:type="dxa"/>
            <w:noWrap w:val="0"/>
            <w:vAlign w:val="center"/>
          </w:tcPr>
          <w:p>
            <w:pPr>
              <w:spacing w:line="560" w:lineRule="exact"/>
              <w:jc w:val="center"/>
              <w:rPr>
                <w:rFonts w:ascii="仿宋_GB2312" w:hAnsi="Times New Roman" w:eastAsia="仿宋_GB2312" w:cs="Times New Roman"/>
                <w:sz w:val="28"/>
              </w:rPr>
            </w:pPr>
          </w:p>
        </w:tc>
        <w:tc>
          <w:tcPr>
            <w:tcW w:w="1395" w:type="dxa"/>
            <w:noWrap w:val="0"/>
            <w:vAlign w:val="center"/>
          </w:tcPr>
          <w:p>
            <w:pPr>
              <w:spacing w:line="560" w:lineRule="exact"/>
              <w:jc w:val="center"/>
              <w:rPr>
                <w:rFonts w:ascii="仿宋_GB2312" w:hAnsi="Times New Roman" w:eastAsia="仿宋_GB2312" w:cs="Times New Roman"/>
                <w:sz w:val="28"/>
              </w:rPr>
            </w:pPr>
          </w:p>
        </w:tc>
      </w:tr>
    </w:tbl>
    <w:p>
      <w:pPr>
        <w:rPr>
          <w:rFonts w:ascii="宋体" w:hAnsi="宋体" w:eastAsia="宋体" w:cs="Times New Roman"/>
          <w:bCs/>
          <w:szCs w:val="22"/>
        </w:rPr>
      </w:pPr>
      <w:r>
        <w:rPr>
          <w:rFonts w:hint="eastAsia" w:ascii="宋体" w:hAnsi="宋体" w:eastAsia="宋体" w:cs="Times New Roman"/>
          <w:bCs/>
          <w:sz w:val="24"/>
          <w:szCs w:val="22"/>
        </w:rPr>
        <w:t>注：请填写此表，并按要求上传业绩资料电子件。</w:t>
      </w:r>
    </w:p>
    <w:p>
      <w:pPr>
        <w:spacing w:line="480" w:lineRule="exact"/>
        <w:outlineLvl w:val="1"/>
        <w:rPr>
          <w:rFonts w:ascii="宋体" w:hAnsi="Calibri" w:eastAsia="宋体" w:cs="Times New Roman"/>
          <w:szCs w:val="32"/>
        </w:rPr>
      </w:pPr>
      <w:r>
        <w:rPr>
          <w:rFonts w:ascii="宋体" w:hAnsi="宋体" w:eastAsia="宋体" w:cs="Times New Roman"/>
          <w:bCs/>
          <w:szCs w:val="22"/>
        </w:rPr>
        <w:br w:type="page" w:clear="all"/>
      </w:r>
      <w:bookmarkStart w:id="195" w:name="_Toc26048"/>
      <w:bookmarkStart w:id="196" w:name="_Toc9275"/>
      <w:r>
        <w:rPr>
          <w:rFonts w:hint="eastAsia" w:ascii="宋体" w:hAnsi="黑体" w:eastAsia="黑体" w:cs="黑体"/>
          <w:sz w:val="32"/>
          <w:szCs w:val="32"/>
        </w:rPr>
        <w:t>十一、投标所需其他材料</w:t>
      </w:r>
      <w:bookmarkEnd w:id="195"/>
      <w:bookmarkEnd w:id="196"/>
    </w:p>
    <w:p>
      <w:pPr>
        <w:spacing w:line="480" w:lineRule="exact"/>
        <w:ind w:firstLine="420"/>
        <w:rPr>
          <w:rFonts w:ascii="Calibri" w:hAnsi="Calibri" w:eastAsia="宋体" w:cs="Times New Roman"/>
          <w:sz w:val="24"/>
        </w:rPr>
      </w:pPr>
      <w:r>
        <w:rPr>
          <w:rFonts w:hint="eastAsia" w:ascii="Calibri" w:hAnsi="Calibri" w:eastAsia="宋体" w:cs="Times New Roman"/>
          <w:sz w:val="24"/>
        </w:rPr>
        <w:t>请在此文档中增加投标所需其他相关内容（包括评分办法、采购需求中涉及的证件证明及其它投标人认为有必要提供的资料），如没有请将此空文档上传。</w:t>
      </w: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spacing w:line="480" w:lineRule="exact"/>
        <w:ind w:firstLine="420"/>
        <w:rPr>
          <w:rFonts w:ascii="Calibri" w:hAnsi="Calibri" w:eastAsia="宋体" w:cs="Times New Roman"/>
          <w:sz w:val="24"/>
        </w:rPr>
      </w:pPr>
    </w:p>
    <w:p>
      <w:pPr>
        <w:jc w:val="center"/>
        <w:rPr>
          <w:rFonts w:ascii="Calibri" w:hAnsi="Calibri" w:eastAsia="宋体" w:cs="Times New Roman"/>
          <w:szCs w:val="22"/>
        </w:rPr>
      </w:pPr>
      <w:r>
        <w:rPr>
          <w:rFonts w:hint="eastAsia" w:ascii="Times New Roman" w:hAnsi="Times New Roman" w:eastAsia="宋体" w:cs="仿宋"/>
          <w:b/>
          <w:bCs/>
          <w:sz w:val="32"/>
          <w:szCs w:val="32"/>
        </w:rPr>
        <w:t>质疑函范本</w:t>
      </w:r>
    </w:p>
    <w:p>
      <w:pPr>
        <w:spacing w:before="290" w:line="360" w:lineRule="auto"/>
        <w:rPr>
          <w:rFonts w:ascii="Calibri" w:hAnsi="Calibri" w:eastAsia="宋体" w:cs="Times New Roman"/>
          <w:szCs w:val="22"/>
        </w:rPr>
      </w:pPr>
      <w:r>
        <w:rPr>
          <w:rFonts w:hint="eastAsia" w:ascii="Times New Roman" w:hAnsi="Times New Roman" w:eastAsia="宋体" w:cs="仿宋"/>
          <w:bCs/>
          <w:sz w:val="24"/>
        </w:rPr>
        <w:t>一、质疑供应商基本信息</w:t>
      </w:r>
    </w:p>
    <w:p>
      <w:pPr>
        <w:spacing w:line="360" w:lineRule="auto"/>
        <w:rPr>
          <w:rFonts w:ascii="Calibri" w:hAnsi="Calibri" w:eastAsia="宋体" w:cs="Times New Roman"/>
          <w:szCs w:val="22"/>
        </w:rPr>
      </w:pPr>
      <w:r>
        <w:rPr>
          <w:rFonts w:hint="eastAsia" w:ascii="Times New Roman" w:hAnsi="Times New Roman" w:eastAsia="宋体" w:cs="仿宋"/>
          <w:sz w:val="24"/>
        </w:rPr>
        <w:t>质疑供应商：</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地址：</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邮编：</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联系人：</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联系电话：</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授权代表：</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联系电话：</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地址：</w:t>
      </w:r>
      <w:r>
        <w:rPr>
          <w:rFonts w:ascii="Times New Roman" w:hAnsi="Times New Roman" w:eastAsia="宋体" w:cs="仿宋"/>
          <w:sz w:val="24"/>
        </w:rPr>
        <w:t xml:space="preserve"> </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邮编：</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bCs/>
          <w:sz w:val="24"/>
        </w:rPr>
        <w:t>二、质疑项目基本情况</w:t>
      </w:r>
    </w:p>
    <w:p>
      <w:pPr>
        <w:spacing w:line="360" w:lineRule="auto"/>
        <w:rPr>
          <w:rFonts w:ascii="Calibri" w:hAnsi="Calibri" w:eastAsia="宋体" w:cs="Times New Roman"/>
          <w:szCs w:val="22"/>
        </w:rPr>
      </w:pPr>
      <w:r>
        <w:rPr>
          <w:rFonts w:hint="eastAsia" w:ascii="Times New Roman" w:hAnsi="Times New Roman" w:eastAsia="宋体" w:cs="仿宋"/>
          <w:sz w:val="24"/>
        </w:rPr>
        <w:t>质疑项目的名称：</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质疑项目的编号：</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包号：</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采购人名称：</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采购文件获取日期：</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bCs/>
          <w:sz w:val="24"/>
        </w:rPr>
        <w:t>三、质疑事项具体内容</w:t>
      </w:r>
    </w:p>
    <w:p>
      <w:pPr>
        <w:spacing w:line="360" w:lineRule="auto"/>
        <w:rPr>
          <w:rFonts w:ascii="Calibri" w:hAnsi="Calibri" w:eastAsia="宋体" w:cs="Times New Roman"/>
          <w:szCs w:val="22"/>
        </w:rPr>
      </w:pPr>
      <w:r>
        <w:rPr>
          <w:rFonts w:hint="eastAsia" w:ascii="Times New Roman" w:hAnsi="Times New Roman" w:eastAsia="宋体" w:cs="仿宋"/>
          <w:sz w:val="24"/>
        </w:rPr>
        <w:t>质疑事项1：</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事实依据：</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法律依据：</w:t>
      </w: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u w:val="single"/>
        </w:rPr>
        <w:t xml:space="preserve">                                                                           </w:t>
      </w:r>
    </w:p>
    <w:p>
      <w:pPr>
        <w:spacing w:line="360" w:lineRule="auto"/>
        <w:rPr>
          <w:rFonts w:ascii="Calibri" w:hAnsi="Calibri" w:eastAsia="宋体" w:cs="Times New Roman"/>
          <w:szCs w:val="22"/>
        </w:rPr>
      </w:pPr>
      <w:r>
        <w:rPr>
          <w:rFonts w:hint="eastAsia" w:ascii="Times New Roman" w:hAnsi="Times New Roman" w:eastAsia="宋体" w:cs="仿宋"/>
          <w:sz w:val="24"/>
        </w:rPr>
        <w:t>质疑事项2</w:t>
      </w:r>
    </w:p>
    <w:p>
      <w:pPr>
        <w:spacing w:line="360" w:lineRule="auto"/>
        <w:rPr>
          <w:rFonts w:ascii="Calibri" w:hAnsi="Calibri" w:eastAsia="宋体" w:cs="Times New Roman"/>
          <w:szCs w:val="22"/>
        </w:rPr>
      </w:pPr>
      <w:r>
        <w:rPr>
          <w:rFonts w:hint="eastAsia" w:ascii="Times New Roman" w:hAnsi="Times New Roman" w:eastAsia="宋体" w:cs="仿宋"/>
          <w:sz w:val="24"/>
        </w:rPr>
        <w:t>……</w:t>
      </w:r>
    </w:p>
    <w:p>
      <w:pPr>
        <w:spacing w:line="360" w:lineRule="auto"/>
        <w:rPr>
          <w:rFonts w:ascii="Calibri" w:hAnsi="Calibri" w:eastAsia="宋体" w:cs="Times New Roman"/>
          <w:szCs w:val="22"/>
        </w:rPr>
      </w:pPr>
      <w:r>
        <w:rPr>
          <w:rFonts w:hint="eastAsia" w:ascii="Times New Roman" w:hAnsi="Times New Roman" w:eastAsia="宋体" w:cs="仿宋"/>
          <w:bCs/>
          <w:sz w:val="24"/>
        </w:rPr>
        <w:t>四、与质疑事项相关的质疑请求</w:t>
      </w:r>
    </w:p>
    <w:p>
      <w:pPr>
        <w:spacing w:line="360" w:lineRule="auto"/>
        <w:rPr>
          <w:rFonts w:ascii="Calibri" w:hAnsi="Calibri" w:eastAsia="宋体" w:cs="Times New Roman"/>
          <w:szCs w:val="22"/>
        </w:rPr>
      </w:pPr>
      <w:r>
        <w:rPr>
          <w:rFonts w:hint="eastAsia" w:ascii="Times New Roman" w:hAnsi="Times New Roman" w:eastAsia="宋体" w:cs="仿宋"/>
          <w:sz w:val="24"/>
        </w:rPr>
        <w:t>请求：</w:t>
      </w:r>
      <w:r>
        <w:rPr>
          <w:rFonts w:hint="eastAsia" w:ascii="Times New Roman" w:hAnsi="Times New Roman" w:eastAsia="宋体" w:cs="仿宋"/>
          <w:sz w:val="24"/>
          <w:u w:val="single"/>
        </w:rPr>
        <w:t xml:space="preserve">                                                                     </w:t>
      </w:r>
    </w:p>
    <w:p>
      <w:pPr>
        <w:rPr>
          <w:rFonts w:ascii="Calibri" w:hAnsi="Calibri" w:eastAsia="宋体" w:cs="Times New Roman"/>
          <w:szCs w:val="22"/>
        </w:rPr>
      </w:pPr>
      <w:r>
        <w:rPr>
          <w:rFonts w:hint="eastAsia" w:ascii="Times New Roman" w:hAnsi="Times New Roman" w:eastAsia="宋体" w:cs="Times New Roman"/>
          <w:sz w:val="24"/>
        </w:rPr>
        <w:t xml:space="preserve">签字(签章)：                   公章：                      </w:t>
      </w:r>
    </w:p>
    <w:p>
      <w:pPr>
        <w:rPr>
          <w:rFonts w:ascii="Calibri" w:hAnsi="Calibri" w:eastAsia="宋体" w:cs="Times New Roman"/>
          <w:szCs w:val="22"/>
        </w:rPr>
      </w:pPr>
      <w:r>
        <w:rPr>
          <w:rFonts w:hint="eastAsia" w:ascii="Times New Roman" w:hAnsi="Times New Roman" w:eastAsia="宋体" w:cs="Times New Roman"/>
          <w:sz w:val="24"/>
        </w:rPr>
        <w:t xml:space="preserve">日期：    </w:t>
      </w:r>
    </w:p>
    <w:p>
      <w:pPr>
        <w:spacing w:line="400" w:lineRule="exact"/>
        <w:rPr>
          <w:rFonts w:ascii="Calibri" w:hAnsi="Calibri" w:eastAsia="宋体" w:cs="Times New Roman"/>
          <w:szCs w:val="22"/>
        </w:rPr>
      </w:pPr>
      <w:r>
        <w:rPr>
          <w:rFonts w:hint="eastAsia" w:ascii="Times New Roman" w:hAnsi="Times New Roman" w:eastAsia="宋体" w:cs="Times New Roman"/>
          <w:b/>
          <w:sz w:val="24"/>
        </w:rPr>
        <w:t>质疑函制作说明：</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1.供应商提出质疑时，应提交质疑函和必要的证明材料。</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2.质疑供应商若委托代理人进行质疑的，质疑函应按要求列明“授权代表”的有关内容，并在附件中提交由质疑</w:t>
      </w:r>
      <w:r>
        <w:rPr>
          <w:rFonts w:hint="eastAsia" w:ascii="Times New Roman" w:hAnsi="Times New Roman" w:eastAsia="宋体" w:cs="宋体"/>
          <w:sz w:val="24"/>
        </w:rPr>
        <w:t>供应商签署的授权委托书。授权委托书应载明代理人的姓名或者名称、代理事项、具体权限、期限和相关事项。</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3.质疑供应商若对项目的某一分包进行质疑，质疑函中应列明具体分包号。</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4.质疑函的质疑事项应具体、明确，并有必要的事实依据和法律依据。</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5.质疑函的质疑请求应与质疑事项相关。</w:t>
      </w:r>
    </w:p>
    <w:p>
      <w:pPr>
        <w:widowControl/>
        <w:spacing w:line="400" w:lineRule="exact"/>
        <w:ind w:firstLine="480"/>
        <w:jc w:val="left"/>
        <w:rPr>
          <w:rFonts w:ascii="Calibri" w:hAnsi="Calibri" w:eastAsia="宋体" w:cs="Times New Roman"/>
          <w:szCs w:val="22"/>
        </w:rPr>
      </w:pPr>
      <w:r>
        <w:rPr>
          <w:rFonts w:hint="eastAsia" w:ascii="Times New Roman" w:hAnsi="Times New Roman" w:eastAsia="宋体" w:cs="Times New Roman"/>
          <w:sz w:val="24"/>
        </w:rPr>
        <w:t>6.质疑供应商为自然人的，质疑函应由本人签字；质疑供应商为法人或者其他组织的，质疑函应由法定代表人、主要负责人，或者其授权代表签字或者盖章，并加盖公章。</w:t>
      </w:r>
    </w:p>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D3C4329-E81D-4B91-AE92-50F294E94FA2}"/>
  </w:font>
  <w:font w:name="黑体">
    <w:panose1 w:val="02010609060101010101"/>
    <w:charset w:val="86"/>
    <w:family w:val="auto"/>
    <w:pitch w:val="default"/>
    <w:sig w:usb0="800002BF" w:usb1="38CF7CFA" w:usb2="00000016" w:usb3="00000000" w:csb0="00040001" w:csb1="00000000"/>
    <w:embedRegular r:id="rId2" w:fontKey="{B995F2A7-0575-45B5-9318-7E8C455D43F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5B203DC-C58C-4DA6-9808-E0764854CDE0}"/>
  </w:font>
  <w:font w:name="仿宋">
    <w:panose1 w:val="02010609060101010101"/>
    <w:charset w:val="86"/>
    <w:family w:val="auto"/>
    <w:pitch w:val="default"/>
    <w:sig w:usb0="800002BF" w:usb1="38CF7CFA" w:usb2="00000016" w:usb3="00000000" w:csb0="00040001" w:csb1="00000000"/>
    <w:embedRegular r:id="rId4" w:fontKey="{2A3A0245-ACE7-4DDC-A796-0F7FE892F691}"/>
  </w:font>
  <w:font w:name="仿宋_GB2312">
    <w:panose1 w:val="02010609030101010101"/>
    <w:charset w:val="86"/>
    <w:family w:val="auto"/>
    <w:pitch w:val="default"/>
    <w:sig w:usb0="00000001" w:usb1="080E0000" w:usb2="00000000" w:usb3="00000000" w:csb0="00040000" w:csb1="00000000"/>
    <w:embedRegular r:id="rId5" w:fontKey="{9493BFBD-CC27-40EF-B681-46D910A02098}"/>
  </w:font>
  <w:font w:name="方正仿宋_GBK">
    <w:panose1 w:val="02000000000000000000"/>
    <w:charset w:val="86"/>
    <w:family w:val="auto"/>
    <w:pitch w:val="default"/>
    <w:sig w:usb0="A00002BF" w:usb1="38CF7CFA" w:usb2="00082016" w:usb3="00000000" w:csb0="00040001" w:csb1="00000000"/>
    <w:embedRegular r:id="rId6" w:fontKey="{0EAD677A-51F2-44CB-A3B3-D1DB8B158ECC}"/>
  </w:font>
  <w:font w:name="方正小标宋_GBK">
    <w:panose1 w:val="02000000000000000000"/>
    <w:charset w:val="86"/>
    <w:family w:val="auto"/>
    <w:pitch w:val="default"/>
    <w:sig w:usb0="A00002BF" w:usb1="38CF7CFA" w:usb2="00082016" w:usb3="00000000" w:csb0="00040001" w:csb1="00000000"/>
    <w:embedRegular r:id="rId7" w:fontKey="{939717D0-5A60-4251-8B0A-324DBA7B2772}"/>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jc w:val="center"/>
      <w:rPr>
        <w:rFonts w:ascii="Calibri" w:hAnsi="Calibri" w:eastAsia="宋体" w:cs="Times New Roman"/>
        <w:sz w:val="18"/>
        <w:szCs w:val="18"/>
      </w:rPr>
    </w:pPr>
    <w:r>
      <w:rPr>
        <w:rFonts w:ascii="Calibri" w:hAnsi="Calibri" w:eastAsia="宋体" w:cs="Times New Roman"/>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a:effectLst/>
                    </wps:spPr>
                    <wps:txbx>
                      <w:txbxContent>
                        <w:p>
                          <w:pPr>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2</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p>
                        <w:p>
                          <w:pPr>
                            <w:rPr>
                              <w:rFonts w:ascii="Calibri" w:hAnsi="Calibri" w:eastAsia="宋体" w:cs="Times New Roman"/>
                              <w:szCs w:val="22"/>
                            </w:rPr>
                          </w:pPr>
                        </w:p>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KYX+8nXAAAABwEAAA8AAAAAAAAAAQAgAAAA&#10;IgAAAGRycy9kb3ducmV2LnhtbFBLAQIUABQAAAAIAIdO4kDOlADu0wEAAJsDAAAOAAAAAAAAAAEA&#10;IAAAACYBAABkcnMvZTJvRG9jLnhtbFBLBQYAAAAABgAGAFkBAABrBQAAAAA=&#10;">
              <v:fill on="f" focussize="0,0"/>
              <v:stroke on="f"/>
              <v:imagedata o:title=""/>
              <o:lock v:ext="edit" aspectratio="f"/>
              <v:textbox inset="0mm,0mm,0mm,0mm">
                <w:txbxContent>
                  <w:p>
                    <w:pPr>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2</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p>
                  <w:p>
                    <w:pPr>
                      <w:rPr>
                        <w:rFonts w:ascii="Calibri" w:hAnsi="Calibri" w:eastAsia="宋体" w:cs="Times New Roman"/>
                        <w:szCs w:val="22"/>
                      </w:rPr>
                    </w:pPr>
                  </w:p>
                </w:txbxContent>
              </v:textbox>
            </v:shape>
          </w:pict>
        </mc:Fallback>
      </mc:AlternateContent>
    </w:r>
  </w:p>
  <w:p>
    <w:pPr>
      <w:tabs>
        <w:tab w:val="center" w:pos="4153"/>
        <w:tab w:val="right" w:pos="8306"/>
      </w:tabs>
      <w:jc w:val="left"/>
      <w:rPr>
        <w:rFonts w:ascii="Calibri" w:hAnsi="Calibri" w:eastAsia="宋体"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jc w:val="left"/>
      <w:rPr>
        <w:rFonts w:ascii="Calibri" w:hAnsi="Calibri" w:eastAsia="宋体" w:cs="Times New Roman"/>
        <w:sz w:val="18"/>
        <w:szCs w:val="18"/>
      </w:rPr>
    </w:pPr>
    <w:r>
      <w:rPr>
        <w:rFonts w:ascii="Calibri" w:hAnsi="Calibri" w:eastAsia="宋体" w:cs="Times New Roman"/>
        <w:sz w:val="18"/>
        <w:szCs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pPr>
                            <w:jc w:val="left"/>
                            <w:rPr>
                              <w:rFonts w:ascii="Calibri" w:hAnsi="Calibri" w:eastAsia="宋体" w:cs="Times New Roman"/>
                              <w:sz w:val="18"/>
                              <w:szCs w:val="18"/>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 PAGE  \* MERGEFORMAT </w:instrText>
                          </w:r>
                          <w:r>
                            <w:rPr>
                              <w:rFonts w:ascii="Calibri" w:hAnsi="Calibri" w:eastAsia="宋体" w:cs="Times New Roman"/>
                              <w:sz w:val="18"/>
                              <w:szCs w:val="18"/>
                            </w:rPr>
                            <w:fldChar w:fldCharType="separate"/>
                          </w:r>
                          <w:r>
                            <w:rPr>
                              <w:rFonts w:ascii="Calibri" w:hAnsi="Calibri" w:eastAsia="宋体" w:cs="Times New Roman"/>
                              <w:sz w:val="18"/>
                              <w:szCs w:val="18"/>
                            </w:rPr>
                            <w:t>24</w:t>
                          </w:r>
                          <w:r>
                            <w:rPr>
                              <w:rFonts w:ascii="Calibri" w:hAnsi="Calibri" w:eastAsia="宋体" w:cs="Times New Roman"/>
                              <w:sz w:val="18"/>
                              <w:szCs w:val="18"/>
                            </w:rPr>
                            <w:fldChar w:fldCharType="end"/>
                          </w:r>
                        </w:p>
                        <w:p>
                          <w:pPr>
                            <w:rPr>
                              <w:rFonts w:ascii="Calibri" w:hAnsi="Calibri" w:eastAsia="宋体" w:cs="Times New Roman"/>
                              <w:szCs w:val="22"/>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pPr>
                      <w:jc w:val="left"/>
                      <w:rPr>
                        <w:rFonts w:ascii="Calibri" w:hAnsi="Calibri" w:eastAsia="宋体" w:cs="Times New Roman"/>
                        <w:sz w:val="18"/>
                        <w:szCs w:val="18"/>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 PAGE  \* MERGEFORMAT </w:instrText>
                    </w:r>
                    <w:r>
                      <w:rPr>
                        <w:rFonts w:ascii="Calibri" w:hAnsi="Calibri" w:eastAsia="宋体" w:cs="Times New Roman"/>
                        <w:sz w:val="18"/>
                        <w:szCs w:val="18"/>
                      </w:rPr>
                      <w:fldChar w:fldCharType="separate"/>
                    </w:r>
                    <w:r>
                      <w:rPr>
                        <w:rFonts w:ascii="Calibri" w:hAnsi="Calibri" w:eastAsia="宋体" w:cs="Times New Roman"/>
                        <w:sz w:val="18"/>
                        <w:szCs w:val="18"/>
                      </w:rPr>
                      <w:t>24</w:t>
                    </w:r>
                    <w:r>
                      <w:rPr>
                        <w:rFonts w:ascii="Calibri" w:hAnsi="Calibri" w:eastAsia="宋体" w:cs="Times New Roman"/>
                        <w:sz w:val="18"/>
                        <w:szCs w:val="18"/>
                      </w:rPr>
                      <w:fldChar w:fldCharType="end"/>
                    </w:r>
                  </w:p>
                  <w:p>
                    <w:pPr>
                      <w:rPr>
                        <w:rFonts w:ascii="Calibri" w:hAnsi="Calibri" w:eastAsia="宋体" w:cs="Times New Roman"/>
                        <w:szCs w:val="22"/>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jc w:val="center"/>
      <w:rPr>
        <w:rFonts w:ascii="Calibri" w:hAnsi="Calibri" w:eastAsia="宋体" w:cs="Times New Roman"/>
        <w:sz w:val="18"/>
        <w:szCs w:val="18"/>
      </w:rPr>
    </w:pPr>
    <w:r>
      <w:rPr>
        <w:rFonts w:ascii="Calibri" w:hAnsi="Calibri" w:eastAsia="宋体" w:cs="Times New Roman"/>
        <w:sz w:val="18"/>
        <w:szCs w:val="18"/>
      </w:rP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a:effectLst/>
                    </wps:spPr>
                    <wps:txbx>
                      <w:txbxContent>
                        <w:p>
                          <w:pPr>
                            <w:jc w:val="center"/>
                            <w:rPr>
                              <w:rFonts w:ascii="Times New Roman" w:hAnsi="Times New Roman" w:eastAsia="宋体" w:cs="Times New Roman"/>
                              <w:sz w:val="32"/>
                              <w:szCs w:val="32"/>
                            </w:rPr>
                          </w:pPr>
                          <w:r>
                            <w:rPr>
                              <w:rFonts w:ascii="Times New Roman" w:hAnsi="Times New Roman" w:eastAsia="宋体" w:cs="Times New Roman"/>
                              <w:sz w:val="32"/>
                              <w:szCs w:val="32"/>
                            </w:rPr>
                            <w:t>—</w:t>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20</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t>—</w:t>
                          </w:r>
                        </w:p>
                        <w:p>
                          <w:pPr>
                            <w:rPr>
                              <w:rFonts w:ascii="Calibri" w:hAnsi="Calibri" w:eastAsia="宋体" w:cs="Times New Roman"/>
                              <w:szCs w:val="22"/>
                            </w:rPr>
                          </w:pPr>
                        </w:p>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JOwh8tgAAAAJAQAADwAAAAAAAAABACAA&#10;AAAiAAAAZHJzL2Rvd25yZXYueG1sUEsBAhQAFAAAAAgAh07iQBadSGDUAQAAmwMAAA4AAAAAAAAA&#10;AQAgAAAAJwEAAGRycy9lMm9Eb2MueG1sUEsFBgAAAAAGAAYAWQEAAG0FAAAAAA==&#10;">
              <v:fill on="f" focussize="0,0"/>
              <v:stroke on="f"/>
              <v:imagedata o:title=""/>
              <o:lock v:ext="edit" aspectratio="f"/>
              <v:textbox inset="0mm,0mm,0mm,0mm">
                <w:txbxContent>
                  <w:p>
                    <w:pPr>
                      <w:jc w:val="center"/>
                      <w:rPr>
                        <w:rFonts w:ascii="Times New Roman" w:hAnsi="Times New Roman" w:eastAsia="宋体" w:cs="Times New Roman"/>
                        <w:sz w:val="32"/>
                        <w:szCs w:val="32"/>
                      </w:rPr>
                    </w:pPr>
                    <w:r>
                      <w:rPr>
                        <w:rFonts w:ascii="Times New Roman" w:hAnsi="Times New Roman" w:eastAsia="宋体" w:cs="Times New Roman"/>
                        <w:sz w:val="32"/>
                        <w:szCs w:val="32"/>
                      </w:rPr>
                      <w:t>—</w:t>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20</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t>—</w:t>
                    </w:r>
                  </w:p>
                  <w:p>
                    <w:pPr>
                      <w:rPr>
                        <w:rFonts w:ascii="Calibri" w:hAnsi="Calibri" w:eastAsia="宋体" w:cs="Times New Roman"/>
                        <w:szCs w:val="22"/>
                      </w:rPr>
                    </w:pPr>
                  </w:p>
                </w:txbxContent>
              </v:textbox>
            </v:shape>
          </w:pict>
        </mc:Fallback>
      </mc:AlternateContent>
    </w:r>
  </w:p>
  <w:p>
    <w:pPr>
      <w:tabs>
        <w:tab w:val="center" w:pos="4153"/>
        <w:tab w:val="right" w:pos="8306"/>
      </w:tabs>
      <w:ind w:right="360"/>
      <w:jc w:val="left"/>
      <w:rPr>
        <w:rFonts w:ascii="Calibri" w:hAnsi="Calibri" w:eastAsia="宋体" w:cs="Times New Roman"/>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jc w:val="right"/>
      <w:rPr>
        <w:rFonts w:ascii="Calibri" w:hAnsi="Calibri" w:eastAsia="宋体"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4B5D9F5"/>
    <w:multiLevelType w:val="multilevel"/>
    <w:tmpl w:val="F4B5D9F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4D4DC07F"/>
    <w:multiLevelType w:val="multilevel"/>
    <w:tmpl w:val="4D4DC07F"/>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xNjY2ZjliOGZmMDFhYTg2M2Y3MmJlNDVmMTljMzkifQ=="/>
  </w:docVars>
  <w:rsids>
    <w:rsidRoot w:val="00000000"/>
    <w:rsid w:val="65EE2AEA"/>
    <w:rsid w:val="78C65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9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4">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customStyle="1" w:styleId="2">
    <w:name w:val="正文文本11"/>
    <w:next w:val="3"/>
    <w:qFormat/>
    <w:uiPriority w:val="0"/>
    <w:pPr>
      <w:widowControl w:val="0"/>
      <w:jc w:val="both"/>
    </w:pPr>
    <w:rPr>
      <w:rFonts w:hint="default" w:ascii="仿宋" w:hAnsi="仿宋" w:eastAsia="仿宋" w:cs="仿宋"/>
      <w:sz w:val="32"/>
      <w:szCs w:val="32"/>
      <w:lang w:val="en-US" w:eastAsia="en-US" w:bidi="ar-SA"/>
    </w:rPr>
  </w:style>
  <w:style w:type="paragraph" w:customStyle="1" w:styleId="3">
    <w:name w:val="正文缩进11"/>
    <w:basedOn w:val="1"/>
    <w:next w:val="1"/>
    <w:qFormat/>
    <w:uiPriority w:val="0"/>
    <w:pPr>
      <w:ind w:firstLine="420"/>
    </w:pPr>
    <w:rPr>
      <w:rFonts w:ascii="宋体"/>
      <w:color w:val="000000"/>
      <w:sz w:val="24"/>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189"/>
    <w:qFormat/>
    <w:uiPriority w:val="0"/>
    <w:pPr>
      <w:tabs>
        <w:tab w:val="center" w:pos="4153"/>
        <w:tab w:val="right" w:pos="8306"/>
      </w:tabs>
      <w:jc w:val="left"/>
    </w:pPr>
    <w:rPr>
      <w:sz w:val="18"/>
      <w:szCs w:val="18"/>
    </w:rPr>
  </w:style>
  <w:style w:type="paragraph" w:styleId="20">
    <w:name w:val="header"/>
    <w:basedOn w:val="1"/>
    <w:link w:val="188"/>
    <w:qFormat/>
    <w:uiPriority w:val="0"/>
    <w:pPr>
      <w:pBdr>
        <w:bottom w:val="single" w:color="auto" w:sz="6" w:space="1"/>
      </w:pBdr>
      <w:tabs>
        <w:tab w:val="center" w:pos="4153"/>
        <w:tab w:val="right" w:pos="8306"/>
      </w:tabs>
      <w:jc w:val="center"/>
    </w:pPr>
    <w:rPr>
      <w:sz w:val="18"/>
      <w:szCs w:val="18"/>
    </w:r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spacing w:beforeAutospacing="1" w:afterAutospacing="1"/>
      <w:jc w:val="left"/>
    </w:pPr>
    <w:rPr>
      <w:rFonts w:cs="Times New Roman"/>
      <w:sz w:val="24"/>
    </w:rPr>
  </w:style>
  <w:style w:type="paragraph" w:styleId="30">
    <w:name w:val="Title"/>
    <w:basedOn w:val="1"/>
    <w:next w:val="1"/>
    <w:link w:val="48"/>
    <w:qFormat/>
    <w:uiPriority w:val="10"/>
    <w:pPr>
      <w:spacing w:before="300" w:after="200"/>
      <w:contextualSpacing/>
    </w:pPr>
    <w:rPr>
      <w:sz w:val="48"/>
      <w:szCs w:val="48"/>
    </w:rPr>
  </w:style>
  <w:style w:type="table" w:styleId="32">
    <w:name w:val="Table Grid"/>
    <w:basedOn w:val="31"/>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basedOn w:val="33"/>
    <w:semiHidden/>
    <w:unhideWhenUsed/>
    <w:qFormat/>
    <w:uiPriority w:val="99"/>
    <w:rPr>
      <w:vertAlign w:val="superscript"/>
    </w:rPr>
  </w:style>
  <w:style w:type="character" w:styleId="35">
    <w:name w:val="Hyperlink"/>
    <w:unhideWhenUsed/>
    <w:qFormat/>
    <w:uiPriority w:val="99"/>
    <w:rPr>
      <w:color w:val="0563C1" w:themeColor="hyperlink"/>
      <w:u w:val="single"/>
      <w14:textFill>
        <w14:solidFill>
          <w14:schemeClr w14:val="hlink"/>
        </w14:solidFill>
      </w14:textFill>
    </w:rPr>
  </w:style>
  <w:style w:type="character" w:styleId="36">
    <w:name w:val="footnote reference"/>
    <w:basedOn w:val="33"/>
    <w:unhideWhenUsed/>
    <w:qFormat/>
    <w:uiPriority w:val="99"/>
    <w:rPr>
      <w:vertAlign w:val="superscript"/>
    </w:rPr>
  </w:style>
  <w:style w:type="character" w:customStyle="1" w:styleId="37">
    <w:name w:val="Heading 1 Char"/>
    <w:basedOn w:val="33"/>
    <w:link w:val="4"/>
    <w:qFormat/>
    <w:uiPriority w:val="9"/>
    <w:rPr>
      <w:rFonts w:ascii="Arial" w:hAnsi="Arial" w:eastAsia="Arial" w:cs="Arial"/>
      <w:sz w:val="40"/>
      <w:szCs w:val="40"/>
    </w:rPr>
  </w:style>
  <w:style w:type="character" w:customStyle="1" w:styleId="38">
    <w:name w:val="Heading 2 Char"/>
    <w:basedOn w:val="33"/>
    <w:link w:val="5"/>
    <w:qFormat/>
    <w:uiPriority w:val="9"/>
    <w:rPr>
      <w:rFonts w:ascii="Arial" w:hAnsi="Arial" w:eastAsia="Arial" w:cs="Arial"/>
      <w:sz w:val="34"/>
    </w:rPr>
  </w:style>
  <w:style w:type="character" w:customStyle="1" w:styleId="39">
    <w:name w:val="Heading 3 Char"/>
    <w:basedOn w:val="33"/>
    <w:link w:val="6"/>
    <w:qFormat/>
    <w:uiPriority w:val="9"/>
    <w:rPr>
      <w:rFonts w:ascii="Arial" w:hAnsi="Arial" w:eastAsia="Arial" w:cs="Arial"/>
      <w:sz w:val="30"/>
      <w:szCs w:val="30"/>
    </w:rPr>
  </w:style>
  <w:style w:type="character" w:customStyle="1" w:styleId="40">
    <w:name w:val="Heading 4 Char"/>
    <w:basedOn w:val="33"/>
    <w:link w:val="7"/>
    <w:qFormat/>
    <w:uiPriority w:val="9"/>
    <w:rPr>
      <w:rFonts w:ascii="Arial" w:hAnsi="Arial" w:eastAsia="Arial" w:cs="Arial"/>
      <w:b/>
      <w:bCs/>
      <w:sz w:val="26"/>
      <w:szCs w:val="26"/>
    </w:rPr>
  </w:style>
  <w:style w:type="character" w:customStyle="1" w:styleId="41">
    <w:name w:val="Heading 5 Char"/>
    <w:basedOn w:val="33"/>
    <w:link w:val="8"/>
    <w:qFormat/>
    <w:uiPriority w:val="9"/>
    <w:rPr>
      <w:rFonts w:ascii="Arial" w:hAnsi="Arial" w:eastAsia="Arial" w:cs="Arial"/>
      <w:b/>
      <w:bCs/>
      <w:sz w:val="24"/>
      <w:szCs w:val="24"/>
    </w:rPr>
  </w:style>
  <w:style w:type="character" w:customStyle="1" w:styleId="42">
    <w:name w:val="Heading 6 Char"/>
    <w:basedOn w:val="33"/>
    <w:link w:val="9"/>
    <w:qFormat/>
    <w:uiPriority w:val="9"/>
    <w:rPr>
      <w:rFonts w:ascii="Arial" w:hAnsi="Arial" w:eastAsia="Arial" w:cs="Arial"/>
      <w:b/>
      <w:bCs/>
      <w:sz w:val="22"/>
      <w:szCs w:val="22"/>
    </w:rPr>
  </w:style>
  <w:style w:type="character" w:customStyle="1" w:styleId="43">
    <w:name w:val="Heading 7 Char"/>
    <w:basedOn w:val="33"/>
    <w:link w:val="10"/>
    <w:qFormat/>
    <w:uiPriority w:val="9"/>
    <w:rPr>
      <w:rFonts w:ascii="Arial" w:hAnsi="Arial" w:eastAsia="Arial" w:cs="Arial"/>
      <w:b/>
      <w:bCs/>
      <w:i/>
      <w:iCs/>
      <w:sz w:val="22"/>
      <w:szCs w:val="22"/>
    </w:rPr>
  </w:style>
  <w:style w:type="character" w:customStyle="1" w:styleId="44">
    <w:name w:val="Heading 8 Char"/>
    <w:basedOn w:val="33"/>
    <w:link w:val="11"/>
    <w:qFormat/>
    <w:uiPriority w:val="9"/>
    <w:rPr>
      <w:rFonts w:ascii="Arial" w:hAnsi="Arial" w:eastAsia="Arial" w:cs="Arial"/>
      <w:i/>
      <w:iCs/>
      <w:sz w:val="22"/>
      <w:szCs w:val="22"/>
    </w:rPr>
  </w:style>
  <w:style w:type="character" w:customStyle="1" w:styleId="45">
    <w:name w:val="Heading 9 Char"/>
    <w:basedOn w:val="33"/>
    <w:link w:val="12"/>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basedOn w:val="33"/>
    <w:link w:val="30"/>
    <w:qFormat/>
    <w:uiPriority w:val="10"/>
    <w:rPr>
      <w:sz w:val="48"/>
      <w:szCs w:val="48"/>
    </w:rPr>
  </w:style>
  <w:style w:type="character" w:customStyle="1" w:styleId="49">
    <w:name w:val="Subtitle Char"/>
    <w:basedOn w:val="33"/>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basedOn w:val="33"/>
    <w:qFormat/>
    <w:uiPriority w:val="99"/>
  </w:style>
  <w:style w:type="character" w:customStyle="1" w:styleId="55">
    <w:name w:val="Footer Char"/>
    <w:basedOn w:val="33"/>
    <w:qFormat/>
    <w:uiPriority w:val="99"/>
  </w:style>
  <w:style w:type="character" w:customStyle="1" w:styleId="56">
    <w:name w:val="Caption Char"/>
    <w:qFormat/>
    <w:uiPriority w:val="99"/>
  </w:style>
  <w:style w:type="table" w:customStyle="1" w:styleId="57">
    <w:name w:val="Table Grid Light"/>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3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3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3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basedOn w:val="3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5">
    <w:name w:val="Grid Table 1 Light - Accent 2"/>
    <w:basedOn w:val="3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6">
    <w:name w:val="Grid Table 1 Light - Accent 3"/>
    <w:basedOn w:val="3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7">
    <w:name w:val="Grid Table 1 Light - Accent 4"/>
    <w:basedOn w:val="3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8">
    <w:name w:val="Grid Table 1 Light - Accent 5"/>
    <w:basedOn w:val="3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69">
    <w:name w:val="Grid Table 1 Light - Accent 6"/>
    <w:basedOn w:val="3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0">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basedOn w:val="3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2">
    <w:name w:val="Grid Table 2 - Accent 2"/>
    <w:basedOn w:val="3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3">
    <w:name w:val="Grid Table 2 - Accent 3"/>
    <w:basedOn w:val="3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4">
    <w:name w:val="Grid Table 2 - Accent 4"/>
    <w:basedOn w:val="3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5">
    <w:name w:val="Grid Table 2 - Accent 5"/>
    <w:basedOn w:val="3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6">
    <w:name w:val="Grid Table 2 - Accent 6"/>
    <w:basedOn w:val="3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7">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basedOn w:val="3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9">
    <w:name w:val="Grid Table 3 - Accent 2"/>
    <w:basedOn w:val="3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3 - Accent 3"/>
    <w:basedOn w:val="3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3 - Accent 4"/>
    <w:basedOn w:val="3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3 - Accent 5"/>
    <w:basedOn w:val="3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3">
    <w:name w:val="Grid Table 3 - Accent 6"/>
    <w:basedOn w:val="3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basedOn w:val="31"/>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6">
    <w:name w:val="Grid Table 4 - Accent 2"/>
    <w:basedOn w:val="31"/>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4 - Accent 3"/>
    <w:basedOn w:val="31"/>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4 - Accent 4"/>
    <w:basedOn w:val="31"/>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4 - Accent 5"/>
    <w:basedOn w:val="31"/>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4 - Accent 6"/>
    <w:basedOn w:val="31"/>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3">
    <w:name w:val="Grid Table 5 Dark - Accent 2"/>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4">
    <w:name w:val="Grid Table 5 Dark - Accent 3"/>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5">
    <w:name w:val="Grid Table 5 Dark- Accent 4"/>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6">
    <w:name w:val="Grid Table 5 Dark - Accent 5"/>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7">
    <w:name w:val="Grid Table 5 Dark - Accent 6"/>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8">
    <w:name w:val="Grid Table 6 Colorful"/>
    <w:basedOn w:val="3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basedOn w:val="31"/>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basedOn w:val="3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basedOn w:val="31"/>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basedOn w:val="3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basedOn w:val="31"/>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4">
    <w:name w:val="Grid Table 6 Colorful - Accent 6"/>
    <w:basedOn w:val="31"/>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5">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basedOn w:val="31"/>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basedOn w:val="31"/>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basedOn w:val="31"/>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basedOn w:val="31"/>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basedOn w:val="31"/>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1">
    <w:name w:val="Grid Table 7 Colorful - Accent 6"/>
    <w:basedOn w:val="31"/>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2">
    <w:name w:val="List Table 1 Light"/>
    <w:basedOn w:val="3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basedOn w:val="31"/>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4">
    <w:name w:val="List Table 1 Light - Accent 2"/>
    <w:basedOn w:val="31"/>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5">
    <w:name w:val="List Table 1 Light - Accent 3"/>
    <w:basedOn w:val="31"/>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6">
    <w:name w:val="List Table 1 Light - Accent 4"/>
    <w:basedOn w:val="31"/>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7">
    <w:name w:val="List Table 1 Light - Accent 5"/>
    <w:basedOn w:val="31"/>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8">
    <w:name w:val="List Table 1 Light - Accent 6"/>
    <w:basedOn w:val="31"/>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19">
    <w:name w:val="List Table 2"/>
    <w:basedOn w:val="3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basedOn w:val="31"/>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1">
    <w:name w:val="List Table 2 - Accent 2"/>
    <w:basedOn w:val="31"/>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2">
    <w:name w:val="List Table 2 - Accent 3"/>
    <w:basedOn w:val="31"/>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3">
    <w:name w:val="List Table 2 - Accent 4"/>
    <w:basedOn w:val="31"/>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4">
    <w:name w:val="List Table 2 - Accent 5"/>
    <w:basedOn w:val="31"/>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5">
    <w:name w:val="List Table 2 - Accent 6"/>
    <w:basedOn w:val="31"/>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6">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basedOn w:val="31"/>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8">
    <w:name w:val="List Table 3 - Accent 2"/>
    <w:basedOn w:val="3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29">
    <w:name w:val="List Table 3 - Accent 3"/>
    <w:basedOn w:val="31"/>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0">
    <w:name w:val="List Table 3 - Accent 4"/>
    <w:basedOn w:val="3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1">
    <w:name w:val="List Table 3 - Accent 5"/>
    <w:basedOn w:val="31"/>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2">
    <w:name w:val="List Table 3 - Accent 6"/>
    <w:basedOn w:val="31"/>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3">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basedOn w:val="31"/>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5">
    <w:name w:val="List Table 4 - Accent 2"/>
    <w:basedOn w:val="31"/>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4 - Accent 3"/>
    <w:basedOn w:val="31"/>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4 - Accent 4"/>
    <w:basedOn w:val="31"/>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4 - Accent 5"/>
    <w:basedOn w:val="31"/>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9">
    <w:name w:val="List Table 4 - Accent 6"/>
    <w:basedOn w:val="31"/>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List Table 5 Dark"/>
    <w:basedOn w:val="3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basedOn w:val="31"/>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2">
    <w:name w:val="List Table 5 Dark - Accent 2"/>
    <w:basedOn w:val="31"/>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3">
    <w:name w:val="List Table 5 Dark - Accent 3"/>
    <w:basedOn w:val="31"/>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4">
    <w:name w:val="List Table 5 Dark - Accent 4"/>
    <w:basedOn w:val="31"/>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5">
    <w:name w:val="List Table 5 Dark - Accent 5"/>
    <w:basedOn w:val="31"/>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6">
    <w:name w:val="List Table 5 Dark - Accent 6"/>
    <w:basedOn w:val="31"/>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7">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basedOn w:val="31"/>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49">
    <w:name w:val="List Table 6 Colorful - Accent 2"/>
    <w:basedOn w:val="31"/>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basedOn w:val="31"/>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basedOn w:val="31"/>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basedOn w:val="31"/>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basedOn w:val="31"/>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4">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basedOn w:val="31"/>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6">
    <w:name w:val="List Table 7 Colorful - Accent 2"/>
    <w:basedOn w:val="31"/>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basedOn w:val="31"/>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basedOn w:val="31"/>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basedOn w:val="31"/>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basedOn w:val="31"/>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ned - Accent"/>
    <w:basedOn w:val="3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basedOn w:val="31"/>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3">
    <w:name w:val="Lined - Accent 2"/>
    <w:basedOn w:val="31"/>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4">
    <w:name w:val="Lined - Accent 3"/>
    <w:basedOn w:val="31"/>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5">
    <w:name w:val="Lined - Accent 4"/>
    <w:basedOn w:val="31"/>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6">
    <w:name w:val="Lined - Accent 5"/>
    <w:basedOn w:val="31"/>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7">
    <w:name w:val="Lined - Accent 6"/>
    <w:basedOn w:val="31"/>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8">
    <w:name w:val="Bordered &amp; Lined - Accent"/>
    <w:basedOn w:val="3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basedOn w:val="31"/>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0">
    <w:name w:val="Bordered &amp; Lined - Accent 2"/>
    <w:basedOn w:val="31"/>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Bordered &amp; Lined - Accent 3"/>
    <w:basedOn w:val="31"/>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Bordered &amp; Lined - Accent 4"/>
    <w:basedOn w:val="31"/>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Bordered &amp; Lined - Accent 5"/>
    <w:basedOn w:val="31"/>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4">
    <w:name w:val="Bordered &amp; Lined - Accent 6"/>
    <w:basedOn w:val="31"/>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w:basedOn w:val="3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basedOn w:val="3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7">
    <w:name w:val="Bordered - Accent 2"/>
    <w:basedOn w:val="3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8">
    <w:name w:val="Bordered - Accent 3"/>
    <w:basedOn w:val="3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9">
    <w:name w:val="Bordered - Accent 4"/>
    <w:basedOn w:val="3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0">
    <w:name w:val="Bordered - Accent 5"/>
    <w:basedOn w:val="3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1">
    <w:name w:val="Bordered - Accent 6"/>
    <w:basedOn w:val="3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2">
    <w:name w:val="Footnote Text Char"/>
    <w:link w:val="24"/>
    <w:uiPriority w:val="99"/>
    <w:rPr>
      <w:sz w:val="18"/>
    </w:rPr>
  </w:style>
  <w:style w:type="character" w:customStyle="1" w:styleId="183">
    <w:name w:val="Endnote Text Char"/>
    <w:link w:val="18"/>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首行缩进"/>
    <w:qFormat/>
    <w:uiPriority w:val="0"/>
    <w:pPr>
      <w:widowControl w:val="0"/>
      <w:ind w:firstLine="480"/>
      <w:jc w:val="both"/>
    </w:pPr>
    <w:rPr>
      <w:rFonts w:hint="default" w:ascii="Times New Roman" w:hAnsi="Times New Roman" w:eastAsia="宋体" w:cs="Times New Roman"/>
      <w:sz w:val="21"/>
      <w:szCs w:val="21"/>
      <w:lang w:val="zh-CN" w:eastAsia="zh-CN" w:bidi="ar-SA"/>
    </w:rPr>
  </w:style>
  <w:style w:type="table" w:customStyle="1" w:styleId="186">
    <w:name w:val="网格型1"/>
    <w:qFormat/>
    <w:uiPriority w:val="0"/>
    <w:pPr>
      <w:widowControl w:val="0"/>
      <w:jc w:val="both"/>
    </w:pPr>
    <w:tblPr>
      <w:tblCellMar>
        <w:top w:w="0" w:type="dxa"/>
        <w:left w:w="0" w:type="dxa"/>
        <w:bottom w:w="0" w:type="dxa"/>
        <w:right w:w="0" w:type="dxa"/>
      </w:tblCellMar>
    </w:tblPr>
  </w:style>
  <w:style w:type="paragraph" w:customStyle="1" w:styleId="187">
    <w:name w:val="p17_0_0"/>
    <w:qFormat/>
    <w:uiPriority w:val="0"/>
    <w:pPr>
      <w:spacing w:before="100" w:beforeAutospacing="1" w:after="100" w:afterAutospacing="1"/>
    </w:pPr>
    <w:rPr>
      <w:rFonts w:hint="default" w:ascii="宋体" w:hAnsi="宋体" w:eastAsia="Times New Roman" w:cs="宋体"/>
      <w:sz w:val="24"/>
      <w:szCs w:val="24"/>
      <w:lang w:val="en-US" w:eastAsia="zh-CN" w:bidi="ar-SA"/>
    </w:rPr>
  </w:style>
  <w:style w:type="character" w:customStyle="1" w:styleId="188">
    <w:name w:val="页眉 Char"/>
    <w:basedOn w:val="33"/>
    <w:link w:val="20"/>
    <w:qFormat/>
    <w:uiPriority w:val="0"/>
    <w:rPr>
      <w:rFonts w:asciiTheme="minorHAnsi" w:hAnsiTheme="minorHAnsi" w:eastAsiaTheme="minorEastAsia" w:cstheme="minorBidi"/>
      <w:sz w:val="18"/>
      <w:szCs w:val="18"/>
    </w:rPr>
  </w:style>
  <w:style w:type="character" w:customStyle="1" w:styleId="189">
    <w:name w:val="页脚 Char"/>
    <w:basedOn w:val="33"/>
    <w:link w:val="19"/>
    <w:qFormat/>
    <w:uiPriority w:val="0"/>
    <w:rPr>
      <w:rFonts w:asciiTheme="minorHAnsi" w:hAnsiTheme="minorHAnsi" w:eastAsiaTheme="minorEastAsia" w:cstheme="minorBidi"/>
      <w:sz w:val="18"/>
      <w:szCs w:val="18"/>
    </w:rPr>
  </w:style>
  <w:style w:type="paragraph" w:customStyle="1" w:styleId="190">
    <w:name w:val="正文_2"/>
    <w:next w:val="19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1">
    <w:name w:val="正文文本缩进 2_0"/>
    <w:basedOn w:val="190"/>
    <w:qFormat/>
    <w:uiPriority w:val="0"/>
    <w:pPr>
      <w:spacing w:line="540" w:lineRule="exact"/>
      <w:ind w:firstLine="720"/>
      <w:jc w:val="left"/>
    </w:pPr>
    <w:rPr>
      <w:rFonts w:ascii="仿宋_GB2312" w:hAnsi="仿宋_GB2312" w:cs="宋体"/>
      <w:sz w:val="32"/>
      <w:szCs w:val="32"/>
    </w:rPr>
  </w:style>
  <w:style w:type="character" w:customStyle="1" w:styleId="192">
    <w:name w:val="默认段落字体1"/>
    <w:link w:val="1"/>
    <w:unhideWhenUsed/>
    <w:qFormat/>
    <w:uiPriority w:val="1"/>
    <w:rPr>
      <w:rFonts w:asciiTheme="minorHAnsi" w:hAnsiTheme="minorHAnsi" w:eastAsiaTheme="minorEastAsia" w:cstheme="minorBidi"/>
      <w:sz w:val="21"/>
      <w:szCs w:val="24"/>
      <w:lang w:val="en-US" w:eastAsia="zh-CN" w:bidi="ar-SA"/>
    </w:rPr>
  </w:style>
  <w:style w:type="paragraph" w:customStyle="1" w:styleId="193">
    <w:name w:val="正文_3_0"/>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46</Pages>
  <Words>20104</Words>
  <Characters>21120</Characters>
  <TotalTime>0</TotalTime>
  <ScaleCrop>false</ScaleCrop>
  <LinksUpToDate>false</LinksUpToDate>
  <CharactersWithSpaces>23159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2026-05-06T02:15:00Z</dcterms:created>
  <dc:creator>Administrator</dc:creator>
  <cp:lastModifiedBy>WPS_1510714502</cp:lastModifiedBy>
  <dcterms:modified xsi:type="dcterms:W3CDTF">2026-06-03T02:47:11Z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67730567338D49C7931F5985B10A477F_13</vt:lpwstr>
  </property>
  <property fmtid="{D5CDD505-2E9C-101B-9397-08002B2CF9AE}" pid="4" name="KSOTemplateDocerSaveRecord">
    <vt:lpwstr>eyJoZGlkIjoiYjljY2YxOGJjNDY2NjE2OTZkOTBkN2NiM2YwYzMwOTQiLCJ1c2VySWQiOiIxMTY4ODgxODcxIn0=</vt:lpwstr>
  </property>
</Properties>
</file>