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auto"/>
          <w:sz w:val="36"/>
          <w:szCs w:val="36"/>
          <w:highlight w:val="none"/>
        </w:rPr>
      </w:pPr>
      <w:r>
        <w:rPr>
          <w:b/>
          <w:color w:val="auto"/>
          <w:sz w:val="36"/>
          <w:szCs w:val="36"/>
          <w:highlight w:val="none"/>
        </w:rPr>
      </w:r>
      <w:r/>
    </w:p>
    <w:p>
      <w:pPr>
        <w:pStyle w:val="912"/>
        <w:ind w:firstLine="0"/>
        <w:jc w:val="center"/>
        <w:spacing w:line="240" w:lineRule="auto"/>
        <w:rPr>
          <w:rFonts w:ascii="方正小标宋简体" w:eastAsia="方正小标宋简体"/>
          <w:b/>
          <w:color w:val="auto"/>
          <w:sz w:val="52"/>
          <w:szCs w:val="52"/>
          <w:highlight w:val="none"/>
        </w:rPr>
      </w:pPr>
      <w:r>
        <w:rPr>
          <w:rFonts w:hint="eastAsia" w:ascii="方正小标宋简体" w:eastAsia="方正小标宋简体"/>
          <w:b/>
          <w:color w:val="auto"/>
          <w:sz w:val="52"/>
          <w:szCs w:val="52"/>
          <w:highlight w:val="none"/>
        </w:rPr>
        <w:t xml:space="preserve">如皋市政府采购公开招标文件</w:t>
      </w:r>
      <w:r/>
    </w:p>
    <w:p>
      <w:pPr>
        <w:pStyle w:val="912"/>
        <w:ind w:firstLine="0"/>
        <w:jc w:val="center"/>
        <w:spacing w:line="240" w:lineRule="auto"/>
        <w:rPr>
          <w:rFonts w:ascii="方正小标宋简体" w:eastAsia="方正小标宋简体"/>
          <w:b/>
          <w:color w:val="auto"/>
          <w:sz w:val="44"/>
          <w:szCs w:val="44"/>
          <w:highlight w:val="none"/>
        </w:rPr>
      </w:pPr>
      <w:r>
        <w:rPr>
          <w:rFonts w:ascii="方正小标宋简体" w:eastAsia="方正小标宋简体"/>
          <w:b/>
          <w:color w:val="auto"/>
          <w:sz w:val="44"/>
          <w:szCs w:val="44"/>
          <w:highlight w:val="none"/>
        </w:rPr>
      </w:r>
      <w:r/>
    </w:p>
    <w:p>
      <w:pPr>
        <w:pStyle w:val="912"/>
        <w:ind w:firstLine="0"/>
        <w:jc w:val="center"/>
        <w:spacing w:line="240" w:lineRule="auto"/>
        <w:rPr>
          <w:rFonts w:ascii="方正小标宋简体" w:eastAsia="方正小标宋简体"/>
          <w:b/>
          <w:color w:val="auto"/>
          <w:sz w:val="44"/>
          <w:szCs w:val="44"/>
          <w:highlight w:val="none"/>
        </w:rPr>
      </w:pPr>
      <w:r>
        <w:rPr>
          <w:rFonts w:ascii="方正小标宋简体" w:eastAsia="方正小标宋简体"/>
          <w:b/>
          <w:color w:val="auto"/>
          <w:sz w:val="44"/>
          <w:szCs w:val="44"/>
          <w:highlight w:val="none"/>
        </w:rPr>
      </w:r>
      <w:r/>
    </w:p>
    <w:p>
      <w:pPr>
        <w:pStyle w:val="912"/>
        <w:ind w:left="0" w:firstLine="0"/>
        <w:jc w:val="center"/>
        <w:spacing w:line="240" w:lineRule="auto"/>
        <w:rPr>
          <w:b/>
          <w:bCs w:val="0"/>
          <w:color w:val="auto"/>
          <w:sz w:val="32"/>
          <w:highlight w:val="none"/>
          <w:u w:val="none"/>
        </w:rPr>
      </w:pPr>
      <w:r>
        <w:rPr>
          <w:b/>
          <w:bCs w:val="0"/>
          <w:color w:val="auto"/>
          <w:sz w:val="32"/>
          <w:highlight w:val="none"/>
          <w:u w:val="none"/>
        </w:rPr>
        <w:t xml:space="preserve">项目名称：</w:t>
      </w:r>
      <w:r>
        <w:rPr>
          <w:rFonts w:hint="eastAsia"/>
          <w:b/>
          <w:bCs w:val="0"/>
          <w:color w:val="auto"/>
          <w:sz w:val="32"/>
          <w:highlight w:val="none"/>
          <w:u w:val="none"/>
        </w:rPr>
        <w:t xml:space="preserve">如皋市水源地水质自动监测监控预警能力提升建设项目</w:t>
      </w:r>
      <w:r/>
    </w:p>
    <w:p>
      <w:pPr>
        <w:pStyle w:val="912"/>
        <w:ind w:left="0" w:firstLine="0"/>
        <w:jc w:val="center"/>
        <w:spacing w:line="240" w:lineRule="auto"/>
        <w:rPr>
          <w:b/>
          <w:bCs w:val="0"/>
          <w:color w:val="auto"/>
          <w:sz w:val="32"/>
          <w:highlight w:val="none"/>
          <w:u w:val="none"/>
        </w:rPr>
      </w:pPr>
      <w:r>
        <w:rPr>
          <w:rFonts w:hint="eastAsia"/>
          <w:b/>
          <w:bCs w:val="0"/>
          <w:color w:val="auto"/>
          <w:sz w:val="32"/>
          <w:highlight w:val="none"/>
          <w:u w:val="none"/>
        </w:rPr>
        <w:t xml:space="preserve">项目编号：JSZC-320682-NTZJ-G2026-0011</w:t>
      </w:r>
      <w:r/>
    </w:p>
    <w:p>
      <w:pPr>
        <w:pStyle w:val="912"/>
        <w:ind w:firstLine="0"/>
        <w:jc w:val="center"/>
        <w:spacing w:line="240" w:lineRule="auto"/>
        <w:rPr>
          <w:b/>
          <w:color w:val="auto"/>
          <w:sz w:val="32"/>
          <w:highlight w:val="none"/>
        </w:rPr>
      </w:pPr>
      <w:r>
        <w:rPr>
          <w:b/>
          <w:color w:val="auto"/>
          <w:sz w:val="32"/>
          <w:highlight w:val="none"/>
        </w:rPr>
      </w:r>
      <w:r/>
    </w:p>
    <w:p>
      <w:pPr>
        <w:pStyle w:val="912"/>
        <w:ind w:firstLine="0"/>
        <w:jc w:val="center"/>
        <w:spacing w:line="240" w:lineRule="auto"/>
        <w:rPr>
          <w:b/>
          <w:color w:val="auto"/>
          <w:sz w:val="32"/>
          <w:highlight w:val="none"/>
        </w:rPr>
      </w:pPr>
      <w:r>
        <w:rPr>
          <w:b/>
          <w:color w:val="auto"/>
          <w:sz w:val="32"/>
          <w:highlight w:val="none"/>
        </w:rPr>
      </w:r>
      <w:r/>
    </w:p>
    <w:p>
      <w:pPr>
        <w:pStyle w:val="912"/>
        <w:ind w:firstLine="0"/>
        <w:jc w:val="center"/>
        <w:spacing w:line="240" w:lineRule="auto"/>
        <w:rPr>
          <w:b/>
          <w:color w:val="auto"/>
          <w:sz w:val="32"/>
          <w:highlight w:val="none"/>
        </w:rPr>
      </w:pPr>
      <w:r>
        <w:rPr>
          <w:b/>
          <w:color w:val="auto"/>
          <w:sz w:val="32"/>
          <w:highlight w:val="none"/>
        </w:rPr>
      </w:r>
      <w:r/>
    </w:p>
    <w:p>
      <w:pPr>
        <w:pStyle w:val="912"/>
        <w:ind w:firstLine="0"/>
        <w:jc w:val="center"/>
        <w:spacing w:line="240" w:lineRule="auto"/>
        <w:rPr>
          <w:b/>
          <w:color w:val="auto"/>
          <w:sz w:val="32"/>
          <w:highlight w:val="none"/>
        </w:rPr>
      </w:pPr>
      <w:r>
        <w:rPr>
          <w:b/>
          <w:color w:val="auto"/>
          <w:sz w:val="32"/>
          <w:highlight w:val="none"/>
        </w:rPr>
      </w:r>
      <w:r/>
    </w:p>
    <w:p>
      <w:pPr>
        <w:pStyle w:val="912"/>
        <w:ind w:firstLine="0"/>
        <w:jc w:val="center"/>
        <w:spacing w:line="240" w:lineRule="auto"/>
        <w:rPr>
          <w:b/>
          <w:color w:val="auto"/>
          <w:sz w:val="32"/>
          <w:highlight w:val="none"/>
        </w:rPr>
      </w:pPr>
      <w:r>
        <w:rPr>
          <w:b/>
          <w:color w:val="auto"/>
          <w:sz w:val="32"/>
          <w:highlight w:val="none"/>
        </w:rPr>
      </w:r>
      <w:r/>
    </w:p>
    <w:p>
      <w:pPr>
        <w:pStyle w:val="912"/>
        <w:ind w:firstLine="0"/>
        <w:jc w:val="center"/>
        <w:spacing w:line="240" w:lineRule="auto"/>
        <w:rPr>
          <w:b/>
          <w:color w:val="auto"/>
          <w:sz w:val="32"/>
          <w:highlight w:val="none"/>
        </w:rPr>
      </w:pPr>
      <w:r>
        <w:rPr>
          <w:b/>
          <w:color w:val="auto"/>
          <w:sz w:val="32"/>
          <w:highlight w:val="none"/>
        </w:rPr>
      </w:r>
      <w:r/>
    </w:p>
    <w:p>
      <w:pPr>
        <w:pStyle w:val="912"/>
        <w:ind w:firstLine="0"/>
        <w:jc w:val="center"/>
        <w:spacing w:line="240" w:lineRule="auto"/>
        <w:rPr>
          <w:b/>
          <w:color w:val="auto"/>
          <w:sz w:val="32"/>
          <w:highlight w:val="none"/>
        </w:rPr>
      </w:pPr>
      <w:r>
        <w:rPr>
          <w:b/>
          <w:color w:val="auto"/>
          <w:sz w:val="32"/>
          <w:highlight w:val="none"/>
        </w:rPr>
      </w:r>
      <w:r/>
    </w:p>
    <w:p>
      <w:pPr>
        <w:pStyle w:val="912"/>
        <w:ind w:firstLine="993"/>
        <w:spacing w:line="240" w:lineRule="auto"/>
        <w:rPr>
          <w:b/>
          <w:color w:val="auto"/>
          <w:sz w:val="32"/>
          <w:highlight w:val="none"/>
          <w:u w:val="single"/>
        </w:rPr>
      </w:pPr>
      <w:r>
        <w:rPr>
          <w:rFonts w:hint="eastAsia"/>
          <w:b/>
          <w:color w:val="auto"/>
          <w:sz w:val="32"/>
          <w:highlight w:val="none"/>
        </w:rPr>
        <w:t xml:space="preserve">采购人名称：南通市如皋生态环境局</w:t>
      </w:r>
      <w:r/>
    </w:p>
    <w:p>
      <w:pPr>
        <w:pStyle w:val="912"/>
        <w:ind w:firstLine="993"/>
        <w:spacing w:line="240" w:lineRule="auto"/>
        <w:rPr>
          <w:b/>
          <w:color w:val="auto"/>
          <w:sz w:val="32"/>
          <w:highlight w:val="none"/>
        </w:rPr>
      </w:pPr>
      <w:r>
        <w:rPr>
          <w:rFonts w:hint="eastAsia"/>
          <w:b/>
          <w:color w:val="auto"/>
          <w:sz w:val="32"/>
          <w:highlight w:val="none"/>
        </w:rPr>
        <w:t xml:space="preserve">采购代理机构名称：南通中江工程项目管理有限公司</w:t>
      </w:r>
      <w:r/>
    </w:p>
    <w:p>
      <w:pPr>
        <w:pStyle w:val="912"/>
        <w:ind w:firstLine="0"/>
        <w:jc w:val="center"/>
        <w:spacing w:line="240" w:lineRule="auto"/>
        <w:rPr>
          <w:b/>
          <w:color w:val="auto"/>
          <w:sz w:val="32"/>
          <w:highlight w:val="none"/>
        </w:rPr>
      </w:pPr>
      <w:r>
        <w:rPr>
          <w:rFonts w:hint="eastAsia"/>
          <w:b/>
          <w:color w:val="auto"/>
          <w:sz w:val="32"/>
          <w:highlight w:val="none"/>
        </w:rPr>
        <w:t xml:space="preserve">2026年6月</w:t>
      </w:r>
      <w:r>
        <w:rPr>
          <w:rFonts w:hint="eastAsia"/>
          <w:b/>
          <w:color w:val="auto"/>
          <w:sz w:val="32"/>
          <w:highlight w:val="none"/>
          <w:lang w:val="en-US" w:eastAsia="zh-CN"/>
        </w:rPr>
        <w:t xml:space="preserve">29</w:t>
      </w:r>
      <w:r>
        <w:rPr>
          <w:rFonts w:hint="eastAsia"/>
          <w:b/>
          <w:color w:val="auto"/>
          <w:sz w:val="32"/>
          <w:highlight w:val="none"/>
        </w:rPr>
        <w:t xml:space="preserve">日</w:t>
      </w:r>
      <w:r/>
    </w:p>
    <w:p>
      <w:pPr>
        <w:rPr>
          <w:b/>
          <w:color w:val="auto"/>
          <w:sz w:val="32"/>
          <w:highlight w:val="none"/>
        </w:rPr>
      </w:pPr>
      <w:r>
        <w:rPr>
          <w:b/>
          <w:color w:val="auto"/>
          <w:sz w:val="32"/>
          <w:highlight w:val="none"/>
        </w:rPr>
        <w:br w:type="page" w:clear="all"/>
      </w:r>
      <w:r/>
    </w:p>
    <w:sdt>
      <w:sdtPr>
        <w15:appearance w15:val="boundingBox"/>
        <w:id w:val="147458904"/>
        <w:docPartObj>
          <w:docPartGallery w:val="Table of Contents"/>
          <w:docPartUnique w:val="true"/>
        </w:docPartObj>
        <w:rPr>
          <w:rFonts w:ascii="宋体" w:hAnsi="宋体"/>
          <w:b/>
          <w:color w:val="auto"/>
          <w:highlight w:val="none"/>
        </w:rPr>
      </w:sdtPr>
      <w:sdtContent>
        <w:p>
          <w:pPr>
            <w:jc w:val="center"/>
            <w:spacing w:line="360" w:lineRule="auto"/>
            <w:rPr>
              <w:rFonts w:ascii="黑体" w:hAnsi="黑体" w:eastAsia="黑体" w:cs="黑体"/>
              <w:b/>
              <w:color w:val="auto"/>
              <w:sz w:val="24"/>
              <w:highlight w:val="none"/>
            </w:rPr>
          </w:pPr>
          <w:r>
            <w:rPr>
              <w:rFonts w:hint="eastAsia" w:ascii="黑体" w:hAnsi="黑体" w:eastAsia="黑体" w:cs="黑体"/>
              <w:b/>
              <w:color w:val="auto"/>
              <w:sz w:val="24"/>
              <w:highlight w:val="none"/>
            </w:rPr>
            <w:t xml:space="preserve">目录</w:t>
          </w:r>
          <w:r/>
        </w:p>
        <w:p>
          <w:pPr>
            <w:pStyle w:val="88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
              <w:color w:val="auto"/>
              <w:sz w:val="24"/>
              <w:szCs w:val="24"/>
              <w:highlight w:val="none"/>
            </w:rPr>
            <w:fldChar w:fldCharType="begin"/>
          </w:r>
          <w:r>
            <w:rPr>
              <w:rFonts w:hint="eastAsia" w:ascii="黑体" w:hAnsi="黑体" w:eastAsia="黑体" w:cs="黑体"/>
              <w:b/>
              <w:color w:val="auto"/>
              <w:sz w:val="24"/>
              <w:szCs w:val="24"/>
              <w:highlight w:val="none"/>
            </w:rPr>
            <w:instrText xml:space="preserve">TOC \o "1-2" \h \u </w:instrText>
          </w:r>
          <w:r>
            <w:rPr>
              <w:rFonts w:hint="eastAsia" w:ascii="黑体" w:hAnsi="黑体" w:eastAsia="黑体" w:cs="黑体"/>
              <w:b/>
              <w:color w:val="auto"/>
              <w:sz w:val="24"/>
              <w:szCs w:val="24"/>
              <w:highlight w:val="none"/>
            </w:rPr>
            <w:fldChar w:fldCharType="separate"/>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_Toc1552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第1章 公开招标公告</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_Toc1552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_Toc2066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一、项目基本情况</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_Toc2066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_Toc251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二、投标人的资格要求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_Toc251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_Toc8163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三、获取公开招标文件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_Toc8163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_Toc21234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四、提交投标文件截止时间、开标时间和地点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_Toc21234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_Toc17506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五、公告期限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_Toc17506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_Toc25190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六、其他补充事宜</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_Toc25190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_Toc15056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七、凡对本次采购提出询问，请按以下方式联系。</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_Toc15056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4</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8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_Toc15844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第2章 投标须知</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_Toc15844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_Toc25766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1. 投标费用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_Toc25766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_Toc8595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2. 招标文件的约束力</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_Toc8595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_Toc21408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3.投标文件编制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_Toc21408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_Toc19886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4. 投标文件提交、撤回和修改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_Toc19886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_Toc3791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5. 开标和评标</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_Toc3791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_Toc23998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6. 中标和合同</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_Toc23998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10</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_Toc6510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7.政府采购政策功能落实</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_Toc6510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11</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_Toc3735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8.无效投标和招标活动终止</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_Toc3735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19</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_Toc4447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9. 询问、质疑和投诉</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_Toc4447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20</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_Toc4465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10. 政府采购合同信用融资扶持政策</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_Toc4465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24</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_Toc10861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11. 采购代理服务费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_Toc10861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_Toc15504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12.其他事项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_Toc15504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8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_Toc13517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第3章 采购需求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_Toc13517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27</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_Toc11861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一、项目简介</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_Toc11861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27</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_Toc4210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二、采购内容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_Toc4210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27</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_Toc23984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三、技术要求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_Toc23984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28</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_Toc15403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四、质量保证（采购包1、采购包2）</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_Toc15403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51</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_Toc11081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五、交货期限和地点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_Toc11081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52</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_Toc26290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六、验收方案</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_Toc26290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52</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_Toc24800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七、质量保证期限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_Toc24800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52</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_Toc22790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八、售后服务</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_Toc22790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52</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_Toc14513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九、付款方式（采购包1、采购包2）</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_Toc14513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54</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_Toc3276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十、其他要求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_Toc3276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54</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8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_Toc5336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第4章 合同文本</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_Toc5336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56</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8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_Toc5774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第5章 评标标准和方法</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_Toc5774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59</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_Toc3856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采购包1评分表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_Toc3856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59</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_Toc2826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采购包2评分表：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_Toc2826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62</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8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_Toc2890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第6章 投标文件组成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_Toc2890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_Toc32758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一、开标一览表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_Toc32758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67</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_Toc3034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二、资格证明文件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_Toc3034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68</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_Toc3043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三、商务技术文件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_Toc3043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76</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92"/>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_Toc15452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四、报价文件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_Toc15452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111</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889"/>
            <w:keepLines w:val="0"/>
            <w:keepNext w:val="0"/>
            <w:pageBreakBefore w:val="0"/>
            <w:spacing w:line="500" w:lineRule="exact"/>
            <w:widowControl w:val="off"/>
            <w:tabs>
              <w:tab w:val="right" w:pos="9354" w:leader="dot"/>
            </w:tabs>
            <w:rPr>
              <w:color w:val="auto"/>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_Toc1566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lang w:val="en-US" w:eastAsia="zh-CN"/>
            </w:rPr>
            <w:t xml:space="preserve">第7章 附 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_Toc1566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122</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keepLines w:val="0"/>
            <w:keepNext w:val="0"/>
            <w:pageBreakBefore w:val="0"/>
            <w:spacing w:line="500" w:lineRule="exact"/>
            <w:widowControl w:val="off"/>
            <w:rPr>
              <w:rFonts w:hint="eastAsia" w:ascii="黑体" w:hAnsi="黑体" w:eastAsia="黑体" w:cs="黑体"/>
              <w:b/>
              <w:color w:val="auto"/>
              <w:sz w:val="24"/>
              <w:szCs w:val="24"/>
              <w:highlight w:val="none"/>
            </w:rPr>
          </w:pPr>
          <w:r>
            <w:rPr>
              <w:rFonts w:hint="eastAsia" w:ascii="黑体" w:hAnsi="黑体" w:eastAsia="黑体" w:cs="黑体"/>
              <w:color w:val="auto"/>
              <w:szCs w:val="24"/>
              <w:highlight w:val="none"/>
            </w:rPr>
            <w:fldChar w:fldCharType="end"/>
          </w:r>
          <w:r/>
        </w:p>
      </w:sdtContent>
    </w:sdt>
    <w:p>
      <w:pPr>
        <w:spacing w:line="360" w:lineRule="auto"/>
        <w:rPr>
          <w:rFonts w:ascii="黑体" w:hAnsi="黑体" w:eastAsia="黑体" w:cs="黑体"/>
          <w:b/>
          <w:color w:val="auto"/>
          <w:sz w:val="24"/>
          <w:highlight w:val="none"/>
        </w:rPr>
      </w:pPr>
      <w:r>
        <w:rPr>
          <w:rFonts w:ascii="黑体" w:hAnsi="黑体" w:eastAsia="黑体" w:cs="黑体"/>
          <w:b/>
          <w:color w:val="auto"/>
          <w:sz w:val="24"/>
          <w:highlight w:val="none"/>
        </w:rPr>
      </w:r>
      <w:r/>
    </w:p>
    <w:p>
      <w:pPr>
        <w:pStyle w:val="912"/>
        <w:ind w:firstLine="0"/>
        <w:jc w:val="center"/>
        <w:spacing w:line="240" w:lineRule="auto"/>
        <w:rPr>
          <w:rFonts w:hint="eastAsia" w:ascii="方正小标宋简体" w:eastAsia="方正小标宋简体"/>
          <w:b/>
          <w:color w:val="auto"/>
          <w:sz w:val="32"/>
          <w:szCs w:val="32"/>
          <w:highlight w:val="none"/>
        </w:rPr>
        <w:sectPr>
          <w:headerReference w:type="default" r:id="rId9"/>
          <w:footerReference w:type="even" r:id="rId10"/>
          <w:footnotePr/>
          <w:endnotePr/>
          <w:type w:val="nextPage"/>
          <w:pgSz w:w="11906" w:h="16838" w:orient="portrait"/>
          <w:pgMar w:top="1418" w:right="1134" w:bottom="1134" w:left="1418" w:header="851" w:footer="992" w:gutter="0"/>
          <w:cols w:num="1" w:sep="0" w:space="720" w:equalWidth="1"/>
          <w:docGrid w:linePitch="360"/>
        </w:sectPr>
        <w:outlineLvl w:val="0"/>
      </w:pPr>
      <w:r>
        <w:rPr>
          <w:rFonts w:hint="eastAsia" w:ascii="方正小标宋简体" w:eastAsia="方正小标宋简体"/>
          <w:b/>
          <w:color w:val="auto"/>
          <w:sz w:val="32"/>
          <w:szCs w:val="32"/>
          <w:highlight w:val="none"/>
        </w:rPr>
      </w:r>
      <w:r/>
    </w:p>
    <w:p>
      <w:pPr>
        <w:pStyle w:val="912"/>
        <w:ind w:firstLine="0"/>
        <w:jc w:val="center"/>
        <w:spacing w:line="240" w:lineRule="auto"/>
        <w:rPr>
          <w:rFonts w:ascii="方正小标宋简体" w:eastAsia="方正小标宋简体"/>
          <w:b/>
          <w:color w:val="auto"/>
          <w:sz w:val="32"/>
          <w:szCs w:val="32"/>
          <w:highlight w:val="none"/>
        </w:rPr>
        <w:outlineLvl w:val="0"/>
      </w:pPr>
      <w:r/>
      <w:bookmarkStart w:id="0" w:name="_Toc1552"/>
      <w:r>
        <w:rPr>
          <w:rFonts w:hint="eastAsia" w:ascii="方正小标宋简体" w:eastAsia="方正小标宋简体"/>
          <w:b/>
          <w:color w:val="auto"/>
          <w:sz w:val="32"/>
          <w:szCs w:val="32"/>
          <w:highlight w:val="none"/>
        </w:rPr>
        <w:t xml:space="preserve">第1章 公开招标公告</w:t>
      </w:r>
      <w:bookmarkEnd w:id="0"/>
      <w:r/>
      <w:r/>
    </w:p>
    <w:p>
      <w:pPr>
        <w:pStyle w:val="883"/>
        <w:ind w:firstLine="562"/>
        <w:spacing w:after="0" w:line="500" w:lineRule="exact"/>
        <w:rPr>
          <w:rFonts w:ascii="黑体" w:hAnsi="黑体" w:eastAsia="黑体"/>
          <w:b/>
          <w:color w:val="auto"/>
          <w:sz w:val="28"/>
          <w:szCs w:val="28"/>
          <w:highlight w:val="none"/>
        </w:rPr>
        <w:outlineLvl w:val="1"/>
      </w:pPr>
      <w:r/>
      <w:bookmarkStart w:id="1" w:name="_Toc2066"/>
      <w:r/>
      <w:bookmarkStart w:id="2" w:name="_Toc28359012"/>
      <w:r/>
      <w:bookmarkStart w:id="3" w:name="_Toc28359089"/>
      <w:r/>
      <w:bookmarkStart w:id="4" w:name="_Toc35393798"/>
      <w:r/>
      <w:bookmarkStart w:id="5" w:name="_Toc35393629"/>
      <w:r/>
      <w:bookmarkStart w:id="6" w:name="OLE_LINK2"/>
      <w:r>
        <w:rPr>
          <w:rFonts w:hint="eastAsia" w:ascii="黑体" w:hAnsi="黑体" w:eastAsia="黑体"/>
          <w:b/>
          <w:color w:val="auto"/>
          <w:sz w:val="28"/>
          <w:szCs w:val="28"/>
          <w:highlight w:val="none"/>
        </w:rPr>
        <w:t xml:space="preserve">一、项目基本情况</w:t>
      </w:r>
      <w:bookmarkEnd w:id="1"/>
      <w:r/>
      <w:bookmarkEnd w:id="2"/>
      <w:r/>
      <w:bookmarkEnd w:id="3"/>
      <w:r/>
      <w:bookmarkEnd w:id="4"/>
      <w:r/>
      <w:bookmarkEnd w:id="5"/>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1.项目名称：如皋市水源地水质自动监测监控预警能力提升建设项目</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2.项目编号：JSZC-320682-NTZJ-G2026-0011</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3.预算金额：人民币400</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万元</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4.最高限价：人民币400</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万元，报价超过最高限价视为无效投标，本项目分为两个采购包，其中包1最高限价人民币200</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万元；包2最高限价人民币200</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万元。</w:t>
      </w:r>
      <w:r/>
    </w:p>
    <w:p>
      <w:pPr>
        <w:ind w:firstLine="560"/>
        <w:spacing w:line="500" w:lineRule="exact"/>
        <w:rPr>
          <w:rFonts w:ascii="仿宋" w:hAnsi="仿宋" w:eastAsia="仿宋"/>
          <w:bCs/>
          <w:color w:val="auto"/>
          <w:sz w:val="28"/>
          <w:szCs w:val="28"/>
          <w:highlight w:val="none"/>
          <w:u w:val="single"/>
        </w:rPr>
      </w:pPr>
      <w:r>
        <w:rPr>
          <w:rFonts w:hint="eastAsia" w:ascii="仿宋" w:hAnsi="仿宋" w:eastAsia="仿宋"/>
          <w:bCs/>
          <w:color w:val="auto"/>
          <w:sz w:val="28"/>
          <w:szCs w:val="28"/>
          <w:highlight w:val="none"/>
        </w:rPr>
        <w:t xml:space="preserve">5.采购需求：本项目拟更新改造如皋长青沙水库应急水源地水质自动监测站和如皋鹏鹞上游预警水质自动监测站，包括设备采购，伴随安装、调试、集成以及售后服务。本项目两个分包，依照包1至包2的顺序开标，兼投兼中，即允许投标人同时参加两个分包的竞争，可以同时成为两个分包的第一中标候选人。详见第三章。</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6.合同履行期限：</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采购包1：自合同签定之日起45天内完成安装、调试及数据联网。</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采购包2：自合同签定之日起30天内完成安装、调试。具体以采购人通知为准。</w:t>
      </w:r>
      <w:r/>
    </w:p>
    <w:p>
      <w:pPr>
        <w:ind w:firstLine="560"/>
        <w:spacing w:line="500" w:lineRule="exact"/>
        <w:rPr>
          <w:rFonts w:ascii="仿宋" w:hAnsi="仿宋" w:eastAsia="仿宋"/>
          <w:bCs/>
          <w:color w:val="auto"/>
          <w:sz w:val="28"/>
          <w:szCs w:val="28"/>
          <w:highlight w:val="none"/>
          <w:u w:val="single"/>
        </w:rPr>
      </w:pPr>
      <w:r>
        <w:rPr>
          <w:rFonts w:hint="eastAsia" w:ascii="仿宋" w:hAnsi="仿宋" w:eastAsia="仿宋"/>
          <w:bCs/>
          <w:color w:val="auto"/>
          <w:sz w:val="28"/>
          <w:szCs w:val="28"/>
          <w:highlight w:val="none"/>
        </w:rPr>
        <w:t xml:space="preserve">7.本项目是否接受进口产品：否。</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8.本项目是否接受联合体：</w:t>
      </w:r>
      <w:r>
        <w:rPr>
          <w:rFonts w:ascii="仿宋" w:hAnsi="仿宋" w:eastAsia="仿宋"/>
          <w:bCs/>
          <w:color w:val="auto"/>
          <w:sz w:val="28"/>
          <w:szCs w:val="28"/>
          <w:highlight w:val="none"/>
        </w:rPr>
        <w:t xml:space="preserve">否</w:t>
      </w:r>
      <w:r>
        <w:rPr>
          <w:rFonts w:hint="eastAsia" w:ascii="仿宋" w:hAnsi="仿宋" w:eastAsia="仿宋"/>
          <w:bCs/>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9.本项目是否专门面向中小企业采购：</w:t>
      </w:r>
      <w:r>
        <w:rPr>
          <w:rFonts w:ascii="仿宋" w:hAnsi="仿宋" w:eastAsia="仿宋"/>
          <w:bCs/>
          <w:color w:val="auto"/>
          <w:sz w:val="28"/>
          <w:szCs w:val="28"/>
          <w:highlight w:val="none"/>
        </w:rPr>
        <w:t xml:space="preserve">否</w:t>
      </w:r>
      <w:r>
        <w:rPr>
          <w:rFonts w:hint="eastAsia" w:ascii="仿宋" w:hAnsi="仿宋" w:eastAsia="仿宋"/>
          <w:bCs/>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10.项目类型：货物</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11.项目所属行业：</w:t>
      </w:r>
      <w:r>
        <w:rPr>
          <w:rFonts w:ascii="仿宋" w:hAnsi="仿宋" w:eastAsia="仿宋"/>
          <w:bCs/>
          <w:color w:val="auto"/>
          <w:sz w:val="28"/>
          <w:szCs w:val="28"/>
          <w:highlight w:val="none"/>
        </w:rPr>
        <w:t xml:space="preserve">工业</w:t>
      </w:r>
      <w:r/>
    </w:p>
    <w:p>
      <w:pPr>
        <w:pStyle w:val="883"/>
        <w:ind w:firstLine="562"/>
        <w:spacing w:after="0" w:line="500" w:lineRule="exact"/>
        <w:rPr>
          <w:rFonts w:ascii="黑体" w:hAnsi="黑体" w:eastAsia="黑体"/>
          <w:b/>
          <w:color w:val="auto"/>
          <w:sz w:val="28"/>
          <w:szCs w:val="28"/>
          <w:highlight w:val="none"/>
        </w:rPr>
        <w:outlineLvl w:val="1"/>
      </w:pPr>
      <w:r/>
      <w:bookmarkStart w:id="7" w:name="_Toc35393799"/>
      <w:r/>
      <w:bookmarkStart w:id="8" w:name="_Toc28359090"/>
      <w:r/>
      <w:bookmarkStart w:id="9" w:name="_Toc35393630"/>
      <w:r/>
      <w:bookmarkStart w:id="10" w:name="_Toc251"/>
      <w:r/>
      <w:bookmarkStart w:id="11" w:name="_Toc28359013"/>
      <w:r>
        <w:rPr>
          <w:rFonts w:hint="eastAsia" w:ascii="黑体" w:hAnsi="黑体" w:eastAsia="黑体"/>
          <w:b/>
          <w:color w:val="auto"/>
          <w:sz w:val="28"/>
          <w:szCs w:val="28"/>
          <w:highlight w:val="none"/>
        </w:rPr>
        <w:t xml:space="preserve">二、投标人的资格要求</w:t>
      </w:r>
      <w:bookmarkEnd w:id="7"/>
      <w:r/>
      <w:bookmarkEnd w:id="8"/>
      <w:r/>
      <w:bookmarkEnd w:id="9"/>
      <w:r/>
      <w:bookmarkEnd w:id="10"/>
      <w:r/>
      <w:bookmarkEnd w:id="11"/>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1.《中华人民共和国政府采购法》第二十二条规定的条件：</w:t>
      </w:r>
      <w:r/>
    </w:p>
    <w:p>
      <w:pPr>
        <w:pStyle w:val="893"/>
        <w:ind w:firstLine="560"/>
        <w:spacing w:before="0" w:beforeAutospacing="0" w:after="0" w:afterAutospacing="0" w:line="500" w:lineRule="exact"/>
        <w:shd w:val="clear" w:color="auto" w:fill="ffffff"/>
        <w:rPr>
          <w:rFonts w:ascii="仿宋" w:hAnsi="仿宋" w:eastAsia="仿宋" w:cs="Times New Roman"/>
          <w:bCs/>
          <w:color w:val="auto"/>
          <w:sz w:val="28"/>
          <w:szCs w:val="28"/>
          <w:highlight w:val="none"/>
        </w:rPr>
      </w:pPr>
      <w:r/>
      <w:bookmarkStart w:id="12" w:name="_Toc28359091"/>
      <w:r/>
      <w:bookmarkStart w:id="13" w:name="_Toc28359014"/>
      <w:r>
        <w:rPr>
          <w:rFonts w:hint="eastAsia" w:ascii="仿宋" w:hAnsi="仿宋" w:eastAsia="仿宋" w:cs="Times New Roman"/>
          <w:bCs/>
          <w:color w:val="auto"/>
          <w:sz w:val="28"/>
          <w:szCs w:val="28"/>
          <w:highlight w:val="none"/>
        </w:rPr>
        <w:t xml:space="preserve">（1）具有独立承担民事责任的能力;</w:t>
      </w:r>
      <w:r/>
    </w:p>
    <w:p>
      <w:pPr>
        <w:pStyle w:val="893"/>
        <w:ind w:firstLine="560"/>
        <w:spacing w:before="0" w:beforeAutospacing="0" w:after="0" w:afterAutospacing="0" w:line="500" w:lineRule="exact"/>
        <w:shd w:val="clear" w:color="auto" w:fill="ffffff"/>
        <w:rPr>
          <w:rFonts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（2）具有良好的商业信誉和健全的财务会计制度;</w:t>
      </w:r>
      <w:r/>
    </w:p>
    <w:p>
      <w:pPr>
        <w:pStyle w:val="893"/>
        <w:ind w:firstLine="560"/>
        <w:spacing w:before="0" w:beforeAutospacing="0" w:after="0" w:afterAutospacing="0" w:line="500" w:lineRule="exact"/>
        <w:shd w:val="clear" w:color="auto" w:fill="ffffff"/>
        <w:rPr>
          <w:rFonts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（3）具有履行合同所必需的设备和专业技术能力;</w:t>
      </w:r>
      <w:r/>
    </w:p>
    <w:p>
      <w:pPr>
        <w:pStyle w:val="893"/>
        <w:ind w:firstLine="560"/>
        <w:spacing w:before="0" w:beforeAutospacing="0" w:after="0" w:afterAutospacing="0" w:line="500" w:lineRule="exact"/>
        <w:shd w:val="clear" w:color="auto" w:fill="ffffff"/>
        <w:rPr>
          <w:rFonts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（4）有依法缴纳税收和社会保障资金的良好记录;</w:t>
      </w:r>
      <w:r/>
    </w:p>
    <w:p>
      <w:pPr>
        <w:pStyle w:val="893"/>
        <w:ind w:firstLine="560"/>
        <w:spacing w:before="0" w:beforeAutospacing="0" w:after="0" w:afterAutospacing="0" w:line="500" w:lineRule="exact"/>
        <w:shd w:val="clear" w:color="auto" w:fill="ffffff"/>
        <w:rPr>
          <w:rFonts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（5）参加政府采购活动前三年内，在经营活动中没有重大违法记录;</w:t>
      </w:r>
      <w:r/>
    </w:p>
    <w:p>
      <w:pPr>
        <w:pStyle w:val="893"/>
        <w:ind w:firstLine="560"/>
        <w:spacing w:before="0" w:beforeAutospacing="0" w:after="0" w:afterAutospacing="0" w:line="500" w:lineRule="exact"/>
        <w:shd w:val="clear" w:color="auto" w:fill="ffffff"/>
        <w:rPr>
          <w:rFonts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（6）法律、行政法规规定的其他条件。</w:t>
      </w:r>
      <w:r/>
    </w:p>
    <w:p>
      <w:pPr>
        <w:ind w:firstLine="560"/>
        <w:spacing w:line="500" w:lineRule="exact"/>
        <w:rPr>
          <w:rFonts w:ascii="仿宋" w:hAnsi="仿宋" w:eastAsia="仿宋"/>
          <w:bCs/>
          <w:color w:val="auto"/>
          <w:sz w:val="28"/>
          <w:szCs w:val="28"/>
          <w:highlight w:val="none"/>
          <w:u w:val="single"/>
        </w:rPr>
      </w:pP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.落实政府采购政策需满足的资格要求：</w:t>
      </w:r>
      <w:r/>
    </w:p>
    <w:p>
      <w:pPr>
        <w:pStyle w:val="893"/>
        <w:ind w:firstLine="482"/>
        <w:spacing w:before="0" w:beforeAutospacing="0" w:after="0" w:afterAutospacing="0" w:line="500" w:lineRule="exact"/>
        <w:shd w:val="clear" w:color="auto" w:fill="ffffff"/>
        <w:rPr>
          <w:rFonts w:ascii="仿宋" w:hAnsi="仿宋" w:eastAsia="仿宋" w:cs="Times New Roman"/>
          <w:bCs/>
          <w:color w:val="auto"/>
          <w:sz w:val="28"/>
          <w:szCs w:val="28"/>
          <w:highlight w:val="none"/>
        </w:rPr>
      </w:pPr>
      <w:r>
        <w:rPr>
          <w:rFonts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bCs/>
          <w:color w:val="auto"/>
          <w:sz w:val="28"/>
          <w:szCs w:val="28"/>
          <w:highlight w:val="none"/>
        </w:rPr>
        <w:t xml:space="preserve">供应商</w:t>
      </w:r>
      <w:r>
        <w:rPr>
          <w:rFonts w:hint="eastAsia" w:ascii="仿宋" w:hAnsi="仿宋" w:eastAsia="仿宋" w:cs="Times New Roman"/>
          <w:bCs/>
          <w:color w:val="auto"/>
          <w:sz w:val="28"/>
          <w:szCs w:val="28"/>
          <w:highlight w:val="none"/>
        </w:rPr>
        <w:t xml:space="preserve">属于</w:t>
      </w:r>
      <w:r>
        <w:rPr>
          <w:rFonts w:ascii="仿宋" w:hAnsi="仿宋" w:eastAsia="仿宋" w:cs="Times New Roman"/>
          <w:bCs/>
          <w:color w:val="auto"/>
          <w:sz w:val="28"/>
          <w:szCs w:val="28"/>
          <w:highlight w:val="none"/>
        </w:rPr>
        <w:t xml:space="preserve">小微企业</w:t>
      </w:r>
      <w:r>
        <w:rPr>
          <w:rFonts w:hint="eastAsia" w:ascii="仿宋" w:hAnsi="仿宋" w:eastAsia="仿宋" w:cs="Times New Roman"/>
          <w:bCs/>
          <w:color w:val="auto"/>
          <w:sz w:val="28"/>
          <w:szCs w:val="28"/>
          <w:highlight w:val="none"/>
        </w:rPr>
        <w:t xml:space="preserve">、</w:t>
      </w:r>
      <w:r>
        <w:rPr>
          <w:rFonts w:ascii="仿宋" w:hAnsi="仿宋" w:eastAsia="仿宋" w:cs="Times New Roman"/>
          <w:bCs/>
          <w:color w:val="auto"/>
          <w:sz w:val="28"/>
          <w:szCs w:val="28"/>
          <w:highlight w:val="none"/>
        </w:rPr>
        <w:t xml:space="preserve">监狱企业</w:t>
      </w:r>
      <w:r>
        <w:rPr>
          <w:rFonts w:hint="eastAsia" w:ascii="仿宋" w:hAnsi="仿宋" w:eastAsia="仿宋" w:cs="Times New Roman"/>
          <w:bCs/>
          <w:color w:val="auto"/>
          <w:sz w:val="28"/>
          <w:szCs w:val="28"/>
          <w:highlight w:val="none"/>
        </w:rPr>
        <w:t xml:space="preserve">或者</w:t>
      </w:r>
      <w:r>
        <w:rPr>
          <w:rFonts w:ascii="仿宋" w:hAnsi="仿宋" w:eastAsia="仿宋" w:cs="Times New Roman"/>
          <w:bCs/>
          <w:color w:val="auto"/>
          <w:sz w:val="28"/>
          <w:szCs w:val="28"/>
          <w:highlight w:val="none"/>
        </w:rPr>
        <w:t xml:space="preserve">残疾人福利性单位的</w:t>
      </w:r>
      <w:r>
        <w:rPr>
          <w:rFonts w:hint="eastAsia" w:ascii="仿宋" w:hAnsi="仿宋" w:eastAsia="仿宋" w:cs="Times New Roman"/>
          <w:bCs/>
          <w:color w:val="auto"/>
          <w:sz w:val="28"/>
          <w:szCs w:val="28"/>
          <w:highlight w:val="none"/>
        </w:rPr>
        <w:t xml:space="preserve">，享受价格扣除优惠。</w:t>
      </w:r>
      <w:r/>
    </w:p>
    <w:p>
      <w:pPr>
        <w:pStyle w:val="893"/>
        <w:ind w:firstLine="482"/>
        <w:spacing w:before="0" w:beforeAutospacing="0" w:after="0" w:afterAutospacing="0" w:line="500" w:lineRule="exact"/>
        <w:shd w:val="clear" w:color="auto" w:fill="ffffff"/>
        <w:rPr>
          <w:rFonts w:ascii="仿宋" w:hAnsi="仿宋" w:eastAsia="仿宋"/>
          <w:bCs/>
          <w:iCs/>
          <w:color w:val="auto"/>
          <w:sz w:val="28"/>
          <w:szCs w:val="28"/>
          <w:highlight w:val="none"/>
        </w:rPr>
      </w:pPr>
      <w:r>
        <w:rPr>
          <w:rFonts w:hint="eastAsia" w:ascii="仿宋" w:hAnsi="仿宋" w:eastAsia="仿宋" w:cs="Times New Roman"/>
          <w:bCs/>
          <w:color w:val="auto"/>
          <w:sz w:val="28"/>
          <w:szCs w:val="28"/>
          <w:highlight w:val="none"/>
        </w:rPr>
        <w:t xml:space="preserve">（2）</w:t>
      </w:r>
      <w:r>
        <w:rPr>
          <w:rFonts w:hint="eastAsia" w:ascii="仿宋" w:hAnsi="仿宋" w:eastAsia="仿宋"/>
          <w:bCs/>
          <w:iCs/>
          <w:color w:val="auto"/>
          <w:sz w:val="28"/>
          <w:szCs w:val="28"/>
          <w:highlight w:val="none"/>
        </w:rPr>
        <w:t xml:space="preserve">投标产品属于财政部、国家发改委公布的“节能产品品目清单”范围内的，须提供国家确定的认证机构出具的、处于有效期之内的节能产品认证证书复印件,以及全国认证认可信息公共服务平台查询截图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bCs/>
          <w:iCs/>
          <w:color w:val="auto"/>
          <w:sz w:val="28"/>
          <w:szCs w:val="28"/>
          <w:highlight w:val="none"/>
        </w:rPr>
        <w:t xml:space="preserve">。</w:t>
      </w:r>
      <w:r/>
    </w:p>
    <w:p>
      <w:pPr>
        <w:pStyle w:val="893"/>
        <w:ind w:firstLine="482"/>
        <w:spacing w:before="0" w:beforeAutospacing="0" w:after="0" w:afterAutospacing="0" w:line="500" w:lineRule="exact"/>
        <w:shd w:val="clear" w:color="auto" w:fill="ffffff"/>
        <w:rPr>
          <w:rFonts w:ascii="仿宋" w:hAnsi="仿宋" w:eastAsia="仿宋" w:cs="Times New Roman"/>
          <w:bCs/>
          <w:color w:val="auto"/>
          <w:sz w:val="28"/>
          <w:szCs w:val="28"/>
          <w:highlight w:val="none"/>
        </w:rPr>
      </w:pPr>
      <w:r>
        <w:rPr>
          <w:rFonts w:hint="eastAsia" w:ascii="仿宋" w:hAnsi="仿宋" w:eastAsia="仿宋"/>
          <w:bCs/>
          <w:iCs/>
          <w:color w:val="auto"/>
          <w:sz w:val="28"/>
          <w:szCs w:val="28"/>
          <w:highlight w:val="none"/>
        </w:rPr>
        <w:t xml:space="preserve">（3）</w:t>
      </w:r>
      <w:r>
        <w:rPr>
          <w:rFonts w:hint="eastAsia" w:ascii="仿宋" w:hAnsi="仿宋" w:eastAsia="仿宋" w:cs="Times New Roman"/>
          <w:bCs/>
          <w:iCs/>
          <w:color w:val="auto"/>
          <w:sz w:val="28"/>
          <w:szCs w:val="28"/>
          <w:highlight w:val="none"/>
        </w:rPr>
        <w:t xml:space="preserve">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bCs/>
          <w:iCs/>
          <w:color w:val="auto"/>
          <w:sz w:val="28"/>
          <w:szCs w:val="28"/>
          <w:highlight w:val="none"/>
        </w:rPr>
        <w:t xml:space="preserve">,以及全国认证认可信息公共服务平台查询截图</w:t>
      </w:r>
      <w:r>
        <w:rPr>
          <w:rFonts w:hint="eastAsia" w:ascii="仿宋" w:hAnsi="仿宋" w:eastAsia="仿宋" w:cs="Times New Roman"/>
          <w:bCs/>
          <w:iCs/>
          <w:color w:val="auto"/>
          <w:sz w:val="28"/>
          <w:szCs w:val="28"/>
          <w:highlight w:val="none"/>
        </w:rPr>
        <w:t xml:space="preserve">。</w:t>
      </w:r>
      <w:r/>
    </w:p>
    <w:p>
      <w:pPr>
        <w:pStyle w:val="893"/>
        <w:ind w:firstLine="567"/>
        <w:spacing w:before="0" w:beforeAutospacing="0" w:after="0" w:afterAutospacing="0" w:line="500" w:lineRule="exact"/>
        <w:shd w:val="clear" w:color="auto" w:fill="ffffff"/>
        <w:rPr>
          <w:rFonts w:ascii="仿宋" w:hAnsi="仿宋" w:eastAsia="仿宋"/>
          <w:bCs/>
          <w:color w:val="auto"/>
          <w:sz w:val="28"/>
          <w:szCs w:val="28"/>
          <w:highlight w:val="none"/>
          <w:u w:val="single"/>
        </w:rPr>
      </w:pPr>
      <w:r>
        <w:rPr>
          <w:rFonts w:hint="eastAsia" w:ascii="仿宋" w:hAnsi="仿宋" w:eastAsia="仿宋" w:cs="Times New Roman"/>
          <w:bCs/>
          <w:color w:val="auto"/>
          <w:sz w:val="28"/>
          <w:szCs w:val="28"/>
          <w:highlight w:val="none"/>
        </w:rPr>
        <w:t xml:space="preserve">3.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4.本项目的特定资格要求：</w:t>
      </w:r>
      <w:r/>
    </w:p>
    <w:p>
      <w:pPr>
        <w:ind w:firstLine="562"/>
        <w:spacing w:line="500" w:lineRule="exact"/>
        <w:rPr>
          <w:rFonts w:ascii="仿宋" w:hAnsi="仿宋" w:eastAsia="仿宋"/>
          <w:bCs/>
          <w:color w:val="auto"/>
          <w:sz w:val="28"/>
          <w:szCs w:val="28"/>
          <w:highlight w:val="none"/>
        </w:rPr>
      </w:pPr>
      <w:r>
        <w:rPr>
          <w:rFonts w:hint="eastAsia" w:ascii="仿宋" w:hAnsi="仿宋" w:eastAsia="仿宋"/>
          <w:b/>
          <w:iCs/>
          <w:color w:val="auto"/>
          <w:sz w:val="28"/>
          <w:szCs w:val="28"/>
          <w:highlight w:val="none"/>
        </w:rPr>
        <w:t xml:space="preserve">投标人须提供《</w:t>
      </w:r>
      <w:r>
        <w:rPr>
          <w:rFonts w:ascii="仿宋" w:hAnsi="仿宋" w:eastAsia="仿宋"/>
          <w:b/>
          <w:iCs/>
          <w:color w:val="auto"/>
          <w:sz w:val="28"/>
          <w:szCs w:val="28"/>
          <w:highlight w:val="none"/>
        </w:rPr>
        <w:t xml:space="preserve">关于符合本国产品标准的声明函</w:t>
      </w:r>
      <w:r>
        <w:rPr>
          <w:rFonts w:hint="eastAsia" w:ascii="仿宋" w:hAnsi="仿宋" w:eastAsia="仿宋"/>
          <w:b/>
          <w:iCs/>
          <w:color w:val="auto"/>
          <w:sz w:val="28"/>
          <w:szCs w:val="28"/>
          <w:highlight w:val="none"/>
        </w:rPr>
        <w:t xml:space="preserve">》。</w:t>
      </w:r>
      <w:r/>
    </w:p>
    <w:p>
      <w:pPr>
        <w:pStyle w:val="893"/>
        <w:ind w:firstLine="567"/>
        <w:spacing w:before="0" w:beforeAutospacing="0" w:after="0" w:afterAutospacing="0" w:line="500" w:lineRule="exact"/>
        <w:shd w:val="clear" w:color="auto" w:fill="ffffff"/>
        <w:rPr>
          <w:rFonts w:ascii="仿宋" w:hAnsi="仿宋" w:eastAsia="仿宋" w:cs="Times New Roman"/>
          <w:bCs/>
          <w:color w:val="auto"/>
          <w:sz w:val="28"/>
          <w:szCs w:val="28"/>
          <w:highlight w:val="none"/>
        </w:rPr>
      </w:pPr>
      <w:r>
        <w:rPr>
          <w:rFonts w:hint="eastAsia" w:ascii="仿宋" w:hAnsi="仿宋" w:eastAsia="仿宋"/>
          <w:bCs/>
          <w:iCs/>
          <w:color w:val="auto"/>
          <w:sz w:val="28"/>
          <w:szCs w:val="28"/>
          <w:highlight w:val="none"/>
        </w:rPr>
        <w:t xml:space="preserve">5.</w:t>
      </w:r>
      <w:r>
        <w:rPr>
          <w:rFonts w:hint="eastAsia" w:ascii="仿宋" w:hAnsi="仿宋" w:eastAsia="仿宋"/>
          <w:bCs/>
          <w:color w:val="auto"/>
          <w:sz w:val="28"/>
          <w:szCs w:val="28"/>
          <w:highlight w:val="none"/>
        </w:rPr>
        <w:t xml:space="preserve">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bCs/>
          <w:iCs/>
          <w:color w:val="auto"/>
          <w:sz w:val="28"/>
          <w:szCs w:val="28"/>
          <w:highlight w:val="none"/>
        </w:rPr>
        <w:t xml:space="preserve">授权委托书。代理人须为投标供应商的正式员工，并提供开标日前最近3个月中任意一个月投标供应商为其缴纳社保的证明；新成立企业距开标日期不足30日的，可不提供缴纳社保的证明（以新办企业营业执照发放日期为准）。</w:t>
      </w:r>
      <w:r/>
    </w:p>
    <w:p>
      <w:pPr>
        <w:ind w:firstLine="565"/>
        <w:keepLines w:val="0"/>
        <w:keepNext w:val="0"/>
        <w:pageBreakBefore w:val="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883"/>
        <w:ind w:firstLine="562"/>
        <w:keepLines w:val="0"/>
        <w:keepNext w:val="0"/>
        <w:pageBreakBefore w:val="0"/>
        <w:spacing w:after="0" w:line="500" w:lineRule="exact"/>
        <w:rPr>
          <w:rFonts w:ascii="黑体" w:hAnsi="黑体" w:eastAsia="黑体"/>
          <w:b/>
          <w:color w:val="auto"/>
          <w:sz w:val="28"/>
          <w:szCs w:val="28"/>
          <w:highlight w:val="none"/>
        </w:rPr>
        <w:outlineLvl w:val="1"/>
      </w:pPr>
      <w:r/>
      <w:bookmarkStart w:id="14" w:name="_Toc35393800"/>
      <w:r/>
      <w:bookmarkStart w:id="15" w:name="_Toc8163"/>
      <w:r/>
      <w:bookmarkStart w:id="16" w:name="_Toc35393631"/>
      <w:r>
        <w:rPr>
          <w:rFonts w:hint="eastAsia" w:ascii="黑体" w:hAnsi="黑体" w:eastAsia="黑体"/>
          <w:b/>
          <w:color w:val="auto"/>
          <w:sz w:val="28"/>
          <w:szCs w:val="28"/>
          <w:highlight w:val="none"/>
        </w:rPr>
        <w:t xml:space="preserve">三、获取公开招标文件</w:t>
      </w:r>
      <w:bookmarkEnd w:id="12"/>
      <w:r/>
      <w:bookmarkEnd w:id="13"/>
      <w:r/>
      <w:bookmarkEnd w:id="14"/>
      <w:r/>
      <w:bookmarkEnd w:id="15"/>
      <w:r/>
      <w:bookmarkEnd w:id="16"/>
      <w:r/>
      <w:r/>
    </w:p>
    <w:p>
      <w:pPr>
        <w:ind w:firstLine="600"/>
        <w:keepLines w:val="0"/>
        <w:keepNext w:val="0"/>
        <w:pageBreakBefore w:val="0"/>
        <w:spacing w:line="500" w:lineRule="exact"/>
        <w:rPr>
          <w:rFonts w:ascii="仿宋" w:hAnsi="仿宋" w:eastAsia="仿宋" w:cs="仿宋"/>
          <w:bCs/>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30"/>
          <w:highlight w:val="none"/>
        </w:rPr>
        <w:t xml:space="preserve">1.时间：本公告发布之日起5个工作日。</w:t>
      </w:r>
      <w:r/>
    </w:p>
    <w:p>
      <w:pPr>
        <w:ind w:firstLine="600"/>
        <w:keepLines w:val="0"/>
        <w:keepNext w:val="0"/>
        <w:pageBreakBefore w:val="0"/>
        <w:spacing w:line="500" w:lineRule="exact"/>
        <w:rPr>
          <w:rFonts w:ascii="仿宋" w:hAnsi="仿宋" w:eastAsia="仿宋" w:cs="仿宋"/>
          <w:bCs/>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30"/>
          <w:highlight w:val="none"/>
        </w:rPr>
        <w:t xml:space="preserve">2.地点：江苏省政府采购网。</w:t>
      </w:r>
      <w:r/>
    </w:p>
    <w:p>
      <w:pPr>
        <w:ind w:firstLine="600"/>
        <w:keepLines w:val="0"/>
        <w:keepNext w:val="0"/>
        <w:pageBreakBefore w:val="0"/>
        <w:spacing w:line="500" w:lineRule="exact"/>
        <w:rPr>
          <w:rFonts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30"/>
          <w:highlight w:val="none"/>
        </w:rPr>
        <w:t xml:space="preserve">3.方式：本项目采用“苏采云”系统网上注册登记方式，具体详见《江苏省政府采购管理交易系统（苏采云）投标人操作手册》。</w:t>
      </w:r>
      <w:r/>
    </w:p>
    <w:p>
      <w:pPr>
        <w:pStyle w:val="883"/>
        <w:ind w:firstLine="562"/>
        <w:keepLines w:val="0"/>
        <w:keepNext w:val="0"/>
        <w:pageBreakBefore w:val="0"/>
        <w:spacing w:after="0" w:line="500" w:lineRule="exact"/>
        <w:rPr>
          <w:rFonts w:ascii="黑体" w:hAnsi="黑体" w:eastAsia="黑体"/>
          <w:b/>
          <w:color w:val="auto"/>
          <w:sz w:val="28"/>
          <w:szCs w:val="28"/>
          <w:highlight w:val="none"/>
        </w:rPr>
        <w:outlineLvl w:val="1"/>
      </w:pPr>
      <w:r/>
      <w:bookmarkStart w:id="17" w:name="_Toc28359092"/>
      <w:r/>
      <w:bookmarkStart w:id="18" w:name="_Toc35393801"/>
      <w:r/>
      <w:bookmarkStart w:id="19" w:name="_Toc35393632"/>
      <w:r/>
      <w:bookmarkStart w:id="20" w:name="_Toc28359015"/>
      <w:r/>
      <w:bookmarkStart w:id="21" w:name="_Toc21234"/>
      <w:r>
        <w:rPr>
          <w:rFonts w:hint="eastAsia" w:ascii="黑体" w:hAnsi="黑体" w:eastAsia="黑体"/>
          <w:b/>
          <w:color w:val="auto"/>
          <w:sz w:val="28"/>
          <w:szCs w:val="28"/>
          <w:highlight w:val="none"/>
        </w:rPr>
        <w:t xml:space="preserve">四、提交投标文件</w:t>
      </w:r>
      <w:bookmarkEnd w:id="17"/>
      <w:r/>
      <w:bookmarkEnd w:id="18"/>
      <w:r/>
      <w:bookmarkEnd w:id="19"/>
      <w:r/>
      <w:bookmarkEnd w:id="20"/>
      <w:r>
        <w:rPr>
          <w:rFonts w:hint="eastAsia" w:ascii="黑体" w:hAnsi="黑体" w:eastAsia="黑体"/>
          <w:b/>
          <w:color w:val="auto"/>
          <w:sz w:val="28"/>
          <w:szCs w:val="28"/>
          <w:highlight w:val="none"/>
        </w:rPr>
        <w:t xml:space="preserve">截止时间、开标时间和地点</w:t>
      </w:r>
      <w:bookmarkEnd w:id="21"/>
      <w:r/>
      <w:r/>
    </w:p>
    <w:p>
      <w:pPr>
        <w:ind w:firstLine="560"/>
        <w:keepLines w:val="0"/>
        <w:keepNext w:val="0"/>
        <w:pageBreakBefore w:val="0"/>
        <w:spacing w:line="500" w:lineRule="exact"/>
        <w:rPr>
          <w:rFonts w:ascii="仿宋" w:hAnsi="仿宋" w:eastAsia="仿宋"/>
          <w:bCs/>
          <w:color w:val="auto"/>
          <w:sz w:val="28"/>
          <w:szCs w:val="28"/>
          <w:highlight w:val="none"/>
          <w:u w:val="single"/>
        </w:rPr>
      </w:pPr>
      <w:r>
        <w:rPr>
          <w:rFonts w:hint="eastAsia" w:ascii="仿宋" w:hAnsi="仿宋" w:eastAsia="仿宋"/>
          <w:bCs/>
          <w:color w:val="auto"/>
          <w:sz w:val="28"/>
          <w:szCs w:val="28"/>
          <w:highlight w:val="none"/>
        </w:rPr>
        <w:t xml:space="preserve">截止时间：详见采购公告</w:t>
      </w:r>
      <w:r/>
    </w:p>
    <w:p>
      <w:pPr>
        <w:ind w:firstLine="560"/>
        <w:keepLines w:val="0"/>
        <w:keepNext w:val="0"/>
        <w:pageBreakBefore w:val="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开标时间：详见采购公告</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开标地点：</w:t>
      </w:r>
      <w:r>
        <w:rPr>
          <w:rFonts w:ascii="仿宋" w:hAnsi="仿宋" w:eastAsia="仿宋"/>
          <w:bCs/>
          <w:color w:val="auto"/>
          <w:sz w:val="28"/>
          <w:szCs w:val="28"/>
          <w:highlight w:val="none"/>
        </w:rPr>
        <w:t xml:space="preserve">“苏采云”系统（网址：http://jszfcg.jsczt.cn/）“开标大厅”。</w:t>
      </w:r>
      <w:r/>
    </w:p>
    <w:p>
      <w:pPr>
        <w:pStyle w:val="883"/>
        <w:ind w:firstLine="562"/>
        <w:spacing w:after="0" w:line="500" w:lineRule="exact"/>
        <w:rPr>
          <w:rFonts w:ascii="黑体" w:hAnsi="黑体" w:eastAsia="黑体"/>
          <w:b/>
          <w:color w:val="auto"/>
          <w:sz w:val="28"/>
          <w:szCs w:val="28"/>
          <w:highlight w:val="none"/>
        </w:rPr>
        <w:outlineLvl w:val="1"/>
      </w:pPr>
      <w:r/>
      <w:bookmarkStart w:id="22" w:name="_Toc35393803"/>
      <w:r/>
      <w:bookmarkStart w:id="23" w:name="_Toc28359094"/>
      <w:r/>
      <w:bookmarkStart w:id="24" w:name="_Toc35393634"/>
      <w:r/>
      <w:bookmarkStart w:id="25" w:name="_Toc28359017"/>
      <w:r/>
      <w:bookmarkStart w:id="26" w:name="_Toc17506"/>
      <w:r>
        <w:rPr>
          <w:rFonts w:hint="eastAsia" w:ascii="黑体" w:hAnsi="黑体" w:eastAsia="黑体"/>
          <w:b/>
          <w:color w:val="auto"/>
          <w:sz w:val="28"/>
          <w:szCs w:val="28"/>
          <w:highlight w:val="none"/>
        </w:rPr>
        <w:t xml:space="preserve">五、公告期限</w:t>
      </w:r>
      <w:bookmarkEnd w:id="22"/>
      <w:r/>
      <w:bookmarkEnd w:id="23"/>
      <w:r/>
      <w:bookmarkEnd w:id="24"/>
      <w:r/>
      <w:bookmarkEnd w:id="25"/>
      <w:r/>
      <w:bookmarkEnd w:id="26"/>
      <w:r/>
      <w:r/>
    </w:p>
    <w:p>
      <w:pPr>
        <w:ind w:firstLine="560"/>
        <w:spacing w:line="500" w:lineRule="exact"/>
        <w:rPr>
          <w:rFonts w:ascii="仿宋" w:hAnsi="仿宋" w:eastAsia="仿宋" w:cs="宋体"/>
          <w:b/>
          <w:color w:val="auto"/>
          <w:sz w:val="28"/>
          <w:szCs w:val="28"/>
          <w:highlight w:val="none"/>
        </w:rPr>
      </w:pPr>
      <w:r>
        <w:rPr>
          <w:rFonts w:hint="eastAsia" w:ascii="仿宋" w:hAnsi="仿宋" w:eastAsia="仿宋" w:cs="宋体"/>
          <w:bCs/>
          <w:color w:val="auto"/>
          <w:sz w:val="28"/>
          <w:szCs w:val="28"/>
          <w:highlight w:val="none"/>
        </w:rPr>
        <w:t xml:space="preserve">自本公告发布之日起5个工作日</w:t>
      </w:r>
      <w:r>
        <w:rPr>
          <w:rFonts w:hint="eastAsia" w:ascii="仿宋" w:hAnsi="仿宋" w:eastAsia="仿宋" w:cs="宋体"/>
          <w:b/>
          <w:color w:val="auto"/>
          <w:sz w:val="28"/>
          <w:szCs w:val="28"/>
          <w:highlight w:val="none"/>
        </w:rPr>
        <w:t xml:space="preserve">。</w:t>
      </w:r>
      <w:r/>
    </w:p>
    <w:p>
      <w:pPr>
        <w:pStyle w:val="883"/>
        <w:ind w:firstLine="562"/>
        <w:spacing w:after="0" w:line="500" w:lineRule="exact"/>
        <w:rPr>
          <w:rFonts w:ascii="黑体" w:hAnsi="黑体" w:eastAsia="黑体"/>
          <w:b/>
          <w:color w:val="auto"/>
          <w:sz w:val="28"/>
          <w:szCs w:val="28"/>
          <w:highlight w:val="none"/>
        </w:rPr>
        <w:outlineLvl w:val="1"/>
      </w:pPr>
      <w:r/>
      <w:bookmarkStart w:id="27" w:name="_Toc35393635"/>
      <w:r/>
      <w:bookmarkStart w:id="28" w:name="_Toc35393804"/>
      <w:r/>
      <w:bookmarkStart w:id="29" w:name="_Toc25190"/>
      <w:r>
        <w:rPr>
          <w:rFonts w:hint="eastAsia" w:ascii="黑体" w:hAnsi="黑体" w:eastAsia="黑体"/>
          <w:b/>
          <w:color w:val="auto"/>
          <w:sz w:val="28"/>
          <w:szCs w:val="28"/>
          <w:highlight w:val="none"/>
        </w:rPr>
        <w:t xml:space="preserve">六、其他补充事宜</w:t>
      </w:r>
      <w:bookmarkEnd w:id="27"/>
      <w:r/>
      <w:bookmarkEnd w:id="28"/>
      <w:r/>
      <w:bookmarkEnd w:id="29"/>
      <w:r/>
      <w:r/>
    </w:p>
    <w:p>
      <w:pPr>
        <w:ind w:firstLine="565"/>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1.本项目采用电子化交易模式，</w:t>
      </w:r>
      <w:r>
        <w:rPr>
          <w:rFonts w:hint="eastAsia" w:ascii="仿宋" w:hAnsi="仿宋" w:eastAsia="仿宋"/>
          <w:bCs/>
          <w:color w:val="auto"/>
          <w:sz w:val="28"/>
          <w:szCs w:val="28"/>
          <w:highlight w:val="none"/>
        </w:rPr>
        <w:t xml:space="preserve">具体详见《江苏省政府采购管理交易系统（苏采云）投标人操作手册》，特别</w:t>
      </w:r>
      <w:r>
        <w:rPr>
          <w:rFonts w:hint="eastAsia" w:ascii="仿宋" w:hAnsi="仿宋" w:eastAsia="仿宋" w:cs="宋体"/>
          <w:bCs/>
          <w:color w:val="auto"/>
          <w:sz w:val="28"/>
          <w:szCs w:val="28"/>
          <w:highlight w:val="none"/>
        </w:rPr>
        <w:t xml:space="preserve">注意以下事项：</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（1）“苏采云”系统的网址为：http://jszfcg.jsczt.cn/；</w:t>
      </w:r>
      <w:r/>
    </w:p>
    <w:p>
      <w:pPr>
        <w:ind w:firstLine="560"/>
        <w:spacing w:line="500" w:lineRule="exact"/>
        <w:rPr>
          <w:rFonts w:ascii="仿宋" w:hAnsi="仿宋" w:eastAsia="仿宋" w:cs="仿宋"/>
          <w:bCs/>
          <w:color w:val="auto"/>
          <w:sz w:val="28"/>
          <w:szCs w:val="28"/>
          <w:highlight w:val="none"/>
        </w:rPr>
      </w:pPr>
      <w:r>
        <w:rPr>
          <w:rFonts w:hint="eastAsia" w:ascii="仿宋" w:hAnsi="仿宋" w:eastAsia="仿宋" w:cs="宋体"/>
          <w:bCs/>
          <w:color w:val="auto"/>
          <w:sz w:val="28"/>
          <w:szCs w:val="28"/>
          <w:highlight w:val="none"/>
        </w:rPr>
        <w:t xml:space="preserve">（2）</w:t>
      </w:r>
      <w:r>
        <w:rPr>
          <w:rFonts w:hint="eastAsia" w:ascii="仿宋" w:hAnsi="仿宋" w:eastAsia="仿宋" w:cs="仿宋"/>
          <w:bCs/>
          <w:color w:val="auto"/>
          <w:sz w:val="28"/>
          <w:szCs w:val="28"/>
          <w:highlight w:val="none"/>
        </w:rPr>
        <w:t xml:space="preserve">投标人</w:t>
      </w:r>
      <w:r>
        <w:rPr>
          <w:rFonts w:hint="eastAsia" w:ascii="仿宋" w:hAnsi="仿宋" w:eastAsia="仿宋" w:cs="宋体"/>
          <w:bCs/>
          <w:color w:val="auto"/>
          <w:sz w:val="28"/>
          <w:szCs w:val="28"/>
          <w:highlight w:val="none"/>
        </w:rPr>
        <w:t xml:space="preserve">需办理“CA 数字证书”的，可参阅“江苏省政府采购网/办事指南/资料下载”中有关资料（</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Style w:val="897"/>
          <w:rFonts w:ascii="仿宋" w:hAnsi="仿宋" w:eastAsia="仿宋" w:cs="宋体"/>
          <w:bCs/>
          <w:color w:val="auto"/>
          <w:sz w:val="28"/>
          <w:szCs w:val="28"/>
          <w:highlight w:val="none"/>
        </w:rPr>
        <w:t xml:space="preserve">http://jsxcmm.com/help/gys.html</w:t>
      </w:r>
      <w:r>
        <w:rPr>
          <w:rStyle w:val="897"/>
          <w:rFonts w:ascii="仿宋" w:hAnsi="仿宋" w:eastAsia="仿宋" w:cs="宋体"/>
          <w:bCs/>
          <w:color w:val="auto"/>
          <w:sz w:val="28"/>
          <w:szCs w:val="28"/>
          <w:highlight w:val="none"/>
        </w:rPr>
        <w:fldChar w:fldCharType="end"/>
      </w:r>
      <w:r>
        <w:rPr>
          <w:rFonts w:ascii="仿宋" w:hAnsi="仿宋" w:eastAsia="仿宋" w:cs="宋体"/>
          <w:bCs/>
          <w:color w:val="auto"/>
          <w:sz w:val="28"/>
          <w:szCs w:val="28"/>
          <w:highlight w:val="none"/>
        </w:rPr>
        <w:t xml:space="preserve">）</w:t>
      </w:r>
      <w:r>
        <w:rPr>
          <w:rFonts w:hint="eastAsia" w:ascii="仿宋" w:hAnsi="仿宋" w:eastAsia="仿宋" w:cs="宋体"/>
          <w:bCs/>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（3）</w:t>
      </w:r>
      <w:r>
        <w:rPr>
          <w:rFonts w:ascii="仿宋" w:hAnsi="仿宋" w:eastAsia="仿宋"/>
          <w:bCs/>
          <w:color w:val="auto"/>
          <w:sz w:val="28"/>
          <w:szCs w:val="28"/>
          <w:highlight w:val="none"/>
        </w:rPr>
        <w:t xml:space="preserve">使用谷歌浏览器。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w:t>
      </w:r>
      <w:r>
        <w:rPr>
          <w:rFonts w:ascii="仿宋" w:hAnsi="仿宋" w:eastAsia="仿宋"/>
          <w:bCs/>
          <w:color w:val="auto"/>
          <w:sz w:val="28"/>
          <w:szCs w:val="28"/>
          <w:highlight w:val="none"/>
        </w:rPr>
        <w:t xml:space="preserve">提前准备好麦克风、音响，摄像头，</w:t>
      </w:r>
      <w:r>
        <w:rPr>
          <w:rFonts w:hint="eastAsia" w:ascii="仿宋" w:hAnsi="仿宋" w:eastAsia="仿宋"/>
          <w:bCs/>
          <w:color w:val="auto"/>
          <w:sz w:val="28"/>
          <w:szCs w:val="28"/>
          <w:highlight w:val="none"/>
        </w:rPr>
        <w:t xml:space="preserve">并</w:t>
      </w:r>
      <w:r>
        <w:rPr>
          <w:rFonts w:ascii="仿宋" w:hAnsi="仿宋" w:eastAsia="仿宋"/>
          <w:bCs/>
          <w:color w:val="auto"/>
          <w:sz w:val="28"/>
          <w:szCs w:val="28"/>
          <w:highlight w:val="none"/>
        </w:rPr>
        <w:t xml:space="preserve">检查保证能够正常使用。</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bCs/>
          <w:color w:val="auto"/>
          <w:sz w:val="28"/>
          <w:szCs w:val="28"/>
          <w:highlight w:val="none"/>
        </w:rPr>
        <w:t xml:space="preserve">（5）</w:t>
      </w:r>
      <w:r>
        <w:rPr>
          <w:rFonts w:ascii="仿宋" w:hAnsi="仿宋" w:eastAsia="仿宋"/>
          <w:bCs/>
          <w:color w:val="auto"/>
          <w:sz w:val="28"/>
          <w:szCs w:val="28"/>
          <w:highlight w:val="none"/>
        </w:rPr>
        <w:t xml:space="preserve">操作系统至少win7以上，建议使用win10操作系统。</w:t>
      </w:r>
      <w:r/>
    </w:p>
    <w:p>
      <w:pPr>
        <w:ind w:firstLine="480"/>
        <w:spacing w:line="500" w:lineRule="exact"/>
        <w:rPr>
          <w:rFonts w:ascii="仿宋" w:hAnsi="仿宋" w:eastAsia="仿宋"/>
          <w:bCs/>
          <w:color w:val="auto"/>
          <w:sz w:val="28"/>
          <w:szCs w:val="28"/>
          <w:highlight w:val="none"/>
        </w:rPr>
      </w:pPr>
      <w:r>
        <w:rPr>
          <w:rFonts w:hint="eastAsia" w:ascii="仿宋" w:hAnsi="仿宋" w:eastAsia="仿宋" w:cs="宋体"/>
          <w:bCs/>
          <w:color w:val="auto"/>
          <w:sz w:val="28"/>
          <w:szCs w:val="28"/>
          <w:highlight w:val="none"/>
        </w:rPr>
        <w:t xml:space="preserve">（6）供应商应当通过“苏采云”系统提交电子投标文件，投标文件不得超过150M。</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2. </w:t>
      </w:r>
      <w:r>
        <w:rPr>
          <w:rFonts w:ascii="仿宋" w:hAnsi="仿宋" w:eastAsia="仿宋" w:cs="宋体"/>
          <w:bCs/>
          <w:color w:val="auto"/>
          <w:sz w:val="28"/>
          <w:szCs w:val="28"/>
          <w:highlight w:val="none"/>
        </w:rPr>
        <w:t xml:space="preserve">投标保证金：免收</w:t>
      </w:r>
      <w:r>
        <w:rPr>
          <w:rFonts w:hint="eastAsia" w:ascii="仿宋" w:hAnsi="仿宋" w:eastAsia="仿宋" w:cs="宋体"/>
          <w:bCs/>
          <w:color w:val="auto"/>
          <w:sz w:val="28"/>
          <w:szCs w:val="28"/>
          <w:highlight w:val="none"/>
        </w:rPr>
        <w:t xml:space="preserve">；</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3.履约保证金：按中标金额的10%收取，尾款支付前供应商将履约保证金支付至单位指定账户，中标人可以选择以支票、汇票、本票或者金融机构、担保机构出具的保函、履约保证金保险等非现金形式。自验收合格之日起满24个月，若设备性能良好一次性退回</w:t>
      </w:r>
      <w:r>
        <w:rPr>
          <w:rFonts w:hint="eastAsia" w:ascii="仿宋" w:hAnsi="仿宋" w:eastAsia="仿宋" w:cs="宋体"/>
          <w:bCs/>
          <w:color w:val="auto"/>
          <w:sz w:val="28"/>
          <w:szCs w:val="28"/>
          <w:highlight w:val="none"/>
        </w:rPr>
        <w:t xml:space="preserve">履约保证金</w:t>
      </w:r>
      <w:r>
        <w:rPr>
          <w:rFonts w:hint="eastAsia" w:ascii="仿宋" w:hAnsi="仿宋" w:eastAsia="仿宋" w:cs="宋体"/>
          <w:bCs/>
          <w:color w:val="auto"/>
          <w:sz w:val="28"/>
          <w:szCs w:val="28"/>
          <w:highlight w:val="none"/>
        </w:rPr>
        <w:t xml:space="preserve">。</w:t>
      </w:r>
      <w:r/>
    </w:p>
    <w:p>
      <w:pPr>
        <w:pStyle w:val="883"/>
        <w:ind w:firstLine="562"/>
        <w:spacing w:after="0" w:line="500" w:lineRule="exact"/>
        <w:rPr>
          <w:rFonts w:ascii="黑体" w:hAnsi="黑体" w:cs="宋体"/>
          <w:b/>
          <w:color w:val="auto"/>
          <w:sz w:val="28"/>
          <w:szCs w:val="28"/>
          <w:highlight w:val="none"/>
        </w:rPr>
        <w:outlineLvl w:val="1"/>
      </w:pPr>
      <w:r/>
      <w:bookmarkStart w:id="30" w:name="_Toc28359095"/>
      <w:r/>
      <w:bookmarkStart w:id="31" w:name="_Toc28359018"/>
      <w:r/>
      <w:bookmarkStart w:id="32" w:name="_Toc35393805"/>
      <w:r/>
      <w:bookmarkStart w:id="33" w:name="_Toc15056"/>
      <w:r/>
      <w:bookmarkStart w:id="34" w:name="_Toc35393636"/>
      <w:r>
        <w:rPr>
          <w:rFonts w:hint="eastAsia" w:ascii="黑体" w:hAnsi="黑体" w:eastAsia="黑体"/>
          <w:b/>
          <w:color w:val="auto"/>
          <w:sz w:val="28"/>
          <w:szCs w:val="28"/>
          <w:highlight w:val="none"/>
        </w:rPr>
        <w:t xml:space="preserve">七、凡对本次采购提出询问，请按</w:t>
      </w:r>
      <w:r>
        <w:rPr>
          <w:rFonts w:ascii="黑体" w:hAnsi="黑体" w:eastAsia="黑体"/>
          <w:b/>
          <w:color w:val="auto"/>
          <w:sz w:val="28"/>
          <w:szCs w:val="28"/>
          <w:highlight w:val="none"/>
        </w:rPr>
        <w:t xml:space="preserve">以下方式</w:t>
      </w:r>
      <w:r>
        <w:rPr>
          <w:rFonts w:hint="eastAsia" w:ascii="黑体" w:hAnsi="黑体" w:eastAsia="黑体"/>
          <w:b/>
          <w:color w:val="auto"/>
          <w:sz w:val="28"/>
          <w:szCs w:val="28"/>
          <w:highlight w:val="none"/>
        </w:rPr>
        <w:t xml:space="preserve">联系。</w:t>
      </w:r>
      <w:bookmarkEnd w:id="30"/>
      <w:r/>
      <w:bookmarkEnd w:id="31"/>
      <w:r/>
      <w:bookmarkEnd w:id="32"/>
      <w:r/>
      <w:bookmarkEnd w:id="33"/>
      <w:r/>
      <w:bookmarkEnd w:id="34"/>
      <w:r/>
      <w:r/>
    </w:p>
    <w:p>
      <w:pPr>
        <w:ind w:firstLine="540"/>
        <w:spacing w:line="500" w:lineRule="exact"/>
        <w:rPr>
          <w:rFonts w:ascii="仿宋" w:hAnsi="仿宋" w:eastAsia="仿宋" w:cs="宋体"/>
          <w:bCs/>
          <w:color w:val="auto"/>
          <w:sz w:val="28"/>
          <w:szCs w:val="28"/>
          <w:highlight w:val="none"/>
        </w:rPr>
      </w:pPr>
      <w:r/>
      <w:bookmarkStart w:id="35" w:name="_Toc28359096"/>
      <w:r/>
      <w:bookmarkStart w:id="36" w:name="_Toc35393806"/>
      <w:r/>
      <w:bookmarkStart w:id="37" w:name="_Toc28359019"/>
      <w:r/>
      <w:bookmarkStart w:id="38" w:name="_Toc35393637"/>
      <w:r>
        <w:rPr>
          <w:rFonts w:hint="eastAsia" w:ascii="仿宋" w:hAnsi="仿宋" w:eastAsia="仿宋" w:cs="宋体"/>
          <w:bCs/>
          <w:color w:val="auto"/>
          <w:sz w:val="28"/>
          <w:szCs w:val="28"/>
          <w:highlight w:val="none"/>
        </w:rPr>
        <w:t xml:space="preserve">1. 采购人信息</w:t>
      </w:r>
      <w:bookmarkEnd w:id="35"/>
      <w:r/>
      <w:bookmarkEnd w:id="36"/>
      <w:r/>
      <w:bookmarkEnd w:id="37"/>
      <w:r/>
      <w:bookmarkEnd w:id="38"/>
      <w:r/>
      <w:r/>
    </w:p>
    <w:p>
      <w:pPr>
        <w:ind w:firstLine="84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名    称：南通市如皋生态环境局</w:t>
      </w:r>
      <w:r/>
    </w:p>
    <w:p>
      <w:pPr>
        <w:ind w:firstLine="84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地    址：如皋市如城镇解放路</w:t>
      </w:r>
      <w:r/>
    </w:p>
    <w:p>
      <w:pPr>
        <w:ind w:firstLine="840"/>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项目经办人姓名：李益群</w:t>
      </w:r>
      <w:r/>
    </w:p>
    <w:p>
      <w:pPr>
        <w:ind w:firstLine="84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项目经办人联系方式：13921681386</w:t>
      </w:r>
      <w:r/>
    </w:p>
    <w:p>
      <w:pPr>
        <w:ind w:firstLine="540"/>
        <w:spacing w:line="500" w:lineRule="exact"/>
        <w:rPr>
          <w:rFonts w:ascii="仿宋" w:hAnsi="仿宋" w:eastAsia="仿宋" w:cs="宋体"/>
          <w:bCs/>
          <w:color w:val="auto"/>
          <w:sz w:val="28"/>
          <w:szCs w:val="28"/>
          <w:highlight w:val="none"/>
        </w:rPr>
      </w:pPr>
      <w:r/>
      <w:bookmarkStart w:id="39" w:name="_Toc35393638"/>
      <w:r/>
      <w:bookmarkStart w:id="40" w:name="_Toc28359097"/>
      <w:r/>
      <w:bookmarkStart w:id="41" w:name="_Toc35393807"/>
      <w:r/>
      <w:bookmarkStart w:id="42" w:name="_Toc28359020"/>
      <w:r>
        <w:rPr>
          <w:rFonts w:hint="eastAsia" w:ascii="仿宋" w:hAnsi="仿宋" w:eastAsia="仿宋" w:cs="宋体"/>
          <w:bCs/>
          <w:color w:val="auto"/>
          <w:sz w:val="28"/>
          <w:szCs w:val="28"/>
          <w:highlight w:val="none"/>
        </w:rPr>
        <w:t xml:space="preserve">2. 采购代理机构信息（如有）</w:t>
      </w:r>
      <w:bookmarkEnd w:id="39"/>
      <w:r/>
      <w:bookmarkEnd w:id="40"/>
      <w:r/>
      <w:bookmarkEnd w:id="41"/>
      <w:r/>
      <w:bookmarkEnd w:id="42"/>
      <w:r/>
      <w:r/>
    </w:p>
    <w:p>
      <w:pPr>
        <w:ind w:firstLine="84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名    称：南通中江工程项目管理有限公司</w:t>
      </w:r>
      <w:r/>
    </w:p>
    <w:p>
      <w:pPr>
        <w:ind w:firstLine="84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地　　址：如皋市如城街道惠政路269号纪庄大楼9层</w:t>
      </w:r>
      <w:r/>
    </w:p>
    <w:p>
      <w:pPr>
        <w:ind w:firstLine="84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项目经办人姓名：魏书丽</w:t>
      </w:r>
      <w:r/>
    </w:p>
    <w:p>
      <w:pPr>
        <w:ind w:firstLine="84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项目经办人联系方式：15051237698</w:t>
      </w:r>
      <w:r/>
    </w:p>
    <w:p>
      <w:pPr>
        <w:ind w:firstLine="840"/>
        <w:spacing w:line="500" w:lineRule="exact"/>
        <w:rPr>
          <w:rFonts w:ascii="仿宋" w:hAnsi="仿宋" w:eastAsia="仿宋"/>
          <w:bCs/>
          <w:color w:val="auto"/>
          <w:sz w:val="28"/>
          <w:szCs w:val="28"/>
          <w:highlight w:val="none"/>
          <w:u w:val="single"/>
        </w:rPr>
      </w:pPr>
      <w:r>
        <w:rPr>
          <w:rFonts w:ascii="仿宋" w:hAnsi="仿宋" w:eastAsia="仿宋"/>
          <w:bCs/>
          <w:color w:val="auto"/>
          <w:sz w:val="28"/>
          <w:szCs w:val="28"/>
          <w:highlight w:val="none"/>
          <w:u w:val="single"/>
        </w:rPr>
      </w:r>
      <w:r/>
    </w:p>
    <w:p>
      <w:pPr>
        <w:spacing w:line="500" w:lineRule="exact"/>
        <w:rPr>
          <w:rFonts w:hint="eastAsia" w:ascii="仿宋" w:hAnsi="仿宋" w:eastAsia="仿宋"/>
          <w:bCs/>
          <w:color w:val="auto"/>
          <w:sz w:val="28"/>
          <w:szCs w:val="28"/>
          <w:highlight w:val="none"/>
        </w:rPr>
      </w:pPr>
      <w:r>
        <w:rPr>
          <w:rFonts w:ascii="仿宋" w:hAnsi="仿宋" w:eastAsia="仿宋"/>
          <w:bCs/>
          <w:color w:val="auto"/>
          <w:sz w:val="28"/>
          <w:szCs w:val="28"/>
          <w:highlight w:val="none"/>
        </w:rPr>
        <w:t xml:space="preserve">附件:</w:t>
      </w:r>
      <w:r>
        <w:rPr>
          <w:rFonts w:hint="eastAsia" w:ascii="仿宋" w:hAnsi="仿宋" w:eastAsia="仿宋"/>
          <w:bCs/>
          <w:color w:val="auto"/>
          <w:sz w:val="28"/>
          <w:szCs w:val="28"/>
          <w:highlight w:val="none"/>
        </w:rPr>
        <w:t xml:space="preserve"> 1.南通市政府采购线上合同信用融资政策告知函</w:t>
      </w:r>
      <w:r/>
    </w:p>
    <w:p>
      <w:pPr>
        <w:ind w:firstLine="84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招标文件</w:t>
      </w:r>
      <w:bookmarkStart w:id="143" w:name="_GoBack"/>
      <w:r/>
      <w:bookmarkEnd w:id="143"/>
      <w:r/>
      <w:r/>
    </w:p>
    <w:p>
      <w:pPr>
        <w:ind w:firstLine="84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3.采购人</w:t>
      </w:r>
      <w:r>
        <w:rPr>
          <w:rFonts w:ascii="仿宋" w:hAnsi="仿宋" w:eastAsia="仿宋"/>
          <w:bCs/>
          <w:color w:val="auto"/>
          <w:sz w:val="28"/>
          <w:szCs w:val="28"/>
          <w:highlight w:val="none"/>
        </w:rPr>
        <w:t xml:space="preserve">信用承诺</w:t>
      </w:r>
      <w:r/>
    </w:p>
    <w:p>
      <w:pPr>
        <w:ind w:firstLine="843"/>
        <w:jc w:val="center"/>
        <w:rPr>
          <w:rFonts w:ascii="方正小标宋简体" w:eastAsia="方正小标宋简体"/>
          <w:b/>
          <w:color w:val="auto"/>
          <w:sz w:val="32"/>
          <w:szCs w:val="32"/>
          <w:highlight w:val="none"/>
        </w:rPr>
        <w:outlineLvl w:val="0"/>
      </w:pPr>
      <w:r>
        <w:rPr>
          <w:rFonts w:ascii="仿宋" w:hAnsi="仿宋" w:eastAsia="仿宋"/>
          <w:b/>
          <w:color w:val="auto"/>
          <w:sz w:val="28"/>
          <w:szCs w:val="28"/>
          <w:highlight w:val="none"/>
          <w:u w:val="single"/>
        </w:rPr>
        <w:br w:type="page" w:clear="all"/>
      </w:r>
      <w:bookmarkStart w:id="43" w:name="_Toc15844"/>
      <w:r>
        <w:rPr>
          <w:rFonts w:hint="eastAsia" w:ascii="方正小标宋简体" w:eastAsia="方正小标宋简体"/>
          <w:b/>
          <w:color w:val="auto"/>
          <w:sz w:val="32"/>
          <w:szCs w:val="32"/>
          <w:highlight w:val="none"/>
        </w:rPr>
        <w:t xml:space="preserve">第2章 投标须知</w:t>
      </w:r>
      <w:bookmarkEnd w:id="43"/>
      <w:r/>
      <w:r/>
    </w:p>
    <w:p>
      <w:pPr>
        <w:ind w:firstLine="548"/>
        <w:spacing w:line="500" w:lineRule="exact"/>
        <w:rPr>
          <w:rFonts w:ascii="黑体" w:hAnsi="黑体" w:eastAsia="黑体"/>
          <w:bCs/>
          <w:color w:val="auto"/>
          <w:sz w:val="28"/>
          <w:szCs w:val="28"/>
          <w:highlight w:val="none"/>
        </w:rPr>
        <w:outlineLvl w:val="1"/>
      </w:pPr>
      <w:r/>
      <w:bookmarkStart w:id="44" w:name="_Toc25766"/>
      <w:r>
        <w:rPr>
          <w:rFonts w:hint="eastAsia" w:ascii="黑体" w:hAnsi="黑体" w:eastAsia="黑体"/>
          <w:bCs/>
          <w:color w:val="auto"/>
          <w:sz w:val="28"/>
          <w:szCs w:val="28"/>
          <w:highlight w:val="none"/>
        </w:rPr>
        <w:t xml:space="preserve">1. 投标费用</w:t>
      </w:r>
      <w:bookmarkEnd w:id="44"/>
      <w:r/>
      <w:r/>
    </w:p>
    <w:p>
      <w:pPr>
        <w:ind w:firstLine="560"/>
        <w:spacing w:line="500" w:lineRule="exact"/>
        <w:tabs>
          <w:tab w:val="left" w:pos="90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1.1 投标人应自行承担所有与投标有关的费用。不论最终的中标结果如何，采购人或者代理机构在任何情况下均无义务和责任承担这些费用。</w:t>
      </w:r>
      <w:r/>
    </w:p>
    <w:p>
      <w:pPr>
        <w:ind w:firstLine="560"/>
        <w:spacing w:line="500" w:lineRule="exact"/>
        <w:tabs>
          <w:tab w:val="left" w:pos="900" w:leader="none"/>
        </w:tabs>
        <w:rPr>
          <w:rFonts w:ascii="黑体" w:hAnsi="黑体" w:eastAsia="黑体"/>
          <w:bCs/>
          <w:color w:val="auto"/>
          <w:sz w:val="28"/>
          <w:szCs w:val="28"/>
          <w:highlight w:val="none"/>
        </w:rPr>
        <w:outlineLvl w:val="1"/>
      </w:pPr>
      <w:r/>
      <w:bookmarkStart w:id="45" w:name="_Toc8595"/>
      <w:r>
        <w:rPr>
          <w:rFonts w:hint="eastAsia" w:ascii="黑体" w:hAnsi="黑体" w:eastAsia="黑体"/>
          <w:bCs/>
          <w:color w:val="auto"/>
          <w:sz w:val="28"/>
          <w:szCs w:val="28"/>
          <w:highlight w:val="none"/>
        </w:rPr>
        <w:t xml:space="preserve">2. 招标文件的约束力</w:t>
      </w:r>
      <w:bookmarkEnd w:id="45"/>
      <w:r/>
      <w:r/>
    </w:p>
    <w:p>
      <w:pPr>
        <w:ind w:left="120" w:firstLine="557"/>
        <w:spacing w:line="500" w:lineRule="exact"/>
        <w:tabs>
          <w:tab w:val="left" w:pos="90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firstLine="697"/>
        <w:spacing w:line="500" w:lineRule="exact"/>
        <w:tabs>
          <w:tab w:val="left" w:pos="90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697"/>
        <w:spacing w:line="500" w:lineRule="exact"/>
        <w:tabs>
          <w:tab w:val="left" w:pos="90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697"/>
        <w:spacing w:line="500" w:lineRule="exact"/>
        <w:tabs>
          <w:tab w:val="left" w:pos="90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697"/>
        <w:spacing w:line="500" w:lineRule="exact"/>
        <w:tabs>
          <w:tab w:val="left" w:pos="90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2.5 采购人或者采购代理机构在发布招标公告、资格预审公告或者发出投标邀请书后，除因重大变故采购任务取消情况外，不得擅自终止招标活动。</w:t>
      </w:r>
      <w:r/>
    </w:p>
    <w:p>
      <w:pPr>
        <w:ind w:firstLine="560"/>
        <w:spacing w:line="500" w:lineRule="exact"/>
        <w:rPr>
          <w:rFonts w:ascii="黑体" w:hAnsi="黑体" w:eastAsia="黑体"/>
          <w:bCs/>
          <w:color w:val="auto"/>
          <w:sz w:val="28"/>
          <w:szCs w:val="28"/>
          <w:highlight w:val="none"/>
        </w:rPr>
        <w:outlineLvl w:val="1"/>
      </w:pPr>
      <w:r/>
      <w:bookmarkStart w:id="46" w:name="_Hlt26670348"/>
      <w:r/>
      <w:bookmarkEnd w:id="46"/>
      <w:r/>
      <w:bookmarkStart w:id="47" w:name="_Hlt26668969"/>
      <w:r/>
      <w:bookmarkEnd w:id="47"/>
      <w:r/>
      <w:bookmarkStart w:id="48" w:name="_Hlt26954832"/>
      <w:r/>
      <w:bookmarkEnd w:id="48"/>
      <w:r/>
      <w:bookmarkStart w:id="49" w:name="_Hlt26954830"/>
      <w:r/>
      <w:bookmarkEnd w:id="49"/>
      <w:r/>
      <w:bookmarkStart w:id="50" w:name="_Hlt26954828"/>
      <w:r/>
      <w:bookmarkEnd w:id="50"/>
      <w:r/>
      <w:bookmarkStart w:id="51" w:name="_Hlt26670354"/>
      <w:r/>
      <w:bookmarkEnd w:id="51"/>
      <w:r/>
      <w:bookmarkStart w:id="52" w:name="_Hlt26670345"/>
      <w:r/>
      <w:bookmarkEnd w:id="52"/>
      <w:r/>
      <w:bookmarkStart w:id="53" w:name="_Toc21408"/>
      <w:r>
        <w:rPr>
          <w:rFonts w:hint="eastAsia" w:ascii="黑体" w:hAnsi="黑体" w:eastAsia="黑体"/>
          <w:bCs/>
          <w:color w:val="auto"/>
          <w:sz w:val="28"/>
          <w:szCs w:val="28"/>
          <w:highlight w:val="none"/>
        </w:rPr>
        <w:t xml:space="preserve">3.投标文件编制</w:t>
      </w:r>
      <w:bookmarkEnd w:id="53"/>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bCs/>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3.2 除技术性能另有规定外，投标文件所使用的度量衡单位，均须采用国家法定计量单位</w:t>
      </w:r>
      <w:r>
        <w:rPr>
          <w:rFonts w:ascii="仿宋" w:hAnsi="仿宋" w:eastAsia="仿宋"/>
          <w:bCs/>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3.3 投标文件由开标一览表、资格审查文件、商务技术文件和报价文件等四部分组成，具体按照“第6章 投标文件组成”要求编写</w:t>
      </w:r>
      <w:r>
        <w:rPr>
          <w:rFonts w:ascii="仿宋" w:hAnsi="仿宋" w:eastAsia="仿宋"/>
          <w:bCs/>
          <w:color w:val="auto"/>
          <w:sz w:val="28"/>
          <w:szCs w:val="28"/>
          <w:highlight w:val="none"/>
        </w:rPr>
        <w:t xml:space="preserve">。</w:t>
      </w:r>
      <w:r/>
    </w:p>
    <w:p>
      <w:pPr>
        <w:ind w:firstLine="560"/>
        <w:spacing w:line="500" w:lineRule="exact"/>
        <w:rPr>
          <w:rFonts w:ascii="黑体" w:hAnsi="黑体" w:eastAsia="黑体"/>
          <w:bCs/>
          <w:color w:val="auto"/>
          <w:sz w:val="28"/>
          <w:szCs w:val="28"/>
          <w:highlight w:val="none"/>
        </w:rPr>
        <w:outlineLvl w:val="1"/>
      </w:pPr>
      <w:r/>
      <w:bookmarkStart w:id="54" w:name="_Toc19886"/>
      <w:r>
        <w:rPr>
          <w:rFonts w:hint="eastAsia" w:ascii="黑体" w:hAnsi="黑体" w:eastAsia="黑体"/>
          <w:bCs/>
          <w:color w:val="auto"/>
          <w:sz w:val="28"/>
          <w:szCs w:val="28"/>
          <w:highlight w:val="none"/>
        </w:rPr>
        <w:t xml:space="preserve">4. 投标文件提交、撤回和修改</w:t>
      </w:r>
      <w:bookmarkEnd w:id="54"/>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4.1 供应商对CA证书妥善保管，如被他人盗用投标，因此带来的结果均由供应商自行承担。</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4.2 供应商应当按照采购文件和“苏采云”系统的要求编制并加密投标文件。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4.7 供应商可在投标文件提交截止时间前，撤回其电子投标文件，具体操作方法见《江苏省政府采购（供应商）国信CA数字证书及电子签章办理指南》。供应商撤回电子投标文件的，则认为其不再参与本项目招标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4.8供应商可在投标文件提交截止时间前，对其电子投标文件进行修改。在投标文件提交截止时间之后，供应商不得对其电子投标文件作任何修改。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4.9 采购代理机构可以通过修改招标文件，酌情延长投标文件提交截止时间。</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4.10 投标文件的有效期：从提交投标文件截止日起90天。</w:t>
      </w:r>
      <w:r/>
    </w:p>
    <w:p>
      <w:pPr>
        <w:ind w:firstLine="560"/>
        <w:spacing w:line="500" w:lineRule="exact"/>
        <w:tabs>
          <w:tab w:val="left" w:pos="900" w:leader="none"/>
        </w:tabs>
        <w:rPr>
          <w:rFonts w:ascii="仿宋" w:hAnsi="仿宋" w:eastAsia="仿宋"/>
          <w:bCs/>
          <w:color w:val="auto"/>
          <w:sz w:val="28"/>
          <w:szCs w:val="28"/>
          <w:highlight w:val="none"/>
        </w:rPr>
        <w:outlineLvl w:val="1"/>
      </w:pPr>
      <w:r/>
      <w:bookmarkStart w:id="55" w:name="_Toc3791"/>
      <w:r>
        <w:rPr>
          <w:rFonts w:hint="eastAsia" w:ascii="黑体" w:hAnsi="黑体" w:eastAsia="黑体"/>
          <w:bCs/>
          <w:color w:val="auto"/>
          <w:sz w:val="28"/>
          <w:szCs w:val="28"/>
          <w:highlight w:val="none"/>
        </w:rPr>
        <w:t xml:space="preserve">5. 开标和评标</w:t>
      </w:r>
      <w:bookmarkEnd w:id="55"/>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 采购人或者采购代理机构将在公开招标公告中规定的时间和地点组织开标活动。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5.2开标前，供应商使用CA数字证书登录“苏采云”系统，并根据开标会议区发出投标文件解密的指令，在30分钟之内使用CA数字证书解密各自投标文件。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5.4因采购人原因或网上招投标平台发生故障，导致无法按时完成投标文件解密或评标工作无法进行的，可根据实际情况相应延迟解密时间或调整评标时间。</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5.5 供应商在评标全过程中应保持通讯畅通，并安排专人与采购人或采购代理机构及评标委员会联系</w:t>
      </w:r>
      <w:r>
        <w:rPr>
          <w:rFonts w:ascii="仿宋" w:hAnsi="仿宋" w:eastAsia="仿宋"/>
          <w:bCs/>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5.6 开标结束后，</w:t>
      </w:r>
      <w:r>
        <w:rPr>
          <w:rFonts w:ascii="仿宋" w:hAnsi="仿宋" w:eastAsia="仿宋"/>
          <w:bCs/>
          <w:color w:val="auto"/>
          <w:sz w:val="28"/>
          <w:szCs w:val="28"/>
          <w:highlight w:val="none"/>
        </w:rPr>
        <w:t xml:space="preserve">采购人或者采购代理机构依法对投标人的资格进行审查。合格投标人不足3家的，不得评标。</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5.7 </w:t>
      </w:r>
      <w:r>
        <w:rPr>
          <w:rFonts w:ascii="仿宋" w:hAnsi="仿宋" w:eastAsia="仿宋"/>
          <w:bCs/>
          <w:color w:val="auto"/>
          <w:sz w:val="28"/>
          <w:szCs w:val="28"/>
          <w:highlight w:val="none"/>
        </w:rPr>
        <w:t xml:space="preserve">评标委员会由采购人代表和评审专家组成，成员人数应当为5人以上单数，其中评审专家不得少于成员总数的三分之二。对于</w:t>
      </w:r>
      <w:r>
        <w:rPr>
          <w:color w:val="auto"/>
          <w:highlight w:val="none"/>
        </w:rPr>
        <w:fldChar w:fldCharType="begin"/>
      </w:r>
      <w:r>
        <w:rPr>
          <w:color w:val="auto"/>
          <w:highlight w:val="none"/>
        </w:rPr>
        <w:instrText xml:space="preserve"> HYPERLINK "https://baike.baidu.com/item/%E9%87%87%E8%B4%AD%E9%A2%84%E7%AE%97/6362950?fromModule=lemma_inlink" \t "_blank" </w:instrText>
      </w:r>
      <w:r>
        <w:rPr>
          <w:color w:val="auto"/>
          <w:highlight w:val="none"/>
        </w:rPr>
        <w:fldChar w:fldCharType="separate"/>
      </w:r>
      <w:r>
        <w:rPr>
          <w:rFonts w:ascii="仿宋" w:hAnsi="仿宋" w:eastAsia="仿宋"/>
          <w:bCs/>
          <w:color w:val="auto"/>
          <w:sz w:val="28"/>
          <w:szCs w:val="28"/>
          <w:highlight w:val="none"/>
        </w:rPr>
        <w:t xml:space="preserve">预算</w:t>
      </w:r>
      <w:r>
        <w:rPr>
          <w:rFonts w:ascii="仿宋" w:hAnsi="仿宋" w:eastAsia="仿宋"/>
          <w:bCs/>
          <w:color w:val="auto"/>
          <w:sz w:val="28"/>
          <w:szCs w:val="28"/>
          <w:highlight w:val="none"/>
        </w:rPr>
        <w:fldChar w:fldCharType="end"/>
      </w:r>
      <w:r>
        <w:rPr>
          <w:rFonts w:ascii="仿宋" w:hAnsi="仿宋" w:eastAsia="仿宋"/>
          <w:bCs/>
          <w:color w:val="auto"/>
          <w:sz w:val="28"/>
          <w:szCs w:val="28"/>
          <w:highlight w:val="none"/>
        </w:rPr>
        <w:t xml:space="preserve">金额在1000万元以上</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技术复杂</w:t>
      </w:r>
      <w:r>
        <w:rPr>
          <w:rFonts w:hint="eastAsia" w:ascii="仿宋" w:hAnsi="仿宋" w:eastAsia="仿宋"/>
          <w:bCs/>
          <w:color w:val="auto"/>
          <w:sz w:val="28"/>
          <w:szCs w:val="28"/>
          <w:highlight w:val="none"/>
        </w:rPr>
        <w:t xml:space="preserve">或者</w:t>
      </w:r>
      <w:r>
        <w:rPr>
          <w:rFonts w:ascii="仿宋" w:hAnsi="仿宋" w:eastAsia="仿宋"/>
          <w:bCs/>
          <w:color w:val="auto"/>
          <w:sz w:val="28"/>
          <w:szCs w:val="28"/>
          <w:highlight w:val="none"/>
        </w:rPr>
        <w:t xml:space="preserve">社会影响较大的采购项目，评标委员会成员人数应当为7人以上单数</w:t>
      </w:r>
      <w:r>
        <w:rPr>
          <w:rFonts w:hint="eastAsia" w:ascii="仿宋" w:hAnsi="仿宋" w:eastAsia="仿宋"/>
          <w:bCs/>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5.8 </w:t>
      </w:r>
      <w:r>
        <w:rPr>
          <w:rFonts w:ascii="仿宋" w:hAnsi="仿宋" w:eastAsia="仿宋"/>
          <w:bCs/>
          <w:color w:val="auto"/>
          <w:sz w:val="28"/>
          <w:szCs w:val="28"/>
          <w:highlight w:val="none"/>
        </w:rPr>
        <w:t xml:space="preserve">采购人或者采购代理机构应当从省级以上财政部门设立的政府采购评审专家库中，通过随机方式抽取评审专家。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5.9 </w:t>
      </w:r>
      <w:r>
        <w:rPr>
          <w:rFonts w:ascii="仿宋" w:hAnsi="仿宋" w:eastAsia="仿宋"/>
          <w:bCs/>
          <w:color w:val="auto"/>
          <w:sz w:val="28"/>
          <w:szCs w:val="28"/>
          <w:highlight w:val="none"/>
        </w:rPr>
        <w:t xml:space="preserve">对技术复杂、专业性强的采购项目，通过随机方式难以确定合适评审专家的，经主管</w:t>
      </w:r>
      <w:r>
        <w:rPr>
          <w:color w:val="auto"/>
          <w:highlight w:val="none"/>
        </w:rPr>
        <w:fldChar w:fldCharType="begin"/>
      </w:r>
      <w:r>
        <w:rPr>
          <w:color w:val="auto"/>
          <w:highlight w:val="none"/>
        </w:rPr>
        <w:instrText xml:space="preserve"> HYPERLINK "https://baike.baidu.com/item/%E9%A2%84%E7%AE%97%E5%8D%95%E4%BD%8D/2793664?fromModule=lemma_inlink" \t "_blank" </w:instrText>
      </w:r>
      <w:r>
        <w:rPr>
          <w:color w:val="auto"/>
          <w:highlight w:val="none"/>
        </w:rPr>
        <w:fldChar w:fldCharType="separate"/>
      </w:r>
      <w:r>
        <w:rPr>
          <w:rFonts w:ascii="仿宋" w:hAnsi="仿宋" w:eastAsia="仿宋"/>
          <w:bCs/>
          <w:color w:val="auto"/>
          <w:sz w:val="28"/>
          <w:szCs w:val="28"/>
          <w:highlight w:val="none"/>
        </w:rPr>
        <w:t xml:space="preserve">预算单位</w:t>
      </w:r>
      <w:r>
        <w:rPr>
          <w:rFonts w:ascii="仿宋" w:hAnsi="仿宋" w:eastAsia="仿宋"/>
          <w:bCs/>
          <w:color w:val="auto"/>
          <w:sz w:val="28"/>
          <w:szCs w:val="28"/>
          <w:highlight w:val="none"/>
        </w:rPr>
        <w:fldChar w:fldCharType="end"/>
      </w:r>
      <w:r>
        <w:rPr>
          <w:rFonts w:ascii="仿宋" w:hAnsi="仿宋" w:eastAsia="仿宋"/>
          <w:bCs/>
          <w:color w:val="auto"/>
          <w:sz w:val="28"/>
          <w:szCs w:val="28"/>
          <w:highlight w:val="none"/>
        </w:rPr>
        <w:t xml:space="preserve">同意，采购人可以自行选定相应专业领域的评审专家。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5.10 除了第5.9条规定的情形之外，</w:t>
      </w:r>
      <w:r>
        <w:rPr>
          <w:rFonts w:ascii="仿宋" w:hAnsi="仿宋" w:eastAsia="仿宋"/>
          <w:bCs/>
          <w:color w:val="auto"/>
          <w:sz w:val="28"/>
          <w:szCs w:val="28"/>
          <w:highlight w:val="none"/>
        </w:rPr>
        <w:t xml:space="preserve">评审专家对本单位的采购项目只能作为采购人代表参与评标。</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5.12评标委员会评标时，可以通过视频会议，要求供应商对投标文件中含义不明确、同类问题表述不一致或者有明显文字和计算错误的内容等作出必要的澄清、说明或者更正。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5.13 接到澄清要求的供应商，应在评标委员会规定的时间内做出澄清，澄清的内容作为投标文件的补充部分，但澄清、说明或者更正不得超出投标文件的范围或者改变投标文件的实质性内容。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5.14 出现下列情形之一的，评标委员会应当启动异常低价响应审查程序： </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5.14.1.响应报价低于全部通过符合性审查供应商响应报价平均值50%的，即响应报价&lt;全部通过符合性审查供应商响应报价平均值×50%；</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5.14.2响应报价低于通过符合性审查的次低报价供应商响应报价50%的，即响应报价&lt;通过符合性审查的次低报价供应商响应报价×50%；</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5.14.3响应报价低于采购项目最高限价45%的，即响应报价&lt;采购项目最高限价×45%；</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5.14.4评标委员会基于专业判断，认为供应商报价过低，有可能影响产品质量或者不能诚信履约的其他情形。</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评标委员会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投标处理。</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5.15投标文件报价出现前后不一致的，除招标文件另有规定外，按照下列规定修正：</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5.15.1投标文件中开标一览表（报价表）内容与投标文件中相应内容不一致的，以开标一览表（报价表）为准；</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5.15.2大写金额和小写金额不一致的，以大写金额为准；</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5.15.3单价金额小数点或者百分比有明显错位的，以开标一览表的总价为准，并修改单价；</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5.15.4总价金额与按单价汇总金额不一致的，以单价金额计算结果为准。</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5.15.6同时出现两种以上不一致的，按照前款规定的顺序修正。修正后的报价经投标人确认后产生约束力，投标人不确认的，其投标无效。</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482"/>
        <w:jc w:val="left"/>
        <w:shd w:val="clear" w:color="auto" w:fill="ffffff"/>
        <w:widowControl/>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5.18</w:t>
      </w:r>
      <w:r>
        <w:rPr>
          <w:rFonts w:ascii="仿宋" w:hAnsi="仿宋" w:eastAsia="仿宋"/>
          <w:bCs/>
          <w:color w:val="auto"/>
          <w:sz w:val="28"/>
          <w:szCs w:val="28"/>
          <w:highlight w:val="none"/>
        </w:rPr>
        <w:t xml:space="preserve"> 评标结果汇总完成后，除</w:t>
      </w:r>
      <w:r>
        <w:rPr>
          <w:rFonts w:hint="eastAsia" w:ascii="仿宋" w:hAnsi="仿宋" w:eastAsia="仿宋"/>
          <w:bCs/>
          <w:color w:val="auto"/>
          <w:sz w:val="28"/>
          <w:szCs w:val="28"/>
          <w:highlight w:val="none"/>
        </w:rPr>
        <w:t xml:space="preserve">了</w:t>
      </w:r>
      <w:r>
        <w:rPr>
          <w:rFonts w:ascii="仿宋" w:hAnsi="仿宋" w:eastAsia="仿宋"/>
          <w:bCs/>
          <w:color w:val="auto"/>
          <w:sz w:val="28"/>
          <w:szCs w:val="28"/>
          <w:highlight w:val="none"/>
        </w:rPr>
        <w:t xml:space="preserve">分值汇总计算错误</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分项评分超出评分标准范围</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评标委员会成员对客观评审因素评分不一致</w:t>
      </w:r>
      <w:r>
        <w:rPr>
          <w:rFonts w:hint="eastAsia" w:ascii="仿宋" w:hAnsi="仿宋" w:eastAsia="仿宋"/>
          <w:bCs/>
          <w:color w:val="auto"/>
          <w:sz w:val="28"/>
          <w:szCs w:val="28"/>
          <w:highlight w:val="none"/>
        </w:rPr>
        <w:t xml:space="preserve">、或者</w:t>
      </w:r>
      <w:r>
        <w:rPr>
          <w:rFonts w:ascii="仿宋" w:hAnsi="仿宋" w:eastAsia="仿宋"/>
          <w:bCs/>
          <w:color w:val="auto"/>
          <w:sz w:val="28"/>
          <w:szCs w:val="28"/>
          <w:highlight w:val="none"/>
        </w:rPr>
        <w:t xml:space="preserve">经评标委员会认定评分畸高、畸低</w:t>
      </w:r>
      <w:r>
        <w:rPr>
          <w:rFonts w:hint="eastAsia" w:ascii="仿宋" w:hAnsi="仿宋" w:eastAsia="仿宋"/>
          <w:bCs/>
          <w:color w:val="auto"/>
          <w:sz w:val="28"/>
          <w:szCs w:val="28"/>
          <w:highlight w:val="none"/>
        </w:rPr>
        <w:t xml:space="preserve">等</w:t>
      </w:r>
      <w:r>
        <w:rPr>
          <w:rFonts w:ascii="仿宋" w:hAnsi="仿宋" w:eastAsia="仿宋"/>
          <w:bCs/>
          <w:color w:val="auto"/>
          <w:sz w:val="28"/>
          <w:szCs w:val="28"/>
          <w:highlight w:val="none"/>
        </w:rPr>
        <w:t xml:space="preserve">情形之外，任何人不得修改评标结果</w:t>
      </w:r>
      <w:r>
        <w:rPr>
          <w:rFonts w:hint="eastAsia" w:ascii="仿宋" w:hAnsi="仿宋" w:eastAsia="仿宋"/>
          <w:bCs/>
          <w:color w:val="auto"/>
          <w:sz w:val="28"/>
          <w:szCs w:val="28"/>
          <w:highlight w:val="none"/>
        </w:rPr>
        <w:t xml:space="preserve">。</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5.19 有下列情形之一的，视为投标人串通投标，其投标无效：</w:t>
      </w:r>
      <w:r/>
    </w:p>
    <w:p>
      <w:pPr>
        <w:ind w:firstLine="57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5.19.1不同投标人的投标文件由同一单位或者个人编制；</w:t>
      </w:r>
      <w:r/>
    </w:p>
    <w:p>
      <w:pPr>
        <w:ind w:firstLine="57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5.19.2不同投标人的电子投标文件由同一台电子设备编制、打包、加密或者上传；</w:t>
      </w:r>
      <w:r/>
    </w:p>
    <w:p>
      <w:pPr>
        <w:ind w:firstLine="57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5.19.3 不同投标人的投标文件由同一投标人的电子设备打印、复印；</w:t>
      </w:r>
      <w:r/>
    </w:p>
    <w:p>
      <w:pPr>
        <w:ind w:firstLine="57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5.19.4不同投标人的投标报价用同一个预算编制软件密码锁制作或者出自同一投标人的电子文档；</w:t>
      </w:r>
      <w:r/>
    </w:p>
    <w:p>
      <w:pPr>
        <w:ind w:firstLine="57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5.19.5不同投标人从同一个投标单位或者同一个自然人的互联网协议地址下载招标文件、上传投标文件；</w:t>
      </w:r>
      <w:r/>
    </w:p>
    <w:p>
      <w:pPr>
        <w:ind w:firstLine="57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5.19.6 不同投标人的投标文件异常一致或者投标报价呈规律性差异；</w:t>
      </w:r>
      <w:r/>
    </w:p>
    <w:p>
      <w:pPr>
        <w:ind w:firstLine="57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5.19.7 不同投标人委托同一单位或者个人办理投标事宜；</w:t>
      </w:r>
      <w:r/>
    </w:p>
    <w:p>
      <w:pPr>
        <w:ind w:firstLine="57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5.19.8不同投标人的投标文件载明的项目管理成员或者联系人员为同一人；</w:t>
      </w:r>
      <w:r/>
    </w:p>
    <w:p>
      <w:pPr>
        <w:ind w:firstLine="57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5.19.9不同投标人的投标保证金虽然经由投标人自己的基本账户转出，但所需资金来自同一单位或者个人的账户。</w:t>
      </w:r>
      <w:r/>
    </w:p>
    <w:p>
      <w:pPr>
        <w:ind w:firstLine="560"/>
        <w:spacing w:line="500" w:lineRule="exact"/>
        <w:rPr>
          <w:rFonts w:ascii="黑体" w:hAnsi="黑体" w:eastAsia="黑体"/>
          <w:bCs/>
          <w:color w:val="auto"/>
          <w:sz w:val="28"/>
          <w:szCs w:val="28"/>
          <w:highlight w:val="none"/>
        </w:rPr>
        <w:outlineLvl w:val="1"/>
      </w:pPr>
      <w:r/>
      <w:bookmarkStart w:id="56" w:name="_Toc23998"/>
      <w:r>
        <w:rPr>
          <w:rFonts w:hint="eastAsia" w:ascii="黑体" w:hAnsi="黑体" w:eastAsia="黑体"/>
          <w:bCs/>
          <w:color w:val="auto"/>
          <w:sz w:val="28"/>
          <w:szCs w:val="28"/>
          <w:highlight w:val="none"/>
        </w:rPr>
        <w:t xml:space="preserve">6. 中标和合同</w:t>
      </w:r>
      <w:bookmarkEnd w:id="56"/>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6.2 采购人自行组织招标的，应当在评标结束后5个工作日内确定中标人。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6.4 中标通知书发出后，采购人不得违法改变中标结果，中标人无正当理由不得放弃中标。</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6.6 采购人与中标人应当根据合同的约定依法履行合同义务。政府采购合同的履行、违约责任和解决争议的方法等适用《中华人民共和国民法典》。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color w:val="auto"/>
          <w:sz w:val="28"/>
          <w:szCs w:val="28"/>
          <w:highlight w:val="none"/>
        </w:rPr>
        <w:outlineLvl w:val="1"/>
      </w:pPr>
      <w:r/>
      <w:bookmarkStart w:id="57" w:name="_Toc6510"/>
      <w:r>
        <w:rPr>
          <w:rFonts w:hint="eastAsia" w:ascii="黑体" w:hAnsi="黑体" w:eastAsia="黑体"/>
          <w:bCs/>
          <w:color w:val="auto"/>
          <w:sz w:val="28"/>
          <w:szCs w:val="28"/>
          <w:highlight w:val="none"/>
        </w:rPr>
        <w:t xml:space="preserve">7.政府采购政策功能落实</w:t>
      </w:r>
      <w:bookmarkEnd w:id="57"/>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 对于非专门面向中小企业采购的项目，小微型企业享受价格扣除优惠。</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30%以上的，采购人、采购代理机构应当对联合体或者大中型企业的报价给予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7.1.4.2在工程采购项目中，工程由小微企业承建，即工程施工单位为小微企业；</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7.1.4.4以联合体形式参加政府采购活动，联合体各方均为小微企业的，联合体视同小微企业。</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7.1.6 下列情形不享受价格扣除政策：</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7.1.6.1在货物采购项目中，供应商提供的货物既有中小企业制造货物，也有大型企业制造货物的。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7.1.7《中小企业划型标准规定》（工信部联企业〔2011〕300号）</w:t>
      </w:r>
      <w:r/>
    </w:p>
    <w:tbl>
      <w:tblPr>
        <w:tblStyle w:val="875"/>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2194"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行业名称</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指标名称</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计量</w:t>
            </w:r>
            <w:r/>
          </w:p>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单位</w:t>
            </w:r>
            <w:r/>
          </w:p>
        </w:tc>
        <w:tc>
          <w:tcPr>
            <w:tcW w:w="205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中型</w:t>
            </w:r>
            <w:r/>
          </w:p>
        </w:tc>
        <w:tc>
          <w:tcPr>
            <w:tcW w:w="176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小型</w:t>
            </w:r>
            <w:r/>
          </w:p>
        </w:tc>
        <w:tc>
          <w:tcPr>
            <w:tcW w:w="1164"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微型</w:t>
            </w:r>
            <w:r/>
          </w:p>
        </w:tc>
      </w:tr>
      <w:tr>
        <w:trPr>
          <w:cantSplit/>
          <w:jc w:val="center"/>
        </w:trPr>
        <w:tc>
          <w:tcPr>
            <w:tcW w:w="2194"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农、林、牧、渔</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500≤Y&lt;20000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50≤Y&lt;500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Y&lt;50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工业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300≤X&lt;1000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20≤X&lt;300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2000≤Y&lt;40000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300≤Y&lt;2000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Y&lt;300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建筑业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6000≤Y&lt;80000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300≤Y&lt;6000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Y&lt;300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资产</w:t>
            </w:r>
            <w:r>
              <w:rPr>
                <w:rFonts w:ascii="仿宋" w:hAnsi="仿宋" w:eastAsia="仿宋"/>
                <w:bCs/>
                <w:color w:val="auto"/>
                <w:highlight w:val="none"/>
              </w:rPr>
              <w:t xml:space="preserve">总额（</w:t>
            </w:r>
            <w:r>
              <w:rPr>
                <w:rFonts w:hint="eastAsia" w:ascii="仿宋" w:hAnsi="仿宋" w:eastAsia="仿宋"/>
                <w:bCs/>
                <w:color w:val="auto"/>
                <w:highlight w:val="none"/>
              </w:rPr>
              <w:t xml:space="preserve">Z）</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5000≤Z &lt;80000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300≤Z &lt;5000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Z&lt;300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批发业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20≤X&lt;200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5≤X&lt;20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X&lt;5</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5000≤Y&lt;50000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1000≤Y&lt;5000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Y&lt;1000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零售业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50≤X&lt;300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10≤X&lt;50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500≤Y&lt;20000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100≤Y&lt;500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交通</w:t>
            </w:r>
            <w:r>
              <w:rPr>
                <w:rFonts w:ascii="仿宋" w:hAnsi="仿宋" w:eastAsia="仿宋"/>
                <w:bCs/>
                <w:color w:val="auto"/>
                <w:highlight w:val="none"/>
              </w:rPr>
              <w:t xml:space="preserve">运输业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300≤X&lt;1000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20≤X&lt;300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3000≤Y&lt;30000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200≤Y&lt;3000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Y&lt;200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仓储</w:t>
            </w:r>
            <w:r>
              <w:rPr>
                <w:rFonts w:ascii="仿宋" w:hAnsi="仿宋" w:eastAsia="仿宋"/>
                <w:bCs/>
                <w:color w:val="auto"/>
                <w:highlight w:val="none"/>
              </w:rPr>
              <w:t xml:space="preserve">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100≤X&lt;200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20≤X&lt;100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1000≤Y&lt;30000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100≤Y&lt;1000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邮</w:t>
            </w:r>
            <w:r>
              <w:rPr>
                <w:rFonts w:ascii="仿宋" w:hAnsi="仿宋" w:eastAsia="仿宋"/>
                <w:bCs/>
                <w:color w:val="auto"/>
                <w:highlight w:val="none"/>
              </w:rPr>
              <w:t xml:space="preserve">政业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300≤X&lt;1000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20≤X&lt;300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2000≤Y&lt;30000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100≤Y&lt;2000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住</w:t>
            </w:r>
            <w:r>
              <w:rPr>
                <w:rFonts w:ascii="仿宋" w:hAnsi="仿宋" w:eastAsia="仿宋"/>
                <w:bCs/>
                <w:color w:val="auto"/>
                <w:highlight w:val="none"/>
              </w:rPr>
              <w:t xml:space="preserve">宿业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100≤X&lt;300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10≤X&lt;100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2000≤Y&lt;10000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100≤Y&lt;2000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餐饮</w:t>
            </w:r>
            <w:r>
              <w:rPr>
                <w:rFonts w:ascii="仿宋" w:hAnsi="仿宋" w:eastAsia="仿宋"/>
                <w:bCs/>
                <w:color w:val="auto"/>
                <w:highlight w:val="none"/>
              </w:rPr>
              <w:t xml:space="preserve">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100≤X&lt;300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10≤X&lt;100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2000≤Y&lt;10000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100≤Y&lt;2000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信息</w:t>
            </w:r>
            <w:r>
              <w:rPr>
                <w:rFonts w:ascii="仿宋" w:hAnsi="仿宋" w:eastAsia="仿宋"/>
                <w:bCs/>
                <w:color w:val="auto"/>
                <w:highlight w:val="none"/>
              </w:rPr>
              <w:t xml:space="preserve">传输业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100≤X&lt;2000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10≤X&lt;100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1000≤Y&lt;100000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100≤Y&lt;1000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软件</w:t>
            </w:r>
            <w:r>
              <w:rPr>
                <w:rFonts w:ascii="仿宋" w:hAnsi="仿宋" w:eastAsia="仿宋"/>
                <w:bCs/>
                <w:color w:val="auto"/>
                <w:highlight w:val="none"/>
              </w:rPr>
              <w:t xml:space="preserve">和信息技术服务业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100≤X&lt;300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10≤X&lt;100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1000≤Y&lt;10000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50≤Y&lt;1000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Y&lt;50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房</w:t>
            </w:r>
            <w:r>
              <w:rPr>
                <w:rFonts w:ascii="仿宋" w:hAnsi="仿宋" w:eastAsia="仿宋"/>
                <w:bCs/>
                <w:color w:val="auto"/>
                <w:highlight w:val="none"/>
              </w:rPr>
              <w:t xml:space="preserve">地产开发经营</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1000≤Y&lt;200000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100≤Y&lt;1000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Y&lt;100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资产</w:t>
            </w:r>
            <w:r>
              <w:rPr>
                <w:rFonts w:ascii="仿宋" w:hAnsi="仿宋" w:eastAsia="仿宋"/>
                <w:bCs/>
                <w:color w:val="auto"/>
                <w:highlight w:val="none"/>
              </w:rPr>
              <w:t xml:space="preserve">总额（</w:t>
            </w:r>
            <w:r>
              <w:rPr>
                <w:rFonts w:hint="eastAsia" w:ascii="仿宋" w:hAnsi="仿宋" w:eastAsia="仿宋"/>
                <w:bCs/>
                <w:color w:val="auto"/>
                <w:highlight w:val="none"/>
              </w:rPr>
              <w:t xml:space="preserve">Z）</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5000≤Z &lt;10000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2000≤Z &lt;5000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Z&lt;2000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物业管理</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300≤X&lt;1000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100≤X&lt;300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X&lt;100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1000≤Y&lt;5000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500≤Y&lt;1000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Y&lt;500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租赁</w:t>
            </w:r>
            <w:r>
              <w:rPr>
                <w:rFonts w:ascii="仿宋" w:hAnsi="仿宋" w:eastAsia="仿宋"/>
                <w:bCs/>
                <w:color w:val="auto"/>
                <w:highlight w:val="none"/>
              </w:rPr>
              <w:t xml:space="preserve">和商务服务业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100≤X&lt;300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10≤X&lt;100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资产</w:t>
            </w:r>
            <w:r>
              <w:rPr>
                <w:rFonts w:ascii="仿宋" w:hAnsi="仿宋" w:eastAsia="仿宋"/>
                <w:bCs/>
                <w:color w:val="auto"/>
                <w:highlight w:val="none"/>
              </w:rPr>
              <w:t xml:space="preserve">总额（</w:t>
            </w:r>
            <w:r>
              <w:rPr>
                <w:rFonts w:hint="eastAsia" w:ascii="仿宋" w:hAnsi="仿宋" w:eastAsia="仿宋"/>
                <w:bCs/>
                <w:color w:val="auto"/>
                <w:highlight w:val="none"/>
              </w:rPr>
              <w:t xml:space="preserve">Z）</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8000≤Z &lt;120000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100≤Z &lt;8000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Z&lt;100</w:t>
            </w:r>
            <w:r/>
          </w:p>
        </w:tc>
      </w:tr>
      <w:tr>
        <w:trPr>
          <w:cantSplit/>
          <w:jc w:val="center"/>
        </w:trPr>
        <w:tc>
          <w:tcPr>
            <w:tcW w:w="2194" w:type="dxa"/>
            <w:vAlign w:val="center"/>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其</w:t>
            </w:r>
            <w:r>
              <w:rPr>
                <w:rFonts w:ascii="仿宋" w:hAnsi="仿宋" w:eastAsia="仿宋"/>
                <w:bCs/>
                <w:color w:val="auto"/>
                <w:highlight w:val="none"/>
              </w:rPr>
              <w:t xml:space="preserve">他未列明行业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100≤X&lt;300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10≤X&lt;100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X&lt;10</w:t>
            </w:r>
            <w:r/>
          </w:p>
        </w:tc>
      </w:tr>
    </w:tbl>
    <w:p>
      <w:pPr>
        <w:ind w:firstLine="420"/>
        <w:spacing w:line="500" w:lineRule="exact"/>
        <w:rPr>
          <w:rFonts w:ascii="仿宋" w:hAnsi="仿宋" w:eastAsia="仿宋"/>
          <w:bCs/>
          <w:color w:val="auto"/>
          <w:sz w:val="28"/>
          <w:szCs w:val="28"/>
          <w:highlight w:val="none"/>
        </w:rPr>
      </w:pPr>
      <w:r>
        <w:rPr>
          <w:rFonts w:hint="eastAsia" w:ascii="仿宋" w:hAnsi="仿宋" w:eastAsia="仿宋"/>
          <w:bCs/>
          <w:color w:val="auto"/>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7.2 残疾人福利单位价格扣除</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7.2.1</w:t>
      </w:r>
      <w:r>
        <w:rPr>
          <w:rFonts w:ascii="仿宋" w:hAnsi="仿宋" w:eastAsia="仿宋"/>
          <w:bCs/>
          <w:color w:val="auto"/>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7.2.1.1 </w:t>
      </w:r>
      <w:r>
        <w:rPr>
          <w:rFonts w:ascii="仿宋" w:hAnsi="仿宋" w:eastAsia="仿宋"/>
          <w:bCs/>
          <w:color w:val="auto"/>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7.2.1.2 </w:t>
      </w:r>
      <w:r>
        <w:rPr>
          <w:rFonts w:ascii="仿宋" w:hAnsi="仿宋" w:eastAsia="仿宋"/>
          <w:bCs/>
          <w:color w:val="auto"/>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7.2.1.3 </w:t>
      </w:r>
      <w:r>
        <w:rPr>
          <w:rFonts w:ascii="仿宋" w:hAnsi="仿宋" w:eastAsia="仿宋"/>
          <w:bCs/>
          <w:color w:val="auto"/>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7.2.1.4 </w:t>
      </w:r>
      <w:r>
        <w:rPr>
          <w:rFonts w:ascii="仿宋" w:hAnsi="仿宋" w:eastAsia="仿宋"/>
          <w:bCs/>
          <w:color w:val="auto"/>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7.2.1.5 </w:t>
      </w:r>
      <w:r>
        <w:rPr>
          <w:rFonts w:ascii="仿宋" w:hAnsi="仿宋" w:eastAsia="仿宋"/>
          <w:bCs/>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7.2.2 </w:t>
      </w:r>
      <w:r>
        <w:rPr>
          <w:rFonts w:ascii="仿宋" w:hAnsi="仿宋" w:eastAsia="仿宋"/>
          <w:bCs/>
          <w:color w:val="auto"/>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7.2.4 残疾人福利单位属于小型、微型企业的，不重复享受政策。</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7.3 监狱和戒毒企业价格扣除</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7.3.4 监狱企业属于小型、微型企业的，不重复享受政策。</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7.4 根据《财政部、发展改革委关于印发节能产品政府采购品目清单的通知》（</w:t>
      </w:r>
      <w:r>
        <w:rPr>
          <w:rFonts w:hint="eastAsia" w:ascii="仿宋" w:hAnsi="仿宋" w:eastAsia="仿宋" w:cs="宋体"/>
          <w:bCs/>
          <w:color w:val="auto"/>
          <w:sz w:val="26"/>
          <w:szCs w:val="26"/>
          <w:highlight w:val="none"/>
        </w:rPr>
        <w:t xml:space="preserve">财库〔2019〕19号</w:t>
      </w:r>
      <w:r>
        <w:rPr>
          <w:rFonts w:hint="eastAsia" w:ascii="仿宋" w:hAnsi="仿宋" w:eastAsia="仿宋"/>
          <w:bCs/>
          <w:color w:val="auto"/>
          <w:sz w:val="28"/>
          <w:szCs w:val="28"/>
          <w:highlight w:val="none"/>
        </w:rPr>
        <w:t xml:space="preserve">）要求，下列产品实行强制采购或者优先采购：</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7.5 根据《财政部、生态环境部关于印发环境标志产品政府采购品目清单的通知》（财库〔2019〕18号）要求，对于</w:t>
      </w:r>
      <w:r>
        <w:rPr>
          <w:color w:val="auto"/>
          <w:highlight w:val="none"/>
        </w:rPr>
        <w:fldChar w:fldCharType="begin"/>
      </w:r>
      <w:r>
        <w:rPr>
          <w:color w:val="auto"/>
          <w:highlight w:val="none"/>
        </w:rPr>
        <w:instrText xml:space="preserve"> HYPERLINK "http://gks.mof.gov.cn/zhengfucaigouguanli/201903/P020190329702478575295.pdf" </w:instrText>
      </w:r>
      <w:r>
        <w:rPr>
          <w:color w:val="auto"/>
          <w:highlight w:val="none"/>
        </w:rPr>
        <w:fldChar w:fldCharType="separate"/>
      </w:r>
      <w:r>
        <w:rPr>
          <w:rFonts w:hint="eastAsia" w:ascii="仿宋" w:hAnsi="仿宋" w:eastAsia="仿宋"/>
          <w:bCs/>
          <w:color w:val="auto"/>
          <w:sz w:val="28"/>
          <w:szCs w:val="28"/>
          <w:highlight w:val="none"/>
        </w:rPr>
        <w:t xml:space="preserve">环境标志产品政府采购品目清单</w:t>
      </w:r>
      <w:r>
        <w:rPr>
          <w:rFonts w:hint="eastAsia" w:ascii="仿宋" w:hAnsi="仿宋" w:eastAsia="仿宋"/>
          <w:bCs/>
          <w:color w:val="auto"/>
          <w:sz w:val="28"/>
          <w:szCs w:val="28"/>
          <w:highlight w:val="none"/>
        </w:rPr>
        <w:fldChar w:fldCharType="end"/>
      </w:r>
      <w:r>
        <w:rPr>
          <w:rFonts w:ascii="仿宋" w:hAnsi="仿宋" w:eastAsia="仿宋"/>
          <w:bCs/>
          <w:color w:val="auto"/>
          <w:sz w:val="28"/>
          <w:szCs w:val="28"/>
          <w:highlight w:val="none"/>
        </w:rPr>
        <w:t xml:space="preserve">内的</w:t>
      </w:r>
      <w:r>
        <w:rPr>
          <w:rFonts w:hint="eastAsia" w:ascii="仿宋" w:hAnsi="仿宋" w:eastAsia="仿宋"/>
          <w:bCs/>
          <w:color w:val="auto"/>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bCs/>
          <w:color w:val="auto"/>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7.7 根据《江苏省政府采购供应商监督管理暂行办法》的规定，诚信记录分每减10分，给予本项目总分值2%的扣分，扣分最多不超过本项目总分值6%。</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7.8.商品包装环保要求：应当按《关于印发〈商品包装政府采购需求标准（试行）〉、〈快递包装政府采购需求标准（试行）〉的通知》（财办库〔2020〕123号）文件执行。</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7.8.1商品包装层数不得超过3 层，空隙率不大于 40%；</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7.8.2商品包装尽可能使用单一材质的包装材料，如因功能需求必须使用不同材质，不同材质间应便于分离；</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7.8.3商品包装中铅、汞、镉、六价铬的总含量应不大于100mg/kg；</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7.8.4商品包装印刷使用的油墨中挥发性有机化合物（VOCs）含量应不大于 5%（以重量计）；</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7.8.5塑料材质商品包装上呈现的印刷颜色不得超过6 色；</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7.8.6纸质商品包装应使用75%以上的可再生纤维原料生产；</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7.8.7木质商品包装的原料应来源于可持续性森林。</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（投标时供应商提供承诺函，承诺函需对以上要求逐一作出响应。采购人在必要时可要求中标供应商在履约验收环节出具检测报告。）</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7.9快递包装环保要求：</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7.9.1快递包装中重金属（铅、汞、镉、六价铬）总量应不大于100mg/kg；</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7.9.2快递包装印刷使用的油墨中不应添加邻苯二甲酸酯，其挥发性有机化合物（VOCs）含量应不大于5%（以重量计）；</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7.9.3快递包装中使用纸基材的包装材料，纸基材中的有机氯的含量应不大于150 mg/kg；</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7.9.4快递包装中使用塑料基材的包装材料不得使用邻苯二甲酸二异壬酯、邻苯二甲酸二正辛酯、邻苯二甲酸二（2－乙基）己酯、邻苯二甲酸二异癸酯、邻苯二甲酸丁基苄基酯、邻苯二甲酸二丁酯等作为增塑剂；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7.9.5快递中使用的塑料包装袋不得使用聚氯乙烯作为原料，且原料应为单一材质制成，生物分解率大于60%；</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7.9.6快递中使用的充气类填充物不得使用聚氯乙烯作为原料，且原料为单一材质制成，生物分解率大于60%；</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7.9.7快递中使用的集装袋应为单一材质制成，其重复使用次数应不小于80 次；</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7.9.8快递中应使用幅宽不大于45mm 的生物降解胶带；</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7.9.9快递包装中不得使用溶剂型胶粘剂；</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7.9.10快递应使用电子面单；</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7.9.11直接使用商品包装作为快递包装的商品，其商品包装满足《商品包装政府采购需求标准（试行）》即可；</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7.9.12快递包装产品质量和封装方式应符合相关国家或行业标准技术指标要求。</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（投标时供应商提供承诺函，承诺函需对以上要求逐一作出响应。采购人在必要时可要求中标供应商在履约验收环节出具检测报告。）</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7.10绿色数据中心（如有）</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7.10.1采购数据中心相关设备、运维服务，应当有利于节约能源、环境保护和资源循环利用。</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7.10.2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7.10.3成交供应商未按合同约定提供设备或服务的，采购人依法追究其违约责任。对供应商提供虚假材料谋取中标、成交的，依法由相关部门予以处理。</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7.11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7.12绿色低碳管理目标和服务要求：在物业、合同能源管理等服务类采购项目中，要强化绿色低碳管理目标和服务要求，促进绿色产品和服务推广应用。</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7.13绿色采购：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p>
    <w:p>
      <w:pPr>
        <w:ind w:firstLine="560"/>
        <w:spacing w:line="500" w:lineRule="exact"/>
        <w:rPr>
          <w:rFonts w:ascii="黑体" w:hAnsi="黑体" w:eastAsia="黑体"/>
          <w:bCs/>
          <w:color w:val="auto"/>
          <w:sz w:val="28"/>
          <w:szCs w:val="28"/>
          <w:highlight w:val="none"/>
        </w:rPr>
        <w:outlineLvl w:val="1"/>
      </w:pPr>
      <w:r/>
      <w:bookmarkStart w:id="58" w:name="_Toc3735"/>
      <w:r>
        <w:rPr>
          <w:rFonts w:hint="eastAsia" w:ascii="黑体" w:hAnsi="黑体" w:eastAsia="黑体"/>
          <w:bCs/>
          <w:color w:val="auto"/>
          <w:sz w:val="28"/>
          <w:szCs w:val="28"/>
          <w:highlight w:val="none"/>
        </w:rPr>
        <w:t xml:space="preserve">8.无效投标和招标活动终止</w:t>
      </w:r>
      <w:bookmarkEnd w:id="58"/>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 出现下列情形之一的，作无效投标处理。</w:t>
      </w:r>
      <w:r>
        <w:rPr>
          <w:rFonts w:hint="eastAsia" w:ascii="仿宋" w:hAnsi="仿宋" w:eastAsia="仿宋"/>
          <w:bCs/>
          <w:color w:val="auto"/>
          <w:sz w:val="28"/>
          <w:szCs w:val="28"/>
          <w:highlight w:val="none"/>
        </w:rPr>
        <w:tab/>
      </w:r>
      <w:r>
        <w:rPr>
          <w:rFonts w:hint="eastAsia" w:ascii="仿宋" w:hAnsi="仿宋" w:eastAsia="仿宋"/>
          <w:bCs/>
          <w:color w:val="auto"/>
          <w:sz w:val="28"/>
          <w:szCs w:val="28"/>
          <w:highlight w:val="none"/>
        </w:rPr>
        <w:tab/>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8.1.1 不具备招标文件中规定的资格要求的。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8.1.2 报价超过了采购预算或最高限价的。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8.1.3 未通过符合性审查的。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8.1.4 不符合法律、法规和招标文件中规定的其他实质性要求的。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8.1.6 投标文件含有采购人不能接受的附加条件的。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8.1.7 本项目采购产品被财政部、国家发改委、生态环境部等列入“节能产品品目清单”、“环境标志产品品目清单”强制采购范围，而供应商所投标产品不在强制采购范围内的。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8.1.8 投标文件未按照招标文件要求加盖电子签章。</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8.1.9 供应商在系统规定的时间内未成功解密电子投标文件的。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8.1.10 未完整上传投标文件电子文档的,或上传的文件打不开的。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8.1.11 不同的供应商投标文件制作机器码、文件创建标识码一致的。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8.1.12 不同投标人委托同一单位或者个人办理投标事宜。</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8.1.13 同投标人的投标文件载明的项目管理成员或者联系人员为同一人。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8.1.14 不同投标人的投标文件异常一致或者投标报价呈规律性差异。</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8.1.16其他法律、法规及本招标文件规定的属无效投标的情形。</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8.2 出现下列情形之一的，本次招标活动将被终止：</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8.2.1 合格</w:t>
      </w:r>
      <w:r>
        <w:rPr>
          <w:rFonts w:ascii="仿宋" w:hAnsi="仿宋" w:eastAsia="仿宋"/>
          <w:bCs/>
          <w:color w:val="auto"/>
          <w:sz w:val="28"/>
          <w:szCs w:val="28"/>
          <w:highlight w:val="none"/>
        </w:rPr>
        <w:t xml:space="preserve">投标人不足</w:t>
      </w:r>
      <w:r>
        <w:rPr>
          <w:rFonts w:hint="eastAsia" w:ascii="仿宋" w:hAnsi="仿宋" w:eastAsia="仿宋"/>
          <w:bCs/>
          <w:color w:val="auto"/>
          <w:sz w:val="28"/>
          <w:szCs w:val="28"/>
          <w:highlight w:val="none"/>
        </w:rPr>
        <w:t xml:space="preserve">3家</w:t>
      </w:r>
      <w:r>
        <w:rPr>
          <w:rFonts w:ascii="仿宋" w:hAnsi="仿宋" w:eastAsia="仿宋"/>
          <w:bCs/>
          <w:color w:val="auto"/>
          <w:sz w:val="28"/>
          <w:szCs w:val="28"/>
          <w:highlight w:val="none"/>
        </w:rPr>
        <w:t xml:space="preserve">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8.2.2 </w:t>
      </w:r>
      <w:r>
        <w:rPr>
          <w:rFonts w:ascii="仿宋" w:hAnsi="仿宋" w:eastAsia="仿宋"/>
          <w:bCs/>
          <w:color w:val="auto"/>
          <w:sz w:val="28"/>
          <w:szCs w:val="28"/>
          <w:highlight w:val="none"/>
        </w:rPr>
        <w:t xml:space="preserve">出现影响采购公正的违法、违规行为的；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8.2.3  因重大变故，采购任务取消的。</w:t>
      </w:r>
      <w:r/>
    </w:p>
    <w:p>
      <w:pPr>
        <w:ind w:firstLine="560"/>
        <w:spacing w:line="500" w:lineRule="exact"/>
        <w:rPr>
          <w:rFonts w:ascii="黑体" w:hAnsi="黑体" w:eastAsia="黑体"/>
          <w:bCs/>
          <w:color w:val="auto"/>
          <w:sz w:val="28"/>
          <w:szCs w:val="28"/>
          <w:highlight w:val="none"/>
        </w:rPr>
        <w:outlineLvl w:val="1"/>
      </w:pPr>
      <w:r/>
      <w:bookmarkStart w:id="59" w:name="_Toc4447"/>
      <w:r>
        <w:rPr>
          <w:rFonts w:hint="eastAsia" w:ascii="黑体" w:hAnsi="黑体" w:eastAsia="黑体"/>
          <w:bCs/>
          <w:color w:val="auto"/>
          <w:sz w:val="28"/>
          <w:szCs w:val="28"/>
          <w:highlight w:val="none"/>
        </w:rPr>
        <w:t xml:space="preserve">9. 询问、质疑和投诉</w:t>
      </w:r>
      <w:bookmarkEnd w:id="59"/>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上述应知其权益受到损害之日，是指：</w:t>
      </w:r>
      <w:r>
        <w:rPr>
          <w:rFonts w:ascii="仿宋" w:hAnsi="仿宋" w:eastAsia="仿宋"/>
          <w:bCs/>
          <w:color w:val="auto"/>
          <w:sz w:val="28"/>
          <w:szCs w:val="28"/>
          <w:highlight w:val="none"/>
        </w:rPr>
        <w:t xml:space="preserve">对可以质疑的</w:t>
      </w:r>
      <w:r>
        <w:rPr>
          <w:rFonts w:hint="eastAsia" w:ascii="仿宋" w:hAnsi="仿宋" w:eastAsia="仿宋"/>
          <w:bCs/>
          <w:color w:val="auto"/>
          <w:sz w:val="28"/>
          <w:szCs w:val="28"/>
          <w:highlight w:val="none"/>
        </w:rPr>
        <w:t xml:space="preserve">招标</w:t>
      </w:r>
      <w:r>
        <w:rPr>
          <w:rFonts w:ascii="仿宋" w:hAnsi="仿宋" w:eastAsia="仿宋"/>
          <w:bCs/>
          <w:color w:val="auto"/>
          <w:sz w:val="28"/>
          <w:szCs w:val="28"/>
          <w:highlight w:val="none"/>
        </w:rPr>
        <w:t xml:space="preserve">文件提出质疑的，为收到</w:t>
      </w:r>
      <w:r>
        <w:rPr>
          <w:rFonts w:hint="eastAsia" w:ascii="仿宋" w:hAnsi="仿宋" w:eastAsia="仿宋"/>
          <w:bCs/>
          <w:color w:val="auto"/>
          <w:sz w:val="28"/>
          <w:szCs w:val="28"/>
          <w:highlight w:val="none"/>
        </w:rPr>
        <w:t xml:space="preserve">招标</w:t>
      </w:r>
      <w:r>
        <w:rPr>
          <w:rFonts w:ascii="仿宋" w:hAnsi="仿宋" w:eastAsia="仿宋"/>
          <w:bCs/>
          <w:color w:val="auto"/>
          <w:sz w:val="28"/>
          <w:szCs w:val="28"/>
          <w:highlight w:val="none"/>
        </w:rPr>
        <w:t xml:space="preserve">文件之日或者</w:t>
      </w:r>
      <w:r>
        <w:rPr>
          <w:rFonts w:hint="eastAsia" w:ascii="仿宋" w:hAnsi="仿宋" w:eastAsia="仿宋"/>
          <w:bCs/>
          <w:color w:val="auto"/>
          <w:sz w:val="28"/>
          <w:szCs w:val="28"/>
          <w:highlight w:val="none"/>
        </w:rPr>
        <w:t xml:space="preserve">招标</w:t>
      </w:r>
      <w:r>
        <w:rPr>
          <w:rFonts w:ascii="仿宋" w:hAnsi="仿宋" w:eastAsia="仿宋"/>
          <w:bCs/>
          <w:color w:val="auto"/>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9.5 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9.6 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Cs/>
          <w:color w:val="auto"/>
          <w:sz w:val="28"/>
          <w:szCs w:val="28"/>
          <w:highlight w:val="none"/>
        </w:rPr>
        <w:t xml:space="preserve">，见招标文件第</w:t>
      </w:r>
      <w:r>
        <w:rPr>
          <w:rFonts w:hint="eastAsia" w:ascii="仿宋" w:hAnsi="仿宋" w:eastAsia="仿宋"/>
          <w:bCs/>
          <w:color w:val="auto"/>
          <w:sz w:val="28"/>
          <w:szCs w:val="28"/>
          <w:highlight w:val="none"/>
        </w:rPr>
        <w:t xml:space="preserve">1章</w:t>
      </w:r>
      <w:r>
        <w:rPr>
          <w:rFonts w:ascii="仿宋" w:hAnsi="仿宋" w:eastAsia="仿宋"/>
          <w:bCs/>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9.7 </w:t>
      </w:r>
      <w:r>
        <w:rPr>
          <w:rFonts w:ascii="仿宋" w:hAnsi="仿宋" w:eastAsia="仿宋"/>
          <w:bCs/>
          <w:color w:val="auto"/>
          <w:sz w:val="28"/>
          <w:szCs w:val="28"/>
          <w:highlight w:val="none"/>
        </w:rPr>
        <w:t xml:space="preserve">以下情形的质疑不予受理：</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9.7.1 </w:t>
      </w:r>
      <w:r>
        <w:rPr>
          <w:rFonts w:ascii="仿宋" w:hAnsi="仿宋" w:eastAsia="仿宋"/>
          <w:bCs/>
          <w:color w:val="auto"/>
          <w:sz w:val="28"/>
          <w:szCs w:val="28"/>
          <w:highlight w:val="none"/>
        </w:rPr>
        <w:t xml:space="preserve">内容不符合《政府采购质疑和投诉办法》第十二条规定的质疑。</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9.7.2 </w:t>
      </w:r>
      <w:r>
        <w:rPr>
          <w:rFonts w:ascii="仿宋" w:hAnsi="仿宋" w:eastAsia="仿宋"/>
          <w:bCs/>
          <w:color w:val="auto"/>
          <w:sz w:val="28"/>
          <w:szCs w:val="28"/>
          <w:highlight w:val="none"/>
        </w:rPr>
        <w:t xml:space="preserve">超出政府采购法定期限的质疑。</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9.7.3</w:t>
      </w:r>
      <w:r>
        <w:rPr>
          <w:rFonts w:ascii="仿宋" w:hAnsi="仿宋" w:eastAsia="仿宋"/>
          <w:bCs/>
          <w:color w:val="auto"/>
          <w:sz w:val="28"/>
          <w:szCs w:val="28"/>
          <w:highlight w:val="none"/>
        </w:rPr>
        <w:t xml:space="preserve">未参加招标活动的供应商或在招标活动中自身权益未受到损害的供应商所提出的质疑。</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9.7.4 </w:t>
      </w:r>
      <w:r>
        <w:rPr>
          <w:rFonts w:ascii="仿宋" w:hAnsi="仿宋" w:eastAsia="仿宋"/>
          <w:bCs/>
          <w:color w:val="auto"/>
          <w:sz w:val="28"/>
          <w:szCs w:val="28"/>
          <w:highlight w:val="none"/>
        </w:rPr>
        <w:t xml:space="preserve">供应商组成联合体参加招标活动，联合体中任何一方或多方未按要求签字、盖章、加盖公章的质疑。</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9.8 </w:t>
      </w:r>
      <w:r>
        <w:rPr>
          <w:rFonts w:ascii="仿宋" w:hAnsi="仿宋" w:eastAsia="仿宋"/>
          <w:bCs/>
          <w:color w:val="auto"/>
          <w:sz w:val="28"/>
          <w:szCs w:val="28"/>
          <w:highlight w:val="none"/>
        </w:rPr>
        <w:t xml:space="preserve">供应商提出书面质疑必须有理、有据，不得捏造事实、提供虚假材料进行恶意质疑。否则，一经查实，</w:t>
      </w:r>
      <w:r>
        <w:rPr>
          <w:rFonts w:hint="eastAsia" w:ascii="仿宋" w:hAnsi="仿宋" w:eastAsia="仿宋"/>
          <w:bCs/>
          <w:color w:val="auto"/>
          <w:sz w:val="28"/>
          <w:szCs w:val="28"/>
          <w:highlight w:val="none"/>
        </w:rPr>
        <w:t xml:space="preserve">采购代理机构</w:t>
      </w:r>
      <w:r>
        <w:rPr>
          <w:rFonts w:ascii="仿宋" w:hAnsi="仿宋" w:eastAsia="仿宋"/>
          <w:bCs/>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9.9 质疑函范本</w:t>
      </w:r>
      <w:r/>
    </w:p>
    <w:p>
      <w:pPr>
        <w:jc w:val="center"/>
        <w:rPr>
          <w:rFonts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质疑函</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一、质疑供应商基本信息</w:t>
      </w:r>
      <w:r/>
    </w:p>
    <w:p>
      <w:pPr>
        <w:spacing w:line="360" w:lineRule="auto"/>
        <w:rPr>
          <w:rFonts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质疑供应商：</w:t>
      </w:r>
      <w:r/>
    </w:p>
    <w:p>
      <w:pPr>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地址：邮编：</w:t>
      </w:r>
      <w:r/>
    </w:p>
    <w:p>
      <w:pPr>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联系人：联系电话：</w:t>
      </w:r>
      <w:r/>
    </w:p>
    <w:p>
      <w:pPr>
        <w:spacing w:line="360" w:lineRule="auto"/>
        <w:rPr>
          <w:rFonts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授权代表：联系电话：</w:t>
      </w:r>
      <w:r/>
    </w:p>
    <w:p>
      <w:pPr>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地址：邮编：</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二、质疑项目基本情况</w:t>
      </w:r>
      <w:r/>
    </w:p>
    <w:p>
      <w:pPr>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质疑项目的名称：</w:t>
      </w:r>
      <w:r/>
    </w:p>
    <w:p>
      <w:pPr>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质疑项目的编号：包号：</w:t>
      </w:r>
      <w:r/>
    </w:p>
    <w:p>
      <w:pPr>
        <w:spacing w:line="360" w:lineRule="auto"/>
        <w:rPr>
          <w:rFonts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采购人名称：</w:t>
      </w:r>
      <w:r/>
    </w:p>
    <w:p>
      <w:pPr>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采购文件获取日期：</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三、质疑事项具体内容</w:t>
      </w:r>
      <w:r/>
    </w:p>
    <w:p>
      <w:pPr>
        <w:spacing w:line="360" w:lineRule="auto"/>
        <w:rPr>
          <w:rFonts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质疑事项1：</w:t>
      </w:r>
      <w:r/>
    </w:p>
    <w:p>
      <w:pPr>
        <w:spacing w:line="360" w:lineRule="auto"/>
        <w:rPr>
          <w:rFonts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事实依据：</w:t>
      </w:r>
      <w:r/>
    </w:p>
    <w:p>
      <w:pPr>
        <w:spacing w:line="360" w:lineRule="auto"/>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spacing w:line="360" w:lineRule="auto"/>
        <w:rPr>
          <w:rFonts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法律依据：</w:t>
      </w:r>
      <w:r/>
    </w:p>
    <w:p>
      <w:pPr>
        <w:spacing w:line="360" w:lineRule="auto"/>
        <w:rPr>
          <w:rFonts w:ascii="仿宋" w:hAnsi="仿宋" w:eastAsia="仿宋" w:cs="仿宋"/>
          <w:bCs/>
          <w:color w:val="auto"/>
          <w:sz w:val="28"/>
          <w:szCs w:val="28"/>
          <w:highlight w:val="none"/>
          <w:u w:val="single"/>
        </w:rPr>
      </w:pPr>
      <w:r>
        <w:rPr>
          <w:rFonts w:ascii="仿宋" w:hAnsi="仿宋" w:eastAsia="仿宋" w:cs="仿宋"/>
          <w:bCs/>
          <w:color w:val="auto"/>
          <w:sz w:val="28"/>
          <w:szCs w:val="28"/>
          <w:highlight w:val="none"/>
          <w:u w:val="single"/>
        </w:rPr>
      </w:r>
      <w:r/>
    </w:p>
    <w:p>
      <w:pPr>
        <w:spacing w:line="360" w:lineRule="auto"/>
        <w:rPr>
          <w:rFonts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质疑事项2</w:t>
      </w:r>
      <w:r/>
    </w:p>
    <w:p>
      <w:pPr>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四、与质疑事项相关的质疑请求</w:t>
      </w:r>
      <w:r/>
    </w:p>
    <w:p>
      <w:pPr>
        <w:spacing w:line="360" w:lineRule="auto"/>
        <w:rPr>
          <w:rFonts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请求：</w:t>
      </w:r>
      <w:r/>
    </w:p>
    <w:p>
      <w:pPr>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签字(签章)：              公章：                      </w:t>
      </w:r>
      <w:r/>
    </w:p>
    <w:p>
      <w:pPr>
        <w:ind w:right="560" w:firstLine="560"/>
        <w:spacing w:line="500" w:lineRule="exact"/>
        <w:rPr>
          <w:rFonts w:ascii="仿宋" w:hAnsi="仿宋" w:eastAsia="仿宋"/>
          <w:bCs/>
          <w:color w:val="auto"/>
          <w:sz w:val="28"/>
          <w:szCs w:val="28"/>
          <w:highlight w:val="none"/>
        </w:rPr>
      </w:pPr>
      <w:r>
        <w:rPr>
          <w:rFonts w:hint="eastAsia" w:ascii="仿宋_GB2312" w:eastAsia="仿宋_GB2312"/>
          <w:bCs/>
          <w:color w:val="auto"/>
          <w:sz w:val="28"/>
          <w:szCs w:val="28"/>
          <w:highlight w:val="none"/>
        </w:rPr>
        <w:t xml:space="preserve">日期：</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9.12 </w:t>
      </w:r>
      <w:r>
        <w:rPr>
          <w:rFonts w:ascii="仿宋" w:hAnsi="仿宋" w:eastAsia="仿宋"/>
          <w:bCs/>
          <w:color w:val="auto"/>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bCs/>
          <w:color w:val="auto"/>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9.13 投诉人应当将投诉书送达如皋市财政局政府采购管理科（</w:t>
      </w:r>
      <w:r>
        <w:rPr>
          <w:rFonts w:ascii="仿宋" w:hAnsi="仿宋" w:eastAsia="仿宋"/>
          <w:bCs/>
          <w:color w:val="auto"/>
          <w:sz w:val="28"/>
          <w:szCs w:val="28"/>
          <w:highlight w:val="none"/>
        </w:rPr>
        <w:t xml:space="preserve">如皋市解放路199号，行政中心</w:t>
      </w:r>
      <w:r>
        <w:rPr>
          <w:rFonts w:hint="eastAsia" w:ascii="仿宋" w:hAnsi="仿宋" w:eastAsia="仿宋"/>
          <w:bCs/>
          <w:color w:val="auto"/>
          <w:sz w:val="28"/>
          <w:szCs w:val="28"/>
          <w:highlight w:val="none"/>
        </w:rPr>
        <w:t xml:space="preserve">A座710室，联系电话0513-87623860）。</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9.14 投诉书范本</w:t>
      </w:r>
      <w:r/>
    </w:p>
    <w:p>
      <w:pPr>
        <w:jc w:val="center"/>
        <w:rPr>
          <w:rFonts w:ascii="宋体" w:hAnsi="宋体"/>
          <w:bCs/>
          <w:color w:val="auto"/>
          <w:sz w:val="32"/>
          <w:szCs w:val="32"/>
          <w:highlight w:val="none"/>
        </w:rPr>
      </w:pPr>
      <w:r>
        <w:rPr>
          <w:rFonts w:hint="eastAsia" w:ascii="宋体" w:hAnsi="宋体"/>
          <w:bCs/>
          <w:color w:val="auto"/>
          <w:sz w:val="32"/>
          <w:szCs w:val="32"/>
          <w:highlight w:val="none"/>
        </w:rPr>
        <w:t xml:space="preserve">投诉书</w:t>
      </w:r>
      <w:r/>
    </w:p>
    <w:p>
      <w:pPr>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一、投诉相关主体基本情况</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投诉人：</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地     址：邮编：</w:t>
      </w:r>
      <w:r/>
    </w:p>
    <w:p>
      <w:pPr>
        <w:jc w:val="left"/>
        <w:tabs>
          <w:tab w:val="left" w:pos="6510" w:leader="none"/>
        </w:tabs>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法定代表人/主要负责人：联系电话：</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授权代表：联系电话：</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地     址：邮编：</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被投诉人1：</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地     址：邮编：</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联系人：联系电话：</w:t>
      </w:r>
      <w:r/>
    </w:p>
    <w:p>
      <w:pPr>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被投诉人2</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相关供应商：</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地     址：邮编：</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联系人：联系电话：</w:t>
      </w:r>
      <w:r/>
    </w:p>
    <w:p>
      <w:pPr>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二、投诉项目基本情况</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采购项目名称：</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采购项目编号：包号：</w:t>
      </w:r>
      <w:r/>
    </w:p>
    <w:p>
      <w:pPr>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采购人名称：</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代理机构名称：</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采购文件公告:</w:t>
      </w:r>
      <w:r>
        <w:rPr>
          <w:rFonts w:hint="eastAsia" w:ascii="仿宋_GB2312" w:eastAsia="仿宋_GB2312"/>
          <w:bCs/>
          <w:color w:val="auto"/>
          <w:sz w:val="28"/>
          <w:szCs w:val="28"/>
          <w:highlight w:val="none"/>
          <w:u w:val="single"/>
        </w:rPr>
        <w:t xml:space="preserve">是/否 </w:t>
      </w:r>
      <w:r>
        <w:rPr>
          <w:rFonts w:hint="eastAsia" w:ascii="仿宋_GB2312" w:eastAsia="仿宋_GB2312"/>
          <w:bCs/>
          <w:color w:val="auto"/>
          <w:sz w:val="28"/>
          <w:szCs w:val="28"/>
          <w:highlight w:val="none"/>
        </w:rPr>
        <w:t xml:space="preserve">公告期限：</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采购结果公告:</w:t>
      </w:r>
      <w:r>
        <w:rPr>
          <w:rFonts w:hint="eastAsia" w:ascii="仿宋_GB2312" w:eastAsia="仿宋_GB2312"/>
          <w:bCs/>
          <w:color w:val="auto"/>
          <w:sz w:val="28"/>
          <w:szCs w:val="28"/>
          <w:highlight w:val="none"/>
          <w:u w:val="single"/>
        </w:rPr>
        <w:t xml:space="preserve">是/否 </w:t>
      </w:r>
      <w:r>
        <w:rPr>
          <w:rFonts w:hint="eastAsia" w:ascii="仿宋_GB2312" w:eastAsia="仿宋_GB2312"/>
          <w:bCs/>
          <w:color w:val="auto"/>
          <w:sz w:val="28"/>
          <w:szCs w:val="28"/>
          <w:highlight w:val="none"/>
        </w:rPr>
        <w:t xml:space="preserve">公告期限：</w:t>
      </w:r>
      <w:r/>
    </w:p>
    <w:p>
      <w:pPr>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三、质疑基本情况</w:t>
      </w:r>
      <w:r/>
    </w:p>
    <w:p>
      <w:pPr>
        <w:ind w:firstLine="560"/>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投诉人于年月日,向提出质疑，质疑事项为：</w:t>
      </w:r>
      <w:r/>
    </w:p>
    <w:p>
      <w:pPr>
        <w:rPr>
          <w:rFonts w:ascii="仿宋_GB2312" w:eastAsia="仿宋_GB2312"/>
          <w:bCs/>
          <w:color w:val="auto"/>
          <w:sz w:val="28"/>
          <w:szCs w:val="28"/>
          <w:highlight w:val="none"/>
          <w:u w:val="single"/>
        </w:rPr>
      </w:pPr>
      <w:r>
        <w:rPr>
          <w:rFonts w:ascii="仿宋_GB2312" w:eastAsia="仿宋_GB2312"/>
          <w:bCs/>
          <w:color w:val="auto"/>
          <w:sz w:val="28"/>
          <w:szCs w:val="28"/>
          <w:highlight w:val="none"/>
          <w:u w:val="single"/>
        </w:rPr>
      </w:r>
      <w:r/>
    </w:p>
    <w:p>
      <w:pPr>
        <w:ind w:firstLine="420"/>
        <w:rPr>
          <w:rFonts w:ascii="仿宋_GB2312" w:eastAsia="仿宋_GB2312"/>
          <w:bCs/>
          <w:color w:val="auto"/>
          <w:sz w:val="28"/>
          <w:szCs w:val="28"/>
          <w:highlight w:val="none"/>
        </w:rPr>
      </w:pPr>
      <w:r>
        <w:rPr>
          <w:rFonts w:hint="eastAsia" w:ascii="仿宋_GB2312" w:eastAsia="仿宋_GB2312"/>
          <w:bCs/>
          <w:color w:val="auto"/>
          <w:sz w:val="28"/>
          <w:szCs w:val="28"/>
          <w:highlight w:val="none"/>
          <w:u w:val="single"/>
        </w:rPr>
        <w:t xml:space="preserve">采购人/代理机构</w:t>
      </w:r>
      <w:r>
        <w:rPr>
          <w:rFonts w:hint="eastAsia" w:ascii="仿宋_GB2312" w:eastAsia="仿宋_GB2312"/>
          <w:bCs/>
          <w:color w:val="auto"/>
          <w:sz w:val="28"/>
          <w:szCs w:val="28"/>
          <w:highlight w:val="none"/>
        </w:rPr>
        <w:t xml:space="preserve">于年月日,就质疑事项作出了答复/没有在法定期限内作出答复。</w:t>
      </w:r>
      <w:r/>
    </w:p>
    <w:p>
      <w:pPr>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四、投诉事项具体内容</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投诉事项 1：</w:t>
      </w:r>
      <w:r/>
    </w:p>
    <w:p>
      <w:pPr>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事实依据：</w:t>
      </w:r>
      <w:r/>
    </w:p>
    <w:p>
      <w:pPr>
        <w:rPr>
          <w:rFonts w:ascii="仿宋_GB2312" w:eastAsia="仿宋_GB2312"/>
          <w:bCs/>
          <w:color w:val="auto"/>
          <w:sz w:val="28"/>
          <w:szCs w:val="28"/>
          <w:highlight w:val="none"/>
          <w:u w:val="single"/>
        </w:rPr>
      </w:pPr>
      <w:r>
        <w:rPr>
          <w:rFonts w:ascii="仿宋_GB2312" w:eastAsia="仿宋_GB2312"/>
          <w:bCs/>
          <w:color w:val="auto"/>
          <w:sz w:val="28"/>
          <w:szCs w:val="28"/>
          <w:highlight w:val="none"/>
          <w:u w:val="single"/>
        </w:rPr>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法律依据：</w:t>
      </w:r>
      <w:r/>
    </w:p>
    <w:p>
      <w:pPr>
        <w:rPr>
          <w:rFonts w:ascii="仿宋_GB2312" w:eastAsia="仿宋_GB2312"/>
          <w:bCs/>
          <w:color w:val="auto"/>
          <w:sz w:val="28"/>
          <w:szCs w:val="28"/>
          <w:highlight w:val="none"/>
          <w:u w:val="single"/>
        </w:rPr>
      </w:pPr>
      <w:r>
        <w:rPr>
          <w:rFonts w:ascii="仿宋_GB2312" w:eastAsia="仿宋_GB2312"/>
          <w:bCs/>
          <w:color w:val="auto"/>
          <w:sz w:val="28"/>
          <w:szCs w:val="28"/>
          <w:highlight w:val="none"/>
          <w:u w:val="single"/>
        </w:rPr>
      </w:r>
      <w:r/>
    </w:p>
    <w:p>
      <w:pPr>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投诉事项2</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w:t>
      </w:r>
      <w:r/>
    </w:p>
    <w:p>
      <w:pPr>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五、与投诉事项相关的投诉请求</w:t>
      </w:r>
      <w:r/>
    </w:p>
    <w:p>
      <w:pPr>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请求：</w:t>
      </w:r>
      <w:r/>
    </w:p>
    <w:p>
      <w:pPr>
        <w:rPr>
          <w:rFonts w:ascii="仿宋_GB2312" w:eastAsia="仿宋_GB2312"/>
          <w:bCs/>
          <w:color w:val="auto"/>
          <w:sz w:val="28"/>
          <w:szCs w:val="28"/>
          <w:highlight w:val="none"/>
          <w:u w:val="single"/>
        </w:rPr>
      </w:pPr>
      <w:r>
        <w:rPr>
          <w:rFonts w:ascii="仿宋_GB2312" w:eastAsia="仿宋_GB2312"/>
          <w:bCs/>
          <w:color w:val="auto"/>
          <w:sz w:val="28"/>
          <w:szCs w:val="28"/>
          <w:highlight w:val="none"/>
          <w:u w:val="single"/>
        </w:rPr>
      </w:r>
      <w:r/>
    </w:p>
    <w:p>
      <w:pPr>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签字(签章)：                   公章：                      </w:t>
      </w:r>
      <w:r/>
    </w:p>
    <w:p>
      <w:pPr>
        <w:ind w:firstLine="560"/>
        <w:spacing w:line="500" w:lineRule="exact"/>
        <w:rPr>
          <w:rFonts w:ascii="仿宋" w:hAnsi="仿宋" w:eastAsia="仿宋"/>
          <w:bCs/>
          <w:color w:val="auto"/>
          <w:sz w:val="28"/>
          <w:szCs w:val="28"/>
          <w:highlight w:val="none"/>
        </w:rPr>
      </w:pPr>
      <w:r>
        <w:rPr>
          <w:rFonts w:hint="eastAsia" w:ascii="仿宋_GB2312" w:eastAsia="仿宋_GB2312"/>
          <w:bCs/>
          <w:color w:val="auto"/>
          <w:sz w:val="28"/>
          <w:szCs w:val="28"/>
          <w:highlight w:val="none"/>
        </w:rPr>
        <w:t xml:space="preserve">日期：    </w:t>
      </w:r>
      <w:r/>
    </w:p>
    <w:p>
      <w:pPr>
        <w:ind w:firstLine="560"/>
        <w:jc w:val="left"/>
        <w:spacing w:line="500" w:lineRule="exact"/>
        <w:rPr>
          <w:rFonts w:ascii="仿宋" w:hAnsi="仿宋" w:eastAsia="仿宋"/>
          <w:bCs/>
          <w:color w:val="auto"/>
          <w:sz w:val="28"/>
          <w:szCs w:val="28"/>
          <w:highlight w:val="none"/>
        </w:rPr>
        <w:outlineLvl w:val="1"/>
      </w:pPr>
      <w:r/>
      <w:bookmarkStart w:id="60" w:name="_Toc4465"/>
      <w:r>
        <w:rPr>
          <w:rFonts w:hint="eastAsia" w:ascii="黑体" w:hAnsi="黑体" w:eastAsia="黑体"/>
          <w:bCs/>
          <w:color w:val="auto"/>
          <w:sz w:val="28"/>
          <w:szCs w:val="28"/>
          <w:highlight w:val="none"/>
        </w:rPr>
        <w:t xml:space="preserve">10. 政府采购合同信用融资扶持政策</w:t>
      </w:r>
      <w:bookmarkEnd w:id="60"/>
      <w:r/>
      <w:r/>
    </w:p>
    <w:p>
      <w:pPr>
        <w:ind w:firstLine="560"/>
        <w:jc w:val="left"/>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10.2 中标供应商如需获得合同信用融资支持，可凭政府采购合同办理“政采贷”融资贷款，详情请见南通市政府采购网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bCs/>
          <w:color w:val="auto"/>
          <w:sz w:val="28"/>
          <w:szCs w:val="28"/>
          <w:highlight w:val="none"/>
        </w:rPr>
        <w:outlineLvl w:val="1"/>
      </w:pPr>
      <w:r/>
      <w:bookmarkStart w:id="61" w:name="_Toc10861"/>
      <w:r>
        <w:rPr>
          <w:rFonts w:hint="eastAsia" w:ascii="黑体" w:hAnsi="黑体" w:eastAsia="黑体"/>
          <w:bCs/>
          <w:color w:val="auto"/>
          <w:sz w:val="28"/>
          <w:szCs w:val="28"/>
          <w:highlight w:val="none"/>
        </w:rPr>
        <w:t xml:space="preserve">11. 采购代理服务费</w:t>
      </w:r>
      <w:bookmarkEnd w:id="61"/>
      <w:r/>
      <w:r/>
    </w:p>
    <w:p>
      <w:pPr>
        <w:ind w:firstLine="560"/>
        <w:jc w:val="left"/>
        <w:spacing w:line="500" w:lineRule="exact"/>
        <w:rPr>
          <w:rFonts w:ascii="仿宋" w:hAnsi="仿宋" w:eastAsia="仿宋" w:cs="仿宋"/>
          <w:b/>
          <w:bCs w:val="0"/>
          <w:color w:val="auto"/>
          <w:sz w:val="28"/>
          <w:szCs w:val="28"/>
          <w:highlight w:val="none"/>
        </w:rPr>
      </w:pPr>
      <w:r>
        <w:rPr>
          <w:rFonts w:hint="eastAsia" w:ascii="仿宋" w:hAnsi="仿宋" w:eastAsia="仿宋"/>
          <w:bCs/>
          <w:color w:val="auto"/>
          <w:sz w:val="28"/>
          <w:szCs w:val="28"/>
          <w:highlight w:val="none"/>
        </w:rPr>
        <w:t xml:space="preserve">11.1</w:t>
      </w:r>
      <w:r>
        <w:rPr>
          <w:rFonts w:hint="eastAsia" w:ascii="仿宋" w:hAnsi="仿宋" w:eastAsia="仿宋" w:cs="仿宋"/>
          <w:bCs/>
          <w:color w:val="auto"/>
          <w:sz w:val="28"/>
          <w:szCs w:val="28"/>
          <w:highlight w:val="none"/>
        </w:rPr>
        <w:t xml:space="preserve">采购代理服务费依据财政部《政府采购代理机构管理暂行办法》(财库〔2018〕2号)及《江苏省政府采购代理服务收费指导意见》（苏政采协〔</w:t>
      </w:r>
      <w:r>
        <w:rPr>
          <w:rFonts w:hint="eastAsia" w:ascii="仿宋" w:hAnsi="仿宋" w:eastAsia="仿宋" w:cs="仿宋"/>
          <w:bCs/>
          <w:color w:val="auto"/>
          <w:sz w:val="28"/>
          <w:szCs w:val="28"/>
          <w:highlight w:val="none"/>
        </w:rPr>
        <w:t xml:space="preserve">2024〕20号）的规定执行。收取标准：以成交价为基数，采用差额定率累进法（50万元（含）以下部分，费率为1.6%；50万元~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w:t>
      </w:r>
      <w:r>
        <w:rPr>
          <w:rFonts w:hint="eastAsia" w:ascii="仿宋" w:hAnsi="仿宋" w:eastAsia="仿宋" w:cs="仿宋"/>
          <w:b/>
          <w:bCs w:val="0"/>
          <w:color w:val="auto"/>
          <w:sz w:val="28"/>
          <w:szCs w:val="28"/>
          <w:highlight w:val="none"/>
        </w:rPr>
        <w:t xml:space="preserve">。本项目代理费每个分包上述标准的8折收取，预算中包含此费用，响应供应商在报价中需考虑此费用的代付，采购人不再另行支付。</w:t>
      </w:r>
      <w:r/>
    </w:p>
    <w:p>
      <w:pPr>
        <w:ind w:firstLine="560"/>
        <w:jc w:val="left"/>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11.3 采购代理机构账户信息：</w:t>
      </w:r>
      <w:r/>
    </w:p>
    <w:p>
      <w:pPr>
        <w:ind w:firstLine="560"/>
        <w:jc w:val="left"/>
        <w:spacing w:line="5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收款单位名称为：南通中江工程项目管理有限公司江海分公司；</w:t>
      </w:r>
      <w:r/>
    </w:p>
    <w:p>
      <w:pPr>
        <w:ind w:firstLine="560"/>
        <w:jc w:val="left"/>
        <w:spacing w:line="5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账户号码：32050164726000001501；</w:t>
      </w:r>
      <w:r/>
    </w:p>
    <w:p>
      <w:pPr>
        <w:ind w:firstLine="560"/>
        <w:jc w:val="left"/>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开户行：中国建设银行股份有限公司如皋北门支行，行号：105306200032。</w:t>
      </w:r>
      <w:r/>
    </w:p>
    <w:p>
      <w:pPr>
        <w:ind w:left="630"/>
        <w:spacing w:line="500" w:lineRule="exact"/>
        <w:rPr>
          <w:rFonts w:ascii="黑体" w:hAnsi="黑体" w:eastAsia="黑体"/>
          <w:bCs/>
          <w:color w:val="auto"/>
          <w:sz w:val="28"/>
          <w:szCs w:val="28"/>
          <w:highlight w:val="none"/>
        </w:rPr>
        <w:outlineLvl w:val="1"/>
      </w:pPr>
      <w:r/>
      <w:bookmarkStart w:id="62" w:name="_Toc15504"/>
      <w:r>
        <w:rPr>
          <w:rFonts w:hint="eastAsia" w:ascii="黑体" w:hAnsi="黑体" w:eastAsia="黑体"/>
          <w:bCs/>
          <w:color w:val="auto"/>
          <w:sz w:val="28"/>
          <w:szCs w:val="28"/>
          <w:highlight w:val="none"/>
        </w:rPr>
        <w:t xml:space="preserve">12.其他事项</w:t>
      </w:r>
      <w:bookmarkEnd w:id="62"/>
      <w:r/>
      <w:bookmarkEnd w:id="6"/>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（一）推荐品牌（如有）</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项目中有列明的品牌、型号为优先选用的品牌、型号，响应供应商也可选用其他品牌、型号替代，但替代的品牌、型号在实质性要求和条件上要相当于或优于参考品牌、型号。相当于或优于参考品牌、型号的证明材料由响应供应商提供，由评委确认。响应供应商未提供证明材料的，视为无效投标。</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（二）产品要求</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（三）产品品牌与型号</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供应商响应文件中必须明确主要产品的品牌、规格型号、性能指标等内容，可附产品介绍图文资料。供应商响应文件未明确主要产品的品牌、规格型号、性能指标等内容的，视为</w:t>
      </w:r>
      <w:r>
        <w:rPr>
          <w:rFonts w:hint="eastAsia" w:ascii="仿宋" w:hAnsi="仿宋" w:eastAsia="仿宋"/>
          <w:bCs/>
          <w:color w:val="auto"/>
          <w:sz w:val="28"/>
          <w:szCs w:val="28"/>
          <w:highlight w:val="none"/>
        </w:rPr>
        <w:t xml:space="preserve">无效投标</w:t>
      </w:r>
      <w:r>
        <w:rPr>
          <w:rFonts w:ascii="仿宋" w:hAnsi="仿宋" w:eastAsia="仿宋"/>
          <w:bCs/>
          <w:color w:val="auto"/>
          <w:sz w:val="28"/>
          <w:szCs w:val="28"/>
          <w:highlight w:val="none"/>
        </w:rPr>
        <w:t xml:space="preserve">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（四）</w:t>
      </w:r>
      <w:r>
        <w:rPr>
          <w:rFonts w:hint="eastAsia" w:ascii="仿宋" w:hAnsi="仿宋" w:eastAsia="仿宋" w:cs="仿宋"/>
          <w:bCs/>
          <w:color w:val="auto"/>
          <w:sz w:val="28"/>
          <w:szCs w:val="28"/>
          <w:highlight w:val="none"/>
        </w:rPr>
        <w:t xml:space="preserve">★</w:t>
      </w:r>
      <w:r>
        <w:rPr>
          <w:rFonts w:hint="eastAsia" w:ascii="仿宋" w:hAnsi="仿宋" w:eastAsia="仿宋"/>
          <w:bCs/>
          <w:color w:val="auto"/>
          <w:sz w:val="28"/>
          <w:szCs w:val="28"/>
          <w:highlight w:val="none"/>
        </w:rPr>
        <w:t xml:space="preserve">号条款</w:t>
      </w:r>
      <w:r/>
    </w:p>
    <w:p>
      <w:pPr>
        <w:ind w:firstLine="560"/>
        <w:spacing w:line="500" w:lineRule="exact"/>
        <w:rPr>
          <w:rFonts w:ascii="仿宋" w:hAnsi="仿宋" w:eastAsia="仿宋"/>
          <w:b/>
          <w:color w:val="auto"/>
          <w:sz w:val="28"/>
          <w:szCs w:val="28"/>
          <w:highlight w:val="none"/>
        </w:rPr>
      </w:pPr>
      <w:r>
        <w:rPr>
          <w:rFonts w:hint="eastAsia" w:ascii="仿宋" w:hAnsi="仿宋" w:eastAsia="仿宋"/>
          <w:bCs/>
          <w:color w:val="auto"/>
          <w:sz w:val="28"/>
          <w:szCs w:val="28"/>
          <w:highlight w:val="none"/>
        </w:rPr>
        <w:t xml:space="preserve">标注</w:t>
      </w:r>
      <w:r>
        <w:rPr>
          <w:rFonts w:hint="eastAsia" w:ascii="仿宋" w:hAnsi="仿宋" w:eastAsia="仿宋" w:cs="仿宋"/>
          <w:bCs/>
          <w:color w:val="auto"/>
          <w:sz w:val="28"/>
          <w:szCs w:val="28"/>
          <w:highlight w:val="none"/>
        </w:rPr>
        <w:t xml:space="preserve">★</w:t>
      </w:r>
      <w:r>
        <w:rPr>
          <w:rFonts w:hint="eastAsia" w:ascii="仿宋" w:hAnsi="仿宋" w:eastAsia="仿宋"/>
          <w:bCs/>
          <w:color w:val="auto"/>
          <w:sz w:val="28"/>
          <w:szCs w:val="28"/>
          <w:highlight w:val="none"/>
        </w:rPr>
        <w:t xml:space="preserve">号的内容（如有）为实质性要求和条件，不允许有负偏离。</w:t>
      </w:r>
      <w:r/>
    </w:p>
    <w:p>
      <w:pPr>
        <w:jc w:val="center"/>
        <w:spacing w:line="600" w:lineRule="exact"/>
        <w:rPr>
          <w:rFonts w:ascii="方正小标宋简体" w:eastAsia="方正小标宋简体"/>
          <w:b/>
          <w:color w:val="auto"/>
          <w:sz w:val="32"/>
          <w:szCs w:val="32"/>
          <w:highlight w:val="none"/>
        </w:rPr>
        <w:outlineLvl w:val="0"/>
      </w:pPr>
      <w:r>
        <w:rPr>
          <w:rFonts w:ascii="方正小标宋简体" w:eastAsia="方正小标宋简体"/>
          <w:b/>
          <w:color w:val="auto"/>
          <w:sz w:val="44"/>
          <w:szCs w:val="28"/>
          <w:highlight w:val="none"/>
        </w:rPr>
        <w:br w:type="page" w:clear="all"/>
      </w:r>
      <w:bookmarkStart w:id="63" w:name="_Toc13517"/>
      <w:r>
        <w:rPr>
          <w:rFonts w:hint="eastAsia" w:ascii="方正小标宋简体" w:eastAsia="方正小标宋简体"/>
          <w:b/>
          <w:color w:val="auto"/>
          <w:sz w:val="32"/>
          <w:szCs w:val="32"/>
          <w:highlight w:val="none"/>
        </w:rPr>
        <w:t xml:space="preserve">第3章 采购需求</w:t>
      </w:r>
      <w:bookmarkEnd w:id="63"/>
      <w:r/>
      <w:r/>
    </w:p>
    <w:p>
      <w:pPr>
        <w:ind w:firstLine="562"/>
        <w:jc w:val="left"/>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投标人在制作投标文件时仔细研究</w:t>
      </w:r>
      <w:r>
        <w:rPr>
          <w:rFonts w:hint="eastAsia" w:ascii="仿宋" w:hAnsi="仿宋" w:eastAsia="仿宋"/>
          <w:b/>
          <w:color w:val="auto"/>
          <w:sz w:val="28"/>
          <w:szCs w:val="28"/>
          <w:highlight w:val="none"/>
        </w:rPr>
        <w:t xml:space="preserve">采购</w:t>
      </w:r>
      <w:r>
        <w:rPr>
          <w:rFonts w:ascii="仿宋" w:hAnsi="仿宋" w:eastAsia="仿宋"/>
          <w:b/>
          <w:color w:val="auto"/>
          <w:sz w:val="28"/>
          <w:szCs w:val="28"/>
          <w:highlight w:val="none"/>
        </w:rPr>
        <w:t xml:space="preserve">需求说明。</w:t>
      </w:r>
      <w:r>
        <w:rPr>
          <w:rFonts w:hint="eastAsia" w:ascii="仿宋" w:hAnsi="仿宋" w:eastAsia="仿宋"/>
          <w:b/>
          <w:color w:val="auto"/>
          <w:sz w:val="28"/>
          <w:szCs w:val="28"/>
          <w:highlight w:val="none"/>
        </w:rPr>
        <w:t xml:space="preserve">采购</w:t>
      </w:r>
      <w:r>
        <w:rPr>
          <w:rFonts w:ascii="仿宋" w:hAnsi="仿宋" w:eastAsia="仿宋"/>
          <w:b/>
          <w:color w:val="auto"/>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投标人不能简单照搬照抄招标文件项目需求说明中的技术、商务要求，必须作实事求是的响应。如投标人提供的货物和服务同</w:t>
      </w:r>
      <w:r>
        <w:rPr>
          <w:rFonts w:hint="eastAsia" w:ascii="仿宋" w:hAnsi="仿宋" w:eastAsia="仿宋"/>
          <w:b/>
          <w:color w:val="auto"/>
          <w:sz w:val="28"/>
          <w:szCs w:val="28"/>
          <w:highlight w:val="none"/>
        </w:rPr>
        <w:t xml:space="preserve">采购人</w:t>
      </w:r>
      <w:r>
        <w:rPr>
          <w:rFonts w:ascii="仿宋" w:hAnsi="仿宋" w:eastAsia="仿宋"/>
          <w:b/>
          <w:color w:val="auto"/>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color w:val="auto"/>
          <w:sz w:val="28"/>
          <w:szCs w:val="28"/>
          <w:highlight w:val="none"/>
        </w:rPr>
        <w:t xml:space="preserve">。</w:t>
      </w:r>
      <w:r/>
    </w:p>
    <w:p>
      <w:pPr>
        <w:ind w:firstLine="562"/>
        <w:spacing w:line="500" w:lineRule="exact"/>
        <w:rPr>
          <w:rFonts w:ascii="黑体" w:hAnsi="黑体" w:eastAsia="黑体"/>
          <w:b/>
          <w:color w:val="auto"/>
          <w:sz w:val="28"/>
          <w:szCs w:val="28"/>
          <w:highlight w:val="none"/>
        </w:rPr>
        <w:outlineLvl w:val="1"/>
      </w:pPr>
      <w:r/>
      <w:bookmarkStart w:id="64" w:name="_Toc11861"/>
      <w:r>
        <w:rPr>
          <w:rFonts w:hint="eastAsia" w:ascii="黑体" w:hAnsi="黑体" w:eastAsia="黑体"/>
          <w:b/>
          <w:color w:val="auto"/>
          <w:sz w:val="28"/>
          <w:szCs w:val="28"/>
          <w:highlight w:val="none"/>
        </w:rPr>
        <w:t xml:space="preserve">一、项目简介</w:t>
      </w:r>
      <w:bookmarkEnd w:id="64"/>
      <w:r/>
      <w:r/>
    </w:p>
    <w:p>
      <w:pPr>
        <w:jc w:val="left"/>
        <w:rPr>
          <w:rFonts w:ascii="仿宋" w:hAnsi="仿宋" w:eastAsia="仿宋" w:cs="仿宋"/>
          <w:color w:val="auto"/>
          <w:szCs w:val="24"/>
          <w:highlight w:val="none"/>
        </w:rPr>
      </w:pPr>
      <w:r>
        <w:rPr>
          <w:rFonts w:hint="eastAsia" w:ascii="仿宋" w:hAnsi="仿宋" w:eastAsia="仿宋"/>
          <w:bCs/>
          <w:color w:val="auto"/>
          <w:sz w:val="28"/>
          <w:szCs w:val="28"/>
          <w:highlight w:val="none"/>
        </w:rPr>
        <w:t xml:space="preserve">本项目拟更新改造如皋长青沙水库应急水源地水质自动监测站和如皋鹏鹞上游预警水质自动监测站，包括设备采购，伴随安装、调试、集成以及售后服务。本项目分为两个采购包，其中包1最高限价人民币200万元；包2最高限价人民币200万元。按照从包1至包2的顺序开标，兼投兼中，即允许投标人同时参加两个分包的竞争，可以同时成为两个分包的第一中标候选人。详见第三章。</w:t>
      </w:r>
      <w:r/>
    </w:p>
    <w:p>
      <w:pPr>
        <w:ind w:firstLine="562"/>
        <w:spacing w:line="500" w:lineRule="exact"/>
        <w:rPr>
          <w:rFonts w:ascii="黑体" w:hAnsi="黑体" w:eastAsia="黑体"/>
          <w:b/>
          <w:color w:val="auto"/>
          <w:sz w:val="28"/>
          <w:szCs w:val="28"/>
          <w:highlight w:val="none"/>
        </w:rPr>
        <w:outlineLvl w:val="1"/>
      </w:pPr>
      <w:r/>
      <w:bookmarkStart w:id="65" w:name="_Toc4210"/>
      <w:r>
        <w:rPr>
          <w:rFonts w:hint="eastAsia" w:ascii="黑体" w:hAnsi="黑体" w:eastAsia="黑体"/>
          <w:b/>
          <w:color w:val="auto"/>
          <w:sz w:val="28"/>
          <w:szCs w:val="28"/>
          <w:highlight w:val="none"/>
        </w:rPr>
        <w:t xml:space="preserve">二、采购内容</w:t>
      </w:r>
      <w:bookmarkEnd w:id="65"/>
      <w:r/>
      <w:r/>
    </w:p>
    <w:p>
      <w:pPr>
        <w:ind w:firstLine="560"/>
        <w:spacing w:line="500" w:lineRule="exact"/>
        <w:rPr>
          <w:rFonts w:ascii="仿宋" w:hAnsi="仿宋" w:eastAsia="仿宋" w:cs="仿宋"/>
          <w:bCs/>
          <w:color w:val="auto"/>
          <w:sz w:val="28"/>
          <w:szCs w:val="28"/>
          <w:highlight w:val="none"/>
        </w:rPr>
      </w:pPr>
      <w:r>
        <w:rPr>
          <w:rFonts w:hint="eastAsia" w:ascii="黑体" w:hAnsi="黑体" w:eastAsia="黑体"/>
          <w:bCs/>
          <w:color w:val="auto"/>
          <w:sz w:val="28"/>
          <w:szCs w:val="28"/>
          <w:highlight w:val="none"/>
        </w:rPr>
        <w:t xml:space="preserve">1.</w:t>
      </w:r>
      <w:r>
        <w:rPr>
          <w:rFonts w:hint="eastAsia" w:ascii="仿宋" w:hAnsi="仿宋" w:eastAsia="仿宋" w:cs="仿宋"/>
          <w:bCs/>
          <w:color w:val="auto"/>
          <w:sz w:val="28"/>
          <w:szCs w:val="28"/>
          <w:highlight w:val="none"/>
        </w:rPr>
        <w:t xml:space="preserve">采购包1设备采购清单</w:t>
      </w:r>
      <w:r/>
    </w:p>
    <w:tbl>
      <w:tblPr>
        <w:tblStyle w:val="875"/>
        <w:tblW w:w="9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825"/>
        <w:gridCol w:w="953"/>
        <w:gridCol w:w="771"/>
        <w:gridCol w:w="2403"/>
        <w:gridCol w:w="2378"/>
        <w:gridCol w:w="553"/>
      </w:tblGrid>
      <w:tr>
        <w:trPr>
          <w:jc w:val="center"/>
          <w:trHeight w:val="315"/>
        </w:trPr>
        <w:tc>
          <w:tcPr>
            <w:tcBorders>
              <w:top w:val="single" w:color="auto" w:sz="4" w:space="0"/>
              <w:left w:val="single" w:color="auto" w:sz="4" w:space="0"/>
              <w:bottom w:val="single" w:color="auto" w:sz="4" w:space="0"/>
              <w:right w:val="single" w:color="auto" w:sz="4" w:space="0"/>
            </w:tcBorders>
            <w:tcW w:w="676" w:type="dxa"/>
            <w:vAlign w:val="center"/>
            <w:vMerge w:val="restart"/>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25" w:type="dxa"/>
            <w:vAlign w:val="center"/>
            <w:vMerge w:val="restart"/>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设备名称</w:t>
            </w:r>
            <w:r/>
          </w:p>
        </w:tc>
        <w:tc>
          <w:tcPr>
            <w:tcBorders>
              <w:top w:val="single" w:color="auto" w:sz="4" w:space="0"/>
              <w:left w:val="single" w:color="auto" w:sz="4" w:space="0"/>
              <w:bottom w:val="single" w:color="auto" w:sz="4" w:space="0"/>
              <w:right w:val="single" w:color="auto" w:sz="4" w:space="0"/>
            </w:tcBorders>
            <w:tcW w:w="953" w:type="dxa"/>
            <w:vAlign w:val="center"/>
            <w:vMerge w:val="restart"/>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771" w:type="dxa"/>
            <w:vAlign w:val="center"/>
            <w:vMerge w:val="restart"/>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计量单位</w:t>
            </w:r>
            <w:r/>
          </w:p>
        </w:tc>
        <w:tc>
          <w:tcPr>
            <w:gridSpan w:val="2"/>
            <w:tcBorders>
              <w:top w:val="single" w:color="auto" w:sz="4" w:space="0"/>
              <w:left w:val="single" w:color="auto" w:sz="4" w:space="0"/>
              <w:bottom w:val="single" w:color="auto" w:sz="4" w:space="0"/>
              <w:right w:val="single" w:color="auto" w:sz="4" w:space="0"/>
            </w:tcBorders>
            <w:tcW w:w="478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安装位置</w:t>
            </w:r>
            <w:r/>
          </w:p>
        </w:tc>
        <w:tc>
          <w:tcPr>
            <w:tcBorders>
              <w:top w:val="single" w:color="auto" w:sz="4" w:space="0"/>
              <w:left w:val="single" w:color="auto" w:sz="4" w:space="0"/>
              <w:bottom w:val="single" w:color="auto" w:sz="4" w:space="0"/>
              <w:right w:val="single" w:color="auto" w:sz="4" w:space="0"/>
            </w:tcBorders>
            <w:tcW w:w="553" w:type="dxa"/>
            <w:vAlign w:val="center"/>
            <w:vMerge w:val="restart"/>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备注</w:t>
            </w:r>
            <w:r/>
          </w:p>
        </w:tc>
      </w:tr>
      <w:tr>
        <w:trPr>
          <w:jc w:val="center"/>
          <w:trHeight w:val="315"/>
        </w:trPr>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825" w:type="dxa"/>
            <w:vAlign w:val="center"/>
            <w:vMerge w:val="continue"/>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953" w:type="dxa"/>
            <w:vAlign w:val="center"/>
            <w:vMerge w:val="continue"/>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771" w:type="dxa"/>
            <w:vAlign w:val="center"/>
            <w:vMerge w:val="continue"/>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40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如皋长青沙水库应急水源地水质自动监测站</w:t>
            </w:r>
            <w:r/>
          </w:p>
        </w:tc>
        <w:tc>
          <w:tcPr>
            <w:tcBorders>
              <w:top w:val="single" w:color="auto" w:sz="4" w:space="0"/>
              <w:left w:val="single" w:color="auto" w:sz="4" w:space="0"/>
              <w:bottom w:val="single" w:color="auto" w:sz="4" w:space="0"/>
              <w:right w:val="single" w:color="auto" w:sz="4" w:space="0"/>
            </w:tcBorders>
            <w:tcW w:w="2378"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如皋鹏鹞上游预警水质自动监测站</w:t>
            </w:r>
            <w:r/>
          </w:p>
        </w:tc>
        <w:tc>
          <w:tcPr>
            <w:tcBorders>
              <w:top w:val="single" w:color="auto" w:sz="4" w:space="0"/>
              <w:left w:val="single" w:color="auto" w:sz="4" w:space="0"/>
              <w:bottom w:val="single" w:color="auto" w:sz="4" w:space="0"/>
              <w:right w:val="single" w:color="auto" w:sz="4" w:space="0"/>
            </w:tcBorders>
            <w:tcW w:w="553" w:type="dxa"/>
            <w:vAlign w:val="center"/>
            <w:vMerge w:val="continue"/>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jc w:val="center"/>
          <w:trHeight w:val="315"/>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五参数分析仪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7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40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378"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jc w:val="center"/>
          <w:trHeight w:val="315"/>
        </w:trPr>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高锰酸盐指数分析仪</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tcBorders>
              <w:top w:val="single" w:color="auto" w:sz="4" w:space="0"/>
              <w:left w:val="single" w:color="auto" w:sz="4" w:space="0"/>
              <w:bottom w:val="single" w:color="auto" w:sz="4" w:space="0"/>
              <w:right w:val="single" w:color="auto" w:sz="4" w:space="0"/>
            </w:tcBorders>
            <w:tcW w:w="240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378"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jc w:val="center"/>
          <w:trHeight w:val="315"/>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氨氮分析仪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7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40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378"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jc w:val="center"/>
          <w:trHeight w:val="315"/>
        </w:trPr>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总磷分析仪</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tcBorders>
              <w:top w:val="single" w:color="auto" w:sz="4" w:space="0"/>
              <w:left w:val="single" w:color="auto" w:sz="4" w:space="0"/>
              <w:bottom w:val="single" w:color="auto" w:sz="4" w:space="0"/>
              <w:right w:val="single" w:color="auto" w:sz="4" w:space="0"/>
            </w:tcBorders>
            <w:tcW w:w="240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378"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jc w:val="center"/>
          <w:trHeight w:val="315"/>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总氮分析仪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7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40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378"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jc w:val="center"/>
          <w:trHeight w:val="315"/>
        </w:trPr>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挥发酚分析仪</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tcBorders>
              <w:top w:val="single" w:color="auto" w:sz="4" w:space="0"/>
              <w:left w:val="single" w:color="auto" w:sz="4" w:space="0"/>
              <w:bottom w:val="single" w:color="auto" w:sz="4" w:space="0"/>
              <w:right w:val="single" w:color="auto" w:sz="4" w:space="0"/>
            </w:tcBorders>
            <w:tcW w:w="240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378"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jc w:val="center"/>
          <w:trHeight w:val="315"/>
        </w:trPr>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挥发性有机物</w:t>
            </w:r>
            <w:r/>
          </w:p>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自动分析仪</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tcBorders>
              <w:top w:val="single" w:color="auto" w:sz="4" w:space="0"/>
              <w:left w:val="single" w:color="auto" w:sz="4" w:space="0"/>
              <w:bottom w:val="single" w:color="auto" w:sz="4" w:space="0"/>
              <w:right w:val="single" w:color="auto" w:sz="4" w:space="0"/>
            </w:tcBorders>
            <w:tcW w:w="240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378"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jc w:val="center"/>
          <w:trHeight w:val="315"/>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系统集成单元</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7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40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378"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jc w:val="center"/>
          <w:trHeight w:val="315"/>
        </w:trPr>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合计</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t xml:space="preserve">14</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40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2378"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r>
    </w:tbl>
    <w:p>
      <w:pPr>
        <w:ind w:firstLine="560"/>
        <w:jc w:val="left"/>
        <w:spacing w:line="5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采购包1核心产品为：</w:t>
      </w:r>
      <w:r>
        <w:rPr>
          <w:rFonts w:hint="eastAsia" w:ascii="仿宋" w:hAnsi="仿宋" w:eastAsia="仿宋" w:cs="仿宋"/>
          <w:bCs/>
          <w:color w:val="auto"/>
          <w:sz w:val="28"/>
          <w:szCs w:val="28"/>
          <w:highlight w:val="none"/>
          <w:u w:val="single"/>
        </w:rPr>
        <w:t xml:space="preserve">挥发性有机物自动分析仪</w:t>
      </w:r>
      <w:r>
        <w:rPr>
          <w:rFonts w:hint="eastAsia" w:ascii="仿宋" w:hAnsi="仿宋" w:eastAsia="仿宋" w:cs="仿宋"/>
          <w:bCs/>
          <w:color w:val="auto"/>
          <w:sz w:val="28"/>
          <w:szCs w:val="28"/>
          <w:highlight w:val="none"/>
        </w:rPr>
        <w:t xml:space="preserve">。</w:t>
      </w:r>
      <w:r/>
    </w:p>
    <w:p>
      <w:pPr>
        <w:ind w:firstLine="560"/>
        <w:spacing w:line="500" w:lineRule="exact"/>
        <w:rPr>
          <w:rFonts w:ascii="仿宋" w:hAnsi="仿宋" w:eastAsia="仿宋" w:cs="仿宋"/>
          <w:bCs/>
          <w:color w:val="auto"/>
          <w:sz w:val="28"/>
          <w:szCs w:val="28"/>
          <w:highlight w:val="none"/>
        </w:rPr>
      </w:pPr>
      <w:r>
        <w:rPr>
          <w:rFonts w:hint="eastAsia" w:ascii="仿宋" w:hAnsi="仿宋" w:eastAsia="仿宋"/>
          <w:bCs/>
          <w:color w:val="auto"/>
          <w:sz w:val="28"/>
          <w:szCs w:val="28"/>
          <w:highlight w:val="none"/>
        </w:rPr>
        <w:t xml:space="preserve">2.采购包2设备采购清单</w:t>
      </w:r>
      <w:r/>
    </w:p>
    <w:tbl>
      <w:tblPr>
        <w:tblStyle w:val="875"/>
        <w:tblW w:w="92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9"/>
        <w:gridCol w:w="4684"/>
        <w:gridCol w:w="1391"/>
        <w:gridCol w:w="2114"/>
      </w:tblGrid>
      <w:tr>
        <w:trPr>
          <w:jc w:val="center"/>
          <w:trHeight w:val="630"/>
        </w:trPr>
        <w:tc>
          <w:tcPr>
            <w:tcW w:w="1019"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序号</w:t>
            </w:r>
            <w:r/>
          </w:p>
        </w:tc>
        <w:tc>
          <w:tcPr>
            <w:tcW w:w="4684"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设备名称</w:t>
            </w:r>
            <w:r/>
          </w:p>
        </w:tc>
        <w:tc>
          <w:tcPr>
            <w:tcW w:w="139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数量</w:t>
            </w:r>
            <w:r/>
          </w:p>
        </w:tc>
        <w:tc>
          <w:tcPr>
            <w:tcW w:w="2114"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规格及技术参数</w:t>
            </w:r>
            <w:r/>
          </w:p>
        </w:tc>
      </w:tr>
      <w:tr>
        <w:trPr>
          <w:jc w:val="center"/>
          <w:trHeight w:val="323"/>
        </w:trPr>
        <w:tc>
          <w:tcPr>
            <w:tcW w:w="1019"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W w:w="4684"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总磷总氮全自动分析仪</w:t>
            </w:r>
            <w:r/>
          </w:p>
        </w:tc>
        <w:tc>
          <w:tcPr>
            <w:tcW w:w="139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1台</w:t>
            </w:r>
            <w:r/>
          </w:p>
        </w:tc>
        <w:tc>
          <w:tcPr>
            <w:tcW w:w="2114" w:type="dxa"/>
            <w:vAlign w:val="center"/>
            <w:vMerge w:val="restart"/>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见技术要求</w:t>
            </w:r>
            <w:r/>
          </w:p>
        </w:tc>
      </w:tr>
      <w:tr>
        <w:trPr>
          <w:jc w:val="center"/>
          <w:trHeight w:val="323"/>
        </w:trPr>
        <w:tc>
          <w:tcPr>
            <w:tcW w:w="1019"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tcW w:w="4684"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采水无人机</w:t>
            </w:r>
            <w:r/>
          </w:p>
        </w:tc>
        <w:tc>
          <w:tcPr>
            <w:tcW w:w="139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1台</w:t>
            </w:r>
            <w:r/>
          </w:p>
        </w:tc>
        <w:tc>
          <w:tcPr>
            <w:tcW w:w="2114" w:type="dxa"/>
            <w:vAlign w:val="center"/>
            <w:vMerge w:val="continue"/>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jc w:val="center"/>
          <w:trHeight w:val="323"/>
        </w:trPr>
        <w:tc>
          <w:tcPr>
            <w:tcW w:w="1019"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w:t>
            </w:r>
            <w:r/>
          </w:p>
        </w:tc>
        <w:tc>
          <w:tcPr>
            <w:tcW w:w="4684"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便携式气相色谱质谱联用仪</w:t>
            </w:r>
            <w:r/>
          </w:p>
        </w:tc>
        <w:tc>
          <w:tcPr>
            <w:tcW w:w="139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1台</w:t>
            </w:r>
            <w:r/>
          </w:p>
        </w:tc>
        <w:tc>
          <w:tcPr>
            <w:tcW w:w="2114" w:type="dxa"/>
            <w:vAlign w:val="center"/>
            <w:vMerge w:val="continue"/>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jc w:val="center"/>
          <w:trHeight w:val="333"/>
        </w:trPr>
        <w:tc>
          <w:tcPr>
            <w:gridSpan w:val="2"/>
            <w:tcW w:w="570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合计</w:t>
            </w:r>
            <w:r/>
          </w:p>
        </w:tc>
        <w:tc>
          <w:tcPr>
            <w:tcW w:w="139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3台</w:t>
            </w:r>
            <w:r/>
          </w:p>
        </w:tc>
        <w:tc>
          <w:tcPr>
            <w:tcW w:w="2114" w:type="dxa"/>
            <w:vAlign w:val="center"/>
            <w:vMerge w:val="continue"/>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r>
    </w:tbl>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采购包2核心产品为：</w:t>
      </w:r>
      <w:r>
        <w:rPr>
          <w:rFonts w:hint="eastAsia" w:ascii="仿宋" w:hAnsi="仿宋" w:eastAsia="仿宋"/>
          <w:bCs/>
          <w:color w:val="auto"/>
          <w:sz w:val="28"/>
          <w:szCs w:val="28"/>
          <w:highlight w:val="none"/>
          <w:u w:val="single"/>
        </w:rPr>
        <w:t xml:space="preserve">便携式气相色谱质谱联用仪</w:t>
      </w:r>
      <w:r/>
    </w:p>
    <w:p>
      <w:pPr>
        <w:ind w:firstLine="562"/>
        <w:spacing w:line="500" w:lineRule="exact"/>
        <w:rPr>
          <w:rFonts w:ascii="黑体" w:hAnsi="黑体" w:eastAsia="黑体"/>
          <w:b/>
          <w:color w:val="auto"/>
          <w:sz w:val="28"/>
          <w:szCs w:val="28"/>
          <w:highlight w:val="none"/>
        </w:rPr>
        <w:outlineLvl w:val="1"/>
      </w:pPr>
      <w:r/>
      <w:bookmarkStart w:id="66" w:name="_Toc23984"/>
      <w:r>
        <w:rPr>
          <w:rFonts w:hint="eastAsia" w:ascii="黑体" w:hAnsi="黑体" w:eastAsia="黑体"/>
          <w:b/>
          <w:color w:val="auto"/>
          <w:sz w:val="28"/>
          <w:szCs w:val="28"/>
          <w:highlight w:val="none"/>
        </w:rPr>
        <w:t xml:space="preserve">三、技术要求</w:t>
      </w:r>
      <w:bookmarkEnd w:id="66"/>
      <w:r/>
      <w:r/>
    </w:p>
    <w:p>
      <w:pPr>
        <w:ind w:firstLine="560"/>
        <w:spacing w:line="500" w:lineRule="exact"/>
        <w:rPr>
          <w:rFonts w:ascii="仿宋" w:hAnsi="仿宋" w:eastAsia="仿宋"/>
          <w:bCs/>
          <w:color w:val="auto"/>
          <w:sz w:val="28"/>
          <w:szCs w:val="28"/>
          <w:highlight w:val="none"/>
        </w:rPr>
        <w:outlineLvl w:val="2"/>
      </w:pPr>
      <w:r>
        <w:rPr>
          <w:rFonts w:hint="eastAsia" w:ascii="仿宋" w:hAnsi="仿宋" w:eastAsia="仿宋"/>
          <w:bCs/>
          <w:color w:val="auto"/>
          <w:sz w:val="28"/>
          <w:szCs w:val="28"/>
          <w:highlight w:val="none"/>
        </w:rPr>
        <w:t xml:space="preserve">第一部分：采购包1技术要求</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（一）总体要求</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供应商应提供原装、全新的、符合国家及采购方提出的有关质量标准的设备，提供原厂配套的配件，必须具备生产厂商的质量合格证明、保修证明技术证明文件。所提供的仪器设备的性能达到或优于本</w:t>
      </w:r>
      <w:r>
        <w:rPr>
          <w:rFonts w:hint="eastAsia" w:ascii="仿宋" w:hAnsi="仿宋" w:eastAsia="仿宋"/>
          <w:bCs/>
          <w:color w:val="auto"/>
          <w:sz w:val="28"/>
          <w:szCs w:val="28"/>
          <w:highlight w:val="none"/>
        </w:rPr>
        <w:t xml:space="preserve">招标文件</w:t>
      </w:r>
      <w:r>
        <w:rPr>
          <w:rFonts w:ascii="仿宋" w:hAnsi="仿宋" w:eastAsia="仿宋"/>
          <w:bCs/>
          <w:color w:val="auto"/>
          <w:sz w:val="28"/>
          <w:szCs w:val="28"/>
          <w:highlight w:val="none"/>
        </w:rPr>
        <w:t xml:space="preserve">所列技术指标。</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供应商必须有较强的系统集成能力，提供优质的售后服务</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具有水质监测站自动监测站集成经验，提供的集成服务、运行管理必须符合国家、江苏省的相关标准和规范及</w:t>
      </w:r>
      <w:r>
        <w:rPr>
          <w:rFonts w:hint="eastAsia" w:ascii="仿宋" w:hAnsi="仿宋" w:eastAsia="仿宋"/>
          <w:bCs/>
          <w:color w:val="auto"/>
          <w:sz w:val="28"/>
          <w:szCs w:val="28"/>
          <w:highlight w:val="none"/>
        </w:rPr>
        <w:t xml:space="preserve">招标文件</w:t>
      </w:r>
      <w:r>
        <w:rPr>
          <w:rFonts w:ascii="仿宋" w:hAnsi="仿宋" w:eastAsia="仿宋"/>
          <w:bCs/>
          <w:color w:val="auto"/>
          <w:sz w:val="28"/>
          <w:szCs w:val="28"/>
          <w:highlight w:val="none"/>
        </w:rPr>
        <w:t xml:space="preserve">的规定。</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供应商应在了解本采购项目基本信息的基础上，提供针对本项目的组织实施方案，包括系统集成（包括取水系统）完整的设计方案及设备安装、调试、验收、质保以及交接等。</w:t>
      </w:r>
      <w:r/>
    </w:p>
    <w:p>
      <w:pPr>
        <w:ind w:firstLine="562"/>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4</w:t>
      </w:r>
      <w:r>
        <w:rPr>
          <w:rFonts w:hint="eastAsia" w:ascii="仿宋" w:hAnsi="仿宋" w:eastAsia="仿宋"/>
          <w:b/>
          <w:color w:val="auto"/>
          <w:sz w:val="28"/>
          <w:szCs w:val="28"/>
          <w:highlight w:val="none"/>
        </w:rPr>
        <w:t xml:space="preserve">.</w:t>
      </w:r>
      <w:r>
        <w:rPr>
          <w:rFonts w:ascii="仿宋" w:hAnsi="仿宋" w:eastAsia="仿宋"/>
          <w:b/>
          <w:color w:val="auto"/>
          <w:sz w:val="28"/>
          <w:szCs w:val="28"/>
          <w:highlight w:val="none"/>
        </w:rPr>
        <w:t xml:space="preserve">供应商必须提供能够满足运行的备品备件供应及承诺长期技术服务的方案。须在投标文件中提供</w:t>
      </w:r>
      <w:r>
        <w:rPr>
          <w:rFonts w:hint="eastAsia" w:ascii="仿宋" w:hAnsi="仿宋" w:eastAsia="仿宋"/>
          <w:b/>
          <w:color w:val="auto"/>
          <w:sz w:val="28"/>
          <w:szCs w:val="28"/>
          <w:highlight w:val="none"/>
        </w:rPr>
        <w:t xml:space="preserve">承诺函承（格式自拟）</w:t>
      </w:r>
      <w:r>
        <w:rPr>
          <w:rFonts w:ascii="仿宋" w:hAnsi="仿宋" w:eastAsia="仿宋"/>
          <w:b/>
          <w:color w:val="auto"/>
          <w:sz w:val="28"/>
          <w:szCs w:val="28"/>
          <w:highlight w:val="none"/>
        </w:rPr>
        <w:t xml:space="preserve">。</w:t>
      </w:r>
      <w:r>
        <w:rPr>
          <w:rFonts w:hint="eastAsia" w:ascii="仿宋" w:hAnsi="仿宋" w:eastAsia="仿宋"/>
          <w:b/>
          <w:color w:val="auto"/>
          <w:sz w:val="28"/>
          <w:szCs w:val="28"/>
          <w:highlight w:val="none"/>
        </w:rPr>
        <w:t xml:space="preserve">不</w:t>
      </w:r>
      <w:r>
        <w:rPr>
          <w:rFonts w:ascii="仿宋" w:hAnsi="仿宋" w:eastAsia="仿宋"/>
          <w:b/>
          <w:color w:val="auto"/>
          <w:sz w:val="28"/>
          <w:szCs w:val="28"/>
          <w:highlight w:val="none"/>
        </w:rPr>
        <w:t xml:space="preserve">提供的作为</w:t>
      </w:r>
      <w:r>
        <w:rPr>
          <w:rFonts w:hint="eastAsia" w:ascii="仿宋" w:hAnsi="仿宋" w:eastAsia="仿宋"/>
          <w:b/>
          <w:color w:val="auto"/>
          <w:sz w:val="28"/>
          <w:szCs w:val="28"/>
          <w:highlight w:val="none"/>
        </w:rPr>
        <w:t xml:space="preserve">无效投标</w:t>
      </w:r>
      <w:r>
        <w:rPr>
          <w:rFonts w:ascii="仿宋" w:hAnsi="仿宋" w:eastAsia="仿宋"/>
          <w:b/>
          <w:color w:val="auto"/>
          <w:sz w:val="28"/>
          <w:szCs w:val="28"/>
          <w:highlight w:val="none"/>
        </w:rPr>
        <w:t xml:space="preserve">处理。</w:t>
      </w:r>
      <w:r/>
    </w:p>
    <w:p>
      <w:pPr>
        <w:jc w:val="left"/>
      </w:pPr>
      <w:r>
        <w:rPr>
          <w:rFonts w:ascii="仿宋" w:hAnsi="仿宋" w:eastAsia="仿宋"/>
          <w:b/>
          <w:color w:val="auto"/>
          <w:sz w:val="28"/>
          <w:szCs w:val="28"/>
          <w:highlight w:val="none"/>
        </w:rPr>
        <w:t xml:space="preserve">    5</w:t>
      </w:r>
      <w:r>
        <w:rPr>
          <w:rFonts w:hint="eastAsia" w:ascii="仿宋" w:hAnsi="仿宋" w:eastAsia="仿宋"/>
          <w:b/>
          <w:color w:val="auto"/>
          <w:sz w:val="28"/>
          <w:szCs w:val="28"/>
          <w:highlight w:val="none"/>
        </w:rPr>
        <w:t xml:space="preserve">.</w:t>
      </w:r>
      <w:r>
        <w:rPr>
          <w:rFonts w:ascii="仿宋" w:hAnsi="仿宋" w:eastAsia="仿宋"/>
          <w:b/>
          <w:color w:val="auto"/>
          <w:sz w:val="28"/>
          <w:szCs w:val="28"/>
          <w:highlight w:val="none"/>
        </w:rPr>
        <w:t xml:space="preserve">投标人</w:t>
      </w:r>
      <w:r>
        <w:rPr>
          <w:rFonts w:ascii="仿宋" w:hAnsi="仿宋" w:eastAsia="仿宋"/>
          <w:b/>
          <w:color w:val="auto"/>
          <w:sz w:val="28"/>
          <w:szCs w:val="28"/>
          <w:highlight w:val="none"/>
        </w:rPr>
        <w:t xml:space="preserve">须</w:t>
      </w:r>
      <w:r>
        <w:rPr>
          <w:rFonts w:hint="eastAsia" w:ascii="仿宋" w:hAnsi="仿宋" w:eastAsia="仿宋"/>
          <w:b/>
          <w:color w:val="auto"/>
          <w:sz w:val="28"/>
          <w:szCs w:val="28"/>
          <w:highlight w:val="none"/>
        </w:rPr>
        <w:t xml:space="preserve">在投标文件中</w:t>
      </w:r>
      <w:r>
        <w:rPr>
          <w:rFonts w:ascii="仿宋" w:hAnsi="仿宋" w:eastAsia="仿宋"/>
          <w:b/>
          <w:color w:val="auto"/>
          <w:sz w:val="28"/>
          <w:szCs w:val="28"/>
          <w:highlight w:val="none"/>
        </w:rPr>
        <w:t xml:space="preserve">提供</w:t>
      </w:r>
      <w:r>
        <w:rPr>
          <w:rFonts w:ascii="仿宋" w:hAnsi="仿宋" w:eastAsia="仿宋"/>
          <w:b/>
          <w:color w:val="auto"/>
          <w:sz w:val="28"/>
          <w:szCs w:val="28"/>
          <w:highlight w:val="none"/>
        </w:rPr>
        <w:t xml:space="preserve">所投仪器设备</w:t>
      </w:r>
      <w:r>
        <w:rPr>
          <w:rFonts w:ascii="仿宋" w:hAnsi="仿宋" w:eastAsia="仿宋"/>
          <w:b/>
          <w:color w:val="auto"/>
          <w:sz w:val="28"/>
          <w:szCs w:val="28"/>
          <w:highlight w:val="none"/>
        </w:rPr>
        <w:t xml:space="preserve">：</w:t>
      </w:r>
      <w:r>
        <w:rPr>
          <w:rFonts w:ascii="仿宋" w:hAnsi="仿宋" w:eastAsia="仿宋"/>
          <w:b/>
          <w:color w:val="auto"/>
          <w:sz w:val="28"/>
          <w:szCs w:val="28"/>
          <w:highlight w:val="none"/>
        </w:rPr>
        <w:t xml:space="preserve">“</w:t>
      </w:r>
      <w:r>
        <w:rPr>
          <w:rFonts w:hint="eastAsia" w:ascii="仿宋" w:hAnsi="仿宋" w:eastAsia="仿宋" w:cs="仿宋"/>
          <w:b/>
          <w:bCs/>
          <w:color w:val="auto"/>
          <w:sz w:val="28"/>
          <w:szCs w:val="28"/>
          <w:highlight w:val="none"/>
        </w:rPr>
        <w:t xml:space="preserve">五参数分析仪</w:t>
      </w:r>
      <w:r>
        <w:rPr>
          <w:rFonts w:hint="eastAsia" w:ascii="仿宋" w:hAnsi="仿宋" w:eastAsia="仿宋"/>
          <w:b/>
          <w:bCs/>
          <w:color w:val="auto"/>
          <w:sz w:val="28"/>
          <w:szCs w:val="28"/>
          <w:highlight w:val="none"/>
        </w:rPr>
        <w:t xml:space="preserve">、</w:t>
      </w:r>
      <w:r>
        <w:rPr>
          <w:rFonts w:hint="eastAsia" w:ascii="仿宋" w:hAnsi="仿宋" w:eastAsia="仿宋" w:cs="仿宋"/>
          <w:b/>
          <w:bCs/>
          <w:color w:val="auto"/>
          <w:sz w:val="28"/>
          <w:szCs w:val="28"/>
          <w:highlight w:val="none"/>
        </w:rPr>
        <w:t xml:space="preserve">高锰酸盐指数分析仪</w:t>
      </w:r>
      <w:r>
        <w:rPr>
          <w:rFonts w:hint="eastAsia" w:ascii="仿宋" w:hAnsi="仿宋" w:eastAsia="仿宋"/>
          <w:b/>
          <w:bCs/>
          <w:color w:val="auto"/>
          <w:sz w:val="28"/>
          <w:szCs w:val="28"/>
          <w:highlight w:val="none"/>
        </w:rPr>
        <w:t xml:space="preserve">、</w:t>
      </w:r>
      <w:r>
        <w:rPr>
          <w:rFonts w:hint="eastAsia" w:ascii="仿宋" w:hAnsi="仿宋" w:eastAsia="仿宋" w:cs="仿宋"/>
          <w:b/>
          <w:bCs/>
          <w:color w:val="auto"/>
          <w:sz w:val="28"/>
          <w:szCs w:val="28"/>
          <w:highlight w:val="none"/>
        </w:rPr>
        <w:t xml:space="preserve">氨氮分析仪</w:t>
      </w:r>
      <w:r>
        <w:rPr>
          <w:rFonts w:hint="eastAsia" w:ascii="仿宋" w:hAnsi="仿宋" w:eastAsia="仿宋"/>
          <w:b/>
          <w:bCs/>
          <w:color w:val="auto"/>
          <w:sz w:val="28"/>
          <w:szCs w:val="28"/>
          <w:highlight w:val="none"/>
        </w:rPr>
        <w:t xml:space="preserve">、</w:t>
      </w:r>
      <w:r>
        <w:rPr>
          <w:rFonts w:hint="eastAsia" w:ascii="仿宋" w:hAnsi="仿宋" w:eastAsia="仿宋" w:cs="仿宋"/>
          <w:b/>
          <w:bCs/>
          <w:color w:val="auto"/>
          <w:sz w:val="28"/>
          <w:szCs w:val="28"/>
          <w:highlight w:val="none"/>
        </w:rPr>
        <w:t xml:space="preserve">总磷分析仪</w:t>
      </w:r>
      <w:r>
        <w:rPr>
          <w:rFonts w:hint="eastAsia" w:ascii="仿宋" w:hAnsi="仿宋" w:eastAsia="仿宋"/>
          <w:b/>
          <w:bCs/>
          <w:color w:val="auto"/>
          <w:sz w:val="28"/>
          <w:szCs w:val="28"/>
          <w:highlight w:val="none"/>
        </w:rPr>
        <w:t xml:space="preserve">、</w:t>
      </w:r>
      <w:r>
        <w:rPr>
          <w:rFonts w:hint="eastAsia" w:ascii="仿宋" w:hAnsi="仿宋" w:eastAsia="仿宋" w:cs="仿宋"/>
          <w:b/>
          <w:bCs/>
          <w:color w:val="auto"/>
          <w:sz w:val="28"/>
          <w:szCs w:val="28"/>
          <w:highlight w:val="none"/>
        </w:rPr>
        <w:t xml:space="preserve">总氮分析仪</w:t>
      </w:r>
      <w:r>
        <w:rPr>
          <w:b/>
          <w:bCs/>
          <w:sz w:val="28"/>
          <w:szCs w:val="28"/>
        </w:rPr>
        <w:t xml:space="preserve">、</w:t>
      </w:r>
      <w:r>
        <w:rPr>
          <w:rFonts w:hint="eastAsia" w:ascii="仿宋" w:hAnsi="仿宋" w:eastAsia="仿宋" w:cs="仿宋"/>
          <w:b/>
          <w:bCs/>
          <w:color w:val="auto"/>
          <w:sz w:val="28"/>
          <w:szCs w:val="28"/>
          <w:highlight w:val="none"/>
        </w:rPr>
        <w:t xml:space="preserve">挥发酚分析仪</w:t>
      </w:r>
      <w:r>
        <w:rPr>
          <w:b/>
          <w:bCs/>
          <w:sz w:val="28"/>
          <w:szCs w:val="28"/>
        </w:rPr>
        <w:t xml:space="preserve">、</w:t>
      </w:r>
      <w:r>
        <w:rPr>
          <w:rFonts w:hint="eastAsia" w:ascii="仿宋" w:hAnsi="仿宋" w:eastAsia="仿宋" w:cs="仿宋"/>
          <w:b/>
          <w:bCs/>
          <w:color w:val="auto"/>
          <w:sz w:val="28"/>
          <w:szCs w:val="28"/>
          <w:highlight w:val="none"/>
        </w:rPr>
        <w:t xml:space="preserve">挥发性有机物</w:t>
      </w:r>
      <w:r>
        <w:rPr>
          <w:rFonts w:hint="eastAsia" w:ascii="仿宋" w:hAnsi="仿宋" w:eastAsia="仿宋" w:cs="仿宋"/>
          <w:b/>
          <w:bCs/>
          <w:color w:val="auto"/>
          <w:sz w:val="28"/>
          <w:szCs w:val="28"/>
          <w:highlight w:val="none"/>
        </w:rPr>
        <w:t xml:space="preserve">自动分析仪</w:t>
      </w:r>
      <w:r>
        <w:rPr>
          <w:b/>
          <w:bCs/>
          <w:sz w:val="28"/>
          <w:szCs w:val="28"/>
        </w:rPr>
        <w:t xml:space="preserve">、</w:t>
      </w:r>
      <w:r>
        <w:rPr>
          <w:rFonts w:hint="eastAsia" w:ascii="仿宋" w:hAnsi="仿宋" w:eastAsia="仿宋" w:cs="仿宋"/>
          <w:b/>
          <w:bCs/>
          <w:color w:val="auto"/>
          <w:sz w:val="28"/>
          <w:szCs w:val="28"/>
          <w:highlight w:val="none"/>
        </w:rPr>
        <w:t xml:space="preserve">系统集成单元</w:t>
      </w:r>
      <w:r>
        <w:rPr>
          <w:rFonts w:ascii="仿宋" w:hAnsi="仿宋" w:eastAsia="仿宋"/>
          <w:b/>
          <w:bCs/>
          <w:color w:val="auto"/>
          <w:sz w:val="28"/>
          <w:szCs w:val="28"/>
          <w:highlight w:val="none"/>
        </w:rPr>
        <w:t xml:space="preserve">”</w:t>
      </w:r>
      <w:r>
        <w:rPr>
          <w:rFonts w:ascii="仿宋" w:hAnsi="仿宋" w:eastAsia="仿宋"/>
          <w:b/>
          <w:bCs/>
          <w:color w:val="auto"/>
          <w:sz w:val="28"/>
          <w:szCs w:val="28"/>
          <w:highlight w:val="none"/>
        </w:rPr>
        <w:t xml:space="preserve">的</w:t>
      </w:r>
      <w:r>
        <w:rPr>
          <w:rFonts w:ascii="仿宋" w:hAnsi="仿宋" w:eastAsia="仿宋"/>
          <w:b/>
          <w:color w:val="auto"/>
          <w:sz w:val="28"/>
          <w:szCs w:val="28"/>
          <w:highlight w:val="none"/>
        </w:rPr>
        <w:t xml:space="preserve">技术白皮书</w:t>
      </w:r>
      <w:r>
        <w:rPr>
          <w:rFonts w:ascii="仿宋" w:hAnsi="仿宋" w:eastAsia="仿宋"/>
          <w:b/>
          <w:color w:val="auto"/>
          <w:sz w:val="28"/>
          <w:szCs w:val="28"/>
          <w:highlight w:val="none"/>
        </w:rPr>
        <w:t xml:space="preserve">或</w:t>
      </w:r>
      <w:r>
        <w:rPr>
          <w:rFonts w:ascii="仿宋" w:hAnsi="仿宋" w:eastAsia="仿宋"/>
          <w:b/>
          <w:color w:val="auto"/>
          <w:sz w:val="28"/>
          <w:szCs w:val="28"/>
          <w:highlight w:val="none"/>
        </w:rPr>
        <w:t xml:space="preserve">说明</w:t>
      </w:r>
      <w:r>
        <w:rPr>
          <w:rFonts w:ascii="仿宋" w:hAnsi="仿宋" w:eastAsia="仿宋"/>
          <w:b/>
          <w:color w:val="auto"/>
          <w:sz w:val="28"/>
          <w:szCs w:val="28"/>
          <w:highlight w:val="none"/>
        </w:rPr>
        <w:t xml:space="preserve">书</w:t>
      </w:r>
      <w:r>
        <w:rPr>
          <w:rFonts w:hint="eastAsia" w:ascii="仿宋" w:hAnsi="仿宋" w:eastAsia="仿宋"/>
          <w:b/>
          <w:color w:val="auto"/>
          <w:sz w:val="28"/>
          <w:szCs w:val="28"/>
          <w:highlight w:val="none"/>
        </w:rPr>
        <w:t xml:space="preserve">，不</w:t>
      </w:r>
      <w:r>
        <w:rPr>
          <w:rFonts w:ascii="仿宋" w:hAnsi="仿宋" w:eastAsia="仿宋"/>
          <w:b/>
          <w:color w:val="auto"/>
          <w:sz w:val="28"/>
          <w:szCs w:val="28"/>
          <w:highlight w:val="none"/>
        </w:rPr>
        <w:t xml:space="preserve">提供或提供不全的作为</w:t>
      </w:r>
      <w:r>
        <w:rPr>
          <w:rFonts w:hint="eastAsia" w:ascii="仿宋" w:hAnsi="仿宋" w:eastAsia="仿宋"/>
          <w:b/>
          <w:color w:val="auto"/>
          <w:sz w:val="28"/>
          <w:szCs w:val="28"/>
          <w:highlight w:val="none"/>
        </w:rPr>
        <w:t xml:space="preserve">无效投标</w:t>
      </w:r>
      <w:r>
        <w:rPr>
          <w:rFonts w:ascii="仿宋" w:hAnsi="仿宋" w:eastAsia="仿宋"/>
          <w:b/>
          <w:color w:val="auto"/>
          <w:sz w:val="28"/>
          <w:szCs w:val="28"/>
          <w:highlight w:val="none"/>
        </w:rPr>
        <w:t xml:space="preserve">处理。</w:t>
      </w:r>
      <w:r>
        <w:rPr>
          <w:rFonts w:ascii="仿宋" w:hAnsi="仿宋" w:eastAsia="仿宋" w:cs="仿宋"/>
          <w:bCs/>
          <w:color w:val="auto"/>
          <w:sz w:val="24"/>
          <w:szCs w:val="24"/>
          <w:highlight w:val="none"/>
        </w:rPr>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6</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投标人为</w:t>
      </w:r>
      <w:r>
        <w:rPr>
          <w:rFonts w:ascii="仿宋" w:hAnsi="仿宋" w:eastAsia="仿宋"/>
          <w:bCs/>
          <w:color w:val="auto"/>
          <w:sz w:val="28"/>
          <w:szCs w:val="28"/>
          <w:highlight w:val="none"/>
          <w:u w:val="single"/>
        </w:rPr>
        <w:t xml:space="preserve">本项目所提供的自动监测仪器设备需提供相关试剂配制方法，</w:t>
      </w:r>
      <w:r>
        <w:rPr>
          <w:rFonts w:ascii="仿宋" w:hAnsi="仿宋" w:eastAsia="仿宋"/>
          <w:bCs/>
          <w:color w:val="auto"/>
          <w:sz w:val="28"/>
          <w:szCs w:val="28"/>
          <w:highlight w:val="none"/>
        </w:rPr>
        <w:t xml:space="preserve">并提供试剂品牌、成分及纯度等。</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投标人为本项目所提供的自动监测仪器和控制单元所有显示须为中文，符合《信息交换用汉字编码字符集》（GB 2312-1980），提供的自动分析仪表数据格式和通讯协议须按照要求，将所有监测数据及相关信息传输至指定平台，包括但不限于仪器的实时状态、关键参数和监测数据等，并向采购人提供所有仪器底层通讯协议。</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8</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投标人须根据现场情况将原有设备集成到新安装的集成系统中，确保设备正常稳定运行，数据正常上传。</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9</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供应商提供的仪表数据格式和通讯协议须符合现场控制中心软件和现场控制软件的要求，能实现系统对超标及异常情况的信息报警发送。</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10</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所提供的仪器设备应最大限度保证全年连续运行，满足数据联网、质量控制的兼容性、稳定性要求。现场和中心端采用双系统备份，将数据库定期自动备份，当数据库破坏时可由</w:t>
      </w:r>
      <w:r>
        <w:rPr>
          <w:rFonts w:hint="eastAsia" w:ascii="仿宋" w:hAnsi="仿宋" w:eastAsia="仿宋"/>
          <w:bCs/>
          <w:color w:val="auto"/>
          <w:sz w:val="28"/>
          <w:szCs w:val="28"/>
          <w:highlight w:val="none"/>
        </w:rPr>
        <w:t xml:space="preserve">中标人</w:t>
      </w:r>
      <w:r>
        <w:rPr>
          <w:rFonts w:ascii="仿宋" w:hAnsi="仿宋" w:eastAsia="仿宋"/>
          <w:bCs/>
          <w:color w:val="auto"/>
          <w:sz w:val="28"/>
          <w:szCs w:val="28"/>
          <w:highlight w:val="none"/>
        </w:rPr>
        <w:t xml:space="preserve">设置恢复，同时监测数据可根据采购人要求进行备份及恢复。</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11</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供应商应承诺其所出售的产品不侵犯他人的知识产权。如有侵权行为，由供应商完全负责</w:t>
      </w:r>
      <w:r>
        <w:rPr>
          <w:rFonts w:hint="eastAsia" w:ascii="仿宋" w:hAnsi="仿宋" w:eastAsia="仿宋"/>
          <w:bCs/>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12</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本项目为交钥匙工程，项目费用包含：设备采购与安装、系统集成、站房内旧设备的拆机、为更好地适应本次采购需求所进行的必要的站房改造等费用，供应商报价为含税全包价并需全面考虑此项目所有细节</w:t>
      </w:r>
      <w:r>
        <w:rPr>
          <w:rFonts w:hint="eastAsia" w:ascii="仿宋" w:hAnsi="仿宋" w:eastAsia="仿宋"/>
          <w:bCs/>
          <w:color w:val="auto"/>
          <w:sz w:val="28"/>
          <w:szCs w:val="28"/>
          <w:highlight w:val="none"/>
        </w:rPr>
        <w:t xml:space="preserve">的综合价</w:t>
      </w:r>
      <w:r>
        <w:rPr>
          <w:rFonts w:ascii="仿宋" w:hAnsi="仿宋" w:eastAsia="仿宋"/>
          <w:bCs/>
          <w:color w:val="auto"/>
          <w:sz w:val="28"/>
          <w:szCs w:val="28"/>
          <w:highlight w:val="none"/>
        </w:rPr>
        <w:t xml:space="preserve">，采购人不再为此项目支付额外费用。</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13</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高锰酸盐指数、氨氮、总磷和总氮分析仪器所有仪器应具有良好的抗干扰能力。</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14</w:t>
      </w:r>
      <w:r>
        <w:rPr>
          <w:rFonts w:hint="eastAsia" w:ascii="仿宋" w:hAnsi="仿宋" w:eastAsia="仿宋"/>
          <w:bCs/>
          <w:color w:val="auto"/>
          <w:sz w:val="28"/>
          <w:szCs w:val="28"/>
          <w:highlight w:val="none"/>
        </w:rPr>
        <w:t xml:space="preserve">.供货时</w:t>
      </w:r>
      <w:r>
        <w:rPr>
          <w:rFonts w:ascii="仿宋" w:hAnsi="仿宋" w:eastAsia="仿宋"/>
          <w:bCs/>
          <w:color w:val="auto"/>
          <w:sz w:val="28"/>
          <w:szCs w:val="28"/>
          <w:highlight w:val="none"/>
        </w:rPr>
        <w:t xml:space="preserve">每个站有单独的档案资料（附装箱单）。</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(二）水质自动站建设主要标准及规范</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ascii="仿宋" w:hAnsi="仿宋" w:eastAsia="仿宋"/>
          <w:bCs/>
          <w:color w:val="auto"/>
          <w:sz w:val="28"/>
          <w:szCs w:val="28"/>
          <w:highlight w:val="none"/>
        </w:rPr>
        <w:t xml:space="preserve">《国家地表水水质自动监测站运行管理办法》</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《地表水自动监测技术规范（试行）》（HJ915-2017）</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w:t>
      </w:r>
      <w:r>
        <w:rPr>
          <w:rFonts w:ascii="仿宋" w:hAnsi="仿宋" w:eastAsia="仿宋"/>
          <w:bCs/>
          <w:color w:val="auto"/>
          <w:sz w:val="28"/>
          <w:szCs w:val="28"/>
          <w:highlight w:val="none"/>
        </w:rPr>
        <w:t xml:space="preserve">关于印发《国家地表水水质自动监测站运行维护管理实施细则（试行）》等文件的通知（总站水字〔2019〕649号）</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w:t>
      </w:r>
      <w:r>
        <w:rPr>
          <w:rFonts w:ascii="仿宋" w:hAnsi="仿宋" w:eastAsia="仿宋"/>
          <w:bCs/>
          <w:color w:val="auto"/>
          <w:sz w:val="28"/>
          <w:szCs w:val="28"/>
          <w:highlight w:val="none"/>
        </w:rPr>
        <w:t xml:space="preserve">《江苏省地表水水质自动监测站建设技术要求---站房、采水及文化建设部分（试行）》（苏环办〔2019〕114号）</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w:t>
      </w:r>
      <w:r>
        <w:rPr>
          <w:rFonts w:ascii="仿宋" w:hAnsi="仿宋" w:eastAsia="仿宋"/>
          <w:bCs/>
          <w:color w:val="auto"/>
          <w:sz w:val="28"/>
          <w:szCs w:val="28"/>
          <w:highlight w:val="none"/>
        </w:rPr>
        <w:t xml:space="preserve">《江苏省环境水质（地表水）自动监测预警系统建设技术要求（试行）》</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w:t>
      </w:r>
      <w:r>
        <w:rPr>
          <w:rFonts w:ascii="仿宋" w:hAnsi="仿宋" w:eastAsia="仿宋"/>
          <w:bCs/>
          <w:color w:val="auto"/>
          <w:sz w:val="28"/>
          <w:szCs w:val="28"/>
          <w:highlight w:val="none"/>
        </w:rPr>
        <w:t xml:space="preserve">《江苏省环境水质（地表水）自动监测预警系统验收办法（试行）》</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w:t>
      </w:r>
      <w:r>
        <w:rPr>
          <w:rFonts w:ascii="仿宋" w:hAnsi="仿宋" w:eastAsia="仿宋"/>
          <w:bCs/>
          <w:color w:val="auto"/>
          <w:sz w:val="28"/>
          <w:szCs w:val="28"/>
          <w:highlight w:val="none"/>
        </w:rPr>
        <w:t xml:space="preserve">《水污染物排放总量监测技术规范》</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w:t>
      </w:r>
      <w:r>
        <w:rPr>
          <w:rFonts w:ascii="仿宋" w:hAnsi="仿宋" w:eastAsia="仿宋"/>
          <w:bCs/>
          <w:color w:val="auto"/>
          <w:sz w:val="28"/>
          <w:szCs w:val="28"/>
          <w:highlight w:val="none"/>
        </w:rPr>
        <w:t xml:space="preserve">《水和废水监测分析方法》（第四版）</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w:t>
      </w:r>
      <w:r>
        <w:rPr>
          <w:rFonts w:ascii="仿宋" w:hAnsi="仿宋" w:eastAsia="仿宋"/>
          <w:bCs/>
          <w:color w:val="auto"/>
          <w:sz w:val="28"/>
          <w:szCs w:val="28"/>
          <w:highlight w:val="none"/>
        </w:rPr>
        <w:t xml:space="preserve">《环境水质监测质量保证手册》</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10.</w:t>
      </w:r>
      <w:r>
        <w:rPr>
          <w:rFonts w:ascii="仿宋" w:hAnsi="仿宋" w:eastAsia="仿宋"/>
          <w:bCs/>
          <w:color w:val="auto"/>
          <w:sz w:val="28"/>
          <w:szCs w:val="28"/>
          <w:highlight w:val="none"/>
        </w:rPr>
        <w:t xml:space="preserve">《地表水和污水监测技术规范》（HJ/T91-2021）</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11.</w:t>
      </w:r>
      <w:r>
        <w:rPr>
          <w:rFonts w:ascii="仿宋" w:hAnsi="仿宋" w:eastAsia="仿宋"/>
          <w:bCs/>
          <w:color w:val="auto"/>
          <w:sz w:val="28"/>
          <w:szCs w:val="28"/>
          <w:highlight w:val="none"/>
        </w:rPr>
        <w:t xml:space="preserve">《水质河流采样技术指导》（HJ/T52-1999）</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12.</w:t>
      </w:r>
      <w:r>
        <w:rPr>
          <w:color w:val="auto"/>
          <w:highlight w:val="none"/>
        </w:rPr>
        <w:fldChar w:fldCharType="begin"/>
      </w:r>
      <w:r>
        <w:rPr>
          <w:color w:val="auto"/>
          <w:highlight w:val="none"/>
        </w:rPr>
        <w:instrText xml:space="preserve"> HYPERLINK "http://www.mee.gov.cn/ywgz/fgbz/bz/bzwb/jcffbz/202501/t20250126_1101551.shtml" </w:instrText>
      </w:r>
      <w:r>
        <w:rPr>
          <w:color w:val="auto"/>
          <w:highlight w:val="none"/>
        </w:rPr>
        <w:fldChar w:fldCharType="separate"/>
      </w:r>
      <w:r>
        <w:rPr>
          <w:rFonts w:ascii="仿宋" w:hAnsi="仿宋" w:eastAsia="仿宋"/>
          <w:bCs/>
          <w:color w:val="auto"/>
          <w:sz w:val="28"/>
          <w:szCs w:val="28"/>
          <w:highlight w:val="none"/>
        </w:rPr>
        <w:t xml:space="preserve">《地表水水质自动监测站选址与基础设施建设技术要求》（HJ 915.1-2024）</w:t>
      </w:r>
      <w:r>
        <w:rPr>
          <w:rFonts w:ascii="仿宋" w:hAnsi="仿宋" w:eastAsia="仿宋"/>
          <w:bCs/>
          <w:color w:val="auto"/>
          <w:sz w:val="28"/>
          <w:szCs w:val="28"/>
          <w:highlight w:val="none"/>
        </w:rPr>
        <w:fldChar w:fldCharType="end"/>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13.</w:t>
      </w:r>
      <w:r>
        <w:rPr>
          <w:rFonts w:ascii="仿宋" w:hAnsi="仿宋" w:eastAsia="仿宋"/>
          <w:bCs/>
          <w:color w:val="auto"/>
          <w:sz w:val="28"/>
          <w:szCs w:val="28"/>
          <w:highlight w:val="none"/>
        </w:rPr>
        <w:t xml:space="preserve">《地表水水质自动监测站（常规五参数、CODMn、NH3-N、TP、TN）安装验收技术规范》（HJ 915.2-2024）</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14.</w:t>
      </w:r>
      <w:r>
        <w:rPr>
          <w:rFonts w:ascii="仿宋" w:hAnsi="仿宋" w:eastAsia="仿宋"/>
          <w:bCs/>
          <w:color w:val="auto"/>
          <w:sz w:val="28"/>
          <w:szCs w:val="28"/>
          <w:highlight w:val="none"/>
        </w:rPr>
        <w:t xml:space="preserve">《地表水水质自动监测站（常规五参数、CODMn、NH3-N、TP、TN）运行维护技术规范》（HJ 915.3-2024）</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15.</w:t>
      </w:r>
      <w:r>
        <w:rPr>
          <w:rFonts w:ascii="仿宋" w:hAnsi="仿宋" w:eastAsia="仿宋"/>
          <w:bCs/>
          <w:color w:val="auto"/>
          <w:sz w:val="28"/>
          <w:szCs w:val="28"/>
          <w:highlight w:val="none"/>
        </w:rPr>
        <w:t xml:space="preserve">《江苏省地表水水质自动监测站运行管理办法（试行）》</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16.</w:t>
      </w:r>
      <w:r>
        <w:rPr>
          <w:rFonts w:ascii="仿宋" w:hAnsi="仿宋" w:eastAsia="仿宋"/>
          <w:bCs/>
          <w:color w:val="auto"/>
          <w:sz w:val="28"/>
          <w:szCs w:val="28"/>
          <w:highlight w:val="none"/>
        </w:rPr>
        <w:t xml:space="preserve">《环境水质(地表水)自动监测站运行维护技术规范》（DB32/T 4536-2023）</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17.</w:t>
      </w:r>
      <w:r>
        <w:rPr>
          <w:rFonts w:ascii="仿宋" w:hAnsi="仿宋" w:eastAsia="仿宋"/>
          <w:bCs/>
          <w:color w:val="auto"/>
          <w:sz w:val="28"/>
          <w:szCs w:val="28"/>
          <w:highlight w:val="none"/>
        </w:rPr>
        <w:t xml:space="preserve">《pH水质自动分析仪技术要求》（HJ/T 96-2003）</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18.</w:t>
      </w:r>
      <w:r>
        <w:rPr>
          <w:rFonts w:ascii="仿宋" w:hAnsi="仿宋" w:eastAsia="仿宋"/>
          <w:bCs/>
          <w:color w:val="auto"/>
          <w:sz w:val="28"/>
          <w:szCs w:val="28"/>
          <w:highlight w:val="none"/>
        </w:rPr>
        <w:t xml:space="preserve">《电导率水质自动分析仪技术要求》（HJ/T 97-2003）</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19.</w:t>
      </w:r>
      <w:r>
        <w:rPr>
          <w:rFonts w:ascii="仿宋" w:hAnsi="仿宋" w:eastAsia="仿宋"/>
          <w:bCs/>
          <w:color w:val="auto"/>
          <w:sz w:val="28"/>
          <w:szCs w:val="28"/>
          <w:highlight w:val="none"/>
        </w:rPr>
        <w:t xml:space="preserve">《浊度水质自动分析仪技术要求》（HJ/T 98-2003）</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20.</w:t>
      </w:r>
      <w:r>
        <w:rPr>
          <w:rFonts w:ascii="仿宋" w:hAnsi="仿宋" w:eastAsia="仿宋"/>
          <w:bCs/>
          <w:color w:val="auto"/>
          <w:sz w:val="28"/>
          <w:szCs w:val="28"/>
          <w:highlight w:val="none"/>
        </w:rPr>
        <w:t xml:space="preserve">《溶解氧（DO）水质自动分析仪技术要求》（HJ/T 99-2003）</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21.</w:t>
      </w:r>
      <w:r>
        <w:rPr>
          <w:rFonts w:ascii="仿宋" w:hAnsi="仿宋" w:eastAsia="仿宋"/>
          <w:bCs/>
          <w:color w:val="auto"/>
          <w:sz w:val="28"/>
          <w:szCs w:val="28"/>
          <w:highlight w:val="none"/>
        </w:rPr>
        <w:t xml:space="preserve">《高锰酸盐指数水质自动分析仪技术要求》（HJ/T 100-2003）</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22.</w:t>
      </w:r>
      <w:r>
        <w:rPr>
          <w:rFonts w:ascii="仿宋" w:hAnsi="仿宋" w:eastAsia="仿宋"/>
          <w:bCs/>
          <w:color w:val="auto"/>
          <w:sz w:val="28"/>
          <w:szCs w:val="28"/>
          <w:highlight w:val="none"/>
        </w:rPr>
        <w:t xml:space="preserve">《水质总氮自动监测仪技术要求及检测方法》(HJ102-2026)</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23.</w:t>
      </w:r>
      <w:r>
        <w:rPr>
          <w:rFonts w:ascii="仿宋" w:hAnsi="仿宋" w:eastAsia="仿宋"/>
          <w:bCs/>
          <w:color w:val="auto"/>
          <w:sz w:val="28"/>
          <w:szCs w:val="28"/>
          <w:highlight w:val="none"/>
        </w:rPr>
        <w:t xml:space="preserve">《水质总磷自动监测仪技术要求及检测方法》(HJ103-2026)</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24.</w:t>
      </w:r>
      <w:r>
        <w:rPr>
          <w:rFonts w:ascii="仿宋" w:hAnsi="仿宋" w:eastAsia="仿宋"/>
          <w:bCs/>
          <w:color w:val="auto"/>
          <w:sz w:val="28"/>
          <w:szCs w:val="28"/>
          <w:highlight w:val="none"/>
        </w:rPr>
        <w:t xml:space="preserve">《氨氮水质自动分析仪技术要求》（HJ/T 101-2019）</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25.</w:t>
      </w:r>
      <w:r>
        <w:rPr>
          <w:rFonts w:ascii="仿宋" w:hAnsi="仿宋" w:eastAsia="仿宋"/>
          <w:bCs/>
          <w:color w:val="auto"/>
          <w:sz w:val="28"/>
          <w:szCs w:val="28"/>
          <w:highlight w:val="none"/>
        </w:rPr>
        <w:t xml:space="preserve">《水质挥发性有机物的在线测定 连续吹扫捕集/气相色谱法》(DB32/T 3945-2020)</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26.</w:t>
      </w:r>
      <w:r>
        <w:rPr>
          <w:rFonts w:ascii="仿宋" w:hAnsi="仿宋" w:eastAsia="仿宋"/>
          <w:bCs/>
          <w:color w:val="auto"/>
          <w:sz w:val="28"/>
          <w:szCs w:val="28"/>
          <w:highlight w:val="none"/>
        </w:rPr>
        <w:t xml:space="preserve">《水质挥发酚的测定 4-氨基安替比林分光光度法》（HJ 503－2009）</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27.</w:t>
      </w:r>
      <w:r>
        <w:rPr>
          <w:rFonts w:ascii="仿宋" w:hAnsi="仿宋" w:eastAsia="仿宋"/>
          <w:bCs/>
          <w:color w:val="auto"/>
          <w:sz w:val="28"/>
          <w:szCs w:val="28"/>
          <w:highlight w:val="none"/>
        </w:rPr>
        <w:t xml:space="preserve">《江苏省生态环境数据资源交换共享实施规范》（苏环办〔2019〕398号）</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w:t>
      </w:r>
      <w:r>
        <w:rPr>
          <w:rFonts w:ascii="仿宋" w:hAnsi="仿宋" w:eastAsia="仿宋"/>
          <w:bCs/>
          <w:color w:val="auto"/>
          <w:sz w:val="28"/>
          <w:szCs w:val="28"/>
          <w:highlight w:val="none"/>
        </w:rPr>
        <w:t xml:space="preserve">《污染物在线监控（监测）系统数据传输标准》（HJ 212-2017）</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以上规范如有更新，以国家、地方、行业最新标准为准。在实施本项目期间除应遵循上述规范外，还应遵循未列出的其它法律、法规及相关国家、地方、行业标准规范。</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（三）</w:t>
      </w:r>
      <w:r>
        <w:rPr>
          <w:rFonts w:ascii="仿宋" w:hAnsi="仿宋" w:eastAsia="仿宋"/>
          <w:bCs/>
          <w:color w:val="auto"/>
          <w:sz w:val="28"/>
          <w:szCs w:val="28"/>
          <w:highlight w:val="none"/>
        </w:rPr>
        <w:t xml:space="preserve">监测仪器技术要求</w:t>
      </w:r>
      <w:r/>
    </w:p>
    <w:p>
      <w:pPr>
        <w:ind w:firstLine="562"/>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1.五参数水质分析仪</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（1）水温</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1.1.1 测定原理：热电阻或热电偶法。</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1.1.2 量程：0℃～60℃，可调。</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1.1.3 准确度：±0.5℃。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1.1.4 响应时间：0.5min以内。</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1.1.5 MTBF：≥720h/次。</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（2）pH</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1.2.1 测定原理：玻璃电极法。</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1.2.2 量程：0～14 pH。</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1.2.3 重复性：±0.1pH。</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1.2.4 漂移（pH=9）：±0.1pH。</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1.2.5 漂移（pH=7）：±0.1pH</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1.2.6 漂移（pH=4）：±0.1pH。</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1.2.7 响应时间：≤30s。</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1.2.8 温度补偿精度：±0.1pH。</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1.2.9 MTBF：≥720 h/次。</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1.2.10 实际水样比对：±0.1pH以内。</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1.2.11 电压稳定性：指示值的变动在±0.1pH以内。</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1.2.12 绝缘阻抗：5MΩ以上。</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（3）溶解氧</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1.3.1 测定原理：电极法或荧光法。</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1.3.2 量程：0～20mg/L。</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1.3.3 零点漂移：±0.3mg/L。</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1.3.4 量程漂移：±0.3mg/L。</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1.3.5 重复性误差：±0.3mg/L。</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1.3.6 响应时间：≤120 s。</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1.3.7 温度补偿精度：±0.3mg/L。</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1.3.8 实际水样比对试验：≤±0.3 mg/L。</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1.3.9 电压稳定性：指示值的变化在±0.3mg/L以内。</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1.3.10 绝缘阻抗：5MΩ以上。</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1.3.11 MTBF：≥720 h/次。</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（4）电导率</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1.4.1 测定原理：电极法</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1.4.2 量程：0～500mS/m，可调。</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1.4.3 零点漂移：±1%。</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1.4.4 量程漂移：±1%。</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1.4.5 重复性误差：±1%。</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1.4.6 响应时间：≤30 s。</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1.4.7 温度补偿精度：±1%。</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1.4.8 实际水样比对试验：≤±1%。</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1.4.9 MTBF：≥720 h/次。</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1.4.10 电压稳定性：指示值的变动在±1%以内。</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1.4.11 绝缘阻抗：5MΩ以上。</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（5）浊度</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1.5.1 测定原理：光散射法。</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1.5.2 量程：0～1000NTU，可调。</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1.5.3 零点漂移：±3%。</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1.5.4 量程漂移：±5%。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1.5.5 重复性误差：±5%。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1.5.6 线性误差：±5%。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1.5.7 实际水样比对试验：≤±10%。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1.5.8 电压稳定性：±3%。</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1.5.9 绝缘阻抗：5MΩ以上。</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1.5.10 MTBF：≥720 h/次。</w:t>
      </w:r>
      <w:r/>
    </w:p>
    <w:p>
      <w:pPr>
        <w:ind w:firstLine="562"/>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2.高锰酸盐指数水质分析仪</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2.1测定原理：高锰酸钾氧化-滴定法。</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2.2量程：≥0～20mg/L，可调。</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2.3准确度：≤±5%（葡萄糖）。</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2.4重复性误差：≤±5%。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2.5检出限：≤0.5mg/L。</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2.6零点漂移：≤±5%。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2.7量程漂移：≤±5%。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2.8实际水样比对试验：≤±10%。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2.9电压稳定性：±5%。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2.10 MTBF：≥720h/次。</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2.11绝缘阻抗：＞2MΩ。</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2.12仪器具有自动零点核查、自动跨度核查、自动校零校标功能，配备加标回收、多点线性质控设备。</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2.13具有异常信息记录及上传功能，如零部件故障、超量程报警、超标报警、缺试剂报警等信息；具有仪器状态(如测量、空闲、故障等)和关键参数显示及传输功能；具有RS-232或RS-485或RJ-45标准通讯接口；仪器支持《国家地表水自动监测仪器通信协议技术要求》和HJ212协议。</w:t>
      </w:r>
      <w:r/>
    </w:p>
    <w:p>
      <w:pPr>
        <w:ind w:firstLine="562"/>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3.氨氮水质分析仪</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3.1分析方法:水杨酸分光光度法。</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3.2检测范围:0～10 mg/L，可调。</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3.3定量下限：≤0.15mg/L（示值误差±30%）。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3.4</w:t>
      </w:r>
      <w:r>
        <w:rPr>
          <w:rFonts w:hint="eastAsia" w:ascii="仿宋" w:hAnsi="仿宋" w:eastAsia="仿宋"/>
          <w:bCs/>
          <w:color w:val="auto"/>
          <w:sz w:val="28"/>
          <w:szCs w:val="28"/>
          <w:highlight w:val="none"/>
        </w:rPr>
        <w:t xml:space="preserve">低浓度</w:t>
      </w:r>
      <w:r>
        <w:rPr>
          <w:rFonts w:ascii="仿宋" w:hAnsi="仿宋" w:eastAsia="仿宋"/>
          <w:bCs/>
          <w:color w:val="auto"/>
          <w:sz w:val="28"/>
          <w:szCs w:val="28"/>
          <w:highlight w:val="none"/>
        </w:rPr>
        <w:t xml:space="preserve">漂移：≤0.02 mg/L。</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3.5</w:t>
      </w:r>
      <w:r>
        <w:rPr>
          <w:rFonts w:hint="eastAsia" w:ascii="仿宋" w:hAnsi="仿宋" w:eastAsia="仿宋"/>
          <w:bCs/>
          <w:color w:val="auto"/>
          <w:sz w:val="28"/>
          <w:szCs w:val="28"/>
          <w:highlight w:val="none"/>
        </w:rPr>
        <w:t xml:space="preserve">高浓度</w:t>
      </w:r>
      <w:r>
        <w:rPr>
          <w:rFonts w:ascii="仿宋" w:hAnsi="仿宋" w:eastAsia="仿宋"/>
          <w:bCs/>
          <w:color w:val="auto"/>
          <w:sz w:val="28"/>
          <w:szCs w:val="28"/>
          <w:highlight w:val="none"/>
        </w:rPr>
        <w:t xml:space="preserve">漂移：≤1.0%。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3.6示值误差（测试溶液浓度相对于基本检测范围上限值10 mg/L时的百分比）：标液浓度为20% 时，±8%；标液浓度为 50% 时，±5%；标液浓度为 80% 时，±3%。</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3.7重复性：≤2.0%。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3.8记忆效应（测试溶液浓度相对于基本检测范围上限值10 mg/L时的百分比）：80%→20%，± 0.3mg/L；20%→80%，± 0.2mg/L。</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3.9电压干扰：± 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3.10 pH 干扰试验：± 6%。</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3.11环境温度影响试验：± 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3.12实际水样比对试验：水样浓度</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2.0 mg/L时，≤0.2mg/L；水样浓度≥2.0 mg/L时，≤10.0%。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3.13最小维护周期：≥168h/次。</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3.14数据有效率：≥90%。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3.15一致性：≥90%。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3.16仪器具有自动零点核查、自动跨度核查、自动校零校标功能，配备加标回收、多点线性质控设备。</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3.17具有异常信息记录及上传功能，如零部件故障、超量程报警、超标报警、缺试剂报警等信息；具有仪器状态(如测量、空闲、故障等)和关键参数显示及传输功能；具有RS-232或RS-485或RJ-45标准通讯接口；仪器支持《国家地表水自动监测仪器通信协议技术要求》和HJ212协议。</w:t>
      </w:r>
      <w:r/>
    </w:p>
    <w:p>
      <w:pPr>
        <w:ind w:firstLine="562"/>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4.总磷水质分析仪</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4.1测定原理：钼酸铵分光光度法。</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4.2量程：0～4mg/L，可调。</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4.3示值误差：±5%。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4.4定量下限：≤0.02 mg/L，示值误差±30%。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4.5重复性≤2%。</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4.6低浓度漂移：≤0.01 mg/L。</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4.7高浓度漂移：≤1%。</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4.8记忆效应：测试溶液浓度从基本检测范围上限（4 mg/L）的80%切换至20%时，误差允许±10%；测试溶液浓度从基本检测范围上限（4 mg/L）的20%切换至80%时，误差允许±5%。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4.9电压影响：±5%。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4.10浊度影响：±15%。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4.11环境温度影响：±5%。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4.12实际样品比对要求：总磷浓度&lt;0.4 mg/L时，比对偏差≤0.04 mg/L；总磷浓度≥0.4 mg/L时，比对偏差≤10%。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4.13最小维护周期：≥168小时。</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4.14数据有效率：≥90%。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4.15一致性偏差：≤10%。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4.16具备浊度干扰自动补偿功能。</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4.17仪器具有自动零点核查、自动跨度核查、自动校零校标功能，配备加标回收、多点线性质控设备。</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4.18具有异常信息记录及上传功能，如零部件故障、超量程报警、超标报警、缺试剂报警等信息；具有仪器状态(如测量、空闲、故障等)和关键参数显示及传输功能；具有RS-232或RS-485或RJ-45标准通讯接口；仪器支持《国家地表水自动监测仪器通信协议技术要求》和HJ212协议。</w:t>
      </w:r>
      <w:r/>
    </w:p>
    <w:p>
      <w:pPr>
        <w:ind w:firstLine="562"/>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5.总氮水质分析仪</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5.1分析方法：过硫酸钾消解-紫外分光光度法。</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5.2检测范围：0～20mg/L，可调。</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5.3示值误差：</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测试溶液浓度相对于基本检测范围上限值20 mg/L的10%时，为±10%；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测试溶液浓度相对于基本检测范围上限值20 mg/L的20%时，为±10%；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测试溶液浓度相对于基本检测范围上限值20 mg/L的50%时，为±8%；</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测试溶液浓度相对于基本检测范围上限值20 mg/L的80%时，为±5%。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5.4定量下限：≤0.20 mg/L（示值误差±30%）。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5.5重复性：≤2%。</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5.6 24 h 低浓度漂移：≤0.05 mg/L。</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5.7 24 h 高浓度漂移：≤1%。</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5.8 记忆效应：测试溶液浓度从基本检测范围上限（20 mg/L）的80%切换至20%时，误差允许±10%；测试溶液浓度从基本检测范围上限（20 mg/L）的20%切换至80%时，误差允许±5%。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5.9电压影响：±5%。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5.10浊度影响：±15%。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5.11环境温度影响：±5%。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5.12实际样品比对要求：总氮浓度2.00 mg/L时，比对偏差≤0.20 mg/L；总氮浓度≥2.00 mg/L，比对偏差≤10%。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5.13最小维护周期：≥168 h。</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5.14数据有效率：≥90%。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5.15一致性偏差：≤10%。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5.16抗浊度干扰：具有浊度干扰自动补偿功能。</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5.17仪器具有自动零点核查、自动跨度核查、自动校零校标功能，配备加标回收、多点线性质控设备。</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5.18具有异常信息记录及上传功能，如零部件故障、超量程报警、超标报警、缺试剂报警等信息；具有仪器状态(如测量、空闲、故障等)和关键参数显示及传输功能；具有RS-232或RS-485或RJ-45标准通讯接口；仪器支持《国家地表水自动监测仪器通信协议技术要求》和HJ212协议。</w:t>
      </w:r>
      <w:r/>
    </w:p>
    <w:p>
      <w:pPr>
        <w:ind w:firstLine="562"/>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6.挥发酚水质分析仪</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6.1分析方法：4-氨基安替比林分光光度法。</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6.2测定范围：0-1mg/L(可扩展）。</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6.3准确度：±10%。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6.4重复性：≤5%。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6.5零点漂移：±5%FS。</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6.6量程漂移：±5%FS。</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6.7检出限：≤0.002mg/L。</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6.8实际水样比对试验：≤10%。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6.9分辨率：0.001mg/L。</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6.10测量时间：≤60min。</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6.11平均无故障运行时间：≥720h/次。</w:t>
      </w:r>
      <w:r/>
    </w:p>
    <w:p>
      <w:pPr>
        <w:ind w:firstLine="562"/>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7.水中挥发性有机物水质分析仪</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7.1仪器分析方法（三种方法之一即可）：吹扫捕集/气相色谱法（HJ 686-2014）；吹扫捕集/气相色谱-质谱法（HJ 639-2012）；顶空/气相色谱-质谱法（HJ 810-2016）。</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7.2水中VOCs在线监测系统参数要求</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依据环境保护部环境监测仪器质量监督检验中心发布的《水中挥发性有机物自动在线监测仪检测作业指导书》，地表水水中VOCs需要监测指标共有19种：三氯甲烷，二氯甲烷，1,2-二氯乙烷，1,1-二氯乙烯，顺式-1,2-二氯乙烯，反式-1,2-二氯乙烯，三氯乙烯，四氯乙烯，三溴甲烷，苯乙烯，苯，甲苯，乙苯，间、对二甲苯，邻二甲苯，异丙苯，氯苯，邻-二氯苯，间-二氯苯。</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7.3系统描述</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(仅以吹扫捕集/气相色谱法举例，另外两种监测方法吹扫捕集/气相色谱-质谱法和顶空/气相色谱-质谱法只要能达到系统主要技术指标性能要求，均可。）</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7.3.1水中VOCs在线自动监测系统，通过注射泵或隔膜泵定量抽取液体水样，注入吹扫捕集系统，用氮气吹扫捕集水中的挥发性有机物，冷阱浓缩富集后加热解析，经气相色谱分离后通入FID和ECD检测器或仅通入FID检测器检测，分析出来的组分含量通过上位机进行数据储存和传输。</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7.3.2采用国际公认的水中VOCs检测方法：吹扫捕集——气相色谱联用法。</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7.3.3水样提取采用精准的注射泵或隔膜泵系统，确保每次样品的定量精准提取。</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7.3.4吹扫采用恒温吹扫，吹扫效率高，同时配合独有的除水技术，有效避免水汽对色谱分离的影响，确保分析结果的准确性。</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7.3.5配备FID检测器或FID和ECD双检测器，苯系物和卤代烃均能较好的分离，保障各有机物监测的性能指标一致。</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7.3.6预处理系统、吹扫系统以及样品捕集系统具有自动清洁功能，有效避免样品残留。</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7.3.7系统断电重启后能够自动恢复运行。</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7.3.8监测模式多重选择，可单次、可定时、可循环。</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7.4系统主要技术指标</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7.4.1定性重复性：≤1%。</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7.4.2定量重复性：≤20%。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7.4.3示值误差：±20%。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7.4.4加标回收率：75% ～125%。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7.4.5定量下限：≤地表水标准限值的1/2。</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7.4.6分析周期：≤60min。</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7.4.7短期稳定性：≤10%（24 h）。</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7.4.8长期稳定性：≤15%（7d）。</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7.4.9系统线性：R≥0.99。</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7.4.10程序升温重复性。</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7.4.11最小维护周期：≥168h。</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7.5仪器外观：仪器表面不应有明显锉痕、划伤、裂缝、变形和污染，仪器表面涂镀层应均匀、不应起泡、龟裂、脱落和磨损，显示屏面板无破损及裂痕，字符、数字显示清晰无缺。</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8.</w:t>
      </w:r>
      <w:r>
        <w:rPr>
          <w:rFonts w:ascii="仿宋" w:hAnsi="仿宋" w:eastAsia="仿宋"/>
          <w:b/>
          <w:color w:val="auto"/>
          <w:sz w:val="28"/>
          <w:szCs w:val="28"/>
          <w:highlight w:val="none"/>
        </w:rPr>
        <w:t xml:space="preserve">水站集成要求</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水站系统集成主要包括采水单元、配水单元、控制单元、留样单元、质控单元、辅助单元及安防单元等。</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投标人须提供合理、先进、完整的系统集成方案，具备智能化、标准化、流程化和可溯源的质量控制体系，确保采水、配水、分析、数据采集及传输等环节的准确可靠。需包含仪表机柜、操作台。能够控制氨氮、高锰酸盐指数、总磷和总氮水质在线分析仪自动进行零点核查、跨度核查</w:t>
      </w:r>
      <w:bookmarkStart w:id="67" w:name="_Hlk173934602"/>
      <w:r>
        <w:rPr>
          <w:rFonts w:ascii="仿宋" w:hAnsi="仿宋" w:eastAsia="仿宋"/>
          <w:bCs/>
          <w:color w:val="auto"/>
          <w:sz w:val="28"/>
          <w:szCs w:val="28"/>
          <w:highlight w:val="none"/>
        </w:rPr>
        <w:t xml:space="preserve">，并能查询相关测试数据</w:t>
      </w:r>
      <w:bookmarkEnd w:id="67"/>
      <w:r>
        <w:rPr>
          <w:rFonts w:ascii="仿宋" w:hAnsi="仿宋" w:eastAsia="仿宋"/>
          <w:bCs/>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bookmarkStart w:id="68" w:name="_Toc505252676"/>
      <w:r/>
      <w:bookmarkStart w:id="69" w:name="_Toc504940939"/>
      <w:r/>
      <w:bookmarkStart w:id="70" w:name="_Toc505184827"/>
      <w:r/>
      <w:bookmarkStart w:id="71" w:name="_Toc18855110"/>
      <w:r/>
      <w:bookmarkStart w:id="72" w:name="_Toc20320073"/>
      <w:r/>
      <w:bookmarkStart w:id="73" w:name="_Toc18855286"/>
      <w:r>
        <w:rPr>
          <w:rFonts w:ascii="仿宋" w:hAnsi="仿宋" w:eastAsia="仿宋"/>
          <w:bCs/>
          <w:color w:val="auto"/>
          <w:sz w:val="28"/>
          <w:szCs w:val="28"/>
          <w:highlight w:val="none"/>
        </w:rPr>
        <w:t xml:space="preserve">8.1系统集成功能要求</w:t>
      </w:r>
      <w:bookmarkEnd w:id="68"/>
      <w:r/>
      <w:bookmarkEnd w:id="69"/>
      <w:r/>
      <w:bookmarkEnd w:id="70"/>
      <w:r/>
      <w:bookmarkEnd w:id="71"/>
      <w:r/>
      <w:bookmarkEnd w:id="72"/>
      <w:r/>
      <w:bookmarkEnd w:id="73"/>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（1）具有系统运行周期（连续或间歇）设置功能，至少具备常规、应急、质控、维护等多种运行模式；</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（2）具有异常信息记录和上传功能，如采水故障、部件故障、超量程报警、超标报警、缺试剂报警等信息；</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（3）确保仪器、系统运行的监测数据和状态信息等稳定传输；</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（4）系统应具有良好的扩展性和兼容性，根据实际应用需要，可增加新的监测参数，并方便仪器安装与接入。</w:t>
      </w:r>
      <w:bookmarkStart w:id="74" w:name="_Toc18855111"/>
      <w:r/>
      <w:bookmarkStart w:id="75" w:name="_Toc20320074"/>
      <w:r/>
      <w:bookmarkStart w:id="76" w:name="_Toc18855287"/>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8.2系统集成技术要求</w:t>
      </w:r>
      <w:bookmarkEnd w:id="74"/>
      <w:r/>
      <w:bookmarkEnd w:id="75"/>
      <w:r/>
      <w:bookmarkEnd w:id="76"/>
      <w:r/>
      <w:r/>
    </w:p>
    <w:p>
      <w:pPr>
        <w:ind w:firstLine="560"/>
        <w:spacing w:line="500" w:lineRule="exact"/>
        <w:rPr>
          <w:rFonts w:ascii="仿宋" w:hAnsi="仿宋" w:eastAsia="仿宋"/>
          <w:bCs/>
          <w:color w:val="auto"/>
          <w:sz w:val="28"/>
          <w:szCs w:val="28"/>
          <w:highlight w:val="none"/>
        </w:rPr>
      </w:pPr>
      <w:r/>
      <w:bookmarkStart w:id="77" w:name="_Toc501464498"/>
      <w:r/>
      <w:bookmarkStart w:id="78" w:name="_Toc20320075"/>
      <w:r/>
      <w:bookmarkStart w:id="79" w:name="_Toc502007577"/>
      <w:r/>
      <w:bookmarkStart w:id="80" w:name="_Toc502229137"/>
      <w:r/>
      <w:bookmarkStart w:id="81" w:name="_Toc18855112"/>
      <w:r/>
      <w:bookmarkStart w:id="82" w:name="_Toc504040670"/>
      <w:r/>
      <w:bookmarkStart w:id="83" w:name="_Toc18855288"/>
      <w:r/>
      <w:bookmarkStart w:id="84" w:name="_Toc501464733"/>
      <w:r/>
      <w:bookmarkStart w:id="85" w:name="_Toc505252678"/>
      <w:r/>
      <w:bookmarkStart w:id="86" w:name="_Toc505184829"/>
      <w:r>
        <w:rPr>
          <w:rFonts w:ascii="仿宋" w:hAnsi="仿宋" w:eastAsia="仿宋"/>
          <w:bCs/>
          <w:color w:val="auto"/>
          <w:sz w:val="28"/>
          <w:szCs w:val="28"/>
          <w:highlight w:val="none"/>
        </w:rPr>
        <w:t xml:space="preserve">8.2.1采水单元</w:t>
      </w:r>
      <w:bookmarkEnd w:id="77"/>
      <w:r/>
      <w:bookmarkEnd w:id="78"/>
      <w:r/>
      <w:bookmarkEnd w:id="79"/>
      <w:r/>
      <w:bookmarkEnd w:id="80"/>
      <w:r/>
      <w:bookmarkEnd w:id="81"/>
      <w:r/>
      <w:bookmarkEnd w:id="82"/>
      <w:r/>
      <w:bookmarkEnd w:id="83"/>
      <w:r/>
      <w:bookmarkEnd w:id="84"/>
      <w:r/>
      <w:bookmarkEnd w:id="85"/>
      <w:r/>
      <w:bookmarkEnd w:id="86"/>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采水单元建设在满足取水要求的前提下应尽量简洁，因地制宜，针对每个水站取水位置的不同情况采取最适用的方式。投标人中标后须经过与水站所在地方生态环境部门协商后，根据每个站点具体水文和地质情况给出合理的采水单元设计方案，保证采样的代表性和科学性。</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采用潜水泵或自吸泵方式采水，双泵、双管路设计，双泵轮值工作，满足实时不间断监测要求，所有取水管路必须配有管道清洗、防堵塞、反冲洗等功能。并且当一路出现故障时，能够自动切换到另一路进行工作，保证整个系统的正常运行。均要安装保温套管进行绝热处理，并在外部套用PVC管材，减少环境温度等因素对水样造成的影响，有必要的防冻措施，保证冬季低温（-15℃）时采样管路不被冻裂。采水管道采用排空设计，使管道内不存水，以防藻类滋生。</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采水量要满足所有监测仪器的需要。采水管路采用优质管道、UPVC管等材质稳定的材料，避免对水样产生污染。管路采取可拆卸式,应具备防冻隔热措施，应具有极好的化学稳定性。</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采水单元的构造应保证在汛期和枯水期能正常工作并不至于被损坏，并有必要的保温、防冻、防腐、防压、防淤、防撞和防盗措施，并对采水设备和设施进行必要的固定。</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采水单元设置采水单元自动清洗功能，且不能产生环境污染。</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应考虑能长期稳定安全运行，栈桥或取水部件要注意不影响航运，又能够保护自身安全。水泵安装处配备警示装置。采水单元要方便采样泵的提升与安装，以便进行人工的日常清洗和维护。</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能自动判断取水系统故障，并发出报警信号。采用双泵/双管路交替式采水方式，一用一备，在控制系统中设置自动诊断故障及自动切换泵工作功能。当一路出现故障时，通过控制系统及时切断该水泵的电源，并同时能够自动切换到另一路进行工作，以满足整个系统不间断监测要求。采水泵具有停电后来电再启动的自动恢复功能。</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保证取水口能够随水位变化，保证取水水管的进水孔位于水表面以下0.5m～1.0m的位置，并与河底保持一定距离，保证采集到具有代表性的符合监测需要的水样，又要保证取样吸头的连续正常使用。</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取水口下方加设不锈钢丝网，防止进水口淤积和杂物堵塞。采取必要的措施，保证取水口在封冻期不冻结。</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采水单元应保证在汛期或枯水期能正常工作而不至被损坏，在枯水期保证不受水体底部泥沙的影响。</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8.2.2配水单元</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  配水单元由水样分配单元、预处理装置及管道等组成。预处理单元应根据国家标准分析方法要求为监测仪器配备相应的预处理装置，常规五参数分析仪使用原水直接分析。</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投标人应提供针对性的配水和预处理方案，具体需满足以下要求：</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配水管路设计合理，流向清晰，便于维护；保证仪器分析测试的水样应能代表断面水质情况并满足仪器测试需求；</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配水单元具备自动反清（吹）洗功能，防止菌类和藻类等微生物对样品污染或对系统工作造成不良影响，设计中不使用对环境产生污染的清洗方法；</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所有操作均可通过控制单元实现，并能接受平台端的远程控制；</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具备可扩展功能。</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8.2.3控制单元</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供应商须根据现场情况将站房内未更换的设备集成到新装的系统中，确保设备正常稳定运行，数据正常上传。</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控制单元对采配水单元、监测仪器、辅助单元及安防单元进行控制，并实现数据采集与传输功能，保证系统连续、可靠和安全运行。</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能够实现对高锰酸盐指数、氨氮、总磷和总氮水质自动分析仪器进行自动标样核查、自动加标回收率核查、多点线性核查、自动零点核查、自动跨度核查等质控功能，并具备自动留样功能。设备具备试剂余量提示，缺试剂报警。高锰酸盐指数、氨氮、总磷、总氮、挥发酚设备具备试剂有效期自动监测、试剂更换记录功能、自动提示试剂是否过期功能；</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设备关键参数能上传到供应商所提供的平台；系统集成度高，易操作，省空间，具有良好的扩展性和兼容性，可根据实际应用需要，新增监测参数。</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8.3留样单元（水质自动采样器）</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具备水样冷藏功能，温度在4±2℃；</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留样瓶由惰性材料制成，易清洗，容量应≥500mL，瓶数≥12个，采样后可封闭；</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具有留样前自动润洗，留样后自动排空的功能；</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配置门禁系统并具备开关门记录功能；</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具有留样失败报警功能。 </w:t>
      </w:r>
      <w:r/>
    </w:p>
    <w:p>
      <w:pPr>
        <w:ind w:firstLine="560"/>
        <w:spacing w:line="500" w:lineRule="exact"/>
        <w:rPr>
          <w:rFonts w:ascii="仿宋" w:hAnsi="仿宋" w:eastAsia="仿宋"/>
          <w:bCs/>
          <w:color w:val="auto"/>
          <w:sz w:val="28"/>
          <w:szCs w:val="28"/>
          <w:highlight w:val="none"/>
        </w:rPr>
      </w:pPr>
      <w:r/>
      <w:bookmarkStart w:id="87" w:name="_Toc18855292"/>
      <w:r/>
      <w:bookmarkStart w:id="88" w:name="_Toc20320079"/>
      <w:r/>
      <w:bookmarkStart w:id="89" w:name="_Toc502229145"/>
      <w:r/>
      <w:bookmarkStart w:id="90" w:name="_Toc505184833"/>
      <w:r/>
      <w:bookmarkStart w:id="91" w:name="_Toc505252682"/>
      <w:r/>
      <w:bookmarkStart w:id="92" w:name="_Toc504040674"/>
      <w:r/>
      <w:bookmarkStart w:id="93" w:name="_Toc18855116"/>
      <w:r/>
      <w:bookmarkStart w:id="94" w:name="_Toc502007584"/>
      <w:r>
        <w:rPr>
          <w:rFonts w:ascii="仿宋" w:hAnsi="仿宋" w:eastAsia="仿宋"/>
          <w:bCs/>
          <w:color w:val="auto"/>
          <w:sz w:val="28"/>
          <w:szCs w:val="28"/>
          <w:highlight w:val="none"/>
        </w:rPr>
        <w:t xml:space="preserve">8.4辅助单元</w:t>
      </w:r>
      <w:bookmarkEnd w:id="87"/>
      <w:r/>
      <w:bookmarkEnd w:id="88"/>
      <w:r/>
      <w:bookmarkEnd w:id="89"/>
      <w:r/>
      <w:bookmarkEnd w:id="90"/>
      <w:r/>
      <w:bookmarkEnd w:id="91"/>
      <w:r/>
      <w:bookmarkEnd w:id="92"/>
      <w:r/>
      <w:bookmarkEnd w:id="93"/>
      <w:r/>
      <w:bookmarkEnd w:id="94"/>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辅助单元应包含UPS、稳压电源、防雷单元、废液单元、空压机、冷藏柜（冷藏容量不小于120升）、安装机柜及材料及其他系统所需的部分，具体要求如下：</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配备UPS（总功率≥3KVA，断电后至少能保证仪器完成一个测量周期和数据上传，且待机不少于1h）；配备三相稳压电源（功率≥9KW）；</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配备废液收集单元，满足两周以上废液量的收集；</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必须具有电源、信号等设施的三级防雷措施，保证系统稳定、可靠运行；</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配置的空压机须是无油型空压机，保证不对分析结果造成影响；</w:t>
      </w:r>
      <w:r/>
    </w:p>
    <w:p>
      <w:pPr>
        <w:ind w:firstLine="560"/>
        <w:spacing w:line="500" w:lineRule="exact"/>
        <w:rPr>
          <w:rFonts w:ascii="仿宋" w:hAnsi="仿宋" w:eastAsia="仿宋"/>
          <w:bCs/>
          <w:color w:val="auto"/>
          <w:sz w:val="28"/>
          <w:szCs w:val="28"/>
          <w:highlight w:val="none"/>
        </w:rPr>
      </w:pPr>
      <w:r/>
      <w:bookmarkStart w:id="95" w:name="_Toc219214065"/>
      <w:r>
        <w:rPr>
          <w:rFonts w:ascii="仿宋" w:hAnsi="仿宋" w:eastAsia="仿宋"/>
          <w:bCs/>
          <w:color w:val="auto"/>
          <w:sz w:val="28"/>
          <w:szCs w:val="28"/>
          <w:highlight w:val="none"/>
        </w:rPr>
        <w:t xml:space="preserve">8.5数据采集与传输单元</w:t>
      </w:r>
      <w:bookmarkEnd w:id="95"/>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具备自动采集数据功能，包括自动采集水质自动监测仪器数据、集成控制数据等，采集的数据应自动添加数据标识，异常监测数据能自动识别，并主动上传至中心平台或提供软件平台及手机APP供数据查看，提供超标或异常预警；存储不少于5年的原始数据和运行日志，可扩展。</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8.6视频监控单元</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8.6.1站房内监控点位布置1套半球形摄像机，1套硬盘录像机，站房门口配置1套球型摄像机，采水口配置1套枪机型摄像机，实现全方位、多视角、无盲区、全天候式监控。（上游预警站监控视频须具备防爆功能）</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具体布置如下：</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（1）视频监控点位一</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监控位置：站房仪器室，安装于站房仪器室内，固定监控视角且范围可覆盖仪器室内部所有仪器设备；</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设备要求：配置半球型网络摄像机，固定角度进行监控。</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（2）视频监控点位二</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监控位置：站房外周围环境，应安装网络红外球型摄像机，可监控站房周围环境；</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设备要求：配置球型网络摄像机，可水平360°旋转，竖直0～90°旋转；带红外，支持夜间查看。</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（3）视频监控点位三</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监控位置：站房外取水口，安装在靠近取水口岸边，安装高度应满足50年一遇的防洪要求固定监控视角，用于监控取水口及站房周边情况；</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设备要求：配置枪机型网络摄像机，固定角度进行监控。</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8.6.2视频信息应实现现场存储功能，存储周期应不低于3个月，高清影像（至少720p），现场网络条件具备时，应采用宽带实现视频信息的实时传输。</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8.7站房</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现场已有站房，投标人根据现场仪表使用条件对原有站房进行改造（包括但不限于门禁系统、地板修复、站房内老旧设备的清理拖运存储，站房内所需的实验台、洗手台等），以确保水质在线监测系统的正常使用，并进行站房文化建设。</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为了保证投标人能全面了解本采购包实际情况，避免盲目投标，特别提醒所有投标人需自行组织人员踏勘现场，踏勘前与采购人联系预约，自行负责现场踏勘安全和承担现场踏勘的费用。如投标人选择不踏勘现场，造成项目需求理解偏差、方案编制失误或响应报价失误均由投标人自行承担；因投标人自身不能参加现场勘察或现场踏勘不全面的，不得因此提出修改报价或履约过程中提出索赔等要求。</w:t>
      </w:r>
      <w:r>
        <w:rPr>
          <w:rFonts w:hint="eastAsia" w:ascii="仿宋" w:hAnsi="仿宋" w:eastAsia="仿宋"/>
          <w:b/>
          <w:bCs w:val="0"/>
          <w:color w:val="auto"/>
          <w:sz w:val="28"/>
          <w:szCs w:val="28"/>
          <w:highlight w:val="none"/>
        </w:rPr>
        <w:t xml:space="preserve">投标文件中须提供《现场踏勘承诺函》格式见附件。</w:t>
      </w:r>
      <w:r/>
    </w:p>
    <w:p>
      <w:pPr>
        <w:ind w:firstLine="562"/>
        <w:spacing w:line="500" w:lineRule="exact"/>
        <w:rPr>
          <w:rFonts w:ascii="仿宋" w:hAnsi="仿宋" w:eastAsia="仿宋"/>
          <w:b/>
          <w:color w:val="auto"/>
          <w:sz w:val="28"/>
          <w:szCs w:val="28"/>
          <w:highlight w:val="none"/>
        </w:rPr>
        <w:outlineLvl w:val="2"/>
      </w:pPr>
      <w:r>
        <w:rPr>
          <w:rFonts w:hint="eastAsia" w:ascii="仿宋" w:hAnsi="仿宋" w:eastAsia="仿宋"/>
          <w:b/>
          <w:color w:val="auto"/>
          <w:sz w:val="28"/>
          <w:szCs w:val="28"/>
          <w:highlight w:val="none"/>
        </w:rPr>
        <w:t xml:space="preserve">第二部分  采购包2技术要求</w:t>
      </w:r>
      <w:r/>
    </w:p>
    <w:p>
      <w:pPr>
        <w:pStyle w:val="927"/>
        <w:ind w:firstLine="560"/>
        <w:rPr>
          <w:rFonts w:ascii="仿宋" w:hAnsi="仿宋" w:eastAsia="仿宋" w:cs="宋体"/>
          <w:bCs/>
          <w:color w:val="auto"/>
          <w:sz w:val="28"/>
          <w:szCs w:val="28"/>
          <w:highlight w:val="none"/>
        </w:rPr>
        <w:outlineLvl w:val="9"/>
      </w:pPr>
      <w:r>
        <w:rPr>
          <w:rFonts w:hint="eastAsia" w:ascii="仿宋" w:hAnsi="仿宋" w:eastAsia="仿宋" w:cs="宋体"/>
          <w:bCs/>
          <w:color w:val="auto"/>
          <w:sz w:val="28"/>
          <w:szCs w:val="28"/>
          <w:highlight w:val="none"/>
        </w:rPr>
        <w:t xml:space="preserve">（一）总磷总氮全自动分析仪</w:t>
      </w:r>
      <w:r/>
    </w:p>
    <w:p>
      <w:pPr>
        <w:pStyle w:val="927"/>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1.用途要求</w:t>
      </w:r>
      <w:r/>
    </w:p>
    <w:p>
      <w:pPr>
        <w:pStyle w:val="927"/>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用于水样中总磷、总氮指标的实验室全自动分析。</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2.技术参数</w:t>
      </w:r>
      <w:r/>
    </w:p>
    <w:p>
      <w:pPr>
        <w:ind w:firstLine="560"/>
        <w:spacing w:line="500" w:lineRule="exact"/>
        <w:rPr>
          <w:rFonts w:ascii="仿宋" w:hAnsi="仿宋" w:eastAsia="仿宋" w:cs="宋体"/>
          <w:b/>
          <w:color w:val="auto"/>
          <w:sz w:val="28"/>
          <w:szCs w:val="28"/>
          <w:highlight w:val="none"/>
        </w:rPr>
      </w:pPr>
      <w:r>
        <w:rPr>
          <w:rFonts w:hint="eastAsia" w:ascii="仿宋" w:hAnsi="仿宋" w:eastAsia="仿宋" w:cs="宋体"/>
          <w:bCs/>
          <w:color w:val="auto"/>
          <w:sz w:val="28"/>
          <w:szCs w:val="28"/>
          <w:highlight w:val="none"/>
        </w:rPr>
        <w:t xml:space="preserve">2.1符合标准《水质总磷的测定钼酸铵分光光度法》（GB/T11893-1989）、《水质 总氮的测定 碱性过硫酸钾消解紫外分光光度法》（HJ636-2012）中规定检测方法。</w:t>
      </w:r>
      <w:r>
        <w:rPr>
          <w:rFonts w:hint="eastAsia" w:ascii="仿宋" w:hAnsi="仿宋" w:eastAsia="仿宋" w:cs="宋体"/>
          <w:b/>
          <w:color w:val="auto"/>
          <w:sz w:val="28"/>
          <w:szCs w:val="28"/>
          <w:highlight w:val="none"/>
        </w:rPr>
        <w:t xml:space="preserve">投标文件中须提供证明材料，包括但不限于产品说明书、彩页或白皮书。同时提供的承诺涵（格式自拟），承诺能根据中国环境监测总站的数智化转型相关标准或规范要求升级仪器设备，不提供视为无效投标</w:t>
      </w:r>
      <w:r/>
    </w:p>
    <w:p>
      <w:pPr>
        <w:pStyle w:val="927"/>
        <w:ind w:firstLine="560"/>
        <w:spacing w:line="500" w:lineRule="exact"/>
        <w:rPr>
          <w:rFonts w:hint="eastAsia" w:ascii="仿宋" w:hAnsi="仿宋" w:eastAsia="仿宋" w:cs="宋体"/>
          <w:b/>
          <w:color w:val="auto"/>
          <w:sz w:val="28"/>
          <w:szCs w:val="28"/>
          <w:highlight w:val="none"/>
          <w:lang w:eastAsia="zh-CN"/>
        </w:rPr>
      </w:pPr>
      <w:r>
        <w:rPr>
          <w:rFonts w:hint="eastAsia" w:ascii="仿宋" w:hAnsi="仿宋" w:eastAsia="仿宋"/>
          <w:bCs/>
          <w:color w:val="auto"/>
          <w:sz w:val="28"/>
          <w:szCs w:val="28"/>
          <w:highlight w:val="none"/>
        </w:rPr>
        <w:t xml:space="preserve">2.2</w:t>
      </w:r>
      <w:r>
        <w:rPr>
          <w:rFonts w:hint="eastAsia" w:ascii="仿宋" w:hAnsi="仿宋" w:eastAsia="仿宋" w:cs="宋体"/>
          <w:b/>
          <w:color w:val="auto"/>
          <w:sz w:val="28"/>
          <w:szCs w:val="28"/>
          <w:highlight w:val="none"/>
        </w:rPr>
        <w:t xml:space="preserve">自动配标：可使用高浓度母液进行自动配标，无需手工配置；投标文件中须提供设置软件截图</w:t>
      </w:r>
      <w:r>
        <w:rPr>
          <w:rFonts w:hint="eastAsia" w:ascii="仿宋" w:hAnsi="仿宋" w:eastAsia="仿宋" w:cs="宋体"/>
          <w:b/>
          <w:color w:val="auto"/>
          <w:sz w:val="28"/>
          <w:szCs w:val="28"/>
          <w:highlight w:val="none"/>
          <w:lang w:eastAsia="zh-CN"/>
        </w:rPr>
        <w:t xml:space="preserve">。</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2.3可单独测定总磷或总氮一个项目，或同时测试总磷、总氮两个项目；</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2.4消解系统，各样品独立密封、消解，确保消解温度为120-124℃，工作压力为1.1-1.4kg/cm</w:t>
      </w:r>
      <w:r>
        <w:rPr>
          <w:rFonts w:eastAsia="仿宋" w:cs="Calibri"/>
          <w:bCs/>
          <w:color w:val="auto"/>
          <w:sz w:val="28"/>
          <w:szCs w:val="28"/>
          <w:highlight w:val="none"/>
        </w:rPr>
        <w:t xml:space="preserve">²</w:t>
      </w:r>
      <w:r>
        <w:rPr>
          <w:rFonts w:hint="eastAsia" w:ascii="仿宋" w:hAnsi="仿宋" w:eastAsia="仿宋" w:cs="仿宋"/>
          <w:bCs/>
          <w:color w:val="auto"/>
          <w:sz w:val="28"/>
          <w:szCs w:val="28"/>
          <w:highlight w:val="none"/>
        </w:rPr>
        <w:t xml:space="preserve">，消解时间≥</w:t>
      </w:r>
      <w:r>
        <w:rPr>
          <w:rFonts w:hint="eastAsia" w:ascii="仿宋" w:hAnsi="仿宋" w:eastAsia="仿宋"/>
          <w:bCs/>
          <w:color w:val="auto"/>
          <w:sz w:val="28"/>
          <w:szCs w:val="28"/>
          <w:highlight w:val="none"/>
        </w:rPr>
        <w:t xml:space="preserve">30min；消解方式可采用高压蒸汽灭菌锅消解或电加热消解；</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2.5样品检测范围：总磷：（0.01-1.2）mg/L；总氮：（0.05-7.0）mg/L（样品无稀释）；</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2.6准确度：±5%；RSD＜3.5%；相关系数r＞0.999（自动配标）；</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2.7</w:t>
      </w:r>
      <w:r>
        <w:rPr>
          <w:rFonts w:hint="eastAsia" w:ascii="仿宋" w:hAnsi="仿宋" w:eastAsia="仿宋" w:cs="宋体"/>
          <w:bCs/>
          <w:color w:val="auto"/>
          <w:sz w:val="28"/>
          <w:szCs w:val="28"/>
          <w:highlight w:val="none"/>
        </w:rPr>
        <w:t xml:space="preserve">浊度色度补偿：含有浊度或色度的总磷水样，可进行浊度色度补偿，扣除干扰；</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2.8具备方法报告导出功能，数据可导出留存，方法具备追溯性；</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2.9日志可查询，分析过程实时记录，分析过程具备追溯性。</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3.配置</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3.1总磷总氮自动分析仪1套；</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3.2配套工作站1台（含配套操作软件1套）；</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3.3长、宽、高为160cm*75cm*80cm和160cm*75cm*70cm（±2%）的实验室操作台各1组。</w:t>
      </w:r>
      <w:r/>
    </w:p>
    <w:p>
      <w:pPr>
        <w:ind w:firstLine="560"/>
        <w:spacing w:line="5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（二）采水无人机</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1.采水无人机为遥控设备或自备程序控制装置操纵，为无人驾驶的航空器。无人机上搭载可按预定设置的采水单元（模块）、云台红外相机，完成水质采样和污染源排口排查的设备。</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2.无人机水质采样系统包括无人机单元、采水单元。</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3.无人机单元包括无人机、飞行电池、云台红外相机、遥控器等。</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3.1无人机为旋翼或垂直起降无人机，能够自主规划航线，具悬停功能、飞行感知功能、避障功能，具有低电量报警功能，在故障、低电压、极端天气环境自动返航功能。</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3.2抗风等级不小于六级，同时无人机应可拆卸便于携带及运输。</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3.3最大载重：≥5kg</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3.3最大起飞重量：≥10kg</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3.4负载最大续航时间：≥50分钟</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3.5最大水平飞行速度：≥15m/s</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3.6最大飞行海拔高度：≥500m</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3.7防护等级：≥IP45</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3.8工作温度：-10℃~50℃</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3.9定位系统：支持单北斗模式</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3.10悬停精度：垂直方向≤±0.5m  水平方向≤±1.5m</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3.11支持云台安装，飞行器支持搭载云台负载数量≥3</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3.12电池可通过电池箱（仓）进行充电，能够显示电池电量。</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3.13电池容量≥20000mAh、电池能量</w:t>
      </w:r>
      <w:r>
        <w:rPr>
          <w:rFonts w:hint="eastAsia" w:ascii="仿宋" w:hAnsi="仿宋" w:eastAsia="仿宋"/>
          <w:bCs/>
          <w:color w:val="auto"/>
          <w:sz w:val="28"/>
          <w:szCs w:val="28"/>
          <w:highlight w:val="none"/>
        </w:rPr>
        <w:tab/>
      </w:r>
      <w:r>
        <w:rPr>
          <w:rFonts w:hint="eastAsia" w:ascii="仿宋" w:hAnsi="仿宋" w:eastAsia="仿宋"/>
          <w:bCs/>
          <w:color w:val="auto"/>
          <w:sz w:val="28"/>
          <w:szCs w:val="28"/>
          <w:highlight w:val="none"/>
        </w:rPr>
        <w:t xml:space="preserve">≥900Wh、电池循环次数≥400、电池重量≤5000克</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3.14无人机机身应具备FPV相机。</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3.15云台红外相机：通过无人机云台进行搭载，云台可控制红外相机俯仰、平移转动。</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3.15.1红外相机支持视频录制，通过APP端设置支持开启预录制，视频连续录制时不低于1小时。</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3.15.2负载广角相机有效像素：有效像素≥2400万</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3.15.3负载广角相机照片尺寸：最大照片尺寸≥8064×6048</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3.15.4负载广角相机视频分辨率：视频分辨率≥3840×2160@30fps；</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3.15.5负载变焦相机有效像素：有效像素≥2000万</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3.15.6负载变焦相机照片尺寸：最大照片尺寸≥7328x5496；</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3.15.7负载变焦相机可光光学变焦倍数：光学变焦能力≥16倍；</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3.15.8负载变焦相机可见光数码变焦倍数：数码变焦能力≥200倍；</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3.15.9红外相机数字变焦倍数：变焦倍数≥16倍；</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3.15.10红外相机视频分辨率：视频分辨率≥1280x1024@30fps</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3.15.11红外相机照片分辨率：分辨率1280x1024；</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3.15.12支持测温、高温报警功能以及红外成像模式。</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3.15.13支持近红外补光：支持开启近红外补光，增加夜视效果；</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3.15.14激光测距模块：最远测量距离≥1500米；</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3.15.15激光打点定位：支持在画面中央的目标上打点，可记录目标点的经纬度及高度。</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3.15.16相机存储空间≥64G，支持容量扩展；</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3.16遥控器具有远距离对无人机和采水单元进行监控和操纵功能，通常包括调度、规划任务、运行控制、记录显示等功能。</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3.16.1遥控器遥控距离：≥1km</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3.16.2遥控器按键支持背景光</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3.16.3遥控器可通过内置或外置电池供电，电池续航时间≥2小时。</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3.16..4遥控器存储空间≥128G</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4.采水单元</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4.1通过无人机云台搭载，采用采样绳+采水器组合。</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4.2采水器自重：≤2kg</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4.3采水器容积：≥1L</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4.4采样绳放线长度：</w:t>
      </w:r>
      <w:bookmarkStart w:id="96" w:name="OLE_LINK10"/>
      <w:r>
        <w:rPr>
          <w:rFonts w:hint="eastAsia" w:ascii="仿宋" w:hAnsi="仿宋" w:eastAsia="仿宋"/>
          <w:bCs/>
          <w:color w:val="auto"/>
          <w:sz w:val="28"/>
          <w:szCs w:val="28"/>
          <w:highlight w:val="none"/>
        </w:rPr>
        <w:t xml:space="preserve">≥</w:t>
      </w:r>
      <w:bookmarkEnd w:id="96"/>
      <w:r>
        <w:rPr>
          <w:rFonts w:hint="eastAsia" w:ascii="仿宋" w:hAnsi="仿宋" w:eastAsia="仿宋"/>
          <w:bCs/>
          <w:color w:val="auto"/>
          <w:sz w:val="28"/>
          <w:szCs w:val="28"/>
          <w:highlight w:val="none"/>
        </w:rPr>
        <w:t xml:space="preserve">5m</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4.5内置下视相机，像素≥200万</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4.6采水单元具备毫米波雷达测距功能，测量距离流体的准确高度。</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4.7支持无人机遥控器一体化遥控采样单元，具有自动/手动控制采样，包括手动控制采样深度、上升/下降/停止等。</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4.8具备应急防绞线设计，紧急情况下支持远程一键断融线绳功能。</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5.配置清单</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5.1无人机主机                                      1套</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5.2红外相机及云台组件                              1套</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5.3飞行电池                                        3组</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5.4电池充电箱                                      1套</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5.5采水单元（包含</w:t>
      </w:r>
      <w:bookmarkStart w:id="97" w:name="OLE_LINK11"/>
      <w:r>
        <w:rPr>
          <w:rFonts w:hint="eastAsia" w:ascii="仿宋" w:hAnsi="仿宋" w:eastAsia="仿宋"/>
          <w:bCs/>
          <w:color w:val="auto"/>
          <w:sz w:val="28"/>
          <w:szCs w:val="28"/>
          <w:highlight w:val="none"/>
        </w:rPr>
        <w:t xml:space="preserve">1L采水器2个</w:t>
      </w:r>
      <w:bookmarkEnd w:id="97"/>
      <w:r>
        <w:rPr>
          <w:rFonts w:hint="eastAsia" w:ascii="仿宋" w:hAnsi="仿宋" w:eastAsia="仿宋"/>
          <w:bCs/>
          <w:color w:val="auto"/>
          <w:sz w:val="28"/>
          <w:szCs w:val="28"/>
          <w:highlight w:val="none"/>
        </w:rPr>
        <w:t xml:space="preserve">，2L采水器2个）    1套</w:t>
      </w:r>
      <w:r/>
    </w:p>
    <w:p>
      <w:pPr>
        <w:ind w:firstLine="560"/>
        <w:spacing w:line="500" w:lineRule="exact"/>
        <w:rPr>
          <w:rFonts w:ascii="仿宋" w:hAnsi="仿宋" w:eastAsia="仿宋" w:cs="仿宋"/>
          <w:bCs/>
          <w:color w:val="auto"/>
          <w:sz w:val="28"/>
          <w:szCs w:val="28"/>
          <w:highlight w:val="none"/>
        </w:rPr>
      </w:pPr>
      <w:r/>
      <w:bookmarkStart w:id="98" w:name="OLE_LINK6"/>
      <w:r>
        <w:rPr>
          <w:rFonts w:hint="eastAsia" w:ascii="仿宋" w:hAnsi="仿宋" w:eastAsia="仿宋" w:cs="仿宋"/>
          <w:bCs/>
          <w:color w:val="auto"/>
          <w:sz w:val="28"/>
          <w:szCs w:val="28"/>
          <w:highlight w:val="none"/>
        </w:rPr>
        <w:t xml:space="preserve">（三）便携式气相色谱质谱联用仪</w:t>
      </w:r>
      <w:bookmarkEnd w:id="98"/>
      <w:r>
        <w:rPr>
          <w:rFonts w:hint="eastAsia" w:ascii="仿宋" w:hAnsi="仿宋" w:eastAsia="仿宋" w:cs="仿宋"/>
          <w:bCs/>
          <w:color w:val="auto"/>
          <w:sz w:val="28"/>
          <w:szCs w:val="28"/>
          <w:highlight w:val="none"/>
        </w:rPr>
        <w:t xml:space="preserve">（核心产品）</w:t>
      </w:r>
      <w:r/>
    </w:p>
    <w:p>
      <w:pPr>
        <w:ind w:firstLine="560"/>
        <w:spacing w:line="5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1.便携式气</w:t>
      </w:r>
      <w:r>
        <w:rPr>
          <w:rFonts w:hint="eastAsia" w:ascii="仿宋" w:hAnsi="仿宋" w:eastAsia="仿宋" w:cs="仿宋"/>
          <w:bCs/>
          <w:color w:val="auto"/>
          <w:sz w:val="28"/>
          <w:szCs w:val="28"/>
          <w:highlight w:val="none"/>
        </w:rPr>
        <w:t xml:space="preserve">相色谱质谱分析仪（GC-MS）用于污染事故现场大气、水体和土壤中挥发性和半挥发性有机污染物的快速定性及定量、半定量分析。便携式气相色谱质谱分析仪（GC-MS，含配套顶空/吹扫捕集功能）无需通过更换色谱柱或其它配置，即可同时满足或优于《环境空气 挥发性有机物的应急测定 便携式气相色谱-质谱法》（HJ 1223—2021）、《水质 挥发性有机物的应急测定 便携式顶空气相色谱-质谱法》（HJ 1227—2021）、《便携式气相色谱-质谱联用仪技术要求及实验方法》（GB/T 32210-2015）对仪器性能的要求。</w:t>
      </w:r>
      <w:r/>
    </w:p>
    <w:p>
      <w:pPr>
        <w:ind w:firstLine="56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2.仪器配置包括但不限于以下部件：</w:t>
      </w:r>
      <w:r/>
    </w:p>
    <w:tbl>
      <w:tblPr>
        <w:tblStyle w:val="875"/>
        <w:tblW w:w="87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2181"/>
        <w:gridCol w:w="737"/>
        <w:gridCol w:w="600"/>
        <w:gridCol w:w="4622"/>
      </w:tblGrid>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序号</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名称</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数量</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单位</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便携式气质联用仪主机，包含采样探头</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600" w:type="dxa"/>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台</w:t>
            </w:r>
            <w:r/>
          </w:p>
        </w:tc>
        <w:tc>
          <w:tcPr>
            <w:tcBorders>
              <w:top w:val="single" w:color="auto" w:sz="4" w:space="0"/>
              <w:left w:val="single" w:color="auto" w:sz="4" w:space="0"/>
              <w:bottom w:val="single" w:color="auto" w:sz="4" w:space="0"/>
              <w:right w:val="single" w:color="auto" w:sz="4" w:space="0"/>
            </w:tcBorders>
            <w:tcW w:w="4622" w:type="dxa"/>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主机触屏操作，内装正版操作系统、控制和数据处理软件、最新原装正版等3种谱库</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顶空/吹扫捕集进样器</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套</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ascii="仿宋" w:hAnsi="仿宋" w:eastAsia="仿宋" w:cs="仿宋"/>
                <w:bCs/>
                <w:color w:val="auto"/>
                <w:sz w:val="24"/>
                <w:highlight w:val="none"/>
                <w:lang w:bidi="en-US"/>
              </w:rPr>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3</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内置载气</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12</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瓶</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主机全新配套，按客户需求分批发货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4</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内标气</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6</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瓶</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主机全新配套，按客户需求分批发货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5</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内置可充电池</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块</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主机全新配套，配原装电池充电器1套，6-8小时主机续航能力</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6</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数据线、电源适配器等</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套</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ascii="仿宋" w:hAnsi="仿宋" w:eastAsia="仿宋" w:cs="仿宋"/>
                <w:bCs/>
                <w:color w:val="auto"/>
                <w:sz w:val="24"/>
                <w:highlight w:val="none"/>
                <w:lang w:bidi="en-US"/>
              </w:rPr>
            </w:r>
            <w:r/>
          </w:p>
        </w:tc>
      </w:tr>
      <w:tr>
        <w:trPr>
          <w:jc w:val="center"/>
          <w:trHeight w:val="90"/>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7</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与主机配套使用的移动数据终端和数据处理系统</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套</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与主机配套使用的移动数据终端，配置控制和数据处理软件、最新原装正版等3种谱库；保证在事故现场可进行标准对照、模型预测、报告编制上报等功能。</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8</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40mL顶空瓶</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200</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个</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与动静态顶空进样器配套，透明瓶</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9</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小推车</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台</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与便携气质主机配套使用</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10</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顶空瓶垫片</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1000</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片</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与40ml顶空瓶配套使用</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11</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HJ 1223标气</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瓶</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52组分的1ppm的2L标气</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12</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HJ 1227标液</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10</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瓶</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56组分的1ml的标液</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13</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移液枪10mL</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保证高精确性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14</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配套10mL枪头</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600</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ascii="仿宋" w:hAnsi="仿宋" w:eastAsia="仿宋" w:cs="仿宋"/>
                <w:bCs/>
                <w:color w:val="auto"/>
                <w:sz w:val="24"/>
                <w:highlight w:val="none"/>
                <w:lang w:bidi="en-US"/>
              </w:rPr>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15</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移液枪1000μL</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耐有机溶剂型移液枪，外置活塞式吸嘴，在移取粘稠的、易挥发的、危险性样品时，保证高精确性。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16</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配套1000μL枪头</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960</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个</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不少于960个</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17</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移液枪100μL</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耐有机溶剂型移液枪，外置活塞式吸嘴，在移取粘稠的、易挥发的、危险性样品时，保证高精确性。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18</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配套100μL枪头</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960</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个</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不少于960个</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19</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移液枪50μL</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耐有机溶剂型移液枪，外置活塞式吸嘴，在移取粘稠的、易挥发的、危险性样品时，保证高精确性。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20</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配套50μL枪头</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960</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个</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不少于960个</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21</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移液枪10μL</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耐有机溶剂型移液枪，外置活塞式吸嘴，在移取粘稠的、易挥发的、危险性样品时，保证高精确性。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22</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配套10μL枪头</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960</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个</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不少于960个</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23</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移液枪支架</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便于移液枪竖直放置</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24</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微量注射器1000μL</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5</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保证高精确性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25</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微量注射器100μL</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10</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保证高精确性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26</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微量注射器10μL</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10</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保证高精确性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27</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微量注射器5μL</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5</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保证高精确性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28</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微量注射器1μL</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5</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保证高精确性</w:t>
            </w:r>
            <w:r/>
          </w:p>
        </w:tc>
      </w:tr>
    </w:tbl>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3.配置与技术参数要求</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（1）整机与环境</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 重量：≤25kg（包括续航不少于六小时的内置电池、内标气和载气瓶等），方便现场携带搬运。</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1.2 环境温度：-10～40℃；湿度：≤85%；气压：70～106 kPa</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1.3 预热时间≤1小时</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 支持内置电池供电和外部适配器交流供电两种供电方式，仪器可监控电池剩余电量，在供电不足时报警。</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（2）气相色谱部分</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2.1基本操作条件：全部色谱参数和操作条件可通过触屏操作设定并能被显示出来，并可传输到数据处理系统，其色谱参数和操作条件的设定内容可被保存和复制。仪器主机与其它配置系统的联机性强，操作简便。</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2.2气相色谱柱：与主机相匹配的温度可编程的毛细管色谱柱，可兼容其他毛细管色谱柱，可进行程序升温，气相色谱柱最大温度不低于220℃；升温速率不低于40℃/分钟。</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2.3 </w:t>
      </w:r>
      <w:bookmarkStart w:id="99" w:name="_Hlk112328294"/>
      <w:r>
        <w:rPr>
          <w:rFonts w:hint="eastAsia" w:ascii="仿宋" w:hAnsi="仿宋" w:eastAsia="仿宋" w:cs="仿宋"/>
          <w:bCs/>
          <w:color w:val="auto"/>
          <w:sz w:val="28"/>
          <w:szCs w:val="28"/>
          <w:highlight w:val="none"/>
        </w:rPr>
        <w:t xml:space="preserve">样品进样：仪器同时内置吸附管及定量环，气体样品可通过吸附热解吸和定量环两种模式进样，可通过软件控制二者选其一使用，避免手动更换。</w:t>
      </w:r>
      <w:bookmarkEnd w:id="99"/>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2.4气相色谱柱体温度控制稳定性：≤0.5%</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2.5气相色谱柱体程序升温重复性：1%</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（3）质谱部分</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3.1质量分析器：四级杆质量分析器或离子阱质量分析器，精准匹配谱库。</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3.2可分析质量范围：18amu～300amu；</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3.3质量分辨率：≤1amu；</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3.4质量稳定性：≤±0.3amu； </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3.5扫描方式：全扫描；</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3.6扫描范围:41amu-300amu；</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3.7电离模式：70eV EI（非放射性离子源）；</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3.8检测器：电子倍增器；</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（4）检测性能</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4.1灵敏度：热解析进样：4×10</w:t>
      </w:r>
      <w:r>
        <w:rPr>
          <w:rFonts w:hint="eastAsia" w:ascii="仿宋" w:hAnsi="仿宋" w:eastAsia="仿宋" w:cs="仿宋"/>
          <w:bCs/>
          <w:color w:val="auto"/>
          <w:sz w:val="28"/>
          <w:szCs w:val="28"/>
          <w:highlight w:val="none"/>
          <w:vertAlign w:val="superscript"/>
        </w:rPr>
        <w:t xml:space="preserve">-3</w:t>
      </w:r>
      <w:r>
        <w:rPr>
          <w:rFonts w:hint="eastAsia" w:ascii="仿宋" w:hAnsi="仿宋" w:eastAsia="仿宋" w:cs="仿宋"/>
          <w:bCs/>
          <w:color w:val="auto"/>
          <w:sz w:val="28"/>
          <w:szCs w:val="28"/>
          <w:highlight w:val="none"/>
        </w:rPr>
        <w:t xml:space="preserve">mg/m</w:t>
      </w:r>
      <w:r>
        <w:rPr>
          <w:rFonts w:hint="eastAsia" w:ascii="仿宋" w:hAnsi="仿宋" w:eastAsia="仿宋" w:cs="仿宋"/>
          <w:bCs/>
          <w:color w:val="auto"/>
          <w:sz w:val="28"/>
          <w:szCs w:val="28"/>
          <w:highlight w:val="none"/>
          <w:vertAlign w:val="superscript"/>
        </w:rPr>
        <w:t xml:space="preserve">3</w:t>
      </w:r>
      <w:r>
        <w:rPr>
          <w:rFonts w:hint="eastAsia" w:ascii="仿宋" w:hAnsi="仿宋" w:eastAsia="仿宋" w:cs="仿宋"/>
          <w:bCs/>
          <w:color w:val="auto"/>
          <w:sz w:val="28"/>
          <w:szCs w:val="28"/>
          <w:highlight w:val="none"/>
        </w:rPr>
        <w:t xml:space="preserve">甲苯（SNR≥3:1），200mL；直接进样：1ng甲苯（SNR≥3:1）</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4.2定量重复性：≤20%（n=6）</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4.3定量稳定性：≤20%</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（5）气体采样探头</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5.1分析方式：采样探头内置采样泵，气体样品不经过色谱柱分离直接进入质谱检测；</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5.2气体采样探头与主机连接线外附保温层，低温环境下仍可正常使用。</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（6）顶空+吹扫捕集进样器</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6.1配置原厂便携顶空+吹扫捕集进样系统，系统能具备独立电源供给或由便携GC-MS主机提供现场能源供给，实现应急所必要的水、土样品处理及传输；</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6.2 顶空+吹扫捕集系统具有适应于应急现场携带的便携性，重量≤10kg。 顶空+吹扫捕集进样器通过控温的传输管线与GC-MS主机相连，可形成闭环系统用于检测固体或液体中的VOCs或SVOC；</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6.3能够对样品瓶进行加热，加热范围：≥50℃；加热位：≥4位；</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6.4能够控制样品加热平衡温度和时间。</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（7）数据处理系统 </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7.1 </w:t>
      </w:r>
      <w:bookmarkStart w:id="100" w:name="_Hlk112337610"/>
      <w:r>
        <w:rPr>
          <w:rFonts w:hint="eastAsia" w:ascii="仿宋" w:hAnsi="仿宋" w:eastAsia="仿宋" w:cs="仿宋"/>
          <w:bCs/>
          <w:color w:val="auto"/>
          <w:sz w:val="28"/>
          <w:szCs w:val="28"/>
          <w:highlight w:val="none"/>
        </w:rPr>
        <w:t xml:space="preserve">简约直观的图形化操作界面、人机交互式触摸屏，可在无人值守情况下按照事先设置好的序列运行设备。</w:t>
      </w:r>
      <w:bookmarkEnd w:id="100"/>
      <w:r/>
      <w:r/>
    </w:p>
    <w:p>
      <w:pPr>
        <w:ind w:firstLine="560"/>
        <w:spacing w:line="520" w:lineRule="exact"/>
        <w:rPr>
          <w:rFonts w:ascii="仿宋" w:hAnsi="仿宋" w:eastAsia="仿宋" w:cs="仿宋"/>
          <w:bCs/>
          <w:color w:val="auto"/>
          <w:sz w:val="28"/>
          <w:szCs w:val="28"/>
          <w:highlight w:val="none"/>
        </w:rPr>
      </w:pPr>
      <w:r/>
      <w:bookmarkStart w:id="101" w:name="_Hlk112337620"/>
      <w:r>
        <w:rPr>
          <w:rFonts w:hint="eastAsia" w:ascii="仿宋" w:hAnsi="仿宋" w:eastAsia="仿宋" w:cs="仿宋"/>
          <w:bCs/>
          <w:color w:val="auto"/>
          <w:sz w:val="28"/>
          <w:szCs w:val="28"/>
          <w:highlight w:val="none"/>
        </w:rPr>
        <w:t xml:space="preserve">7.2 </w:t>
      </w:r>
      <w:bookmarkStart w:id="102" w:name="_Hlk113269578"/>
      <w:r>
        <w:rPr>
          <w:rFonts w:hint="eastAsia" w:ascii="仿宋" w:hAnsi="仿宋" w:eastAsia="仿宋" w:cs="仿宋"/>
          <w:bCs/>
          <w:color w:val="auto"/>
          <w:sz w:val="28"/>
          <w:szCs w:val="28"/>
          <w:highlight w:val="none"/>
        </w:rPr>
        <w:t xml:space="preserve">软件具有实时定性功能，在分析未结束时即可对已出峰的物质进行定性，提高现场检测效率。</w:t>
      </w:r>
      <w:bookmarkEnd w:id="101"/>
      <w:r/>
      <w:bookmarkEnd w:id="102"/>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7.3 </w:t>
      </w:r>
      <w:bookmarkStart w:id="103" w:name="_Hlk113269942"/>
      <w:r>
        <w:rPr>
          <w:rFonts w:hint="eastAsia" w:ascii="仿宋" w:hAnsi="仿宋" w:eastAsia="仿宋" w:cs="仿宋"/>
          <w:bCs/>
          <w:color w:val="auto"/>
          <w:sz w:val="28"/>
          <w:szCs w:val="28"/>
          <w:highlight w:val="none"/>
        </w:rPr>
        <w:t xml:space="preserve">具有自动调谐功能，无需输入电压或质量数等任何参数即可进行调谐，</w:t>
      </w:r>
      <w:bookmarkStart w:id="104" w:name="_Hlk112337927"/>
      <w:r>
        <w:rPr>
          <w:rFonts w:hint="eastAsia" w:ascii="仿宋" w:hAnsi="仿宋" w:eastAsia="仿宋" w:cs="仿宋"/>
          <w:bCs/>
          <w:color w:val="auto"/>
          <w:sz w:val="28"/>
          <w:szCs w:val="28"/>
          <w:highlight w:val="none"/>
        </w:rPr>
        <w:t xml:space="preserve">关键离子丰度应满足HJ1223-2021《环境空气 挥发性有机物的应急测定 便携式气相色谱-质谱法》的要求。</w:t>
      </w:r>
      <w:bookmarkEnd w:id="103"/>
      <w:r/>
      <w:bookmarkEnd w:id="104"/>
      <w:r/>
      <w:r/>
    </w:p>
    <w:p>
      <w:pPr>
        <w:ind w:firstLine="560"/>
        <w:spacing w:line="520" w:lineRule="exact"/>
        <w:rPr>
          <w:rFonts w:ascii="仿宋" w:hAnsi="仿宋" w:eastAsia="仿宋" w:cs="仿宋"/>
          <w:bCs/>
          <w:color w:val="auto"/>
          <w:sz w:val="28"/>
          <w:szCs w:val="28"/>
          <w:highlight w:val="none"/>
        </w:rPr>
      </w:pPr>
      <w:r/>
      <w:bookmarkStart w:id="105" w:name="_Hlk112337964"/>
      <w:r/>
      <w:bookmarkStart w:id="106" w:name="_Hlk113270627"/>
      <w:r>
        <w:rPr>
          <w:rFonts w:hint="eastAsia" w:ascii="仿宋" w:hAnsi="仿宋" w:eastAsia="仿宋" w:cs="仿宋"/>
          <w:bCs/>
          <w:color w:val="auto"/>
          <w:sz w:val="28"/>
          <w:szCs w:val="28"/>
          <w:highlight w:val="none"/>
        </w:rPr>
        <w:t xml:space="preserve">7.4设备内置北斗定位系统，符合《卫星定位导航授时设备单北斗测试技术规范》（FT-B07-0014-01）。</w:t>
      </w:r>
      <w:bookmarkEnd w:id="105"/>
      <w:r/>
      <w:bookmarkEnd w:id="106"/>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7.5 标准谱库：包含环境样品专用谱库（内含超过1000种物质）以及中文版化学品安全指导数据库（SIC），可提示GB职业接触限制、浓度转换系数、接触途径等信息。内装NIST与AMDIS的质谱库，NIOSH数据库。</w:t>
      </w:r>
      <w:r/>
    </w:p>
    <w:p>
      <w:pPr>
        <w:ind w:firstLine="28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（8）移液枪最大允许误差</w:t>
      </w:r>
      <w:r/>
    </w:p>
    <w:tbl>
      <w:tblPr>
        <w:tblStyle w:val="875"/>
        <w:tblpPr w:horzAnchor="page" w:tblpX="1677" w:vertAnchor="text" w:tblpY="638" w:leftFromText="180" w:topFromText="0" w:rightFromText="180" w:bottomFromText="0"/>
        <w:tblW w:w="91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36"/>
        <w:gridCol w:w="1998"/>
        <w:gridCol w:w="2002"/>
        <w:gridCol w:w="3173"/>
      </w:tblGrid>
      <w:tr>
        <w:trPr>
          <w:trHeight w:val="528"/>
          <w:tblHeader/>
        </w:trPr>
        <w:tc>
          <w:tcPr>
            <w:tcMar>
              <w:left w:w="120" w:type="dxa"/>
              <w:top w:w="120" w:type="dxa"/>
              <w:right w:w="120" w:type="dxa"/>
              <w:bottom w:w="120" w:type="dxa"/>
            </w:tcMar>
            <w:tcW w:w="1936" w:type="dxa"/>
            <w:vAlign w:val="center"/>
            <w:vMerge w:val="restart"/>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量程</w:t>
            </w:r>
            <w:r/>
          </w:p>
        </w:tc>
        <w:tc>
          <w:tcPr>
            <w:tcMar>
              <w:left w:w="120" w:type="dxa"/>
              <w:top w:w="120" w:type="dxa"/>
              <w:right w:w="120" w:type="dxa"/>
              <w:bottom w:w="120" w:type="dxa"/>
            </w:tcMar>
            <w:tcW w:w="1998" w:type="dxa"/>
            <w:vAlign w:val="center"/>
            <w:vMerge w:val="restart"/>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体积 (μL)</w:t>
            </w:r>
            <w:r/>
          </w:p>
        </w:tc>
        <w:tc>
          <w:tcPr>
            <w:gridSpan w:val="2"/>
            <w:tcMar>
              <w:left w:w="120" w:type="dxa"/>
              <w:top w:w="120" w:type="dxa"/>
              <w:right w:w="120" w:type="dxa"/>
              <w:bottom w:w="120" w:type="dxa"/>
            </w:tcMar>
            <w:tcW w:w="517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最大允差范围</w:t>
            </w:r>
            <w:r/>
          </w:p>
        </w:tc>
      </w:tr>
      <w:tr>
        <w:trPr>
          <w:trHeight w:val="113"/>
        </w:trPr>
        <w:tc>
          <w:tcPr>
            <w:tcMar>
              <w:left w:w="120" w:type="dxa"/>
              <w:top w:w="120" w:type="dxa"/>
              <w:right w:w="120" w:type="dxa"/>
              <w:bottom w:w="120" w:type="dxa"/>
            </w:tcMar>
            <w:tcW w:w="1936" w:type="dxa"/>
            <w:vAlign w:val="center"/>
            <w:vMerge w:val="continue"/>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vMerge w:val="continue"/>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系统误差 (μL)</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随机误差 (μL)</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10μL</w:t>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±0.09</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≤0.03</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±0.10</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≤0.03</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±0.15</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≤0.06</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25μL</w:t>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±0.25</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≤0.08</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±0.27</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≤0.08</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25</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±0.30</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≤0.10</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50μL</w:t>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±0.34</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≤0.20</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±0.70</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≤0.30</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100μL</w:t>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±0.50</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≤0.20</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±0.75</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≤0.30</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±1.00</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≤0.40</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250μL</w:t>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±1.50</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≤0.30</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±1.70</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≤0.30</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250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±2.50</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≤0.50</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1000μL</w:t>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±3.0</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≤1.6</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500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±5.0</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≤2.5</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1000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±8.5</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≤4.0</w:t>
            </w:r>
            <w:r/>
          </w:p>
        </w:tc>
      </w:tr>
    </w:tbl>
    <w:p>
      <w:pPr>
        <w:ind w:firstLine="560"/>
        <w:spacing w:line="500" w:lineRule="exact"/>
        <w:rPr>
          <w:rFonts w:ascii="黑体" w:hAnsi="黑体" w:eastAsia="黑体"/>
          <w:bCs/>
          <w:color w:val="auto"/>
          <w:sz w:val="28"/>
          <w:szCs w:val="28"/>
          <w:highlight w:val="none"/>
        </w:rPr>
      </w:pPr>
      <w:r>
        <w:rPr>
          <w:rFonts w:ascii="黑体" w:hAnsi="黑体" w:eastAsia="黑体"/>
          <w:bCs/>
          <w:color w:val="auto"/>
          <w:sz w:val="28"/>
          <w:szCs w:val="28"/>
          <w:highlight w:val="none"/>
        </w:rPr>
      </w:r>
      <w:r/>
    </w:p>
    <w:p>
      <w:pPr>
        <w:ind w:firstLine="560"/>
        <w:spacing w:line="500" w:lineRule="exact"/>
        <w:rPr>
          <w:rFonts w:ascii="仿宋" w:hAnsi="仿宋" w:eastAsia="仿宋"/>
          <w:bCs/>
          <w:color w:val="auto"/>
          <w:sz w:val="28"/>
          <w:szCs w:val="28"/>
          <w:highlight w:val="none"/>
        </w:rPr>
        <w:outlineLvl w:val="1"/>
      </w:pPr>
      <w:r/>
      <w:bookmarkStart w:id="107" w:name="_Toc15403"/>
      <w:r>
        <w:rPr>
          <w:rFonts w:hint="eastAsia" w:ascii="黑体" w:hAnsi="黑体" w:eastAsia="黑体"/>
          <w:bCs/>
          <w:color w:val="auto"/>
          <w:sz w:val="28"/>
          <w:szCs w:val="28"/>
          <w:highlight w:val="none"/>
        </w:rPr>
        <w:t xml:space="preserve">四、质量</w:t>
      </w:r>
      <w:bookmarkStart w:id="108" w:name="_Toc25182"/>
      <w:r>
        <w:rPr>
          <w:rFonts w:hint="eastAsia" w:ascii="仿宋" w:hAnsi="仿宋" w:eastAsia="仿宋"/>
          <w:bCs/>
          <w:color w:val="auto"/>
          <w:sz w:val="28"/>
          <w:szCs w:val="28"/>
          <w:highlight w:val="none"/>
        </w:rPr>
        <w:t xml:space="preserve">保证</w:t>
      </w:r>
      <w:bookmarkEnd w:id="108"/>
      <w:r>
        <w:rPr>
          <w:rFonts w:hint="eastAsia" w:ascii="仿宋" w:hAnsi="仿宋" w:eastAsia="仿宋"/>
          <w:bCs/>
          <w:color w:val="auto"/>
          <w:sz w:val="28"/>
          <w:szCs w:val="28"/>
          <w:highlight w:val="none"/>
        </w:rPr>
        <w:t xml:space="preserve">（采购包1、采购包2）</w:t>
      </w:r>
      <w:bookmarkEnd w:id="107"/>
      <w:r/>
      <w:r/>
    </w:p>
    <w:p>
      <w:pPr>
        <w:ind w:firstLine="560"/>
        <w:spacing w:line="500" w:lineRule="exact"/>
        <w:rPr>
          <w:rFonts w:ascii="仿宋" w:hAnsi="仿宋" w:eastAsia="仿宋"/>
          <w:bCs/>
          <w:color w:val="auto"/>
          <w:sz w:val="28"/>
          <w:szCs w:val="28"/>
          <w:highlight w:val="none"/>
        </w:rPr>
      </w:pPr>
      <w:r/>
      <w:bookmarkStart w:id="109" w:name="_Toc5062"/>
      <w:r>
        <w:rPr>
          <w:rFonts w:hint="eastAsia" w:ascii="仿宋" w:hAnsi="仿宋" w:eastAsia="仿宋"/>
          <w:bCs/>
          <w:color w:val="auto"/>
          <w:sz w:val="28"/>
          <w:szCs w:val="28"/>
          <w:highlight w:val="none"/>
        </w:rPr>
        <w:t xml:space="preserve">1.建设期的质量保证</w:t>
      </w:r>
      <w:bookmarkEnd w:id="109"/>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（1）中标人不得以任何形式转包于他方。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（2）系统和设备达不到招标文件质量和规格要求的，采购人有权解除合同，所有责任由中标人承担。</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（3）中标人必须严格按照合同约定工期要求将合同设备全部交付到指定地点，完成系统所有建设内容。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（4）报价中标人必须提供详细的仪器、设备和采用的各种材料明细清单，包括品牌、型号、详细配置、制造商、数量、备品备件及专用工具等等。</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（5）为确保系统高质量建设，中标人应制定有关建设期间的质量保证计划，包括系统设计与施工规范化管理、仪器设备质量保证、技术人员资质及管理等。中标人必须提供详细的项目管理组织构架。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2.仪器准确度、精密度要求</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（1）准确度要求：</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按照国家相关标准规范进行考核。</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（2）精密度要求：</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按照国家相关标准规范进行考核。</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供应商要自行对现场和周围环境进行实地踏勘，以获取有关编制响应文件和签订合同所需的各项资料。供应商应承担现场踏勘的责任和风险，费用自行承担。中标后和签订合同时及实施过程中，中标人均不得以不了解现场情况为由，提出任何形式增加费用的要求。</w:t>
      </w:r>
      <w:r/>
    </w:p>
    <w:p>
      <w:pPr>
        <w:ind w:firstLine="560"/>
        <w:spacing w:line="500" w:lineRule="exact"/>
        <w:rPr>
          <w:rFonts w:ascii="黑体" w:hAnsi="黑体" w:eastAsia="黑体"/>
          <w:bCs/>
          <w:color w:val="auto"/>
          <w:sz w:val="28"/>
          <w:szCs w:val="28"/>
          <w:highlight w:val="none"/>
        </w:rPr>
        <w:outlineLvl w:val="1"/>
      </w:pPr>
      <w:r/>
      <w:bookmarkStart w:id="110" w:name="_Toc11081"/>
      <w:r>
        <w:rPr>
          <w:rFonts w:hint="eastAsia" w:ascii="黑体" w:hAnsi="黑体" w:eastAsia="黑体"/>
          <w:bCs/>
          <w:color w:val="auto"/>
          <w:sz w:val="28"/>
          <w:szCs w:val="28"/>
          <w:highlight w:val="none"/>
        </w:rPr>
        <w:t xml:space="preserve">五、交货期限和地点</w:t>
      </w:r>
      <w:bookmarkEnd w:id="110"/>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 签定合同日期：自中标（成交）公告结束后30日内按时签约。</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交货期：</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采购包1：自合同签定之日起45天内完成安装、调试及数据联网。</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采购包2：自合同签定之日起30天内完成安装、调试。</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3.交货地点：采购人指定地点。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产品须为全新、未使用过的原装合格正品。安装质量符合各项现行技术规范和强制性标准。货物由成交供应商负责办理运输、装卸、安装、调试等，所有费用由成交供应商负责。采购方组织验收，检验不合格或不符合质量要求，成交供应商除无条件退货、返工外，还应承担采购方由此造成的一切损失。</w:t>
      </w:r>
      <w:r/>
    </w:p>
    <w:p>
      <w:pPr>
        <w:ind w:firstLine="560"/>
        <w:spacing w:line="500" w:lineRule="exact"/>
        <w:rPr>
          <w:rFonts w:ascii="黑体" w:hAnsi="黑体" w:eastAsia="黑体"/>
          <w:bCs/>
          <w:color w:val="auto"/>
          <w:sz w:val="28"/>
          <w:szCs w:val="28"/>
          <w:highlight w:val="none"/>
        </w:rPr>
        <w:outlineLvl w:val="1"/>
      </w:pPr>
      <w:r/>
      <w:bookmarkStart w:id="111" w:name="_Toc26290"/>
      <w:r>
        <w:rPr>
          <w:rFonts w:hint="eastAsia" w:ascii="黑体" w:hAnsi="黑体" w:eastAsia="黑体"/>
          <w:bCs/>
          <w:color w:val="auto"/>
          <w:sz w:val="28"/>
          <w:szCs w:val="28"/>
          <w:highlight w:val="none"/>
        </w:rPr>
        <w:t xml:space="preserve">六、验收方案</w:t>
      </w:r>
      <w:bookmarkEnd w:id="111"/>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1.验收标准：</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按照国家及江苏省相关规范进行验收。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2.验收内容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项目的验收报告，报告内容包含但不限于：①供货清单；②安装调试情况；③试运行情况；④其他辅助设备运行报告；⑤培训情况；⑥所有仪器设备技术资料；⑦其他符合相关规范的资料（包括防雷报告等）。</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 验收方式</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此项目建设完成试运行期满后（联网调试完成后水站进入试运行，试运行应连续运行不少于 30 d），成交方须提供验收报告和书面申请，采购方在30个工作日内及时组织相关专业技术人员，必要时邀请相关职能部门共同参与验收（所产生费用均由中标人承担），并出具验收意见，作为支付货款的依据。</w:t>
      </w:r>
      <w:r/>
    </w:p>
    <w:p>
      <w:pPr>
        <w:ind w:firstLine="560"/>
        <w:spacing w:line="500" w:lineRule="exact"/>
        <w:rPr>
          <w:rFonts w:ascii="黑体" w:hAnsi="黑体" w:eastAsia="黑体"/>
          <w:bCs/>
          <w:color w:val="auto"/>
          <w:sz w:val="28"/>
          <w:szCs w:val="28"/>
          <w:highlight w:val="none"/>
        </w:rPr>
        <w:outlineLvl w:val="1"/>
      </w:pPr>
      <w:r/>
      <w:bookmarkStart w:id="112" w:name="_Toc24800"/>
      <w:r>
        <w:rPr>
          <w:rFonts w:hint="eastAsia" w:ascii="黑体" w:hAnsi="黑体" w:eastAsia="黑体"/>
          <w:bCs/>
          <w:color w:val="auto"/>
          <w:sz w:val="28"/>
          <w:szCs w:val="28"/>
          <w:highlight w:val="none"/>
        </w:rPr>
        <w:t xml:space="preserve">七、质量保证期限</w:t>
      </w:r>
      <w:bookmarkEnd w:id="112"/>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采购包1、采购包2：</w:t>
      </w:r>
      <w:r/>
    </w:p>
    <w:p>
      <w:pPr>
        <w:ind w:firstLine="560"/>
        <w:spacing w:line="500" w:lineRule="exact"/>
        <w:rPr>
          <w:rFonts w:ascii="黑体" w:hAnsi="黑体" w:eastAsia="黑体"/>
          <w:bCs/>
          <w:color w:val="auto"/>
          <w:sz w:val="28"/>
          <w:szCs w:val="28"/>
          <w:highlight w:val="none"/>
        </w:rPr>
      </w:pPr>
      <w:r>
        <w:rPr>
          <w:rFonts w:hint="eastAsia" w:ascii="仿宋" w:hAnsi="仿宋" w:eastAsia="仿宋"/>
          <w:bCs/>
          <w:color w:val="auto"/>
          <w:sz w:val="28"/>
          <w:szCs w:val="28"/>
          <w:highlight w:val="none"/>
        </w:rPr>
        <w:t xml:space="preserve">质保期限（自交货并验收合格之日起计）：本项目整体保修3年。</w:t>
      </w:r>
      <w:r/>
    </w:p>
    <w:p>
      <w:pPr>
        <w:ind w:firstLine="560"/>
        <w:spacing w:line="500" w:lineRule="exact"/>
        <w:rPr>
          <w:rFonts w:ascii="黑体" w:hAnsi="黑体" w:eastAsia="黑体"/>
          <w:bCs/>
          <w:color w:val="auto"/>
          <w:sz w:val="28"/>
          <w:szCs w:val="28"/>
          <w:highlight w:val="none"/>
        </w:rPr>
        <w:outlineLvl w:val="1"/>
      </w:pPr>
      <w:r/>
      <w:bookmarkStart w:id="113" w:name="_Toc22790"/>
      <w:r>
        <w:rPr>
          <w:rFonts w:hint="eastAsia" w:ascii="黑体" w:hAnsi="黑体" w:eastAsia="黑体"/>
          <w:bCs/>
          <w:color w:val="auto"/>
          <w:sz w:val="28"/>
          <w:szCs w:val="28"/>
          <w:highlight w:val="none"/>
        </w:rPr>
        <w:t xml:space="preserve">八、售后服务</w:t>
      </w:r>
      <w:bookmarkEnd w:id="113"/>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（一）采购包1售后服务要求</w:t>
      </w:r>
      <w:r/>
    </w:p>
    <w:p>
      <w:pPr>
        <w:ind w:firstLine="560"/>
        <w:spacing w:line="500" w:lineRule="exact"/>
        <w:rPr>
          <w:rFonts w:ascii="仿宋" w:hAnsi="仿宋" w:eastAsia="仿宋"/>
          <w:b/>
          <w:color w:val="auto"/>
          <w:sz w:val="28"/>
          <w:szCs w:val="28"/>
          <w:highlight w:val="none"/>
        </w:rPr>
      </w:pPr>
      <w:r>
        <w:rPr>
          <w:rFonts w:hint="eastAsia" w:ascii="仿宋" w:hAnsi="仿宋" w:eastAsia="仿宋"/>
          <w:bCs/>
          <w:color w:val="auto"/>
          <w:sz w:val="28"/>
          <w:szCs w:val="28"/>
          <w:highlight w:val="none"/>
        </w:rPr>
        <w:t xml:space="preserve">1.本项目质保范围及具体要求：质保期内，中标人向采购人提供7×24小时质保、维护、管理服务，并免费提供日常维护、维修服务及配件（含试剂、配件），所有配件须为原厂配件。中标人应提供主要零部件和耗材清单，并提供承诺函保证质保期内相应零部件和耗材、试剂等稳定供应。质保期内如仪器无法保证正常使用，则需在20个工作日内更换一台同一型号全新的仪器（提供承诺函）。质保期满后，仪器终身维修，并保证零配件不高于同期市场价的7折优惠供应（同期市场价指采购人市场询价3家及以上供应商该配件的平均价）。</w:t>
      </w:r>
      <w:r>
        <w:rPr>
          <w:rFonts w:hint="eastAsia" w:ascii="仿宋" w:hAnsi="仿宋" w:eastAsia="仿宋"/>
          <w:b/>
          <w:color w:val="auto"/>
          <w:sz w:val="28"/>
          <w:szCs w:val="28"/>
          <w:highlight w:val="none"/>
        </w:rPr>
        <w:t xml:space="preserve">须承诺提供长期技术服务及备品备件供应（仪器使用期间），提供承诺函，格式自拟，不提供视为无效投标。</w:t>
      </w:r>
      <w:r/>
    </w:p>
    <w:p>
      <w:pPr>
        <w:ind w:firstLine="560"/>
        <w:spacing w:line="500" w:lineRule="exact"/>
        <w:shd w:val="clear" w:color="auto" w:fill="ffffff"/>
        <w:widowControl/>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2.在保修期内，中标人在接到用户维修电话通知后，应当在1小时内响应，1个工作日内负责修复。</w:t>
      </w:r>
      <w:r/>
    </w:p>
    <w:p>
      <w:pPr>
        <w:ind w:firstLine="560"/>
        <w:spacing w:line="500" w:lineRule="exact"/>
        <w:shd w:val="clear" w:color="auto" w:fill="ffffff"/>
        <w:widowControl/>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3.中标人必须组织相关的仪器设备现场培训，6年内，采购人如发生操作人员变动必须无偿提供专业的现场培训。</w:t>
      </w:r>
      <w:r/>
    </w:p>
    <w:p>
      <w:pPr>
        <w:ind w:firstLine="560"/>
        <w:spacing w:line="500" w:lineRule="exact"/>
        <w:shd w:val="clear" w:color="auto" w:fill="ffffff"/>
        <w:widowControl/>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4.设备交货期书面承诺，项目要求：自合同签定之日起45天内完成安装、调试、数据联网。（见参考格式）</w:t>
      </w:r>
      <w:r/>
    </w:p>
    <w:p>
      <w:pPr>
        <w:ind w:firstLine="560"/>
        <w:spacing w:line="500" w:lineRule="exact"/>
        <w:shd w:val="clear" w:color="auto" w:fill="ffffff"/>
        <w:widowControl/>
        <w:rPr>
          <w:rFonts w:ascii="仿宋" w:hAnsi="仿宋" w:eastAsia="仿宋"/>
          <w:bCs/>
          <w:color w:val="auto"/>
          <w:sz w:val="28"/>
          <w:szCs w:val="28"/>
          <w:highlight w:val="none"/>
        </w:rPr>
      </w:pPr>
      <w:r>
        <w:rPr>
          <w:rFonts w:ascii="仿宋" w:hAnsi="仿宋" w:eastAsia="仿宋"/>
          <w:bCs/>
          <w:color w:val="auto"/>
          <w:sz w:val="28"/>
          <w:szCs w:val="28"/>
          <w:highlight w:val="none"/>
        </w:rPr>
      </w:r>
      <w:r/>
    </w:p>
    <w:tbl>
      <w:tblPr>
        <w:tblStyle w:val="875"/>
        <w:tblW w:w="949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97"/>
      </w:tblGrid>
      <w:tr>
        <w:trPr/>
        <w:tc>
          <w:tcPr>
            <w:tcBorders>
              <w:top w:val="single" w:color="auto" w:sz="4" w:space="0"/>
              <w:left w:val="single" w:color="auto" w:sz="4" w:space="0"/>
              <w:bottom w:val="single" w:color="auto" w:sz="4" w:space="0"/>
              <w:right w:val="single" w:color="auto" w:sz="4" w:space="0"/>
            </w:tcBorders>
            <w:tcW w:w="9497" w:type="dxa"/>
            <w:textDirection w:val="lrTb"/>
            <w:noWrap/>
          </w:tcPr>
          <w:p>
            <w:pPr>
              <w:ind w:firstLine="562"/>
              <w:jc w:val="center"/>
              <w:spacing w:line="460" w:lineRule="exact"/>
              <w:rPr>
                <w:rFonts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设备交货期书面承诺</w:t>
            </w:r>
            <w:r/>
          </w:p>
          <w:p>
            <w:pPr>
              <w:spacing w:line="460" w:lineRule="exact"/>
              <w:rPr>
                <w:rFonts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采购人名称：</w:t>
            </w:r>
            <w:r/>
          </w:p>
          <w:p>
            <w:pPr>
              <w:ind w:firstLine="562"/>
              <w:spacing w:line="460" w:lineRule="exact"/>
              <w:rPr>
                <w:rFonts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如果我公司有幸中标，自合同签定之日起45天完成安装、调试、数据联网。如不能按期完成，按虚假投标处理。</w:t>
            </w:r>
            <w:r/>
          </w:p>
          <w:p>
            <w:pPr>
              <w:ind w:firstLine="562"/>
              <w:jc w:val="right"/>
              <w:spacing w:line="460" w:lineRule="exact"/>
              <w:rPr>
                <w:rFonts w:ascii="仿宋" w:hAnsi="仿宋" w:eastAsia="仿宋" w:cs="仿宋"/>
                <w:b/>
                <w:bCs w:val="0"/>
                <w:color w:val="auto"/>
                <w:sz w:val="28"/>
                <w:szCs w:val="28"/>
                <w:highlight w:val="none"/>
              </w:rPr>
            </w:pPr>
            <w:r>
              <w:rPr>
                <w:rFonts w:ascii="仿宋" w:hAnsi="仿宋" w:eastAsia="仿宋" w:cs="仿宋"/>
                <w:b/>
                <w:bCs w:val="0"/>
                <w:color w:val="auto"/>
                <w:sz w:val="28"/>
                <w:szCs w:val="28"/>
                <w:highlight w:val="none"/>
              </w:rPr>
            </w:r>
            <w:r/>
          </w:p>
          <w:p>
            <w:pPr>
              <w:ind w:firstLine="562"/>
              <w:jc w:val="right"/>
              <w:spacing w:line="460" w:lineRule="exact"/>
              <w:rPr>
                <w:rFonts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   供应商名称(单位公章)</w:t>
            </w:r>
            <w:r/>
          </w:p>
          <w:p>
            <w:pPr>
              <w:ind w:firstLine="562"/>
              <w:jc w:val="right"/>
              <w:spacing w:line="460" w:lineRule="exact"/>
              <w:rPr>
                <w:rFonts w:ascii="仿宋" w:hAnsi="仿宋" w:eastAsia="仿宋" w:cs="仿宋"/>
                <w:bCs/>
                <w:color w:val="auto"/>
                <w:sz w:val="28"/>
                <w:szCs w:val="28"/>
                <w:highlight w:val="none"/>
              </w:rPr>
            </w:pPr>
            <w:r>
              <w:rPr>
                <w:rFonts w:hint="eastAsia" w:ascii="仿宋" w:hAnsi="仿宋" w:eastAsia="仿宋" w:cs="仿宋"/>
                <w:b/>
                <w:bCs w:val="0"/>
                <w:color w:val="auto"/>
                <w:sz w:val="28"/>
                <w:szCs w:val="28"/>
                <w:highlight w:val="none"/>
              </w:rPr>
              <w:t xml:space="preserve">2026年    月    </w:t>
            </w:r>
            <w:r>
              <w:rPr>
                <w:rFonts w:hint="eastAsia" w:ascii="仿宋" w:hAnsi="仿宋" w:eastAsia="仿宋" w:cs="仿宋"/>
                <w:bCs/>
                <w:color w:val="auto"/>
                <w:sz w:val="28"/>
                <w:szCs w:val="28"/>
                <w:highlight w:val="none"/>
              </w:rPr>
              <w:t xml:space="preserve">日</w:t>
            </w:r>
            <w:r/>
          </w:p>
        </w:tc>
      </w:tr>
    </w:tbl>
    <w:p>
      <w:pPr>
        <w:ind w:firstLine="560"/>
        <w:spacing w:line="5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（二）采购包2售后服务要求</w:t>
      </w:r>
      <w:r/>
    </w:p>
    <w:p>
      <w:pPr>
        <w:ind w:firstLine="562"/>
        <w:spacing w:line="500" w:lineRule="exact"/>
        <w:rPr>
          <w:rFonts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1.所投飞行器保险：每年保障额度≥55000元，在保障额度内可享受不限次数的免费维修或置换服务，直至保障额度用完为止，共计三年。</w:t>
      </w:r>
      <w:r/>
    </w:p>
    <w:p>
      <w:pPr>
        <w:ind w:firstLine="562"/>
        <w:spacing w:line="500" w:lineRule="exact"/>
        <w:rPr>
          <w:rFonts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2.所投云台相机保险：保障额度≥63250元，在保障额度内可享受不限次数的免费维修或置换服务，直至保障额度用完为止，共计三年。</w:t>
      </w:r>
      <w:r/>
    </w:p>
    <w:p>
      <w:pPr>
        <w:ind w:firstLine="562"/>
        <w:spacing w:line="500" w:lineRule="exact"/>
        <w:rPr>
          <w:rFonts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3.培训考证：须飞行器培训设备及取得民用无人驾驶航空器操控员执照CAAC，共计4人。</w:t>
      </w:r>
      <w:r/>
    </w:p>
    <w:p>
      <w:pPr>
        <w:pStyle w:val="890"/>
        <w:rPr>
          <w:rFonts w:eastAsia="仿宋"/>
          <w:bCs/>
          <w:color w:val="auto"/>
          <w:highlight w:val="none"/>
        </w:rPr>
      </w:pPr>
      <w:r>
        <w:rPr>
          <w:rFonts w:hint="eastAsia" w:ascii="仿宋" w:hAnsi="仿宋" w:eastAsia="仿宋" w:cs="仿宋"/>
          <w:b/>
          <w:color w:val="auto"/>
          <w:sz w:val="28"/>
          <w:szCs w:val="28"/>
          <w:highlight w:val="none"/>
        </w:rPr>
        <w:t xml:space="preserve">以上1-3须在投标文件中提供承诺函（格式自拟），不提供视为无效投标。</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4.</w:t>
      </w:r>
      <w:r>
        <w:rPr>
          <w:rFonts w:hint="eastAsia" w:ascii="仿宋" w:hAnsi="仿宋" w:eastAsia="仿宋"/>
          <w:bCs/>
          <w:color w:val="auto"/>
          <w:sz w:val="28"/>
          <w:szCs w:val="28"/>
          <w:highlight w:val="none"/>
        </w:rPr>
        <w:t xml:space="preserve">提供产品售后服务机构名称、地址，以及专业技术人员名单和联系电话；</w:t>
      </w:r>
      <w:r/>
    </w:p>
    <w:p>
      <w:pPr>
        <w:pStyle w:val="920"/>
        <w:ind w:firstLine="56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5.保修期内：24小时作出相应的问题答复；如电话不能解决问题，维修人员将在3个工作日内到达现场（视用户地理位置而定）如果仍未解决问题的，厂家需要提供相同性能仪器，在维修期内供用户免费备用。</w:t>
      </w:r>
      <w:r/>
    </w:p>
    <w:p>
      <w:pPr>
        <w:pStyle w:val="920"/>
        <w:ind w:firstLine="56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6.成交供应商须到采购方提供现场免费安装、调试设备，进行操作试验，直至运行正常，为仪器操作人员提供必须的免费的操作及维护培训，仪器运转正常后可免培训费提供人员培训。</w:t>
      </w:r>
      <w:r/>
    </w:p>
    <w:p>
      <w:pPr>
        <w:ind w:firstLine="560"/>
        <w:spacing w:line="500" w:lineRule="exact"/>
        <w:rPr>
          <w:rFonts w:ascii="黑体" w:hAnsi="黑体" w:eastAsia="黑体"/>
          <w:bCs/>
          <w:color w:val="auto"/>
          <w:sz w:val="28"/>
          <w:szCs w:val="28"/>
          <w:highlight w:val="none"/>
        </w:rPr>
        <w:outlineLvl w:val="1"/>
      </w:pPr>
      <w:r/>
      <w:bookmarkStart w:id="114" w:name="_Toc14513"/>
      <w:r>
        <w:rPr>
          <w:rFonts w:hint="eastAsia" w:ascii="黑体" w:hAnsi="黑体" w:eastAsia="黑体"/>
          <w:bCs/>
          <w:color w:val="auto"/>
          <w:sz w:val="28"/>
          <w:szCs w:val="28"/>
          <w:highlight w:val="none"/>
        </w:rPr>
        <w:t xml:space="preserve">九、付款方式（采购包1、采购包2）</w:t>
      </w:r>
      <w:bookmarkEnd w:id="114"/>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合同签订后预付合同金额40%，设备安装、调试、培训、验收合格后支付全同金额60%，每次支付前，中标人均应出具在税务部门开具的正式发票。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履约保证金：按中标金额的10%收取，尾款支付前供应商将履约保证金支付至单位指定账户，中标人可以选择以支票、汇票、本票或者金融机构、担保机构出具的保函、履约保证金保险等非现金形式。自验收合格之日起满24个月，若设备性能良好一次性退回</w:t>
      </w:r>
      <w:r>
        <w:rPr>
          <w:rFonts w:hint="eastAsia" w:ascii="仿宋" w:hAnsi="仿宋" w:eastAsia="仿宋" w:cs="宋体"/>
          <w:bCs/>
          <w:color w:val="auto"/>
          <w:sz w:val="28"/>
          <w:szCs w:val="28"/>
          <w:highlight w:val="none"/>
        </w:rPr>
        <w:t xml:space="preserve">履约保证金</w:t>
      </w:r>
      <w:r>
        <w:rPr>
          <w:rFonts w:hint="eastAsia" w:ascii="仿宋" w:hAnsi="仿宋" w:eastAsia="仿宋"/>
          <w:bCs/>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outlineLvl w:val="1"/>
      </w:pPr>
      <w:r/>
      <w:bookmarkStart w:id="115" w:name="_Toc3276"/>
      <w:r>
        <w:rPr>
          <w:rFonts w:hint="eastAsia" w:ascii="黑体" w:hAnsi="黑体" w:eastAsia="黑体"/>
          <w:bCs/>
          <w:color w:val="auto"/>
          <w:sz w:val="28"/>
          <w:szCs w:val="28"/>
          <w:highlight w:val="none"/>
        </w:rPr>
        <w:t xml:space="preserve">十、其他要求</w:t>
      </w:r>
      <w:bookmarkEnd w:id="115"/>
      <w:r/>
      <w:r/>
    </w:p>
    <w:p>
      <w:pPr>
        <w:ind w:firstLine="560"/>
        <w:jc w:val="left"/>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（一）报价要求：</w:t>
      </w:r>
      <w:r/>
    </w:p>
    <w:p>
      <w:pPr>
        <w:ind w:firstLine="560"/>
        <w:jc w:val="left"/>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报价要求：报价人报价应包含设备的制造、包装、运输、装卸、保险、验收、安装调试（试运行）、售后服务、人员培训、检验、税金、代理服务费等与本项目相关的一切费用。成交价之外采购人不再支付任何费用。</w:t>
      </w:r>
      <w:r/>
    </w:p>
    <w:p>
      <w:pPr>
        <w:ind w:firstLine="56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（二）报价含响应供应商为完成采购文件全部要求内容应承担的一切成本、费用和支出以及供应商的合理利润等交付使用前一切费用。不接受选择性报价。</w:t>
      </w:r>
      <w:r/>
    </w:p>
    <w:p>
      <w:pPr>
        <w:contextualSpacing/>
        <w:ind w:firstLine="560"/>
        <w:spacing w:line="500" w:lineRule="exact"/>
        <w:shd w:val="clear" w:color="auto" w:fill="ffffff"/>
        <w:widowControl/>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（三）供应商中标后应保证在本项目中心站数据信息平台的任何产品使用（包括部分使用）时，不会产生因第三方提出侵犯其专利权、商标权或其它知识产权而引起的法律和经济纠纷。</w:t>
      </w:r>
      <w:r/>
    </w:p>
    <w:p>
      <w:pPr>
        <w:contextualSpacing/>
        <w:ind w:firstLine="560"/>
        <w:spacing w:line="500" w:lineRule="exact"/>
        <w:shd w:val="clear" w:color="auto" w:fill="ffffff"/>
        <w:widowControl/>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（四）供应商中标后需向采购人开放数据库访问协议，以保证系统与其他业务系统集成时，其他业务系统无障碍将环境信息接入系统。同时，原先系统集成商须无条件开放系统协议，供中标人设备接入原系统。</w:t>
      </w:r>
      <w:r/>
    </w:p>
    <w:p>
      <w:pPr>
        <w:contextualSpacing/>
        <w:ind w:firstLine="560"/>
        <w:spacing w:line="500" w:lineRule="exact"/>
        <w:shd w:val="clear" w:color="auto" w:fill="ffffff"/>
        <w:widowControl/>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五）如采用中标人所不拥有的知识产权，则在投标价中必须包括合法获取该知识产权的相关费用。如用到第三方中间件，中标后需提供第三方原厂对本项目的授权证书。中标人应自觉维护委托单位的利益，不得向任何单位和个人泄漏从委托单位获得的数据，不得将所掌握的数据用于其他商业用途谋取私利。</w:t>
      </w:r>
      <w:r/>
    </w:p>
    <w:p>
      <w:pPr>
        <w:contextualSpacing/>
        <w:ind w:firstLine="560"/>
        <w:spacing w:line="500" w:lineRule="exact"/>
        <w:shd w:val="clear" w:color="auto" w:fill="ffffff"/>
        <w:widowControl/>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六）试运行期间，中标人应进行全程跟踪，提供全面技术支持服务，确保试运行的顺利进行。在试运行期间，中标人应当根据采购人的要求，不断修改和完善系统功能和性能，直至采购人满意。如发生故障给采购人造成损失的，中标人应当承担损失赔偿责任。</w:t>
      </w:r>
      <w:r/>
    </w:p>
    <w:p>
      <w:pPr>
        <w:contextualSpacing/>
        <w:ind w:firstLine="560"/>
        <w:spacing w:line="500" w:lineRule="exact"/>
        <w:shd w:val="clear" w:color="auto" w:fill="ffffff"/>
        <w:widowControl/>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（七）项目交付的同时需完成文档交付工作。</w:t>
      </w:r>
      <w:r/>
    </w:p>
    <w:p>
      <w:pPr>
        <w:contextualSpacing/>
        <w:ind w:firstLine="560"/>
        <w:spacing w:line="500" w:lineRule="exact"/>
        <w:shd w:val="clear" w:color="auto" w:fill="ffffff"/>
        <w:widowControl/>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（八）现场踏勘时间、地点</w:t>
      </w:r>
      <w:r/>
    </w:p>
    <w:p>
      <w:pPr>
        <w:contextualSpacing/>
        <w:ind w:firstLine="560"/>
        <w:spacing w:line="500" w:lineRule="exact"/>
        <w:shd w:val="clear" w:color="auto" w:fill="ffffff"/>
        <w:widowControl/>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项目不组织现场踏勘。投标人可自行前往现场查看相关情况，遵守采购人相关要求，并不得影响采购人正常工作秩序。中标后，投标人不得以现场情况未了解清楚为由向采购人提出提升投标报价或其他任何要求。投标时须提供现场踏勘承诺函。</w:t>
      </w:r>
      <w:r/>
    </w:p>
    <w:p>
      <w:pPr>
        <w:contextualSpacing/>
        <w:ind w:firstLine="560"/>
        <w:spacing w:line="500" w:lineRule="exact"/>
        <w:shd w:val="clear" w:color="auto" w:fill="ffffff"/>
        <w:widowControl/>
        <w:rPr>
          <w:rFonts w:ascii="仿宋" w:hAnsi="仿宋" w:eastAsia="仿宋"/>
          <w:bCs/>
          <w:color w:val="auto"/>
          <w:sz w:val="28"/>
          <w:szCs w:val="28"/>
          <w:highlight w:val="none"/>
        </w:rPr>
      </w:pPr>
      <w:r>
        <w:rPr>
          <w:rFonts w:ascii="仿宋" w:hAnsi="仿宋" w:eastAsia="仿宋"/>
          <w:bCs/>
          <w:color w:val="auto"/>
          <w:sz w:val="28"/>
          <w:szCs w:val="28"/>
          <w:highlight w:val="none"/>
        </w:rPr>
      </w:r>
      <w:r/>
    </w:p>
    <w:p>
      <w:pPr>
        <w:contextualSpacing/>
        <w:ind w:firstLine="562"/>
        <w:shd w:val="clear" w:color="auto" w:fill="ffffff"/>
        <w:widowControl/>
        <w:rPr>
          <w:rFonts w:ascii="仿宋" w:hAnsi="仿宋" w:eastAsia="仿宋"/>
          <w:b/>
          <w:color w:val="auto"/>
          <w:sz w:val="28"/>
          <w:szCs w:val="28"/>
          <w:highlight w:val="none"/>
        </w:rPr>
      </w:pPr>
      <w:r>
        <w:rPr>
          <w:rFonts w:ascii="仿宋" w:hAnsi="仿宋" w:eastAsia="仿宋"/>
          <w:b/>
          <w:color w:val="auto"/>
          <w:sz w:val="28"/>
          <w:szCs w:val="28"/>
          <w:highlight w:val="none"/>
        </w:rPr>
      </w:r>
      <w:r/>
    </w:p>
    <w:p>
      <w:pPr>
        <w:pStyle w:val="912"/>
        <w:ind w:firstLine="0"/>
        <w:jc w:val="center"/>
        <w:spacing w:line="240" w:lineRule="auto"/>
        <w:rPr>
          <w:rFonts w:ascii="方正小标宋简体" w:eastAsia="方正小标宋简体"/>
          <w:b/>
          <w:color w:val="auto"/>
          <w:sz w:val="32"/>
          <w:szCs w:val="32"/>
          <w:highlight w:val="none"/>
        </w:rPr>
        <w:outlineLvl w:val="0"/>
      </w:pPr>
      <w:r>
        <w:rPr>
          <w:rFonts w:ascii="方正小标宋简体" w:eastAsia="方正小标宋简体"/>
          <w:b/>
          <w:color w:val="auto"/>
          <w:sz w:val="32"/>
          <w:szCs w:val="32"/>
          <w:highlight w:val="none"/>
        </w:rPr>
        <w:br w:type="page" w:clear="all"/>
      </w:r>
      <w:bookmarkStart w:id="116" w:name="_Toc5336"/>
      <w:r>
        <w:rPr>
          <w:rFonts w:hint="eastAsia" w:ascii="方正小标宋简体" w:eastAsia="方正小标宋简体"/>
          <w:b/>
          <w:color w:val="auto"/>
          <w:sz w:val="32"/>
          <w:szCs w:val="32"/>
          <w:highlight w:val="none"/>
        </w:rPr>
        <w:t xml:space="preserve">第4章 合同文本</w:t>
      </w:r>
      <w:bookmarkEnd w:id="116"/>
      <w:r/>
      <w:r/>
    </w:p>
    <w:p>
      <w:pPr>
        <w:jc w:val="center"/>
        <w:spacing w:before="19"/>
        <w:widowControl/>
        <w:rPr>
          <w:rFonts w:ascii="方正小标宋简体" w:eastAsia="方正小标宋简体"/>
          <w:b/>
          <w:color w:val="auto"/>
          <w:sz w:val="32"/>
          <w:szCs w:val="32"/>
          <w:highlight w:val="none"/>
        </w:rPr>
      </w:pPr>
      <w:r>
        <w:rPr>
          <w:rFonts w:hint="eastAsia" w:ascii="方正小标宋简体" w:eastAsia="方正小标宋简体"/>
          <w:b/>
          <w:color w:val="auto"/>
          <w:sz w:val="32"/>
          <w:szCs w:val="32"/>
          <w:highlight w:val="none"/>
        </w:rPr>
        <w:t xml:space="preserve">如皋市政府采购合同</w:t>
      </w:r>
      <w:r/>
    </w:p>
    <w:p>
      <w:p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甲方 : 南通市如皋生态环境局</w:t>
      </w:r>
      <w:r/>
    </w:p>
    <w:p>
      <w:p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乙方 : </w:t>
      </w:r>
      <w:r/>
    </w:p>
    <w:p>
      <w:pPr>
        <w:spacing w:before="19"/>
        <w:widowControl/>
        <w:rPr>
          <w:rFonts w:ascii="仿宋_GB2312" w:hAnsi="宋体" w:eastAsia="仿宋_GB2312"/>
          <w:bCs/>
          <w:color w:val="auto"/>
          <w:sz w:val="24"/>
          <w:highlight w:val="none"/>
        </w:rPr>
      </w:pPr>
      <w:r>
        <w:rPr>
          <w:rFonts w:hint="eastAsia" w:ascii="仿宋_GB2312" w:hAnsi="宋体" w:eastAsia="仿宋_GB2312"/>
          <w:bCs/>
          <w:color w:val="auto"/>
          <w:sz w:val="24"/>
          <w:highlight w:val="none"/>
        </w:rPr>
        <w:t xml:space="preserve">（南通市如皋生态环境局）（</w:t>
      </w:r>
      <w:r>
        <w:rPr>
          <w:rFonts w:hint="eastAsia" w:ascii="仿宋_GB2312" w:hAnsi="宋体" w:eastAsia="仿宋_GB2312"/>
          <w:bCs/>
          <w:color w:val="auto"/>
          <w:sz w:val="24"/>
          <w:highlight w:val="none"/>
        </w:rPr>
        <w:t xml:space="preserve">如皋市水源地水质自动监测监控预警能力提升建设项目项目）委托（南通泾天纬地项目管理有限公司）进行了政府采购。按照评委会评审推荐、甲方确定乙方为中标单位。现甲乙双方协商同意签订本合同。</w:t>
      </w:r>
      <w:r>
        <w:rPr>
          <w:rFonts w:ascii="仿宋_GB2312" w:hAnsi="宋体" w:eastAsia="仿宋_GB2312"/>
          <w:bCs/>
          <w:color w:val="auto"/>
          <w:sz w:val="24"/>
          <w:highlight w:val="none"/>
        </w:rPr>
      </w:r>
      <w:r/>
    </w:p>
    <w:p>
      <w:pPr>
        <w:numPr>
          <w:ilvl w:val="0"/>
          <w:numId w:val="1"/>
        </w:numPr>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rPr>
        <w:t xml:space="preserve">货物及其数量如下表：</w:t>
      </w:r>
      <w:r/>
    </w:p>
    <w:tbl>
      <w:tblPr>
        <w:tblStyle w:val="875"/>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510"/>
        </w:trPr>
        <w:tc>
          <w:tcPr>
            <w:tcW w:w="1580"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货物名称</w:t>
            </w:r>
            <w:r/>
          </w:p>
        </w:tc>
        <w:tc>
          <w:tcPr>
            <w:tcW w:w="3256"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规格型号</w:t>
            </w:r>
            <w:r/>
          </w:p>
        </w:tc>
        <w:tc>
          <w:tcPr>
            <w:tcW w:w="769"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单位</w:t>
            </w:r>
            <w:r/>
          </w:p>
        </w:tc>
        <w:tc>
          <w:tcPr>
            <w:tcW w:w="769"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数量</w:t>
            </w:r>
            <w:r/>
          </w:p>
        </w:tc>
        <w:tc>
          <w:tcPr>
            <w:tcW w:w="1203"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单价</w:t>
            </w:r>
            <w:r/>
          </w:p>
        </w:tc>
        <w:tc>
          <w:tcPr>
            <w:tcW w:w="1425"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总价</w:t>
            </w:r>
            <w:r/>
          </w:p>
        </w:tc>
      </w:tr>
      <w:tr>
        <w:trPr>
          <w:cantSplit/>
          <w:jc w:val="center"/>
          <w:trHeight w:val="510"/>
        </w:trPr>
        <w:tc>
          <w:tcPr>
            <w:tcW w:w="1580"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c>
          <w:tcPr>
            <w:tcW w:w="3256"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c>
          <w:tcPr>
            <w:tcW w:w="769"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c>
          <w:tcPr>
            <w:tcW w:w="769"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c>
          <w:tcPr>
            <w:tcW w:w="1203"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c>
          <w:tcPr>
            <w:tcW w:w="1425"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r>
      <w:tr>
        <w:trPr>
          <w:cantSplit/>
          <w:jc w:val="center"/>
          <w:trHeight w:val="510"/>
        </w:trPr>
        <w:tc>
          <w:tcPr>
            <w:tcW w:w="1580"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c>
          <w:tcPr>
            <w:tcW w:w="3256"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c>
          <w:tcPr>
            <w:tcW w:w="769"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c>
          <w:tcPr>
            <w:tcW w:w="769"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c>
          <w:tcPr>
            <w:tcW w:w="1203"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c>
          <w:tcPr>
            <w:tcW w:w="1425"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r>
      <w:tr>
        <w:trPr>
          <w:cantSplit/>
          <w:jc w:val="center"/>
          <w:trHeight w:val="510"/>
        </w:trPr>
        <w:tc>
          <w:tcPr>
            <w:tcW w:w="1580" w:type="dxa"/>
            <w:vAlign w:val="center"/>
            <w:textDirection w:val="lrTb"/>
            <w:noWrap w:val="false"/>
          </w:tcPr>
          <w:p>
            <w:pPr>
              <w:rPr>
                <w:rFonts w:ascii="仿宋" w:hAnsi="仿宋" w:eastAsia="仿宋"/>
                <w:bCs/>
                <w:color w:val="auto"/>
                <w:sz w:val="24"/>
                <w:highlight w:val="none"/>
              </w:rPr>
            </w:pPr>
            <w:r>
              <w:rPr>
                <w:rFonts w:hint="eastAsia" w:ascii="仿宋" w:hAnsi="仿宋" w:eastAsia="仿宋"/>
                <w:bCs/>
                <w:color w:val="auto"/>
                <w:sz w:val="24"/>
                <w:highlight w:val="none"/>
              </w:rPr>
              <w:t xml:space="preserve">总      计</w:t>
            </w:r>
            <w:r/>
          </w:p>
        </w:tc>
        <w:tc>
          <w:tcPr>
            <w:gridSpan w:val="3"/>
            <w:tcW w:w="4794" w:type="dxa"/>
            <w:vAlign w:val="center"/>
            <w:textDirection w:val="lrTb"/>
            <w:noWrap w:val="false"/>
          </w:tcPr>
          <w:p>
            <w:pPr>
              <w:rPr>
                <w:rFonts w:ascii="仿宋" w:hAnsi="仿宋" w:eastAsia="仿宋"/>
                <w:bCs/>
                <w:color w:val="auto"/>
                <w:sz w:val="24"/>
                <w:highlight w:val="none"/>
              </w:rPr>
            </w:pPr>
            <w:r>
              <w:rPr>
                <w:rFonts w:hint="eastAsia" w:ascii="仿宋" w:hAnsi="仿宋" w:eastAsia="仿宋"/>
                <w:bCs/>
                <w:color w:val="auto"/>
                <w:sz w:val="24"/>
                <w:highlight w:val="none"/>
              </w:rPr>
              <w:t xml:space="preserve">（大写）</w:t>
            </w:r>
            <w:r/>
          </w:p>
        </w:tc>
        <w:tc>
          <w:tcPr>
            <w:gridSpan w:val="2"/>
            <w:tcW w:w="2628" w:type="dxa"/>
            <w:vAlign w:val="center"/>
            <w:textDirection w:val="lrTb"/>
            <w:noWrap w:val="false"/>
          </w:tcPr>
          <w:p>
            <w:pPr>
              <w:rPr>
                <w:rFonts w:ascii="仿宋" w:hAnsi="仿宋" w:eastAsia="仿宋"/>
                <w:bCs/>
                <w:color w:val="auto"/>
                <w:sz w:val="24"/>
                <w:highlight w:val="none"/>
              </w:rPr>
            </w:pPr>
            <w:r>
              <w:rPr>
                <w:rFonts w:hint="eastAsia" w:ascii="仿宋" w:hAnsi="仿宋" w:eastAsia="仿宋"/>
                <w:bCs/>
                <w:color w:val="auto"/>
                <w:sz w:val="24"/>
                <w:highlight w:val="none"/>
              </w:rPr>
              <w:t xml:space="preserve">￥</w:t>
            </w:r>
            <w:r/>
          </w:p>
        </w:tc>
      </w:tr>
    </w:tbl>
    <w:p>
      <w:pPr>
        <w:numPr>
          <w:ilvl w:val="0"/>
          <w:numId w:val="1"/>
        </w:num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质保期：</w:t>
      </w:r>
      <w:r/>
    </w:p>
    <w:p>
      <w:pPr>
        <w:numPr>
          <w:ilvl w:val="0"/>
          <w:numId w:val="1"/>
        </w:num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交货时间：</w:t>
      </w:r>
      <w:r/>
    </w:p>
    <w:p>
      <w:pPr>
        <w:numPr>
          <w:ilvl w:val="0"/>
          <w:numId w:val="1"/>
        </w:num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交货地点：</w:t>
      </w:r>
      <w:r/>
    </w:p>
    <w:p>
      <w:pPr>
        <w:numPr>
          <w:ilvl w:val="0"/>
          <w:numId w:val="1"/>
        </w:num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付款：</w:t>
      </w:r>
      <w:r/>
    </w:p>
    <w:p>
      <w:pPr>
        <w:ind w:left="426" w:firstLine="480"/>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u w:val="single"/>
        </w:rPr>
        <w:t xml:space="preserve">合同签订后预付合同金额40%，设备安装、调试、培训、验收合格后支付全同金额60%，每次支付前，中标人均应出具在税务部门开具的正式发票。</w:t>
      </w:r>
      <w:r/>
    </w:p>
    <w:p>
      <w:pPr>
        <w:ind w:left="426" w:firstLine="480"/>
        <w:spacing w:before="19"/>
        <w:widowControl/>
        <w:rPr>
          <w:rFonts w:ascii="仿宋" w:hAnsi="仿宋" w:eastAsia="仿宋"/>
          <w:bCs/>
          <w:color w:val="auto"/>
          <w:sz w:val="24"/>
          <w:highlight w:val="none"/>
        </w:rPr>
      </w:pPr>
      <w:r>
        <w:rPr>
          <w:rFonts w:hint="eastAsia" w:ascii="仿宋" w:hAnsi="仿宋" w:eastAsia="仿宋"/>
          <w:bCs/>
          <w:color w:val="auto"/>
          <w:sz w:val="24"/>
          <w:highlight w:val="none"/>
          <w:u w:val="single"/>
        </w:rPr>
        <w:t xml:space="preserve">履约保证金：按中标金额的10%收取，尾款支付前供应商将履约保证金支付至单位指定账户，中标人可以选择以支票、汇票、本票或者金融机构、担保机构出具的保函、履约保证金保险等非现金形式。自验收合格之日起满24个月，若设备性能良好一次性退回</w:t>
      </w:r>
      <w:r>
        <w:rPr>
          <w:rFonts w:hint="eastAsia" w:ascii="仿宋" w:hAnsi="仿宋" w:eastAsia="仿宋" w:cs="宋体"/>
          <w:bCs/>
          <w:color w:val="auto"/>
          <w:sz w:val="24"/>
          <w:szCs w:val="24"/>
          <w:highlight w:val="none"/>
          <w:u w:val="single"/>
        </w:rPr>
        <w:t xml:space="preserve">履约保证金</w:t>
      </w:r>
      <w:r>
        <w:rPr>
          <w:rFonts w:hint="eastAsia" w:ascii="仿宋" w:hAnsi="仿宋" w:eastAsia="仿宋"/>
          <w:bCs/>
          <w:color w:val="auto"/>
          <w:sz w:val="24"/>
          <w:highlight w:val="none"/>
          <w:u w:val="single"/>
        </w:rPr>
        <w:t xml:space="preserve">。</w:t>
      </w:r>
      <w:r/>
    </w:p>
    <w:p>
      <w:pPr>
        <w:numPr>
          <w:ilvl w:val="0"/>
          <w:numId w:val="1"/>
        </w:num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合同纠纷处理：本合同执行过程中发生纠纷，由甲方和乙方协商处理。</w:t>
      </w:r>
      <w:r/>
    </w:p>
    <w:p>
      <w:pPr>
        <w:numPr>
          <w:ilvl w:val="0"/>
          <w:numId w:val="1"/>
        </w:num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合同生效：本合同由甲乙双方签字盖章后生效。</w:t>
      </w:r>
      <w:r/>
    </w:p>
    <w:p>
      <w:pPr>
        <w:numPr>
          <w:ilvl w:val="0"/>
          <w:numId w:val="1"/>
        </w:num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组成本合同的文件包括：</w:t>
      </w:r>
      <w:r/>
    </w:p>
    <w:p>
      <w:pPr>
        <w:ind w:firstLine="480"/>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1、本合同专用条款；</w:t>
      </w:r>
      <w:r/>
    </w:p>
    <w:p>
      <w:pPr>
        <w:ind w:firstLine="480"/>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2、甲乙双方商定的其他必要文件。</w:t>
      </w:r>
      <w:r/>
    </w:p>
    <w:p>
      <w:p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上述合同文件内容互为补充，如有不明确，由甲方负责解释。</w:t>
      </w:r>
      <w:r/>
    </w:p>
    <w:p>
      <w:p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本合同一式两份，甲方持一份，乙方持一份。</w:t>
      </w:r>
      <w:r/>
    </w:p>
    <w:tbl>
      <w:tblPr>
        <w:tblStyle w:val="875"/>
        <w:tblW w:w="8522" w:type="dxa"/>
        <w:tblInd w:w="0"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rPr>
              <w:t xml:space="preserve">甲方（公章）：南通市如皋生态环境局</w:t>
            </w:r>
            <w:r/>
          </w:p>
          <w:p>
            <w:pPr>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rPr>
              <w:t xml:space="preserve">地址：</w:t>
            </w:r>
            <w:r/>
          </w:p>
          <w:p>
            <w:pPr>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rPr>
              <w:t xml:space="preserve">法定代表人（授权人）：</w:t>
            </w:r>
            <w:r/>
          </w:p>
          <w:p>
            <w:pPr>
              <w:jc w:val="right"/>
              <w:spacing w:before="19"/>
              <w:widowControl/>
              <w:rPr>
                <w:rFonts w:ascii="仿宋" w:hAnsi="仿宋" w:eastAsia="仿宋"/>
                <w:bCs/>
                <w:color w:val="auto"/>
                <w:sz w:val="24"/>
                <w:highlight w:val="none"/>
                <w:u w:val="single"/>
              </w:rPr>
            </w:pPr>
            <w:r>
              <w:rPr>
                <w:rFonts w:ascii="仿宋" w:hAnsi="仿宋" w:eastAsia="仿宋"/>
                <w:bCs/>
                <w:color w:val="auto"/>
                <w:sz w:val="24"/>
                <w:highlight w:val="none"/>
                <w:u w:val="single"/>
              </w:rPr>
            </w:r>
            <w:r/>
          </w:p>
          <w:p>
            <w:pPr>
              <w:jc w:val="right"/>
              <w:spacing w:before="19"/>
              <w:widowControl/>
              <w:rPr>
                <w:rFonts w:ascii="仿宋" w:hAnsi="仿宋" w:eastAsia="仿宋"/>
                <w:bCs/>
                <w:color w:val="auto"/>
                <w:sz w:val="24"/>
                <w:highlight w:val="none"/>
                <w:u w:val="single"/>
              </w:rPr>
            </w:pPr>
            <w:r>
              <w:rPr>
                <w:rFonts w:ascii="仿宋" w:hAnsi="仿宋" w:eastAsia="仿宋"/>
                <w:bCs/>
                <w:color w:val="auto"/>
                <w:sz w:val="24"/>
                <w:highlight w:val="none"/>
                <w:u w:val="single"/>
              </w:rPr>
            </w:r>
            <w:r/>
          </w:p>
          <w:p>
            <w:pPr>
              <w:jc w:val="right"/>
              <w:spacing w:before="19"/>
              <w:widowControl/>
              <w:rPr>
                <w:rFonts w:ascii="仿宋" w:hAnsi="仿宋" w:eastAsia="仿宋"/>
                <w:bCs/>
                <w:color w:val="auto"/>
                <w:sz w:val="24"/>
                <w:highlight w:val="none"/>
                <w:u w:val="single"/>
              </w:rPr>
            </w:pPr>
            <w:r>
              <w:rPr>
                <w:rFonts w:ascii="仿宋" w:hAnsi="仿宋" w:eastAsia="仿宋"/>
                <w:bCs/>
                <w:color w:val="auto"/>
                <w:sz w:val="24"/>
                <w:highlight w:val="none"/>
                <w:u w:val="single"/>
              </w:rPr>
            </w:r>
            <w:r/>
          </w:p>
          <w:p>
            <w:pPr>
              <w:jc w:val="right"/>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年月日</w:t>
            </w:r>
            <w:r/>
          </w:p>
        </w:tc>
        <w:tc>
          <w:tcPr>
            <w:tcW w:w="4261" w:type="dxa"/>
            <w:textDirection w:val="lrTb"/>
            <w:noWrap w:val="false"/>
          </w:tcPr>
          <w:p>
            <w:pPr>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rPr>
              <w:t xml:space="preserve">乙方（公章）：</w:t>
            </w:r>
            <w:r/>
          </w:p>
          <w:p>
            <w:pPr>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rPr>
              <w:t xml:space="preserve">地址：</w:t>
            </w:r>
            <w:r/>
          </w:p>
          <w:p>
            <w:pPr>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rPr>
              <w:t xml:space="preserve">法定代表人（授权人）：</w:t>
            </w:r>
            <w:r/>
          </w:p>
          <w:p>
            <w:pPr>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rPr>
              <w:t xml:space="preserve">户名：</w:t>
            </w:r>
            <w:r/>
          </w:p>
          <w:p>
            <w:pPr>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rPr>
              <w:t xml:space="preserve">开户银行：</w:t>
            </w:r>
            <w:r/>
          </w:p>
          <w:p>
            <w:pPr>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rPr>
              <w:t xml:space="preserve">账号：</w:t>
            </w:r>
            <w:r/>
          </w:p>
          <w:p>
            <w:pPr>
              <w:jc w:val="right"/>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年月日</w:t>
            </w:r>
            <w:r/>
          </w:p>
        </w:tc>
      </w:tr>
    </w:tbl>
    <w:p>
      <w:pPr>
        <w:jc w:val="right"/>
        <w:spacing w:before="19"/>
        <w:widowControl/>
        <w:rPr>
          <w:rFonts w:ascii="仿宋" w:hAnsi="仿宋" w:eastAsia="仿宋"/>
          <w:bCs/>
          <w:color w:val="auto"/>
          <w:sz w:val="24"/>
          <w:highlight w:val="none"/>
        </w:rPr>
      </w:pPr>
      <w:r>
        <w:rPr>
          <w:rFonts w:ascii="仿宋" w:hAnsi="仿宋" w:eastAsia="仿宋"/>
          <w:bCs/>
          <w:color w:val="auto"/>
          <w:sz w:val="24"/>
          <w:highlight w:val="none"/>
        </w:rPr>
      </w:r>
      <w:r/>
    </w:p>
    <w:p>
      <w:pPr>
        <w:jc w:val="right"/>
        <w:spacing w:before="19"/>
        <w:widowControl/>
        <w:rPr>
          <w:rFonts w:ascii="仿宋" w:hAnsi="仿宋" w:eastAsia="仿宋"/>
          <w:bCs/>
          <w:color w:val="auto"/>
          <w:sz w:val="24"/>
          <w:highlight w:val="none"/>
          <w:u w:val="single"/>
        </w:rPr>
      </w:pPr>
      <w:r>
        <w:rPr>
          <w:rFonts w:ascii="仿宋" w:hAnsi="仿宋" w:eastAsia="仿宋"/>
          <w:bCs/>
          <w:color w:val="auto"/>
          <w:sz w:val="24"/>
          <w:highlight w:val="none"/>
          <w:u w:val="single"/>
        </w:rPr>
      </w:r>
      <w:r/>
    </w:p>
    <w:p>
      <w:pPr>
        <w:jc w:val="center"/>
        <w:spacing w:before="19"/>
        <w:widowControl/>
        <w:rPr>
          <w:rFonts w:ascii="仿宋" w:hAnsi="仿宋" w:eastAsia="仿宋"/>
          <w:bCs/>
          <w:color w:val="auto"/>
          <w:sz w:val="24"/>
          <w:highlight w:val="none"/>
        </w:rPr>
      </w:pPr>
      <w:r>
        <w:rPr>
          <w:rFonts w:hint="eastAsia" w:ascii="仿宋" w:hAnsi="仿宋" w:eastAsia="仿宋"/>
          <w:bCs/>
          <w:color w:val="auto"/>
          <w:sz w:val="24"/>
          <w:highlight w:val="none"/>
          <w:u w:val="single"/>
        </w:rPr>
        <w:t xml:space="preserve">合同专用条款</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第一条 供货及知识产权</w:t>
      </w:r>
      <w:r/>
    </w:p>
    <w:p>
      <w:pPr>
        <w:ind w:firstLine="480"/>
        <w:rPr>
          <w:rFonts w:ascii="仿宋" w:hAnsi="仿宋" w:eastAsia="仿宋"/>
          <w:bCs/>
          <w:color w:val="auto"/>
          <w:sz w:val="24"/>
          <w:highlight w:val="none"/>
        </w:rPr>
      </w:pPr>
      <w:r>
        <w:rPr>
          <w:rFonts w:ascii="仿宋" w:hAnsi="仿宋" w:eastAsia="仿宋"/>
          <w:bCs/>
          <w:color w:val="auto"/>
          <w:sz w:val="24"/>
          <w:highlight w:val="none"/>
        </w:rPr>
        <w:t xml:space="preserve">乙方应按</w:t>
      </w:r>
      <w:r>
        <w:rPr>
          <w:rFonts w:hint="eastAsia" w:ascii="仿宋" w:hAnsi="仿宋" w:eastAsia="仿宋"/>
          <w:bCs/>
          <w:color w:val="auto"/>
          <w:sz w:val="24"/>
          <w:highlight w:val="none"/>
        </w:rPr>
        <w:t xml:space="preserve">照招标</w:t>
      </w:r>
      <w:r>
        <w:rPr>
          <w:rFonts w:ascii="仿宋" w:hAnsi="仿宋" w:eastAsia="仿宋"/>
          <w:bCs/>
          <w:color w:val="auto"/>
          <w:sz w:val="24"/>
          <w:highlight w:val="none"/>
        </w:rPr>
        <w:t xml:space="preserve">文件规定</w:t>
      </w:r>
      <w:r>
        <w:rPr>
          <w:rFonts w:hint="eastAsia" w:ascii="仿宋" w:hAnsi="仿宋" w:eastAsia="仿宋"/>
          <w:bCs/>
          <w:color w:val="auto"/>
          <w:sz w:val="24"/>
          <w:highlight w:val="none"/>
        </w:rPr>
        <w:t xml:space="preserve">及投标文件承诺</w:t>
      </w:r>
      <w:r>
        <w:rPr>
          <w:rFonts w:ascii="仿宋" w:hAnsi="仿宋" w:eastAsia="仿宋"/>
          <w:bCs/>
          <w:color w:val="auto"/>
          <w:sz w:val="24"/>
          <w:highlight w:val="none"/>
        </w:rPr>
        <w:t xml:space="preserve">的货物性能、技术要求、质量标准向甲方提供未经使用的全新产品。乙</w:t>
      </w:r>
      <w:r>
        <w:rPr>
          <w:rFonts w:hint="eastAsia" w:ascii="仿宋" w:hAnsi="仿宋" w:eastAsia="仿宋"/>
          <w:bCs/>
          <w:color w:val="auto"/>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第二条 合同总价款    </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第三条 质量保证期内的技术支持与售后服务</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1.所提供产品应包含不少于年的整机（含全部部件）免费上门保修服务，质量保证期从设备安装验收合格开始计算。</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2.在质量保证期内厂商应自行处理保修凭证问题，采购人不负责提供产品的保修卡、发票等保修凭证。</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3.应针对本项目指定专人作为售后联系人，7*8小时负责协调产品销售以及售后问题。</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4.应在质量保证期内，免费故障报修电话为7*24小时，故障报修响应时间应在60分钟内。故障修复时间应在48小时内提供上门服务并修复。此款“修复”，是指从发现设备或系统发生故障并通知有关中标供应商后，经过相应的技术服务使设备或系统继续正常提供系统服务，才视为“修复”。</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5.在质量保证期内，未能在规定时间内修复情况下主动提供免费备机服务。</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6.在质量保证期内更换的任何配件，须为原设备厂家生产的；并且保证替代的零配件是新的未使用过和未经修复的。</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7. 提供的产品若有设计缺陷，应主动召回。</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8. 在质量保证期内，供应商应提供每年度技术巡检服务，巡检内容应包含：对设备使用状况的调查、升级软件、为机器除尘，故障预防工作。并向采购人提供巡检记录以及巡检报告。</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9.软件免费维护和升级服务的内容，供应商可根据自身情况，提供相应的软件服务方案。</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10.损坏的信息存储介质不得收回，应免费由用户保留。</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第四条 质量保证期外的技术支持与服务</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按乙方投标文件执行。</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第五条 交货和验收</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1、乙方应按照本合同规定的时间、地点和方式向甲方交付货物。</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2、乙方交付的货物应当完全符合本合同所规定的货物、数量和规格要求。 乙方提供的货物不符合合同规定的，甲方有权拒收货物，由此引起的风险，由乙方承担。</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3、甲方应当在到货后五日内对货物进行验收，</w:t>
      </w:r>
      <w:r>
        <w:rPr>
          <w:rFonts w:ascii="仿宋" w:hAnsi="仿宋" w:eastAsia="仿宋"/>
          <w:bCs/>
          <w:color w:val="auto"/>
          <w:sz w:val="24"/>
          <w:highlight w:val="none"/>
        </w:rPr>
        <w:t xml:space="preserve">验收包括：型号、规格、数量、外观质量、及货物包装</w:t>
      </w:r>
      <w:r>
        <w:rPr>
          <w:rFonts w:hint="eastAsia" w:ascii="仿宋" w:hAnsi="仿宋" w:eastAsia="仿宋"/>
          <w:bCs/>
          <w:color w:val="auto"/>
          <w:sz w:val="24"/>
          <w:highlight w:val="none"/>
        </w:rPr>
        <w:t xml:space="preserve">是否完好，安装调试是否合格。所提供货物的装箱清单、用户手册、原厂保修卡、随机资料及配件、随机工具等是否齐全。验收合格后甲方应在验收记录上签字盖章。</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第六条 货款支付</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本合同项下所有款项均在乙方货物交付验收合格后，并提交所需单据后</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个工作日内按合同约定的付款方支付货款。</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第七条 违约责任</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1、甲方无正当理由拒收货物、拒付货物款的，由甲方向乙方偿付合同总价的5%违约金。</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2、甲方未按合同规定的期限向乙方支付货款的，每逾期1天甲方向乙方偿付欠款总额的5‰滞纳金，但累计滞纳金总额不超过欠款总额的5% 。</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3、如乙方不能交付货物，乙方应向甲方支付合同总价５％的违约金。</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4、</w:t>
      </w:r>
      <w:r>
        <w:rPr>
          <w:rFonts w:ascii="仿宋" w:hAnsi="仿宋" w:eastAsia="仿宋"/>
          <w:bCs/>
          <w:color w:val="auto"/>
          <w:sz w:val="24"/>
          <w:highlight w:val="none"/>
        </w:rPr>
        <w:t xml:space="preserve">乙方逾期交付货物的，每逾期1天，乙方向甲方偿付逾期交货部分货款总额的5‰的滞纳金</w:t>
      </w:r>
      <w:r>
        <w:rPr>
          <w:rFonts w:hint="eastAsia" w:ascii="仿宋" w:hAnsi="仿宋" w:eastAsia="仿宋"/>
          <w:bCs/>
          <w:color w:val="auto"/>
          <w:sz w:val="24"/>
          <w:highlight w:val="none"/>
        </w:rPr>
        <w:t xml:space="preserve">。如乙方逾期交货达10天，甲方有权解除合同，解除合同的通知自到达乙方时生效。</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5、</w:t>
      </w:r>
      <w:r>
        <w:rPr>
          <w:rFonts w:ascii="仿宋" w:hAnsi="仿宋" w:eastAsia="仿宋"/>
          <w:bCs/>
          <w:color w:val="auto"/>
          <w:sz w:val="24"/>
          <w:highlight w:val="none"/>
        </w:rPr>
        <w:t xml:space="preserve">乙方所交</w:t>
      </w:r>
      <w:r>
        <w:rPr>
          <w:rFonts w:hint="eastAsia" w:ascii="仿宋" w:hAnsi="仿宋" w:eastAsia="仿宋"/>
          <w:bCs/>
          <w:color w:val="auto"/>
          <w:sz w:val="24"/>
          <w:highlight w:val="none"/>
        </w:rPr>
        <w:t xml:space="preserve">付</w:t>
      </w:r>
      <w:r>
        <w:rPr>
          <w:rFonts w:ascii="仿宋" w:hAnsi="仿宋" w:eastAsia="仿宋"/>
          <w:bCs/>
          <w:color w:val="auto"/>
          <w:sz w:val="24"/>
          <w:highlight w:val="none"/>
        </w:rPr>
        <w:t xml:space="preserve">的货物品种、型号、规格不符合合同规定的，甲方有权拒收。</w:t>
      </w:r>
      <w:r>
        <w:rPr>
          <w:rFonts w:hint="eastAsia" w:ascii="仿宋" w:hAnsi="仿宋" w:eastAsia="仿宋"/>
          <w:bCs/>
          <w:color w:val="auto"/>
          <w:sz w:val="24"/>
          <w:highlight w:val="none"/>
        </w:rPr>
        <w:t xml:space="preserve">甲方拒收的，</w:t>
      </w:r>
      <w:r>
        <w:rPr>
          <w:rFonts w:ascii="仿宋" w:hAnsi="仿宋" w:eastAsia="仿宋"/>
          <w:bCs/>
          <w:color w:val="auto"/>
          <w:sz w:val="24"/>
          <w:highlight w:val="none"/>
        </w:rPr>
        <w:t xml:space="preserve">乙方</w:t>
      </w:r>
      <w:r>
        <w:rPr>
          <w:rFonts w:hint="eastAsia" w:ascii="仿宋" w:hAnsi="仿宋" w:eastAsia="仿宋"/>
          <w:bCs/>
          <w:color w:val="auto"/>
          <w:sz w:val="24"/>
          <w:highlight w:val="none"/>
        </w:rPr>
        <w:t xml:space="preserve">应</w:t>
      </w:r>
      <w:r>
        <w:rPr>
          <w:rFonts w:ascii="仿宋" w:hAnsi="仿宋" w:eastAsia="仿宋"/>
          <w:bCs/>
          <w:color w:val="auto"/>
          <w:sz w:val="24"/>
          <w:highlight w:val="none"/>
        </w:rPr>
        <w:t xml:space="preserve">向甲方支付货款总额5%的违约金。</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6、在乙方承诺的或国家规定的质量保证期内（取两者中最长的期限），</w:t>
      </w:r>
      <w:r>
        <w:rPr>
          <w:rFonts w:ascii="仿宋" w:hAnsi="仿宋" w:eastAsia="仿宋"/>
          <w:bCs/>
          <w:color w:val="auto"/>
          <w:sz w:val="24"/>
          <w:highlight w:val="none"/>
        </w:rPr>
        <w:t xml:space="preserve">如经乙方两次维修</w:t>
      </w:r>
      <w:r>
        <w:rPr>
          <w:rFonts w:hint="eastAsia" w:ascii="仿宋" w:hAnsi="仿宋" w:eastAsia="仿宋"/>
          <w:bCs/>
          <w:color w:val="auto"/>
          <w:sz w:val="24"/>
          <w:highlight w:val="none"/>
        </w:rPr>
        <w:t xml:space="preserve">或更换</w:t>
      </w:r>
      <w:r>
        <w:rPr>
          <w:rFonts w:ascii="仿宋" w:hAnsi="仿宋" w:eastAsia="仿宋"/>
          <w:bCs/>
          <w:color w:val="auto"/>
          <w:sz w:val="24"/>
          <w:highlight w:val="none"/>
        </w:rPr>
        <w:t xml:space="preserve">，货物仍不能达到合同约定</w:t>
      </w:r>
      <w:r>
        <w:rPr>
          <w:rFonts w:hint="eastAsia" w:ascii="仿宋" w:hAnsi="仿宋" w:eastAsia="仿宋"/>
          <w:bCs/>
          <w:color w:val="auto"/>
          <w:sz w:val="24"/>
          <w:highlight w:val="none"/>
        </w:rPr>
        <w:t xml:space="preserve">的</w:t>
      </w:r>
      <w:r>
        <w:rPr>
          <w:rFonts w:ascii="仿宋" w:hAnsi="仿宋" w:eastAsia="仿宋"/>
          <w:bCs/>
          <w:color w:val="auto"/>
          <w:sz w:val="24"/>
          <w:highlight w:val="none"/>
        </w:rPr>
        <w:t xml:space="preserve">质量标准，甲方有权退货，乙方</w:t>
      </w:r>
      <w:r>
        <w:rPr>
          <w:rFonts w:hint="eastAsia" w:ascii="仿宋" w:hAnsi="仿宋" w:eastAsia="仿宋"/>
          <w:bCs/>
          <w:color w:val="auto"/>
          <w:sz w:val="24"/>
          <w:highlight w:val="none"/>
        </w:rPr>
        <w:t xml:space="preserve">应</w:t>
      </w:r>
      <w:r>
        <w:rPr>
          <w:rFonts w:ascii="仿宋" w:hAnsi="仿宋" w:eastAsia="仿宋"/>
          <w:bCs/>
          <w:color w:val="auto"/>
          <w:sz w:val="24"/>
          <w:highlight w:val="none"/>
        </w:rPr>
        <w:t xml:space="preserve">退回全部货款，并按第3款处理，同时，乙方还须赔偿甲方因此遭受的损失。</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7、乙方未按本合同的规定和服务承诺提供服务的，应按合同总价款的_3_%向甲方承担违约责任。</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第八条 合同的变更和终止</w:t>
      </w:r>
      <w:r/>
    </w:p>
    <w:p>
      <w:pPr>
        <w:pStyle w:val="887"/>
        <w:ind w:firstLine="480"/>
        <w:tabs>
          <w:tab w:val="clear" w:pos="4153" w:leader="none"/>
          <w:tab w:val="clear" w:pos="8306" w:leader="none"/>
        </w:tabs>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除《政府采购法》第49条、第50条第二款规定的情形外，本合同一经签订，甲乙双方不得擅自变更、中止或终止合同。</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第十三条 合同的转让</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乙方不得擅自部分或全部转让其应履行的合同义务。</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第十四条 争议的解决</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2、因履行本合同引起的或与本合同有关的争议，甲、乙双方应首先通过友好协商解决，如果协商不能解决争议，向南通市仲裁委员会按其仲裁规则申请仲裁。</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第十五条 合同生效及其他</w:t>
      </w:r>
      <w:r/>
    </w:p>
    <w:p>
      <w:pPr>
        <w:ind w:firstLine="480"/>
        <w:jc w:val="both"/>
        <w:rPr>
          <w:rFonts w:hint="eastAsia" w:ascii="仿宋" w:hAnsi="仿宋" w:eastAsia="仿宋"/>
          <w:bCs/>
          <w:color w:val="auto"/>
          <w:sz w:val="24"/>
          <w:highlight w:val="none"/>
        </w:rPr>
        <w:outlineLvl w:val="9"/>
      </w:pPr>
      <w:r/>
      <w:bookmarkStart w:id="117" w:name="_Toc28315"/>
      <w:r>
        <w:rPr>
          <w:rFonts w:hint="eastAsia" w:ascii="仿宋" w:hAnsi="仿宋" w:eastAsia="仿宋"/>
          <w:bCs/>
          <w:color w:val="auto"/>
          <w:sz w:val="24"/>
          <w:highlight w:val="none"/>
        </w:rPr>
        <w:t xml:space="preserve">1、本合同自签订之日起生效。</w:t>
      </w:r>
      <w:bookmarkEnd w:id="117"/>
      <w:r/>
      <w:r/>
    </w:p>
    <w:p>
      <w:pPr>
        <w:ind w:firstLine="420"/>
        <w:jc w:val="center"/>
        <w:rPr>
          <w:b/>
          <w:color w:val="auto"/>
          <w:highlight w:val="none"/>
        </w:rPr>
        <w:outlineLvl w:val="0"/>
      </w:pPr>
      <w:r>
        <w:rPr>
          <w:rFonts w:ascii="仿宋" w:hAnsi="仿宋" w:eastAsia="仿宋"/>
          <w:bCs/>
          <w:color w:val="auto"/>
          <w:highlight w:val="none"/>
        </w:rPr>
        <w:br w:type="page" w:clear="all"/>
      </w:r>
      <w:bookmarkStart w:id="118" w:name="_Toc5774"/>
      <w:r>
        <w:rPr>
          <w:rFonts w:hint="eastAsia" w:ascii="方正小标宋简体" w:eastAsia="方正小标宋简体"/>
          <w:b/>
          <w:color w:val="auto"/>
          <w:sz w:val="32"/>
          <w:szCs w:val="32"/>
          <w:highlight w:val="none"/>
        </w:rPr>
        <w:t xml:space="preserve">第5章 评标标准和方法</w:t>
      </w:r>
      <w:bookmarkEnd w:id="118"/>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综合评分法</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1.投标文件满足招标文件全部实质性要求，且按照评审因素的量化指标评审得分最高的投标人为中标候选人。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评标委员会将对通过资格及符合性检查的各合格采购人根据投标文件和招标货物的性能、价格、商务等因素进行评分，总分为100分(不含清单内产品加分)。采购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3.评审因素：价格、技术、商务、财务状况、信誉、业绩、服务、对招标文件的响应程度，以及相应的比重或者权值等。</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 价格分应当采用低价优先法计算，即满足招标文件要求且投标价格最低的投标报价为评标基准价，其价格分为满分。其他投标人的价格分统一按照下列公式计算：</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投标报价得分=(评标基准价／投标报价)×价格分分值</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评标过程中，不得去掉报价中的最高报价和最低报价。因落实政府采购政策进行价格调整的，以调整后的价格计算评标基准价和投标报价。</w:t>
      </w:r>
      <w:r/>
    </w:p>
    <w:p>
      <w:pPr>
        <w:ind w:firstLine="560"/>
        <w:rPr>
          <w:rFonts w:ascii="仿宋" w:hAnsi="仿宋" w:eastAsia="仿宋"/>
          <w:bCs/>
          <w:color w:val="auto"/>
          <w:sz w:val="28"/>
          <w:szCs w:val="28"/>
          <w:highlight w:val="none"/>
        </w:rPr>
        <w:outlineLvl w:val="1"/>
      </w:pPr>
      <w:r/>
      <w:bookmarkStart w:id="119" w:name="_Toc3856"/>
      <w:r>
        <w:rPr>
          <w:rFonts w:hint="eastAsia" w:ascii="仿宋" w:hAnsi="仿宋" w:eastAsia="仿宋"/>
          <w:bCs/>
          <w:color w:val="auto"/>
          <w:sz w:val="28"/>
          <w:szCs w:val="28"/>
          <w:highlight w:val="none"/>
        </w:rPr>
        <w:t xml:space="preserve">5.采购包1评分表</w:t>
      </w:r>
      <w:bookmarkEnd w:id="119"/>
      <w:r/>
      <w:r/>
    </w:p>
    <w:tbl>
      <w:tblPr>
        <w:tblStyle w:val="875"/>
        <w:tblW w:w="968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2"/>
        <w:gridCol w:w="1231"/>
        <w:gridCol w:w="745"/>
        <w:gridCol w:w="6427"/>
        <w:gridCol w:w="588"/>
      </w:tblGrid>
      <w:tr>
        <w:trPr/>
        <w:tc>
          <w:tcPr>
            <w:tcBorders>
              <w:top w:val="single" w:color="auto" w:sz="12" w:space="0"/>
              <w:left w:val="single" w:color="auto" w:sz="12" w:space="0"/>
              <w:bottom w:val="single" w:color="auto" w:sz="6" w:space="0"/>
              <w:right w:val="single" w:color="auto" w:sz="6" w:space="0"/>
            </w:tcBorders>
            <w:tcW w:w="69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31"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评审因素</w:t>
            </w:r>
            <w:r/>
          </w:p>
        </w:tc>
        <w:tc>
          <w:tcPr>
            <w:tcBorders>
              <w:top w:val="single" w:color="auto" w:sz="12" w:space="0"/>
              <w:left w:val="single" w:color="auto" w:sz="6" w:space="0"/>
              <w:bottom w:val="single" w:color="auto" w:sz="6" w:space="0"/>
              <w:right w:val="single" w:color="auto" w:sz="6" w:space="0"/>
            </w:tcBorders>
            <w:tcW w:w="74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分值</w:t>
            </w:r>
            <w:r/>
          </w:p>
        </w:tc>
        <w:tc>
          <w:tcPr>
            <w:tcBorders>
              <w:top w:val="single" w:color="auto" w:sz="12" w:space="0"/>
              <w:left w:val="single" w:color="auto" w:sz="6" w:space="0"/>
              <w:bottom w:val="single" w:color="auto" w:sz="6" w:space="0"/>
              <w:right w:val="single" w:color="auto" w:sz="6" w:space="0"/>
            </w:tcBorders>
            <w:tcW w:w="6427"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评审要求或标准</w:t>
            </w:r>
            <w:r/>
          </w:p>
        </w:tc>
        <w:tc>
          <w:tcPr>
            <w:tcBorders>
              <w:top w:val="single" w:color="auto" w:sz="12" w:space="0"/>
              <w:left w:val="single" w:color="auto" w:sz="6" w:space="0"/>
              <w:bottom w:val="single" w:color="auto" w:sz="6" w:space="0"/>
              <w:right w:val="single" w:color="auto" w:sz="12" w:space="0"/>
            </w:tcBorders>
            <w:tcW w:w="58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得分</w:t>
            </w:r>
            <w:r/>
          </w:p>
        </w:tc>
      </w:tr>
      <w:tr>
        <w:trPr/>
        <w:tc>
          <w:tcPr>
            <w:tcBorders>
              <w:top w:val="single" w:color="auto" w:sz="6" w:space="0"/>
              <w:left w:val="single" w:color="auto" w:sz="12" w:space="0"/>
              <w:bottom w:val="single" w:color="auto" w:sz="6" w:space="0"/>
              <w:right w:val="single" w:color="auto" w:sz="6" w:space="0"/>
            </w:tcBorders>
            <w:tcW w:w="69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31"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价格</w:t>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32</w:t>
            </w:r>
            <w:r/>
          </w:p>
        </w:tc>
        <w:tc>
          <w:tcPr>
            <w:tcBorders>
              <w:top w:val="single" w:color="auto" w:sz="6" w:space="0"/>
              <w:left w:val="single" w:color="auto" w:sz="6" w:space="0"/>
              <w:bottom w:val="single" w:color="auto" w:sz="6" w:space="0"/>
              <w:right w:val="single" w:color="auto" w:sz="6" w:space="0"/>
            </w:tcBorders>
            <w:tcW w:w="6427"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价格分应当采用低价优先法计算，即满足招标文件要求且投标价格最低的投标报价为评标基准价，其价格分为满分。其他投标人的价格分统一按照下列公式计算：</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投标报价得分=(评标基准价／投标报价)×价格分分值</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评标过程中，不得去掉报价中的最高报价和最低报价。因落实政府采购政策进行价格调整的，以调整后的价格计算评标基准价和投标报价。</w:t>
            </w:r>
            <w:r/>
          </w:p>
        </w:tc>
        <w:tc>
          <w:tcPr>
            <w:tcBorders>
              <w:top w:val="single" w:color="auto" w:sz="6" w:space="0"/>
              <w:left w:val="single" w:color="auto" w:sz="6" w:space="0"/>
              <w:bottom w:val="single" w:color="auto" w:sz="6" w:space="0"/>
              <w:right w:val="single" w:color="auto" w:sz="12" w:space="0"/>
            </w:tcBorders>
            <w:tcW w:w="588" w:type="dxa"/>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tc>
          <w:tcPr>
            <w:tcBorders>
              <w:top w:val="single" w:color="auto" w:sz="6" w:space="0"/>
              <w:left w:val="single" w:color="auto" w:sz="12" w:space="0"/>
              <w:bottom w:val="single" w:color="auto" w:sz="6" w:space="0"/>
              <w:right w:val="single" w:color="auto" w:sz="6" w:space="0"/>
            </w:tcBorders>
            <w:tcW w:w="692" w:type="dxa"/>
            <w:vAlign w:val="center"/>
            <w:vMerge w:val="restart"/>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31" w:type="dxa"/>
            <w:vAlign w:val="center"/>
            <w:vMerge w:val="restart"/>
            <w:textDirection w:val="lrTb"/>
            <w:noWrap/>
          </w:tcPr>
          <w:p>
            <w:pPr>
              <w:jc w:val="center"/>
              <w:spacing w:line="280" w:lineRule="exact"/>
              <w:widowControl/>
              <w:rPr>
                <w:rFonts w:ascii="仿宋" w:hAnsi="仿宋" w:eastAsia="仿宋" w:cs="仿宋"/>
                <w:bCs/>
                <w:color w:val="auto"/>
                <w:sz w:val="24"/>
                <w:highlight w:val="none"/>
              </w:rPr>
            </w:pPr>
            <w:r>
              <w:rPr>
                <w:rFonts w:hint="eastAsia" w:ascii="仿宋" w:hAnsi="仿宋" w:eastAsia="仿宋" w:cs="仿宋"/>
                <w:bCs/>
                <w:color w:val="auto"/>
                <w:spacing w:val="-12"/>
                <w:sz w:val="24"/>
                <w:highlight w:val="none"/>
              </w:rPr>
              <w:t xml:space="preserve">技术要求响应（28）</w:t>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tcPr>
          <w:p>
            <w:pPr>
              <w:jc w:val="center"/>
              <w:spacing w:line="280" w:lineRule="exact"/>
              <w:widowControl/>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14</w:t>
            </w:r>
            <w:r/>
          </w:p>
        </w:tc>
        <w:tc>
          <w:tcPr>
            <w:tcBorders>
              <w:top w:val="single" w:color="auto" w:sz="6" w:space="0"/>
              <w:left w:val="single" w:color="auto" w:sz="6" w:space="0"/>
              <w:bottom w:val="single" w:color="auto" w:sz="6" w:space="0"/>
              <w:right w:val="single" w:color="auto" w:sz="6" w:space="0"/>
            </w:tcBorders>
            <w:tcW w:w="6427" w:type="dxa"/>
            <w:textDirection w:val="lrTb"/>
            <w:noWrap/>
          </w:tcPr>
          <w:p>
            <w:pPr>
              <w:pStyle w:val="879"/>
              <w:spacing w:line="280" w:lineRule="exact"/>
              <w:rPr>
                <w:rFonts w:hint="default"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 xml:space="preserve">1.</w:t>
            </w:r>
            <w:r>
              <w:rPr>
                <w:rFonts w:ascii="仿宋" w:hAnsi="仿宋" w:eastAsia="仿宋" w:cs="仿宋"/>
                <w:bCs/>
                <w:color w:val="auto"/>
                <w:sz w:val="24"/>
                <w:highlight w:val="none"/>
              </w:rPr>
              <w:t xml:space="preserve">提供所投设备：</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lang w:val="en-US" w:eastAsia="zh-CN"/>
              </w:rPr>
              <w:t xml:space="preserve">1</w:t>
            </w:r>
            <w:r>
              <w:rPr>
                <w:rFonts w:hint="eastAsia" w:ascii="仿宋" w:hAnsi="仿宋" w:eastAsia="仿宋" w:cs="仿宋"/>
                <w:bCs/>
                <w:color w:val="auto"/>
                <w:sz w:val="24"/>
                <w:highlight w:val="none"/>
                <w:lang w:eastAsia="zh-CN"/>
              </w:rPr>
              <w:t xml:space="preserve">）</w:t>
            </w:r>
            <w:r>
              <w:rPr>
                <w:rFonts w:ascii="仿宋" w:hAnsi="仿宋" w:eastAsia="仿宋" w:cs="仿宋"/>
                <w:bCs/>
                <w:color w:val="auto"/>
                <w:sz w:val="24"/>
                <w:highlight w:val="none"/>
              </w:rPr>
              <w:t xml:space="preserve">五参数分析仪；</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lang w:val="en-US" w:eastAsia="zh-CN"/>
              </w:rPr>
              <w:t xml:space="preserve">2</w:t>
            </w:r>
            <w:r>
              <w:rPr>
                <w:rFonts w:hint="eastAsia" w:ascii="仿宋" w:hAnsi="仿宋" w:eastAsia="仿宋" w:cs="仿宋"/>
                <w:bCs/>
                <w:color w:val="auto"/>
                <w:sz w:val="24"/>
                <w:highlight w:val="none"/>
                <w:lang w:eastAsia="zh-CN"/>
              </w:rPr>
              <w:t xml:space="preserve">）</w:t>
            </w:r>
            <w:r>
              <w:rPr>
                <w:rFonts w:ascii="仿宋" w:hAnsi="仿宋" w:eastAsia="仿宋" w:cs="仿宋"/>
                <w:bCs/>
                <w:color w:val="auto"/>
                <w:sz w:val="24"/>
                <w:highlight w:val="none"/>
              </w:rPr>
              <w:t xml:space="preserve">高锰酸盐指数分析仪；</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lang w:val="en-US" w:eastAsia="zh-CN"/>
              </w:rPr>
              <w:t xml:space="preserve">3</w:t>
            </w:r>
            <w:r>
              <w:rPr>
                <w:rFonts w:hint="eastAsia" w:ascii="仿宋" w:hAnsi="仿宋" w:eastAsia="仿宋" w:cs="仿宋"/>
                <w:bCs/>
                <w:color w:val="auto"/>
                <w:sz w:val="24"/>
                <w:highlight w:val="none"/>
                <w:lang w:eastAsia="zh-CN"/>
              </w:rPr>
              <w:t xml:space="preserve">）</w:t>
            </w:r>
            <w:r>
              <w:rPr>
                <w:rFonts w:ascii="仿宋" w:hAnsi="仿宋" w:eastAsia="仿宋" w:cs="仿宋"/>
                <w:bCs/>
                <w:color w:val="auto"/>
                <w:sz w:val="24"/>
                <w:highlight w:val="none"/>
              </w:rPr>
              <w:t xml:space="preserve">氨氮分析仪；</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lang w:val="en-US" w:eastAsia="zh-CN"/>
              </w:rPr>
              <w:t xml:space="preserve">4</w:t>
            </w:r>
            <w:r>
              <w:rPr>
                <w:rFonts w:hint="eastAsia" w:ascii="仿宋" w:hAnsi="仿宋" w:eastAsia="仿宋" w:cs="仿宋"/>
                <w:bCs/>
                <w:color w:val="auto"/>
                <w:sz w:val="24"/>
                <w:highlight w:val="none"/>
                <w:lang w:eastAsia="zh-CN"/>
              </w:rPr>
              <w:t xml:space="preserve">）</w:t>
            </w:r>
            <w:r>
              <w:rPr>
                <w:rFonts w:ascii="仿宋" w:hAnsi="仿宋" w:eastAsia="仿宋" w:cs="仿宋"/>
                <w:bCs/>
                <w:color w:val="auto"/>
                <w:sz w:val="24"/>
                <w:highlight w:val="none"/>
              </w:rPr>
              <w:t xml:space="preserve">总磷分析仪；</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lang w:val="en-US" w:eastAsia="zh-CN"/>
              </w:rPr>
              <w:t xml:space="preserve">5</w:t>
            </w:r>
            <w:r>
              <w:rPr>
                <w:rFonts w:hint="eastAsia" w:ascii="仿宋" w:hAnsi="仿宋" w:eastAsia="仿宋" w:cs="仿宋"/>
                <w:bCs/>
                <w:color w:val="auto"/>
                <w:sz w:val="24"/>
                <w:highlight w:val="none"/>
                <w:lang w:eastAsia="zh-CN"/>
              </w:rPr>
              <w:t xml:space="preserve">）</w:t>
            </w:r>
            <w:r>
              <w:rPr>
                <w:rFonts w:ascii="仿宋" w:hAnsi="仿宋" w:eastAsia="仿宋" w:cs="仿宋"/>
                <w:bCs/>
                <w:color w:val="auto"/>
                <w:sz w:val="24"/>
                <w:highlight w:val="none"/>
              </w:rPr>
              <w:t xml:space="preserve">总氮分析仪；</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lang w:val="en-US" w:eastAsia="zh-CN"/>
              </w:rPr>
              <w:t xml:space="preserve">6</w:t>
            </w:r>
            <w:r>
              <w:rPr>
                <w:rFonts w:hint="eastAsia" w:ascii="仿宋" w:hAnsi="仿宋" w:eastAsia="仿宋" w:cs="仿宋"/>
                <w:bCs/>
                <w:color w:val="auto"/>
                <w:sz w:val="24"/>
                <w:highlight w:val="none"/>
                <w:lang w:eastAsia="zh-CN"/>
              </w:rPr>
              <w:t xml:space="preserve">）</w:t>
            </w:r>
            <w:r>
              <w:rPr>
                <w:rFonts w:ascii="仿宋" w:hAnsi="仿宋" w:eastAsia="仿宋" w:cs="仿宋"/>
                <w:bCs/>
                <w:color w:val="auto"/>
                <w:sz w:val="24"/>
                <w:highlight w:val="none"/>
              </w:rPr>
              <w:t xml:space="preserve">挥发性有机物自动分析仪；</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lang w:val="en-US" w:eastAsia="zh-CN"/>
              </w:rPr>
              <w:t xml:space="preserve">7</w:t>
            </w:r>
            <w:r>
              <w:rPr>
                <w:rFonts w:hint="eastAsia" w:ascii="仿宋" w:hAnsi="仿宋" w:eastAsia="仿宋" w:cs="仿宋"/>
                <w:bCs/>
                <w:color w:val="auto"/>
                <w:sz w:val="24"/>
                <w:highlight w:val="none"/>
                <w:lang w:eastAsia="zh-CN"/>
              </w:rPr>
              <w:t xml:space="preserve">）</w:t>
            </w:r>
            <w:r>
              <w:rPr>
                <w:rFonts w:ascii="仿宋" w:hAnsi="仿宋" w:eastAsia="仿宋" w:cs="仿宋"/>
                <w:bCs/>
                <w:color w:val="auto"/>
                <w:sz w:val="24"/>
                <w:highlight w:val="none"/>
              </w:rPr>
              <w:t xml:space="preserve">集成系统；</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lang w:val="en-US" w:eastAsia="zh-CN"/>
              </w:rPr>
              <w:t xml:space="preserve">8</w:t>
            </w:r>
            <w:r>
              <w:rPr>
                <w:rFonts w:hint="eastAsia" w:ascii="仿宋" w:hAnsi="仿宋" w:eastAsia="仿宋" w:cs="仿宋"/>
                <w:bCs/>
                <w:color w:val="auto"/>
                <w:sz w:val="24"/>
                <w:highlight w:val="none"/>
                <w:lang w:eastAsia="zh-CN"/>
              </w:rPr>
              <w:t xml:space="preserve">）</w:t>
            </w:r>
            <w:r>
              <w:rPr>
                <w:rFonts w:ascii="仿宋" w:hAnsi="仿宋" w:eastAsia="仿宋" w:cs="仿宋"/>
                <w:bCs/>
                <w:color w:val="auto"/>
                <w:sz w:val="24"/>
                <w:highlight w:val="none"/>
              </w:rPr>
              <w:t xml:space="preserve">挥发酚分析仪的检测报告，每一种设备检测报告得1分，最高得8分。</w:t>
            </w:r>
            <w:r/>
          </w:p>
          <w:p>
            <w:pPr>
              <w:pStyle w:val="879"/>
              <w:spacing w:line="280" w:lineRule="exact"/>
              <w:rPr>
                <w:rFonts w:hint="default" w:ascii="仿宋" w:hAnsi="仿宋" w:eastAsia="仿宋" w:cs="仿宋"/>
                <w:b/>
                <w:color w:val="auto"/>
                <w:sz w:val="24"/>
                <w:highlight w:val="none"/>
              </w:rPr>
            </w:pPr>
            <w:r>
              <w:rPr>
                <w:rFonts w:ascii="仿宋" w:hAnsi="仿宋" w:eastAsia="仿宋" w:cs="仿宋"/>
                <w:b/>
                <w:color w:val="auto"/>
                <w:sz w:val="24"/>
                <w:highlight w:val="none"/>
              </w:rPr>
              <w:t xml:space="preserve">须提供具有国家法定资质的计量标准所出具的检测报告扫描件，须具有CMA或CNAS标识，否则不得分。</w:t>
            </w:r>
            <w:r/>
          </w:p>
          <w:p>
            <w:pPr>
              <w:jc w:val="left"/>
              <w:spacing w:line="280" w:lineRule="exact"/>
              <w:rPr>
                <w:rFonts w:ascii="仿宋" w:hAnsi="仿宋" w:eastAsia="仿宋" w:cs="仿宋"/>
                <w:bCs/>
                <w:color w:val="auto"/>
                <w:sz w:val="24"/>
                <w:highlight w:val="none"/>
              </w:rPr>
            </w:pPr>
            <w:r>
              <w:rPr>
                <w:rFonts w:ascii="仿宋" w:hAnsi="仿宋" w:eastAsia="仿宋" w:cs="仿宋"/>
                <w:b/>
                <w:color w:val="auto"/>
                <w:sz w:val="24"/>
                <w:highlight w:val="none"/>
              </w:rPr>
              <w:t xml:space="preserve">注：报告设备型号与所投设备名称型号一致。响应文件中应提供上述检测报告扫描件。所提供证明报告均需在有效期内。</w:t>
            </w:r>
            <w:r>
              <w:rPr>
                <w:rFonts w:hint="eastAsia" w:ascii="仿宋" w:hAnsi="仿宋" w:eastAsia="仿宋" w:cs="仿宋"/>
                <w:b/>
                <w:color w:val="auto"/>
                <w:sz w:val="24"/>
                <w:highlight w:val="none"/>
              </w:rPr>
              <w:t xml:space="preserve">                                                </w:t>
            </w:r>
            <w:r>
              <w:rPr>
                <w:rFonts w:hint="eastAsia" w:ascii="仿宋" w:hAnsi="仿宋" w:eastAsia="仿宋" w:cs="仿宋"/>
                <w:b/>
                <w:color w:val="auto"/>
                <w:sz w:val="24"/>
                <w:highlight w:val="none"/>
                <w:lang w:val="en-US" w:eastAsia="zh-CN"/>
              </w:rPr>
              <w:t xml:space="preserve">2.</w:t>
            </w:r>
            <w:r>
              <w:rPr>
                <w:rFonts w:hint="eastAsia" w:ascii="仿宋" w:hAnsi="仿宋" w:eastAsia="仿宋" w:cs="仿宋"/>
                <w:bCs/>
                <w:color w:val="auto"/>
                <w:sz w:val="24"/>
                <w:highlight w:val="none"/>
              </w:rPr>
              <w:t xml:space="preserve">所投仪器设备（</w:t>
            </w:r>
            <w:r>
              <w:rPr>
                <w:rFonts w:hint="eastAsia" w:ascii="仿宋" w:hAnsi="仿宋" w:eastAsia="仿宋" w:cs="仿宋"/>
                <w:bCs/>
                <w:color w:val="auto"/>
                <w:sz w:val="24"/>
                <w:highlight w:val="none"/>
                <w:lang w:eastAsia="zh-CN"/>
              </w:rPr>
              <w:t xml:space="preserve">挥发性有机物</w:t>
            </w:r>
            <w:r>
              <w:rPr>
                <w:rFonts w:hint="eastAsia" w:ascii="仿宋" w:hAnsi="仿宋" w:eastAsia="仿宋" w:cs="仿宋"/>
                <w:bCs/>
                <w:color w:val="auto"/>
                <w:sz w:val="24"/>
                <w:highlight w:val="none"/>
              </w:rPr>
              <w:t xml:space="preserve">分析仪、氨氮分析仪、高锰酸盐指数分析仪、总磷分析仪、总氮分析仪、五参数分析仪）列入中国环境监测总站最新公布的自动监测仪适用性检测合格名录的，每一个得1分，最多得6分，</w:t>
            </w:r>
            <w:r/>
          </w:p>
          <w:p>
            <w:pPr>
              <w:pStyle w:val="879"/>
              <w:spacing w:line="280" w:lineRule="exact"/>
              <w:rPr>
                <w:rFonts w:hint="default" w:ascii="仿宋" w:hAnsi="仿宋" w:eastAsia="仿宋" w:cs="仿宋"/>
                <w:bCs/>
                <w:color w:val="auto"/>
                <w:sz w:val="24"/>
                <w:highlight w:val="none"/>
              </w:rPr>
            </w:pPr>
            <w:r>
              <w:rPr>
                <w:rFonts w:ascii="仿宋" w:hAnsi="仿宋" w:eastAsia="仿宋" w:cs="仿宋"/>
                <w:b/>
                <w:color w:val="auto"/>
                <w:sz w:val="24"/>
                <w:highlight w:val="none"/>
              </w:rPr>
              <w:t xml:space="preserve">须提供证明材料（网站截图）并加盖公章。</w:t>
            </w:r>
            <w:r/>
          </w:p>
        </w:tc>
        <w:tc>
          <w:tcPr>
            <w:tcBorders>
              <w:top w:val="single" w:color="auto" w:sz="6" w:space="0"/>
              <w:left w:val="single" w:color="auto" w:sz="6" w:space="0"/>
              <w:bottom w:val="single" w:color="auto" w:sz="6" w:space="0"/>
              <w:right w:val="single" w:color="auto" w:sz="12" w:space="0"/>
            </w:tcBorders>
            <w:tcW w:w="588" w:type="dxa"/>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tc>
          <w:tcPr>
            <w:tcBorders>
              <w:top w:val="single" w:color="auto" w:sz="6" w:space="0"/>
              <w:left w:val="single" w:color="auto" w:sz="12" w:space="0"/>
              <w:bottom w:val="single" w:color="auto" w:sz="6" w:space="0"/>
              <w:right w:val="single" w:color="auto" w:sz="6" w:space="0"/>
            </w:tcBorders>
            <w:tcW w:w="692" w:type="dxa"/>
            <w:vAlign w:val="center"/>
            <w:vMerge w:val="continue"/>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6" w:space="0"/>
              <w:left w:val="single" w:color="auto" w:sz="6" w:space="0"/>
              <w:bottom w:val="single" w:color="auto" w:sz="6" w:space="0"/>
              <w:right w:val="single" w:color="auto" w:sz="6" w:space="0"/>
            </w:tcBorders>
            <w:tcW w:w="1231" w:type="dxa"/>
            <w:vAlign w:val="center"/>
            <w:vMerge w:val="continue"/>
            <w:textDirection w:val="lrTb"/>
            <w:noWrap/>
          </w:tcPr>
          <w:p>
            <w:pPr>
              <w:jc w:val="center"/>
              <w:spacing w:line="280" w:lineRule="exact"/>
              <w:widowControl/>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12</w:t>
            </w:r>
            <w:r/>
          </w:p>
        </w:tc>
        <w:tc>
          <w:tcPr>
            <w:tcBorders>
              <w:top w:val="single" w:color="auto" w:sz="6" w:space="0"/>
              <w:left w:val="single" w:color="auto" w:sz="6" w:space="0"/>
              <w:bottom w:val="single" w:color="auto" w:sz="6" w:space="0"/>
              <w:right w:val="single" w:color="auto" w:sz="6" w:space="0"/>
            </w:tcBorders>
            <w:tcW w:w="6427"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依据所投产品重要技术参数性能评分，具体如下：</w:t>
            </w:r>
            <w:r/>
          </w:p>
          <w:p>
            <w:pPr>
              <w:spacing w:line="280" w:lineRule="exact"/>
              <w:rPr>
                <w:rFonts w:ascii="仿宋" w:hAnsi="仿宋" w:eastAsia="仿宋" w:cs="仿宋"/>
                <w:b/>
                <w:color w:val="auto"/>
                <w:sz w:val="24"/>
                <w:highlight w:val="none"/>
              </w:rPr>
            </w:pPr>
            <w:r>
              <w:rPr>
                <w:rFonts w:hint="eastAsia" w:ascii="仿宋" w:hAnsi="仿宋" w:eastAsia="仿宋" w:cs="仿宋"/>
                <w:bCs/>
                <w:color w:val="auto"/>
                <w:sz w:val="24"/>
                <w:highlight w:val="none"/>
              </w:rPr>
              <w:t xml:space="preserve">1.所投挥发性有机物分析仪：定量重复性</w:t>
            </w:r>
            <w:r>
              <w:rPr>
                <w:rFonts w:ascii="Arial" w:hAnsi="Arial" w:eastAsia="仿宋" w:cs="Arial"/>
                <w:bCs/>
                <w:color w:val="auto"/>
                <w:sz w:val="24"/>
                <w:highlight w:val="none"/>
              </w:rPr>
              <w:t xml:space="preserve">≤</w:t>
            </w:r>
            <w:r>
              <w:rPr>
                <w:rFonts w:hint="eastAsia" w:ascii="仿宋" w:hAnsi="仿宋" w:eastAsia="仿宋" w:cs="仿宋"/>
                <w:bCs/>
                <w:color w:val="auto"/>
                <w:sz w:val="24"/>
                <w:highlight w:val="none"/>
              </w:rPr>
              <w:t xml:space="preserve">10%；</w:t>
            </w:r>
            <w:r>
              <w:rPr>
                <w:rFonts w:hint="eastAsia" w:ascii="仿宋" w:hAnsi="仿宋" w:eastAsia="仿宋" w:cs="仿宋"/>
                <w:b/>
                <w:color w:val="auto"/>
                <w:sz w:val="24"/>
                <w:highlight w:val="none"/>
              </w:rPr>
              <w:t xml:space="preserve">（须提供计量报告）</w:t>
            </w:r>
            <w:r/>
          </w:p>
          <w:p>
            <w:pPr>
              <w:spacing w:line="280" w:lineRule="exact"/>
              <w:rPr>
                <w:rFonts w:ascii="仿宋" w:hAnsi="仿宋" w:eastAsia="仿宋" w:cs="仿宋"/>
                <w:b/>
                <w:color w:val="auto"/>
                <w:sz w:val="24"/>
                <w:highlight w:val="none"/>
              </w:rPr>
            </w:pPr>
            <w:r>
              <w:rPr>
                <w:rFonts w:hint="eastAsia" w:ascii="仿宋" w:hAnsi="仿宋" w:eastAsia="仿宋" w:cs="仿宋"/>
                <w:bCs/>
                <w:color w:val="auto"/>
                <w:sz w:val="24"/>
                <w:highlight w:val="none"/>
              </w:rPr>
              <w:t xml:space="preserve">2.所投挥发性有机物分析仪：系统具有设定、校对和现实时间功能，并能通过系统推送或蜂鸣器报警并显示故障内容；</w:t>
            </w:r>
            <w:r>
              <w:rPr>
                <w:rFonts w:hint="eastAsia" w:ascii="仿宋" w:hAnsi="仿宋" w:eastAsia="仿宋" w:cs="仿宋"/>
                <w:b/>
                <w:color w:val="auto"/>
                <w:sz w:val="24"/>
                <w:highlight w:val="none"/>
              </w:rPr>
              <w:t xml:space="preserve">（须提供技术说明书）</w:t>
            </w:r>
            <w:r/>
          </w:p>
          <w:p>
            <w:pPr>
              <w:spacing w:line="280" w:lineRule="exact"/>
              <w:rPr>
                <w:rFonts w:ascii="仿宋" w:hAnsi="仿宋" w:eastAsia="仿宋" w:cs="仿宋"/>
                <w:b/>
                <w:color w:val="auto"/>
                <w:sz w:val="24"/>
                <w:highlight w:val="none"/>
              </w:rPr>
            </w:pPr>
            <w:r>
              <w:rPr>
                <w:rFonts w:hint="eastAsia" w:ascii="仿宋" w:hAnsi="仿宋" w:eastAsia="仿宋" w:cs="仿宋"/>
                <w:bCs/>
                <w:color w:val="auto"/>
                <w:sz w:val="24"/>
                <w:highlight w:val="none"/>
              </w:rPr>
              <w:t xml:space="preserve">3.所投挥发性有机物分析仪：设备长期稳定性</w:t>
            </w:r>
            <w:r>
              <w:rPr>
                <w:rFonts w:ascii="Arial" w:hAnsi="Arial" w:eastAsia="仿宋" w:cs="Arial"/>
                <w:bCs/>
                <w:color w:val="auto"/>
                <w:sz w:val="24"/>
                <w:highlight w:val="none"/>
              </w:rPr>
              <w:t xml:space="preserve">≤</w:t>
            </w:r>
            <w:r>
              <w:rPr>
                <w:rFonts w:hint="eastAsia" w:ascii="仿宋" w:hAnsi="仿宋" w:eastAsia="仿宋" w:cs="仿宋"/>
                <w:bCs/>
                <w:color w:val="auto"/>
                <w:sz w:val="24"/>
                <w:highlight w:val="none"/>
              </w:rPr>
              <w:t xml:space="preserve">10%；</w:t>
            </w:r>
            <w:r>
              <w:rPr>
                <w:rFonts w:hint="eastAsia" w:ascii="仿宋" w:hAnsi="仿宋" w:eastAsia="仿宋" w:cs="仿宋"/>
                <w:b/>
                <w:color w:val="auto"/>
                <w:sz w:val="24"/>
                <w:highlight w:val="none"/>
              </w:rPr>
              <w:t xml:space="preserve">（须提供计量报告）</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4.所投氨氮分析仪定量重复性</w:t>
            </w:r>
            <w:r>
              <w:rPr>
                <w:rFonts w:ascii="Arial" w:hAnsi="Arial" w:eastAsia="仿宋" w:cs="Arial"/>
                <w:bCs/>
                <w:color w:val="auto"/>
                <w:sz w:val="24"/>
                <w:highlight w:val="none"/>
              </w:rPr>
              <w:t xml:space="preserve">≤</w:t>
            </w:r>
            <w:r>
              <w:rPr>
                <w:rFonts w:hint="eastAsia" w:ascii="仿宋" w:hAnsi="仿宋" w:eastAsia="仿宋" w:cs="仿宋"/>
                <w:bCs/>
                <w:color w:val="auto"/>
                <w:sz w:val="24"/>
                <w:highlight w:val="none"/>
              </w:rPr>
              <w:t xml:space="preserve">1%；</w:t>
            </w:r>
            <w:r>
              <w:rPr>
                <w:rFonts w:hint="eastAsia" w:ascii="仿宋" w:hAnsi="仿宋" w:eastAsia="仿宋" w:cs="仿宋"/>
                <w:b/>
                <w:color w:val="auto"/>
                <w:sz w:val="24"/>
                <w:highlight w:val="none"/>
              </w:rPr>
              <w:t xml:space="preserve">（须提供计量报告）</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5.所投总磷分析仪无故障运行时间</w:t>
            </w:r>
            <w:r>
              <w:rPr>
                <w:rFonts w:ascii="Arial" w:hAnsi="Arial" w:eastAsia="仿宋" w:cs="Arial"/>
                <w:bCs/>
                <w:color w:val="auto"/>
                <w:sz w:val="24"/>
                <w:highlight w:val="none"/>
              </w:rPr>
              <w:t xml:space="preserve">≥</w:t>
            </w:r>
            <w:r>
              <w:rPr>
                <w:rFonts w:hint="eastAsia" w:ascii="仿宋" w:hAnsi="仿宋" w:eastAsia="仿宋" w:cs="仿宋"/>
                <w:bCs/>
                <w:color w:val="auto"/>
                <w:sz w:val="24"/>
                <w:highlight w:val="none"/>
              </w:rPr>
              <w:t xml:space="preserve">720h；</w:t>
            </w:r>
            <w:r>
              <w:rPr>
                <w:rFonts w:hint="eastAsia" w:ascii="仿宋" w:hAnsi="仿宋" w:eastAsia="仿宋" w:cs="仿宋"/>
                <w:b/>
                <w:color w:val="auto"/>
                <w:sz w:val="24"/>
                <w:highlight w:val="none"/>
              </w:rPr>
              <w:t xml:space="preserve">（须提供计量报告）</w:t>
            </w:r>
            <w:r/>
          </w:p>
          <w:p>
            <w:pPr>
              <w:spacing w:line="280" w:lineRule="exact"/>
              <w:rPr>
                <w:rFonts w:ascii="仿宋" w:hAnsi="仿宋" w:eastAsia="仿宋" w:cs="仿宋"/>
                <w:b/>
                <w:color w:val="auto"/>
                <w:sz w:val="24"/>
                <w:highlight w:val="none"/>
              </w:rPr>
            </w:pPr>
            <w:r>
              <w:rPr>
                <w:rFonts w:hint="eastAsia" w:ascii="仿宋" w:hAnsi="仿宋" w:eastAsia="仿宋" w:cs="仿宋"/>
                <w:bCs/>
                <w:color w:val="auto"/>
                <w:sz w:val="24"/>
                <w:highlight w:val="none"/>
              </w:rPr>
              <w:t xml:space="preserve">6.所投高锰酸盐指数分析仪：仪器具有光源校准功能，降低光源器件衰减引入的误差，消除光源老化的影响；</w:t>
            </w:r>
            <w:r>
              <w:rPr>
                <w:rFonts w:hint="eastAsia" w:ascii="仿宋" w:hAnsi="仿宋" w:eastAsia="仿宋" w:cs="仿宋"/>
                <w:b/>
                <w:color w:val="auto"/>
                <w:sz w:val="24"/>
                <w:highlight w:val="none"/>
              </w:rPr>
              <w:t xml:space="preserve">（须提供技术说明书）</w:t>
            </w:r>
            <w:r/>
          </w:p>
          <w:p>
            <w:pPr>
              <w:spacing w:line="280" w:lineRule="exact"/>
              <w:rPr>
                <w:rFonts w:ascii="仿宋" w:hAnsi="仿宋" w:eastAsia="仿宋" w:cs="仿宋"/>
                <w:bCs/>
                <w:color w:val="auto"/>
                <w:sz w:val="24"/>
                <w:highlight w:val="none"/>
              </w:rPr>
            </w:pPr>
            <w:r>
              <w:rPr>
                <w:rFonts w:hint="eastAsia" w:ascii="仿宋" w:hAnsi="仿宋" w:eastAsia="仿宋" w:cs="仿宋"/>
                <w:b/>
                <w:color w:val="auto"/>
                <w:sz w:val="24"/>
                <w:highlight w:val="none"/>
              </w:rPr>
              <w:t xml:space="preserve">上述技术要求满足</w:t>
            </w:r>
            <w:r>
              <w:rPr>
                <w:rFonts w:hint="eastAsia" w:ascii="仿宋" w:hAnsi="仿宋" w:eastAsia="仿宋" w:cs="仿宋"/>
                <w:b/>
                <w:color w:val="auto"/>
                <w:sz w:val="24"/>
                <w:highlight w:val="none"/>
                <w:lang w:val="en-US" w:eastAsia="zh-CN"/>
              </w:rPr>
              <w:t xml:space="preserve">1</w:t>
            </w:r>
            <w:r>
              <w:rPr>
                <w:rFonts w:hint="eastAsia" w:ascii="仿宋" w:hAnsi="仿宋" w:eastAsia="仿宋" w:cs="仿宋"/>
                <w:b/>
                <w:color w:val="auto"/>
                <w:sz w:val="24"/>
                <w:highlight w:val="none"/>
              </w:rPr>
              <w:t xml:space="preserve">项得2分，最高得12分。</w:t>
            </w:r>
            <w:r/>
          </w:p>
        </w:tc>
        <w:tc>
          <w:tcPr>
            <w:tcBorders>
              <w:top w:val="single" w:color="auto" w:sz="6" w:space="0"/>
              <w:left w:val="single" w:color="auto" w:sz="6" w:space="0"/>
              <w:bottom w:val="single" w:color="auto" w:sz="6" w:space="0"/>
              <w:right w:val="single" w:color="auto" w:sz="12" w:space="0"/>
            </w:tcBorders>
            <w:tcW w:w="588" w:type="dxa"/>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tc>
          <w:tcPr>
            <w:tcBorders>
              <w:top w:val="single" w:color="auto" w:sz="6" w:space="0"/>
              <w:left w:val="single" w:color="auto" w:sz="12" w:space="0"/>
              <w:bottom w:val="single" w:color="auto" w:sz="6" w:space="0"/>
              <w:right w:val="single" w:color="auto" w:sz="6" w:space="0"/>
            </w:tcBorders>
            <w:tcW w:w="692" w:type="dxa"/>
            <w:vAlign w:val="center"/>
            <w:vMerge w:val="continue"/>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6" w:space="0"/>
              <w:left w:val="single" w:color="auto" w:sz="6" w:space="0"/>
              <w:bottom w:val="single" w:color="auto" w:sz="6" w:space="0"/>
              <w:right w:val="single" w:color="auto" w:sz="6" w:space="0"/>
            </w:tcBorders>
            <w:tcW w:w="1231" w:type="dxa"/>
            <w:vAlign w:val="center"/>
            <w:vMerge w:val="continue"/>
            <w:textDirection w:val="lrTb"/>
            <w:noWrap/>
          </w:tcPr>
          <w:p>
            <w:pPr>
              <w:jc w:val="center"/>
              <w:spacing w:line="280" w:lineRule="exact"/>
              <w:widowControl/>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6427"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所投仪器设备（挥发酚分析仪、氨氮分析仪、高锰酸盐指数分析仪、总磷分析仪、总氮分析仪、五参数分析仪、集成系统）为同一品牌得2分。</w:t>
            </w:r>
            <w:r/>
          </w:p>
        </w:tc>
        <w:tc>
          <w:tcPr>
            <w:tcBorders>
              <w:top w:val="single" w:color="auto" w:sz="6" w:space="0"/>
              <w:left w:val="single" w:color="auto" w:sz="6" w:space="0"/>
              <w:bottom w:val="single" w:color="auto" w:sz="6" w:space="0"/>
              <w:right w:val="single" w:color="auto" w:sz="12" w:space="0"/>
            </w:tcBorders>
            <w:tcW w:w="588" w:type="dxa"/>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tc>
          <w:tcPr>
            <w:tcBorders>
              <w:top w:val="single" w:color="auto" w:sz="6" w:space="0"/>
              <w:left w:val="single" w:color="auto" w:sz="12" w:space="0"/>
              <w:bottom w:val="single" w:color="auto" w:sz="6" w:space="0"/>
              <w:right w:val="single" w:color="auto" w:sz="6" w:space="0"/>
            </w:tcBorders>
            <w:tcW w:w="692" w:type="dxa"/>
            <w:vAlign w:val="center"/>
            <w:vMerge w:val="restart"/>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31" w:type="dxa"/>
            <w:vAlign w:val="center"/>
            <w:vMerge w:val="restart"/>
            <w:textDirection w:val="lrTb"/>
            <w:noWrap/>
          </w:tcPr>
          <w:p>
            <w:pPr>
              <w:jc w:val="center"/>
              <w:spacing w:line="280" w:lineRule="exact"/>
              <w:widowControl/>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企业实力（10分）</w:t>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6</w:t>
            </w:r>
            <w:r/>
          </w:p>
        </w:tc>
        <w:tc>
          <w:tcPr>
            <w:tcBorders>
              <w:top w:val="single" w:color="auto" w:sz="6" w:space="0"/>
              <w:left w:val="single" w:color="auto" w:sz="6" w:space="0"/>
              <w:bottom w:val="single" w:color="auto" w:sz="6" w:space="0"/>
              <w:right w:val="single" w:color="auto" w:sz="6" w:space="0"/>
            </w:tcBorders>
            <w:tcW w:w="6427" w:type="dxa"/>
            <w:vAlign w:val="center"/>
            <w:textDirection w:val="lrTb"/>
            <w:noWrap/>
          </w:tcPr>
          <w:p>
            <w:pPr>
              <w:spacing w:line="280" w:lineRule="exact"/>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 xml:space="preserve">所投主要仪器设备（挥发酚分析仪、氨氮分析仪、高锰酸盐指数分析仪、总磷分析仪、总氮分析仪、五参数分析仪）每有一项专利得1分，最多得6分。专利所有人</w:t>
            </w:r>
            <w:r>
              <w:rPr>
                <w:rFonts w:hint="eastAsia" w:ascii="仿宋" w:hAnsi="仿宋" w:eastAsia="仿宋" w:cs="仿宋"/>
                <w:bCs/>
                <w:color w:val="auto"/>
                <w:sz w:val="24"/>
                <w:highlight w:val="none"/>
              </w:rPr>
              <w:t xml:space="preserve">须</w:t>
            </w:r>
            <w:r>
              <w:rPr>
                <w:rFonts w:hint="eastAsia" w:ascii="仿宋" w:hAnsi="仿宋" w:eastAsia="仿宋" w:cs="仿宋"/>
                <w:bCs/>
                <w:color w:val="auto"/>
                <w:sz w:val="24"/>
                <w:highlight w:val="none"/>
              </w:rPr>
              <w:t xml:space="preserve">与所投产品</w:t>
            </w:r>
            <w:r>
              <w:rPr>
                <w:rFonts w:hint="eastAsia" w:ascii="仿宋" w:hAnsi="仿宋" w:eastAsia="仿宋" w:cs="仿宋"/>
                <w:bCs/>
                <w:color w:val="auto"/>
                <w:sz w:val="24"/>
                <w:highlight w:val="none"/>
              </w:rPr>
              <w:t xml:space="preserve">的</w:t>
            </w:r>
            <w:r>
              <w:rPr>
                <w:rFonts w:hint="eastAsia" w:ascii="仿宋" w:hAnsi="仿宋" w:eastAsia="仿宋" w:cs="仿宋"/>
                <w:bCs/>
                <w:color w:val="auto"/>
                <w:sz w:val="24"/>
                <w:highlight w:val="none"/>
              </w:rPr>
              <w:t xml:space="preserve">品牌</w:t>
            </w:r>
            <w:r>
              <w:rPr>
                <w:rFonts w:hint="eastAsia" w:ascii="仿宋" w:hAnsi="仿宋" w:eastAsia="仿宋" w:cs="仿宋"/>
                <w:bCs/>
                <w:color w:val="auto"/>
                <w:sz w:val="24"/>
                <w:highlight w:val="none"/>
              </w:rPr>
              <w:t xml:space="preserve">持有</w:t>
            </w:r>
            <w:r>
              <w:rPr>
                <w:rFonts w:hint="eastAsia" w:ascii="仿宋" w:hAnsi="仿宋" w:eastAsia="仿宋" w:cs="仿宋"/>
                <w:bCs/>
                <w:color w:val="auto"/>
                <w:sz w:val="24"/>
                <w:highlight w:val="none"/>
              </w:rPr>
              <w:t xml:space="preserve">者</w:t>
            </w:r>
            <w:r>
              <w:rPr>
                <w:rFonts w:hint="eastAsia" w:ascii="仿宋" w:hAnsi="仿宋" w:eastAsia="仿宋" w:cs="仿宋"/>
                <w:bCs/>
                <w:color w:val="auto"/>
                <w:sz w:val="24"/>
                <w:highlight w:val="none"/>
              </w:rPr>
              <w:t xml:space="preserve">一致</w:t>
            </w:r>
            <w:r>
              <w:rPr>
                <w:rFonts w:hint="eastAsia" w:ascii="仿宋" w:hAnsi="仿宋" w:eastAsia="仿宋" w:cs="仿宋"/>
                <w:bCs/>
                <w:color w:val="auto"/>
                <w:sz w:val="24"/>
                <w:highlight w:val="none"/>
                <w:lang w:eastAsia="zh-CN"/>
              </w:rPr>
              <w:t xml:space="preserve">。</w:t>
            </w:r>
            <w:r/>
          </w:p>
          <w:p>
            <w:pPr>
              <w:spacing w:line="280" w:lineRule="exact"/>
              <w:rPr>
                <w:rFonts w:ascii="仿宋" w:hAnsi="仿宋" w:eastAsia="仿宋" w:cs="仿宋"/>
                <w:bCs/>
                <w:color w:val="auto"/>
                <w:sz w:val="24"/>
                <w:highlight w:val="none"/>
              </w:rPr>
            </w:pPr>
            <w:r>
              <w:rPr>
                <w:rFonts w:hint="eastAsia" w:ascii="仿宋" w:hAnsi="仿宋" w:eastAsia="仿宋" w:cs="仿宋"/>
                <w:b/>
                <w:color w:val="auto"/>
                <w:sz w:val="24"/>
                <w:highlight w:val="none"/>
              </w:rPr>
              <w:t xml:space="preserve">提供专利证书扫描件，专利需在有效期内。</w:t>
            </w:r>
            <w:r/>
          </w:p>
        </w:tc>
        <w:tc>
          <w:tcPr>
            <w:tcBorders>
              <w:top w:val="single" w:color="auto" w:sz="6" w:space="0"/>
              <w:left w:val="single" w:color="auto" w:sz="6" w:space="0"/>
              <w:bottom w:val="single" w:color="auto" w:sz="6" w:space="0"/>
              <w:right w:val="single" w:color="auto" w:sz="12" w:space="0"/>
            </w:tcBorders>
            <w:tcW w:w="588" w:type="dxa"/>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tc>
          <w:tcPr>
            <w:tcBorders>
              <w:top w:val="single" w:color="auto" w:sz="6" w:space="0"/>
              <w:left w:val="single" w:color="auto" w:sz="12" w:space="0"/>
              <w:bottom w:val="single" w:color="auto" w:sz="6" w:space="0"/>
              <w:right w:val="single" w:color="auto" w:sz="6" w:space="0"/>
            </w:tcBorders>
            <w:tcW w:w="692" w:type="dxa"/>
            <w:vAlign w:val="center"/>
            <w:vMerge w:val="continue"/>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6" w:space="0"/>
              <w:left w:val="single" w:color="auto" w:sz="6" w:space="0"/>
              <w:bottom w:val="single" w:color="auto" w:sz="6" w:space="0"/>
              <w:right w:val="single" w:color="auto" w:sz="6" w:space="0"/>
            </w:tcBorders>
            <w:tcW w:w="1231" w:type="dxa"/>
            <w:vAlign w:val="center"/>
            <w:vMerge w:val="continue"/>
            <w:textDirection w:val="lrTb"/>
            <w:noWrap/>
          </w:tcPr>
          <w:p>
            <w:pPr>
              <w:jc w:val="center"/>
              <w:spacing w:line="280" w:lineRule="exact"/>
              <w:widowControl/>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6427"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投标人具有有效的ISO9001质量管理体系认证证书，ISO14001环境管理体系认证证书，每项得2分。</w:t>
            </w:r>
            <w:r/>
          </w:p>
          <w:p>
            <w:pPr>
              <w:spacing w:line="280" w:lineRule="exact"/>
              <w:rPr>
                <w:rFonts w:ascii="仿宋" w:hAnsi="仿宋" w:eastAsia="仿宋" w:cs="仿宋"/>
                <w:bCs/>
                <w:color w:val="auto"/>
                <w:sz w:val="24"/>
                <w:highlight w:val="none"/>
              </w:rPr>
            </w:pPr>
            <w:r>
              <w:rPr>
                <w:rFonts w:hint="eastAsia" w:ascii="仿宋" w:hAnsi="仿宋" w:eastAsia="仿宋" w:cs="仿宋"/>
                <w:b/>
                <w:color w:val="auto"/>
                <w:sz w:val="24"/>
                <w:highlight w:val="none"/>
              </w:rPr>
              <w:t xml:space="preserve">须提供证书复印件及全国认证认可信息公共服务平台查询截图并加盖公章，否则不得分。</w:t>
            </w:r>
            <w:r/>
          </w:p>
        </w:tc>
        <w:tc>
          <w:tcPr>
            <w:tcBorders>
              <w:top w:val="single" w:color="auto" w:sz="6" w:space="0"/>
              <w:left w:val="single" w:color="auto" w:sz="6" w:space="0"/>
              <w:bottom w:val="single" w:color="auto" w:sz="6" w:space="0"/>
              <w:right w:val="single" w:color="auto" w:sz="12" w:space="0"/>
            </w:tcBorders>
            <w:tcW w:w="588" w:type="dxa"/>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tc>
          <w:tcPr>
            <w:tcBorders>
              <w:top w:val="single" w:color="auto" w:sz="6" w:space="0"/>
              <w:left w:val="single" w:color="auto" w:sz="12" w:space="0"/>
              <w:bottom w:val="single" w:color="auto" w:sz="6" w:space="0"/>
              <w:right w:val="single" w:color="auto" w:sz="6" w:space="0"/>
            </w:tcBorders>
            <w:tcW w:w="692" w:type="dxa"/>
            <w:vAlign w:val="center"/>
            <w:vMerge w:val="restart"/>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w:t>
            </w:r>
            <w:r/>
          </w:p>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6" w:space="0"/>
              <w:left w:val="single" w:color="auto" w:sz="6" w:space="0"/>
              <w:bottom w:val="single" w:color="auto" w:sz="6" w:space="0"/>
              <w:right w:val="single" w:color="auto" w:sz="6" w:space="0"/>
            </w:tcBorders>
            <w:tcW w:w="1231" w:type="dxa"/>
            <w:vAlign w:val="center"/>
            <w:vMerge w:val="restart"/>
            <w:textDirection w:val="lrTb"/>
            <w:noWrap/>
          </w:tcPr>
          <w:p>
            <w:pPr>
              <w:jc w:val="center"/>
              <w:spacing w:line="280" w:lineRule="exact"/>
              <w:widowControl/>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240"/>
              <w:spacing w:line="280" w:lineRule="exact"/>
              <w:widowControl/>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业绩（15分）</w:t>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6</w:t>
            </w:r>
            <w:r/>
          </w:p>
        </w:tc>
        <w:tc>
          <w:tcPr>
            <w:tcBorders>
              <w:top w:val="single" w:color="auto" w:sz="6" w:space="0"/>
              <w:left w:val="single" w:color="auto" w:sz="6" w:space="0"/>
              <w:bottom w:val="single" w:color="auto" w:sz="6" w:space="0"/>
              <w:right w:val="single" w:color="auto" w:sz="6" w:space="0"/>
            </w:tcBorders>
            <w:tcW w:w="6427"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自2023年1月1日以来，供应商承担过同类型采购项目业绩每有一个得2分，本项最高得分为6分。</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同类型采购项目业绩指：同类型业绩指地表水水质自动站建设类。</w:t>
            </w:r>
            <w:r/>
          </w:p>
          <w:p>
            <w:pPr>
              <w:spacing w:line="280" w:lineRule="exact"/>
              <w:rPr>
                <w:rFonts w:ascii="仿宋" w:hAnsi="仿宋" w:eastAsia="仿宋" w:cs="仿宋"/>
                <w:bCs/>
                <w:color w:val="auto"/>
                <w:sz w:val="24"/>
                <w:highlight w:val="none"/>
              </w:rPr>
            </w:pPr>
            <w:r>
              <w:rPr>
                <w:rFonts w:hint="eastAsia" w:ascii="仿宋" w:hAnsi="仿宋" w:eastAsia="仿宋" w:cs="仿宋"/>
                <w:b/>
                <w:color w:val="auto"/>
                <w:sz w:val="24"/>
                <w:highlight w:val="none"/>
              </w:rPr>
              <w:t xml:space="preserve">须提供项目合同复印件、中标通知书、发票（金额不少于30%的合同款）作为证明材料并加盖公章，未提供或提供不齐全不得分。上述合同业绩不得重复提供。</w:t>
            </w:r>
            <w:r/>
          </w:p>
        </w:tc>
        <w:tc>
          <w:tcPr>
            <w:tcBorders>
              <w:top w:val="single" w:color="auto" w:sz="6" w:space="0"/>
              <w:left w:val="single" w:color="auto" w:sz="6" w:space="0"/>
              <w:bottom w:val="single" w:color="auto" w:sz="6" w:space="0"/>
              <w:right w:val="single" w:color="auto" w:sz="12" w:space="0"/>
            </w:tcBorders>
            <w:tcW w:w="588" w:type="dxa"/>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tc>
          <w:tcPr>
            <w:tcBorders>
              <w:top w:val="single" w:color="auto" w:sz="6" w:space="0"/>
              <w:left w:val="single" w:color="auto" w:sz="12" w:space="0"/>
              <w:bottom w:val="single" w:color="auto" w:sz="6" w:space="0"/>
              <w:right w:val="single" w:color="auto" w:sz="6" w:space="0"/>
            </w:tcBorders>
            <w:tcW w:w="692" w:type="dxa"/>
            <w:vAlign w:val="center"/>
            <w:vMerge w:val="continue"/>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6" w:space="0"/>
              <w:left w:val="single" w:color="auto" w:sz="6" w:space="0"/>
              <w:bottom w:val="single" w:color="auto" w:sz="6" w:space="0"/>
              <w:right w:val="single" w:color="auto" w:sz="6" w:space="0"/>
            </w:tcBorders>
            <w:tcW w:w="1231" w:type="dxa"/>
            <w:vAlign w:val="center"/>
            <w:vMerge w:val="continue"/>
            <w:textDirection w:val="lrTb"/>
            <w:noWrap/>
          </w:tcPr>
          <w:p>
            <w:pPr>
              <w:jc w:val="center"/>
              <w:spacing w:line="280" w:lineRule="exact"/>
              <w:widowControl/>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9</w:t>
            </w:r>
            <w:r/>
          </w:p>
        </w:tc>
        <w:tc>
          <w:tcPr>
            <w:tcBorders>
              <w:top w:val="single" w:color="auto" w:sz="6" w:space="0"/>
              <w:left w:val="single" w:color="auto" w:sz="6" w:space="0"/>
              <w:bottom w:val="single" w:color="auto" w:sz="6" w:space="0"/>
              <w:right w:val="single" w:color="auto" w:sz="6" w:space="0"/>
            </w:tcBorders>
            <w:tcW w:w="6427" w:type="dxa"/>
            <w:vAlign w:val="center"/>
            <w:textDirection w:val="lrTb"/>
            <w:noWrap/>
          </w:tcPr>
          <w:p>
            <w:pPr>
              <w:spacing w:line="280" w:lineRule="exact"/>
              <w:widowControl/>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自2023年1月1日以来，投标产品具有类似应用案例，每有一个得1分，本项最高得分9分。</w:t>
            </w:r>
            <w:r/>
          </w:p>
          <w:p>
            <w:pPr>
              <w:spacing w:line="280" w:lineRule="exact"/>
              <w:widowControl/>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所投标产品应用案例指：投标产品水质自动站</w:t>
            </w:r>
            <w:bookmarkStart w:id="120" w:name="OLE_LINK1"/>
            <w:r>
              <w:rPr>
                <w:rFonts w:hint="eastAsia" w:ascii="仿宋" w:hAnsi="仿宋" w:eastAsia="仿宋" w:cs="仿宋"/>
                <w:bCs/>
                <w:color w:val="auto"/>
                <w:sz w:val="24"/>
                <w:highlight w:val="none"/>
              </w:rPr>
              <w:t xml:space="preserve">挥发酚</w:t>
            </w:r>
            <w:bookmarkEnd w:id="120"/>
            <w:r>
              <w:rPr>
                <w:rFonts w:hint="eastAsia" w:ascii="仿宋" w:hAnsi="仿宋" w:eastAsia="仿宋" w:cs="仿宋"/>
                <w:bCs/>
                <w:color w:val="auto"/>
                <w:sz w:val="24"/>
                <w:highlight w:val="none"/>
              </w:rPr>
              <w:t xml:space="preserve">或水质自动站挥发性有机物同一型号的应用案例。</w:t>
            </w:r>
            <w:r/>
          </w:p>
          <w:p>
            <w:pPr>
              <w:spacing w:line="280" w:lineRule="exact"/>
              <w:widowControl/>
              <w:rPr>
                <w:rFonts w:ascii="仿宋" w:hAnsi="仿宋" w:eastAsia="仿宋" w:cs="仿宋"/>
                <w:bCs/>
                <w:color w:val="auto"/>
                <w:sz w:val="24"/>
                <w:highlight w:val="none"/>
              </w:rPr>
            </w:pPr>
            <w:r>
              <w:rPr>
                <w:rFonts w:hint="eastAsia" w:ascii="仿宋" w:hAnsi="仿宋" w:eastAsia="仿宋" w:cs="仿宋"/>
                <w:b/>
                <w:color w:val="auto"/>
                <w:sz w:val="24"/>
                <w:highlight w:val="none"/>
              </w:rPr>
              <w:t xml:space="preserve">须提供采购合同、中标（成交）通知书、结算发票（金额不少于30%的合同款）扫描件，且合同中有明确设备名称、数量等并加盖公章，否则不得分。同一业绩合同中同一产品有多台所投设备的不累计得分。</w:t>
            </w:r>
            <w:r/>
          </w:p>
        </w:tc>
        <w:tc>
          <w:tcPr>
            <w:tcBorders>
              <w:top w:val="single" w:color="auto" w:sz="6" w:space="0"/>
              <w:left w:val="single" w:color="auto" w:sz="6" w:space="0"/>
              <w:bottom w:val="single" w:color="auto" w:sz="6" w:space="0"/>
              <w:right w:val="single" w:color="auto" w:sz="12" w:space="0"/>
            </w:tcBorders>
            <w:tcW w:w="588" w:type="dxa"/>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tc>
          <w:tcPr>
            <w:tcBorders>
              <w:top w:val="single" w:color="auto" w:sz="6" w:space="0"/>
              <w:left w:val="single" w:color="auto" w:sz="12" w:space="0"/>
              <w:bottom w:val="single" w:color="auto" w:sz="6" w:space="0"/>
              <w:right w:val="single" w:color="auto" w:sz="6" w:space="0"/>
            </w:tcBorders>
            <w:tcW w:w="69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w:t>
            </w:r>
            <w:r/>
          </w:p>
        </w:tc>
        <w:tc>
          <w:tcPr>
            <w:tcBorders>
              <w:top w:val="single" w:color="auto" w:sz="6" w:space="0"/>
              <w:left w:val="single" w:color="auto" w:sz="6" w:space="0"/>
              <w:bottom w:val="single" w:color="auto" w:sz="6" w:space="0"/>
              <w:right w:val="single" w:color="auto" w:sz="6" w:space="0"/>
            </w:tcBorders>
            <w:tcW w:w="1231"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服务保障（4分）</w:t>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6427" w:type="dxa"/>
            <w:textDirection w:val="lrTb"/>
            <w:noWrap/>
          </w:tcPr>
          <w:p>
            <w:pPr>
              <w:ind w:firstLine="440"/>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1.拟派项目负责人具有环境类中级工程师职称，得1分；具有环境类高级工程师职称及以上的得2分；未提供不得分。本项最多2分。</w:t>
            </w:r>
            <w:r/>
          </w:p>
          <w:p>
            <w:pPr>
              <w:ind w:firstLine="440"/>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2.人员培训承诺，</w:t>
            </w:r>
            <w:r>
              <w:rPr>
                <w:rFonts w:hint="eastAsia" w:ascii="仿宋" w:hAnsi="仿宋" w:eastAsia="仿宋"/>
                <w:bCs/>
                <w:color w:val="auto"/>
                <w:sz w:val="24"/>
                <w:highlight w:val="none"/>
              </w:rPr>
              <w:t xml:space="preserve">仪器正常使用期间，采购人须对相关管理人员及运维人员（如发生运维人员变动）无偿提供专业、系统的现场培训，提供承诺书得2分，不承诺不得分。</w:t>
            </w:r>
            <w:r/>
          </w:p>
          <w:p>
            <w:pPr>
              <w:jc w:val="left"/>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注：项目负责人负责本项目合同签订后至项目验收前站房所有设备的安装、调试、验收等全过程。</w:t>
            </w:r>
            <w:r/>
          </w:p>
          <w:p>
            <w:pPr>
              <w:jc w:val="left"/>
              <w:spacing w:line="280" w:lineRule="exact"/>
              <w:rPr>
                <w:rFonts w:ascii="仿宋" w:hAnsi="仿宋" w:eastAsia="仿宋" w:cs="仿宋"/>
                <w:bCs/>
                <w:color w:val="auto"/>
                <w:sz w:val="24"/>
                <w:highlight w:val="none"/>
              </w:rPr>
            </w:pPr>
            <w:r>
              <w:rPr>
                <w:rFonts w:hint="eastAsia" w:ascii="仿宋" w:hAnsi="仿宋" w:eastAsia="仿宋" w:cs="仿宋"/>
                <w:b/>
                <w:color w:val="auto"/>
                <w:sz w:val="24"/>
                <w:highlight w:val="none"/>
              </w:rPr>
              <w:t xml:space="preserve">须提供拟派人员的职称证书加盖公章，同时须提供响应文件提交截止日前最近1个月响应供应商为其缴纳社保的证明加盖公章。</w:t>
            </w:r>
            <w:r/>
          </w:p>
        </w:tc>
        <w:tc>
          <w:tcPr>
            <w:tcBorders>
              <w:top w:val="single" w:color="auto" w:sz="6" w:space="0"/>
              <w:left w:val="single" w:color="auto" w:sz="6" w:space="0"/>
              <w:bottom w:val="single" w:color="auto" w:sz="6" w:space="0"/>
              <w:right w:val="single" w:color="auto" w:sz="12" w:space="0"/>
            </w:tcBorders>
            <w:tcW w:w="588" w:type="dxa"/>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trHeight w:val="8075"/>
        </w:trPr>
        <w:tc>
          <w:tcPr>
            <w:tcBorders>
              <w:top w:val="single" w:color="auto" w:sz="6" w:space="0"/>
              <w:left w:val="single" w:color="auto" w:sz="12" w:space="0"/>
              <w:bottom w:val="single" w:color="auto" w:sz="6" w:space="0"/>
              <w:right w:val="single" w:color="auto" w:sz="6" w:space="0"/>
            </w:tcBorders>
            <w:tcW w:w="69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6</w:t>
            </w:r>
            <w:r/>
          </w:p>
        </w:tc>
        <w:tc>
          <w:tcPr>
            <w:tcBorders>
              <w:top w:val="single" w:color="auto" w:sz="6" w:space="0"/>
              <w:left w:val="single" w:color="auto" w:sz="6" w:space="0"/>
              <w:bottom w:val="single" w:color="auto" w:sz="6" w:space="0"/>
              <w:right w:val="single" w:color="auto" w:sz="6" w:space="0"/>
            </w:tcBorders>
            <w:tcW w:w="1231" w:type="dxa"/>
            <w:vAlign w:val="center"/>
            <w:textDirection w:val="lrTb"/>
            <w:noWrap/>
          </w:tcPr>
          <w:p>
            <w:pPr>
              <w:pStyle w:val="893"/>
              <w:jc w:val="center"/>
              <w:spacing w:beforeAutospacing="0" w:afterAutospacing="0" w:line="280" w:lineRule="exact"/>
              <w:widowControl w:val="off"/>
              <w:rPr>
                <w:rFonts w:ascii="仿宋" w:hAnsi="仿宋" w:eastAsia="仿宋" w:cs="仿宋"/>
                <w:bCs/>
                <w:color w:val="auto"/>
                <w:highlight w:val="none"/>
              </w:rPr>
            </w:pPr>
            <w:r>
              <w:rPr>
                <w:rFonts w:hint="eastAsia" w:ascii="仿宋" w:hAnsi="仿宋" w:eastAsia="仿宋" w:cs="仿宋"/>
                <w:bCs/>
                <w:color w:val="auto"/>
                <w:highlight w:val="none"/>
              </w:rPr>
              <w:t xml:space="preserve">项目建设方案、</w:t>
            </w:r>
            <w:r>
              <w:rPr>
                <w:rFonts w:hint="eastAsia" w:ascii="仿宋" w:hAnsi="仿宋" w:eastAsia="仿宋" w:cs="仿宋"/>
                <w:bCs/>
                <w:color w:val="auto"/>
                <w:highlight w:val="none"/>
              </w:rPr>
              <w:t xml:space="preserve">仪器设备安装调试、联网方案、售后</w:t>
            </w:r>
            <w:r>
              <w:rPr>
                <w:rFonts w:hint="eastAsia" w:ascii="仿宋" w:hAnsi="仿宋" w:eastAsia="仿宋" w:cs="仿宋"/>
                <w:bCs/>
                <w:color w:val="auto"/>
                <w:highlight w:val="none"/>
              </w:rPr>
              <w:t xml:space="preserve">（11分）</w:t>
            </w:r>
            <w:r/>
          </w:p>
          <w:p>
            <w:pPr>
              <w:pStyle w:val="926"/>
              <w:jc w:val="center"/>
              <w:spacing w:line="28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tcPr>
          <w:p>
            <w:pPr>
              <w:pStyle w:val="893"/>
              <w:jc w:val="center"/>
              <w:spacing w:beforeAutospacing="0" w:afterAutospacing="0" w:line="280" w:lineRule="exact"/>
              <w:widowControl w:val="off"/>
              <w:rPr>
                <w:rFonts w:ascii="仿宋" w:hAnsi="仿宋" w:eastAsia="仿宋" w:cs="仿宋"/>
                <w:bCs/>
                <w:color w:val="auto"/>
                <w:highlight w:val="none"/>
              </w:rPr>
            </w:pPr>
            <w:r>
              <w:rPr>
                <w:rFonts w:hint="eastAsia" w:ascii="仿宋" w:hAnsi="仿宋" w:eastAsia="仿宋" w:cs="仿宋"/>
                <w:bCs/>
                <w:color w:val="auto"/>
                <w:highlight w:val="none"/>
              </w:rPr>
              <w:t xml:space="preserve">11</w:t>
            </w:r>
            <w:r/>
          </w:p>
        </w:tc>
        <w:tc>
          <w:tcPr>
            <w:tcBorders>
              <w:top w:val="single" w:color="auto" w:sz="6" w:space="0"/>
              <w:left w:val="single" w:color="auto" w:sz="6" w:space="0"/>
              <w:bottom w:val="single" w:color="auto" w:sz="6" w:space="0"/>
              <w:right w:val="single" w:color="auto" w:sz="6" w:space="0"/>
            </w:tcBorders>
            <w:tcW w:w="6427" w:type="dxa"/>
            <w:textDirection w:val="lrTb"/>
            <w:noWrap/>
          </w:tcPr>
          <w:p>
            <w:pPr>
              <w:pStyle w:val="926"/>
              <w:numPr>
                <w:ilvl w:val="0"/>
                <w:numId w:val="2"/>
              </w:numPr>
              <w:jc w:val="left"/>
              <w:spacing w:line="28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针对技术要求并结合本项目地域和水文水质等情况提供系统集成方案、项目实施方案，包括但不限于：</w:t>
            </w:r>
            <w:r/>
          </w:p>
          <w:p>
            <w:pPr>
              <w:pStyle w:val="926"/>
              <w:jc w:val="left"/>
              <w:spacing w:line="28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①站房现场勘查报告；</w:t>
            </w:r>
            <w:r/>
          </w:p>
          <w:p>
            <w:pPr>
              <w:pStyle w:val="926"/>
              <w:jc w:val="left"/>
              <w:spacing w:line="28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②站房设备布局方案；</w:t>
            </w:r>
            <w:r/>
          </w:p>
          <w:p>
            <w:pPr>
              <w:pStyle w:val="926"/>
              <w:jc w:val="left"/>
              <w:spacing w:line="28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③集成建设方案；</w:t>
            </w:r>
            <w:r/>
          </w:p>
          <w:p>
            <w:pPr>
              <w:pStyle w:val="926"/>
              <w:jc w:val="left"/>
              <w:spacing w:line="28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④项目实施进度计划；</w:t>
            </w:r>
            <w:r/>
          </w:p>
          <w:p>
            <w:pPr>
              <w:pStyle w:val="926"/>
              <w:jc w:val="left"/>
              <w:spacing w:line="28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⑤项目建设质量管理；</w:t>
            </w:r>
            <w:r/>
          </w:p>
          <w:p>
            <w:pPr>
              <w:pStyle w:val="926"/>
              <w:jc w:val="left"/>
              <w:spacing w:line="28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⑥项目实施过程安全保障方案等内容。</w:t>
            </w:r>
            <w:r/>
          </w:p>
          <w:p>
            <w:pPr>
              <w:spacing w:line="280" w:lineRule="exact"/>
              <w:rPr>
                <w:bCs/>
                <w:color w:val="auto"/>
                <w:sz w:val="24"/>
                <w:highlight w:val="none"/>
              </w:rPr>
            </w:pPr>
            <w:r>
              <w:rPr>
                <w:rFonts w:hint="eastAsia" w:ascii="仿宋" w:hAnsi="仿宋" w:eastAsia="仿宋" w:cs="仿宋"/>
                <w:bCs/>
                <w:color w:val="auto"/>
                <w:sz w:val="24"/>
                <w:highlight w:val="none"/>
              </w:rPr>
              <w:t xml:space="preserve">2.根据投标人所提供的调试、验收、联网方案进行综合评审，方案需包含以下内容：</w:t>
            </w:r>
            <w:r/>
          </w:p>
          <w:p>
            <w:pPr>
              <w:pStyle w:val="926"/>
              <w:jc w:val="left"/>
              <w:spacing w:line="28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①提供仪器设备安装调试方案及时间进度安排；</w:t>
            </w:r>
            <w:r/>
          </w:p>
          <w:p>
            <w:pPr>
              <w:pStyle w:val="926"/>
              <w:jc w:val="left"/>
              <w:spacing w:line="28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②联网方案，实现数据顺利传输至采购人指定的数据管理平台，同时提供平台供采购人进行监测数据查询。注：需提供平台登录界面及相应功能截图，展示证明平台相关功能的应用，未按要求提供证明材料或证明材料不足以证明的，视同不具备相关功能。</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3.根据供应商针对本项目特点，提供下列方案：</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①管理模式+服务内容；</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②人员保障+质量控制方案；</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③备机方案+故障解决方案。</w:t>
            </w:r>
            <w:r/>
          </w:p>
          <w:p>
            <w:pPr>
              <w:ind w:firstLine="440"/>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上述3方面内容中(共11小项）每缺少一项内容扣1分，每有一处需求分析内容存在缺陷或不足的扣0.5分，扣完为止。（本项最多得11分）</w:t>
            </w:r>
            <w:r/>
          </w:p>
          <w:p>
            <w:pPr>
              <w:ind w:firstLine="440"/>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注：实施方案内容存在缺陷或不足是指以下任意一种情形：</w:t>
            </w:r>
            <w:r/>
          </w:p>
          <w:p>
            <w:pPr>
              <w:pStyle w:val="893"/>
              <w:jc w:val="both"/>
              <w:spacing w:beforeAutospacing="0" w:afterAutospacing="0" w:line="280" w:lineRule="exact"/>
              <w:widowControl w:val="off"/>
              <w:rPr>
                <w:rFonts w:ascii="仿宋" w:hAnsi="仿宋" w:eastAsia="仿宋" w:cs="仿宋"/>
                <w:bCs/>
                <w:color w:val="auto"/>
                <w:highlight w:val="none"/>
              </w:rPr>
            </w:pPr>
            <w:r>
              <w:rPr>
                <w:rFonts w:hint="eastAsia" w:ascii="仿宋" w:hAnsi="仿宋" w:eastAsia="仿宋" w:cs="仿宋"/>
                <w:b/>
                <w:color w:val="auto"/>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Borders>
              <w:top w:val="single" w:color="auto" w:sz="6" w:space="0"/>
              <w:left w:val="single" w:color="auto" w:sz="6" w:space="0"/>
              <w:bottom w:val="single" w:color="auto" w:sz="6" w:space="0"/>
              <w:right w:val="single" w:color="auto" w:sz="12" w:space="0"/>
            </w:tcBorders>
            <w:tcW w:w="588" w:type="dxa"/>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tc>
          <w:tcPr>
            <w:gridSpan w:val="2"/>
            <w:tcBorders>
              <w:top w:val="single" w:color="auto" w:sz="6" w:space="0"/>
              <w:left w:val="single" w:color="auto" w:sz="12" w:space="0"/>
              <w:bottom w:val="single" w:color="auto" w:sz="12" w:space="0"/>
              <w:right w:val="single" w:color="auto" w:sz="6" w:space="0"/>
            </w:tcBorders>
            <w:tcW w:w="192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合计</w:t>
            </w:r>
            <w:r/>
          </w:p>
        </w:tc>
        <w:tc>
          <w:tcPr>
            <w:tcBorders>
              <w:top w:val="single" w:color="auto" w:sz="6" w:space="0"/>
              <w:left w:val="single" w:color="auto" w:sz="6" w:space="0"/>
              <w:bottom w:val="single" w:color="auto" w:sz="12" w:space="0"/>
              <w:right w:val="single" w:color="auto" w:sz="6" w:space="0"/>
            </w:tcBorders>
            <w:tcW w:w="74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100</w:t>
            </w:r>
            <w:r/>
          </w:p>
        </w:tc>
        <w:tc>
          <w:tcPr>
            <w:tcBorders>
              <w:top w:val="single" w:color="auto" w:sz="6" w:space="0"/>
              <w:left w:val="single" w:color="auto" w:sz="6" w:space="0"/>
              <w:bottom w:val="single" w:color="auto" w:sz="12" w:space="0"/>
              <w:right w:val="single" w:color="auto" w:sz="6" w:space="0"/>
            </w:tcBorders>
            <w:tcW w:w="6427" w:type="dxa"/>
            <w:vAlign w:val="center"/>
            <w:textDirection w:val="lrTb"/>
            <w:noWrap/>
          </w:tcPr>
          <w:p>
            <w:pPr>
              <w:jc w:val="left"/>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6" w:space="0"/>
              <w:left w:val="single" w:color="auto" w:sz="6" w:space="0"/>
              <w:bottom w:val="single" w:color="auto" w:sz="12" w:space="0"/>
              <w:right w:val="single" w:color="auto" w:sz="12" w:space="0"/>
            </w:tcBorders>
            <w:tcW w:w="588" w:type="dxa"/>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bl>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rPr>
          <w:rFonts w:ascii="仿宋" w:hAnsi="仿宋" w:eastAsia="仿宋"/>
          <w:bCs/>
          <w:color w:val="auto"/>
          <w:sz w:val="28"/>
          <w:szCs w:val="28"/>
          <w:highlight w:val="none"/>
        </w:rPr>
      </w:pPr>
      <w:r>
        <w:rPr>
          <w:rFonts w:hint="eastAsia" w:ascii="仿宋" w:hAnsi="仿宋" w:eastAsia="仿宋"/>
          <w:bCs/>
          <w:color w:val="auto"/>
          <w:sz w:val="28"/>
          <w:szCs w:val="28"/>
          <w:highlight w:val="none"/>
        </w:rPr>
        <w:br w:type="page" w:clear="all"/>
      </w:r>
      <w:r/>
    </w:p>
    <w:p>
      <w:pPr>
        <w:ind w:firstLine="560"/>
        <w:rPr>
          <w:rFonts w:ascii="仿宋" w:hAnsi="仿宋" w:eastAsia="仿宋"/>
          <w:bCs/>
          <w:color w:val="auto"/>
          <w:sz w:val="28"/>
          <w:szCs w:val="28"/>
          <w:highlight w:val="none"/>
        </w:rPr>
        <w:outlineLvl w:val="1"/>
      </w:pPr>
      <w:r/>
      <w:bookmarkStart w:id="121" w:name="_Toc2826"/>
      <w:r>
        <w:rPr>
          <w:rFonts w:hint="eastAsia" w:ascii="仿宋" w:hAnsi="仿宋" w:eastAsia="仿宋"/>
          <w:bCs/>
          <w:color w:val="auto"/>
          <w:sz w:val="28"/>
          <w:szCs w:val="28"/>
          <w:highlight w:val="none"/>
        </w:rPr>
        <w:t xml:space="preserve">6.采购包2评分表：</w:t>
      </w:r>
      <w:bookmarkEnd w:id="121"/>
      <w:r/>
      <w:r/>
    </w:p>
    <w:tbl>
      <w:tblPr>
        <w:tblStyle w:val="875"/>
        <w:tblpPr w:horzAnchor="page" w:tblpXSpec="center" w:vertAnchor="text" w:tblpY="296" w:leftFromText="180" w:topFromText="0" w:rightFromText="180" w:bottomFromText="0"/>
        <w:tblW w:w="9465"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65"/>
        <w:gridCol w:w="1213"/>
        <w:gridCol w:w="791"/>
        <w:gridCol w:w="6102"/>
        <w:gridCol w:w="594"/>
      </w:tblGrid>
      <w:tr>
        <w:trPr>
          <w:trHeight w:val="305"/>
        </w:trPr>
        <w:tc>
          <w:tcPr>
            <w:shd w:val="clear" w:color="000000" w:fill="ffffff"/>
            <w:tcBorders>
              <w:top w:val="single" w:color="auto" w:sz="8" w:space="0"/>
              <w:left w:val="single" w:color="auto" w:sz="8" w:space="0"/>
              <w:bottom w:val="single" w:color="auto" w:sz="8" w:space="0"/>
              <w:right w:val="single" w:color="auto" w:sz="8" w:space="0"/>
            </w:tcBorders>
            <w:tcW w:w="76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序号</w:t>
            </w:r>
            <w:r/>
          </w:p>
        </w:tc>
        <w:tc>
          <w:tcPr>
            <w:shd w:val="clear" w:color="000000" w:fill="ffffff"/>
            <w:tcBorders>
              <w:top w:val="single" w:color="auto" w:sz="8" w:space="0"/>
              <w:left w:val="single" w:color="auto" w:sz="8" w:space="0"/>
              <w:bottom w:val="single" w:color="auto" w:sz="8" w:space="0"/>
              <w:right w:val="single" w:color="auto" w:sz="8" w:space="0"/>
            </w:tcBorders>
            <w:tcW w:w="121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评审因素</w:t>
            </w:r>
            <w:r/>
          </w:p>
        </w:tc>
        <w:tc>
          <w:tcPr>
            <w:shd w:val="clear" w:color="000000" w:fill="ffffff"/>
            <w:tcBorders>
              <w:top w:val="single" w:color="auto" w:sz="8" w:space="0"/>
              <w:left w:val="single" w:color="auto" w:sz="8" w:space="0"/>
              <w:bottom w:val="single" w:color="auto" w:sz="8" w:space="0"/>
              <w:right w:val="single" w:color="auto" w:sz="8" w:space="0"/>
            </w:tcBorders>
            <w:tcW w:w="791"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分值</w:t>
            </w:r>
            <w:r/>
          </w:p>
        </w:tc>
        <w:tc>
          <w:tcPr>
            <w:shd w:val="clear" w:color="000000" w:fill="ffffff"/>
            <w:tcBorders>
              <w:top w:val="single" w:color="auto" w:sz="8" w:space="0"/>
              <w:left w:val="single" w:color="auto" w:sz="8" w:space="0"/>
              <w:bottom w:val="single" w:color="auto" w:sz="8" w:space="0"/>
              <w:right w:val="single" w:color="auto" w:sz="8" w:space="0"/>
            </w:tcBorders>
            <w:tcW w:w="61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评分说明</w:t>
            </w:r>
            <w:r/>
          </w:p>
        </w:tc>
        <w:tc>
          <w:tcPr>
            <w:shd w:val="clear" w:color="000000" w:fill="ffffff"/>
            <w:tcBorders>
              <w:top w:val="single" w:color="auto" w:sz="8" w:space="0"/>
              <w:left w:val="single" w:color="auto" w:sz="8" w:space="0"/>
              <w:bottom w:val="single" w:color="auto" w:sz="8" w:space="0"/>
              <w:right w:val="single" w:color="auto" w:sz="8" w:space="0"/>
            </w:tcBorders>
            <w:tcW w:w="594"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得分</w:t>
            </w:r>
            <w:r/>
          </w:p>
        </w:tc>
      </w:tr>
      <w:tr>
        <w:trPr>
          <w:trHeight w:val="1650"/>
        </w:trPr>
        <w:tc>
          <w:tcPr>
            <w:tcBorders>
              <w:top w:val="single" w:color="auto" w:sz="8" w:space="0"/>
              <w:left w:val="single" w:color="auto" w:sz="8" w:space="0"/>
              <w:bottom w:val="single" w:color="auto" w:sz="8" w:space="0"/>
              <w:right w:val="single" w:color="auto" w:sz="8" w:space="0"/>
            </w:tcBorders>
            <w:tcW w:w="76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8" w:space="0"/>
              <w:left w:val="single" w:color="auto" w:sz="8" w:space="0"/>
              <w:bottom w:val="single" w:color="auto" w:sz="8" w:space="0"/>
              <w:right w:val="single" w:color="auto" w:sz="8" w:space="0"/>
            </w:tcBorders>
            <w:tcW w:w="121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价格</w:t>
            </w:r>
            <w:r/>
          </w:p>
        </w:tc>
        <w:tc>
          <w:tcPr>
            <w:tcBorders>
              <w:top w:val="single" w:color="auto" w:sz="8" w:space="0"/>
              <w:left w:val="single" w:color="auto" w:sz="8" w:space="0"/>
              <w:bottom w:val="single" w:color="auto" w:sz="8" w:space="0"/>
              <w:right w:val="single" w:color="auto" w:sz="8" w:space="0"/>
            </w:tcBorders>
            <w:tcW w:w="791"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32</w:t>
            </w:r>
            <w:r/>
          </w:p>
        </w:tc>
        <w:tc>
          <w:tcPr>
            <w:tcBorders>
              <w:top w:val="single" w:color="auto" w:sz="8" w:space="0"/>
              <w:left w:val="single" w:color="auto" w:sz="8" w:space="0"/>
              <w:bottom w:val="single" w:color="auto" w:sz="8" w:space="0"/>
              <w:right w:val="single" w:color="auto" w:sz="8" w:space="0"/>
            </w:tcBorders>
            <w:tcW w:w="6102"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价格分应当采用低价优先法计算，即满足磋商文件要求且最后报价中最低报价为评审基准价，其价格分为满分。其他响应供应商的价格分统一按照下列公式计算：</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最后报价得分=(评审基准价／最后报价)×价格分分值</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磋商过程中，不得去掉报价中的最高报价和最低报价。因落实政府采购政策进行价格调整的，以调整后的价格计算评审基准价和最后报价。</w:t>
            </w:r>
            <w:r/>
          </w:p>
        </w:tc>
        <w:tc>
          <w:tcPr>
            <w:shd w:val="clear" w:color="auto" w:fill="auto"/>
            <w:tcBorders>
              <w:top w:val="single" w:color="auto" w:sz="8" w:space="0"/>
              <w:left w:val="single" w:color="auto" w:sz="8" w:space="0"/>
              <w:bottom w:val="single" w:color="auto" w:sz="8" w:space="0"/>
              <w:right w:val="single" w:color="auto" w:sz="8" w:space="0"/>
            </w:tcBorders>
            <w:tcW w:w="594" w:type="dxa"/>
            <w:vAlign w:val="center"/>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trHeight w:val="548"/>
        </w:trPr>
        <w:tc>
          <w:tcPr>
            <w:tcBorders>
              <w:top w:val="single" w:color="auto" w:sz="8" w:space="0"/>
              <w:left w:val="single" w:color="auto" w:sz="8" w:space="0"/>
              <w:bottom w:val="single" w:color="auto" w:sz="8" w:space="0"/>
              <w:right w:val="single" w:color="auto" w:sz="8" w:space="0"/>
            </w:tcBorders>
            <w:tcW w:w="76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tcBorders>
              <w:top w:val="single" w:color="auto" w:sz="8" w:space="0"/>
              <w:left w:val="single" w:color="auto" w:sz="8" w:space="0"/>
              <w:bottom w:val="single" w:color="auto" w:sz="8" w:space="0"/>
              <w:right w:val="single" w:color="auto" w:sz="8" w:space="0"/>
            </w:tcBorders>
            <w:tcW w:w="121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类似业绩</w:t>
            </w:r>
            <w:r/>
          </w:p>
        </w:tc>
        <w:tc>
          <w:tcPr>
            <w:tcBorders>
              <w:top w:val="single" w:color="auto" w:sz="8" w:space="0"/>
              <w:left w:val="single" w:color="auto" w:sz="8" w:space="0"/>
              <w:bottom w:val="single" w:color="auto" w:sz="8" w:space="0"/>
              <w:right w:val="single" w:color="auto" w:sz="8" w:space="0"/>
            </w:tcBorders>
            <w:tcW w:w="791"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w:t>
            </w:r>
            <w:r/>
          </w:p>
        </w:tc>
        <w:tc>
          <w:tcPr>
            <w:tcBorders>
              <w:top w:val="single" w:color="auto" w:sz="8" w:space="0"/>
              <w:left w:val="single" w:color="auto" w:sz="8" w:space="0"/>
              <w:bottom w:val="single" w:color="auto" w:sz="8" w:space="0"/>
              <w:right w:val="single" w:color="auto" w:sz="8" w:space="0"/>
            </w:tcBorders>
            <w:tcW w:w="6102"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1.自2023年1月1日以来投标人承担的便携式气相色谱质谱联用仪类似供货业绩。提供1个有效业绩得2分，最多6分。</w:t>
            </w:r>
            <w:r/>
          </w:p>
          <w:p>
            <w:pPr>
              <w:ind w:firstLine="240"/>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注：投标人承担的相关产品的销售业绩（购买方必须为使用单位）业绩需提供以下佐证材料：</w:t>
            </w:r>
            <w:r/>
          </w:p>
          <w:p>
            <w:pPr>
              <w:ind w:firstLine="241"/>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（1）须提供业绩清单，业绩清单包含但不限于合同名称、业主单位名称、合同签订时间、业主联系人与联系电话等。</w:t>
            </w:r>
            <w:r/>
          </w:p>
          <w:p>
            <w:pPr>
              <w:ind w:firstLine="241"/>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（2）须提供终端业主采购合同、购置发票复印件（至少50%合同款）、中标（成交）通知书（或公共资源交易中心、政府采购网中标（成交）公告截图）作为证明材料，缺项不得分。</w:t>
            </w:r>
            <w:r/>
          </w:p>
          <w:p>
            <w:pPr>
              <w:ind w:firstLine="241"/>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（3）投标人需保证所提供业绩的真实性，并提供业主联系方式以备查验。</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2.自2023年1月1日以来投标人承担的类似（已建成）水质智能分析实验室业绩，提供1个有效业绩得2分，最多4分。</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类似水质智能分析实验室指：至少包含总磷总氮全自动分析，须满足采购人接入水质智能分析实验室。</w:t>
            </w:r>
            <w:r/>
          </w:p>
          <w:p>
            <w:pPr>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须提供业主单位出具的有效证明资料。</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注：同一个业主单位具有多份产品合同的仅计1次分，同一业绩合同中同一产品有多台所投设备的不累计得分。</w:t>
            </w:r>
            <w:r/>
          </w:p>
        </w:tc>
        <w:tc>
          <w:tcPr>
            <w:shd w:val="clear" w:color="auto" w:fill="auto"/>
            <w:tcBorders>
              <w:top w:val="single" w:color="auto" w:sz="8" w:space="0"/>
              <w:left w:val="single" w:color="auto" w:sz="8" w:space="0"/>
              <w:bottom w:val="single" w:color="auto" w:sz="8" w:space="0"/>
              <w:right w:val="single" w:color="auto" w:sz="8" w:space="0"/>
            </w:tcBorders>
            <w:tcW w:w="594" w:type="dxa"/>
            <w:vAlign w:val="center"/>
            <w:vMerge w:val="restart"/>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trHeight w:val="892"/>
        </w:trPr>
        <w:tc>
          <w:tcPr>
            <w:tcBorders>
              <w:top w:val="single" w:color="auto" w:sz="8" w:space="0"/>
              <w:left w:val="single" w:color="auto" w:sz="8" w:space="0"/>
              <w:bottom w:val="single" w:color="auto" w:sz="8" w:space="0"/>
              <w:right w:val="single" w:color="auto" w:sz="8" w:space="0"/>
            </w:tcBorders>
            <w:tcW w:w="76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w:t>
            </w:r>
            <w:r/>
          </w:p>
        </w:tc>
        <w:tc>
          <w:tcPr>
            <w:tcBorders>
              <w:top w:val="single" w:color="auto" w:sz="4" w:space="0"/>
              <w:left w:val="single" w:color="auto" w:sz="8" w:space="0"/>
              <w:bottom w:val="single" w:color="auto" w:sz="8" w:space="0"/>
              <w:right w:val="single" w:color="auto" w:sz="8" w:space="0"/>
            </w:tcBorders>
            <w:tcW w:w="121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产品性能</w:t>
            </w:r>
            <w:r/>
          </w:p>
        </w:tc>
        <w:tc>
          <w:tcPr>
            <w:tcBorders>
              <w:top w:val="single" w:color="auto" w:sz="8" w:space="0"/>
              <w:left w:val="single" w:color="auto" w:sz="8" w:space="0"/>
              <w:bottom w:val="single" w:color="auto" w:sz="8" w:space="0"/>
              <w:right w:val="single" w:color="auto" w:sz="8" w:space="0"/>
            </w:tcBorders>
            <w:tcW w:w="791"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45</w:t>
            </w:r>
            <w:r/>
          </w:p>
        </w:tc>
        <w:tc>
          <w:tcPr>
            <w:tcBorders>
              <w:top w:val="single" w:color="auto" w:sz="8" w:space="0"/>
              <w:left w:val="single" w:color="auto" w:sz="8" w:space="0"/>
              <w:bottom w:val="single" w:color="auto" w:sz="8" w:space="0"/>
              <w:right w:val="single" w:color="auto" w:sz="8" w:space="0"/>
            </w:tcBorders>
            <w:tcW w:w="6102"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一、便携式气相色谱-质谱联用仪参数要求：</w:t>
            </w:r>
            <w:r/>
          </w:p>
          <w:p>
            <w:pPr>
              <w:spacing w:line="280" w:lineRule="exact"/>
              <w:rPr>
                <w:rFonts w:ascii="仿宋" w:hAnsi="仿宋" w:eastAsia="仿宋" w:cs="仿宋"/>
                <w:b/>
                <w:color w:val="auto"/>
                <w:sz w:val="24"/>
                <w:highlight w:val="none"/>
              </w:rPr>
            </w:pPr>
            <w:r>
              <w:rPr>
                <w:rFonts w:hint="eastAsia" w:ascii="仿宋" w:hAnsi="仿宋" w:eastAsia="仿宋" w:cs="仿宋"/>
                <w:bCs/>
                <w:color w:val="auto"/>
                <w:sz w:val="24"/>
                <w:highlight w:val="none"/>
              </w:rPr>
              <w:t xml:space="preserve">1、载气：氦气或氮气；</w:t>
            </w:r>
            <w:bookmarkStart w:id="122" w:name="_Hlk112330467"/>
            <w:r>
              <w:rPr>
                <w:rFonts w:hint="eastAsia" w:ascii="仿宋" w:hAnsi="仿宋" w:eastAsia="仿宋" w:cs="仿宋"/>
                <w:bCs/>
                <w:color w:val="auto"/>
                <w:sz w:val="24"/>
                <w:highlight w:val="none"/>
              </w:rPr>
              <w:t xml:space="preserve">便携式载气瓶容积≤100ml，与主机连接的同时具备减压阀，可调节载气压力大小。</w:t>
            </w:r>
            <w:bookmarkEnd w:id="122"/>
            <w:r>
              <w:rPr>
                <w:rFonts w:hint="eastAsia" w:ascii="仿宋" w:hAnsi="仿宋" w:eastAsia="仿宋" w:cs="仿宋"/>
                <w:b/>
                <w:color w:val="auto"/>
                <w:sz w:val="24"/>
                <w:highlight w:val="none"/>
              </w:rPr>
              <w:t xml:space="preserve">须提供设备实物图片。</w:t>
            </w:r>
            <w:r/>
          </w:p>
          <w:p>
            <w:pPr>
              <w:spacing w:line="280" w:lineRule="exact"/>
              <w:rPr>
                <w:rFonts w:ascii="仿宋" w:hAnsi="仿宋" w:eastAsia="仿宋" w:cs="仿宋"/>
                <w:bCs/>
                <w:color w:val="auto"/>
                <w:sz w:val="24"/>
                <w:highlight w:val="none"/>
                <w:lang w:val="zh-CN"/>
              </w:rPr>
            </w:pPr>
            <w:r>
              <w:rPr>
                <w:rFonts w:hint="eastAsia" w:ascii="仿宋" w:hAnsi="仿宋" w:eastAsia="仿宋" w:cs="仿宋"/>
                <w:bCs/>
                <w:color w:val="auto"/>
                <w:sz w:val="24"/>
                <w:highlight w:val="none"/>
              </w:rPr>
              <w:t xml:space="preserve">2、</w:t>
            </w:r>
            <w:r>
              <w:rPr>
                <w:rFonts w:hint="eastAsia" w:ascii="仿宋" w:hAnsi="仿宋" w:eastAsia="仿宋" w:cs="仿宋"/>
                <w:bCs/>
                <w:color w:val="auto"/>
                <w:sz w:val="24"/>
                <w:highlight w:val="none"/>
                <w:lang w:val="zh-CN"/>
              </w:rPr>
              <w:t xml:space="preserve">载气监控：</w:t>
            </w:r>
            <w:bookmarkStart w:id="123" w:name="_Hlk112330532"/>
            <w:r>
              <w:rPr>
                <w:rFonts w:hint="eastAsia" w:ascii="仿宋" w:hAnsi="仿宋" w:eastAsia="仿宋" w:cs="仿宋"/>
                <w:bCs/>
                <w:color w:val="auto"/>
                <w:sz w:val="24"/>
                <w:highlight w:val="none"/>
                <w:lang w:val="zh-CN"/>
              </w:rPr>
              <w:t xml:space="preserve">可对载气压力进行监控，并在载气压力低于规定限值时报警提示用户。</w:t>
            </w:r>
            <w:bookmarkEnd w:id="123"/>
            <w:r/>
            <w:bookmarkStart w:id="124" w:name="OLE_LINK12"/>
            <w:r/>
            <w:bookmarkEnd w:id="124"/>
            <w:r/>
            <w:r/>
          </w:p>
          <w:p>
            <w:pPr>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lang w:val="zh-CN"/>
              </w:rPr>
              <w:t xml:space="preserve">须提供具有法定资格的计量检测机构出具的具有CNAS或CMA标识检测报告</w:t>
            </w:r>
            <w:r>
              <w:rPr>
                <w:rFonts w:hint="eastAsia" w:ascii="仿宋" w:hAnsi="仿宋" w:eastAsia="仿宋" w:cs="仿宋"/>
                <w:b/>
                <w:color w:val="auto"/>
                <w:sz w:val="24"/>
                <w:highlight w:val="none"/>
              </w:rPr>
              <w:t xml:space="preserve">扫描件</w:t>
            </w:r>
            <w:r>
              <w:rPr>
                <w:rFonts w:hint="eastAsia" w:ascii="仿宋" w:hAnsi="仿宋" w:eastAsia="仿宋" w:cs="仿宋"/>
                <w:b/>
                <w:color w:val="auto"/>
                <w:sz w:val="24"/>
                <w:highlight w:val="none"/>
                <w:lang w:val="zh-CN"/>
              </w:rPr>
              <w:t xml:space="preserve">。</w:t>
            </w:r>
            <w:r/>
          </w:p>
          <w:p>
            <w:pPr>
              <w:spacing w:line="280" w:lineRule="exact"/>
              <w:rPr>
                <w:rFonts w:ascii="仿宋" w:hAnsi="仿宋" w:eastAsia="仿宋" w:cs="仿宋"/>
                <w:bCs/>
                <w:color w:val="auto"/>
                <w:sz w:val="24"/>
                <w:highlight w:val="none"/>
                <w:lang w:val="zh-CN"/>
              </w:rPr>
            </w:pPr>
            <w:r/>
            <w:bookmarkStart w:id="125" w:name="_Hlk113268024"/>
            <w:r>
              <w:rPr>
                <w:rFonts w:hint="eastAsia" w:ascii="仿宋" w:hAnsi="仿宋" w:eastAsia="仿宋" w:cs="仿宋"/>
                <w:bCs/>
                <w:color w:val="auto"/>
                <w:sz w:val="24"/>
                <w:highlight w:val="none"/>
              </w:rPr>
              <w:t xml:space="preserve">3、真空系统：</w:t>
            </w:r>
            <w:bookmarkEnd w:id="125"/>
            <w:r/>
            <w:bookmarkStart w:id="126" w:name="_Hlk112750073"/>
            <w:r>
              <w:rPr>
                <w:rFonts w:hint="eastAsia" w:ascii="仿宋" w:hAnsi="仿宋" w:eastAsia="仿宋" w:cs="仿宋"/>
                <w:bCs/>
                <w:color w:val="auto"/>
                <w:sz w:val="24"/>
                <w:highlight w:val="none"/>
                <w:lang w:val="zh-CN"/>
              </w:rPr>
              <w:t xml:space="preserve">真空度不低于10</w:t>
            </w:r>
            <w:r>
              <w:rPr>
                <w:rFonts w:hint="eastAsia" w:ascii="仿宋" w:hAnsi="仿宋" w:eastAsia="仿宋" w:cs="仿宋"/>
                <w:bCs/>
                <w:color w:val="auto"/>
                <w:sz w:val="24"/>
                <w:highlight w:val="none"/>
                <w:vertAlign w:val="superscript"/>
                <w:lang w:val="zh-CN"/>
              </w:rPr>
              <w:t xml:space="preserve">-4</w:t>
            </w:r>
            <w:r>
              <w:rPr>
                <w:rFonts w:hint="eastAsia" w:ascii="仿宋" w:hAnsi="仿宋" w:eastAsia="仿宋" w:cs="仿宋"/>
                <w:bCs/>
                <w:color w:val="auto"/>
                <w:sz w:val="24"/>
                <w:highlight w:val="none"/>
                <w:lang w:val="zh-CN"/>
              </w:rPr>
              <w:t xml:space="preserve">Pa。</w:t>
            </w:r>
            <w:r/>
          </w:p>
          <w:p>
            <w:pPr>
              <w:spacing w:line="280" w:lineRule="exact"/>
              <w:rPr>
                <w:rFonts w:ascii="仿宋" w:hAnsi="仿宋" w:eastAsia="仿宋" w:cs="仿宋"/>
                <w:bCs/>
                <w:color w:val="auto"/>
                <w:sz w:val="24"/>
                <w:highlight w:val="none"/>
                <w:lang w:val="zh-CN"/>
              </w:rPr>
            </w:pPr>
            <w:r>
              <w:rPr>
                <w:rFonts w:hint="eastAsia" w:ascii="仿宋" w:hAnsi="仿宋" w:eastAsia="仿宋" w:cs="仿宋"/>
                <w:b/>
                <w:color w:val="auto"/>
                <w:sz w:val="24"/>
                <w:highlight w:val="none"/>
                <w:lang w:val="zh-CN"/>
              </w:rPr>
              <w:t xml:space="preserve">须提供产品技术白皮书或产品彩页。</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4、顶空+吹扫捕集系统具有适应于应急现场携带的便携性，重量≤10kg</w:t>
            </w:r>
            <w:bookmarkEnd w:id="126"/>
            <w:r/>
            <w:bookmarkStart w:id="127" w:name="OLE_LINK3"/>
            <w:r>
              <w:rPr>
                <w:rFonts w:hint="eastAsia" w:ascii="仿宋" w:hAnsi="仿宋" w:eastAsia="仿宋" w:cs="仿宋"/>
                <w:bCs/>
                <w:color w:val="auto"/>
                <w:sz w:val="24"/>
                <w:highlight w:val="none"/>
              </w:rPr>
              <w:t xml:space="preserve">。</w:t>
            </w:r>
            <w:r/>
          </w:p>
          <w:p>
            <w:pPr>
              <w:spacing w:line="280" w:lineRule="exact"/>
              <w:rPr>
                <w:rFonts w:ascii="仿宋" w:hAnsi="仿宋" w:eastAsia="仿宋" w:cs="仿宋"/>
                <w:bCs/>
                <w:color w:val="auto"/>
                <w:sz w:val="24"/>
                <w:highlight w:val="none"/>
              </w:rPr>
            </w:pPr>
            <w:r>
              <w:rPr>
                <w:rFonts w:hint="eastAsia" w:ascii="仿宋" w:hAnsi="仿宋" w:eastAsia="仿宋" w:cs="仿宋"/>
                <w:b/>
                <w:color w:val="auto"/>
                <w:sz w:val="24"/>
                <w:highlight w:val="none"/>
              </w:rPr>
              <w:t xml:space="preserve">须</w:t>
            </w:r>
            <w:bookmarkEnd w:id="127"/>
            <w:r>
              <w:rPr>
                <w:rFonts w:hint="eastAsia" w:ascii="仿宋" w:hAnsi="仿宋" w:eastAsia="仿宋" w:cs="仿宋"/>
                <w:b/>
                <w:color w:val="auto"/>
                <w:sz w:val="24"/>
                <w:highlight w:val="none"/>
              </w:rPr>
              <w:t xml:space="preserve">提供设备实物称重及测量图片。</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5、顶空系统内置载气瓶，含减压阀，可调节载气压力大小并通过自带表盘直读气压数值。</w:t>
            </w:r>
            <w:r/>
          </w:p>
          <w:p>
            <w:pPr>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须提供顶空系统内置载气瓶、显示载气压力的实物图片。</w:t>
            </w:r>
            <w:r/>
          </w:p>
          <w:p>
            <w:pPr>
              <w:spacing w:line="280" w:lineRule="exact"/>
              <w:rPr>
                <w:rFonts w:ascii="仿宋" w:hAnsi="仿宋" w:eastAsia="仿宋" w:cs="仿宋"/>
                <w:b/>
                <w:color w:val="auto"/>
                <w:sz w:val="24"/>
                <w:highlight w:val="none"/>
              </w:rPr>
            </w:pPr>
            <w:r>
              <w:rPr>
                <w:rFonts w:hint="eastAsia" w:ascii="仿宋" w:hAnsi="仿宋" w:eastAsia="仿宋" w:cs="仿宋"/>
                <w:bCs/>
                <w:color w:val="auto"/>
                <w:sz w:val="24"/>
                <w:highlight w:val="none"/>
              </w:rPr>
              <w:t xml:space="preserve">6、设备</w:t>
            </w:r>
            <w:r>
              <w:rPr>
                <w:rFonts w:hint="eastAsia" w:ascii="仿宋" w:hAnsi="仿宋" w:eastAsia="仿宋" w:cs="仿宋"/>
                <w:bCs/>
                <w:color w:val="auto"/>
                <w:sz w:val="24"/>
                <w:highlight w:val="none"/>
                <w:lang w:val="zh-CN"/>
              </w:rPr>
              <w:t xml:space="preserve">内置北斗定位系统，符合《卫星定位导航授时设备单北斗测试技术规范》（FT-B07-0014-01），定位精度满足水平定位精度≤10m（95%），垂直定位精度≤15m（95%）</w:t>
            </w:r>
            <w:bookmarkStart w:id="128" w:name="OLE_LINK7"/>
            <w:r>
              <w:rPr>
                <w:rFonts w:hint="eastAsia" w:ascii="仿宋" w:hAnsi="仿宋" w:eastAsia="仿宋" w:cs="仿宋"/>
                <w:bCs/>
                <w:color w:val="auto"/>
                <w:sz w:val="24"/>
                <w:highlight w:val="none"/>
                <w:lang w:val="zh-CN"/>
              </w:rPr>
              <w:t xml:space="preserve">。</w:t>
            </w:r>
            <w:r>
              <w:rPr>
                <w:rFonts w:hint="eastAsia" w:ascii="仿宋" w:hAnsi="仿宋" w:eastAsia="仿宋" w:cs="仿宋"/>
                <w:b/>
                <w:color w:val="auto"/>
                <w:sz w:val="24"/>
                <w:highlight w:val="none"/>
              </w:rPr>
              <w:t xml:space="preserve">须提供具有法定资格的计量检测机构出具的具有CNAS或CMA标识检测报告扫描件。</w:t>
            </w:r>
            <w:bookmarkEnd w:id="128"/>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7、专用数据库：包含环境样品专用谱库（内含超过1000种物质）以及中文版化学品安全指导数据库（SIC），可提示GB职业接触限制、浓度转换系数等信息</w:t>
            </w:r>
            <w:bookmarkStart w:id="129" w:name="_Hlk112338449"/>
            <w:r/>
            <w:bookmarkStart w:id="130" w:name="OLE_LINK5"/>
            <w:r>
              <w:rPr>
                <w:rFonts w:hint="eastAsia" w:ascii="仿宋" w:hAnsi="仿宋" w:eastAsia="仿宋" w:cs="仿宋"/>
                <w:bCs/>
                <w:color w:val="auto"/>
                <w:sz w:val="24"/>
                <w:highlight w:val="none"/>
              </w:rPr>
              <w:t xml:space="preserve">。</w:t>
            </w:r>
            <w:bookmarkEnd w:id="129"/>
            <w:r/>
            <w:r/>
          </w:p>
          <w:p>
            <w:pPr>
              <w:spacing w:line="280" w:lineRule="exact"/>
              <w:rPr>
                <w:rFonts w:ascii="仿宋" w:hAnsi="仿宋" w:eastAsia="仿宋" w:cs="仿宋"/>
                <w:bCs/>
                <w:color w:val="auto"/>
                <w:sz w:val="24"/>
                <w:highlight w:val="none"/>
              </w:rPr>
            </w:pPr>
            <w:r>
              <w:rPr>
                <w:rFonts w:hint="eastAsia" w:ascii="仿宋" w:hAnsi="仿宋" w:eastAsia="仿宋" w:cs="仿宋"/>
                <w:b/>
                <w:color w:val="auto"/>
                <w:sz w:val="24"/>
                <w:highlight w:val="none"/>
              </w:rPr>
              <w:t xml:space="preserve">须提供具有法定资格的计量检测机构出具的具有CNAS或CMA标识检测报告扫描件。</w:t>
            </w:r>
            <w:bookmarkEnd w:id="130"/>
            <w:r/>
            <w:r/>
          </w:p>
          <w:p>
            <w:pPr>
              <w:spacing w:line="280" w:lineRule="exact"/>
              <w:rPr>
                <w:rFonts w:ascii="仿宋" w:hAnsi="仿宋" w:eastAsia="仿宋" w:cs="仿宋"/>
                <w:bCs/>
                <w:color w:val="auto"/>
                <w:sz w:val="24"/>
                <w:highlight w:val="none"/>
                <w:lang w:val="zh-CN"/>
              </w:rPr>
            </w:pPr>
            <w:r>
              <w:rPr>
                <w:rFonts w:hint="eastAsia" w:ascii="仿宋" w:hAnsi="仿宋" w:eastAsia="仿宋" w:cs="仿宋"/>
                <w:bCs/>
                <w:color w:val="auto"/>
                <w:sz w:val="24"/>
                <w:highlight w:val="none"/>
              </w:rPr>
              <w:t xml:space="preserve">8、气相色谱模块</w:t>
            </w:r>
            <w:r>
              <w:rPr>
                <w:rFonts w:hint="eastAsia" w:ascii="仿宋" w:hAnsi="仿宋" w:eastAsia="仿宋" w:cs="仿宋"/>
                <w:bCs/>
                <w:color w:val="auto"/>
                <w:sz w:val="24"/>
                <w:highlight w:val="none"/>
                <w:lang w:val="zh-CN"/>
              </w:rPr>
              <w:t xml:space="preserve">气路控制：高精度电子压力控制，最高耐受压可达900kPa，流速最高可达100ml/min。</w:t>
            </w:r>
            <w:r/>
          </w:p>
          <w:p>
            <w:pPr>
              <w:spacing w:line="280" w:lineRule="exact"/>
              <w:rPr>
                <w:rFonts w:ascii="仿宋" w:hAnsi="仿宋" w:eastAsia="仿宋" w:cs="仿宋"/>
                <w:b/>
                <w:color w:val="auto"/>
                <w:sz w:val="24"/>
                <w:highlight w:val="none"/>
                <w:lang w:val="zh-CN"/>
              </w:rPr>
            </w:pPr>
            <w:r>
              <w:rPr>
                <w:rFonts w:hint="eastAsia" w:ascii="仿宋" w:hAnsi="仿宋" w:eastAsia="仿宋" w:cs="仿宋"/>
                <w:b/>
                <w:color w:val="auto"/>
                <w:sz w:val="24"/>
                <w:highlight w:val="none"/>
              </w:rPr>
              <w:t xml:space="preserve">须提供具有法定资格的计量检测机构出具的具有CNAS或CMA标识检测报告扫描件。</w:t>
            </w:r>
            <w:r/>
          </w:p>
          <w:p>
            <w:pPr>
              <w:spacing w:line="280" w:lineRule="exact"/>
              <w:rPr>
                <w:rFonts w:ascii="仿宋" w:hAnsi="仿宋" w:eastAsia="仿宋" w:cs="仿宋"/>
                <w:bCs/>
                <w:color w:val="auto"/>
                <w:sz w:val="24"/>
                <w:highlight w:val="none"/>
                <w:lang w:val="zh-CN"/>
              </w:rPr>
            </w:pPr>
            <w:r>
              <w:rPr>
                <w:rFonts w:hint="eastAsia" w:ascii="仿宋" w:hAnsi="仿宋" w:eastAsia="仿宋" w:cs="仿宋"/>
                <w:bCs/>
                <w:color w:val="auto"/>
                <w:sz w:val="24"/>
                <w:highlight w:val="none"/>
              </w:rPr>
              <w:t xml:space="preserve">9、</w:t>
            </w:r>
            <w:bookmarkStart w:id="131" w:name="_Hlk112331302"/>
            <w:r>
              <w:rPr>
                <w:rFonts w:hint="eastAsia" w:ascii="仿宋" w:hAnsi="仿宋" w:eastAsia="仿宋" w:cs="仿宋"/>
                <w:bCs/>
                <w:color w:val="auto"/>
                <w:sz w:val="24"/>
                <w:highlight w:val="none"/>
              </w:rPr>
              <w:t xml:space="preserve">内标气至少包括1,3,5-三（三氟甲基）苯及4-溴氟苯，具有内标调谐功能。内标钢瓶无需打开主机外壳即可实现反复灌充、易于更换，容积不大于90mL，灌充标气可耐受1500 psi或更高压力，以适应应急现场大量样品的分析需求</w:t>
            </w:r>
            <w:r>
              <w:rPr>
                <w:rFonts w:hint="eastAsia" w:ascii="仿宋" w:hAnsi="仿宋" w:eastAsia="仿宋" w:cs="仿宋"/>
                <w:bCs/>
                <w:color w:val="auto"/>
                <w:sz w:val="24"/>
                <w:highlight w:val="none"/>
                <w:lang w:val="zh-CN"/>
              </w:rPr>
              <w:t xml:space="preserve">。</w:t>
            </w:r>
            <w:bookmarkEnd w:id="131"/>
            <w:r/>
            <w:r/>
          </w:p>
          <w:p>
            <w:pPr>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须提供标气瓶尺寸规格图片予以证明。</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10、进样模块温度范围：分流进样口最高操作温度≥270℃。</w:t>
            </w:r>
            <w:r/>
          </w:p>
          <w:p>
            <w:pPr>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须提供具有法定资格的计量检测机构出具的具有CNAS或CMA标识检测报告扫描件。</w:t>
            </w:r>
            <w:r/>
          </w:p>
          <w:p>
            <w:pPr>
              <w:spacing w:line="280" w:lineRule="exact"/>
              <w:rPr>
                <w:rFonts w:ascii="仿宋" w:hAnsi="仿宋" w:eastAsia="仿宋" w:cs="仿宋"/>
                <w:bCs/>
                <w:color w:val="auto"/>
                <w:sz w:val="24"/>
                <w:highlight w:val="none"/>
                <w:lang w:val="zh-CN"/>
              </w:rPr>
            </w:pPr>
            <w:r>
              <w:rPr>
                <w:rFonts w:hint="eastAsia" w:ascii="仿宋" w:hAnsi="仿宋" w:eastAsia="仿宋" w:cs="仿宋"/>
                <w:bCs/>
                <w:color w:val="auto"/>
                <w:sz w:val="24"/>
                <w:highlight w:val="none"/>
              </w:rPr>
              <w:t xml:space="preserve">11、</w:t>
            </w:r>
            <w:bookmarkStart w:id="132" w:name="_Hlk113270940"/>
            <w:r/>
            <w:bookmarkStart w:id="133" w:name="_Hlk188535078"/>
            <w:r>
              <w:rPr>
                <w:rFonts w:hint="eastAsia" w:ascii="仿宋" w:hAnsi="仿宋" w:eastAsia="仿宋" w:cs="仿宋"/>
                <w:bCs/>
                <w:color w:val="auto"/>
                <w:sz w:val="24"/>
                <w:highlight w:val="none"/>
                <w:lang w:val="zh-CN"/>
              </w:rPr>
              <w:t xml:space="preserve">可将检测结果链接到设备内置的环境标准（超过90种），在主机面板上标识出超标的物质。</w:t>
            </w:r>
            <w:bookmarkEnd w:id="132"/>
            <w:r/>
            <w:bookmarkEnd w:id="133"/>
            <w:r/>
            <w:r/>
          </w:p>
          <w:p>
            <w:pPr>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须提供具有法定资格的计量检测机构出具的具有CNAS或CMA标识检测报告扫描件。</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12、配备大体积进样器，大体积进样器重量：≤2kg，取样体积至少涵盖100~200mL且配备大体积进样器可与便携式气相色谱-质谱仪主机连接使用，设备分析过程无需载气，无需借助任何外接电源及电池情况下，实现至少100mL样品进样分析。</w:t>
            </w:r>
            <w:r/>
          </w:p>
          <w:p>
            <w:pPr>
              <w:spacing w:line="280" w:lineRule="exact"/>
              <w:rPr>
                <w:rFonts w:ascii="仿宋" w:hAnsi="仿宋" w:eastAsia="仿宋" w:cs="仿宋"/>
                <w:bCs/>
                <w:color w:val="auto"/>
                <w:sz w:val="24"/>
                <w:highlight w:val="none"/>
              </w:rPr>
            </w:pPr>
            <w:r>
              <w:rPr>
                <w:rFonts w:hint="eastAsia" w:ascii="仿宋" w:hAnsi="仿宋" w:eastAsia="仿宋" w:cs="仿宋"/>
                <w:b/>
                <w:color w:val="auto"/>
                <w:sz w:val="24"/>
                <w:highlight w:val="none"/>
              </w:rPr>
              <w:t xml:space="preserve">须提供该模块与便携式气质联用仪主机连接图片及模块称重照片。</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二、总磷总氮全自动分析仪：</w:t>
            </w:r>
            <w:r/>
          </w:p>
          <w:p>
            <w:pPr>
              <w:spacing w:line="280" w:lineRule="exact"/>
              <w:rPr>
                <w:rFonts w:ascii="仿宋" w:hAnsi="仿宋" w:eastAsia="仿宋" w:cs="仿宋"/>
                <w:bCs/>
                <w:color w:val="auto"/>
                <w:sz w:val="24"/>
                <w:highlight w:val="none"/>
                <w:lang w:val="zh-CN"/>
              </w:rPr>
            </w:pPr>
            <w:r>
              <w:rPr>
                <w:rFonts w:hint="eastAsia" w:ascii="仿宋" w:hAnsi="仿宋" w:eastAsia="仿宋" w:cs="仿宋"/>
                <w:bCs/>
                <w:color w:val="auto"/>
                <w:sz w:val="24"/>
                <w:highlight w:val="none"/>
              </w:rPr>
              <w:t xml:space="preserve">13、</w:t>
            </w:r>
            <w:r>
              <w:rPr>
                <w:rFonts w:hint="eastAsia" w:ascii="仿宋" w:hAnsi="仿宋" w:eastAsia="仿宋" w:cs="仿宋"/>
                <w:bCs/>
                <w:color w:val="auto"/>
                <w:sz w:val="24"/>
                <w:highlight w:val="none"/>
                <w:lang w:val="zh-CN"/>
              </w:rPr>
              <w:t xml:space="preserve">仪器配备自动稀释</w:t>
            </w:r>
            <w:r>
              <w:rPr>
                <w:rFonts w:hint="eastAsia" w:ascii="仿宋" w:hAnsi="仿宋" w:eastAsia="仿宋" w:cs="仿宋"/>
                <w:bCs/>
                <w:color w:val="auto"/>
                <w:sz w:val="24"/>
                <w:highlight w:val="none"/>
              </w:rPr>
              <w:t xml:space="preserve">和加标</w:t>
            </w:r>
            <w:r>
              <w:rPr>
                <w:rFonts w:hint="eastAsia" w:ascii="仿宋" w:hAnsi="仿宋" w:eastAsia="仿宋" w:cs="仿宋"/>
                <w:bCs/>
                <w:color w:val="auto"/>
                <w:sz w:val="24"/>
                <w:highlight w:val="none"/>
                <w:lang w:val="zh-CN"/>
              </w:rPr>
              <w:t xml:space="preserve">功能。</w:t>
            </w:r>
            <w:r>
              <w:rPr>
                <w:rFonts w:hint="eastAsia" w:ascii="仿宋" w:hAnsi="仿宋" w:eastAsia="仿宋" w:cs="仿宋"/>
                <w:b/>
                <w:color w:val="auto"/>
                <w:sz w:val="24"/>
                <w:highlight w:val="none"/>
                <w:lang w:val="zh-CN"/>
              </w:rPr>
              <w:t xml:space="preserve">须提供设置软件图片。</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14、消解位：如采用高压蒸汽灭菌锅消解，消解位≥40位；如采用电加热消解，消解位≥10位。</w:t>
            </w:r>
            <w:r/>
          </w:p>
          <w:p>
            <w:pPr>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须</w:t>
            </w:r>
            <w:r>
              <w:rPr>
                <w:rFonts w:hint="eastAsia" w:ascii="仿宋" w:hAnsi="仿宋" w:eastAsia="仿宋" w:cs="仿宋"/>
                <w:b/>
                <w:color w:val="auto"/>
                <w:sz w:val="24"/>
                <w:highlight w:val="none"/>
                <w:lang w:val="zh-CN"/>
              </w:rPr>
              <w:t xml:space="preserve">提供清晰可见数量的消解盘实物图片。</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15、样品位：可在仪器运转过程中添加样品，如果采用高压蒸汽灭菌锅消解，自动进样器样品位≥64位；如果采用电加热消解，自动进样器样品位≥75位。</w:t>
            </w:r>
            <w:r/>
          </w:p>
          <w:p>
            <w:pPr>
              <w:spacing w:line="280" w:lineRule="exact"/>
              <w:rPr>
                <w:rFonts w:ascii="仿宋" w:hAnsi="仿宋" w:eastAsia="仿宋" w:cs="仿宋"/>
                <w:bCs/>
                <w:color w:val="auto"/>
                <w:sz w:val="24"/>
                <w:highlight w:val="none"/>
              </w:rPr>
            </w:pPr>
            <w:r>
              <w:rPr>
                <w:rFonts w:hint="eastAsia" w:ascii="仿宋" w:hAnsi="仿宋" w:eastAsia="仿宋" w:cs="仿宋"/>
                <w:b/>
                <w:color w:val="auto"/>
                <w:sz w:val="24"/>
                <w:highlight w:val="none"/>
              </w:rPr>
              <w:t xml:space="preserve">须</w:t>
            </w:r>
            <w:r>
              <w:rPr>
                <w:rFonts w:hint="eastAsia" w:ascii="仿宋" w:hAnsi="仿宋" w:eastAsia="仿宋" w:cs="仿宋"/>
                <w:b/>
                <w:color w:val="auto"/>
                <w:sz w:val="24"/>
                <w:highlight w:val="none"/>
                <w:lang w:val="zh-CN"/>
              </w:rPr>
              <w:t xml:space="preserve">提供清晰可见数量的</w:t>
            </w:r>
            <w:r>
              <w:rPr>
                <w:rFonts w:hint="eastAsia" w:ascii="仿宋" w:hAnsi="仿宋" w:eastAsia="仿宋" w:cs="仿宋"/>
                <w:b/>
                <w:color w:val="auto"/>
                <w:sz w:val="24"/>
                <w:highlight w:val="none"/>
              </w:rPr>
              <w:t xml:space="preserve">样品位</w:t>
            </w:r>
            <w:r>
              <w:rPr>
                <w:rFonts w:hint="eastAsia" w:ascii="仿宋" w:hAnsi="仿宋" w:eastAsia="仿宋" w:cs="仿宋"/>
                <w:b/>
                <w:color w:val="auto"/>
                <w:sz w:val="24"/>
                <w:highlight w:val="none"/>
                <w:lang w:val="zh-CN"/>
              </w:rPr>
              <w:t xml:space="preserve">实物图片。</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注：</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1.以上1-15项每满足一项得3分，本项最高45分。</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2.当投标人提供技术偏离表与证明资料不一致的，一律以证明资料为准。</w:t>
            </w:r>
            <w:r/>
          </w:p>
        </w:tc>
        <w:tc>
          <w:tcPr>
            <w:shd w:val="clear" w:color="auto" w:fill="auto"/>
            <w:tcBorders>
              <w:top w:val="single" w:color="auto" w:sz="8" w:space="0"/>
              <w:left w:val="single" w:color="auto" w:sz="8" w:space="0"/>
              <w:bottom w:val="single" w:color="auto" w:sz="8" w:space="0"/>
              <w:right w:val="single" w:color="auto" w:sz="8" w:space="0"/>
            </w:tcBorders>
            <w:tcW w:w="594" w:type="dxa"/>
            <w:vAlign w:val="center"/>
            <w:vMerge w:val="continue"/>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trHeight w:val="579"/>
        </w:trPr>
        <w:tc>
          <w:tcPr>
            <w:tcBorders>
              <w:top w:val="single" w:color="auto" w:sz="8" w:space="0"/>
              <w:left w:val="single" w:color="auto" w:sz="8" w:space="0"/>
              <w:bottom w:val="single" w:color="auto" w:sz="8" w:space="0"/>
              <w:right w:val="single" w:color="auto" w:sz="8" w:space="0"/>
            </w:tcBorders>
            <w:tcW w:w="76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w:t>
            </w:r>
            <w:r/>
          </w:p>
        </w:tc>
        <w:tc>
          <w:tcPr>
            <w:tcBorders>
              <w:top w:val="single" w:color="auto" w:sz="8" w:space="0"/>
              <w:left w:val="single" w:color="auto" w:sz="8" w:space="0"/>
              <w:bottom w:val="single" w:color="auto" w:sz="8" w:space="0"/>
              <w:right w:val="single" w:color="auto" w:sz="8" w:space="0"/>
            </w:tcBorders>
            <w:tcW w:w="121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售后方案</w:t>
            </w:r>
            <w:r/>
          </w:p>
        </w:tc>
        <w:tc>
          <w:tcPr>
            <w:tcBorders>
              <w:top w:val="single" w:color="auto" w:sz="8" w:space="0"/>
              <w:left w:val="single" w:color="auto" w:sz="8" w:space="0"/>
              <w:bottom w:val="single" w:color="auto" w:sz="8" w:space="0"/>
              <w:right w:val="single" w:color="auto" w:sz="8" w:space="0"/>
            </w:tcBorders>
            <w:tcW w:w="791"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13</w:t>
            </w:r>
            <w:r/>
          </w:p>
        </w:tc>
        <w:tc>
          <w:tcPr>
            <w:tcBorders>
              <w:top w:val="single" w:color="auto" w:sz="8" w:space="0"/>
              <w:left w:val="single" w:color="auto" w:sz="8" w:space="0"/>
              <w:bottom w:val="single" w:color="auto" w:sz="8" w:space="0"/>
              <w:right w:val="single" w:color="auto" w:sz="8" w:space="0"/>
            </w:tcBorders>
            <w:tcW w:w="6102" w:type="dxa"/>
            <w:vAlign w:val="center"/>
            <w:textDirection w:val="lrTb"/>
            <w:noWrap/>
          </w:tcPr>
          <w:p>
            <w:pPr>
              <w:ind w:firstLine="480"/>
              <w:jc w:val="left"/>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1.制定售后服务方案：投标人应制订满足采购文件要求的售后服务方案及管理制度，包括但不限于：</w:t>
            </w:r>
            <w:r/>
          </w:p>
          <w:p>
            <w:pPr>
              <w:ind w:firstLine="480"/>
              <w:jc w:val="left"/>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①自身及所投产品制造商的售后服务机构的分布情况；</w:t>
            </w:r>
            <w:r/>
          </w:p>
          <w:p>
            <w:pPr>
              <w:ind w:firstLine="480"/>
              <w:jc w:val="left"/>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②售后服务人员的数量、素质、技术水平；</w:t>
            </w:r>
            <w:r/>
          </w:p>
          <w:p>
            <w:pPr>
              <w:ind w:firstLine="480"/>
              <w:jc w:val="left"/>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③主要产品配件清单及收费标准；</w:t>
            </w:r>
            <w:r/>
          </w:p>
          <w:p>
            <w:pPr>
              <w:ind w:firstLine="480"/>
              <w:jc w:val="left"/>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④设备使用的培训方案；</w:t>
            </w:r>
            <w:r/>
          </w:p>
          <w:p>
            <w:pPr>
              <w:ind w:firstLine="480"/>
              <w:jc w:val="left"/>
              <w:spacing w:line="280" w:lineRule="exact"/>
              <w:rPr>
                <w:rFonts w:ascii="仿宋" w:hAnsi="仿宋" w:eastAsia="仿宋" w:cs="仿宋"/>
                <w:b/>
                <w:color w:val="auto"/>
                <w:sz w:val="24"/>
                <w:highlight w:val="none"/>
              </w:rPr>
            </w:pPr>
            <w:r>
              <w:rPr>
                <w:rFonts w:hint="eastAsia" w:ascii="仿宋" w:hAnsi="仿宋" w:eastAsia="仿宋" w:cs="仿宋"/>
                <w:bCs/>
                <w:color w:val="auto"/>
                <w:sz w:val="24"/>
                <w:highlight w:val="none"/>
              </w:rPr>
              <w:t xml:space="preserve">⑤故障解决方案等服务方案；服务方案应科学合理、具备</w:t>
            </w:r>
            <w:r>
              <w:rPr>
                <w:rFonts w:hint="eastAsia" w:ascii="仿宋" w:hAnsi="仿宋" w:eastAsia="仿宋" w:cs="仿宋"/>
                <w:b/>
                <w:color w:val="auto"/>
                <w:sz w:val="24"/>
                <w:highlight w:val="none"/>
              </w:rPr>
              <w:t xml:space="preserve">针对性，并指定专门的售后服务人员；</w:t>
            </w:r>
            <w:r/>
          </w:p>
          <w:p>
            <w:pPr>
              <w:ind w:firstLine="480"/>
              <w:jc w:val="left"/>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上述内容中每缺少一项内容扣1分，每有一处需求分析内容存在缺陷或不足的扣0.5分，扣完为止。(本项最多得5分)</w:t>
            </w:r>
            <w:r/>
          </w:p>
          <w:p>
            <w:pPr>
              <w:ind w:firstLine="482"/>
              <w:jc w:val="left"/>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售后服务方案内容存在缺陷或不足是指以下任意一种情形：售后服务方案内容不切合行业实际、不符合国家法规政策；或售后服务方案内容生搬硬造，与实际情况不符，存在偏差；或售后服务方案内容过于简略；或存在与项目无关的文字内容；或内容不适用项目采购文件要求；或内容逻辑漏洞或原理错误。</w:t>
            </w:r>
            <w:r/>
          </w:p>
          <w:p>
            <w:pPr>
              <w:ind w:firstLine="480"/>
              <w:jc w:val="left"/>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2.投标人承诺接到招标人报修通知后，半小时内有效响应，一般故障2小时内予以排除，特殊故障 24小时内予以排除的得3分；一小时内有效响应，一般故障4小时内予以排除，特殊故障 48小时内予以排除的得1分；其他不得分。本项目最高3分。</w:t>
            </w:r>
            <w:r/>
          </w:p>
          <w:p>
            <w:pPr>
              <w:ind w:firstLine="480"/>
              <w:jc w:val="left"/>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投标文件中须提供承诺书，格式自拟，不提供不得分。</w:t>
            </w:r>
            <w:r/>
          </w:p>
          <w:p>
            <w:pPr>
              <w:ind w:firstLine="480"/>
              <w:jc w:val="left"/>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在满足招标文件中规定的免费质保期要求的基础上，投标人针对所有产品的免费质保期限每增加一年得1分，最高得2分。在首年承担产品检定和校准的基础上，能够继续承担各采购包所投产品（便携式气相色谱-质谱联用仪、总磷总氮全自动分析仪）需要检定或校准费用的，每增加1年得1分，最多得3分。本项共5分。</w:t>
            </w:r>
            <w:r/>
          </w:p>
          <w:p>
            <w:pPr>
              <w:spacing w:line="280" w:lineRule="exact"/>
              <w:rPr>
                <w:rFonts w:ascii="仿宋" w:hAnsi="仿宋" w:eastAsia="仿宋" w:cs="仿宋"/>
                <w:bCs/>
                <w:color w:val="auto"/>
                <w:sz w:val="24"/>
                <w:highlight w:val="none"/>
              </w:rPr>
            </w:pPr>
            <w:r>
              <w:rPr>
                <w:rFonts w:hint="eastAsia" w:ascii="仿宋" w:hAnsi="仿宋" w:eastAsia="仿宋" w:cs="仿宋"/>
                <w:b/>
                <w:color w:val="auto"/>
                <w:sz w:val="24"/>
                <w:highlight w:val="none"/>
              </w:rPr>
              <w:t xml:space="preserve">根据承诺内容评分，投标文件中须提供承诺书，格式自拟，不提供不得分。</w:t>
            </w:r>
            <w:r/>
          </w:p>
        </w:tc>
        <w:tc>
          <w:tcPr>
            <w:shd w:val="clear" w:color="auto" w:fill="auto"/>
            <w:tcBorders>
              <w:top w:val="single" w:color="auto" w:sz="8" w:space="0"/>
              <w:left w:val="single" w:color="auto" w:sz="8" w:space="0"/>
              <w:bottom w:val="single" w:color="auto" w:sz="8" w:space="0"/>
              <w:right w:val="single" w:color="auto" w:sz="8" w:space="0"/>
            </w:tcBorders>
            <w:tcW w:w="594" w:type="dxa"/>
            <w:vAlign w:val="center"/>
            <w:vMerge w:val="continue"/>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bl>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pStyle w:val="912"/>
        <w:ind w:firstLine="0"/>
        <w:jc w:val="center"/>
        <w:spacing w:line="240" w:lineRule="auto"/>
        <w:rPr>
          <w:rFonts w:ascii="方正小标宋简体" w:eastAsia="方正小标宋简体"/>
          <w:b/>
          <w:color w:val="auto"/>
          <w:sz w:val="32"/>
          <w:szCs w:val="32"/>
          <w:highlight w:val="none"/>
        </w:rPr>
        <w:outlineLvl w:val="0"/>
      </w:pPr>
      <w:r>
        <w:rPr>
          <w:rFonts w:ascii="方正小标宋简体" w:eastAsia="方正小标宋简体"/>
          <w:b/>
          <w:color w:val="auto"/>
          <w:sz w:val="44"/>
          <w:szCs w:val="28"/>
          <w:highlight w:val="none"/>
        </w:rPr>
        <w:br w:type="page" w:clear="all"/>
      </w:r>
      <w:bookmarkStart w:id="134" w:name="_Toc2890"/>
      <w:r>
        <w:rPr>
          <w:rFonts w:hint="eastAsia" w:ascii="方正小标宋简体" w:eastAsia="方正小标宋简体"/>
          <w:b/>
          <w:color w:val="auto"/>
          <w:sz w:val="32"/>
          <w:szCs w:val="32"/>
          <w:highlight w:val="none"/>
        </w:rPr>
        <w:t xml:space="preserve">第6章 投标文件组成</w:t>
      </w:r>
      <w:bookmarkEnd w:id="134"/>
      <w:r/>
      <w:r/>
    </w:p>
    <w:p>
      <w:pPr>
        <w:pStyle w:val="912"/>
        <w:ind w:firstLine="0"/>
        <w:jc w:val="center"/>
        <w:spacing w:line="240" w:lineRule="auto"/>
        <w:rPr>
          <w:rFonts w:ascii="方正小标宋简体" w:eastAsia="方正小标宋简体"/>
          <w:b/>
          <w:color w:val="auto"/>
          <w:sz w:val="32"/>
          <w:szCs w:val="32"/>
          <w:highlight w:val="none"/>
        </w:rPr>
      </w:pPr>
      <w:r>
        <w:rPr>
          <w:rFonts w:ascii="方正小标宋简体" w:eastAsia="方正小标宋简体"/>
          <w:b/>
          <w:color w:val="auto"/>
          <w:sz w:val="32"/>
          <w:szCs w:val="32"/>
          <w:highlight w:val="none"/>
        </w:rPr>
      </w:r>
      <w:r/>
    </w:p>
    <w:p>
      <w:pPr>
        <w:ind w:firstLine="883"/>
        <w:jc w:val="center"/>
        <w:rPr>
          <w:rFonts w:ascii="方正小标宋简体" w:hAnsi="仿宋" w:eastAsia="方正小标宋简体"/>
          <w:b/>
          <w:color w:val="auto"/>
          <w:sz w:val="44"/>
          <w:szCs w:val="44"/>
          <w:highlight w:val="none"/>
        </w:rPr>
      </w:pPr>
      <w:r>
        <w:rPr>
          <w:rFonts w:hint="eastAsia" w:ascii="方正小标宋简体" w:hAnsi="仿宋" w:eastAsia="方正小标宋简体"/>
          <w:b/>
          <w:color w:val="auto"/>
          <w:sz w:val="44"/>
          <w:szCs w:val="44"/>
          <w:highlight w:val="none"/>
        </w:rPr>
        <w:t xml:space="preserve">如皋市政府采购投标文件</w:t>
      </w:r>
      <w:r/>
    </w:p>
    <w:p>
      <w:pPr>
        <w:ind w:firstLine="1434"/>
        <w:rPr>
          <w:rFonts w:ascii="宋体" w:hAnsi="宋体"/>
          <w:b/>
          <w:color w:val="auto"/>
          <w:sz w:val="24"/>
          <w:highlight w:val="none"/>
        </w:rPr>
      </w:pPr>
      <w:r>
        <w:rPr>
          <w:rFonts w:ascii="宋体" w:hAnsi="宋体"/>
          <w:b/>
          <w:color w:val="auto"/>
          <w:sz w:val="24"/>
          <w:highlight w:val="none"/>
        </w:rPr>
      </w:r>
      <w:r/>
    </w:p>
    <w:p>
      <w:pPr>
        <w:ind w:firstLine="2072"/>
        <w:rPr>
          <w:rFonts w:ascii="宋体" w:hAnsi="宋体"/>
          <w:b/>
          <w:color w:val="auto"/>
          <w:sz w:val="32"/>
          <w:szCs w:val="32"/>
          <w:highlight w:val="none"/>
        </w:rPr>
      </w:pPr>
      <w:r>
        <w:rPr>
          <w:rFonts w:ascii="宋体" w:hAnsi="宋体"/>
          <w:b/>
          <w:color w:val="auto"/>
          <w:sz w:val="32"/>
          <w:szCs w:val="32"/>
          <w:highlight w:val="none"/>
        </w:rPr>
      </w:r>
      <w:r/>
    </w:p>
    <w:p>
      <w:pPr>
        <w:ind w:firstLine="2072"/>
        <w:rPr>
          <w:rFonts w:ascii="宋体" w:hAnsi="宋体"/>
          <w:b/>
          <w:color w:val="auto"/>
          <w:sz w:val="32"/>
          <w:szCs w:val="32"/>
          <w:highlight w:val="none"/>
        </w:rPr>
      </w:pPr>
      <w:r>
        <w:rPr>
          <w:rFonts w:hint="eastAsia" w:ascii="宋体" w:hAnsi="宋体"/>
          <w:b/>
          <w:color w:val="auto"/>
          <w:sz w:val="32"/>
          <w:szCs w:val="32"/>
          <w:highlight w:val="none"/>
        </w:rPr>
        <w:t xml:space="preserve">项目名称：如皋市水源地水质自动监测监控预警能力提升建设项目</w:t>
      </w:r>
      <w:r/>
    </w:p>
    <w:p>
      <w:pPr>
        <w:ind w:firstLine="2072"/>
        <w:rPr>
          <w:rFonts w:ascii="宋体" w:hAnsi="宋体"/>
          <w:b/>
          <w:color w:val="auto"/>
          <w:sz w:val="32"/>
          <w:szCs w:val="32"/>
          <w:highlight w:val="none"/>
        </w:rPr>
      </w:pPr>
      <w:r>
        <w:rPr>
          <w:rFonts w:hint="eastAsia" w:ascii="宋体" w:hAnsi="宋体"/>
          <w:b/>
          <w:color w:val="auto"/>
          <w:sz w:val="32"/>
          <w:szCs w:val="32"/>
          <w:highlight w:val="none"/>
        </w:rPr>
        <w:t xml:space="preserve">项目编号：JSZC-320682-NTZJ-G2026-0011</w:t>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pStyle w:val="883"/>
        <w:spacing w:line="240" w:lineRule="auto"/>
        <w:rPr>
          <w:rFonts w:ascii="文鼎CS楷体" w:eastAsia="文鼎CS楷体"/>
          <w:b/>
          <w:color w:val="auto"/>
          <w:sz w:val="32"/>
          <w:szCs w:val="32"/>
          <w:highlight w:val="none"/>
        </w:rPr>
      </w:pPr>
      <w:r>
        <w:rPr>
          <w:rFonts w:ascii="文鼎CS楷体" w:eastAsia="文鼎CS楷体"/>
          <w:b/>
          <w:color w:val="auto"/>
          <w:sz w:val="32"/>
          <w:szCs w:val="32"/>
          <w:highlight w:val="none"/>
        </w:rPr>
      </w:r>
      <w:r/>
    </w:p>
    <w:p>
      <w:pPr>
        <w:rPr>
          <w:b/>
          <w:color w:val="auto"/>
          <w:sz w:val="32"/>
          <w:szCs w:val="32"/>
          <w:highlight w:val="none"/>
          <w:u w:val="single"/>
        </w:rPr>
      </w:pPr>
      <w:r>
        <w:rPr>
          <w:rFonts w:hint="eastAsia"/>
          <w:b/>
          <w:color w:val="auto"/>
          <w:sz w:val="32"/>
          <w:szCs w:val="32"/>
          <w:highlight w:val="none"/>
        </w:rPr>
        <w:t xml:space="preserve">供应商名称：</w:t>
      </w:r>
      <w:r/>
    </w:p>
    <w:p>
      <w:pPr>
        <w:rPr>
          <w:rFonts w:ascii="宋体" w:hAnsi="宋体"/>
          <w:b/>
          <w:color w:val="auto"/>
          <w:sz w:val="32"/>
          <w:szCs w:val="32"/>
          <w:highlight w:val="none"/>
        </w:rPr>
      </w:pPr>
      <w:r>
        <w:rPr>
          <w:rFonts w:hint="eastAsia" w:ascii="宋体" w:hAnsi="宋体"/>
          <w:b/>
          <w:color w:val="auto"/>
          <w:sz w:val="32"/>
          <w:szCs w:val="32"/>
          <w:highlight w:val="none"/>
        </w:rPr>
        <w:t xml:space="preserve">地址： </w:t>
      </w:r>
      <w:r/>
    </w:p>
    <w:p>
      <w:pPr>
        <w:rPr>
          <w:rFonts w:ascii="宋体" w:hAnsi="宋体"/>
          <w:b/>
          <w:color w:val="auto"/>
          <w:sz w:val="32"/>
          <w:szCs w:val="32"/>
          <w:highlight w:val="none"/>
        </w:rPr>
      </w:pPr>
      <w:r>
        <w:rPr>
          <w:rFonts w:hint="eastAsia"/>
          <w:b/>
          <w:color w:val="auto"/>
          <w:sz w:val="32"/>
          <w:szCs w:val="32"/>
          <w:highlight w:val="none"/>
        </w:rPr>
        <w:t xml:space="preserve">联系</w:t>
      </w:r>
      <w:r>
        <w:rPr>
          <w:rFonts w:hint="eastAsia" w:ascii="宋体" w:hAnsi="宋体"/>
          <w:b/>
          <w:color w:val="auto"/>
          <w:sz w:val="32"/>
          <w:szCs w:val="32"/>
          <w:highlight w:val="none"/>
        </w:rPr>
        <w:t xml:space="preserve">电话： </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年月日</w:t>
      </w:r>
      <w:r/>
    </w:p>
    <w:p>
      <w:pPr>
        <w:ind w:firstLine="954"/>
        <w:rPr>
          <w:rFonts w:ascii="黑体" w:hAnsi="黑体" w:eastAsia="黑体"/>
          <w:bCs/>
          <w:color w:val="auto"/>
          <w:sz w:val="28"/>
          <w:szCs w:val="28"/>
          <w:highlight w:val="none"/>
        </w:rPr>
        <w:outlineLvl w:val="1"/>
      </w:pPr>
      <w:r>
        <w:rPr>
          <w:rFonts w:ascii="宋体" w:hAnsi="宋体"/>
          <w:b/>
          <w:color w:val="auto"/>
          <w:sz w:val="24"/>
          <w:highlight w:val="none"/>
        </w:rPr>
        <w:br w:type="page" w:clear="all"/>
      </w:r>
      <w:bookmarkStart w:id="135" w:name="_Toc32758"/>
      <w:r>
        <w:rPr>
          <w:rFonts w:hint="eastAsia" w:ascii="黑体" w:hAnsi="黑体" w:eastAsia="黑体"/>
          <w:bCs/>
          <w:color w:val="auto"/>
          <w:sz w:val="28"/>
          <w:szCs w:val="28"/>
          <w:highlight w:val="none"/>
        </w:rPr>
        <w:t xml:space="preserve">一、开标一览表</w:t>
      </w:r>
      <w:bookmarkEnd w:id="135"/>
      <w:r/>
      <w:r/>
    </w:p>
    <w:p>
      <w:pPr>
        <w:ind w:firstLine="720"/>
        <w:jc w:val="center"/>
        <w:rPr>
          <w:rFonts w:ascii="方正小标宋简体" w:hAnsi="方正小标宋简体" w:eastAsia="方正小标宋简体"/>
          <w:bCs/>
          <w:color w:val="auto"/>
          <w:sz w:val="36"/>
          <w:szCs w:val="36"/>
          <w:highlight w:val="none"/>
        </w:rPr>
      </w:pPr>
      <w:r>
        <w:rPr>
          <w:rFonts w:hint="eastAsia" w:ascii="方正小标宋简体" w:hAnsi="方正小标宋简体" w:eastAsia="方正小标宋简体"/>
          <w:bCs/>
          <w:color w:val="auto"/>
          <w:sz w:val="36"/>
          <w:szCs w:val="36"/>
          <w:highlight w:val="none"/>
        </w:rPr>
        <w:t xml:space="preserve">开标一览表（货物类）</w:t>
      </w:r>
      <w:r/>
    </w:p>
    <w:p>
      <w:pPr>
        <w:ind w:left="1080" w:right="-867" w:hanging="540"/>
        <w:tabs>
          <w:tab w:val="left" w:pos="1800" w:leader="none"/>
          <w:tab w:val="left" w:pos="558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项目名称：</w:t>
      </w:r>
      <w:r/>
    </w:p>
    <w:p>
      <w:pPr>
        <w:ind w:left="1080" w:right="-867" w:hanging="540"/>
        <w:tabs>
          <w:tab w:val="left" w:pos="1800" w:leader="none"/>
          <w:tab w:val="left" w:pos="558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如皋市水源地水质自动监测监控预警能力提升建设项目　                </w:t>
      </w:r>
      <w:r/>
    </w:p>
    <w:p>
      <w:pPr>
        <w:ind w:left="1080" w:right="-867" w:hanging="540"/>
        <w:tabs>
          <w:tab w:val="left" w:pos="1800" w:leader="none"/>
          <w:tab w:val="left" w:pos="558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项目编号： JSZC-320682-NTZJ-G2026-0011                包号：</w:t>
      </w:r>
      <w:r/>
    </w:p>
    <w:tbl>
      <w:tblPr>
        <w:tblStyle w:val="875"/>
        <w:tblW w:w="9362" w:type="dxa"/>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79"/>
        <w:gridCol w:w="1444"/>
        <w:gridCol w:w="1249"/>
        <w:gridCol w:w="2126"/>
        <w:gridCol w:w="1134"/>
        <w:gridCol w:w="1049"/>
        <w:gridCol w:w="881"/>
      </w:tblGrid>
      <w:tr>
        <w:trPr>
          <w:trHeight w:val="662"/>
        </w:trPr>
        <w:tc>
          <w:tcPr>
            <w:tcW w:w="1479" w:type="dxa"/>
            <w:vAlign w:val="center"/>
            <w:textDirection w:val="lrTb"/>
            <w:noWrap w:val="false"/>
          </w:tcPr>
          <w:p>
            <w:pPr>
              <w:ind w:right="-199"/>
              <w:jc w:val="center"/>
              <w:tabs>
                <w:tab w:val="left" w:pos="5580" w:leader="none"/>
              </w:tabs>
              <w:rPr>
                <w:rFonts w:ascii="仿宋" w:hAnsi="仿宋" w:eastAsia="仿宋"/>
                <w:bCs/>
                <w:color w:val="auto"/>
                <w:sz w:val="24"/>
                <w:highlight w:val="none"/>
              </w:rPr>
            </w:pPr>
            <w:r>
              <w:rPr>
                <w:rFonts w:hint="eastAsia" w:ascii="仿宋" w:hAnsi="仿宋" w:eastAsia="仿宋"/>
                <w:bCs/>
                <w:color w:val="auto"/>
                <w:sz w:val="24"/>
                <w:highlight w:val="none"/>
              </w:rPr>
              <w:t xml:space="preserve">货物名称</w:t>
            </w:r>
            <w:r/>
          </w:p>
        </w:tc>
        <w:tc>
          <w:tcPr>
            <w:tcW w:w="1444"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hint="eastAsia" w:ascii="仿宋" w:hAnsi="仿宋" w:eastAsia="仿宋"/>
                <w:bCs/>
                <w:color w:val="auto"/>
                <w:sz w:val="24"/>
                <w:highlight w:val="none"/>
              </w:rPr>
              <w:t xml:space="preserve">品牌</w:t>
            </w:r>
            <w:r/>
          </w:p>
        </w:tc>
        <w:tc>
          <w:tcPr>
            <w:tcW w:w="1249"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hint="eastAsia" w:ascii="仿宋" w:hAnsi="仿宋" w:eastAsia="仿宋"/>
                <w:bCs/>
                <w:color w:val="auto"/>
                <w:sz w:val="24"/>
                <w:highlight w:val="none"/>
              </w:rPr>
              <w:t xml:space="preserve">型号</w:t>
            </w:r>
            <w:r/>
          </w:p>
        </w:tc>
        <w:tc>
          <w:tcPr>
            <w:tcW w:w="2126"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hint="eastAsia" w:ascii="仿宋" w:hAnsi="仿宋" w:eastAsia="仿宋"/>
                <w:bCs/>
                <w:color w:val="auto"/>
                <w:sz w:val="24"/>
                <w:highlight w:val="none"/>
              </w:rPr>
              <w:t xml:space="preserve">制造商</w:t>
            </w:r>
            <w:r/>
          </w:p>
        </w:tc>
        <w:tc>
          <w:tcPr>
            <w:tcW w:w="1134"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hint="eastAsia" w:ascii="仿宋" w:hAnsi="仿宋" w:eastAsia="仿宋"/>
                <w:bCs/>
                <w:color w:val="auto"/>
                <w:sz w:val="24"/>
                <w:highlight w:val="none"/>
              </w:rPr>
              <w:t xml:space="preserve">交货期</w:t>
            </w:r>
            <w:r/>
          </w:p>
        </w:tc>
        <w:tc>
          <w:tcPr>
            <w:tcW w:w="1049"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hint="eastAsia" w:ascii="仿宋" w:hAnsi="仿宋" w:eastAsia="仿宋"/>
                <w:bCs/>
                <w:color w:val="auto"/>
                <w:sz w:val="24"/>
                <w:highlight w:val="none"/>
              </w:rPr>
              <w:t xml:space="preserve">交货地点</w:t>
            </w:r>
            <w:r/>
          </w:p>
        </w:tc>
        <w:tc>
          <w:tcPr>
            <w:tcW w:w="881"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trHeight w:val="842"/>
        </w:trPr>
        <w:tc>
          <w:tcPr>
            <w:tcW w:w="1479" w:type="dxa"/>
            <w:vAlign w:val="center"/>
            <w:textDirection w:val="lrTb"/>
            <w:noWrap w:val="false"/>
          </w:tcPr>
          <w:p>
            <w:pPr>
              <w:ind w:left="1080" w:hanging="540"/>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1444"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1249"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2126"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1134" w:type="dxa"/>
            <w:vAlign w:val="center"/>
            <w:textDirection w:val="lrTb"/>
            <w:noWrap w:val="false"/>
          </w:tcPr>
          <w:p>
            <w:pPr>
              <w:ind w:left="1080" w:hanging="540"/>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1049" w:type="dxa"/>
            <w:vAlign w:val="center"/>
            <w:textDirection w:val="lrTb"/>
            <w:noWrap w:val="false"/>
          </w:tcPr>
          <w:p>
            <w:pPr>
              <w:ind w:left="1080" w:hanging="540"/>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881" w:type="dxa"/>
            <w:vAlign w:val="center"/>
            <w:textDirection w:val="lrTb"/>
            <w:noWrap w:val="false"/>
          </w:tcPr>
          <w:p>
            <w:pPr>
              <w:ind w:left="1080" w:hanging="540"/>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r>
      <w:tr>
        <w:trPr>
          <w:trHeight w:val="982"/>
        </w:trPr>
        <w:tc>
          <w:tcPr>
            <w:tcW w:w="1479" w:type="dxa"/>
            <w:vAlign w:val="center"/>
            <w:textDirection w:val="lrTb"/>
            <w:noWrap w:val="false"/>
          </w:tcPr>
          <w:p>
            <w:pPr>
              <w:ind w:left="1080" w:hanging="540"/>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t xml:space="preserve">……</w:t>
            </w:r>
            <w:r/>
          </w:p>
        </w:tc>
        <w:tc>
          <w:tcPr>
            <w:tcW w:w="1444"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1249"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2126"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1134" w:type="dxa"/>
            <w:vAlign w:val="center"/>
            <w:textDirection w:val="lrTb"/>
            <w:noWrap w:val="false"/>
          </w:tcPr>
          <w:p>
            <w:pPr>
              <w:ind w:left="1080" w:hanging="540"/>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1049" w:type="dxa"/>
            <w:vAlign w:val="center"/>
            <w:textDirection w:val="lrTb"/>
            <w:noWrap w:val="false"/>
          </w:tcPr>
          <w:p>
            <w:pPr>
              <w:ind w:left="1080" w:hanging="540"/>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881" w:type="dxa"/>
            <w:vAlign w:val="center"/>
            <w:textDirection w:val="lrTb"/>
            <w:noWrap w:val="false"/>
          </w:tcPr>
          <w:p>
            <w:pPr>
              <w:ind w:left="1080" w:hanging="540"/>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r>
    </w:tbl>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t xml:space="preserve">投标总报价：</w:t>
      </w:r>
      <w:r>
        <w:rPr>
          <w:rFonts w:hint="eastAsia" w:ascii="仿宋" w:hAnsi="仿宋" w:eastAsia="仿宋"/>
          <w:bCs/>
          <w:color w:val="auto"/>
          <w:sz w:val="28"/>
          <w:szCs w:val="28"/>
          <w:highlight w:val="none"/>
        </w:rPr>
        <w:t xml:space="preserve">万元（小写）</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万元（大写）</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u w:val="single"/>
        </w:rPr>
        <w:t xml:space="preserve">注：此表格式如与苏采云系统提供的格式不同，请以系统提供的为准。</w:t>
      </w:r>
      <w:r/>
    </w:p>
    <w:p>
      <w:pPr>
        <w:ind w:firstLine="560"/>
        <w:rPr>
          <w:rFonts w:ascii="仿宋" w:hAnsi="仿宋" w:eastAsia="仿宋"/>
          <w:bCs/>
          <w:color w:val="auto"/>
          <w:sz w:val="28"/>
          <w:szCs w:val="28"/>
          <w:highlight w:val="none"/>
        </w:rPr>
        <w:outlineLvl w:val="1"/>
      </w:pPr>
      <w:r>
        <w:rPr>
          <w:rFonts w:ascii="黑体" w:hAnsi="黑体" w:eastAsia="黑体"/>
          <w:bCs/>
          <w:color w:val="auto"/>
          <w:sz w:val="28"/>
          <w:szCs w:val="28"/>
          <w:highlight w:val="none"/>
        </w:rPr>
        <w:br w:type="page" w:clear="all"/>
      </w:r>
      <w:bookmarkStart w:id="136" w:name="_Toc3034"/>
      <w:r>
        <w:rPr>
          <w:rFonts w:hint="eastAsia" w:ascii="黑体" w:hAnsi="黑体" w:eastAsia="黑体"/>
          <w:bCs/>
          <w:color w:val="auto"/>
          <w:sz w:val="28"/>
          <w:szCs w:val="28"/>
          <w:highlight w:val="none"/>
        </w:rPr>
        <w:t xml:space="preserve">二、资格证明文件</w:t>
      </w:r>
      <w:bookmarkEnd w:id="136"/>
      <w:r/>
      <w:r/>
    </w:p>
    <w:p>
      <w:pPr>
        <w:ind w:firstLine="560"/>
        <w:rPr>
          <w:rFonts w:ascii="仿宋" w:hAnsi="仿宋" w:eastAsia="仿宋" w:cs="Arial"/>
          <w:bCs/>
          <w:color w:val="auto"/>
          <w:sz w:val="28"/>
          <w:szCs w:val="28"/>
          <w:highlight w:val="none"/>
        </w:rPr>
      </w:pPr>
      <w:r>
        <w:rPr>
          <w:rFonts w:hint="eastAsia" w:ascii="仿宋" w:hAnsi="仿宋" w:eastAsia="仿宋"/>
          <w:bCs/>
          <w:color w:val="auto"/>
          <w:sz w:val="28"/>
          <w:szCs w:val="28"/>
          <w:highlight w:val="none"/>
        </w:rPr>
        <w:t xml:space="preserve">（一）</w:t>
      </w:r>
      <w:r>
        <w:rPr>
          <w:rFonts w:hint="eastAsia" w:ascii="仿宋" w:hAnsi="仿宋" w:eastAsia="仿宋" w:cs="Arial"/>
          <w:bCs/>
          <w:color w:val="auto"/>
          <w:sz w:val="28"/>
          <w:szCs w:val="28"/>
          <w:highlight w:val="none"/>
        </w:rPr>
        <w:t xml:space="preserve">法人或者其他组织的营业执照，自然人的身份证（复印件）。</w:t>
      </w:r>
      <w:r/>
    </w:p>
    <w:p>
      <w:pPr>
        <w:ind w:firstLine="560"/>
        <w:jc w:val="left"/>
        <w:spacing w:before="5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（二）参加本次政府采购活动前的会计报表</w:t>
      </w:r>
      <w:r>
        <w:rPr>
          <w:rFonts w:hint="eastAsia" w:ascii="仿宋" w:hAnsi="仿宋" w:eastAsia="仿宋" w:cs="Arial"/>
          <w:bCs/>
          <w:color w:val="auto"/>
          <w:sz w:val="28"/>
          <w:szCs w:val="28"/>
          <w:highlight w:val="none"/>
        </w:rPr>
        <w:t xml:space="preserve">（复印件，成立不满一年不需提供）。</w:t>
      </w:r>
      <w:r/>
    </w:p>
    <w:p>
      <w:pPr>
        <w:ind w:firstLine="560"/>
        <w:rPr>
          <w:rFonts w:ascii="仿宋" w:hAnsi="仿宋" w:eastAsia="仿宋" w:cs="Arial"/>
          <w:bCs/>
          <w:color w:val="auto"/>
          <w:sz w:val="28"/>
          <w:szCs w:val="28"/>
          <w:highlight w:val="none"/>
        </w:rPr>
      </w:pPr>
      <w:r>
        <w:rPr>
          <w:rFonts w:hint="eastAsia" w:ascii="仿宋" w:hAnsi="仿宋" w:eastAsia="仿宋"/>
          <w:bCs/>
          <w:color w:val="auto"/>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bCs/>
          <w:color w:val="auto"/>
          <w:sz w:val="28"/>
          <w:szCs w:val="28"/>
          <w:highlight w:val="none"/>
        </w:rPr>
        <w:t xml:space="preserve">（复印件）。</w:t>
      </w:r>
      <w:r/>
    </w:p>
    <w:p>
      <w:pPr>
        <w:ind w:firstLine="560"/>
        <w:jc w:val="left"/>
        <w:spacing w:before="50"/>
        <w:rPr>
          <w:rFonts w:ascii="仿宋" w:hAnsi="仿宋" w:eastAsia="仿宋" w:cs="Arial"/>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（四）根据项目需求提供履行合同</w:t>
      </w:r>
      <w:r>
        <w:rPr>
          <w:rFonts w:hint="eastAsia" w:ascii="仿宋" w:hAnsi="仿宋" w:eastAsia="仿宋" w:cs="Arial"/>
          <w:bCs/>
          <w:color w:val="auto"/>
          <w:sz w:val="28"/>
          <w:szCs w:val="28"/>
          <w:highlight w:val="none"/>
        </w:rPr>
        <w:t xml:space="preserve">必需的设备和专业技术能力的声明及证明材料。</w:t>
      </w:r>
      <w:r/>
    </w:p>
    <w:p>
      <w:pPr>
        <w:jc w:val="center"/>
        <w:rPr>
          <w:rFonts w:ascii="方正小标宋简体" w:hAnsi="仿宋" w:eastAsia="方正小标宋简体"/>
          <w:bCs/>
          <w:color w:val="auto"/>
          <w:sz w:val="36"/>
          <w:szCs w:val="36"/>
          <w:highlight w:val="none"/>
        </w:rPr>
      </w:pPr>
      <w:r>
        <w:rPr>
          <w:rFonts w:hint="eastAsia" w:ascii="方正小标宋简体" w:hAnsi="仿宋" w:eastAsia="方正小标宋简体"/>
          <w:bCs/>
          <w:color w:val="auto"/>
          <w:sz w:val="36"/>
          <w:szCs w:val="36"/>
          <w:highlight w:val="none"/>
        </w:rPr>
        <w:t xml:space="preserve">声  明</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主要设备有：________。</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主要专业技术能力有：________。</w:t>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252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供应商名称（公章）：</w:t>
      </w:r>
      <w:r/>
    </w:p>
    <w:p>
      <w:pPr>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授权代表签字：_________________</w:t>
      </w:r>
      <w:r/>
    </w:p>
    <w:p>
      <w:pPr>
        <w:ind w:firstLine="560"/>
        <w:jc w:val="left"/>
        <w:spacing w:before="5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日期：______年 月日</w:t>
      </w:r>
      <w:r/>
    </w:p>
    <w:p>
      <w:pPr>
        <w:ind w:firstLine="560"/>
        <w:rPr>
          <w:rFonts w:ascii="仿宋" w:hAnsi="仿宋" w:eastAsia="仿宋" w:cs="Arial"/>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（五）</w:t>
      </w:r>
      <w:r>
        <w:rPr>
          <w:rFonts w:hint="eastAsia" w:ascii="仿宋" w:hAnsi="仿宋" w:eastAsia="仿宋" w:cs="Arial"/>
          <w:bCs/>
          <w:color w:val="auto"/>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bCs/>
          <w:color w:val="auto"/>
          <w:sz w:val="36"/>
          <w:szCs w:val="36"/>
          <w:highlight w:val="none"/>
        </w:rPr>
      </w:pPr>
      <w:r>
        <w:rPr>
          <w:rFonts w:hint="eastAsia" w:ascii="方正小标宋简体" w:hAnsi="仿宋" w:eastAsia="方正小标宋简体"/>
          <w:bCs/>
          <w:color w:val="auto"/>
          <w:sz w:val="36"/>
          <w:szCs w:val="36"/>
          <w:highlight w:val="none"/>
        </w:rPr>
        <w:t xml:space="preserve">声  明</w:t>
      </w:r>
      <w:r/>
    </w:p>
    <w:p>
      <w:pPr>
        <w:ind w:firstLine="482"/>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在投标截止时间节点，没有被“信用中国”（</w:t>
      </w:r>
      <w:r>
        <w:rPr>
          <w:rFonts w:ascii="仿宋" w:hAnsi="仿宋" w:eastAsia="仿宋"/>
          <w:bCs/>
          <w:color w:val="auto"/>
          <w:sz w:val="28"/>
          <w:szCs w:val="28"/>
          <w:highlight w:val="none"/>
        </w:rPr>
        <w:t xml:space="preserve">www.creditchina.gov.cn</w:t>
      </w:r>
      <w:r>
        <w:rPr>
          <w:rFonts w:hint="eastAsia" w:ascii="仿宋" w:hAnsi="仿宋" w:eastAsia="仿宋"/>
          <w:bCs/>
          <w:color w:val="auto"/>
          <w:sz w:val="28"/>
          <w:szCs w:val="28"/>
          <w:highlight w:val="none"/>
        </w:rPr>
        <w:t xml:space="preserve">）、“中国政府采购网”（</w:t>
      </w:r>
      <w:r>
        <w:rPr>
          <w:rFonts w:ascii="仿宋" w:hAnsi="仿宋" w:eastAsia="仿宋"/>
          <w:bCs/>
          <w:color w:val="auto"/>
          <w:sz w:val="28"/>
          <w:szCs w:val="28"/>
          <w:highlight w:val="none"/>
        </w:rPr>
        <w:t xml:space="preserve">www.ccgp.gov.cn</w:t>
      </w:r>
      <w:r>
        <w:rPr>
          <w:rFonts w:hint="eastAsia" w:ascii="仿宋" w:hAnsi="仿宋" w:eastAsia="仿宋"/>
          <w:bCs/>
          <w:color w:val="auto"/>
          <w:sz w:val="28"/>
          <w:szCs w:val="28"/>
          <w:highlight w:val="none"/>
        </w:rPr>
        <w:t xml:space="preserve">）网站列入失信被执行人、重大税收违法案件当事人名单、政府采购严重违法失信行为记录名单。</w:t>
      </w:r>
      <w:r/>
    </w:p>
    <w:p>
      <w:pPr>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供应商名称（公章）：</w:t>
      </w:r>
      <w:r/>
    </w:p>
    <w:p>
      <w:pPr>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授权代表签字：_________________</w:t>
      </w:r>
      <w:r/>
    </w:p>
    <w:p>
      <w:pPr>
        <w:ind w:firstLine="560"/>
        <w:rPr>
          <w:rFonts w:ascii="仿宋" w:hAnsi="仿宋" w:eastAsia="仿宋" w:cs="Arial"/>
          <w:bCs/>
          <w:color w:val="auto"/>
          <w:sz w:val="28"/>
          <w:szCs w:val="28"/>
          <w:highlight w:val="none"/>
        </w:rPr>
      </w:pPr>
      <w:r>
        <w:rPr>
          <w:rFonts w:hint="eastAsia" w:ascii="仿宋" w:hAnsi="仿宋" w:eastAsia="仿宋"/>
          <w:bCs/>
          <w:color w:val="auto"/>
          <w:sz w:val="28"/>
          <w:szCs w:val="28"/>
          <w:highlight w:val="none"/>
        </w:rPr>
        <w:t xml:space="preserve">                           日期：______年 月日</w:t>
      </w:r>
      <w:r/>
    </w:p>
    <w:p>
      <w:pPr>
        <w:ind w:firstLine="560"/>
        <w:jc w:val="left"/>
        <w:spacing w:before="50"/>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（六）项目实施所必须的许可资质证明材料：无。</w:t>
      </w:r>
      <w:r/>
    </w:p>
    <w:p>
      <w:pPr>
        <w:ind w:firstLine="560"/>
        <w:jc w:val="left"/>
        <w:spacing w:before="5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（七）法定代表人身份证明及身份证复印件</w:t>
      </w:r>
      <w:r/>
    </w:p>
    <w:p>
      <w:pPr>
        <w:ind w:firstLine="560"/>
        <w:jc w:val="center"/>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法定代表人身份证明</w:t>
      </w:r>
      <w:r/>
    </w:p>
    <w:p>
      <w:pPr>
        <w:ind w:firstLine="560"/>
        <w:jc w:val="left"/>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供应商名称：</w:t>
      </w:r>
      <w:r/>
    </w:p>
    <w:p>
      <w:pPr>
        <w:ind w:firstLine="560"/>
        <w:jc w:val="left"/>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单位性质：</w:t>
      </w:r>
      <w:r/>
    </w:p>
    <w:p>
      <w:pPr>
        <w:ind w:firstLine="560"/>
        <w:jc w:val="left"/>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地址：</w:t>
      </w:r>
      <w:r/>
    </w:p>
    <w:p>
      <w:pPr>
        <w:ind w:firstLine="560"/>
        <w:jc w:val="left"/>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成立时间：年月日</w:t>
      </w:r>
      <w:r/>
    </w:p>
    <w:p>
      <w:pPr>
        <w:ind w:firstLine="560"/>
        <w:jc w:val="left"/>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经营期限：</w:t>
      </w:r>
      <w:r/>
    </w:p>
    <w:p>
      <w:pPr>
        <w:ind w:firstLine="560"/>
        <w:jc w:val="left"/>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姓名：性别：</w:t>
      </w:r>
      <w:r/>
    </w:p>
    <w:p>
      <w:pPr>
        <w:ind w:firstLine="560"/>
        <w:jc w:val="left"/>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年龄：职务：</w:t>
      </w:r>
      <w:r/>
    </w:p>
    <w:p>
      <w:pPr>
        <w:ind w:firstLine="560"/>
        <w:jc w:val="left"/>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系（供应商名称）的法定代表人。特此证明。</w:t>
      </w:r>
      <w:r/>
    </w:p>
    <w:p>
      <w:pPr>
        <w:ind w:firstLine="560"/>
        <w:jc w:val="left"/>
        <w:spacing w:before="50"/>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jc w:val="left"/>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法定代表人身份证</w:t>
      </w:r>
      <w:r/>
    </w:p>
    <w:p>
      <w:pPr>
        <w:ind w:firstLine="560"/>
        <w:jc w:val="right"/>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供应商名称（公章）：</w:t>
      </w:r>
      <w:r/>
    </w:p>
    <w:p>
      <w:pPr>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日期：年月日 </w:t>
      </w:r>
      <w:r/>
    </w:p>
    <w:p>
      <w:pPr>
        <w:ind w:firstLine="560"/>
        <w:jc w:val="left"/>
        <w:spacing w:before="50"/>
        <w:rPr>
          <w:rFonts w:ascii="仿宋" w:hAnsi="仿宋" w:eastAsia="仿宋"/>
          <w:bCs/>
          <w:color w:val="auto"/>
          <w:sz w:val="28"/>
          <w:szCs w:val="28"/>
          <w:highlight w:val="none"/>
        </w:rPr>
      </w:pPr>
      <w:r>
        <w:rPr>
          <w:rFonts w:ascii="仿宋" w:hAnsi="仿宋" w:eastAsia="仿宋"/>
          <w:bCs/>
          <w:color w:val="auto"/>
          <w:sz w:val="28"/>
          <w:szCs w:val="28"/>
          <w:highlight w:val="none"/>
        </w:rPr>
      </w:r>
      <w:r/>
    </w:p>
    <w:p>
      <w:pPr>
        <w:jc w:val="left"/>
        <w:widowControl/>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p>
    <w:p>
      <w:pPr>
        <w:ind w:firstLine="560"/>
        <w:jc w:val="left"/>
        <w:spacing w:before="5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（八）法定代表人</w:t>
      </w:r>
      <w:r>
        <w:rPr>
          <w:rFonts w:ascii="仿宋" w:hAnsi="仿宋" w:eastAsia="仿宋"/>
          <w:bCs/>
          <w:color w:val="auto"/>
          <w:sz w:val="28"/>
          <w:szCs w:val="28"/>
          <w:highlight w:val="none"/>
        </w:rPr>
        <w:t xml:space="preserve">授权</w:t>
      </w:r>
      <w:r>
        <w:rPr>
          <w:rFonts w:hint="eastAsia" w:ascii="仿宋" w:hAnsi="仿宋" w:eastAsia="仿宋"/>
          <w:bCs/>
          <w:color w:val="auto"/>
          <w:sz w:val="28"/>
          <w:szCs w:val="28"/>
          <w:highlight w:val="none"/>
        </w:rPr>
        <w:t xml:space="preserve">委托</w:t>
      </w:r>
      <w:r>
        <w:rPr>
          <w:rFonts w:ascii="仿宋" w:hAnsi="仿宋" w:eastAsia="仿宋"/>
          <w:bCs/>
          <w:color w:val="auto"/>
          <w:sz w:val="28"/>
          <w:szCs w:val="28"/>
          <w:highlight w:val="none"/>
        </w:rPr>
        <w:t xml:space="preserve">书</w:t>
      </w:r>
      <w:r>
        <w:rPr>
          <w:rFonts w:hint="eastAsia" w:ascii="仿宋" w:hAnsi="仿宋" w:eastAsia="仿宋"/>
          <w:bCs/>
          <w:color w:val="auto"/>
          <w:sz w:val="28"/>
          <w:szCs w:val="28"/>
          <w:highlight w:val="none"/>
        </w:rPr>
        <w:t xml:space="preserve">。（法定代表人参加招标活动的，无需提供）</w:t>
      </w:r>
      <w:r/>
    </w:p>
    <w:p>
      <w:pPr>
        <w:jc w:val="center"/>
        <w:spacing w:line="500" w:lineRule="exact"/>
        <w:rPr>
          <w:rFonts w:ascii="方正小标宋简体" w:eastAsia="方正小标宋简体"/>
          <w:bCs/>
          <w:i/>
          <w:color w:val="auto"/>
          <w:sz w:val="36"/>
          <w:szCs w:val="36"/>
          <w:highlight w:val="none"/>
        </w:rPr>
      </w:pPr>
      <w:r>
        <w:rPr>
          <w:rFonts w:hint="eastAsia" w:ascii="方正小标宋简体" w:eastAsia="方正小标宋简体"/>
          <w:bCs/>
          <w:color w:val="auto"/>
          <w:sz w:val="36"/>
          <w:szCs w:val="36"/>
          <w:highlight w:val="none"/>
        </w:rPr>
        <w:t xml:space="preserve">法定代表人授权委托书</w:t>
      </w:r>
      <w:r/>
    </w:p>
    <w:p>
      <w:pPr>
        <w:pStyle w:val="914"/>
        <w:ind w:firstLine="48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本授权书声明：______      ______（供应商名称）授权________________（代理人的姓名）为我方就项目名称：____________项目编号:____________采购活动的合法代理人，以本公司名义全权处理一切与该项目采购有关的事务。</w:t>
      </w:r>
      <w:r/>
    </w:p>
    <w:p>
      <w:pPr>
        <w:pStyle w:val="914"/>
        <w:ind w:firstLine="48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本授权书于______年____月____日起生效，特此声明。</w:t>
      </w:r>
      <w:r/>
    </w:p>
    <w:p>
      <w:pPr>
        <w:pStyle w:val="914"/>
        <w:ind w:firstLine="48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pStyle w:val="914"/>
        <w:ind w:firstLine="480"/>
        <w:spacing w:line="500" w:lineRule="exact"/>
        <w:rPr>
          <w:rFonts w:ascii="仿宋" w:hAnsi="仿宋" w:eastAsia="仿宋"/>
          <w:bCs/>
          <w:color w:val="auto"/>
          <w:sz w:val="28"/>
          <w:szCs w:val="28"/>
          <w:highlight w:val="none"/>
          <w:u w:val="single"/>
        </w:rPr>
      </w:pPr>
      <w:r>
        <w:rPr>
          <w:rFonts w:hint="eastAsia" w:ascii="仿宋" w:hAnsi="仿宋" w:eastAsia="仿宋"/>
          <w:bCs/>
          <w:color w:val="auto"/>
          <w:sz w:val="28"/>
          <w:szCs w:val="28"/>
          <w:highlight w:val="none"/>
        </w:rPr>
        <w:t xml:space="preserve">法定代表人（签字）： </w:t>
      </w:r>
      <w:r/>
    </w:p>
    <w:p>
      <w:pPr>
        <w:pStyle w:val="914"/>
        <w:ind w:firstLine="48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身份证号码：</w:t>
      </w:r>
      <w:r/>
    </w:p>
    <w:p>
      <w:pPr>
        <w:pStyle w:val="914"/>
        <w:ind w:firstLine="232"/>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联系电话（手机）：</w:t>
      </w:r>
      <w:r/>
    </w:p>
    <w:p>
      <w:pPr>
        <w:pStyle w:val="914"/>
        <w:ind w:firstLine="48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pStyle w:val="914"/>
        <w:ind w:firstLine="48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代理人姓名：</w:t>
      </w:r>
      <w:r/>
    </w:p>
    <w:p>
      <w:pPr>
        <w:pStyle w:val="914"/>
        <w:ind w:firstLine="48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身份证号码：                         </w:t>
      </w:r>
      <w:r/>
    </w:p>
    <w:p>
      <w:pPr>
        <w:pStyle w:val="914"/>
        <w:ind w:firstLine="48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联系电话（手机）：                    </w:t>
      </w:r>
      <w:r/>
    </w:p>
    <w:p>
      <w:pPr>
        <w:pStyle w:val="914"/>
        <w:ind w:firstLine="48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pStyle w:val="914"/>
        <w:ind w:firstLine="12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供应商名称（加盖公章）：</w:t>
      </w:r>
      <w:r/>
    </w:p>
    <w:p>
      <w:pPr>
        <w:pStyle w:val="914"/>
        <w:ind w:firstLine="602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年   月   日</w:t>
      </w:r>
      <w:r/>
    </w:p>
    <w:p>
      <w:pPr>
        <w:pStyle w:val="914"/>
        <w:ind w:firstLine="480"/>
        <w:spacing w:line="500" w:lineRule="exact"/>
        <w:rPr>
          <w:rFonts w:ascii="仿宋" w:hAnsi="仿宋" w:eastAsia="仿宋"/>
          <w:bCs/>
          <w:color w:val="auto"/>
          <w:sz w:val="28"/>
          <w:szCs w:val="28"/>
          <w:highlight w:val="none"/>
        </w:rPr>
      </w:pPr>
      <w:r/>
      <w:bookmarkStart w:id="137" w:name="_Hlt26955070"/>
      <w:r/>
      <w:bookmarkEnd w:id="137"/>
      <w:r/>
      <w:bookmarkStart w:id="138" w:name="_格式3__银行出具的资信证明"/>
      <w:r/>
      <w:bookmarkEnd w:id="138"/>
      <w:r/>
      <w:bookmarkStart w:id="139" w:name="_Hlt26671380"/>
      <w:r/>
      <w:bookmarkEnd w:id="139"/>
      <w:r/>
      <w:r/>
    </w:p>
    <w:p>
      <w:pPr>
        <w:pStyle w:val="876"/>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pStyle w:val="876"/>
        <w:ind w:firstLine="49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代理人身份证复印件</w:t>
      </w:r>
      <w:r/>
    </w:p>
    <w:p>
      <w:pPr>
        <w:ind w:firstLine="480"/>
        <w:jc w:val="left"/>
        <w:spacing w:before="50" w:line="500" w:lineRule="exact"/>
        <w:rPr>
          <w:rFonts w:ascii="仿宋" w:hAnsi="仿宋" w:eastAsia="仿宋" w:cs="Arial"/>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（九）</w:t>
      </w:r>
      <w:r>
        <w:rPr>
          <w:rFonts w:hint="eastAsia" w:ascii="仿宋" w:hAnsi="仿宋" w:eastAsia="仿宋" w:cs="Arial"/>
          <w:bCs/>
          <w:color w:val="auto"/>
          <w:sz w:val="28"/>
          <w:szCs w:val="28"/>
          <w:highlight w:val="none"/>
        </w:rPr>
        <w:t xml:space="preserve">投标函</w:t>
      </w:r>
      <w:r/>
    </w:p>
    <w:p>
      <w:pPr>
        <w:jc w:val="center"/>
        <w:spacing w:before="50" w:line="500" w:lineRule="exact"/>
        <w:rPr>
          <w:rFonts w:ascii="方正小标宋简体" w:eastAsia="方正小标宋简体"/>
          <w:bCs/>
          <w:color w:val="auto"/>
          <w:sz w:val="36"/>
          <w:szCs w:val="36"/>
          <w:highlight w:val="none"/>
        </w:rPr>
      </w:pPr>
      <w:r>
        <w:rPr>
          <w:rFonts w:hint="eastAsia" w:ascii="方正小标宋简体" w:eastAsia="方正小标宋简体"/>
          <w:bCs/>
          <w:color w:val="auto"/>
          <w:sz w:val="36"/>
          <w:szCs w:val="36"/>
          <w:highlight w:val="none"/>
        </w:rPr>
        <w:t xml:space="preserve">投标函</w:t>
      </w:r>
      <w:r/>
    </w:p>
    <w:p>
      <w:pPr>
        <w:pStyle w:val="914"/>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致：南通市如皋生态环境局</w:t>
      </w:r>
      <w:r/>
    </w:p>
    <w:p>
      <w:pPr>
        <w:pStyle w:val="914"/>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根据贵方的</w:t>
      </w:r>
      <w:r>
        <w:rPr>
          <w:rFonts w:hint="eastAsia" w:ascii="仿宋" w:hAnsi="仿宋" w:eastAsia="仿宋"/>
          <w:bCs/>
          <w:i/>
          <w:color w:val="auto"/>
          <w:sz w:val="28"/>
          <w:szCs w:val="28"/>
          <w:highlight w:val="none"/>
          <w:u w:val="single"/>
        </w:rPr>
        <w:t xml:space="preserve">如皋市水源地水质自动监测监控预警能力提升建设项目</w:t>
      </w:r>
      <w:r>
        <w:rPr>
          <w:rFonts w:hint="eastAsia" w:ascii="仿宋" w:hAnsi="仿宋" w:eastAsia="仿宋"/>
          <w:bCs/>
          <w:color w:val="auto"/>
          <w:sz w:val="28"/>
          <w:szCs w:val="28"/>
          <w:highlight w:val="none"/>
        </w:rPr>
        <w:t xml:space="preserve">（项目编号：JSZC-320682-NTZJ-G2026-0011）招标文件，正式授权下述签字人_________ (姓名和职务)代表我方______________（供应商的名称），全权处理本次项目招标采购的有关事宜。</w:t>
      </w:r>
      <w:r/>
    </w:p>
    <w:p>
      <w:pPr>
        <w:pStyle w:val="914"/>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据此函，__________（签字人）兹宣布同意如下：</w:t>
      </w:r>
      <w:r/>
    </w:p>
    <w:p>
      <w:pPr>
        <w:pStyle w:val="914"/>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1.按招标文件规定的各项要求，向买方提供所需货物、服务。</w:t>
      </w:r>
      <w:r/>
    </w:p>
    <w:p>
      <w:pPr>
        <w:pStyle w:val="914"/>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2.我们已详细审核全部招标文件及其有效补充文件，我们知道必须放弃提出含糊不清或误解问题的权利。</w:t>
      </w:r>
      <w:r/>
    </w:p>
    <w:p>
      <w:pPr>
        <w:pStyle w:val="914"/>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3.我们同意从规定的投标文件接收截止时间起遵循本投标文件，并在规定的招标有效期期满之前均具有约束力。</w:t>
      </w:r>
      <w:r/>
    </w:p>
    <w:p>
      <w:pPr>
        <w:pStyle w:val="914"/>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4.同意向贵方提供贵方可能另外要求的与招标采购有关的任何证据或资料，并保证我方已提供和将要提供的文件是真实的、准确的。</w:t>
      </w:r>
      <w:r/>
    </w:p>
    <w:p>
      <w:pPr>
        <w:pStyle w:val="914"/>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5.如果我方中标，我方将在法定期限内签订合同，否则将承担相应法律责任。</w:t>
      </w:r>
      <w:r/>
    </w:p>
    <w:p>
      <w:pPr>
        <w:pStyle w:val="914"/>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6.我方将根据招标文件的规定，严格履行合同的责任和义务，并保证在招标文件规定的时间完成项目。</w:t>
      </w:r>
      <w:r/>
    </w:p>
    <w:p>
      <w:pPr>
        <w:pStyle w:val="914"/>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7.遵守招标文件中要求的收费项目和标准。</w:t>
      </w:r>
      <w:r/>
    </w:p>
    <w:p>
      <w:pPr>
        <w:pStyle w:val="914"/>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8.与本招标采购有关的正式通讯地址为：</w:t>
      </w:r>
      <w:r/>
    </w:p>
    <w:p>
      <w:pPr>
        <w:pStyle w:val="914"/>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地 址：                         邮 编：</w:t>
      </w:r>
      <w:r/>
    </w:p>
    <w:p>
      <w:pPr>
        <w:pStyle w:val="914"/>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电 话：                         传 真：</w:t>
      </w:r>
      <w:r/>
    </w:p>
    <w:p>
      <w:pPr>
        <w:pStyle w:val="914"/>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供应商开户行：                  账 户： </w:t>
      </w:r>
      <w:r/>
    </w:p>
    <w:p>
      <w:pPr>
        <w:pStyle w:val="914"/>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供应商名称（公章）：            </w:t>
      </w:r>
      <w:r/>
    </w:p>
    <w:p>
      <w:pPr>
        <w:pStyle w:val="914"/>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日 期：________年____月____日</w:t>
      </w:r>
      <w:r/>
    </w:p>
    <w:p>
      <w:pPr>
        <w:ind w:firstLine="480"/>
        <w:jc w:val="left"/>
        <w:spacing w:before="50"/>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（十）其他资格证明材料</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投标人须提供《关于符合本国产品标准的声明函》。</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注意：以上资格证明文件中要求加盖公章的，必须加盖公章；如供应商组成联合体投标，则联合体各方均须加盖公章，否则视为无效投标文件。</w:t>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rPr>
          <w:rFonts w:ascii="黑体" w:hAnsi="黑体" w:eastAsia="黑体"/>
          <w:bCs/>
          <w:color w:val="auto"/>
          <w:sz w:val="28"/>
          <w:szCs w:val="28"/>
          <w:highlight w:val="none"/>
        </w:rPr>
        <w:outlineLvl w:val="1"/>
      </w:pPr>
      <w:r>
        <w:rPr>
          <w:rFonts w:ascii="黑体" w:hAnsi="黑体" w:eastAsia="黑体"/>
          <w:bCs/>
          <w:color w:val="auto"/>
          <w:sz w:val="28"/>
          <w:szCs w:val="28"/>
          <w:highlight w:val="none"/>
        </w:rPr>
        <w:br w:type="page" w:clear="all"/>
      </w:r>
      <w:bookmarkStart w:id="140" w:name="_Toc3043"/>
      <w:r>
        <w:rPr>
          <w:rFonts w:hint="eastAsia" w:ascii="黑体" w:hAnsi="黑体" w:eastAsia="黑体"/>
          <w:bCs/>
          <w:color w:val="auto"/>
          <w:sz w:val="28"/>
          <w:szCs w:val="28"/>
          <w:highlight w:val="none"/>
        </w:rPr>
        <w:t xml:space="preserve">三、商务技术文件</w:t>
      </w:r>
      <w:bookmarkEnd w:id="140"/>
      <w:r/>
      <w:r/>
    </w:p>
    <w:p>
      <w:pPr>
        <w:ind w:firstLine="560"/>
        <w:rPr>
          <w:rFonts w:ascii="仿宋" w:hAnsi="仿宋" w:eastAsia="仿宋"/>
          <w:bCs/>
          <w:color w:val="auto"/>
          <w:sz w:val="28"/>
          <w:szCs w:val="28"/>
          <w:highlight w:val="none"/>
        </w:rPr>
        <w:outlineLvl w:val="2"/>
      </w:pPr>
      <w:r>
        <w:rPr>
          <w:rFonts w:hint="eastAsia" w:ascii="仿宋" w:hAnsi="仿宋" w:eastAsia="仿宋"/>
          <w:bCs/>
          <w:color w:val="auto"/>
          <w:sz w:val="28"/>
          <w:szCs w:val="28"/>
          <w:highlight w:val="none"/>
        </w:rPr>
        <w:t xml:space="preserve">（一）符合技术要求或者服务要求的相关证明材料：</w:t>
      </w:r>
      <w:r/>
    </w:p>
    <w:p>
      <w:pPr>
        <w:ind w:firstLine="562"/>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采购包1：</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1.供应商必须提供能够满足运行的备品备件供应及承诺长期技术服务的方案。须在投标文件中提供承诺函承（格式自拟）。不提供的作为无效投标处理。</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投标人须在投标文件中提供所投仪器设备：“五参数分析仪、高锰酸盐指数分析仪、氨氮分析仪、总磷分析仪、总氮分析仪、挥发酚分析仪、挥发性有机物自动分析仪、系统集成单元”的技术白皮书或说明书，不提供或提供不全的作为无效投标处理。</w:t>
      </w:r>
      <w:r>
        <w:rPr>
          <w:rFonts w:hint="eastAsia" w:ascii="仿宋" w:hAnsi="仿宋" w:eastAsia="仿宋"/>
          <w:bCs/>
          <w:color w:val="auto"/>
          <w:sz w:val="28"/>
          <w:szCs w:val="28"/>
          <w:highlight w:val="none"/>
        </w:rPr>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3.为了保证投标人能全面了解本采购包实际情况，避免盲目投标，投标文件中须提供《现场踏勘承诺函》格式见附件，不提供视为无效投标。</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4.本项目质保范围及具体要求：质保期内，中标人向采购人提供7×24小</w:t>
      </w:r>
      <w:r>
        <w:rPr>
          <w:rFonts w:hint="eastAsia" w:ascii="仿宋" w:hAnsi="仿宋" w:eastAsia="仿宋"/>
          <w:bCs/>
          <w:color w:val="auto"/>
          <w:sz w:val="28"/>
          <w:szCs w:val="28"/>
          <w:highlight w:val="none"/>
        </w:rPr>
        <w:t xml:space="preserve">时质保、维护、管理服务，并免费提供日常维护、维修服务及配件（含试剂、配件），所有配件须为原厂配件。中标人应提供主要零部件和耗材清单，并提供承诺函保证质保期内相应零部件和耗材、试剂等稳定供应。质保期内如仪器无法保证正常使用，则需在20个工作日内更换一台同一型号全新的仪器（提供承诺函）。质保期满后，仪器终身维修，并保证零配件不高于同期市场价的7折优惠供应（同期市场价指采购人市场询价3家及以上供应商该配件的平均价）。须承诺提供长期技术服务及备品备件供应（仪器使用期间）（提供承诺函，格式自拟，不提供视为无效投标）。</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5.设备交货期书面承诺，项目要求：自合同签定之日起45天内完成安装、调试、数据联网。（见参考格式）</w:t>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2"/>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采购包2：</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1.总磷总氮全自动分析仪符合标准《水质总磷的测定钼酸铵分光光度法》（GB/T11893-1989）、《水质 总氮的测定 碱性过硫酸钾消解紫外分光光度法》（HJ636-2012）中规定检测方法。（投标文件中须提供证明材料，包括但不限于产品说明书、彩页或白皮书。同时提供的承诺涵（格式自拟），承诺能根据中国环境监测总站的数智化转型相关标准或规范要求升级仪器设备，不提供视为无效投标）</w:t>
      </w:r>
      <w:r>
        <w:rPr>
          <w:rFonts w:hint="eastAsia" w:ascii="仿宋" w:hAnsi="仿宋" w:eastAsia="仿宋"/>
          <w:bCs/>
          <w:color w:val="auto"/>
          <w:sz w:val="28"/>
          <w:szCs w:val="28"/>
          <w:highlight w:val="none"/>
        </w:rPr>
        <w:t xml:space="preserve">。</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2.总磷总氮全自动分析仪自动配标：可使用高浓度母液进行自动配标，无需手工配置；投标文件中须提供设置软件截图，不提供视为无效投标</w:t>
      </w:r>
      <w:r>
        <w:rPr>
          <w:rFonts w:hint="eastAsia" w:ascii="仿宋" w:hAnsi="仿宋" w:eastAsia="仿宋"/>
          <w:bCs/>
          <w:color w:val="auto"/>
          <w:sz w:val="28"/>
          <w:szCs w:val="28"/>
          <w:highlight w:val="none"/>
        </w:rPr>
        <w:t xml:space="preserve">。</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3.承诺函</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（1）所投飞行器保险：每年保障额度≥55000元，在保障额度内可享受不限次数的免费维修或置换服务，直至保障额度用完为止，共计三年。</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（2）所投云台相机保险：保障额度≥63250元，在保障额度内可享受不限次数的免费维修或置换服务，直至保障额度用完为止，共计三年。</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（3）培训考证：须飞行器培训设备及取得民用无人驾驶航空器操控员执照CAAC，共计4人。</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以上1-3须在投标文件中提供承诺函（格式自拟），不提供视为无效投标。</w:t>
      </w:r>
      <w:r/>
    </w:p>
    <w:p>
      <w:pPr>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br w:type="page" w:clear="all"/>
      </w:r>
      <w:r/>
    </w:p>
    <w:p>
      <w:pPr>
        <w:ind w:firstLine="560"/>
        <w:rPr>
          <w:rFonts w:ascii="仿宋" w:hAnsi="仿宋" w:eastAsia="仿宋"/>
          <w:bCs/>
          <w:color w:val="auto"/>
          <w:sz w:val="28"/>
          <w:szCs w:val="28"/>
          <w:highlight w:val="none"/>
        </w:rPr>
        <w:outlineLvl w:val="2"/>
      </w:pPr>
      <w:r>
        <w:rPr>
          <w:rFonts w:hint="eastAsia" w:ascii="仿宋" w:hAnsi="仿宋" w:eastAsia="仿宋"/>
          <w:bCs/>
          <w:color w:val="auto"/>
          <w:sz w:val="28"/>
          <w:szCs w:val="28"/>
          <w:highlight w:val="none"/>
        </w:rPr>
        <w:t xml:space="preserve">（二）技术部分正负偏离表</w:t>
      </w:r>
      <w:r/>
    </w:p>
    <w:p>
      <w:pPr>
        <w:ind w:firstLine="641"/>
        <w:jc w:val="center"/>
        <w:rPr>
          <w:rFonts w:ascii="方正小标宋简体" w:hAnsi="宋体" w:eastAsia="方正小标宋简体"/>
          <w:bCs/>
          <w:color w:val="auto"/>
          <w:sz w:val="32"/>
          <w:szCs w:val="32"/>
          <w:highlight w:val="none"/>
        </w:rPr>
      </w:pPr>
      <w:r>
        <w:rPr>
          <w:rFonts w:hint="eastAsia" w:ascii="方正小标宋简体" w:hAnsi="宋体" w:eastAsia="方正小标宋简体"/>
          <w:bCs/>
          <w:color w:val="auto"/>
          <w:sz w:val="32"/>
          <w:szCs w:val="32"/>
          <w:highlight w:val="none"/>
        </w:rPr>
        <w:t xml:space="preserve">技术部分正负偏离表</w:t>
      </w:r>
      <w:r/>
    </w:p>
    <w:p>
      <w:pPr>
        <w:ind w:firstLine="641"/>
        <w:jc w:val="center"/>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641"/>
        <w:jc w:val="left"/>
        <w:rPr>
          <w:rFonts w:ascii="仿宋" w:hAnsi="仿宋" w:eastAsia="仿宋"/>
          <w:bCs/>
          <w:color w:val="auto"/>
          <w:sz w:val="28"/>
          <w:szCs w:val="28"/>
          <w:highlight w:val="none"/>
        </w:rPr>
      </w:pPr>
      <w:r>
        <w:rPr>
          <w:rFonts w:hint="eastAsia" w:ascii="仿宋" w:hAnsi="仿宋" w:eastAsia="仿宋"/>
          <w:b/>
          <w:color w:val="auto"/>
          <w:sz w:val="28"/>
          <w:szCs w:val="28"/>
          <w:highlight w:val="none"/>
        </w:rPr>
        <w:t xml:space="preserve">采购包1：技术部分正负偏离表</w:t>
      </w:r>
      <w:r/>
    </w:p>
    <w:p>
      <w:pPr>
        <w:ind w:firstLine="641"/>
        <w:jc w:val="lef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1.货物名称：五参数水质分析仪；品牌、型号</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制造商</w:t>
      </w:r>
      <w:r>
        <w:rPr>
          <w:rFonts w:hint="eastAsia" w:ascii="仿宋" w:hAnsi="仿宋" w:eastAsia="仿宋"/>
          <w:bCs/>
          <w:color w:val="auto"/>
          <w:sz w:val="28"/>
          <w:szCs w:val="28"/>
          <w:highlight w:val="none"/>
          <w:u w:val="single"/>
        </w:rPr>
        <w:t xml:space="preserve">：    </w:t>
      </w:r>
      <w:r/>
    </w:p>
    <w:tbl>
      <w:tblPr>
        <w:tblStyle w:val="875"/>
        <w:tblW w:w="9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010"/>
        <w:gridCol w:w="2247"/>
        <w:gridCol w:w="1059"/>
        <w:gridCol w:w="612"/>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10" w:type="dxa"/>
            <w:vAlign w:val="center"/>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水温</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1.1.1 测定原理：热电阻或热电偶法。</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1.1.2 量程：0℃～60℃，可调。</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1.1.3 准确度：±0.5℃。</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1.1.4 响应时间：0.5min以内。</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1.1.5 MTBF：≥720h/次。</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pH</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1.2.1 测定原理：玻璃电极法。</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1.2.2 量程：0～14 pH。</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1.2.3 重复性：±0.1pH。</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1.2.4 漂移（pH=9）：±0.1pH。</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1.2.5 漂移（pH=7）：±0.1pH</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1.2.6 漂移（pH=4）：±0.1pH。</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1.2.7 响应时间：≤30s。</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1.2.8 温度补偿精度：±0.1pH。</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1.2.9 MTBF：≥720 h/次。</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1.2.10 实际水样比对：±0.1pH以内。</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1.2.11 电压稳定性：指示值的变动在±0.1pH以内。</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1.2.12 绝缘阻抗：5MΩ以上。</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溶解氧</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1.3.1 测定原理：电极法或荧光法。</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1.3.2 量程：0～20mg/L。</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1.3.3 零点漂移：±0.3mg/L。</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1.3.4 量程漂移：±0.3mg/L。</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1.3.5 重复性误差：±0.3mg/L。</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1.3.6 响应时间：≤120 s。</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1.3.7 温度补偿精度：±0.3mg/L。</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1.3.8 实际水样比对试验：≤±0.3 mg/L。</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1.3.9 电压稳定性：指示值的变化在±0.3mg/L以内。</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1.3.10 绝缘阻抗：5MΩ以上。</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1.3.11 MTBF：≥720 h/次。</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电导率</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1.4.1 测定原理：电极法</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1.4.2 量程：0～500mS/m，可调。</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1.4.3 零点漂移：±1%。</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1.4.4 量程漂移：±1%。</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1.4.5 重复性误差：±1%。</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1.4.6 响应时间：≤30 s。</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1.4.7 温度补偿精度：±1%。</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1.4.8 实际水样比对试验：≤±1%。</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1.4.9 MTBF：≥720 h/次。</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1.4.10 电压稳定性：指示值的变动在±1%以内。</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1.4.11 绝缘阻抗：5MΩ以上。</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浊度</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1.5.1 测定原理：光散射法。</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1.5.2 量程：0～1000NTU，可调。</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1.5.3 零点漂移：±3%。</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1.5.4 量程漂移：±5%。</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1.5.5 重复性误差：±5%。</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1.5.6 线性误差：±5%。</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1.5.7 实际水样比对试验：≤±10%。</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1.5.8 电压稳定性：±3%。</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1.5.9 绝缘阻抗：5MΩ以上。</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1.5.10 MTBF：≥720 h/次。</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bl>
    <w:p>
      <w:pPr>
        <w:pStyle w:val="877"/>
        <w:ind w:left="0"/>
        <w:rPr>
          <w:bCs/>
          <w:color w:val="auto"/>
          <w:highlight w:val="none"/>
        </w:rPr>
      </w:pPr>
      <w:r>
        <w:rPr>
          <w:bCs/>
          <w:color w:val="auto"/>
          <w:highlight w:val="none"/>
        </w:rPr>
      </w:r>
      <w:r/>
    </w:p>
    <w:p>
      <w:pPr>
        <w:jc w:val="lef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2.货物名称：</w:t>
      </w:r>
      <w:r>
        <w:rPr>
          <w:rFonts w:hint="eastAsia" w:ascii="仿宋" w:hAnsi="仿宋" w:eastAsia="仿宋"/>
          <w:bCs/>
          <w:color w:val="auto"/>
          <w:sz w:val="28"/>
          <w:szCs w:val="28"/>
          <w:highlight w:val="none"/>
          <w:u w:val="single"/>
        </w:rPr>
        <w:t xml:space="preserve">高锰酸盐指数水质分析仪</w:t>
      </w:r>
      <w:r>
        <w:rPr>
          <w:rFonts w:hint="eastAsia" w:ascii="仿宋" w:hAnsi="仿宋" w:eastAsia="仿宋"/>
          <w:bCs/>
          <w:color w:val="auto"/>
          <w:sz w:val="28"/>
          <w:szCs w:val="28"/>
          <w:highlight w:val="none"/>
        </w:rPr>
        <w:t xml:space="preserve">；品牌、型号</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制造商</w:t>
      </w:r>
      <w:r>
        <w:rPr>
          <w:rFonts w:hint="eastAsia" w:ascii="仿宋" w:hAnsi="仿宋" w:eastAsia="仿宋"/>
          <w:bCs/>
          <w:color w:val="auto"/>
          <w:sz w:val="28"/>
          <w:szCs w:val="28"/>
          <w:highlight w:val="none"/>
          <w:u w:val="single"/>
        </w:rPr>
        <w:t xml:space="preserve">：    </w:t>
      </w:r>
      <w:r/>
    </w:p>
    <w:tbl>
      <w:tblPr>
        <w:tblStyle w:val="875"/>
        <w:tblW w:w="9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010"/>
        <w:gridCol w:w="2247"/>
        <w:gridCol w:w="1059"/>
        <w:gridCol w:w="612"/>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10" w:type="dxa"/>
            <w:vAlign w:val="center"/>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测定原理：</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高锰酸钾氧化-滴定法。</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量程：</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≥0～20mg/L，可调。</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准确度：</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≤±5%（葡萄糖）。</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重复性误差：</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检出限</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≤0.5mg/L。</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零点漂移：</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量程漂移：</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实际水样比对试验：</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电压稳定性：</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MTBF：</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≥720h/次</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绝缘阻抗：</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＞2MΩ</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自动零点核查</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仪器具有自动零点核查、自动跨度核查、自动校零校标功能，配备加标回收、多点线性质控设备。</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异常信息记录及上传</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具有异常信息记录及上传功能，如零部件故障、超量程报警、超标报警、缺试剂报警等信息；具有仪器状态(如测量、空闲、故障等)和关键参数显示及传输功能；具有RS-232或RS-485或RJ-45标准通讯接口；仪器支持《国家地表水自动监测仪器通信协议技术要求》和HJ212协议。</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bl>
    <w:p>
      <w:pPr>
        <w:pStyle w:val="890"/>
        <w:rPr>
          <w:bCs/>
          <w:color w:val="auto"/>
          <w:highlight w:val="none"/>
        </w:rPr>
      </w:pPr>
      <w:r>
        <w:rPr>
          <w:bCs/>
          <w:color w:val="auto"/>
          <w:highlight w:val="none"/>
        </w:rPr>
      </w:r>
      <w:r/>
    </w:p>
    <w:p>
      <w:pPr>
        <w:pStyle w:val="877"/>
        <w:ind w:left="1680"/>
        <w:rPr>
          <w:bCs/>
          <w:color w:val="auto"/>
          <w:highlight w:val="none"/>
        </w:rPr>
      </w:pPr>
      <w:r>
        <w:rPr>
          <w:bCs/>
          <w:color w:val="auto"/>
          <w:highlight w:val="none"/>
        </w:rPr>
      </w:r>
      <w:r/>
    </w:p>
    <w:p>
      <w:pPr>
        <w:jc w:val="lef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3.货物名称：</w:t>
      </w:r>
      <w:r>
        <w:rPr>
          <w:rFonts w:hint="eastAsia" w:ascii="仿宋" w:hAnsi="仿宋" w:eastAsia="仿宋"/>
          <w:bCs/>
          <w:color w:val="auto"/>
          <w:sz w:val="28"/>
          <w:szCs w:val="28"/>
          <w:highlight w:val="none"/>
          <w:u w:val="single"/>
        </w:rPr>
        <w:t xml:space="preserve"> 氨氮水质分析仪  </w:t>
      </w:r>
      <w:r>
        <w:rPr>
          <w:rFonts w:hint="eastAsia" w:ascii="仿宋" w:hAnsi="仿宋" w:eastAsia="仿宋"/>
          <w:bCs/>
          <w:color w:val="auto"/>
          <w:sz w:val="28"/>
          <w:szCs w:val="28"/>
          <w:highlight w:val="none"/>
        </w:rPr>
        <w:t xml:space="preserve">；品牌、型号</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制造商</w:t>
      </w:r>
      <w:r>
        <w:rPr>
          <w:rFonts w:hint="eastAsia" w:ascii="仿宋" w:hAnsi="仿宋" w:eastAsia="仿宋"/>
          <w:bCs/>
          <w:color w:val="auto"/>
          <w:sz w:val="28"/>
          <w:szCs w:val="28"/>
          <w:highlight w:val="none"/>
          <w:u w:val="single"/>
        </w:rPr>
        <w:t xml:space="preserve">：    </w:t>
      </w:r>
      <w:r/>
    </w:p>
    <w:tbl>
      <w:tblPr>
        <w:tblStyle w:val="875"/>
        <w:tblW w:w="9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010"/>
        <w:gridCol w:w="2247"/>
        <w:gridCol w:w="1059"/>
        <w:gridCol w:w="612"/>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10" w:type="dxa"/>
            <w:vAlign w:val="center"/>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分析方法:</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水杨酸分光光度法。</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rHeight w:val="629"/>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检测范围:</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0～10 mg/L，可调。</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定量下限：</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≤0.15mg/L（示值误差±30%）。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零点漂移：</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≤0.02 mg/L。</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量程漂移：</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示值误差</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（测试溶液浓度相对于基本检测范围上限值10 mg/L时的百分比）：标液浓度为20% 时，±8%；标液浓度为 50% 时，±5%；标液浓度为 80% 时，±3%。</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重复性：</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记忆效应</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（测试溶液浓度相对于基本检测范围上限值10 mg/L时的百分比）：80%→20%，± 0.3mg/L；20%→80%，± 0.2mg/L。</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电压干扰</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 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pH 干扰试验：</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 ± 6%。</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环境温度影响试验：</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 5%。</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实际水样比对试验：</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水样浓度&lt;2.0 mg/L时，≤0.2mg/L；水样浓度≥2.0 mg/L时，≤10.0%。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最小维护周期：</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≥168h/次。</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14</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数据有效率：</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≥90%。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15</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一致性：</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≥90%。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16</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自动零点核查</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仪器具有自动零点核查、自动跨度核查、自动校零校标功能，配备加标回收、多点线性质控设备。</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17</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具有异常信息记录</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具有异常信息记录及上传功能，如零部件故障、超量程报警、超标报警、缺试剂报警等信息；具有仪器状态(如测量、空闲、故障等)和关键参数显示及传输功能；具有RS-232或RS-485或RJ-45标准通讯接口；仪器支持《国家地表水自动监测仪器通信协议技术要求》和HJ212协议。</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bl>
    <w:p>
      <w:pPr>
        <w:rPr>
          <w:rFonts w:ascii="宋体"/>
          <w:bCs/>
          <w:color w:val="auto"/>
          <w:highlight w:val="none"/>
        </w:rPr>
      </w:pPr>
      <w:r>
        <w:rPr>
          <w:rFonts w:ascii="宋体"/>
          <w:bCs/>
          <w:color w:val="auto"/>
          <w:highlight w:val="none"/>
        </w:rPr>
      </w:r>
      <w:r/>
    </w:p>
    <w:p>
      <w:pPr>
        <w:pStyle w:val="890"/>
        <w:rPr>
          <w:rFonts w:ascii="宋体"/>
          <w:bCs/>
          <w:color w:val="auto"/>
          <w:highlight w:val="none"/>
        </w:rPr>
      </w:pPr>
      <w:r>
        <w:rPr>
          <w:rFonts w:ascii="宋体"/>
          <w:bCs/>
          <w:color w:val="auto"/>
          <w:highlight w:val="none"/>
        </w:rPr>
      </w:r>
      <w:r/>
    </w:p>
    <w:p>
      <w:pPr>
        <w:jc w:val="lef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4.货物名称：</w:t>
      </w:r>
      <w:r>
        <w:rPr>
          <w:rFonts w:hint="eastAsia" w:ascii="仿宋" w:hAnsi="仿宋" w:eastAsia="仿宋"/>
          <w:bCs/>
          <w:color w:val="auto"/>
          <w:sz w:val="28"/>
          <w:szCs w:val="28"/>
          <w:highlight w:val="none"/>
          <w:u w:val="single"/>
        </w:rPr>
        <w:t xml:space="preserve">总磷水质分析仪</w:t>
      </w:r>
      <w:r>
        <w:rPr>
          <w:rFonts w:hint="eastAsia" w:ascii="仿宋" w:hAnsi="仿宋" w:eastAsia="仿宋"/>
          <w:bCs/>
          <w:color w:val="auto"/>
          <w:sz w:val="28"/>
          <w:szCs w:val="28"/>
          <w:highlight w:val="none"/>
        </w:rPr>
        <w:t xml:space="preserve">；品牌、型号</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制造商</w:t>
      </w:r>
      <w:r>
        <w:rPr>
          <w:rFonts w:hint="eastAsia" w:ascii="仿宋" w:hAnsi="仿宋" w:eastAsia="仿宋"/>
          <w:bCs/>
          <w:color w:val="auto"/>
          <w:sz w:val="28"/>
          <w:szCs w:val="28"/>
          <w:highlight w:val="none"/>
          <w:u w:val="single"/>
        </w:rPr>
        <w:t xml:space="preserve">：    </w:t>
      </w:r>
      <w:r/>
    </w:p>
    <w:tbl>
      <w:tblPr>
        <w:tblStyle w:val="875"/>
        <w:tblW w:w="9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010"/>
        <w:gridCol w:w="2247"/>
        <w:gridCol w:w="1059"/>
        <w:gridCol w:w="612"/>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10" w:type="dxa"/>
            <w:vAlign w:val="center"/>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trHeight w:val="315"/>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测定原理：</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钼酸铵分光光度法。</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示值误差：</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量程：</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0～4mg/L，可调。误差：±5%。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定量下限：</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≤0.02 mg/L，示值误差±30%。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重复性</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低浓度漂移：</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≤0.01 mg/L。</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高浓度漂移：</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记忆效应：</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测试溶液浓度从基本检测范围上限（4 mg/L）的80%切换至20%时，误差允许±10%；测试溶液浓度从基本检测范围上限（4 mg/L）的20%切换至80%时，误差允许±5%。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电压影响：</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浊度影响：</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环境温度影响：</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实际样品比对要求：</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总磷浓度&lt;0.4 mg/L时，比对偏差≤0.04 mg/L；总磷浓度≥0.4 mg/L时，比对偏差≤10%。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最小维护周期：</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≥168小时。</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14</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数据有效率：</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≥90%。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15</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一致性偏差：</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16</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自动补偿功能</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具备浊度干扰自动补偿功能。</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17</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自动零点核查</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仪器具有自动零点核查、自动跨度核查、自动校零校标功能，配备加标回收、多点线性质控设备。</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18</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常信息记录及上传功能</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具有异常信息记录及上传功能，如零部件故障、超量程报警、超标报警、缺试剂报警等信息；具有仪器状态(如测量、空闲、故障等)和关键参数显示及传输功能；具有RS-232或RS-485或RJ-45标准通讯接口；仪器支持《国家地表水自动监测仪器通信协议技术要求》和HJ212协议。</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bl>
    <w:p>
      <w:pPr>
        <w:pStyle w:val="877"/>
        <w:ind w:left="1680"/>
        <w:rPr>
          <w:bCs/>
          <w:color w:val="auto"/>
          <w:highlight w:val="none"/>
        </w:rPr>
      </w:pPr>
      <w:r>
        <w:rPr>
          <w:bCs/>
          <w:color w:val="auto"/>
          <w:highlight w:val="none"/>
        </w:rPr>
      </w:r>
      <w:r/>
    </w:p>
    <w:p>
      <w:pPr>
        <w:rPr>
          <w:bCs/>
          <w:color w:val="auto"/>
          <w:highlight w:val="none"/>
        </w:rPr>
      </w:pPr>
      <w:r>
        <w:rPr>
          <w:bCs/>
          <w:color w:val="auto"/>
          <w:highlight w:val="none"/>
        </w:rPr>
      </w:r>
      <w:r/>
    </w:p>
    <w:p>
      <w:pPr>
        <w:jc w:val="lef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5.货物名称：</w:t>
      </w:r>
      <w:r>
        <w:rPr>
          <w:rFonts w:hint="eastAsia" w:ascii="仿宋" w:hAnsi="仿宋" w:eastAsia="仿宋"/>
          <w:bCs/>
          <w:color w:val="auto"/>
          <w:sz w:val="28"/>
          <w:szCs w:val="28"/>
          <w:highlight w:val="none"/>
          <w:u w:val="single"/>
        </w:rPr>
        <w:t xml:space="preserve">总氮水质分析仪</w:t>
      </w:r>
      <w:r>
        <w:rPr>
          <w:rFonts w:hint="eastAsia" w:ascii="仿宋" w:hAnsi="仿宋" w:eastAsia="仿宋"/>
          <w:bCs/>
          <w:color w:val="auto"/>
          <w:sz w:val="28"/>
          <w:szCs w:val="28"/>
          <w:highlight w:val="none"/>
        </w:rPr>
        <w:t xml:space="preserve">；品牌、型号</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制造商</w:t>
      </w:r>
      <w:r>
        <w:rPr>
          <w:rFonts w:hint="eastAsia" w:ascii="仿宋" w:hAnsi="仿宋" w:eastAsia="仿宋"/>
          <w:bCs/>
          <w:color w:val="auto"/>
          <w:sz w:val="28"/>
          <w:szCs w:val="28"/>
          <w:highlight w:val="none"/>
          <w:u w:val="single"/>
        </w:rPr>
        <w:t xml:space="preserve">：        </w:t>
      </w:r>
      <w:r/>
    </w:p>
    <w:tbl>
      <w:tblPr>
        <w:tblStyle w:val="875"/>
        <w:tblW w:w="9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010"/>
        <w:gridCol w:w="2247"/>
        <w:gridCol w:w="1059"/>
        <w:gridCol w:w="612"/>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10" w:type="dxa"/>
            <w:vAlign w:val="center"/>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分析方法：</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过硫酸钾消解-紫外分光光度法。</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检测范围：</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0～20mg/L，可调。</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示值误差：</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测试溶液浓度相对于基本检测范围上限值20 mg/L的10%时，为±10%；</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测试溶液浓度相对于基本检测范围上限值20 mg/L的20%时，为±10%；</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测试溶液浓度相对于基本检测范围上限值20 mg/L的50%时，为±8%；</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测试溶液浓度相对于基本检测范围上限值20 mg/L的80%时，为±5%。</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定量下限：</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≤0.20 mg/L（示值误差±30%）。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重复性：</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24 h 低浓度漂移：</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≤0.05 mg/L。</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24 h 高浓度漂移：</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记忆效应：</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测试溶液浓度从基本检测范围上限（20 mg/L）的80%切换至20%时，误差允许±10%；测试溶液浓度从基本检测范围上限（20 mg/L）的20%切换至80%时，误差允许±5%。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电压影响：</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浊度影响：</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环境温度影响：</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实际样品比对要求：</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总氮浓度2.00 mg/L时，比对偏差≤≤0.20 mg/L；总氮浓度≥2.00 mg/L，比对偏差≤10%。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最小维护周期：</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≥168 h。</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14</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数据有效率</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：≥90%。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15</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一致性偏差：</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16</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抗浊度干扰：</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具有浊度干扰自动补偿功能。</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17</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自动零点核查</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仪器具有自动零点核查、自动跨度核查、自动校零校标功能，配备加标回收、多点线性质控设备</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18</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异常信息记录及上传功能</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具有异常信息记录及上传功能，如零部件故障、超量程报警、超标报警、缺试剂报警等信息；具有仪器状态(如测量、空闲、故障等)和关键参数显示及传输功能；具有RS-232或RS-485或RJ-45标准通讯接口；仪器支持《国家地表水自动监测仪器通信协议技术要求》和HJ212协议。</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bl>
    <w:p>
      <w:pPr>
        <w:pStyle w:val="890"/>
        <w:rPr>
          <w:rFonts w:ascii="宋体"/>
          <w:bCs/>
          <w:color w:val="auto"/>
          <w:highlight w:val="none"/>
        </w:rPr>
      </w:pPr>
      <w:r>
        <w:rPr>
          <w:rFonts w:ascii="宋体"/>
          <w:bCs/>
          <w:color w:val="auto"/>
          <w:highlight w:val="none"/>
        </w:rPr>
      </w:r>
      <w:r/>
    </w:p>
    <w:p>
      <w:pPr>
        <w:pStyle w:val="877"/>
        <w:ind w:left="1680"/>
        <w:rPr>
          <w:rFonts w:ascii="宋体"/>
          <w:bCs/>
          <w:color w:val="auto"/>
          <w:highlight w:val="none"/>
        </w:rPr>
      </w:pPr>
      <w:r>
        <w:rPr>
          <w:rFonts w:ascii="宋体"/>
          <w:bCs/>
          <w:color w:val="auto"/>
          <w:highlight w:val="none"/>
        </w:rPr>
      </w:r>
      <w:r/>
    </w:p>
    <w:p>
      <w:pPr>
        <w:jc w:val="lef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6.货物名称：</w:t>
      </w:r>
      <w:r>
        <w:rPr>
          <w:rFonts w:hint="eastAsia" w:ascii="仿宋" w:hAnsi="仿宋" w:eastAsia="仿宋"/>
          <w:bCs/>
          <w:color w:val="auto"/>
          <w:sz w:val="28"/>
          <w:szCs w:val="28"/>
          <w:highlight w:val="none"/>
          <w:u w:val="single"/>
        </w:rPr>
        <w:t xml:space="preserve">挥发酚水质分析仪</w:t>
      </w:r>
      <w:r>
        <w:rPr>
          <w:rFonts w:hint="eastAsia" w:ascii="仿宋" w:hAnsi="仿宋" w:eastAsia="仿宋"/>
          <w:bCs/>
          <w:color w:val="auto"/>
          <w:sz w:val="28"/>
          <w:szCs w:val="28"/>
          <w:highlight w:val="none"/>
        </w:rPr>
        <w:t xml:space="preserve">；品牌、型号</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制造商</w:t>
      </w:r>
      <w:r>
        <w:rPr>
          <w:rFonts w:hint="eastAsia" w:ascii="仿宋" w:hAnsi="仿宋" w:eastAsia="仿宋"/>
          <w:bCs/>
          <w:color w:val="auto"/>
          <w:sz w:val="28"/>
          <w:szCs w:val="28"/>
          <w:highlight w:val="none"/>
          <w:u w:val="single"/>
        </w:rPr>
        <w:t xml:space="preserve">：    </w:t>
      </w:r>
      <w:r/>
    </w:p>
    <w:tbl>
      <w:tblPr>
        <w:tblStyle w:val="875"/>
        <w:tblW w:w="9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010"/>
        <w:gridCol w:w="2247"/>
        <w:gridCol w:w="1059"/>
        <w:gridCol w:w="612"/>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10" w:type="dxa"/>
            <w:vAlign w:val="center"/>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分析方法：</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4-氨基安替比林分光光度法。</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测定范围：</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0-1mg/L(可扩展）。</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准确度：</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重复性：</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零点漂移：</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±5%FS。</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量程漂移：</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±5%FS。</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检出限：</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≤0.002mg/L。</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实际水样比对试验：</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分辨率：</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0.001mg/L。</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测量时间：</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≤60min。</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平均无故障运行时间：</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≥720h/次。</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bl>
    <w:p>
      <w:pPr>
        <w:rPr>
          <w:rFonts w:ascii="宋体"/>
          <w:bCs/>
          <w:color w:val="auto"/>
          <w:highlight w:val="none"/>
        </w:rPr>
      </w:pPr>
      <w:r>
        <w:rPr>
          <w:rFonts w:ascii="宋体"/>
          <w:bCs/>
          <w:color w:val="auto"/>
          <w:highlight w:val="none"/>
        </w:rPr>
      </w:r>
      <w:r/>
    </w:p>
    <w:p>
      <w:pPr>
        <w:pStyle w:val="890"/>
        <w:rPr>
          <w:rFonts w:ascii="宋体"/>
          <w:bCs/>
          <w:color w:val="auto"/>
          <w:highlight w:val="none"/>
        </w:rPr>
      </w:pPr>
      <w:r>
        <w:rPr>
          <w:rFonts w:ascii="宋体"/>
          <w:bCs/>
          <w:color w:val="auto"/>
          <w:highlight w:val="none"/>
        </w:rPr>
      </w:r>
      <w:r/>
    </w:p>
    <w:p>
      <w:pPr>
        <w:jc w:val="lef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7.货物名称：</w:t>
      </w:r>
      <w:r>
        <w:rPr>
          <w:rFonts w:hint="eastAsia" w:ascii="仿宋" w:hAnsi="仿宋" w:eastAsia="仿宋"/>
          <w:bCs/>
          <w:color w:val="auto"/>
          <w:sz w:val="28"/>
          <w:szCs w:val="28"/>
          <w:highlight w:val="none"/>
          <w:u w:val="single"/>
        </w:rPr>
        <w:t xml:space="preserve">.水中挥发性有机物水质分析仪</w:t>
      </w:r>
      <w:r>
        <w:rPr>
          <w:rFonts w:hint="eastAsia" w:ascii="仿宋" w:hAnsi="仿宋" w:eastAsia="仿宋"/>
          <w:bCs/>
          <w:color w:val="auto"/>
          <w:sz w:val="28"/>
          <w:szCs w:val="28"/>
          <w:highlight w:val="none"/>
        </w:rPr>
        <w:t xml:space="preserve">；品牌、型号</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制造商</w:t>
      </w:r>
      <w:r>
        <w:rPr>
          <w:rFonts w:hint="eastAsia" w:ascii="仿宋" w:hAnsi="仿宋" w:eastAsia="仿宋"/>
          <w:bCs/>
          <w:color w:val="auto"/>
          <w:sz w:val="28"/>
          <w:szCs w:val="28"/>
          <w:highlight w:val="none"/>
          <w:u w:val="single"/>
        </w:rPr>
        <w:t xml:space="preserve">：    </w:t>
      </w:r>
      <w:r/>
    </w:p>
    <w:tbl>
      <w:tblPr>
        <w:tblStyle w:val="875"/>
        <w:tblW w:w="9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010"/>
        <w:gridCol w:w="2247"/>
        <w:gridCol w:w="1059"/>
        <w:gridCol w:w="612"/>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10" w:type="dxa"/>
            <w:vAlign w:val="center"/>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仪器分析方法</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（三种方法之一即可）：吹扫捕集/气相色谱法（HJ 686-2014）；吹扫捕集/气相色谱-质谱法（HJ 639-2012）；顶空/气相色谱-质谱法（HJ 810-2016）。</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水中VOCs在线监测系统参数要求</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依据环境保护部环境监测仪器质量监督检验中心发布的《水中挥发性有机物自动在线监测仪检测作业指导书》，地表水水中VOCs需要监测指标共有19种：三氯甲烷，二氯甲烷，1,2-二氯乙烷，1,1-二氯乙烯，顺式-1,2-二氯乙烯，反式-1,2-二氯乙烯，三氯乙烯，四氯乙烯，三溴甲烷，苯乙烯，苯，甲苯，乙苯，间、对二甲苯，邻二甲苯，异丙苯，氯苯，邻-二氯苯，间-二氯苯。</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系统描述</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(仅以吹扫捕集/气相色谱法举例，另外两种监测方法吹扫捕集/气相色谱-质谱法和顶空/气相色谱-质谱法只要能达到系统主要技术指标性能要求，均可。）</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水中VOCs在线自动监测系统，通过注射泵或隔膜泵定量抽取液体水样，注入吹扫捕集系统，用氮气吹扫捕集水中的挥发性有机物，冷阱浓缩富集后加热解析，经气相色谱分离后通入FID和ECD检测器或仅通入FID检测器检测，分析出来的组分含量通过上位机进行数据储存和传输。</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2.采用国际公认的水中VOCs检测方法：吹扫捕集——气相色谱联用法。</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3.水样提取采用精准的注射泵或隔膜泵系统，确保每次样品的定量精准提取。</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4.吹扫采用恒温吹扫，吹扫效率高，同时配合独有的除水技术，有效避免水汽对色谱分离的影响，确保分析结果的准确性。</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5.配备FID检测器或FID和ECD双检测器，苯系物和卤代烃均能较好的分离，保障各有机物监测的性能指标一致。</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6.预处理系统、吹扫系统以及样品捕集系统具有自动清洁功能，有效避免样品残留。</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7系统断电重启后能够自动恢复运行。</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8监测模式多重选择，可单次、可定时、可循环。</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7.5</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系统主要技术指标</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1.定性重复性：≤1%。</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2.定量重复性：≤20%。</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3.示值误差：±20%。</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4.加标回收率：75% ～125%。</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5.定量下限：≤地表水标准限值的1/2。</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6.分析周期：≤60min。</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7.短期稳定性：≤10%（24 h）。</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8.长期稳定性：≤15%（7d）。</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9.系统线性：R≥0.99。</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10.程序升温重复性。</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11.最小维护周期：≥168h。</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仪器外观：仪器表面不应有明显锉痕、划伤、裂缝、变形和污染，仪器表面涂镀层应均匀、不应起泡、龟裂、脱落和磨损，显示屏面板无破损及裂痕，字符、数字显示清晰无缺。</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bl>
    <w:p>
      <w:pPr>
        <w:pStyle w:val="877"/>
        <w:ind w:left="1680"/>
        <w:rPr>
          <w:rFonts w:ascii="宋体"/>
          <w:bCs/>
          <w:color w:val="auto"/>
          <w:highlight w:val="none"/>
        </w:rPr>
      </w:pPr>
      <w:r>
        <w:rPr>
          <w:rFonts w:ascii="宋体"/>
          <w:bCs/>
          <w:color w:val="auto"/>
          <w:highlight w:val="none"/>
        </w:rPr>
      </w:r>
      <w:r/>
    </w:p>
    <w:p>
      <w:pPr>
        <w:jc w:val="lef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8.货物名称：</w:t>
      </w:r>
      <w:r>
        <w:rPr>
          <w:rFonts w:hint="eastAsia" w:ascii="仿宋" w:hAnsi="仿宋" w:eastAsia="仿宋"/>
          <w:bCs/>
          <w:color w:val="auto"/>
          <w:sz w:val="28"/>
          <w:szCs w:val="28"/>
          <w:highlight w:val="none"/>
          <w:u w:val="single"/>
        </w:rPr>
        <w:t xml:space="preserve"> 系统集成单元 </w:t>
      </w:r>
      <w:r>
        <w:rPr>
          <w:rFonts w:hint="eastAsia" w:ascii="仿宋" w:hAnsi="仿宋" w:eastAsia="仿宋"/>
          <w:bCs/>
          <w:color w:val="auto"/>
          <w:sz w:val="28"/>
          <w:szCs w:val="28"/>
          <w:highlight w:val="none"/>
        </w:rPr>
        <w:t xml:space="preserve">；品牌、型号</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制造商</w:t>
      </w:r>
      <w:r>
        <w:rPr>
          <w:rFonts w:hint="eastAsia" w:ascii="仿宋" w:hAnsi="仿宋" w:eastAsia="仿宋"/>
          <w:bCs/>
          <w:color w:val="auto"/>
          <w:sz w:val="28"/>
          <w:szCs w:val="28"/>
          <w:highlight w:val="none"/>
          <w:u w:val="single"/>
        </w:rPr>
        <w:t xml:space="preserve">：    </w:t>
      </w:r>
      <w:r/>
    </w:p>
    <w:tbl>
      <w:tblPr>
        <w:tblStyle w:val="875"/>
        <w:tblW w:w="9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010"/>
        <w:gridCol w:w="2247"/>
        <w:gridCol w:w="1059"/>
        <w:gridCol w:w="612"/>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10" w:type="dxa"/>
            <w:vAlign w:val="center"/>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总体要求</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水站系统集成主要包括采水单元、配水单元、控制单元、留样单元、质控单元、辅助单元及安防单元等。</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投标人须提供合理、先进、完整的系统集成方案，具备智能化、标准化、流程化和可溯源的质量控制体系，确保采水、配水、分析、数据采集及传输等环节的准确可靠。需包含仪表机柜、操作台。能够控制氨氮、高锰酸盐指数、总磷和总氮水质在线分析仪自动进行零点核查、跨度核查，并能查询相关测试数据。</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系统集成功能要求</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（1）具有系统运行周期（连续或间歇）设置功能，至少具备常规、应急、质控、维护等多种运行模式；</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（2）具有异常信息记录和上传功能，如采水故障、部件故障、超量程报警、超标报警、缺试剂报警等信息；</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（3）确保仪器、系统运行的监测数据和状态信息等稳定传输；</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（4）系统应具有良好的扩展性和兼容性，根据实际应用需要，可增加新的监测参数，并方便仪器安装与接入。</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系统集成技术要求</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1采水单元</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采水单元建设在满足取水要求的前提下应尽量简洁，因地制宜，针对每个水站取水位置的不同情况采取最适用的方式。投标人中标后须经过与水站所在地方生态环境部门协商后，根据每个站点具体水文和地质情况给出合理的采水单元设计方案，保证采样的代表性和科学性。</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采用潜水泵或自吸泵方式采水，双泵、双管路设计，双泵轮值工作，满足实时不间断监测要求，所有取水管路必须配有管道清洗、防堵塞、反冲洗等功能。并且当一路出现故障时，能够自动切换到另一路进行工作，保证整个系统的正常运行。均要安装保温套管进行绝热处理，并在外部套用PVC管材，减少环境温度等因素对水样造成的影响，有必要的防冻措施，保证冬季低温（-15℃）时采样管路不被冻裂。采水管道采用排空设计，使管道内不存水，以防藻类滋生。</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采水量要满足所有监测仪器的需要。采水管路采用优质管道、UPVC管等材质稳定的材料，避免对水样产生污染。管路采取可拆卸式,应具备防冻隔热措施，应具有极好的化学稳定性。</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采水单元的构造应保证在汛期和枯水期能正常工作并不至于被损坏，并有必要的保温、防冻、防腐、防压、防淤、防撞和防盗措施，并对采水设备和设施进行必要的固定。</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采水单元设置采水单元自动清洗功能，且不能产生环境污染。</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应考虑能长期稳定安全运行，栈桥或取水部件要注意不影响航运，又能够保护自身安全。水泵安装处配备警示装置。采水单元要方便采样泵的提升与安装，以便进行人工的日常清洗和维护。</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能自动判断取水系统故障，并发出报警信号。采用双泵/双管路交替式采水方式，一用一备，在控制系统中设置自动诊断故障及自动切换泵工作功能。当一路出现故障时，通过控制系统及时切断该水泵的电源，并同时能够自动切换到另一路进行工作，以满足整个系统不间断监测要求。采水泵具有停电后来电再启动的自动恢复功能。</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保证取水口能够随水位变化，保证取水水管的进水孔位于水表面以下0.5m～1.0m的位置，并与河底保持一定距离，保证采集到具有代表性的符合监测需要的水样，又要保证取样吸头的连续正常使用。</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取水口下方加设不锈钢丝网，防止进水口淤积和杂物堵塞。采取必要的措施，保证取水口在封冻期不冻结。</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采水单元应保证在汛期或枯水期能正常工作而不至被损坏，在枯水期保证不受水体底部泥沙的影响。</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2配水单元</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  配水单元由水样分配单元、预处理装置及管道等组成。预处理单元应根据国家标准分析方法要求为监测仪器配备相应的预处理装置，常规五参数分析仪使用原水直接分析。</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投标人应提供针对性的配水和预处理方案，具体需满足以下要求：</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配水管路设计合理，流向清晰，便于维护；保证仪器分析测试的水样应能代表断面水质情况并满足仪器测试需求；</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配水单元具备自动反清（吹）洗功能，防止菌类和藻类等微生物对样品污染或对系统工作造成不良影响，设计中不使用对环境产生污染的清洗方法；</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所有操作均可通过控制单元实现，并能接受平台端的远程控制；</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具备可扩展功能。</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3控制单元</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供应商须根据现场情况将站房内未更换的设备集成到新装的系统中，确保设备正常稳定运行，数据正常上传。</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控制单元对采配水单元、监测仪器、辅助单元及安防单元进行控制，并实现数据采集与传输功能，保证系统连续、可靠和安全运行。</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能够实现对高锰酸盐指数、氨氮、总磷和总氮水质自动分析仪器进行自动标样核查、自动加标回收率核查、多点线性核查、自动零点核查、自动跨度核查等质控功能，并具备自动留样功能。设备具备试剂余量提示，缺试剂报警。高锰酸盐指数、氨氮、总磷、总氮、挥发酚设备具备试剂有效期自动监测、试剂更换记录功能、自动提示试剂是否过期功能；</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设备关键参数能上传到供应商所提供的平台；系统集成度高，易操作，省空间，具有良好的扩展性和兼容性，可根据实际应用需要，新增监测参数。</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4.留样单元（水质自动采样器）</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具备水样冷藏功能，温度在4±2℃；</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留样瓶由惰性材料制成，易清洗，容量应≥500mL，瓶数≥12个，采样后可封闭；</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具有留样前自动润洗，留样后自动排空的功能；</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配置门禁系统并具备开关门记录功能；</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具有留样失败报警功能。 </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5.辅助单元</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辅助单元应包含UPS、稳压电源、防雷单元、废液单元、空压机、冷藏柜（冷藏容量不小于120升）、安装机柜及材料及其他系统所需的部分，具体要求如下：</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配备UPS（总功率≥3KVA，断电后至少能保证仪器完成一个测量周期和数据上传，且待机不少于1h）；配备三相稳压电源（功率≥9KW）；</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配备废液收集单元，满足两周以上废液量的收集；</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必须具有电源、信号等设施的三级防雷措施，保证系统稳定、可靠运行；</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配置的空压机须是无油型空压机，保证不对分析结果造成影响；</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6.数据采集与传输单元</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具备自动采集数据功能，包括自动采集水质自动监测仪器数据、集成控制数据等，采集的数据应自动添加数据标识，异常监测数据能自动识别，并主动上传至中心平台或提供软件平台及手机APP供数据查看，提供超标或异常预警；存储不少于5年的原始数据和运行日志，可扩展。</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7.视频监控单元</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7.1站房内监控点位布置1套半球形摄像机，1套硬盘录像机，站房门口配置1套球型摄像机，采水口配置1套枪机型摄像机，实现全方位、多视角、无盲区、全天候式监控。（上游预警站监控视频须具备防爆功能）</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具体布置如下：</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（1）视频监控点位一</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监控位置：站房仪器室，安装于站房仪器室内，固定监控视角且范围可覆盖仪器室内部所有仪器设备；</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设备要求：配置半球型网络摄像机，固定角度进行监控。</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（2）视频监控点位二</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监控位置：站房外周围环境，应安装网络红外球型摄像机，可监控站房周围环境；</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设备要求：配置球型网络摄像机，可水平360°旋转，竖直0～90°旋转；带红外，支持夜间查看。</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（3）视频监控点位三</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监控位置：站房外取水口，安装在靠近取水口岸边，安装高度应满足50年一遇的防洪要求固定监控视角，用于监控取水口及站房周边情况；</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设备要求：配置枪机型网络摄像机，固定角度进行监控。</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7.2视频信息应实现现场存储功能，存储周期应不低于3个月，高清影像（至少720p），现场网络条件具备时，应采用宽带实现视频信息的实时传输。</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站房</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现场已有站房，投标人根据现场仪表使用条件对原有站房进行改造（包括但不限于门禁系统、地板修复、站房内老旧设备的清理拖运存储，站房内所需的实验台、洗手台等），以确保水质在线监测系统的正常使用，并进行站房文化建设。</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bl>
    <w:p>
      <w:pPr>
        <w:pStyle w:val="890"/>
        <w:rPr>
          <w:rFonts w:ascii="宋体"/>
          <w:color w:val="auto"/>
          <w:highlight w:val="none"/>
        </w:rPr>
      </w:pPr>
      <w:r>
        <w:rPr>
          <w:rFonts w:ascii="宋体"/>
          <w:color w:val="auto"/>
          <w:highlight w:val="none"/>
        </w:rPr>
      </w:r>
      <w:r/>
    </w:p>
    <w:p>
      <w:pPr>
        <w:pStyle w:val="877"/>
        <w:ind w:left="0"/>
        <w:rPr>
          <w:rFonts w:ascii="宋体"/>
          <w:b/>
          <w:bCs/>
          <w:color w:val="auto"/>
          <w:sz w:val="30"/>
          <w:szCs w:val="30"/>
          <w:highlight w:val="none"/>
        </w:rPr>
      </w:pPr>
      <w:r>
        <w:rPr>
          <w:rFonts w:ascii="宋体"/>
          <w:b/>
          <w:bCs/>
          <w:color w:val="auto"/>
          <w:sz w:val="30"/>
          <w:szCs w:val="30"/>
          <w:highlight w:val="none"/>
        </w:rPr>
        <w:t xml:space="preserve">采购包</w:t>
      </w:r>
      <w:r>
        <w:rPr>
          <w:rFonts w:hint="eastAsia" w:ascii="宋体"/>
          <w:b/>
          <w:bCs/>
          <w:color w:val="auto"/>
          <w:sz w:val="30"/>
          <w:szCs w:val="30"/>
          <w:highlight w:val="none"/>
        </w:rPr>
        <w:t xml:space="preserve">2</w:t>
      </w:r>
      <w:r>
        <w:rPr>
          <w:rFonts w:ascii="宋体"/>
          <w:b/>
          <w:bCs/>
          <w:color w:val="auto"/>
          <w:sz w:val="30"/>
          <w:szCs w:val="30"/>
          <w:highlight w:val="none"/>
        </w:rPr>
        <w:t xml:space="preserve">：技术部分正负偏离表</w:t>
      </w:r>
      <w:r/>
    </w:p>
    <w:p>
      <w:pPr>
        <w:jc w:val="lef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1.货物名称：</w:t>
      </w:r>
      <w:r>
        <w:rPr>
          <w:rFonts w:hint="eastAsia" w:ascii="仿宋" w:hAnsi="仿宋" w:eastAsia="仿宋"/>
          <w:bCs/>
          <w:color w:val="auto"/>
          <w:sz w:val="28"/>
          <w:szCs w:val="28"/>
          <w:highlight w:val="none"/>
          <w:u w:val="single"/>
        </w:rPr>
        <w:t xml:space="preserve">总磷总氮全自动分析仪</w:t>
      </w:r>
      <w:r>
        <w:rPr>
          <w:rFonts w:hint="eastAsia" w:ascii="仿宋" w:hAnsi="仿宋" w:eastAsia="仿宋"/>
          <w:bCs/>
          <w:color w:val="auto"/>
          <w:sz w:val="28"/>
          <w:szCs w:val="28"/>
          <w:highlight w:val="none"/>
        </w:rPr>
        <w:t xml:space="preserve">；品牌、型号</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制造商</w:t>
      </w:r>
      <w:r>
        <w:rPr>
          <w:rFonts w:hint="eastAsia" w:ascii="仿宋" w:hAnsi="仿宋" w:eastAsia="仿宋"/>
          <w:bCs/>
          <w:color w:val="auto"/>
          <w:sz w:val="28"/>
          <w:szCs w:val="28"/>
          <w:highlight w:val="none"/>
          <w:u w:val="single"/>
        </w:rPr>
        <w:t xml:space="preserve">：    </w:t>
      </w:r>
      <w:r/>
    </w:p>
    <w:tbl>
      <w:tblPr>
        <w:tblStyle w:val="875"/>
        <w:tblW w:w="9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010"/>
        <w:gridCol w:w="2247"/>
        <w:gridCol w:w="1059"/>
        <w:gridCol w:w="612"/>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10" w:type="dxa"/>
            <w:vAlign w:val="center"/>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用途要求</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用于水样中总磷、总氮指标的实验室全自动分析。</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技术参数</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2.1符合标准《水质总磷的测定钼酸铵分光光度法》（GB/T11893-1989）、《水质 总氮的测定 碱性过硫酸钾消解紫外分光光度法》（HJ636-2012）中规定检测方法。（投标文件中须提供证明材料，包括但不限于产品说明书、彩页或白皮书。同时提供的承诺涵（格式自拟），承诺能根据中国环境监测总站的数智化转型相关标准或规范要求升级仪器设备，不提供视为无效投标）</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2.2自动配标：可使用高浓度母液进行自动配标，无需手工配置；（投标文件中须提供设置软件截图，不提供视为无效投标）</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2.3可单独测定总磷或总氮一个项目，或同时测试总磷、总氮两个项目；</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2.4消解系统，各样品独立密封、消解，确保消解温度为120-124℃，工作压力为1.1-1.4kg/cm²，消解时间≥30min；消解方式可采用高压蒸汽灭菌锅消解或电加热消解；</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2.5样品检测范围：总磷：（0.01-1.2）mg/L；总氮：（0.05-7.0）mg/L（样品无稀释）；</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2.6准确度：±5%；RSD＜3.5%；相关系数r＞0.999（自动配标）；</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2.7浊度色度补偿：含有浊度或色度的总磷水样，可进行浊度色度补偿，扣除干扰；</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2.8具备方法报告导出功能，数据可导出留存，方法具备追溯性；</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2.9日志可查询，分析过程实时记录，分析过程具备追溯性。</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配置</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3.1总磷总氮自动分析仪1套；</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3.2配套工作站1台（含配套操作软件1套）；</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3.3长、宽、高为160cm*75cm*80cm和160cm*75cm*70cm（±2%）的实验室操作台各1组。</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bl>
    <w:p>
      <w:pPr>
        <w:rPr>
          <w:rFonts w:ascii="宋体"/>
          <w:bCs/>
          <w:color w:val="auto"/>
          <w:highlight w:val="none"/>
        </w:rPr>
      </w:pPr>
      <w:r>
        <w:rPr>
          <w:rFonts w:ascii="宋体"/>
          <w:bCs/>
          <w:color w:val="auto"/>
          <w:highlight w:val="none"/>
        </w:rPr>
      </w:r>
      <w:r/>
    </w:p>
    <w:p>
      <w:pPr>
        <w:pStyle w:val="890"/>
        <w:rPr>
          <w:rFonts w:ascii="宋体"/>
          <w:bCs/>
          <w:color w:val="auto"/>
          <w:highlight w:val="none"/>
        </w:rPr>
      </w:pPr>
      <w:r>
        <w:rPr>
          <w:rFonts w:ascii="宋体"/>
          <w:bCs/>
          <w:color w:val="auto"/>
          <w:highlight w:val="none"/>
        </w:rPr>
      </w:r>
      <w:r/>
    </w:p>
    <w:p>
      <w:pPr>
        <w:jc w:val="lef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2.货物名称：</w:t>
      </w:r>
      <w:r>
        <w:rPr>
          <w:rFonts w:hint="eastAsia" w:ascii="仿宋" w:hAnsi="仿宋" w:eastAsia="仿宋"/>
          <w:bCs/>
          <w:color w:val="auto"/>
          <w:sz w:val="28"/>
          <w:szCs w:val="28"/>
          <w:highlight w:val="none"/>
          <w:u w:val="single"/>
        </w:rPr>
        <w:t xml:space="preserve">采水无人机</w:t>
      </w:r>
      <w:r>
        <w:rPr>
          <w:rFonts w:hint="eastAsia" w:ascii="仿宋" w:hAnsi="仿宋" w:eastAsia="仿宋"/>
          <w:bCs/>
          <w:color w:val="auto"/>
          <w:sz w:val="28"/>
          <w:szCs w:val="28"/>
          <w:highlight w:val="none"/>
        </w:rPr>
        <w:t xml:space="preserve">；品牌、型号</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制造商</w:t>
      </w:r>
      <w:r>
        <w:rPr>
          <w:rFonts w:hint="eastAsia" w:ascii="仿宋" w:hAnsi="仿宋" w:eastAsia="仿宋"/>
          <w:bCs/>
          <w:color w:val="auto"/>
          <w:sz w:val="28"/>
          <w:szCs w:val="28"/>
          <w:highlight w:val="none"/>
          <w:u w:val="single"/>
        </w:rPr>
        <w:t xml:space="preserve">：    </w:t>
      </w:r>
      <w:r/>
    </w:p>
    <w:tbl>
      <w:tblPr>
        <w:tblStyle w:val="875"/>
        <w:tblW w:w="9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010"/>
        <w:gridCol w:w="2247"/>
        <w:gridCol w:w="1059"/>
        <w:gridCol w:w="612"/>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10" w:type="dxa"/>
            <w:vAlign w:val="center"/>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总体要求</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1.采水无人机为遥控设备或自备程序控制装置操纵，为无人驾驶的航空器。无人机上搭载可按预定设置的采水单元（模块）、云台红外相机，完成水质采样和污染源排口排查的设备。</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系统单元要求</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2.无人机水质采样系统包括无人机单元、采水单元。</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各部件技术参数</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3.无人机单元包括无人机、飞行电池、云台红外相机、遥控器等。</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3.1无人机为旋翼或垂直起降无人机，能够自主规划航线，具悬停功能、飞行感知功能、避障功能，具有低电量报警功能，在故障、低电压、极端天气环境自动返航功能。</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3.2抗风等级不小于六级，同时无人机应可拆卸便于携带及运输。</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3.3最大载重：≥5kg</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3.3最大起飞重量：≥10kg</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3.4负载最大续航时间：≥50分钟</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3.5最大水平飞行速度：≥15m/s</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3.6最大飞行海拔高度：≥500m</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3.7防护等级：≥IP45</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3.8工作温度：-10℃~50℃</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3.9定位系统：支持单北斗模式</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3.10悬停精度：垂直方向≤±0.5m  水平方向≤±1.5m</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3.11支持云台安装，飞行器支持搭载云台负载数量≥3</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3.12电池可通过电池箱（仓）进行充电，能够显示电池电量。</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3.13电池容量≥20000mAh、电池能量</w:t>
            </w:r>
            <w:r>
              <w:rPr>
                <w:rFonts w:hint="eastAsia" w:ascii="仿宋" w:hAnsi="仿宋" w:eastAsia="仿宋"/>
                <w:bCs/>
                <w:color w:val="auto"/>
                <w:sz w:val="24"/>
                <w:highlight w:val="none"/>
              </w:rPr>
              <w:tab/>
            </w:r>
            <w:r>
              <w:rPr>
                <w:rFonts w:hint="eastAsia" w:ascii="仿宋" w:hAnsi="仿宋" w:eastAsia="仿宋"/>
                <w:bCs/>
                <w:color w:val="auto"/>
                <w:sz w:val="24"/>
                <w:highlight w:val="none"/>
              </w:rPr>
              <w:t xml:space="preserve">≥900Wh、电池循环次数≥400、电池重量≤5000克</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3.14无人机机身应具备FPV相机。</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3.15云台红外相机：通过无人机云台进行搭载，云台可控制红外相机俯仰、平移转动。</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3.15.1红外相机支持视频录制，通过APP端设置支持开启预录制，视频连续录制时不低于1小时。</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3.15.2负载广角相机有效像素：有效像素≥2400万</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3.15.3负载广角相机照片尺寸：最大照片尺寸≥8064×6048</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3.15.4负载广角相机视频分辨率：视频分辨率≥3840×2160@30fps；</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3.15.5负载变焦相机有效像素：有效像素≥2000万</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3.15.6负载变焦相机照片尺寸：最大照片尺寸≥7328x5496；</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3.15.7负载变焦相机可光光学变焦倍数：光学变焦能力≥16倍；</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3.15.8负载变焦相机可见光数码变焦倍数：数码变焦能力≥200倍；</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3.15.9红外相机数字变焦倍数：变焦倍数≥16倍；</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3.15.10红外相机视频分辨率：视频分辨率≥1280x1024@30fps</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3.15.11红外相机照片分辨率：分辨率1280x1024；</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3.15.12支持测温、高温报警功能以及红外成像模式。</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3.15.13支持近红外补光：支持开启近红外补光，增加夜视效果；</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3.15.14激光测距模块：最远测量距离≥1500米；</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3.15.15激光打点定位：支持在画面中央的目标上打点，可记录目标点的经纬度及高度。</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3.15.16相机存储空间≥64G，支持容量扩展；</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3.16遥控器具有远距离对无人机和采水单元进行监控和操纵功能，通常包括调度、规划任务、运行控制、记录显示等功能。</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3.16.1遥控器遥控距离：≥1km</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3.16.2遥控器按键支持背景光</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3.16.3遥控器可通过内置或外置电池供电，电池续航时间≥2小时。</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3.16..4遥控器存储空间≥128G</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采水单元</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4.1通过无人机云台搭载，采用采样绳+采水器组合。</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4.2采水器自重：≤2kg</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4.3采水器容积：≥1L</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4.4采样绳放线长度：≥5m</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4.5内置下视相机，像素≥200万</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4.6采水单元具备毫米波雷达测距功能，测量距离流体的准确高度。</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4.7支持无人机遥控器一体化遥控采样单元，具有自动/手动控制采样，包括手动控制采样深度、上升/下降/停止等。</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4.8具备应急防绞线设计，紧急情况下支持远程一键断融线绳功能。</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配置清单</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5.1无人机主机                                      1套</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5.2红外相机及云台组件                              1套</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5.3飞行电池                                        3组</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5.4电池充电箱                                      1套</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5.5采水单元（包含1L采水器2个，2L采水器2个）    1套</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bl>
    <w:p>
      <w:pPr>
        <w:pStyle w:val="877"/>
        <w:ind w:left="1680"/>
        <w:rPr>
          <w:rFonts w:ascii="宋体"/>
          <w:bCs/>
          <w:color w:val="auto"/>
          <w:highlight w:val="none"/>
        </w:rPr>
      </w:pPr>
      <w:r>
        <w:rPr>
          <w:rFonts w:ascii="宋体"/>
          <w:bCs/>
          <w:color w:val="auto"/>
          <w:highlight w:val="none"/>
        </w:rPr>
      </w:r>
      <w:r/>
    </w:p>
    <w:p>
      <w:pPr>
        <w:rPr>
          <w:rFonts w:ascii="宋体"/>
          <w:bCs/>
          <w:color w:val="auto"/>
          <w:highlight w:val="none"/>
        </w:rPr>
      </w:pPr>
      <w:r>
        <w:rPr>
          <w:rFonts w:ascii="宋体"/>
          <w:bCs/>
          <w:color w:val="auto"/>
          <w:highlight w:val="none"/>
        </w:rPr>
      </w:r>
      <w:r/>
    </w:p>
    <w:p>
      <w:pPr>
        <w:jc w:val="lef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3.货物名称：</w:t>
      </w:r>
      <w:r>
        <w:rPr>
          <w:rFonts w:hint="eastAsia" w:ascii="仿宋" w:hAnsi="仿宋" w:eastAsia="仿宋"/>
          <w:bCs/>
          <w:color w:val="auto"/>
          <w:sz w:val="28"/>
          <w:szCs w:val="28"/>
          <w:highlight w:val="none"/>
          <w:u w:val="single"/>
        </w:rPr>
        <w:t xml:space="preserve">便携式气相色谱质谱联用仪</w:t>
      </w:r>
      <w:r>
        <w:rPr>
          <w:rFonts w:hint="eastAsia" w:ascii="仿宋" w:hAnsi="仿宋" w:eastAsia="仿宋"/>
          <w:bCs/>
          <w:color w:val="auto"/>
          <w:sz w:val="28"/>
          <w:szCs w:val="28"/>
          <w:highlight w:val="none"/>
        </w:rPr>
        <w:t xml:space="preserve">；品牌、型号</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制造商</w:t>
      </w:r>
      <w:r>
        <w:rPr>
          <w:rFonts w:hint="eastAsia" w:ascii="仿宋" w:hAnsi="仿宋" w:eastAsia="仿宋"/>
          <w:bCs/>
          <w:color w:val="auto"/>
          <w:sz w:val="28"/>
          <w:szCs w:val="28"/>
          <w:highlight w:val="none"/>
          <w:u w:val="single"/>
        </w:rPr>
        <w:t xml:space="preserve">：    </w:t>
      </w:r>
      <w:r/>
    </w:p>
    <w:tbl>
      <w:tblPr>
        <w:tblStyle w:val="875"/>
        <w:tblW w:w="9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491"/>
        <w:gridCol w:w="1766"/>
        <w:gridCol w:w="1059"/>
        <w:gridCol w:w="612"/>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491" w:type="dxa"/>
            <w:vAlign w:val="center"/>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功能要求</w:t>
            </w:r>
            <w:r/>
          </w:p>
        </w:tc>
        <w:tc>
          <w:tcPr>
            <w:tcBorders>
              <w:top w:val="single" w:color="auto" w:sz="4" w:space="0"/>
              <w:left w:val="single" w:color="auto" w:sz="4" w:space="0"/>
              <w:bottom w:val="single" w:color="auto" w:sz="4" w:space="0"/>
              <w:right w:val="single" w:color="auto" w:sz="4" w:space="0"/>
            </w:tcBorders>
            <w:tcW w:w="3491"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便携式气</w:t>
            </w:r>
            <w:r>
              <w:rPr>
                <w:rFonts w:hint="eastAsia" w:ascii="仿宋" w:hAnsi="仿宋" w:eastAsia="仿宋"/>
                <w:bCs/>
                <w:color w:val="auto"/>
                <w:sz w:val="24"/>
                <w:highlight w:val="none"/>
              </w:rPr>
              <w:t xml:space="preserve">相色谱质谱分析仪（GC-MS）用于污染事故现场大气、水体和土壤中挥发性和半挥发性有机污染物的快速定性及定量、半定量分析。便携式气相色谱质谱分析仪（GC-MS，含配套顶空/吹扫捕集功能）无需通过更换色谱柱或其它配置，即可同时满足或优于《环境空气 挥发性有机物的应急测定 便携式气相色谱-质谱法》（HJ 1223—2021）、《水质 挥发性有机物的应急测定 便携式顶空气相色谱-质谱法》（HJ 1227—2021）、《便携式气相色谱-质谱联用仪技术要求及实验方法》（GB/T 32210-2015）对仪器性能的要求。</w:t>
            </w:r>
            <w:r/>
          </w:p>
        </w:tc>
        <w:tc>
          <w:tcPr>
            <w:tcBorders>
              <w:top w:val="single" w:color="auto" w:sz="4" w:space="0"/>
              <w:left w:val="single" w:color="auto" w:sz="4" w:space="0"/>
              <w:bottom w:val="single" w:color="auto" w:sz="4" w:space="0"/>
              <w:right w:val="single" w:color="auto" w:sz="4" w:space="0"/>
            </w:tcBorders>
            <w:tcW w:w="1766"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仪器配置</w:t>
            </w:r>
            <w:r/>
          </w:p>
        </w:tc>
        <w:tc>
          <w:tcPr>
            <w:tcBorders>
              <w:top w:val="single" w:color="auto" w:sz="4" w:space="0"/>
              <w:left w:val="single" w:color="auto" w:sz="4" w:space="0"/>
              <w:bottom w:val="single" w:color="auto" w:sz="4" w:space="0"/>
              <w:right w:val="single" w:color="auto" w:sz="4" w:space="0"/>
            </w:tcBorders>
            <w:tcW w:w="3491" w:type="dxa"/>
            <w:textDirection w:val="lrTb"/>
            <w:noWrap/>
          </w:tcPr>
          <w:tbl>
            <w:tblPr>
              <w:tblStyle w:val="875"/>
              <w:tblW w:w="34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
              <w:gridCol w:w="904"/>
              <w:gridCol w:w="450"/>
              <w:gridCol w:w="316"/>
              <w:gridCol w:w="1309"/>
            </w:tblGrid>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890"/>
                    <w:spacing w:line="172" w:lineRule="atLeast"/>
                    <w:rPr>
                      <w:bCs/>
                      <w:color w:val="auto"/>
                      <w:highlight w:val="none"/>
                    </w:rPr>
                  </w:pPr>
                  <w:r>
                    <w:rPr>
                      <w:rFonts w:ascii="宋体"/>
                      <w:bCs/>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890"/>
                    <w:spacing w:line="172" w:lineRule="atLeast"/>
                    <w:rPr>
                      <w:bCs/>
                      <w:color w:val="auto"/>
                      <w:highlight w:val="none"/>
                    </w:rPr>
                  </w:pPr>
                  <w:r>
                    <w:rPr>
                      <w:rFonts w:ascii="宋体"/>
                      <w:bCs/>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890"/>
                    <w:spacing w:line="172" w:lineRule="atLeast"/>
                    <w:rPr>
                      <w:bCs/>
                      <w:color w:val="auto"/>
                      <w:highlight w:val="none"/>
                    </w:rPr>
                  </w:pPr>
                  <w:r>
                    <w:rPr>
                      <w:rFonts w:ascii="宋体"/>
                      <w:bCs/>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890"/>
                    <w:spacing w:line="172" w:lineRule="atLeast"/>
                    <w:rPr>
                      <w:bCs/>
                      <w:color w:val="auto"/>
                      <w:highlight w:val="none"/>
                    </w:rPr>
                  </w:pPr>
                  <w:r>
                    <w:rPr>
                      <w:rFonts w:ascii="宋体"/>
                      <w:bCs/>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890"/>
                    <w:spacing w:line="172" w:lineRule="atLeast"/>
                    <w:rPr>
                      <w:bCs/>
                      <w:color w:val="auto"/>
                      <w:highlight w:val="none"/>
                    </w:rPr>
                  </w:pPr>
                  <w:r>
                    <w:rPr>
                      <w:rFonts w:ascii="宋体"/>
                      <w:bCs/>
                      <w:color w:val="auto"/>
                      <w:highlight w:val="none"/>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890"/>
                    <w:spacing w:line="172" w:lineRule="atLeast"/>
                    <w:rPr>
                      <w:bCs/>
                      <w:color w:val="auto"/>
                      <w:highlight w:val="none"/>
                    </w:rPr>
                  </w:pPr>
                  <w:r>
                    <w:rPr>
                      <w:rFonts w:hint="eastAsia"/>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890"/>
                    <w:spacing w:line="172" w:lineRule="atLeast"/>
                    <w:rPr>
                      <w:bCs/>
                      <w:color w:val="auto"/>
                      <w:highlight w:val="none"/>
                    </w:rPr>
                  </w:pPr>
                  <w:r>
                    <w:rPr>
                      <w:rFonts w:ascii="宋体"/>
                      <w:bCs/>
                      <w:color w:val="auto"/>
                      <w:highlight w:val="none"/>
                    </w:rPr>
                    <w:t xml:space="preserve">便携式气质联用仪主机，包含采样探头</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890"/>
                    <w:spacing w:line="172" w:lineRule="atLeast"/>
                    <w:rPr>
                      <w:bCs/>
                      <w:color w:val="auto"/>
                      <w:highlight w:val="none"/>
                    </w:rPr>
                  </w:pPr>
                  <w:r>
                    <w:rPr>
                      <w:rFonts w:hint="eastAsia"/>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316" w:type="dxa"/>
                  <w:textDirection w:val="lrTb"/>
                  <w:noWrap/>
                </w:tcPr>
                <w:p>
                  <w:pPr>
                    <w:pStyle w:val="890"/>
                    <w:spacing w:line="172" w:lineRule="atLeast"/>
                    <w:rPr>
                      <w:bCs/>
                      <w:color w:val="auto"/>
                      <w:highlight w:val="none"/>
                    </w:rPr>
                  </w:pPr>
                  <w:r>
                    <w:rPr>
                      <w:rFonts w:ascii="宋体"/>
                      <w:bCs/>
                      <w:color w:val="auto"/>
                      <w:highlight w:val="none"/>
                    </w:rPr>
                    <w:t xml:space="preserve">台</w:t>
                  </w:r>
                  <w:r/>
                </w:p>
              </w:tc>
              <w:tc>
                <w:tcPr>
                  <w:tcBorders>
                    <w:top w:val="single" w:color="auto" w:sz="4" w:space="0"/>
                    <w:left w:val="single" w:color="auto" w:sz="4" w:space="0"/>
                    <w:bottom w:val="single" w:color="auto" w:sz="4" w:space="0"/>
                    <w:right w:val="single" w:color="auto" w:sz="4" w:space="0"/>
                  </w:tcBorders>
                  <w:tcW w:w="1309" w:type="dxa"/>
                  <w:textDirection w:val="lrTb"/>
                  <w:noWrap/>
                </w:tcPr>
                <w:p>
                  <w:pPr>
                    <w:pStyle w:val="890"/>
                    <w:spacing w:line="172" w:lineRule="atLeast"/>
                    <w:rPr>
                      <w:bCs/>
                      <w:color w:val="auto"/>
                      <w:highlight w:val="none"/>
                    </w:rPr>
                  </w:pPr>
                  <w:r>
                    <w:rPr>
                      <w:rFonts w:ascii="宋体"/>
                      <w:bCs/>
                      <w:color w:val="auto"/>
                      <w:highlight w:val="none"/>
                    </w:rPr>
                    <w:t xml:space="preserve">主机触屏操作，内装正版操作系统、控制和数据处理软件、最新原装正版等3种谱库</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890"/>
                    <w:spacing w:line="172" w:lineRule="atLeast"/>
                    <w:rPr>
                      <w:bCs/>
                      <w:color w:val="auto"/>
                      <w:highlight w:val="none"/>
                    </w:rPr>
                  </w:pPr>
                  <w:r>
                    <w:rPr>
                      <w:rFonts w:hint="eastAsia"/>
                      <w:bCs/>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890"/>
                    <w:spacing w:line="172" w:lineRule="atLeast"/>
                    <w:rPr>
                      <w:bCs/>
                      <w:color w:val="auto"/>
                      <w:highlight w:val="none"/>
                    </w:rPr>
                  </w:pPr>
                  <w:r>
                    <w:rPr>
                      <w:rFonts w:ascii="宋体"/>
                      <w:bCs/>
                      <w:color w:val="auto"/>
                      <w:highlight w:val="none"/>
                    </w:rPr>
                    <w:t xml:space="preserve">顶空/吹扫捕集进样器</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890"/>
                    <w:spacing w:line="172" w:lineRule="atLeast"/>
                    <w:rPr>
                      <w:bCs/>
                      <w:color w:val="auto"/>
                      <w:highlight w:val="none"/>
                    </w:rPr>
                  </w:pPr>
                  <w:r>
                    <w:rPr>
                      <w:rFonts w:hint="eastAsia"/>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890"/>
                    <w:spacing w:line="172" w:lineRule="atLeast"/>
                    <w:rPr>
                      <w:bCs/>
                      <w:color w:val="auto"/>
                      <w:highlight w:val="none"/>
                    </w:rPr>
                  </w:pPr>
                  <w:r>
                    <w:rPr>
                      <w:rFonts w:ascii="宋体"/>
                      <w:bCs/>
                      <w:color w:val="auto"/>
                      <w:highlight w:val="none"/>
                    </w:rPr>
                    <w:t xml:space="preserve">套</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890"/>
                    <w:spacing w:line="172" w:lineRule="atLeast"/>
                    <w:rPr>
                      <w:bCs/>
                      <w:color w:val="auto"/>
                      <w:highlight w:val="none"/>
                    </w:rPr>
                  </w:pPr>
                  <w:r>
                    <w:rPr>
                      <w:bCs/>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890"/>
                    <w:spacing w:line="172" w:lineRule="atLeast"/>
                    <w:rPr>
                      <w:bCs/>
                      <w:color w:val="auto"/>
                      <w:highlight w:val="none"/>
                    </w:rPr>
                  </w:pPr>
                  <w:r>
                    <w:rPr>
                      <w:rFonts w:hint="eastAsia"/>
                      <w:bCs/>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890"/>
                    <w:spacing w:line="172" w:lineRule="atLeast"/>
                    <w:rPr>
                      <w:bCs/>
                      <w:color w:val="auto"/>
                      <w:highlight w:val="none"/>
                    </w:rPr>
                  </w:pPr>
                  <w:r>
                    <w:rPr>
                      <w:rFonts w:ascii="宋体"/>
                      <w:bCs/>
                      <w:color w:val="auto"/>
                      <w:highlight w:val="none"/>
                    </w:rPr>
                    <w:t xml:space="preserve">内置载气</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890"/>
                    <w:spacing w:line="172" w:lineRule="atLeast"/>
                    <w:rPr>
                      <w:bCs/>
                      <w:color w:val="auto"/>
                      <w:highlight w:val="none"/>
                    </w:rPr>
                  </w:pPr>
                  <w:r>
                    <w:rPr>
                      <w:rFonts w:hint="eastAsia"/>
                      <w:bCs/>
                      <w:color w:val="auto"/>
                      <w:highlight w:val="none"/>
                    </w:rPr>
                    <w:t xml:space="preserve">12</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890"/>
                    <w:spacing w:line="172" w:lineRule="atLeast"/>
                    <w:rPr>
                      <w:bCs/>
                      <w:color w:val="auto"/>
                      <w:highlight w:val="none"/>
                    </w:rPr>
                  </w:pPr>
                  <w:r>
                    <w:rPr>
                      <w:rFonts w:ascii="宋体"/>
                      <w:bCs/>
                      <w:color w:val="auto"/>
                      <w:highlight w:val="none"/>
                    </w:rPr>
                    <w:t xml:space="preserve">瓶</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890"/>
                    <w:spacing w:line="172" w:lineRule="atLeast"/>
                    <w:rPr>
                      <w:bCs/>
                      <w:color w:val="auto"/>
                      <w:highlight w:val="none"/>
                    </w:rPr>
                  </w:pPr>
                  <w:r>
                    <w:rPr>
                      <w:rFonts w:ascii="宋体"/>
                      <w:bCs/>
                      <w:color w:val="auto"/>
                      <w:highlight w:val="none"/>
                    </w:rPr>
                    <w:t xml:space="preserve">主机全新配套，按客户需求分批发货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890"/>
                    <w:spacing w:line="172" w:lineRule="atLeast"/>
                    <w:rPr>
                      <w:bCs/>
                      <w:color w:val="auto"/>
                      <w:highlight w:val="none"/>
                    </w:rPr>
                  </w:pPr>
                  <w:r>
                    <w:rPr>
                      <w:rFonts w:hint="eastAsia"/>
                      <w:bCs/>
                      <w:color w:val="auto"/>
                      <w:highlight w:val="none"/>
                    </w:rPr>
                    <w:t xml:space="preserve">4</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890"/>
                    <w:spacing w:line="172" w:lineRule="atLeast"/>
                    <w:rPr>
                      <w:bCs/>
                      <w:color w:val="auto"/>
                      <w:highlight w:val="none"/>
                    </w:rPr>
                  </w:pPr>
                  <w:r>
                    <w:rPr>
                      <w:rFonts w:ascii="宋体"/>
                      <w:bCs/>
                      <w:color w:val="auto"/>
                      <w:highlight w:val="none"/>
                    </w:rPr>
                    <w:t xml:space="preserve">内标气</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890"/>
                    <w:spacing w:line="172" w:lineRule="atLeast"/>
                    <w:rPr>
                      <w:bCs/>
                      <w:color w:val="auto"/>
                      <w:highlight w:val="none"/>
                    </w:rPr>
                  </w:pPr>
                  <w:r>
                    <w:rPr>
                      <w:rFonts w:hint="eastAsia"/>
                      <w:bCs/>
                      <w:color w:val="auto"/>
                      <w:highlight w:val="none"/>
                    </w:rPr>
                    <w:t xml:space="preserve">6</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890"/>
                    <w:spacing w:line="172" w:lineRule="atLeast"/>
                    <w:rPr>
                      <w:bCs/>
                      <w:color w:val="auto"/>
                      <w:highlight w:val="none"/>
                    </w:rPr>
                  </w:pPr>
                  <w:r>
                    <w:rPr>
                      <w:rFonts w:ascii="宋体"/>
                      <w:bCs/>
                      <w:color w:val="auto"/>
                      <w:highlight w:val="none"/>
                    </w:rPr>
                    <w:t xml:space="preserve">瓶</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890"/>
                    <w:spacing w:line="172" w:lineRule="atLeast"/>
                    <w:rPr>
                      <w:bCs/>
                      <w:color w:val="auto"/>
                      <w:highlight w:val="none"/>
                    </w:rPr>
                  </w:pPr>
                  <w:r>
                    <w:rPr>
                      <w:rFonts w:ascii="宋体"/>
                      <w:bCs/>
                      <w:color w:val="auto"/>
                      <w:highlight w:val="none"/>
                    </w:rPr>
                    <w:t xml:space="preserve">主机全新配套，按客户需求分批发货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890"/>
                    <w:spacing w:line="172" w:lineRule="atLeast"/>
                    <w:rPr>
                      <w:bCs/>
                      <w:color w:val="auto"/>
                      <w:highlight w:val="none"/>
                    </w:rPr>
                  </w:pPr>
                  <w:r>
                    <w:rPr>
                      <w:rFonts w:hint="eastAsia"/>
                      <w:bCs/>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890"/>
                    <w:spacing w:line="172" w:lineRule="atLeast"/>
                    <w:rPr>
                      <w:bCs/>
                      <w:color w:val="auto"/>
                      <w:highlight w:val="none"/>
                    </w:rPr>
                  </w:pPr>
                  <w:r>
                    <w:rPr>
                      <w:rFonts w:ascii="宋体"/>
                      <w:bCs/>
                      <w:color w:val="auto"/>
                      <w:highlight w:val="none"/>
                    </w:rPr>
                    <w:t xml:space="preserve">内置可充电池</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890"/>
                    <w:spacing w:line="172" w:lineRule="atLeast"/>
                    <w:rPr>
                      <w:bCs/>
                      <w:color w:val="auto"/>
                      <w:highlight w:val="none"/>
                    </w:rPr>
                  </w:pPr>
                  <w:r>
                    <w:rPr>
                      <w:rFonts w:hint="eastAsia"/>
                      <w:bCs/>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890"/>
                    <w:spacing w:line="172" w:lineRule="atLeast"/>
                    <w:rPr>
                      <w:bCs/>
                      <w:color w:val="auto"/>
                      <w:highlight w:val="none"/>
                    </w:rPr>
                  </w:pPr>
                  <w:r>
                    <w:rPr>
                      <w:rFonts w:ascii="宋体"/>
                      <w:bCs/>
                      <w:color w:val="auto"/>
                      <w:highlight w:val="none"/>
                    </w:rPr>
                    <w:t xml:space="preserve">块</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890"/>
                    <w:spacing w:line="172" w:lineRule="atLeast"/>
                    <w:rPr>
                      <w:bCs/>
                      <w:color w:val="auto"/>
                      <w:highlight w:val="none"/>
                    </w:rPr>
                  </w:pPr>
                  <w:r>
                    <w:rPr>
                      <w:rFonts w:ascii="宋体"/>
                      <w:bCs/>
                      <w:color w:val="auto"/>
                      <w:highlight w:val="none"/>
                    </w:rPr>
                    <w:t xml:space="preserve">主机全新配套，配原装电池充电器1套，6-8小时主机续航能力</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890"/>
                    <w:spacing w:line="172" w:lineRule="atLeast"/>
                    <w:rPr>
                      <w:bCs/>
                      <w:color w:val="auto"/>
                      <w:highlight w:val="none"/>
                    </w:rPr>
                  </w:pPr>
                  <w:r>
                    <w:rPr>
                      <w:rFonts w:hint="eastAsia"/>
                      <w:bCs/>
                      <w:color w:val="auto"/>
                      <w:highlight w:val="none"/>
                    </w:rPr>
                    <w:t xml:space="preserve">6</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890"/>
                    <w:spacing w:line="172" w:lineRule="atLeast"/>
                    <w:rPr>
                      <w:bCs/>
                      <w:color w:val="auto"/>
                      <w:highlight w:val="none"/>
                    </w:rPr>
                  </w:pPr>
                  <w:r>
                    <w:rPr>
                      <w:rFonts w:ascii="宋体"/>
                      <w:bCs/>
                      <w:color w:val="auto"/>
                      <w:highlight w:val="none"/>
                    </w:rPr>
                    <w:t xml:space="preserve">数据线、电源适配器等</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890"/>
                    <w:spacing w:line="172" w:lineRule="atLeast"/>
                    <w:rPr>
                      <w:bCs/>
                      <w:color w:val="auto"/>
                      <w:highlight w:val="none"/>
                    </w:rPr>
                  </w:pPr>
                  <w:r>
                    <w:rPr>
                      <w:rFonts w:hint="eastAsia"/>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890"/>
                    <w:spacing w:line="172" w:lineRule="atLeast"/>
                    <w:rPr>
                      <w:bCs/>
                      <w:color w:val="auto"/>
                      <w:highlight w:val="none"/>
                    </w:rPr>
                  </w:pPr>
                  <w:r>
                    <w:rPr>
                      <w:rFonts w:ascii="宋体"/>
                      <w:bCs/>
                      <w:color w:val="auto"/>
                      <w:highlight w:val="none"/>
                    </w:rPr>
                    <w:t xml:space="preserve">套</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890"/>
                    <w:spacing w:line="172" w:lineRule="atLeast"/>
                    <w:rPr>
                      <w:bCs/>
                      <w:color w:val="auto"/>
                      <w:highlight w:val="none"/>
                    </w:rPr>
                  </w:pPr>
                  <w:r>
                    <w:rPr>
                      <w:bCs/>
                      <w:color w:val="auto"/>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890"/>
                    <w:spacing w:line="172" w:lineRule="atLeast"/>
                    <w:rPr>
                      <w:bCs/>
                      <w:color w:val="auto"/>
                      <w:highlight w:val="none"/>
                    </w:rPr>
                  </w:pPr>
                  <w:r>
                    <w:rPr>
                      <w:rFonts w:hint="eastAsia"/>
                      <w:bCs/>
                      <w:color w:val="auto"/>
                      <w:highlight w:val="none"/>
                    </w:rPr>
                    <w:t xml:space="preserve">7</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890"/>
                    <w:spacing w:line="172" w:lineRule="atLeast"/>
                    <w:rPr>
                      <w:bCs/>
                      <w:color w:val="auto"/>
                      <w:highlight w:val="none"/>
                    </w:rPr>
                  </w:pPr>
                  <w:r>
                    <w:rPr>
                      <w:rFonts w:ascii="宋体"/>
                      <w:bCs/>
                      <w:color w:val="auto"/>
                      <w:highlight w:val="none"/>
                    </w:rPr>
                    <w:t xml:space="preserve">与主机配套使用的移动数据终端和数据处理系统</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890"/>
                    <w:spacing w:line="172" w:lineRule="atLeast"/>
                    <w:rPr>
                      <w:bCs/>
                      <w:color w:val="auto"/>
                      <w:highlight w:val="none"/>
                    </w:rPr>
                  </w:pPr>
                  <w:r>
                    <w:rPr>
                      <w:rFonts w:hint="eastAsia"/>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890"/>
                    <w:spacing w:line="172" w:lineRule="atLeast"/>
                    <w:rPr>
                      <w:bCs/>
                      <w:color w:val="auto"/>
                      <w:highlight w:val="none"/>
                    </w:rPr>
                  </w:pPr>
                  <w:r>
                    <w:rPr>
                      <w:rFonts w:ascii="宋体"/>
                      <w:bCs/>
                      <w:color w:val="auto"/>
                      <w:highlight w:val="none"/>
                    </w:rPr>
                    <w:t xml:space="preserve">套</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890"/>
                    <w:spacing w:line="172" w:lineRule="atLeast"/>
                    <w:rPr>
                      <w:bCs/>
                      <w:color w:val="auto"/>
                      <w:highlight w:val="none"/>
                    </w:rPr>
                  </w:pPr>
                  <w:r>
                    <w:rPr>
                      <w:rFonts w:ascii="宋体"/>
                      <w:bCs/>
                      <w:color w:val="auto"/>
                      <w:highlight w:val="none"/>
                    </w:rPr>
                    <w:t xml:space="preserve">与主机配套使用的移动数据终端，配置控制和数据处理软件、最新原装正版等3种谱库；保证在事故现场可进行标准对照、模型预测、报告编制上报等功能。</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890"/>
                    <w:spacing w:line="172" w:lineRule="atLeast"/>
                    <w:rPr>
                      <w:bCs/>
                      <w:color w:val="auto"/>
                      <w:highlight w:val="none"/>
                    </w:rPr>
                  </w:pPr>
                  <w:r>
                    <w:rPr>
                      <w:rFonts w:hint="eastAsia"/>
                      <w:bCs/>
                      <w:color w:val="auto"/>
                      <w:highlight w:val="none"/>
                    </w:rPr>
                    <w:t xml:space="preserve">8</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890"/>
                    <w:spacing w:line="172" w:lineRule="atLeast"/>
                    <w:rPr>
                      <w:bCs/>
                      <w:color w:val="auto"/>
                      <w:highlight w:val="none"/>
                    </w:rPr>
                  </w:pPr>
                  <w:r>
                    <w:rPr>
                      <w:rFonts w:hint="eastAsia"/>
                      <w:bCs/>
                      <w:color w:val="auto"/>
                      <w:highlight w:val="none"/>
                    </w:rPr>
                    <w:t xml:space="preserve">40mL</w:t>
                  </w:r>
                  <w:r>
                    <w:rPr>
                      <w:rFonts w:ascii="宋体"/>
                      <w:bCs/>
                      <w:color w:val="auto"/>
                      <w:highlight w:val="none"/>
                    </w:rPr>
                    <w:t xml:space="preserve">顶空瓶</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890"/>
                    <w:spacing w:line="172" w:lineRule="atLeast"/>
                    <w:rPr>
                      <w:bCs/>
                      <w:color w:val="auto"/>
                      <w:highlight w:val="none"/>
                    </w:rPr>
                  </w:pPr>
                  <w:r>
                    <w:rPr>
                      <w:rFonts w:hint="eastAsia"/>
                      <w:bCs/>
                      <w:color w:val="auto"/>
                      <w:highlight w:val="none"/>
                    </w:rPr>
                    <w:t xml:space="preserve">200</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890"/>
                    <w:spacing w:line="172" w:lineRule="atLeast"/>
                    <w:rPr>
                      <w:bCs/>
                      <w:color w:val="auto"/>
                      <w:highlight w:val="none"/>
                    </w:rPr>
                  </w:pPr>
                  <w:r>
                    <w:rPr>
                      <w:rFonts w:ascii="宋体"/>
                      <w:bCs/>
                      <w:color w:val="auto"/>
                      <w:highlight w:val="none"/>
                    </w:rPr>
                    <w:t xml:space="preserve">个</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890"/>
                    <w:spacing w:line="172" w:lineRule="atLeast"/>
                    <w:rPr>
                      <w:bCs/>
                      <w:color w:val="auto"/>
                      <w:highlight w:val="none"/>
                    </w:rPr>
                  </w:pPr>
                  <w:r>
                    <w:rPr>
                      <w:rFonts w:ascii="宋体"/>
                      <w:bCs/>
                      <w:color w:val="auto"/>
                      <w:highlight w:val="none"/>
                    </w:rPr>
                    <w:t xml:space="preserve">与动静态顶空进样器配套，透明瓶</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890"/>
                    <w:spacing w:line="172" w:lineRule="atLeast"/>
                    <w:rPr>
                      <w:bCs/>
                      <w:color w:val="auto"/>
                      <w:highlight w:val="none"/>
                    </w:rPr>
                  </w:pPr>
                  <w:r>
                    <w:rPr>
                      <w:rFonts w:hint="eastAsia"/>
                      <w:bCs/>
                      <w:color w:val="auto"/>
                      <w:highlight w:val="none"/>
                    </w:rPr>
                    <w:t xml:space="preserve">9</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890"/>
                    <w:spacing w:line="172" w:lineRule="atLeast"/>
                    <w:rPr>
                      <w:bCs/>
                      <w:color w:val="auto"/>
                      <w:highlight w:val="none"/>
                    </w:rPr>
                  </w:pPr>
                  <w:r>
                    <w:rPr>
                      <w:rFonts w:ascii="宋体"/>
                      <w:bCs/>
                      <w:color w:val="auto"/>
                      <w:highlight w:val="none"/>
                    </w:rPr>
                    <w:t xml:space="preserve">小推车</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890"/>
                    <w:spacing w:line="172" w:lineRule="atLeast"/>
                    <w:rPr>
                      <w:bCs/>
                      <w:color w:val="auto"/>
                      <w:highlight w:val="none"/>
                    </w:rPr>
                  </w:pPr>
                  <w:r>
                    <w:rPr>
                      <w:rFonts w:hint="eastAsia"/>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890"/>
                    <w:spacing w:line="172" w:lineRule="atLeast"/>
                    <w:rPr>
                      <w:bCs/>
                      <w:color w:val="auto"/>
                      <w:highlight w:val="none"/>
                    </w:rPr>
                  </w:pPr>
                  <w:r>
                    <w:rPr>
                      <w:rFonts w:ascii="宋体"/>
                      <w:bCs/>
                      <w:color w:val="auto"/>
                      <w:highlight w:val="none"/>
                    </w:rPr>
                    <w:t xml:space="preserve">台</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890"/>
                    <w:spacing w:line="172" w:lineRule="atLeast"/>
                    <w:rPr>
                      <w:bCs/>
                      <w:color w:val="auto"/>
                      <w:highlight w:val="none"/>
                    </w:rPr>
                  </w:pPr>
                  <w:r>
                    <w:rPr>
                      <w:rFonts w:ascii="宋体"/>
                      <w:bCs/>
                      <w:color w:val="auto"/>
                      <w:highlight w:val="none"/>
                    </w:rPr>
                    <w:t xml:space="preserve">与便携气质主机配套使用</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890"/>
                    <w:spacing w:line="172" w:lineRule="atLeast"/>
                    <w:rPr>
                      <w:bCs/>
                      <w:color w:val="auto"/>
                      <w:highlight w:val="none"/>
                    </w:rPr>
                  </w:pPr>
                  <w:r>
                    <w:rPr>
                      <w:rFonts w:hint="eastAsia"/>
                      <w:bCs/>
                      <w:color w:val="auto"/>
                      <w:highlight w:val="none"/>
                    </w:rPr>
                    <w:t xml:space="preserve">10</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890"/>
                    <w:spacing w:line="172" w:lineRule="atLeast"/>
                    <w:rPr>
                      <w:bCs/>
                      <w:color w:val="auto"/>
                      <w:highlight w:val="none"/>
                    </w:rPr>
                  </w:pPr>
                  <w:r>
                    <w:rPr>
                      <w:rFonts w:ascii="宋体"/>
                      <w:bCs/>
                      <w:color w:val="auto"/>
                      <w:highlight w:val="none"/>
                    </w:rPr>
                    <w:t xml:space="preserve">顶空瓶垫片</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890"/>
                    <w:spacing w:line="172" w:lineRule="atLeast"/>
                    <w:rPr>
                      <w:bCs/>
                      <w:color w:val="auto"/>
                      <w:highlight w:val="none"/>
                    </w:rPr>
                  </w:pPr>
                  <w:r>
                    <w:rPr>
                      <w:rFonts w:hint="eastAsia"/>
                      <w:bCs/>
                      <w:color w:val="auto"/>
                      <w:highlight w:val="none"/>
                    </w:rPr>
                    <w:t xml:space="preserve">1000</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890"/>
                    <w:spacing w:line="172" w:lineRule="atLeast"/>
                    <w:rPr>
                      <w:bCs/>
                      <w:color w:val="auto"/>
                      <w:highlight w:val="none"/>
                    </w:rPr>
                  </w:pPr>
                  <w:r>
                    <w:rPr>
                      <w:rFonts w:ascii="宋体"/>
                      <w:bCs/>
                      <w:color w:val="auto"/>
                      <w:highlight w:val="none"/>
                    </w:rPr>
                    <w:t xml:space="preserve">片</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890"/>
                    <w:spacing w:line="172" w:lineRule="atLeast"/>
                    <w:rPr>
                      <w:bCs/>
                      <w:color w:val="auto"/>
                      <w:highlight w:val="none"/>
                    </w:rPr>
                  </w:pPr>
                  <w:r>
                    <w:rPr>
                      <w:rFonts w:ascii="宋体"/>
                      <w:bCs/>
                      <w:color w:val="auto"/>
                      <w:highlight w:val="none"/>
                    </w:rPr>
                    <w:t xml:space="preserve">与40ml顶空瓶配套使用</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890"/>
                    <w:spacing w:line="172" w:lineRule="atLeast"/>
                    <w:rPr>
                      <w:bCs/>
                      <w:color w:val="auto"/>
                      <w:highlight w:val="none"/>
                    </w:rPr>
                  </w:pPr>
                  <w:r>
                    <w:rPr>
                      <w:rFonts w:hint="eastAsia"/>
                      <w:bCs/>
                      <w:color w:val="auto"/>
                      <w:highlight w:val="none"/>
                    </w:rPr>
                    <w:t xml:space="preserve">11</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890"/>
                    <w:spacing w:line="172" w:lineRule="atLeast"/>
                    <w:rPr>
                      <w:bCs/>
                      <w:color w:val="auto"/>
                      <w:highlight w:val="none"/>
                    </w:rPr>
                  </w:pPr>
                  <w:r>
                    <w:rPr>
                      <w:rFonts w:hint="eastAsia"/>
                      <w:bCs/>
                      <w:color w:val="auto"/>
                      <w:highlight w:val="none"/>
                    </w:rPr>
                    <w:t xml:space="preserve">HJ 1223</w:t>
                  </w:r>
                  <w:r>
                    <w:rPr>
                      <w:rFonts w:ascii="宋体"/>
                      <w:bCs/>
                      <w:color w:val="auto"/>
                      <w:highlight w:val="none"/>
                    </w:rPr>
                    <w:t xml:space="preserve">标气</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890"/>
                    <w:spacing w:line="172" w:lineRule="atLeast"/>
                    <w:rPr>
                      <w:bCs/>
                      <w:color w:val="auto"/>
                      <w:highlight w:val="none"/>
                    </w:rPr>
                  </w:pPr>
                  <w:r>
                    <w:rPr>
                      <w:rFonts w:hint="eastAsia"/>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890"/>
                    <w:spacing w:line="172" w:lineRule="atLeast"/>
                    <w:rPr>
                      <w:bCs/>
                      <w:color w:val="auto"/>
                      <w:highlight w:val="none"/>
                    </w:rPr>
                  </w:pPr>
                  <w:r>
                    <w:rPr>
                      <w:rFonts w:ascii="宋体"/>
                      <w:bCs/>
                      <w:color w:val="auto"/>
                      <w:highlight w:val="none"/>
                    </w:rPr>
                    <w:t xml:space="preserve">瓶</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890"/>
                    <w:spacing w:line="172" w:lineRule="atLeast"/>
                    <w:rPr>
                      <w:bCs/>
                      <w:color w:val="auto"/>
                      <w:highlight w:val="none"/>
                    </w:rPr>
                  </w:pPr>
                  <w:r>
                    <w:rPr>
                      <w:rFonts w:hint="eastAsia"/>
                      <w:bCs/>
                      <w:color w:val="auto"/>
                      <w:highlight w:val="none"/>
                    </w:rPr>
                    <w:t xml:space="preserve">52</w:t>
                  </w:r>
                  <w:r>
                    <w:rPr>
                      <w:rFonts w:ascii="宋体"/>
                      <w:bCs/>
                      <w:color w:val="auto"/>
                      <w:highlight w:val="none"/>
                    </w:rPr>
                    <w:t xml:space="preserve">组分的1ppm的2L标气</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890"/>
                    <w:spacing w:line="172" w:lineRule="atLeast"/>
                    <w:rPr>
                      <w:bCs/>
                      <w:color w:val="auto"/>
                      <w:highlight w:val="none"/>
                    </w:rPr>
                  </w:pPr>
                  <w:r>
                    <w:rPr>
                      <w:rFonts w:hint="eastAsia"/>
                      <w:bCs/>
                      <w:color w:val="auto"/>
                      <w:highlight w:val="none"/>
                    </w:rPr>
                    <w:t xml:space="preserve">12</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890"/>
                    <w:spacing w:line="172" w:lineRule="atLeast"/>
                    <w:rPr>
                      <w:bCs/>
                      <w:color w:val="auto"/>
                      <w:highlight w:val="none"/>
                    </w:rPr>
                  </w:pPr>
                  <w:r>
                    <w:rPr>
                      <w:rFonts w:hint="eastAsia"/>
                      <w:bCs/>
                      <w:color w:val="auto"/>
                      <w:highlight w:val="none"/>
                    </w:rPr>
                    <w:t xml:space="preserve">HJ 1227</w:t>
                  </w:r>
                  <w:r>
                    <w:rPr>
                      <w:rFonts w:ascii="宋体"/>
                      <w:bCs/>
                      <w:color w:val="auto"/>
                      <w:highlight w:val="none"/>
                    </w:rPr>
                    <w:t xml:space="preserve">标液</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890"/>
                    <w:spacing w:line="172" w:lineRule="atLeast"/>
                    <w:rPr>
                      <w:bCs/>
                      <w:color w:val="auto"/>
                      <w:highlight w:val="none"/>
                    </w:rPr>
                  </w:pPr>
                  <w:r>
                    <w:rPr>
                      <w:rFonts w:hint="eastAsia"/>
                      <w:bCs/>
                      <w:color w:val="auto"/>
                      <w:highlight w:val="none"/>
                    </w:rPr>
                    <w:t xml:space="preserve">10</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890"/>
                    <w:spacing w:line="172" w:lineRule="atLeast"/>
                    <w:rPr>
                      <w:bCs/>
                      <w:color w:val="auto"/>
                      <w:highlight w:val="none"/>
                    </w:rPr>
                  </w:pPr>
                  <w:r>
                    <w:rPr>
                      <w:rFonts w:ascii="宋体"/>
                      <w:bCs/>
                      <w:color w:val="auto"/>
                      <w:highlight w:val="none"/>
                    </w:rPr>
                    <w:t xml:space="preserve">瓶</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890"/>
                    <w:spacing w:line="172" w:lineRule="atLeast"/>
                    <w:rPr>
                      <w:bCs/>
                      <w:color w:val="auto"/>
                      <w:highlight w:val="none"/>
                    </w:rPr>
                  </w:pPr>
                  <w:r>
                    <w:rPr>
                      <w:rFonts w:hint="eastAsia"/>
                      <w:bCs/>
                      <w:color w:val="auto"/>
                      <w:highlight w:val="none"/>
                    </w:rPr>
                    <w:t xml:space="preserve">56</w:t>
                  </w:r>
                  <w:r>
                    <w:rPr>
                      <w:rFonts w:ascii="宋体"/>
                      <w:bCs/>
                      <w:color w:val="auto"/>
                      <w:highlight w:val="none"/>
                    </w:rPr>
                    <w:t xml:space="preserve">组分的1ml的标液</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890"/>
                    <w:spacing w:line="172" w:lineRule="atLeast"/>
                    <w:rPr>
                      <w:bCs/>
                      <w:color w:val="auto"/>
                      <w:highlight w:val="none"/>
                    </w:rPr>
                  </w:pPr>
                  <w:r>
                    <w:rPr>
                      <w:rFonts w:hint="eastAsia"/>
                      <w:bCs/>
                      <w:color w:val="auto"/>
                      <w:highlight w:val="none"/>
                    </w:rPr>
                    <w:t xml:space="preserve">13</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890"/>
                    <w:spacing w:line="172" w:lineRule="atLeast"/>
                    <w:rPr>
                      <w:bCs/>
                      <w:color w:val="auto"/>
                      <w:highlight w:val="none"/>
                    </w:rPr>
                  </w:pPr>
                  <w:r>
                    <w:rPr>
                      <w:rFonts w:ascii="宋体"/>
                      <w:bCs/>
                      <w:color w:val="auto"/>
                      <w:highlight w:val="none"/>
                    </w:rPr>
                    <w:t xml:space="preserve">移液枪10mL</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890"/>
                    <w:spacing w:line="172" w:lineRule="atLeast"/>
                    <w:rPr>
                      <w:bCs/>
                      <w:color w:val="auto"/>
                      <w:highlight w:val="none"/>
                    </w:rPr>
                  </w:pPr>
                  <w:r>
                    <w:rPr>
                      <w:rFonts w:hint="eastAsia"/>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890"/>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890"/>
                    <w:spacing w:line="172" w:lineRule="atLeast"/>
                    <w:rPr>
                      <w:bCs/>
                      <w:color w:val="auto"/>
                      <w:highlight w:val="none"/>
                    </w:rPr>
                  </w:pPr>
                  <w:r>
                    <w:rPr>
                      <w:rFonts w:ascii="宋体"/>
                      <w:bCs/>
                      <w:color w:val="auto"/>
                      <w:highlight w:val="none"/>
                    </w:rPr>
                    <w:t xml:space="preserve">保证高精确性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890"/>
                    <w:spacing w:line="172" w:lineRule="atLeast"/>
                    <w:rPr>
                      <w:bCs/>
                      <w:color w:val="auto"/>
                      <w:highlight w:val="none"/>
                    </w:rPr>
                  </w:pPr>
                  <w:r>
                    <w:rPr>
                      <w:rFonts w:hint="eastAsia"/>
                      <w:bCs/>
                      <w:color w:val="auto"/>
                      <w:highlight w:val="none"/>
                    </w:rPr>
                    <w:t xml:space="preserve">14</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890"/>
                    <w:spacing w:line="172" w:lineRule="atLeast"/>
                    <w:rPr>
                      <w:bCs/>
                      <w:color w:val="auto"/>
                      <w:highlight w:val="none"/>
                    </w:rPr>
                  </w:pPr>
                  <w:r>
                    <w:rPr>
                      <w:rFonts w:ascii="宋体"/>
                      <w:bCs/>
                      <w:color w:val="auto"/>
                      <w:highlight w:val="none"/>
                    </w:rPr>
                    <w:t xml:space="preserve">配套10mL枪头</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890"/>
                    <w:spacing w:line="172" w:lineRule="atLeast"/>
                    <w:rPr>
                      <w:bCs/>
                      <w:color w:val="auto"/>
                      <w:highlight w:val="none"/>
                    </w:rPr>
                  </w:pPr>
                  <w:r>
                    <w:rPr>
                      <w:rFonts w:hint="eastAsia"/>
                      <w:bCs/>
                      <w:color w:val="auto"/>
                      <w:highlight w:val="none"/>
                    </w:rPr>
                    <w:t xml:space="preserve">600</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890"/>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890"/>
                    <w:spacing w:line="172" w:lineRule="atLeast"/>
                    <w:rPr>
                      <w:bCs/>
                      <w:color w:val="auto"/>
                      <w:highlight w:val="none"/>
                    </w:rPr>
                  </w:pPr>
                  <w:r>
                    <w:rPr>
                      <w:bCs/>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890"/>
                    <w:spacing w:line="172" w:lineRule="atLeast"/>
                    <w:rPr>
                      <w:bCs/>
                      <w:color w:val="auto"/>
                      <w:highlight w:val="none"/>
                    </w:rPr>
                  </w:pPr>
                  <w:r>
                    <w:rPr>
                      <w:rFonts w:hint="eastAsia"/>
                      <w:bCs/>
                      <w:color w:val="auto"/>
                      <w:highlight w:val="none"/>
                    </w:rPr>
                    <w:t xml:space="preserve">15</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890"/>
                    <w:spacing w:line="172" w:lineRule="atLeast"/>
                    <w:rPr>
                      <w:bCs/>
                      <w:color w:val="auto"/>
                      <w:highlight w:val="none"/>
                    </w:rPr>
                  </w:pPr>
                  <w:r>
                    <w:rPr>
                      <w:rFonts w:ascii="宋体"/>
                      <w:bCs/>
                      <w:color w:val="auto"/>
                      <w:highlight w:val="none"/>
                    </w:rPr>
                    <w:t xml:space="preserve">移液枪1000μL</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890"/>
                    <w:spacing w:line="172" w:lineRule="atLeast"/>
                    <w:rPr>
                      <w:bCs/>
                      <w:color w:val="auto"/>
                      <w:highlight w:val="none"/>
                    </w:rPr>
                  </w:pPr>
                  <w:r>
                    <w:rPr>
                      <w:rFonts w:hint="eastAsia"/>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890"/>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890"/>
                    <w:spacing w:line="172" w:lineRule="atLeast"/>
                    <w:rPr>
                      <w:bCs/>
                      <w:color w:val="auto"/>
                      <w:highlight w:val="none"/>
                    </w:rPr>
                  </w:pPr>
                  <w:r>
                    <w:rPr>
                      <w:rFonts w:ascii="宋体"/>
                      <w:bCs/>
                      <w:color w:val="auto"/>
                      <w:highlight w:val="none"/>
                    </w:rPr>
                    <w:t xml:space="preserve">耐有机溶剂型移液枪，外置活塞式吸嘴，在移取粘稠的、易挥发的、危险性样品时，保证高精确性。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890"/>
                    <w:spacing w:line="172" w:lineRule="atLeast"/>
                    <w:rPr>
                      <w:bCs/>
                      <w:color w:val="auto"/>
                      <w:highlight w:val="none"/>
                    </w:rPr>
                  </w:pPr>
                  <w:r>
                    <w:rPr>
                      <w:rFonts w:hint="eastAsia"/>
                      <w:bCs/>
                      <w:color w:val="auto"/>
                      <w:highlight w:val="none"/>
                    </w:rPr>
                    <w:t xml:space="preserve">16</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890"/>
                    <w:spacing w:line="172" w:lineRule="atLeast"/>
                    <w:rPr>
                      <w:bCs/>
                      <w:color w:val="auto"/>
                      <w:highlight w:val="none"/>
                    </w:rPr>
                  </w:pPr>
                  <w:r>
                    <w:rPr>
                      <w:rFonts w:ascii="宋体"/>
                      <w:bCs/>
                      <w:color w:val="auto"/>
                      <w:highlight w:val="none"/>
                    </w:rPr>
                    <w:t xml:space="preserve">配套1000μL枪头</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890"/>
                    <w:spacing w:line="172" w:lineRule="atLeast"/>
                    <w:rPr>
                      <w:bCs/>
                      <w:color w:val="auto"/>
                      <w:highlight w:val="none"/>
                    </w:rPr>
                  </w:pPr>
                  <w:r>
                    <w:rPr>
                      <w:rFonts w:hint="eastAsia"/>
                      <w:bCs/>
                      <w:color w:val="auto"/>
                      <w:highlight w:val="none"/>
                    </w:rPr>
                    <w:t xml:space="preserve">960</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890"/>
                    <w:spacing w:line="172" w:lineRule="atLeast"/>
                    <w:rPr>
                      <w:bCs/>
                      <w:color w:val="auto"/>
                      <w:highlight w:val="none"/>
                    </w:rPr>
                  </w:pPr>
                  <w:r>
                    <w:rPr>
                      <w:rFonts w:ascii="宋体"/>
                      <w:bCs/>
                      <w:color w:val="auto"/>
                      <w:highlight w:val="none"/>
                    </w:rPr>
                    <w:t xml:space="preserve">个</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890"/>
                    <w:spacing w:line="172" w:lineRule="atLeast"/>
                    <w:rPr>
                      <w:bCs/>
                      <w:color w:val="auto"/>
                      <w:highlight w:val="none"/>
                    </w:rPr>
                  </w:pPr>
                  <w:r>
                    <w:rPr>
                      <w:rFonts w:ascii="宋体"/>
                      <w:bCs/>
                      <w:color w:val="auto"/>
                      <w:highlight w:val="none"/>
                    </w:rPr>
                    <w:t xml:space="preserve">不少于960个</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890"/>
                    <w:spacing w:line="172" w:lineRule="atLeast"/>
                    <w:rPr>
                      <w:bCs/>
                      <w:color w:val="auto"/>
                      <w:highlight w:val="none"/>
                    </w:rPr>
                  </w:pPr>
                  <w:r>
                    <w:rPr>
                      <w:rFonts w:hint="eastAsia"/>
                      <w:bCs/>
                      <w:color w:val="auto"/>
                      <w:highlight w:val="none"/>
                    </w:rPr>
                    <w:t xml:space="preserve">17</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890"/>
                    <w:spacing w:line="172" w:lineRule="atLeast"/>
                    <w:rPr>
                      <w:bCs/>
                      <w:color w:val="auto"/>
                      <w:highlight w:val="none"/>
                    </w:rPr>
                  </w:pPr>
                  <w:r>
                    <w:rPr>
                      <w:rFonts w:ascii="宋体"/>
                      <w:bCs/>
                      <w:color w:val="auto"/>
                      <w:highlight w:val="none"/>
                    </w:rPr>
                    <w:t xml:space="preserve">移液枪100μL</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890"/>
                    <w:spacing w:line="172" w:lineRule="atLeast"/>
                    <w:rPr>
                      <w:bCs/>
                      <w:color w:val="auto"/>
                      <w:highlight w:val="none"/>
                    </w:rPr>
                  </w:pPr>
                  <w:r>
                    <w:rPr>
                      <w:rFonts w:hint="eastAsia"/>
                      <w:bCs/>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890"/>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890"/>
                    <w:spacing w:line="172" w:lineRule="atLeast"/>
                    <w:rPr>
                      <w:bCs/>
                      <w:color w:val="auto"/>
                      <w:highlight w:val="none"/>
                    </w:rPr>
                  </w:pPr>
                  <w:r>
                    <w:rPr>
                      <w:rFonts w:ascii="宋体"/>
                      <w:bCs/>
                      <w:color w:val="auto"/>
                      <w:highlight w:val="none"/>
                    </w:rPr>
                    <w:t xml:space="preserve">耐有机溶剂型移液枪，外置活塞式吸嘴，在移取粘稠的、易挥发的、危险性样品时，保证高精确性。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890"/>
                    <w:spacing w:line="172" w:lineRule="atLeast"/>
                    <w:rPr>
                      <w:bCs/>
                      <w:color w:val="auto"/>
                      <w:highlight w:val="none"/>
                    </w:rPr>
                  </w:pPr>
                  <w:r>
                    <w:rPr>
                      <w:rFonts w:hint="eastAsia"/>
                      <w:bCs/>
                      <w:color w:val="auto"/>
                      <w:highlight w:val="none"/>
                    </w:rPr>
                    <w:t xml:space="preserve">18</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890"/>
                    <w:spacing w:line="172" w:lineRule="atLeast"/>
                    <w:rPr>
                      <w:bCs/>
                      <w:color w:val="auto"/>
                      <w:highlight w:val="none"/>
                    </w:rPr>
                  </w:pPr>
                  <w:r>
                    <w:rPr>
                      <w:rFonts w:ascii="宋体"/>
                      <w:bCs/>
                      <w:color w:val="auto"/>
                      <w:highlight w:val="none"/>
                    </w:rPr>
                    <w:t xml:space="preserve">配套100μL枪头</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890"/>
                    <w:spacing w:line="172" w:lineRule="atLeast"/>
                    <w:rPr>
                      <w:bCs/>
                      <w:color w:val="auto"/>
                      <w:highlight w:val="none"/>
                    </w:rPr>
                  </w:pPr>
                  <w:r>
                    <w:rPr>
                      <w:rFonts w:hint="eastAsia"/>
                      <w:bCs/>
                      <w:color w:val="auto"/>
                      <w:highlight w:val="none"/>
                    </w:rPr>
                    <w:t xml:space="preserve">960</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890"/>
                    <w:spacing w:line="172" w:lineRule="atLeast"/>
                    <w:rPr>
                      <w:bCs/>
                      <w:color w:val="auto"/>
                      <w:highlight w:val="none"/>
                    </w:rPr>
                  </w:pPr>
                  <w:r>
                    <w:rPr>
                      <w:rFonts w:ascii="宋体"/>
                      <w:bCs/>
                      <w:color w:val="auto"/>
                      <w:highlight w:val="none"/>
                    </w:rPr>
                    <w:t xml:space="preserve">个</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890"/>
                    <w:spacing w:line="172" w:lineRule="atLeast"/>
                    <w:rPr>
                      <w:bCs/>
                      <w:color w:val="auto"/>
                      <w:highlight w:val="none"/>
                    </w:rPr>
                  </w:pPr>
                  <w:r>
                    <w:rPr>
                      <w:rFonts w:ascii="宋体"/>
                      <w:bCs/>
                      <w:color w:val="auto"/>
                      <w:highlight w:val="none"/>
                    </w:rPr>
                    <w:t xml:space="preserve">不少于960个</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890"/>
                    <w:spacing w:line="172" w:lineRule="atLeast"/>
                    <w:rPr>
                      <w:bCs/>
                      <w:color w:val="auto"/>
                      <w:highlight w:val="none"/>
                    </w:rPr>
                  </w:pPr>
                  <w:r>
                    <w:rPr>
                      <w:rFonts w:hint="eastAsia"/>
                      <w:bCs/>
                      <w:color w:val="auto"/>
                      <w:highlight w:val="none"/>
                    </w:rPr>
                    <w:t xml:space="preserve">19</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890"/>
                    <w:spacing w:line="172" w:lineRule="atLeast"/>
                    <w:rPr>
                      <w:bCs/>
                      <w:color w:val="auto"/>
                      <w:highlight w:val="none"/>
                    </w:rPr>
                  </w:pPr>
                  <w:r>
                    <w:rPr>
                      <w:rFonts w:ascii="宋体"/>
                      <w:bCs/>
                      <w:color w:val="auto"/>
                      <w:highlight w:val="none"/>
                    </w:rPr>
                    <w:t xml:space="preserve">移液枪50μL</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890"/>
                    <w:spacing w:line="172" w:lineRule="atLeast"/>
                    <w:rPr>
                      <w:bCs/>
                      <w:color w:val="auto"/>
                      <w:highlight w:val="none"/>
                    </w:rPr>
                  </w:pPr>
                  <w:r>
                    <w:rPr>
                      <w:rFonts w:hint="eastAsia"/>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890"/>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890"/>
                    <w:spacing w:line="172" w:lineRule="atLeast"/>
                    <w:rPr>
                      <w:bCs/>
                      <w:color w:val="auto"/>
                      <w:highlight w:val="none"/>
                    </w:rPr>
                  </w:pPr>
                  <w:r>
                    <w:rPr>
                      <w:rFonts w:ascii="宋体"/>
                      <w:bCs/>
                      <w:color w:val="auto"/>
                      <w:highlight w:val="none"/>
                    </w:rPr>
                    <w:t xml:space="preserve">耐有机溶剂型移液枪，外置活塞式吸嘴，在移取粘稠的、易挥发的、危险性样品时，保证高精确性。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890"/>
                    <w:spacing w:line="172" w:lineRule="atLeast"/>
                    <w:rPr>
                      <w:bCs/>
                      <w:color w:val="auto"/>
                      <w:highlight w:val="none"/>
                    </w:rPr>
                  </w:pPr>
                  <w:r>
                    <w:rPr>
                      <w:rFonts w:hint="eastAsia"/>
                      <w:bCs/>
                      <w:color w:val="auto"/>
                      <w:highlight w:val="none"/>
                    </w:rPr>
                    <w:t xml:space="preserve">20</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890"/>
                    <w:spacing w:line="172" w:lineRule="atLeast"/>
                    <w:rPr>
                      <w:bCs/>
                      <w:color w:val="auto"/>
                      <w:highlight w:val="none"/>
                    </w:rPr>
                  </w:pPr>
                  <w:r>
                    <w:rPr>
                      <w:rFonts w:ascii="宋体"/>
                      <w:bCs/>
                      <w:color w:val="auto"/>
                      <w:highlight w:val="none"/>
                    </w:rPr>
                    <w:t xml:space="preserve">配套50μL枪头</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890"/>
                    <w:spacing w:line="172" w:lineRule="atLeast"/>
                    <w:rPr>
                      <w:bCs/>
                      <w:color w:val="auto"/>
                      <w:highlight w:val="none"/>
                    </w:rPr>
                  </w:pPr>
                  <w:r>
                    <w:rPr>
                      <w:rFonts w:hint="eastAsia"/>
                      <w:bCs/>
                      <w:color w:val="auto"/>
                      <w:highlight w:val="none"/>
                    </w:rPr>
                    <w:t xml:space="preserve">960</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890"/>
                    <w:spacing w:line="172" w:lineRule="atLeast"/>
                    <w:rPr>
                      <w:bCs/>
                      <w:color w:val="auto"/>
                      <w:highlight w:val="none"/>
                    </w:rPr>
                  </w:pPr>
                  <w:r>
                    <w:rPr>
                      <w:rFonts w:ascii="宋体"/>
                      <w:bCs/>
                      <w:color w:val="auto"/>
                      <w:highlight w:val="none"/>
                    </w:rPr>
                    <w:t xml:space="preserve">个</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890"/>
                    <w:spacing w:line="172" w:lineRule="atLeast"/>
                    <w:rPr>
                      <w:bCs/>
                      <w:color w:val="auto"/>
                      <w:highlight w:val="none"/>
                    </w:rPr>
                  </w:pPr>
                  <w:r>
                    <w:rPr>
                      <w:rFonts w:ascii="宋体"/>
                      <w:bCs/>
                      <w:color w:val="auto"/>
                      <w:highlight w:val="none"/>
                    </w:rPr>
                    <w:t xml:space="preserve">不少于960个</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890"/>
                    <w:spacing w:line="172" w:lineRule="atLeast"/>
                    <w:rPr>
                      <w:bCs/>
                      <w:color w:val="auto"/>
                      <w:highlight w:val="none"/>
                    </w:rPr>
                  </w:pPr>
                  <w:r>
                    <w:rPr>
                      <w:rFonts w:hint="eastAsia"/>
                      <w:bCs/>
                      <w:color w:val="auto"/>
                      <w:highlight w:val="none"/>
                    </w:rPr>
                    <w:t xml:space="preserve">21</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890"/>
                    <w:spacing w:line="172" w:lineRule="atLeast"/>
                    <w:rPr>
                      <w:bCs/>
                      <w:color w:val="auto"/>
                      <w:highlight w:val="none"/>
                    </w:rPr>
                  </w:pPr>
                  <w:r>
                    <w:rPr>
                      <w:rFonts w:ascii="宋体"/>
                      <w:bCs/>
                      <w:color w:val="auto"/>
                      <w:highlight w:val="none"/>
                    </w:rPr>
                    <w:t xml:space="preserve">移液枪10μL</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890"/>
                    <w:spacing w:line="172" w:lineRule="atLeast"/>
                    <w:rPr>
                      <w:bCs/>
                      <w:color w:val="auto"/>
                      <w:highlight w:val="none"/>
                    </w:rPr>
                  </w:pPr>
                  <w:r>
                    <w:rPr>
                      <w:rFonts w:hint="eastAsia"/>
                      <w:bCs/>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890"/>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890"/>
                    <w:spacing w:line="172" w:lineRule="atLeast"/>
                    <w:rPr>
                      <w:bCs/>
                      <w:color w:val="auto"/>
                      <w:highlight w:val="none"/>
                    </w:rPr>
                  </w:pPr>
                  <w:r>
                    <w:rPr>
                      <w:rFonts w:ascii="宋体"/>
                      <w:bCs/>
                      <w:color w:val="auto"/>
                      <w:highlight w:val="none"/>
                    </w:rPr>
                    <w:t xml:space="preserve">耐有机溶剂型移液枪，外置活塞式吸嘴，在移取粘稠的、易挥发的、危险性样品时，保证高精确性。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890"/>
                    <w:spacing w:line="172" w:lineRule="atLeast"/>
                    <w:rPr>
                      <w:bCs/>
                      <w:color w:val="auto"/>
                      <w:highlight w:val="none"/>
                    </w:rPr>
                  </w:pPr>
                  <w:r>
                    <w:rPr>
                      <w:rFonts w:hint="eastAsia"/>
                      <w:bCs/>
                      <w:color w:val="auto"/>
                      <w:highlight w:val="none"/>
                    </w:rPr>
                    <w:t xml:space="preserve">22</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890"/>
                    <w:spacing w:line="172" w:lineRule="atLeast"/>
                    <w:rPr>
                      <w:bCs/>
                      <w:color w:val="auto"/>
                      <w:highlight w:val="none"/>
                    </w:rPr>
                  </w:pPr>
                  <w:r>
                    <w:rPr>
                      <w:rFonts w:ascii="宋体"/>
                      <w:bCs/>
                      <w:color w:val="auto"/>
                      <w:highlight w:val="none"/>
                    </w:rPr>
                    <w:t xml:space="preserve">配套10μL枪头</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890"/>
                    <w:spacing w:line="172" w:lineRule="atLeast"/>
                    <w:rPr>
                      <w:bCs/>
                      <w:color w:val="auto"/>
                      <w:highlight w:val="none"/>
                    </w:rPr>
                  </w:pPr>
                  <w:r>
                    <w:rPr>
                      <w:rFonts w:hint="eastAsia"/>
                      <w:bCs/>
                      <w:color w:val="auto"/>
                      <w:highlight w:val="none"/>
                    </w:rPr>
                    <w:t xml:space="preserve">960</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890"/>
                    <w:spacing w:line="172" w:lineRule="atLeast"/>
                    <w:rPr>
                      <w:bCs/>
                      <w:color w:val="auto"/>
                      <w:highlight w:val="none"/>
                    </w:rPr>
                  </w:pPr>
                  <w:r>
                    <w:rPr>
                      <w:rFonts w:ascii="宋体"/>
                      <w:bCs/>
                      <w:color w:val="auto"/>
                      <w:highlight w:val="none"/>
                    </w:rPr>
                    <w:t xml:space="preserve">个</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890"/>
                    <w:spacing w:line="172" w:lineRule="atLeast"/>
                    <w:rPr>
                      <w:bCs/>
                      <w:color w:val="auto"/>
                      <w:highlight w:val="none"/>
                    </w:rPr>
                  </w:pPr>
                  <w:r>
                    <w:rPr>
                      <w:rFonts w:ascii="宋体"/>
                      <w:bCs/>
                      <w:color w:val="auto"/>
                      <w:highlight w:val="none"/>
                    </w:rPr>
                    <w:t xml:space="preserve">不少于960个</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890"/>
                    <w:spacing w:line="172" w:lineRule="atLeast"/>
                    <w:rPr>
                      <w:bCs/>
                      <w:color w:val="auto"/>
                      <w:highlight w:val="none"/>
                    </w:rPr>
                  </w:pPr>
                  <w:r>
                    <w:rPr>
                      <w:rFonts w:hint="eastAsia"/>
                      <w:bCs/>
                      <w:color w:val="auto"/>
                      <w:highlight w:val="none"/>
                    </w:rPr>
                    <w:t xml:space="preserve">23</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890"/>
                    <w:spacing w:line="172" w:lineRule="atLeast"/>
                    <w:rPr>
                      <w:bCs/>
                      <w:color w:val="auto"/>
                      <w:highlight w:val="none"/>
                    </w:rPr>
                  </w:pPr>
                  <w:r>
                    <w:rPr>
                      <w:rFonts w:ascii="宋体"/>
                      <w:bCs/>
                      <w:color w:val="auto"/>
                      <w:highlight w:val="none"/>
                    </w:rPr>
                    <w:t xml:space="preserve">移液枪支架</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890"/>
                    <w:spacing w:line="172" w:lineRule="atLeast"/>
                    <w:rPr>
                      <w:bCs/>
                      <w:color w:val="auto"/>
                      <w:highlight w:val="none"/>
                    </w:rPr>
                  </w:pPr>
                  <w:r>
                    <w:rPr>
                      <w:rFonts w:hint="eastAsia"/>
                      <w:bCs/>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890"/>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890"/>
                    <w:spacing w:line="172" w:lineRule="atLeast"/>
                    <w:rPr>
                      <w:bCs/>
                      <w:color w:val="auto"/>
                      <w:highlight w:val="none"/>
                    </w:rPr>
                  </w:pPr>
                  <w:r>
                    <w:rPr>
                      <w:rFonts w:ascii="宋体"/>
                      <w:bCs/>
                      <w:color w:val="auto"/>
                      <w:highlight w:val="none"/>
                    </w:rPr>
                    <w:t xml:space="preserve">便于移液枪竖直放置</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890"/>
                    <w:spacing w:line="172" w:lineRule="atLeast"/>
                    <w:rPr>
                      <w:bCs/>
                      <w:color w:val="auto"/>
                      <w:highlight w:val="none"/>
                    </w:rPr>
                  </w:pPr>
                  <w:r>
                    <w:rPr>
                      <w:rFonts w:hint="eastAsia"/>
                      <w:bCs/>
                      <w:color w:val="auto"/>
                      <w:highlight w:val="none"/>
                    </w:rPr>
                    <w:t xml:space="preserve">24</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890"/>
                    <w:spacing w:line="172" w:lineRule="atLeast"/>
                    <w:rPr>
                      <w:bCs/>
                      <w:color w:val="auto"/>
                      <w:highlight w:val="none"/>
                    </w:rPr>
                  </w:pPr>
                  <w:r>
                    <w:rPr>
                      <w:rFonts w:ascii="宋体"/>
                      <w:bCs/>
                      <w:color w:val="auto"/>
                      <w:highlight w:val="none"/>
                    </w:rPr>
                    <w:t xml:space="preserve">微量注射器1000μL</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890"/>
                    <w:spacing w:line="172" w:lineRule="atLeast"/>
                    <w:rPr>
                      <w:bCs/>
                      <w:color w:val="auto"/>
                      <w:highlight w:val="none"/>
                    </w:rPr>
                  </w:pPr>
                  <w:r>
                    <w:rPr>
                      <w:rFonts w:hint="eastAsia"/>
                      <w:bCs/>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890"/>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890"/>
                    <w:spacing w:line="172" w:lineRule="atLeast"/>
                    <w:rPr>
                      <w:bCs/>
                      <w:color w:val="auto"/>
                      <w:highlight w:val="none"/>
                    </w:rPr>
                  </w:pPr>
                  <w:r>
                    <w:rPr>
                      <w:rFonts w:ascii="宋体"/>
                      <w:bCs/>
                      <w:color w:val="auto"/>
                      <w:highlight w:val="none"/>
                    </w:rPr>
                    <w:t xml:space="preserve">保证高精确性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890"/>
                    <w:spacing w:line="172" w:lineRule="atLeast"/>
                    <w:rPr>
                      <w:bCs/>
                      <w:color w:val="auto"/>
                      <w:highlight w:val="none"/>
                    </w:rPr>
                  </w:pPr>
                  <w:r>
                    <w:rPr>
                      <w:rFonts w:hint="eastAsia"/>
                      <w:bCs/>
                      <w:color w:val="auto"/>
                      <w:highlight w:val="none"/>
                    </w:rPr>
                    <w:t xml:space="preserve">25</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890"/>
                    <w:spacing w:line="172" w:lineRule="atLeast"/>
                    <w:rPr>
                      <w:bCs/>
                      <w:color w:val="auto"/>
                      <w:highlight w:val="none"/>
                    </w:rPr>
                  </w:pPr>
                  <w:r>
                    <w:rPr>
                      <w:rFonts w:ascii="宋体"/>
                      <w:bCs/>
                      <w:color w:val="auto"/>
                      <w:highlight w:val="none"/>
                    </w:rPr>
                    <w:t xml:space="preserve">微量注射器100μL</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890"/>
                    <w:spacing w:line="172" w:lineRule="atLeast"/>
                    <w:rPr>
                      <w:bCs/>
                      <w:color w:val="auto"/>
                      <w:highlight w:val="none"/>
                    </w:rPr>
                  </w:pPr>
                  <w:r>
                    <w:rPr>
                      <w:rFonts w:hint="eastAsia"/>
                      <w:bCs/>
                      <w:color w:val="auto"/>
                      <w:highlight w:val="none"/>
                    </w:rPr>
                    <w:t xml:space="preserve">10</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890"/>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890"/>
                    <w:spacing w:line="172" w:lineRule="atLeast"/>
                    <w:rPr>
                      <w:bCs/>
                      <w:color w:val="auto"/>
                      <w:highlight w:val="none"/>
                    </w:rPr>
                  </w:pPr>
                  <w:r>
                    <w:rPr>
                      <w:rFonts w:ascii="宋体"/>
                      <w:bCs/>
                      <w:color w:val="auto"/>
                      <w:highlight w:val="none"/>
                    </w:rPr>
                    <w:t xml:space="preserve">保证高精确性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890"/>
                    <w:spacing w:line="172" w:lineRule="atLeast"/>
                    <w:rPr>
                      <w:bCs/>
                      <w:color w:val="auto"/>
                      <w:highlight w:val="none"/>
                    </w:rPr>
                  </w:pPr>
                  <w:r>
                    <w:rPr>
                      <w:rFonts w:hint="eastAsia"/>
                      <w:bCs/>
                      <w:color w:val="auto"/>
                      <w:highlight w:val="none"/>
                    </w:rPr>
                    <w:t xml:space="preserve">26</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890"/>
                    <w:spacing w:line="172" w:lineRule="atLeast"/>
                    <w:rPr>
                      <w:bCs/>
                      <w:color w:val="auto"/>
                      <w:highlight w:val="none"/>
                    </w:rPr>
                  </w:pPr>
                  <w:r>
                    <w:rPr>
                      <w:rFonts w:ascii="宋体"/>
                      <w:bCs/>
                      <w:color w:val="auto"/>
                      <w:highlight w:val="none"/>
                    </w:rPr>
                    <w:t xml:space="preserve">微量注射器10μL</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890"/>
                    <w:spacing w:line="172" w:lineRule="atLeast"/>
                    <w:rPr>
                      <w:bCs/>
                      <w:color w:val="auto"/>
                      <w:highlight w:val="none"/>
                    </w:rPr>
                  </w:pPr>
                  <w:r>
                    <w:rPr>
                      <w:rFonts w:hint="eastAsia"/>
                      <w:bCs/>
                      <w:color w:val="auto"/>
                      <w:highlight w:val="none"/>
                    </w:rPr>
                    <w:t xml:space="preserve">10</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890"/>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890"/>
                    <w:spacing w:line="172" w:lineRule="atLeast"/>
                    <w:rPr>
                      <w:bCs/>
                      <w:color w:val="auto"/>
                      <w:highlight w:val="none"/>
                    </w:rPr>
                  </w:pPr>
                  <w:r>
                    <w:rPr>
                      <w:rFonts w:ascii="宋体"/>
                      <w:bCs/>
                      <w:color w:val="auto"/>
                      <w:highlight w:val="none"/>
                    </w:rPr>
                    <w:t xml:space="preserve">保证高精确性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890"/>
                    <w:spacing w:line="172" w:lineRule="atLeast"/>
                    <w:rPr>
                      <w:bCs/>
                      <w:color w:val="auto"/>
                      <w:highlight w:val="none"/>
                    </w:rPr>
                  </w:pPr>
                  <w:r>
                    <w:rPr>
                      <w:rFonts w:hint="eastAsia"/>
                      <w:bCs/>
                      <w:color w:val="auto"/>
                      <w:highlight w:val="none"/>
                    </w:rPr>
                    <w:t xml:space="preserve">27</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890"/>
                    <w:spacing w:line="172" w:lineRule="atLeast"/>
                    <w:rPr>
                      <w:bCs/>
                      <w:color w:val="auto"/>
                      <w:highlight w:val="none"/>
                    </w:rPr>
                  </w:pPr>
                  <w:r>
                    <w:rPr>
                      <w:rFonts w:ascii="宋体"/>
                      <w:bCs/>
                      <w:color w:val="auto"/>
                      <w:highlight w:val="none"/>
                    </w:rPr>
                    <w:t xml:space="preserve">微量注射器5μL</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890"/>
                    <w:spacing w:line="172" w:lineRule="atLeast"/>
                    <w:rPr>
                      <w:bCs/>
                      <w:color w:val="auto"/>
                      <w:highlight w:val="none"/>
                    </w:rPr>
                  </w:pPr>
                  <w:r>
                    <w:rPr>
                      <w:rFonts w:hint="eastAsia"/>
                      <w:bCs/>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890"/>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890"/>
                    <w:spacing w:line="172" w:lineRule="atLeast"/>
                    <w:rPr>
                      <w:bCs/>
                      <w:color w:val="auto"/>
                      <w:highlight w:val="none"/>
                    </w:rPr>
                  </w:pPr>
                  <w:r>
                    <w:rPr>
                      <w:rFonts w:ascii="宋体"/>
                      <w:bCs/>
                      <w:color w:val="auto"/>
                      <w:highlight w:val="none"/>
                    </w:rPr>
                    <w:t xml:space="preserve">保证高精确性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890"/>
                    <w:spacing w:line="172" w:lineRule="atLeast"/>
                    <w:rPr>
                      <w:bCs/>
                      <w:color w:val="auto"/>
                      <w:highlight w:val="none"/>
                    </w:rPr>
                  </w:pPr>
                  <w:r>
                    <w:rPr>
                      <w:rFonts w:hint="eastAsia"/>
                      <w:bCs/>
                      <w:color w:val="auto"/>
                      <w:highlight w:val="none"/>
                    </w:rPr>
                    <w:t xml:space="preserve">28</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890"/>
                    <w:spacing w:line="172" w:lineRule="atLeast"/>
                    <w:rPr>
                      <w:bCs/>
                      <w:color w:val="auto"/>
                      <w:highlight w:val="none"/>
                    </w:rPr>
                  </w:pPr>
                  <w:r>
                    <w:rPr>
                      <w:rFonts w:ascii="宋体"/>
                      <w:bCs/>
                      <w:color w:val="auto"/>
                      <w:highlight w:val="none"/>
                    </w:rPr>
                    <w:t xml:space="preserve">微量注射器1μL</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890"/>
                    <w:spacing w:line="172" w:lineRule="atLeast"/>
                    <w:rPr>
                      <w:bCs/>
                      <w:color w:val="auto"/>
                      <w:highlight w:val="none"/>
                    </w:rPr>
                  </w:pPr>
                  <w:r>
                    <w:rPr>
                      <w:rFonts w:hint="eastAsia"/>
                      <w:bCs/>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890"/>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890"/>
                    <w:spacing w:line="172" w:lineRule="atLeast"/>
                    <w:rPr>
                      <w:bCs/>
                      <w:color w:val="auto"/>
                      <w:highlight w:val="none"/>
                    </w:rPr>
                  </w:pPr>
                  <w:r>
                    <w:rPr>
                      <w:rFonts w:ascii="宋体"/>
                      <w:bCs/>
                      <w:color w:val="auto"/>
                      <w:highlight w:val="none"/>
                    </w:rPr>
                    <w:t xml:space="preserve">保证高精确性</w:t>
                  </w:r>
                  <w:r/>
                </w:p>
              </w:tc>
            </w:tr>
          </w:tbl>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766"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整机与环境</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491"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1.1 重量：≤25kg（包括续航不少于六小时的内置电池、内标气和载气瓶等），方便现场携带搬运。</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1.2 环境温度：-10～40℃；湿度：≤85%；气压：70～106 kPa</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1.3 预热时间≤1小时</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1.4 支持内置电池供电和外部适配器交流供电两种供电方式，仪器可监控电池剩余电量，在供电不足时报警。</w:t>
            </w:r>
            <w:r/>
          </w:p>
        </w:tc>
        <w:tc>
          <w:tcPr>
            <w:tcBorders>
              <w:top w:val="single" w:color="auto" w:sz="4" w:space="0"/>
              <w:left w:val="single" w:color="auto" w:sz="4" w:space="0"/>
              <w:bottom w:val="single" w:color="auto" w:sz="4" w:space="0"/>
              <w:right w:val="single" w:color="auto" w:sz="4" w:space="0"/>
            </w:tcBorders>
            <w:tcW w:w="1766"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气相色谱部分</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491"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2.1基本操作条件：全部色谱参数和操作条件可通过触屏操作设定并能被显示出来，并可传输到数据处理系统，其色谱参数和操作条件的设定内容可被保存和复制。仪器主机与其它配置系统的联机性强，操作简便。</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2.2气相色谱柱：与主机相匹配的温度可编程的毛细管色谱柱，可兼容其他毛细管色谱柱，可进行程序升温，气相色谱柱最大温度不低于220℃；升温速率不低于40℃/分钟。</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2.3 样品进样：仪器同时内置吸附管及定量环，气体样品可通过吸附热解吸和定量环两种模式进样，可通过软件控制二者选其一使用，避免手动更换。</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2.4气相色谱柱体温度控制稳定性：≤0.5%</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2.5气相色谱柱体程序升温重复性：1%</w:t>
            </w:r>
            <w:r/>
          </w:p>
        </w:tc>
        <w:tc>
          <w:tcPr>
            <w:tcBorders>
              <w:top w:val="single" w:color="auto" w:sz="4" w:space="0"/>
              <w:left w:val="single" w:color="auto" w:sz="4" w:space="0"/>
              <w:bottom w:val="single" w:color="auto" w:sz="4" w:space="0"/>
              <w:right w:val="single" w:color="auto" w:sz="4" w:space="0"/>
            </w:tcBorders>
            <w:tcW w:w="1766"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质谱部分</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491"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3.1质量分析器：四级杆质量分析器或离子阱质量分析器，精准匹配谱库。</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3.2可分析质量范围：18amu～300amu；</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3.3质量分辨率：≤1amu；</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3.4质量稳定性：≤±0.3amu； </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3.5扫描方式：全扫描；</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3.6扫描范围:41amu-300amu；</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3.7电离模式：70eV EI（非放射性离子源）；</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3.8检测器：电子倍增器；</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766"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检测性能</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491"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4.1灵敏度：热解析进样：4×10-3mg/m3甲苯（SNR≥3:1），200mL；直接进样：1ng甲苯（SNR≥3:1）</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4.2定量重复性：≤20%（n=6）</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4.3定量稳定性：≤20%</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766"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气体采样探头</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491"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5.1分析方式：采样探头内置采样泵，气体样品不经过色谱柱分离直接进入质谱检测；</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5.2气体采样探头与主机连接线外附保温层，低温环境下仍可正常使用。</w:t>
            </w:r>
            <w:r/>
          </w:p>
        </w:tc>
        <w:tc>
          <w:tcPr>
            <w:tcBorders>
              <w:top w:val="single" w:color="auto" w:sz="4" w:space="0"/>
              <w:left w:val="single" w:color="auto" w:sz="4" w:space="0"/>
              <w:bottom w:val="single" w:color="auto" w:sz="4" w:space="0"/>
              <w:right w:val="single" w:color="auto" w:sz="4" w:space="0"/>
            </w:tcBorders>
            <w:tcW w:w="1766"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顶空+吹扫捕集进样器</w:t>
            </w:r>
            <w:r/>
          </w:p>
        </w:tc>
        <w:tc>
          <w:tcPr>
            <w:tcBorders>
              <w:top w:val="single" w:color="auto" w:sz="4" w:space="0"/>
              <w:left w:val="single" w:color="auto" w:sz="4" w:space="0"/>
              <w:bottom w:val="single" w:color="auto" w:sz="4" w:space="0"/>
              <w:right w:val="single" w:color="auto" w:sz="4" w:space="0"/>
            </w:tcBorders>
            <w:tcW w:w="3491"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6.1配置原厂便携顶空+吹扫捕集进样系统，系统能具备独立电源供给或由便携GC-MS主机提供现场能源供给，实现应急所必要的水、土样品处理及传输；</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6.2 顶空+吹扫捕集系统具有适应于应急现场携带的便携性，重量≤10kg。 顶空+吹扫捕集进样器通过控温的传输管线与GC-MS主机相连，可形成闭环系统用于检测固体或液体中的VOCs或SVOC；</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6.3能够对样品瓶进行加热，加热范围：≥50℃；加热位：≥4位；</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6.4能够控制样品加热平衡温度和时间。</w:t>
            </w:r>
            <w:r/>
          </w:p>
        </w:tc>
        <w:tc>
          <w:tcPr>
            <w:tcBorders>
              <w:top w:val="single" w:color="auto" w:sz="4" w:space="0"/>
              <w:left w:val="single" w:color="auto" w:sz="4" w:space="0"/>
              <w:bottom w:val="single" w:color="auto" w:sz="4" w:space="0"/>
              <w:right w:val="single" w:color="auto" w:sz="4" w:space="0"/>
            </w:tcBorders>
            <w:tcW w:w="1766"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数据处理系统 </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491"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7.1 简约直观的图形化操作界面、人机交互式触摸屏，可在无人值守情况下按照事先设置好的序列运行设备。</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7.2 软件具有实时定性功能，在分析未结束时即可对已出峰的物质进行定性，提高现场检测效率。</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7.3 具有自动调谐功能，无需输入电压或质量数等任何参数即可进行调谐，关键离子丰度应满足HJ1223-2021《环境空气 挥发性有机物的应急测定 便携式气相色谱-质谱法》的要求。</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7.4设备内置北斗定位系统，符合《卫星定位导航授时设备单北斗测试技术规范》（FT-B07-0014-01）。</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7.5 标准谱库：包含环境样品专用谱库（内含超过1000种物质）以及中文版化学品安全指导数据库（SIC），可提示GB职业接触限制、浓度转换系数、接触途径等信息。内装NIST与AMDIS的质谱库，NIOSH数据库。</w:t>
            </w:r>
            <w:r/>
          </w:p>
        </w:tc>
        <w:tc>
          <w:tcPr>
            <w:tcBorders>
              <w:top w:val="single" w:color="auto" w:sz="4" w:space="0"/>
              <w:left w:val="single" w:color="auto" w:sz="4" w:space="0"/>
              <w:bottom w:val="single" w:color="auto" w:sz="4" w:space="0"/>
              <w:right w:val="single" w:color="auto" w:sz="4" w:space="0"/>
            </w:tcBorders>
            <w:tcW w:w="1766"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移液枪最大允许误差</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491" w:type="dxa"/>
            <w:textDirection w:val="lrTb"/>
            <w:noWrap/>
          </w:tcPr>
          <w:tbl>
            <w:tblPr>
              <w:tblStyle w:val="875"/>
              <w:tblpPr w:horzAnchor="page" w:tblpX="2116" w:vertAnchor="text" w:tblpY="-449" w:leftFromText="180" w:topFromText="0" w:rightFromText="180" w:bottomFromText="0"/>
              <w:tblW w:w="36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4"/>
              <w:gridCol w:w="456"/>
              <w:gridCol w:w="832"/>
              <w:gridCol w:w="1950"/>
            </w:tblGrid>
            <w:tr>
              <w:trPr>
                <w:trHeight w:val="528"/>
                <w:tblHeader/>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vMerge w:val="restart"/>
                  <w:textDirection w:val="lrTb"/>
                  <w:noWrap/>
                </w:tcPr>
                <w:p>
                  <w:pPr>
                    <w:pStyle w:val="890"/>
                    <w:spacing w:line="240" w:lineRule="exact"/>
                    <w:rPr>
                      <w:bCs/>
                      <w:color w:val="auto"/>
                      <w:sz w:val="15"/>
                      <w:szCs w:val="15"/>
                      <w:highlight w:val="none"/>
                    </w:rPr>
                  </w:pPr>
                  <w:r>
                    <w:rPr>
                      <w:rFonts w:ascii="宋体"/>
                      <w:bCs/>
                      <w:color w:val="auto"/>
                      <w:sz w:val="15"/>
                      <w:szCs w:val="15"/>
                      <w:highlight w:val="none"/>
                    </w:rPr>
                    <w:t xml:space="preserve">量程</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vMerge w:val="restart"/>
                  <w:textDirection w:val="lrTb"/>
                  <w:noWrap/>
                </w:tcPr>
                <w:p>
                  <w:pPr>
                    <w:pStyle w:val="890"/>
                    <w:spacing w:line="240" w:lineRule="exact"/>
                    <w:rPr>
                      <w:bCs/>
                      <w:color w:val="auto"/>
                      <w:sz w:val="15"/>
                      <w:szCs w:val="15"/>
                      <w:highlight w:val="none"/>
                    </w:rPr>
                  </w:pPr>
                  <w:r>
                    <w:rPr>
                      <w:rFonts w:ascii="宋体"/>
                      <w:bCs/>
                      <w:color w:val="auto"/>
                      <w:sz w:val="15"/>
                      <w:szCs w:val="15"/>
                      <w:highlight w:val="none"/>
                    </w:rPr>
                    <w:t xml:space="preserve">体积 (μL)</w:t>
                  </w:r>
                  <w:r/>
                </w:p>
              </w:tc>
              <w:tc>
                <w:tcPr>
                  <w:gridSpan w:val="2"/>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782" w:type="dxa"/>
                  <w:vAlign w:val="center"/>
                  <w:textDirection w:val="lrTb"/>
                  <w:noWrap/>
                </w:tcPr>
                <w:p>
                  <w:pPr>
                    <w:pStyle w:val="890"/>
                    <w:spacing w:line="240" w:lineRule="exact"/>
                    <w:rPr>
                      <w:bCs/>
                      <w:color w:val="auto"/>
                      <w:sz w:val="15"/>
                      <w:szCs w:val="15"/>
                      <w:highlight w:val="none"/>
                    </w:rPr>
                  </w:pPr>
                  <w:r>
                    <w:rPr>
                      <w:rFonts w:ascii="宋体"/>
                      <w:bCs/>
                      <w:color w:val="auto"/>
                      <w:sz w:val="15"/>
                      <w:szCs w:val="15"/>
                      <w:highlight w:val="none"/>
                    </w:rPr>
                    <w:t xml:space="preserve">最大允差范围</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vMerge w:val="continue"/>
                  <w:textDirection w:val="lrTb"/>
                  <w:noWrap/>
                </w:tcPr>
                <w:p>
                  <w:pPr>
                    <w:pStyle w:val="890"/>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vMerge w:val="continue"/>
                  <w:textDirection w:val="lrTb"/>
                  <w:noWrap/>
                </w:tcPr>
                <w:p>
                  <w:pPr>
                    <w:pStyle w:val="890"/>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890"/>
                    <w:spacing w:line="240" w:lineRule="exact"/>
                    <w:rPr>
                      <w:bCs/>
                      <w:color w:val="auto"/>
                      <w:sz w:val="15"/>
                      <w:szCs w:val="15"/>
                      <w:highlight w:val="none"/>
                    </w:rPr>
                  </w:pPr>
                  <w:r>
                    <w:rPr>
                      <w:rFonts w:ascii="宋体"/>
                      <w:bCs/>
                      <w:color w:val="auto"/>
                      <w:sz w:val="15"/>
                      <w:szCs w:val="15"/>
                      <w:highlight w:val="none"/>
                    </w:rPr>
                    <w:t xml:space="preserve">系统误差 (μL)</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890"/>
                    <w:spacing w:line="240" w:lineRule="exact"/>
                    <w:rPr>
                      <w:bCs/>
                      <w:color w:val="auto"/>
                      <w:sz w:val="15"/>
                      <w:szCs w:val="15"/>
                      <w:highlight w:val="none"/>
                    </w:rPr>
                  </w:pPr>
                  <w:r>
                    <w:rPr>
                      <w:rFonts w:ascii="宋体"/>
                      <w:bCs/>
                      <w:color w:val="auto"/>
                      <w:sz w:val="15"/>
                      <w:szCs w:val="15"/>
                      <w:highlight w:val="none"/>
                    </w:rPr>
                    <w:t xml:space="preserve">随机误差 (μL)</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10μL</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1</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±0.09</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≤0.03</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890"/>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5</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±0.10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≤0.03</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890"/>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10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±0.15</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≤0.06</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25μL</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3</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±0.25</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≤0.08</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890"/>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10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±0.27</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≤0.08</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890"/>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25</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±0.30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≤0.10</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50μL</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20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±0.34</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≤0.20</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890"/>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50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±0.70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≤0.30</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100μL</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10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±0.50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≤0.20</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890"/>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50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±0.75</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≤0.30</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890"/>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100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±1.00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≤0.40</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250μL</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50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±1.50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≤0.30</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890"/>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100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±1.70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≤0.30</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890"/>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250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±2.50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≤0.50</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1000μL</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100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±3.0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≤1.6</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890"/>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500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±5.0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≤2.5</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890"/>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1000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±8.5</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890"/>
                    <w:spacing w:line="240" w:lineRule="exact"/>
                    <w:rPr>
                      <w:bCs/>
                      <w:color w:val="auto"/>
                      <w:sz w:val="15"/>
                      <w:szCs w:val="15"/>
                      <w:highlight w:val="none"/>
                    </w:rPr>
                  </w:pPr>
                  <w:r>
                    <w:rPr>
                      <w:rFonts w:hint="eastAsia"/>
                      <w:bCs/>
                      <w:color w:val="auto"/>
                      <w:sz w:val="15"/>
                      <w:szCs w:val="15"/>
                      <w:highlight w:val="none"/>
                    </w:rPr>
                    <w:t xml:space="preserve">≤4.0</w:t>
                  </w:r>
                  <w:r/>
                </w:p>
              </w:tc>
            </w:tr>
          </w:tbl>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766"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bl>
    <w:p>
      <w:pPr>
        <w:rPr>
          <w:rFonts w:ascii="宋体"/>
          <w:color w:val="auto"/>
          <w:highlight w:val="none"/>
        </w:rPr>
      </w:pPr>
      <w:r>
        <w:rPr>
          <w:rFonts w:ascii="宋体"/>
          <w:color w:val="auto"/>
          <w:highlight w:val="none"/>
        </w:rPr>
      </w:r>
      <w:r/>
    </w:p>
    <w:p>
      <w:pPr>
        <w:rPr>
          <w:rFonts w:ascii="宋体"/>
          <w:color w:val="auto"/>
          <w:highlight w:val="none"/>
        </w:rPr>
      </w:pPr>
      <w:r>
        <w:rPr>
          <w:rFonts w:ascii="宋体"/>
          <w:color w:val="auto"/>
          <w:highlight w:val="none"/>
        </w:rPr>
      </w:r>
      <w:r/>
    </w:p>
    <w:p>
      <w:pPr>
        <w:pStyle w:val="890"/>
        <w:rPr>
          <w:color w:val="auto"/>
          <w:highlight w:val="none"/>
        </w:rPr>
      </w:pPr>
      <w:r>
        <w:rPr>
          <w:color w:val="auto"/>
          <w:highlight w:val="none"/>
        </w:rPr>
      </w:r>
      <w:r/>
    </w:p>
    <w:p>
      <w:pPr>
        <w:ind w:firstLine="641"/>
        <w:jc w:val="center"/>
        <w:rPr>
          <w:rFonts w:ascii="仿宋" w:hAnsi="仿宋" w:eastAsia="仿宋"/>
          <w:bCs/>
          <w:color w:val="auto"/>
          <w:sz w:val="28"/>
          <w:szCs w:val="28"/>
          <w:highlight w:val="none"/>
        </w:rPr>
      </w:pPr>
      <w:r>
        <w:rPr>
          <w:rFonts w:hint="eastAsia" w:ascii="仿宋" w:hAnsi="仿宋" w:eastAsia="仿宋"/>
          <w:bCs/>
          <w:color w:val="auto"/>
          <w:szCs w:val="21"/>
          <w:highlight w:val="none"/>
        </w:rPr>
        <w:t xml:space="preserve">注：供应商应当明确响应产品的品牌、型号和具体技术指标数值，否则作为无效投标处理。</w:t>
      </w:r>
      <w:r/>
    </w:p>
    <w:p>
      <w:pPr>
        <w:jc w:val="left"/>
        <w:widowControl/>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p>
    <w:p>
      <w:pPr>
        <w:ind w:firstLine="560"/>
        <w:rPr>
          <w:rFonts w:ascii="仿宋" w:hAnsi="仿宋" w:eastAsia="仿宋"/>
          <w:bCs/>
          <w:color w:val="auto"/>
          <w:sz w:val="28"/>
          <w:szCs w:val="28"/>
          <w:highlight w:val="none"/>
        </w:rPr>
        <w:outlineLvl w:val="2"/>
      </w:pPr>
      <w:r>
        <w:rPr>
          <w:rFonts w:hint="eastAsia" w:ascii="仿宋" w:hAnsi="仿宋" w:eastAsia="仿宋"/>
          <w:bCs/>
          <w:color w:val="auto"/>
          <w:sz w:val="28"/>
          <w:szCs w:val="28"/>
          <w:highlight w:val="none"/>
        </w:rPr>
        <w:t xml:space="preserve">（四）商务部分正负偏离表</w:t>
      </w:r>
      <w:r/>
    </w:p>
    <w:p>
      <w:pPr>
        <w:jc w:val="center"/>
        <w:rPr>
          <w:rFonts w:ascii="方正小标宋简体" w:hAnsi="宋体" w:eastAsia="方正小标宋简体"/>
          <w:bCs/>
          <w:color w:val="auto"/>
          <w:sz w:val="32"/>
          <w:szCs w:val="32"/>
          <w:highlight w:val="none"/>
        </w:rPr>
      </w:pPr>
      <w:r>
        <w:rPr>
          <w:rFonts w:hint="eastAsia" w:ascii="方正小标宋简体" w:hAnsi="宋体" w:eastAsia="方正小标宋简体"/>
          <w:bCs/>
          <w:color w:val="auto"/>
          <w:sz w:val="32"/>
          <w:szCs w:val="32"/>
          <w:highlight w:val="none"/>
        </w:rPr>
        <w:t xml:space="preserve">商务部分正负偏离表</w:t>
      </w:r>
      <w:r/>
    </w:p>
    <w:tbl>
      <w:tblPr>
        <w:tblStyle w:val="875"/>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745"/>
        <w:gridCol w:w="2940"/>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spacing w:line="2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交货期限和地点</w:t>
            </w:r>
            <w:r/>
          </w:p>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940"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 签定合同日期：自中标（成交）公告结束后30日内按时签约。</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 交货期：</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采购包1：自合同签定之日起45天内完成安装、调试及数据联网。</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采购包2：自合同签定之日起30天内完成安装、调试。</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3.交货地点：采购人指定地点。</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注：产品须为全新、未使用过的原装合格正品。安装质量符合各项现行技术规范和强制性标准。货物由成交供应商负责办理运输、装卸、安装、调试等，所有费用由成交供应商负责。采购方组织验收，检验不合格或不符合质量要求，成交供应商除无条件退货、返工外，还应承担采购方由此造成的一切损失。</w:t>
            </w:r>
            <w:r/>
          </w:p>
        </w:tc>
        <w:tc>
          <w:tcPr>
            <w:tcBorders>
              <w:top w:val="single" w:color="auto" w:sz="4" w:space="0"/>
              <w:left w:val="single" w:color="auto" w:sz="4" w:space="0"/>
              <w:bottom w:val="single" w:color="auto" w:sz="4" w:space="0"/>
              <w:right w:val="single" w:color="auto" w:sz="4" w:space="0"/>
            </w:tcBorders>
            <w:tcW w:w="1751"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spacing w:line="2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验收方案</w:t>
            </w:r>
            <w:r/>
          </w:p>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940"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1.验收标准：</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按照国家及江苏省相关规范进行验收。</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2.验收内容</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项目的验收报告，报告内容包含但不限于：①供货清单；②安装调试情况；③试运行情况；④其他辅助设备运行报告；⑤培训情况；⑥所有仪器设备技术资料；⑦其他符合相关规范的资料（包括防雷报告等）。</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 验收方式</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此项目建设完成试运行期满后（联网调试完成后水站进入试运行，试运行应连续运行不少于 30 d），成交方须提供验收报告和书面申请，采购方在30个工作日内及时组织相关专业技术人员，必要时邀请相关职能部门共同参与验收（所产生费用均由中标人承担），并出具验收意见，作为支付货款的依据。</w:t>
            </w:r>
            <w:r/>
          </w:p>
        </w:tc>
        <w:tc>
          <w:tcPr>
            <w:tcBorders>
              <w:top w:val="single" w:color="auto" w:sz="4" w:space="0"/>
              <w:left w:val="single" w:color="auto" w:sz="4" w:space="0"/>
              <w:bottom w:val="single" w:color="auto" w:sz="4" w:space="0"/>
              <w:right w:val="single" w:color="auto" w:sz="4" w:space="0"/>
            </w:tcBorders>
            <w:tcW w:w="1751"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spacing w:line="2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质量保证期限</w:t>
            </w:r>
            <w:r/>
          </w:p>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940"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采购包1、采购包2：</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质保期限（自交货并验收合格之日起计）：本项目整体保修3年。</w:t>
            </w:r>
            <w:r/>
          </w:p>
        </w:tc>
        <w:tc>
          <w:tcPr>
            <w:tcBorders>
              <w:top w:val="single" w:color="auto" w:sz="4" w:space="0"/>
              <w:left w:val="single" w:color="auto" w:sz="4" w:space="0"/>
              <w:bottom w:val="single" w:color="auto" w:sz="4" w:space="0"/>
              <w:right w:val="single" w:color="auto" w:sz="4" w:space="0"/>
            </w:tcBorders>
            <w:tcW w:w="1751"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spacing w:line="2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售后服务</w:t>
            </w:r>
            <w:r/>
          </w:p>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940"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售后服务</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（一）采购包1售后服务要求</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1.本项目质保范围及具体要求：质保期内，中标人向采购人提供7×24小</w:t>
            </w:r>
            <w:r>
              <w:rPr>
                <w:rFonts w:hint="eastAsia" w:ascii="仿宋" w:hAnsi="仿宋" w:eastAsia="仿宋" w:cs="仿宋"/>
                <w:bCs/>
                <w:color w:val="auto"/>
                <w:sz w:val="24"/>
                <w:highlight w:val="none"/>
              </w:rPr>
              <w:t xml:space="preserve">时质保、维护、管理服务，并免费提供日常维护、维修服务及配件（含试剂、配件），所有配件须为原厂配件。中标人应提供主要零部件和耗材清单，并提供承诺函保证质保期内相应零部件和耗材、试剂等稳定供应。质保期内如仪器无法保证正常使用，则需在20个工作日内更换一台同一型号全新的仪器（提供承诺函）。质保期满后，仪器终身维修，并保证零配件不高于同期市场价的7折优惠供应（同期市场价指采购人市场询价3家及以上供应商该配件的平均价）。须承诺提供长期技术服务及备品备件供应（仪器使用期间）（提供承诺函，格式自拟，不提供视为无效投标）。</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2.在保修期内，中标人在接到用户维修电话通知后，应当在1小时内响应，1个工作日内负责修复。</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3.中标人必须组织相关的仪器设备现场培训，6年内，采购人如发生操作人员变动必须无偿提供专业的现场培训。</w:t>
            </w:r>
            <w:r/>
          </w:p>
          <w:p>
            <w:pPr>
              <w:pStyle w:val="890"/>
              <w:spacing w:line="2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（二）采购包2售后服务要求</w:t>
            </w:r>
            <w:r/>
          </w:p>
          <w:p>
            <w:pPr>
              <w:pStyle w:val="890"/>
              <w:spacing w:line="2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1.所投飞行器保险：每年保障额度≥55000元，在保障额度内可享受不限次数的免费维修或置换服务，直至保障额度用完为止，共计三年。</w:t>
            </w:r>
            <w:r/>
          </w:p>
          <w:p>
            <w:pPr>
              <w:pStyle w:val="890"/>
              <w:spacing w:line="2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2.所投云台相机保险：保障额度≥63250元，在保障额度内可享受不限次数的免费维修或置换服务，直至保障额度用完为止，共计三年。</w:t>
            </w:r>
            <w:r/>
          </w:p>
          <w:p>
            <w:pPr>
              <w:pStyle w:val="890"/>
              <w:spacing w:line="2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3.培训考证：须飞行器培训设备及取得民用无人驾驶航空器操控员执照CAAC，共计4人。</w:t>
            </w:r>
            <w:r/>
          </w:p>
          <w:p>
            <w:pPr>
              <w:pStyle w:val="890"/>
              <w:spacing w:line="2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    以上1-3须在投标文件中提供承诺函（格式自拟），不提供视为无效投标。</w:t>
            </w:r>
            <w:r/>
          </w:p>
          <w:p>
            <w:pPr>
              <w:pStyle w:val="890"/>
              <w:spacing w:line="2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4.提供产品售后服务机构名称、地址，以及专业技术人员名单和联系电话；</w:t>
            </w:r>
            <w:r/>
          </w:p>
          <w:p>
            <w:pPr>
              <w:pStyle w:val="890"/>
              <w:spacing w:line="2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5.保修期内：24小时作出相应的问题答复；如电话不能解决问题，维修人员将在3个工作日内到达现场（视用户地理位置而定）如果仍未解决问题的，厂家需要提供相同性能仪器，在维修期内供用户免费备用。</w:t>
            </w:r>
            <w:r/>
          </w:p>
          <w:p>
            <w:pPr>
              <w:pStyle w:val="890"/>
              <w:spacing w:line="2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6.成交供应商须到采购方提供现场免费安装、调试设备，进行操作试验，直至运行正常，为仪器操作人员提供必须的免费的操作及维护培训，仪器运转正常后可免培训费提供人员培训。</w:t>
            </w:r>
            <w:r/>
          </w:p>
          <w:p>
            <w:pPr>
              <w:pStyle w:val="890"/>
              <w:spacing w:line="2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1"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spacing w:line="2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付款方式（采购包1、采购包2）</w:t>
            </w:r>
            <w:r/>
          </w:p>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940"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合同签订后预付合同金额40%，设备安装、调试、培训、验收合格后支付全同金额60%，每次支付前，中标人均应出具在税务部门开具的正式发票。</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履约保证金：按中标金额的10%收取，尾款支付前供应商将履约保证金支付至单位指定账户，中标人可以选择以支票、汇票、本票或者金融机构、担保机构出具的保函、履约保证金保险等非现金形式。自验收合格之日起满24个月，若设备性能良好一次性退回质量保证金。</w:t>
            </w:r>
            <w:r/>
          </w:p>
        </w:tc>
        <w:tc>
          <w:tcPr>
            <w:tcBorders>
              <w:top w:val="single" w:color="auto" w:sz="4" w:space="0"/>
              <w:left w:val="single" w:color="auto" w:sz="4" w:space="0"/>
              <w:bottom w:val="single" w:color="auto" w:sz="4" w:space="0"/>
              <w:right w:val="single" w:color="auto" w:sz="4" w:space="0"/>
            </w:tcBorders>
            <w:tcW w:w="1751"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spacing w:line="2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其他要求</w:t>
            </w:r>
            <w:r/>
          </w:p>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940"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（一）报价要求：</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报价要求：报价人报价应包含设备的制造、包装、运输、装卸、保险、验收、安装调试（试运行）、售后服务、人员培训、检验、税金、代理服务费等与本项目相关的一切费用。成交价之外采购人不再支付任何费用。</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（二）报价含响应供应商为完成采购文件全部要求内容应承担的一切成本、费用和支出以及供应商的合理利润等交付使用前一切费用。不接受选择性报价。</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（三）供应商中标后应保证在本项目中心站数据信息平台的任何产品使用（包括部分使用）时，不会产生因第三方提出侵犯其专利权、商标权或其它知识产权而引起的法律和经济纠纷。</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（四）供应商中标后需向采购人开放数据库访问协议，以保证系统与其他业务系统集成时，其他业务系统无障碍将环境信息接入系统。同时，原先系统集成商须无条件开放系统协议，供中标人设备接入原系统。</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五）如采用中标人所不拥有的知识产权，则在投标价中必须包括合法获取该知识产权的相关费用。如用到第三方中间件，中标后需提供第三方原厂对本项目的授权证书。中标人应自觉维护委托单位的利益，不得向任何单位和个人泄漏从委托单位获得的数据，不得将所掌握的数据用于其他商业用途谋取私利。</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六）试运行期间，中标人应进行全程跟踪，提供全面技术支持服务，确保试运行的顺利进行。在试运行期间，中标人应当根据采购人的要求，不断修改和完善系统功能和性能，直至采购人满意。如发生故障给采购人造成损失的，中标人应当承担损失赔偿责任。</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（七）项目交付的同时需完成文档交付工作。</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（八）现场踏勘时间、地点</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本项目不组织现场踏勘。投标人可自行前往现场查看相关情况，遵守采购人相关要求，并不得影响采购人正常工作秩序。中标后，投标人不得以现场情况未了解清楚为由向采购人提出提升投标报价或其他任何要求。投标时须提供现场踏勘承诺函。</w:t>
            </w:r>
            <w:r/>
          </w:p>
        </w:tc>
        <w:tc>
          <w:tcPr>
            <w:tcBorders>
              <w:top w:val="single" w:color="auto" w:sz="4" w:space="0"/>
              <w:left w:val="single" w:color="auto" w:sz="4" w:space="0"/>
              <w:bottom w:val="single" w:color="auto" w:sz="4" w:space="0"/>
              <w:right w:val="single" w:color="auto" w:sz="4" w:space="0"/>
            </w:tcBorders>
            <w:tcW w:w="1751"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r>
    </w:tbl>
    <w:p>
      <w:pPr>
        <w:pStyle w:val="890"/>
        <w:rPr>
          <w:rFonts w:ascii="方正小标宋简体" w:hAnsi="宋体" w:eastAsia="方正小标宋简体"/>
          <w:bCs/>
          <w:color w:val="auto"/>
          <w:sz w:val="32"/>
          <w:szCs w:val="32"/>
          <w:highlight w:val="none"/>
        </w:rPr>
      </w:pPr>
      <w:r>
        <w:rPr>
          <w:rFonts w:ascii="方正小标宋简体" w:hAnsi="宋体" w:eastAsia="方正小标宋简体"/>
          <w:bCs/>
          <w:color w:val="auto"/>
          <w:sz w:val="32"/>
          <w:szCs w:val="32"/>
          <w:highlight w:val="none"/>
        </w:rPr>
      </w:r>
      <w:r/>
    </w:p>
    <w:p>
      <w:pPr>
        <w:rPr>
          <w:rFonts w:ascii="仿宋" w:hAnsi="仿宋" w:eastAsia="仿宋"/>
          <w:bCs/>
          <w:color w:val="auto"/>
          <w:szCs w:val="21"/>
          <w:highlight w:val="none"/>
        </w:rPr>
      </w:pPr>
      <w:r>
        <w:rPr>
          <w:rFonts w:hint="eastAsia" w:ascii="仿宋" w:hAnsi="仿宋" w:eastAsia="仿宋"/>
          <w:bCs/>
          <w:color w:val="auto"/>
          <w:szCs w:val="21"/>
          <w:highlight w:val="none"/>
        </w:rPr>
        <w:t xml:space="preserve">注：按照招标文件要求详细填列，可增减行。</w:t>
      </w:r>
      <w:r/>
    </w:p>
    <w:p>
      <w:pPr>
        <w:rPr>
          <w:rFonts w:ascii="仿宋" w:hAnsi="仿宋" w:eastAsia="仿宋"/>
          <w:bCs/>
          <w:color w:val="auto"/>
          <w:sz w:val="24"/>
          <w:highlight w:val="none"/>
        </w:rPr>
      </w:pPr>
      <w:r>
        <w:rPr>
          <w:rFonts w:ascii="仿宋" w:hAnsi="仿宋" w:eastAsia="仿宋"/>
          <w:bCs/>
          <w:color w:val="auto"/>
          <w:sz w:val="24"/>
          <w:highlight w:val="none"/>
        </w:rPr>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（四）招标文件规定提交的其他材料</w:t>
      </w:r>
      <w:r/>
    </w:p>
    <w:p>
      <w:pPr>
        <w:ind w:firstLine="560"/>
        <w:rPr>
          <w:rFonts w:ascii="黑体" w:hAnsi="黑体" w:eastAsia="黑体"/>
          <w:bCs/>
          <w:color w:val="auto"/>
          <w:sz w:val="28"/>
          <w:szCs w:val="28"/>
          <w:highlight w:val="none"/>
        </w:rPr>
        <w:outlineLvl w:val="1"/>
      </w:pPr>
      <w:r>
        <w:rPr>
          <w:rFonts w:ascii="黑体" w:hAnsi="黑体" w:eastAsia="黑体"/>
          <w:bCs/>
          <w:color w:val="auto"/>
          <w:sz w:val="28"/>
          <w:szCs w:val="28"/>
          <w:highlight w:val="none"/>
        </w:rPr>
        <w:br w:type="page" w:clear="all"/>
      </w:r>
      <w:bookmarkStart w:id="141" w:name="_Toc15452"/>
      <w:r>
        <w:rPr>
          <w:rFonts w:hint="eastAsia" w:ascii="黑体" w:hAnsi="黑体" w:eastAsia="黑体"/>
          <w:bCs/>
          <w:color w:val="auto"/>
          <w:sz w:val="28"/>
          <w:szCs w:val="28"/>
          <w:highlight w:val="none"/>
        </w:rPr>
        <w:t xml:space="preserve">四、报价文件</w:t>
      </w:r>
      <w:bookmarkEnd w:id="141"/>
      <w:r/>
      <w:r/>
    </w:p>
    <w:p>
      <w:pPr>
        <w:ind w:firstLine="560"/>
        <w:rPr>
          <w:rFonts w:ascii="仿宋" w:hAnsi="仿宋" w:eastAsia="仿宋"/>
          <w:bCs/>
          <w:color w:val="auto"/>
          <w:sz w:val="28"/>
          <w:szCs w:val="28"/>
          <w:highlight w:val="none"/>
        </w:rPr>
        <w:outlineLvl w:val="2"/>
      </w:pPr>
      <w:r>
        <w:rPr>
          <w:rFonts w:hint="eastAsia" w:ascii="仿宋" w:hAnsi="仿宋" w:eastAsia="仿宋"/>
          <w:bCs/>
          <w:color w:val="auto"/>
          <w:sz w:val="28"/>
          <w:szCs w:val="28"/>
          <w:highlight w:val="none"/>
        </w:rPr>
        <w:t xml:space="preserve">（一）公开招标响应报价表</w:t>
      </w:r>
      <w:r/>
    </w:p>
    <w:p>
      <w:pPr>
        <w:ind w:firstLine="3040"/>
        <w:rPr>
          <w:rFonts w:ascii="方正小标宋简体" w:hAnsi="宋体" w:eastAsia="方正小标宋简体"/>
          <w:bCs/>
          <w:color w:val="auto"/>
          <w:sz w:val="32"/>
          <w:szCs w:val="32"/>
          <w:highlight w:val="none"/>
        </w:rPr>
      </w:pPr>
      <w:r>
        <w:rPr>
          <w:rFonts w:hint="eastAsia" w:ascii="方正小标宋简体" w:hAnsi="宋体" w:eastAsia="方正小标宋简体"/>
          <w:bCs/>
          <w:color w:val="auto"/>
          <w:sz w:val="32"/>
          <w:szCs w:val="32"/>
          <w:highlight w:val="none"/>
        </w:rPr>
        <w:t xml:space="preserve">公开招标响应报价表</w:t>
      </w:r>
      <w:r/>
    </w:p>
    <w:tbl>
      <w:tblPr>
        <w:tblStyle w:val="875"/>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390"/>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供应商名称（加盖公章）：</w:t>
            </w:r>
            <w:r/>
          </w:p>
        </w:tc>
      </w:tr>
      <w:tr>
        <w:trPr>
          <w:trHeight w:val="405"/>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项目名称：</w:t>
            </w:r>
            <w:r/>
          </w:p>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如皋市水源地水质自动监测监控预警能力提升建设项目</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项目编号：JSZC-320682-NTZJ-G2026-0011</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分包号：</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投标报价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小写：</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bCs/>
                <w:color w:val="auto"/>
                <w:sz w:val="24"/>
                <w:highlight w:val="none"/>
              </w:rPr>
            </w:pPr>
            <w:r>
              <w:rPr>
                <w:rFonts w:ascii="仿宋" w:hAnsi="仿宋" w:eastAsia="仿宋" w:cs="宋体"/>
                <w:bCs/>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大写：</w:t>
            </w:r>
            <w:r/>
          </w:p>
        </w:tc>
      </w:tr>
      <w:tr>
        <w:trPr>
          <w:trHeight w:val="764"/>
        </w:trPr>
        <w:tc>
          <w:tcPr>
            <w:tcBorders>
              <w:top w:val="none" w:color="000000" w:sz="4" w:space="0"/>
              <w:left w:val="single" w:color="auto" w:sz="4" w:space="0"/>
              <w:bottom w:val="single" w:color="auto" w:sz="4" w:space="0"/>
              <w:right w:val="single" w:color="auto" w:sz="4" w:space="0"/>
            </w:tcBorders>
            <w:tcW w:w="794" w:type="dxa"/>
            <w:vAlign w:val="center"/>
            <w:vMerge w:val="restart"/>
            <w:textDirection w:val="tbRlV"/>
            <w:noWrap/>
          </w:tcPr>
          <w:p>
            <w:pPr>
              <w:jc w:val="center"/>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落实政府采购政策评审价格</w:t>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center"/>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小微企业、残疾人福利单位或者监狱和戒毒企业制造的产品或者承接的服务，报价折扣</w:t>
            </w:r>
            <w:r>
              <w:rPr>
                <w:rFonts w:hint="eastAsia" w:ascii="仿宋" w:hAnsi="仿宋" w:eastAsia="仿宋" w:cs="宋体"/>
                <w:bCs/>
                <w:color w:val="auto"/>
                <w:sz w:val="24"/>
                <w:highlight w:val="none"/>
                <w:u w:val="single"/>
              </w:rPr>
              <w:t xml:space="preserve">10%</w:t>
            </w:r>
            <w:r>
              <w:rPr>
                <w:rFonts w:hint="eastAsia" w:ascii="仿宋" w:hAnsi="仿宋" w:eastAsia="仿宋" w:cs="宋体"/>
                <w:bCs/>
                <w:color w:val="auto"/>
                <w:sz w:val="24"/>
                <w:highlight w:val="none"/>
              </w:rPr>
              <w:t xml:space="preserve">后的评审报价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小写：</w:t>
            </w:r>
            <w:r/>
          </w:p>
        </w:tc>
      </w:tr>
      <w:tr>
        <w:trPr>
          <w:trHeight w:val="961"/>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bCs/>
                <w:color w:val="auto"/>
                <w:sz w:val="24"/>
                <w:highlight w:val="none"/>
              </w:rPr>
            </w:pPr>
            <w:r>
              <w:rPr>
                <w:rFonts w:ascii="仿宋" w:hAnsi="仿宋" w:eastAsia="仿宋" w:cs="宋体"/>
                <w:bCs/>
                <w:color w:val="auto"/>
                <w:sz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rFonts w:ascii="仿宋" w:hAnsi="仿宋" w:eastAsia="仿宋" w:cs="宋体"/>
                <w:bCs/>
                <w:color w:val="auto"/>
                <w:sz w:val="24"/>
                <w:highlight w:val="none"/>
              </w:rPr>
            </w:pPr>
            <w:r>
              <w:rPr>
                <w:rFonts w:ascii="仿宋" w:hAnsi="仿宋" w:eastAsia="仿宋" w:cs="宋体"/>
                <w:bCs/>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大写：</w:t>
            </w:r>
            <w:r/>
          </w:p>
        </w:tc>
      </w:tr>
      <w:tr>
        <w:trPr>
          <w:trHeight w:val="1092"/>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bCs/>
                <w:color w:val="auto"/>
                <w:sz w:val="24"/>
                <w:highlight w:val="none"/>
              </w:rPr>
            </w:pPr>
            <w:r>
              <w:rPr>
                <w:rFonts w:ascii="仿宋" w:hAnsi="仿宋" w:eastAsia="仿宋" w:cs="宋体"/>
                <w:bCs/>
                <w:color w:val="auto"/>
                <w:sz w:val="24"/>
                <w:highlight w:val="none"/>
              </w:rPr>
            </w:r>
            <w:r/>
          </w:p>
        </w:tc>
        <w:tc>
          <w:tcPr>
            <w:tcBorders>
              <w:top w:val="none" w:color="000000" w:sz="4" w:space="0"/>
              <w:left w:val="single" w:color="auto" w:sz="4" w:space="0"/>
              <w:right w:val="single" w:color="auto" w:sz="4" w:space="0"/>
            </w:tcBorders>
            <w:tcW w:w="3293" w:type="dxa"/>
            <w:vAlign w:val="center"/>
            <w:vMerge w:val="restart"/>
            <w:textDirection w:val="lrTb"/>
            <w:noWrap w:val="false"/>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政府采购活动中既有本国产品又有非本国产品参与竞争的，依法对本国产品给予价格评审优惠，对本国产品的报价给予20%的价格扣除，用扣除后的价格参与评审。</w:t>
            </w:r>
            <w:r/>
          </w:p>
          <w:p>
            <w:pPr>
              <w:jc w:val="left"/>
              <w:widowControl/>
              <w:rPr>
                <w:rFonts w:ascii="仿宋" w:hAnsi="仿宋" w:eastAsia="仿宋" w:cs="宋体"/>
                <w:bCs/>
                <w:color w:val="auto"/>
                <w:sz w:val="24"/>
                <w:highlight w:val="none"/>
              </w:rPr>
            </w:pPr>
            <w:r>
              <w:rPr>
                <w:rFonts w:ascii="仿宋" w:hAnsi="仿宋" w:eastAsia="仿宋" w:cs="宋体"/>
                <w:bCs/>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小写：</w:t>
            </w:r>
            <w:r/>
          </w:p>
        </w:tc>
      </w:tr>
      <w:tr>
        <w:trPr>
          <w:trHeight w:val="1092"/>
        </w:trPr>
        <w:tc>
          <w:tcPr>
            <w:tcBorders>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bCs/>
                <w:color w:val="auto"/>
                <w:highlight w:val="none"/>
              </w:rPr>
            </w:pPr>
            <w:r>
              <w:rPr>
                <w:bCs/>
                <w:color w:val="auto"/>
                <w:highlight w:val="none"/>
              </w:rPr>
            </w:r>
            <w:r/>
          </w:p>
        </w:tc>
        <w:tc>
          <w:tcPr>
            <w:tcBorders>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bCs/>
                <w:color w:val="auto"/>
                <w:highlight w:val="none"/>
              </w:rPr>
            </w:pPr>
            <w:r>
              <w:rPr>
                <w:bCs/>
                <w:color w:val="auto"/>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大写：</w:t>
            </w:r>
            <w:r/>
          </w:p>
        </w:tc>
      </w:tr>
      <w:tr>
        <w:trPr>
          <w:trHeight w:val="1027"/>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bCs/>
                <w:color w:val="auto"/>
                <w:sz w:val="24"/>
                <w:highlight w:val="none"/>
              </w:rPr>
            </w:pPr>
            <w:r>
              <w:rPr>
                <w:rFonts w:ascii="仿宋" w:hAnsi="仿宋" w:eastAsia="仿宋" w:cs="宋体"/>
                <w:bCs/>
                <w:color w:val="auto"/>
                <w:sz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left"/>
              <w:widowControl/>
              <w:rPr>
                <w:rFonts w:ascii="仿宋" w:hAnsi="仿宋" w:eastAsia="仿宋" w:cs="宋体"/>
                <w:bCs/>
                <w:color w:val="auto"/>
                <w:sz w:val="24"/>
                <w:highlight w:val="none"/>
              </w:rPr>
            </w:pPr>
            <w:r>
              <w:rPr>
                <w:rFonts w:hint="eastAsia" w:ascii="仿宋" w:hAnsi="仿宋" w:eastAsia="仿宋"/>
                <w:bCs/>
                <w:color w:val="auto"/>
                <w:sz w:val="24"/>
                <w:highlight w:val="none"/>
              </w:rPr>
              <w:t xml:space="preserve">联合协议或者分包意向协议约定小微企业的合同份额占到合同总金额 30%以上的，联合体或者大中型企业制造的产品或者承接的服务项目报价给予 </w:t>
            </w:r>
            <w:r>
              <w:rPr>
                <w:rFonts w:hint="eastAsia" w:ascii="仿宋" w:hAnsi="仿宋" w:eastAsia="仿宋" w:cs="宋体"/>
                <w:bCs/>
                <w:color w:val="auto"/>
                <w:sz w:val="24"/>
                <w:highlight w:val="none"/>
                <w:u w:val="single"/>
              </w:rPr>
              <w:t xml:space="preserve">4%</w:t>
            </w:r>
            <w:r>
              <w:rPr>
                <w:rFonts w:hint="eastAsia" w:ascii="仿宋" w:hAnsi="仿宋" w:eastAsia="仿宋"/>
                <w:bCs/>
                <w:color w:val="auto"/>
                <w:sz w:val="24"/>
                <w:highlight w:val="none"/>
              </w:rPr>
              <w:t xml:space="preserve">的扣除后评审报价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小写：</w:t>
            </w:r>
            <w:r/>
          </w:p>
        </w:tc>
      </w:tr>
      <w:tr>
        <w:trPr>
          <w:trHeight w:val="2256"/>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bCs/>
                <w:color w:val="auto"/>
                <w:sz w:val="24"/>
                <w:highlight w:val="none"/>
              </w:rPr>
            </w:pPr>
            <w:r>
              <w:rPr>
                <w:rFonts w:ascii="仿宋" w:hAnsi="仿宋" w:eastAsia="仿宋" w:cs="宋体"/>
                <w:bCs/>
                <w:color w:val="auto"/>
                <w:sz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center"/>
              <w:widowControl/>
              <w:rPr>
                <w:rFonts w:ascii="仿宋" w:hAnsi="仿宋" w:eastAsia="仿宋" w:cs="宋体"/>
                <w:bCs/>
                <w:color w:val="auto"/>
                <w:sz w:val="24"/>
                <w:highlight w:val="none"/>
              </w:rPr>
            </w:pPr>
            <w:r>
              <w:rPr>
                <w:rFonts w:ascii="仿宋" w:hAnsi="仿宋" w:eastAsia="仿宋" w:cs="宋体"/>
                <w:bCs/>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大写：</w:t>
            </w:r>
            <w:r/>
          </w:p>
        </w:tc>
      </w:tr>
    </w:tbl>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br w:type="page" w:clear="all"/>
      </w:r>
      <w:r/>
    </w:p>
    <w:p>
      <w:pPr>
        <w:ind w:firstLine="560"/>
        <w:spacing w:line="500" w:lineRule="exact"/>
        <w:rPr>
          <w:rFonts w:ascii="仿宋" w:hAnsi="仿宋" w:eastAsia="仿宋"/>
          <w:bCs/>
          <w:color w:val="auto"/>
          <w:sz w:val="28"/>
          <w:szCs w:val="28"/>
          <w:highlight w:val="none"/>
        </w:rPr>
        <w:outlineLvl w:val="2"/>
      </w:pPr>
      <w:r>
        <w:rPr>
          <w:rFonts w:hint="eastAsia" w:ascii="仿宋" w:hAnsi="仿宋" w:eastAsia="仿宋"/>
          <w:bCs/>
          <w:color w:val="auto"/>
          <w:sz w:val="28"/>
          <w:szCs w:val="28"/>
          <w:highlight w:val="none"/>
        </w:rPr>
        <w:t xml:space="preserve">（三）中小企业声明函</w:t>
      </w:r>
      <w:r/>
    </w:p>
    <w:p>
      <w:pPr>
        <w:jc w:val="center"/>
        <w:spacing w:line="500" w:lineRule="exact"/>
        <w:rPr>
          <w:rFonts w:ascii="方正小标宋简体" w:hAnsi="Calibri" w:eastAsia="方正小标宋简体"/>
          <w:bCs/>
          <w:color w:val="auto"/>
          <w:sz w:val="44"/>
          <w:szCs w:val="44"/>
          <w:highlight w:val="none"/>
        </w:rPr>
      </w:pPr>
      <w:r>
        <w:rPr>
          <w:rFonts w:hint="eastAsia" w:ascii="方正小标宋简体" w:hAnsi="Calibri" w:eastAsia="方正小标宋简体"/>
          <w:bCs/>
          <w:color w:val="auto"/>
          <w:sz w:val="44"/>
          <w:szCs w:val="44"/>
          <w:highlight w:val="none"/>
        </w:rPr>
        <w:t xml:space="preserve">中小企业声明函（货物）（采购包1）</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bCs/>
          <w:i/>
          <w:color w:val="auto"/>
          <w:sz w:val="32"/>
          <w:szCs w:val="32"/>
          <w:highlight w:val="none"/>
          <w:u w:val="single"/>
        </w:rPr>
        <w:t xml:space="preserve">（南通市如皋生态环境局）</w:t>
      </w:r>
      <w:r>
        <w:rPr>
          <w:rFonts w:hint="eastAsia" w:ascii="仿宋" w:hAnsi="仿宋" w:eastAsia="仿宋"/>
          <w:bCs/>
          <w:color w:val="auto"/>
          <w:sz w:val="32"/>
          <w:szCs w:val="32"/>
          <w:highlight w:val="none"/>
        </w:rPr>
        <w:t xml:space="preserve"> 的</w:t>
      </w:r>
      <w:r>
        <w:rPr>
          <w:rFonts w:hint="eastAsia" w:ascii="仿宋" w:hAnsi="仿宋" w:eastAsia="仿宋"/>
          <w:bCs/>
          <w:i/>
          <w:color w:val="auto"/>
          <w:sz w:val="32"/>
          <w:szCs w:val="32"/>
          <w:highlight w:val="none"/>
          <w:u w:val="single"/>
        </w:rPr>
        <w:t xml:space="preserve">（如皋市水源地水质自动监测监控预警能力提升建设项目）</w:t>
      </w:r>
      <w:r>
        <w:rPr>
          <w:rFonts w:hint="eastAsia" w:ascii="仿宋" w:hAnsi="仿宋" w:eastAsia="仿宋"/>
          <w:bCs/>
          <w:color w:val="auto"/>
          <w:sz w:val="32"/>
          <w:szCs w:val="32"/>
          <w:highlight w:val="none"/>
        </w:rPr>
        <w:t xml:space="preserve"> 采购活动，提供的货物全部由符合政策要求的中小企业制造。相关企业（含联合体中的中小企业、签订分包意向协议的中小企业）的具体情况如下：</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1. </w:t>
      </w:r>
      <w:r>
        <w:rPr>
          <w:rFonts w:hint="eastAsia" w:ascii="仿宋" w:hAnsi="仿宋" w:eastAsia="仿宋"/>
          <w:bCs/>
          <w:color w:val="auto"/>
          <w:sz w:val="32"/>
          <w:szCs w:val="32"/>
          <w:highlight w:val="none"/>
          <w:u w:val="single"/>
        </w:rPr>
        <w:t xml:space="preserve">（五参数分析仪）</w:t>
      </w:r>
      <w:r>
        <w:rPr>
          <w:rFonts w:hint="eastAsia" w:ascii="仿宋" w:hAnsi="仿宋" w:eastAsia="仿宋"/>
          <w:bCs/>
          <w:color w:val="auto"/>
          <w:sz w:val="32"/>
          <w:szCs w:val="32"/>
          <w:highlight w:val="none"/>
        </w:rPr>
        <w:t xml:space="preserve">，属于</w:t>
      </w:r>
      <w:r>
        <w:rPr>
          <w:rFonts w:hint="eastAsia" w:ascii="仿宋" w:hAnsi="仿宋" w:eastAsia="仿宋"/>
          <w:bCs/>
          <w:color w:val="auto"/>
          <w:sz w:val="32"/>
          <w:szCs w:val="32"/>
          <w:highlight w:val="none"/>
          <w:u w:val="single"/>
        </w:rPr>
        <w:t xml:space="preserve">（工业行业）行业</w:t>
      </w:r>
      <w:r>
        <w:rPr>
          <w:rFonts w:hint="eastAsia" w:ascii="仿宋" w:hAnsi="仿宋" w:eastAsia="仿宋"/>
          <w:bCs/>
          <w:color w:val="auto"/>
          <w:sz w:val="32"/>
          <w:szCs w:val="32"/>
          <w:highlight w:val="none"/>
        </w:rPr>
        <w:t xml:space="preserve"> ；制造商为 </w:t>
      </w:r>
      <w:r>
        <w:rPr>
          <w:rFonts w:hint="eastAsia" w:ascii="仿宋" w:hAnsi="仿宋" w:eastAsia="仿宋"/>
          <w:bCs/>
          <w:color w:val="auto"/>
          <w:sz w:val="32"/>
          <w:szCs w:val="32"/>
          <w:highlight w:val="none"/>
          <w:u w:val="single"/>
        </w:rPr>
        <w:t xml:space="preserve">（企业名称）</w:t>
      </w:r>
      <w:r>
        <w:rPr>
          <w:rFonts w:hint="eastAsia" w:ascii="仿宋" w:hAnsi="仿宋" w:eastAsia="仿宋"/>
          <w:bCs/>
          <w:color w:val="auto"/>
          <w:sz w:val="32"/>
          <w:szCs w:val="32"/>
          <w:highlight w:val="none"/>
        </w:rPr>
        <w:t xml:space="preserve"> ，从业人员人，营业收入为万元，资产总额为万元</w:t>
      </w:r>
      <w:r>
        <w:rPr>
          <w:rFonts w:hint="eastAsia" w:ascii="仿宋" w:hAnsi="仿宋" w:eastAsia="仿宋"/>
          <w:bCs/>
          <w:color w:val="auto"/>
          <w:sz w:val="32"/>
          <w:szCs w:val="32"/>
          <w:highlight w:val="none"/>
          <w:vertAlign w:val="superscript"/>
        </w:rPr>
        <w:t xml:space="preserve">1</w:t>
      </w:r>
      <w:r>
        <w:rPr>
          <w:rFonts w:hint="eastAsia" w:ascii="仿宋" w:hAnsi="仿宋" w:eastAsia="仿宋"/>
          <w:bCs/>
          <w:color w:val="auto"/>
          <w:sz w:val="32"/>
          <w:szCs w:val="32"/>
          <w:highlight w:val="none"/>
        </w:rPr>
        <w:t xml:space="preserve"> ，属于</w:t>
      </w:r>
      <w:r>
        <w:rPr>
          <w:rFonts w:hint="eastAsia" w:ascii="仿宋" w:hAnsi="仿宋" w:eastAsia="仿宋"/>
          <w:bCs/>
          <w:color w:val="auto"/>
          <w:sz w:val="32"/>
          <w:szCs w:val="32"/>
          <w:highlight w:val="none"/>
          <w:u w:val="single"/>
        </w:rPr>
        <w:t xml:space="preserve"> （中型企业、小型企业、微型企业） </w:t>
      </w:r>
      <w:r>
        <w:rPr>
          <w:rFonts w:hint="eastAsia" w:ascii="仿宋" w:hAnsi="仿宋" w:eastAsia="仿宋"/>
          <w:bCs/>
          <w:color w:val="auto"/>
          <w:sz w:val="32"/>
          <w:szCs w:val="32"/>
          <w:highlight w:val="none"/>
        </w:rPr>
        <w:t xml:space="preserve">；</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2. </w:t>
      </w:r>
      <w:r>
        <w:rPr>
          <w:rFonts w:hint="eastAsia" w:ascii="仿宋" w:hAnsi="仿宋" w:eastAsia="仿宋"/>
          <w:bCs/>
          <w:color w:val="auto"/>
          <w:sz w:val="32"/>
          <w:szCs w:val="32"/>
          <w:highlight w:val="none"/>
          <w:u w:val="single"/>
        </w:rPr>
        <w:t xml:space="preserve">（高锰酸盐指数分析仪）</w:t>
      </w:r>
      <w:r>
        <w:rPr>
          <w:rFonts w:hint="eastAsia" w:ascii="仿宋" w:hAnsi="仿宋" w:eastAsia="仿宋"/>
          <w:bCs/>
          <w:color w:val="auto"/>
          <w:sz w:val="32"/>
          <w:szCs w:val="32"/>
          <w:highlight w:val="none"/>
        </w:rPr>
        <w:t xml:space="preserve"> ，属于</w:t>
      </w:r>
      <w:r>
        <w:rPr>
          <w:rFonts w:hint="eastAsia" w:ascii="仿宋" w:hAnsi="仿宋" w:eastAsia="仿宋"/>
          <w:bCs/>
          <w:color w:val="auto"/>
          <w:sz w:val="32"/>
          <w:szCs w:val="32"/>
          <w:highlight w:val="none"/>
          <w:u w:val="single"/>
        </w:rPr>
        <w:t xml:space="preserve">（工业）行业</w:t>
      </w:r>
      <w:r>
        <w:rPr>
          <w:rFonts w:hint="eastAsia" w:ascii="仿宋" w:hAnsi="仿宋" w:eastAsia="仿宋"/>
          <w:bCs/>
          <w:color w:val="auto"/>
          <w:sz w:val="32"/>
          <w:szCs w:val="32"/>
          <w:highlight w:val="none"/>
        </w:rPr>
        <w:t xml:space="preserve"> ；制造商为</w:t>
      </w:r>
      <w:r>
        <w:rPr>
          <w:rFonts w:hint="eastAsia" w:ascii="仿宋" w:hAnsi="仿宋" w:eastAsia="仿宋"/>
          <w:bCs/>
          <w:color w:val="auto"/>
          <w:sz w:val="32"/>
          <w:szCs w:val="32"/>
          <w:highlight w:val="none"/>
          <w:u w:val="single"/>
        </w:rPr>
        <w:t xml:space="preserve"> （企业名称） </w:t>
      </w:r>
      <w:r>
        <w:rPr>
          <w:rFonts w:hint="eastAsia" w:ascii="仿宋" w:hAnsi="仿宋" w:eastAsia="仿宋"/>
          <w:bCs/>
          <w:color w:val="auto"/>
          <w:sz w:val="32"/>
          <w:szCs w:val="32"/>
          <w:highlight w:val="none"/>
        </w:rPr>
        <w:t xml:space="preserve">，从业人员人，营业收入为万元，资产总额为万元，属于</w:t>
      </w:r>
      <w:r>
        <w:rPr>
          <w:rFonts w:hint="eastAsia" w:ascii="仿宋" w:hAnsi="仿宋" w:eastAsia="仿宋"/>
          <w:bCs/>
          <w:color w:val="auto"/>
          <w:sz w:val="32"/>
          <w:szCs w:val="32"/>
          <w:highlight w:val="none"/>
          <w:u w:val="single"/>
        </w:rPr>
        <w:t xml:space="preserve"> （中型企业、小型企业、微型企业）</w:t>
      </w:r>
      <w:r>
        <w:rPr>
          <w:rFonts w:hint="eastAsia" w:ascii="仿宋" w:hAnsi="仿宋" w:eastAsia="仿宋"/>
          <w:bCs/>
          <w:color w:val="auto"/>
          <w:sz w:val="32"/>
          <w:szCs w:val="32"/>
          <w:highlight w:val="none"/>
        </w:rPr>
        <w:t xml:space="preserve"> ；</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3. </w:t>
      </w:r>
      <w:r>
        <w:rPr>
          <w:rFonts w:hint="eastAsia" w:ascii="仿宋" w:hAnsi="仿宋" w:eastAsia="仿宋"/>
          <w:bCs/>
          <w:color w:val="auto"/>
          <w:sz w:val="32"/>
          <w:szCs w:val="32"/>
          <w:highlight w:val="none"/>
          <w:u w:val="single"/>
        </w:rPr>
        <w:t xml:space="preserve">（氨氮分析仪）</w:t>
      </w:r>
      <w:r>
        <w:rPr>
          <w:rFonts w:hint="eastAsia" w:ascii="仿宋" w:hAnsi="仿宋" w:eastAsia="仿宋"/>
          <w:bCs/>
          <w:color w:val="auto"/>
          <w:sz w:val="32"/>
          <w:szCs w:val="32"/>
          <w:highlight w:val="none"/>
        </w:rPr>
        <w:t xml:space="preserve"> ，属于</w:t>
      </w:r>
      <w:r>
        <w:rPr>
          <w:rFonts w:hint="eastAsia" w:ascii="仿宋" w:hAnsi="仿宋" w:eastAsia="仿宋"/>
          <w:bCs/>
          <w:color w:val="auto"/>
          <w:sz w:val="32"/>
          <w:szCs w:val="32"/>
          <w:highlight w:val="none"/>
          <w:u w:val="single"/>
        </w:rPr>
        <w:t xml:space="preserve">（工业）行业</w:t>
      </w:r>
      <w:r>
        <w:rPr>
          <w:rFonts w:hint="eastAsia" w:ascii="仿宋" w:hAnsi="仿宋" w:eastAsia="仿宋"/>
          <w:bCs/>
          <w:color w:val="auto"/>
          <w:sz w:val="32"/>
          <w:szCs w:val="32"/>
          <w:highlight w:val="none"/>
        </w:rPr>
        <w:t xml:space="preserve"> ；制造商为</w:t>
      </w:r>
      <w:r>
        <w:rPr>
          <w:rFonts w:hint="eastAsia" w:ascii="仿宋" w:hAnsi="仿宋" w:eastAsia="仿宋"/>
          <w:bCs/>
          <w:color w:val="auto"/>
          <w:sz w:val="32"/>
          <w:szCs w:val="32"/>
          <w:highlight w:val="none"/>
          <w:u w:val="single"/>
        </w:rPr>
        <w:t xml:space="preserve"> （企业名称） </w:t>
      </w:r>
      <w:r>
        <w:rPr>
          <w:rFonts w:hint="eastAsia" w:ascii="仿宋" w:hAnsi="仿宋" w:eastAsia="仿宋"/>
          <w:bCs/>
          <w:color w:val="auto"/>
          <w:sz w:val="32"/>
          <w:szCs w:val="32"/>
          <w:highlight w:val="none"/>
        </w:rPr>
        <w:t xml:space="preserve">，从业人员人，营业收入为万元，资产总额为万元，属于</w:t>
      </w:r>
      <w:r>
        <w:rPr>
          <w:rFonts w:hint="eastAsia" w:ascii="仿宋" w:hAnsi="仿宋" w:eastAsia="仿宋"/>
          <w:bCs/>
          <w:color w:val="auto"/>
          <w:sz w:val="32"/>
          <w:szCs w:val="32"/>
          <w:highlight w:val="none"/>
          <w:u w:val="single"/>
        </w:rPr>
        <w:t xml:space="preserve"> （中型企业、小型企业、微型企业）</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4. </w:t>
      </w:r>
      <w:r>
        <w:rPr>
          <w:rFonts w:hint="eastAsia" w:ascii="仿宋" w:hAnsi="仿宋" w:eastAsia="仿宋"/>
          <w:bCs/>
          <w:color w:val="auto"/>
          <w:sz w:val="32"/>
          <w:szCs w:val="32"/>
          <w:highlight w:val="none"/>
          <w:u w:val="single"/>
        </w:rPr>
        <w:t xml:space="preserve">（总磷分析仪）</w:t>
      </w:r>
      <w:r>
        <w:rPr>
          <w:rFonts w:hint="eastAsia" w:ascii="仿宋" w:hAnsi="仿宋" w:eastAsia="仿宋"/>
          <w:bCs/>
          <w:color w:val="auto"/>
          <w:sz w:val="32"/>
          <w:szCs w:val="32"/>
          <w:highlight w:val="none"/>
        </w:rPr>
        <w:t xml:space="preserve"> ，属于</w:t>
      </w:r>
      <w:r>
        <w:rPr>
          <w:rFonts w:hint="eastAsia" w:ascii="仿宋" w:hAnsi="仿宋" w:eastAsia="仿宋"/>
          <w:bCs/>
          <w:color w:val="auto"/>
          <w:sz w:val="32"/>
          <w:szCs w:val="32"/>
          <w:highlight w:val="none"/>
          <w:u w:val="single"/>
        </w:rPr>
        <w:t xml:space="preserve">（工业）行业</w:t>
      </w:r>
      <w:r>
        <w:rPr>
          <w:rFonts w:hint="eastAsia" w:ascii="仿宋" w:hAnsi="仿宋" w:eastAsia="仿宋"/>
          <w:bCs/>
          <w:color w:val="auto"/>
          <w:sz w:val="32"/>
          <w:szCs w:val="32"/>
          <w:highlight w:val="none"/>
        </w:rPr>
        <w:t xml:space="preserve"> ；制造商为</w:t>
      </w:r>
      <w:r>
        <w:rPr>
          <w:rFonts w:hint="eastAsia" w:ascii="仿宋" w:hAnsi="仿宋" w:eastAsia="仿宋"/>
          <w:bCs/>
          <w:color w:val="auto"/>
          <w:sz w:val="32"/>
          <w:szCs w:val="32"/>
          <w:highlight w:val="none"/>
          <w:u w:val="single"/>
        </w:rPr>
        <w:t xml:space="preserve"> （企业名称） </w:t>
      </w:r>
      <w:r>
        <w:rPr>
          <w:rFonts w:hint="eastAsia" w:ascii="仿宋" w:hAnsi="仿宋" w:eastAsia="仿宋"/>
          <w:bCs/>
          <w:color w:val="auto"/>
          <w:sz w:val="32"/>
          <w:szCs w:val="32"/>
          <w:highlight w:val="none"/>
        </w:rPr>
        <w:t xml:space="preserve">，从业人员人，营业收入为万元，资产总额为万元，属于</w:t>
      </w:r>
      <w:r>
        <w:rPr>
          <w:rFonts w:hint="eastAsia" w:ascii="仿宋" w:hAnsi="仿宋" w:eastAsia="仿宋"/>
          <w:bCs/>
          <w:color w:val="auto"/>
          <w:sz w:val="32"/>
          <w:szCs w:val="32"/>
          <w:highlight w:val="none"/>
          <w:u w:val="single"/>
        </w:rPr>
        <w:t xml:space="preserve"> （中型企业、小型企业、微型企业）</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5. </w:t>
      </w:r>
      <w:r>
        <w:rPr>
          <w:rFonts w:hint="eastAsia" w:ascii="仿宋" w:hAnsi="仿宋" w:eastAsia="仿宋"/>
          <w:bCs/>
          <w:color w:val="auto"/>
          <w:sz w:val="32"/>
          <w:szCs w:val="32"/>
          <w:highlight w:val="none"/>
          <w:u w:val="single"/>
        </w:rPr>
        <w:t xml:space="preserve">（总氮分析仪）</w:t>
      </w:r>
      <w:r>
        <w:rPr>
          <w:rFonts w:hint="eastAsia" w:ascii="仿宋" w:hAnsi="仿宋" w:eastAsia="仿宋"/>
          <w:bCs/>
          <w:color w:val="auto"/>
          <w:sz w:val="32"/>
          <w:szCs w:val="32"/>
          <w:highlight w:val="none"/>
        </w:rPr>
        <w:t xml:space="preserve"> ，属于</w:t>
      </w:r>
      <w:r>
        <w:rPr>
          <w:rFonts w:hint="eastAsia" w:ascii="仿宋" w:hAnsi="仿宋" w:eastAsia="仿宋"/>
          <w:bCs/>
          <w:color w:val="auto"/>
          <w:sz w:val="32"/>
          <w:szCs w:val="32"/>
          <w:highlight w:val="none"/>
          <w:u w:val="single"/>
        </w:rPr>
        <w:t xml:space="preserve">（工业）行业</w:t>
      </w:r>
      <w:r>
        <w:rPr>
          <w:rFonts w:hint="eastAsia" w:ascii="仿宋" w:hAnsi="仿宋" w:eastAsia="仿宋"/>
          <w:bCs/>
          <w:color w:val="auto"/>
          <w:sz w:val="32"/>
          <w:szCs w:val="32"/>
          <w:highlight w:val="none"/>
        </w:rPr>
        <w:t xml:space="preserve"> ；制造商为</w:t>
      </w:r>
      <w:r>
        <w:rPr>
          <w:rFonts w:hint="eastAsia" w:ascii="仿宋" w:hAnsi="仿宋" w:eastAsia="仿宋"/>
          <w:bCs/>
          <w:color w:val="auto"/>
          <w:sz w:val="32"/>
          <w:szCs w:val="32"/>
          <w:highlight w:val="none"/>
          <w:u w:val="single"/>
        </w:rPr>
        <w:t xml:space="preserve"> （企业名称） </w:t>
      </w:r>
      <w:r>
        <w:rPr>
          <w:rFonts w:hint="eastAsia" w:ascii="仿宋" w:hAnsi="仿宋" w:eastAsia="仿宋"/>
          <w:bCs/>
          <w:color w:val="auto"/>
          <w:sz w:val="32"/>
          <w:szCs w:val="32"/>
          <w:highlight w:val="none"/>
        </w:rPr>
        <w:t xml:space="preserve">，从业人员人，营业收入为万元，资产总额为万元，属于</w:t>
      </w:r>
      <w:r>
        <w:rPr>
          <w:rFonts w:hint="eastAsia" w:ascii="仿宋" w:hAnsi="仿宋" w:eastAsia="仿宋"/>
          <w:bCs/>
          <w:color w:val="auto"/>
          <w:sz w:val="32"/>
          <w:szCs w:val="32"/>
          <w:highlight w:val="none"/>
          <w:u w:val="single"/>
        </w:rPr>
        <w:t xml:space="preserve"> （中型企业、小型企业、微型企业）</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6. </w:t>
      </w:r>
      <w:r>
        <w:rPr>
          <w:rFonts w:hint="eastAsia" w:ascii="仿宋" w:hAnsi="仿宋" w:eastAsia="仿宋"/>
          <w:bCs/>
          <w:color w:val="auto"/>
          <w:sz w:val="32"/>
          <w:szCs w:val="32"/>
          <w:highlight w:val="none"/>
          <w:u w:val="single"/>
        </w:rPr>
        <w:t xml:space="preserve">（挥发酚分析仪）</w:t>
      </w:r>
      <w:r>
        <w:rPr>
          <w:rFonts w:hint="eastAsia" w:ascii="仿宋" w:hAnsi="仿宋" w:eastAsia="仿宋"/>
          <w:bCs/>
          <w:color w:val="auto"/>
          <w:sz w:val="32"/>
          <w:szCs w:val="32"/>
          <w:highlight w:val="none"/>
        </w:rPr>
        <w:t xml:space="preserve"> ，属于</w:t>
      </w:r>
      <w:r>
        <w:rPr>
          <w:rFonts w:hint="eastAsia" w:ascii="仿宋" w:hAnsi="仿宋" w:eastAsia="仿宋"/>
          <w:bCs/>
          <w:color w:val="auto"/>
          <w:sz w:val="32"/>
          <w:szCs w:val="32"/>
          <w:highlight w:val="none"/>
          <w:u w:val="single"/>
        </w:rPr>
        <w:t xml:space="preserve">（工业）行业</w:t>
      </w:r>
      <w:r>
        <w:rPr>
          <w:rFonts w:hint="eastAsia" w:ascii="仿宋" w:hAnsi="仿宋" w:eastAsia="仿宋"/>
          <w:bCs/>
          <w:color w:val="auto"/>
          <w:sz w:val="32"/>
          <w:szCs w:val="32"/>
          <w:highlight w:val="none"/>
        </w:rPr>
        <w:t xml:space="preserve"> ；制造商为</w:t>
      </w:r>
      <w:r>
        <w:rPr>
          <w:rFonts w:hint="eastAsia" w:ascii="仿宋" w:hAnsi="仿宋" w:eastAsia="仿宋"/>
          <w:bCs/>
          <w:color w:val="auto"/>
          <w:sz w:val="32"/>
          <w:szCs w:val="32"/>
          <w:highlight w:val="none"/>
          <w:u w:val="single"/>
        </w:rPr>
        <w:t xml:space="preserve"> （企业名称） </w:t>
      </w:r>
      <w:r>
        <w:rPr>
          <w:rFonts w:hint="eastAsia" w:ascii="仿宋" w:hAnsi="仿宋" w:eastAsia="仿宋"/>
          <w:bCs/>
          <w:color w:val="auto"/>
          <w:sz w:val="32"/>
          <w:szCs w:val="32"/>
          <w:highlight w:val="none"/>
        </w:rPr>
        <w:t xml:space="preserve">，从业人员人，营业收入为万元，资产总额为万元，属于</w:t>
      </w:r>
      <w:r>
        <w:rPr>
          <w:rFonts w:hint="eastAsia" w:ascii="仿宋" w:hAnsi="仿宋" w:eastAsia="仿宋"/>
          <w:bCs/>
          <w:color w:val="auto"/>
          <w:sz w:val="32"/>
          <w:szCs w:val="32"/>
          <w:highlight w:val="none"/>
          <w:u w:val="single"/>
        </w:rPr>
        <w:t xml:space="preserve"> （中型企业、小型企业、微型企业）</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7. </w:t>
      </w:r>
      <w:r>
        <w:rPr>
          <w:rFonts w:hint="eastAsia" w:ascii="仿宋" w:hAnsi="仿宋" w:eastAsia="仿宋"/>
          <w:bCs/>
          <w:color w:val="auto"/>
          <w:sz w:val="32"/>
          <w:szCs w:val="32"/>
          <w:highlight w:val="none"/>
          <w:u w:val="single"/>
        </w:rPr>
        <w:t xml:space="preserve">（挥发性有机物自动分析仪）</w:t>
      </w:r>
      <w:r>
        <w:rPr>
          <w:rFonts w:hint="eastAsia" w:ascii="仿宋" w:hAnsi="仿宋" w:eastAsia="仿宋"/>
          <w:bCs/>
          <w:color w:val="auto"/>
          <w:sz w:val="32"/>
          <w:szCs w:val="32"/>
          <w:highlight w:val="none"/>
        </w:rPr>
        <w:t xml:space="preserve"> ，属于</w:t>
      </w:r>
      <w:r>
        <w:rPr>
          <w:rFonts w:hint="eastAsia" w:ascii="仿宋" w:hAnsi="仿宋" w:eastAsia="仿宋"/>
          <w:bCs/>
          <w:color w:val="auto"/>
          <w:sz w:val="32"/>
          <w:szCs w:val="32"/>
          <w:highlight w:val="none"/>
          <w:u w:val="single"/>
        </w:rPr>
        <w:t xml:space="preserve">（工业）行业</w:t>
      </w:r>
      <w:r>
        <w:rPr>
          <w:rFonts w:hint="eastAsia" w:ascii="仿宋" w:hAnsi="仿宋" w:eastAsia="仿宋"/>
          <w:bCs/>
          <w:color w:val="auto"/>
          <w:sz w:val="32"/>
          <w:szCs w:val="32"/>
          <w:highlight w:val="none"/>
        </w:rPr>
        <w:t xml:space="preserve"> ；制造商为</w:t>
      </w:r>
      <w:r>
        <w:rPr>
          <w:rFonts w:hint="eastAsia" w:ascii="仿宋" w:hAnsi="仿宋" w:eastAsia="仿宋"/>
          <w:bCs/>
          <w:color w:val="auto"/>
          <w:sz w:val="32"/>
          <w:szCs w:val="32"/>
          <w:highlight w:val="none"/>
          <w:u w:val="single"/>
        </w:rPr>
        <w:t xml:space="preserve"> （企业名称） </w:t>
      </w:r>
      <w:r>
        <w:rPr>
          <w:rFonts w:hint="eastAsia" w:ascii="仿宋" w:hAnsi="仿宋" w:eastAsia="仿宋"/>
          <w:bCs/>
          <w:color w:val="auto"/>
          <w:sz w:val="32"/>
          <w:szCs w:val="32"/>
          <w:highlight w:val="none"/>
        </w:rPr>
        <w:t xml:space="preserve">，从业人员人，营业收入为万元，资产总额为万元，属于</w:t>
      </w:r>
      <w:r>
        <w:rPr>
          <w:rFonts w:hint="eastAsia" w:ascii="仿宋" w:hAnsi="仿宋" w:eastAsia="仿宋"/>
          <w:bCs/>
          <w:color w:val="auto"/>
          <w:sz w:val="32"/>
          <w:szCs w:val="32"/>
          <w:highlight w:val="none"/>
          <w:u w:val="single"/>
        </w:rPr>
        <w:t xml:space="preserve"> （中型企业、小型企业、微型企业）</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8. </w:t>
      </w:r>
      <w:r>
        <w:rPr>
          <w:rFonts w:hint="eastAsia" w:ascii="仿宋" w:hAnsi="仿宋" w:eastAsia="仿宋"/>
          <w:bCs/>
          <w:color w:val="auto"/>
          <w:sz w:val="32"/>
          <w:szCs w:val="32"/>
          <w:highlight w:val="none"/>
          <w:u w:val="single"/>
        </w:rPr>
        <w:t xml:space="preserve">（系统集成单元）</w:t>
      </w:r>
      <w:r>
        <w:rPr>
          <w:rFonts w:hint="eastAsia" w:ascii="仿宋" w:hAnsi="仿宋" w:eastAsia="仿宋"/>
          <w:bCs/>
          <w:color w:val="auto"/>
          <w:sz w:val="32"/>
          <w:szCs w:val="32"/>
          <w:highlight w:val="none"/>
        </w:rPr>
        <w:t xml:space="preserve"> ，属于</w:t>
      </w:r>
      <w:r>
        <w:rPr>
          <w:rFonts w:hint="eastAsia" w:ascii="仿宋" w:hAnsi="仿宋" w:eastAsia="仿宋"/>
          <w:bCs/>
          <w:color w:val="auto"/>
          <w:sz w:val="32"/>
          <w:szCs w:val="32"/>
          <w:highlight w:val="none"/>
          <w:u w:val="single"/>
        </w:rPr>
        <w:t xml:space="preserve">（工业）行业</w:t>
      </w:r>
      <w:r>
        <w:rPr>
          <w:rFonts w:hint="eastAsia" w:ascii="仿宋" w:hAnsi="仿宋" w:eastAsia="仿宋"/>
          <w:bCs/>
          <w:color w:val="auto"/>
          <w:sz w:val="32"/>
          <w:szCs w:val="32"/>
          <w:highlight w:val="none"/>
        </w:rPr>
        <w:t xml:space="preserve"> ；制造商为</w:t>
      </w:r>
      <w:r>
        <w:rPr>
          <w:rFonts w:hint="eastAsia" w:ascii="仿宋" w:hAnsi="仿宋" w:eastAsia="仿宋"/>
          <w:bCs/>
          <w:color w:val="auto"/>
          <w:sz w:val="32"/>
          <w:szCs w:val="32"/>
          <w:highlight w:val="none"/>
          <w:u w:val="single"/>
        </w:rPr>
        <w:t xml:space="preserve"> （企业名称） </w:t>
      </w:r>
      <w:r>
        <w:rPr>
          <w:rFonts w:hint="eastAsia" w:ascii="仿宋" w:hAnsi="仿宋" w:eastAsia="仿宋"/>
          <w:bCs/>
          <w:color w:val="auto"/>
          <w:sz w:val="32"/>
          <w:szCs w:val="32"/>
          <w:highlight w:val="none"/>
        </w:rPr>
        <w:t xml:space="preserve">，从业人员人，营业收入为万元，资产总额为万元，属于</w:t>
      </w:r>
      <w:r>
        <w:rPr>
          <w:rFonts w:hint="eastAsia" w:ascii="仿宋" w:hAnsi="仿宋" w:eastAsia="仿宋"/>
          <w:bCs/>
          <w:color w:val="auto"/>
          <w:sz w:val="32"/>
          <w:szCs w:val="32"/>
          <w:highlight w:val="none"/>
          <w:u w:val="single"/>
        </w:rPr>
        <w:t xml:space="preserve"> （中型企业、小型企业、微型企业）</w:t>
      </w:r>
      <w:r/>
    </w:p>
    <w:p>
      <w:pPr>
        <w:ind w:firstLine="640"/>
        <w:spacing w:line="500" w:lineRule="exact"/>
        <w:rPr>
          <w:rFonts w:ascii="仿宋" w:hAnsi="仿宋" w:eastAsia="仿宋"/>
          <w:bCs/>
          <w:color w:val="auto"/>
          <w:sz w:val="32"/>
          <w:szCs w:val="32"/>
          <w:highlight w:val="none"/>
        </w:rPr>
      </w:pPr>
      <w:r>
        <w:rPr>
          <w:rFonts w:ascii="仿宋" w:hAnsi="仿宋" w:eastAsia="仿宋"/>
          <w:bCs/>
          <w:color w:val="auto"/>
          <w:sz w:val="32"/>
          <w:szCs w:val="32"/>
          <w:highlight w:val="none"/>
        </w:rPr>
      </w:r>
      <w:r/>
    </w:p>
    <w:p>
      <w:pPr>
        <w:ind w:firstLine="640"/>
        <w:spacing w:line="500" w:lineRule="exact"/>
        <w:rPr>
          <w:rFonts w:ascii="仿宋" w:hAnsi="仿宋" w:eastAsia="仿宋"/>
          <w:bCs/>
          <w:color w:val="auto"/>
          <w:sz w:val="32"/>
          <w:szCs w:val="32"/>
          <w:highlight w:val="none"/>
        </w:rPr>
      </w:pPr>
      <w:r>
        <w:rPr>
          <w:rFonts w:ascii="仿宋" w:hAnsi="仿宋" w:eastAsia="仿宋"/>
          <w:bCs/>
          <w:color w:val="auto"/>
          <w:sz w:val="32"/>
          <w:szCs w:val="32"/>
          <w:highlight w:val="none"/>
        </w:rPr>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本企业对上述声明内容的真实性负责。如有虚假，将依法承担相应责任。</w:t>
      </w:r>
      <w:r/>
    </w:p>
    <w:p>
      <w:pPr>
        <w:jc w:val="right"/>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企业名称（盖章）：            </w:t>
      </w:r>
      <w:r/>
    </w:p>
    <w:p>
      <w:pPr>
        <w:jc w:val="right"/>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日 期：               </w:t>
      </w:r>
      <w:r/>
    </w:p>
    <w:p>
      <w:pPr>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注1： 从业人员、营业收入、资产总额填报上一年度数据，无上一年度数据的新成立企业可不填报。</w:t>
      </w:r>
      <w:r/>
    </w:p>
    <w:p>
      <w:pPr>
        <w:rPr>
          <w:rFonts w:ascii="仿宋" w:hAnsi="仿宋" w:eastAsia="仿宋"/>
          <w:bCs/>
          <w:color w:val="auto"/>
          <w:sz w:val="28"/>
          <w:szCs w:val="28"/>
          <w:highlight w:val="none"/>
        </w:rPr>
      </w:pPr>
      <w:r>
        <w:rPr>
          <w:rFonts w:hint="eastAsia" w:ascii="仿宋" w:hAnsi="仿宋" w:eastAsia="仿宋"/>
          <w:bCs/>
          <w:color w:val="auto"/>
          <w:sz w:val="28"/>
          <w:szCs w:val="28"/>
          <w:highlight w:val="none"/>
        </w:rPr>
        <w:br w:type="page" w:clear="all"/>
      </w:r>
      <w:r/>
    </w:p>
    <w:p>
      <w:pPr>
        <w:jc w:val="center"/>
        <w:spacing w:line="500" w:lineRule="exact"/>
        <w:rPr>
          <w:rFonts w:ascii="方正小标宋简体" w:hAnsi="Calibri" w:eastAsia="方正小标宋简体"/>
          <w:bCs/>
          <w:color w:val="auto"/>
          <w:sz w:val="44"/>
          <w:szCs w:val="44"/>
          <w:highlight w:val="none"/>
        </w:rPr>
      </w:pPr>
      <w:r>
        <w:rPr>
          <w:rFonts w:hint="eastAsia" w:ascii="方正小标宋简体" w:hAnsi="Calibri" w:eastAsia="方正小标宋简体"/>
          <w:bCs/>
          <w:color w:val="auto"/>
          <w:sz w:val="44"/>
          <w:szCs w:val="44"/>
          <w:highlight w:val="none"/>
        </w:rPr>
        <w:t xml:space="preserve">中小企业声明函（货物）（采购包2）</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bCs/>
          <w:i/>
          <w:color w:val="auto"/>
          <w:sz w:val="32"/>
          <w:szCs w:val="32"/>
          <w:highlight w:val="none"/>
          <w:u w:val="single"/>
        </w:rPr>
        <w:t xml:space="preserve">（南通市如皋生态环境局）</w:t>
      </w:r>
      <w:r>
        <w:rPr>
          <w:rFonts w:hint="eastAsia" w:ascii="仿宋" w:hAnsi="仿宋" w:eastAsia="仿宋"/>
          <w:bCs/>
          <w:color w:val="auto"/>
          <w:sz w:val="32"/>
          <w:szCs w:val="32"/>
          <w:highlight w:val="none"/>
        </w:rPr>
        <w:t xml:space="preserve"> 的</w:t>
      </w:r>
      <w:r>
        <w:rPr>
          <w:rFonts w:hint="eastAsia" w:ascii="仿宋" w:hAnsi="仿宋" w:eastAsia="仿宋"/>
          <w:bCs/>
          <w:i/>
          <w:color w:val="auto"/>
          <w:sz w:val="32"/>
          <w:szCs w:val="32"/>
          <w:highlight w:val="none"/>
          <w:u w:val="single"/>
        </w:rPr>
        <w:t xml:space="preserve">（如皋市水源地水质自动监测监控预警能力提升建设项目）</w:t>
      </w:r>
      <w:r>
        <w:rPr>
          <w:rFonts w:hint="eastAsia" w:ascii="仿宋" w:hAnsi="仿宋" w:eastAsia="仿宋"/>
          <w:bCs/>
          <w:color w:val="auto"/>
          <w:sz w:val="32"/>
          <w:szCs w:val="32"/>
          <w:highlight w:val="none"/>
        </w:rPr>
        <w:t xml:space="preserve"> 采购活动，提供的货物全部由符合政策要求的中小企业制造。相关企业（含联合体中的中小企业、签订分包意向协议的中小企业）的具体情况如下：</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1. </w:t>
      </w:r>
      <w:r>
        <w:rPr>
          <w:rFonts w:hint="eastAsia" w:ascii="仿宋" w:hAnsi="仿宋" w:eastAsia="仿宋"/>
          <w:bCs/>
          <w:i/>
          <w:color w:val="auto"/>
          <w:sz w:val="32"/>
          <w:szCs w:val="32"/>
          <w:highlight w:val="none"/>
          <w:u w:val="single"/>
        </w:rPr>
        <w:t xml:space="preserve">（总磷总氮全自动分析仪）</w:t>
      </w:r>
      <w:r>
        <w:rPr>
          <w:rFonts w:hint="eastAsia" w:ascii="仿宋" w:hAnsi="仿宋" w:eastAsia="仿宋"/>
          <w:bCs/>
          <w:color w:val="auto"/>
          <w:sz w:val="32"/>
          <w:szCs w:val="32"/>
          <w:highlight w:val="none"/>
        </w:rPr>
        <w:t xml:space="preserve">，属于</w:t>
      </w:r>
      <w:r>
        <w:rPr>
          <w:rFonts w:hint="eastAsia" w:ascii="仿宋" w:hAnsi="仿宋" w:eastAsia="仿宋"/>
          <w:bCs/>
          <w:i/>
          <w:color w:val="auto"/>
          <w:sz w:val="32"/>
          <w:szCs w:val="32"/>
          <w:highlight w:val="none"/>
          <w:u w:val="single"/>
        </w:rPr>
        <w:t xml:space="preserve">（工业行业）行业</w:t>
      </w:r>
      <w:r>
        <w:rPr>
          <w:rFonts w:hint="eastAsia" w:ascii="仿宋" w:hAnsi="仿宋" w:eastAsia="仿宋"/>
          <w:bCs/>
          <w:color w:val="auto"/>
          <w:sz w:val="32"/>
          <w:szCs w:val="32"/>
          <w:highlight w:val="none"/>
        </w:rPr>
        <w:t xml:space="preserve"> ；制造商为 </w:t>
      </w:r>
      <w:r>
        <w:rPr>
          <w:rFonts w:hint="eastAsia" w:ascii="仿宋" w:hAnsi="仿宋" w:eastAsia="仿宋"/>
          <w:bCs/>
          <w:i/>
          <w:color w:val="auto"/>
          <w:sz w:val="32"/>
          <w:szCs w:val="32"/>
          <w:highlight w:val="none"/>
          <w:u w:val="single"/>
        </w:rPr>
        <w:t xml:space="preserve">（企业名称）</w:t>
      </w:r>
      <w:r>
        <w:rPr>
          <w:rFonts w:hint="eastAsia" w:ascii="仿宋" w:hAnsi="仿宋" w:eastAsia="仿宋"/>
          <w:bCs/>
          <w:color w:val="auto"/>
          <w:sz w:val="32"/>
          <w:szCs w:val="32"/>
          <w:highlight w:val="none"/>
        </w:rPr>
        <w:t xml:space="preserve"> ，从业人员人，营业收入为万元，资产总额为万元</w:t>
      </w:r>
      <w:r>
        <w:rPr>
          <w:rFonts w:hint="eastAsia" w:ascii="仿宋" w:hAnsi="仿宋" w:eastAsia="仿宋"/>
          <w:bCs/>
          <w:color w:val="auto"/>
          <w:sz w:val="32"/>
          <w:szCs w:val="32"/>
          <w:highlight w:val="none"/>
          <w:vertAlign w:val="superscript"/>
        </w:rPr>
        <w:t xml:space="preserve">1</w:t>
      </w:r>
      <w:r>
        <w:rPr>
          <w:rFonts w:hint="eastAsia" w:ascii="仿宋" w:hAnsi="仿宋" w:eastAsia="仿宋"/>
          <w:bCs/>
          <w:color w:val="auto"/>
          <w:sz w:val="32"/>
          <w:szCs w:val="32"/>
          <w:highlight w:val="none"/>
        </w:rPr>
        <w:t xml:space="preserve"> ，属于</w:t>
      </w:r>
      <w:r>
        <w:rPr>
          <w:rFonts w:hint="eastAsia" w:ascii="仿宋" w:hAnsi="仿宋" w:eastAsia="仿宋"/>
          <w:bCs/>
          <w:i/>
          <w:color w:val="auto"/>
          <w:sz w:val="32"/>
          <w:szCs w:val="32"/>
          <w:highlight w:val="none"/>
          <w:u w:val="single"/>
        </w:rPr>
        <w:t xml:space="preserve"> （中型企业、小型企业、微型企业） </w:t>
      </w:r>
      <w:r>
        <w:rPr>
          <w:rFonts w:hint="eastAsia" w:ascii="仿宋" w:hAnsi="仿宋" w:eastAsia="仿宋"/>
          <w:bCs/>
          <w:color w:val="auto"/>
          <w:sz w:val="32"/>
          <w:szCs w:val="32"/>
          <w:highlight w:val="none"/>
        </w:rPr>
        <w:t xml:space="preserve">；</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2. </w:t>
      </w:r>
      <w:r>
        <w:rPr>
          <w:rFonts w:hint="eastAsia" w:ascii="仿宋" w:hAnsi="仿宋" w:eastAsia="仿宋"/>
          <w:bCs/>
          <w:i/>
          <w:color w:val="auto"/>
          <w:sz w:val="32"/>
          <w:szCs w:val="32"/>
          <w:highlight w:val="none"/>
          <w:u w:val="single"/>
        </w:rPr>
        <w:t xml:space="preserve">（采水无人机）</w:t>
      </w:r>
      <w:r>
        <w:rPr>
          <w:rFonts w:hint="eastAsia" w:ascii="仿宋" w:hAnsi="仿宋" w:eastAsia="仿宋"/>
          <w:bCs/>
          <w:color w:val="auto"/>
          <w:sz w:val="32"/>
          <w:szCs w:val="32"/>
          <w:highlight w:val="none"/>
        </w:rPr>
        <w:t xml:space="preserve"> ，属于</w:t>
      </w:r>
      <w:r>
        <w:rPr>
          <w:rFonts w:hint="eastAsia" w:ascii="仿宋" w:hAnsi="仿宋" w:eastAsia="仿宋"/>
          <w:bCs/>
          <w:i/>
          <w:color w:val="auto"/>
          <w:sz w:val="32"/>
          <w:szCs w:val="32"/>
          <w:highlight w:val="none"/>
          <w:u w:val="single"/>
        </w:rPr>
        <w:t xml:space="preserve">（工业）行业</w:t>
      </w:r>
      <w:r>
        <w:rPr>
          <w:rFonts w:hint="eastAsia" w:ascii="仿宋" w:hAnsi="仿宋" w:eastAsia="仿宋"/>
          <w:bCs/>
          <w:color w:val="auto"/>
          <w:sz w:val="32"/>
          <w:szCs w:val="32"/>
          <w:highlight w:val="none"/>
        </w:rPr>
        <w:t xml:space="preserve"> ；制造商为</w:t>
      </w:r>
      <w:r>
        <w:rPr>
          <w:rFonts w:hint="eastAsia" w:ascii="仿宋" w:hAnsi="仿宋" w:eastAsia="仿宋"/>
          <w:bCs/>
          <w:i/>
          <w:color w:val="auto"/>
          <w:sz w:val="32"/>
          <w:szCs w:val="32"/>
          <w:highlight w:val="none"/>
          <w:u w:val="single"/>
        </w:rPr>
        <w:t xml:space="preserve"> （企业名称） </w:t>
      </w:r>
      <w:r>
        <w:rPr>
          <w:rFonts w:hint="eastAsia" w:ascii="仿宋" w:hAnsi="仿宋" w:eastAsia="仿宋"/>
          <w:bCs/>
          <w:color w:val="auto"/>
          <w:sz w:val="32"/>
          <w:szCs w:val="32"/>
          <w:highlight w:val="none"/>
        </w:rPr>
        <w:t xml:space="preserve">，从业人员人，营业收入为万元，资产总额为万元，属于</w:t>
      </w:r>
      <w:r>
        <w:rPr>
          <w:rFonts w:hint="eastAsia" w:ascii="仿宋" w:hAnsi="仿宋" w:eastAsia="仿宋"/>
          <w:bCs/>
          <w:i/>
          <w:color w:val="auto"/>
          <w:sz w:val="32"/>
          <w:szCs w:val="32"/>
          <w:highlight w:val="none"/>
          <w:u w:val="single"/>
        </w:rPr>
        <w:t xml:space="preserve"> （中型企业、小型企业、微型企业）</w:t>
      </w:r>
      <w:r>
        <w:rPr>
          <w:rFonts w:hint="eastAsia" w:ascii="仿宋" w:hAnsi="仿宋" w:eastAsia="仿宋"/>
          <w:bCs/>
          <w:color w:val="auto"/>
          <w:sz w:val="32"/>
          <w:szCs w:val="32"/>
          <w:highlight w:val="none"/>
        </w:rPr>
        <w:t xml:space="preserve"> ；</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3. </w:t>
      </w:r>
      <w:r>
        <w:rPr>
          <w:rFonts w:hint="eastAsia" w:ascii="仿宋" w:hAnsi="仿宋" w:eastAsia="仿宋"/>
          <w:bCs/>
          <w:i/>
          <w:color w:val="auto"/>
          <w:sz w:val="32"/>
          <w:szCs w:val="32"/>
          <w:highlight w:val="none"/>
          <w:u w:val="single"/>
        </w:rPr>
        <w:t xml:space="preserve">（便携式气相色谱质谱联用仪）</w:t>
      </w:r>
      <w:r>
        <w:rPr>
          <w:rFonts w:hint="eastAsia" w:ascii="仿宋" w:hAnsi="仿宋" w:eastAsia="仿宋"/>
          <w:bCs/>
          <w:color w:val="auto"/>
          <w:sz w:val="32"/>
          <w:szCs w:val="32"/>
          <w:highlight w:val="none"/>
        </w:rPr>
        <w:t xml:space="preserve"> ，属于</w:t>
      </w:r>
      <w:r>
        <w:rPr>
          <w:rFonts w:hint="eastAsia" w:ascii="仿宋" w:hAnsi="仿宋" w:eastAsia="仿宋"/>
          <w:bCs/>
          <w:i/>
          <w:color w:val="auto"/>
          <w:sz w:val="32"/>
          <w:szCs w:val="32"/>
          <w:highlight w:val="none"/>
          <w:u w:val="single"/>
        </w:rPr>
        <w:t xml:space="preserve">（工业）行业</w:t>
      </w:r>
      <w:r>
        <w:rPr>
          <w:rFonts w:hint="eastAsia" w:ascii="仿宋" w:hAnsi="仿宋" w:eastAsia="仿宋"/>
          <w:bCs/>
          <w:color w:val="auto"/>
          <w:sz w:val="32"/>
          <w:szCs w:val="32"/>
          <w:highlight w:val="none"/>
        </w:rPr>
        <w:t xml:space="preserve"> ；制造商为</w:t>
      </w:r>
      <w:r>
        <w:rPr>
          <w:rFonts w:hint="eastAsia" w:ascii="仿宋" w:hAnsi="仿宋" w:eastAsia="仿宋"/>
          <w:bCs/>
          <w:i/>
          <w:color w:val="auto"/>
          <w:sz w:val="32"/>
          <w:szCs w:val="32"/>
          <w:highlight w:val="none"/>
          <w:u w:val="single"/>
        </w:rPr>
        <w:t xml:space="preserve"> （企业名称） </w:t>
      </w:r>
      <w:r>
        <w:rPr>
          <w:rFonts w:hint="eastAsia" w:ascii="仿宋" w:hAnsi="仿宋" w:eastAsia="仿宋"/>
          <w:bCs/>
          <w:color w:val="auto"/>
          <w:sz w:val="32"/>
          <w:szCs w:val="32"/>
          <w:highlight w:val="none"/>
        </w:rPr>
        <w:t xml:space="preserve">，从业人员人，营业收入为万元，资产总额为万元，属于</w:t>
      </w:r>
      <w:r>
        <w:rPr>
          <w:rFonts w:hint="eastAsia" w:ascii="仿宋" w:hAnsi="仿宋" w:eastAsia="仿宋"/>
          <w:bCs/>
          <w:i/>
          <w:color w:val="auto"/>
          <w:sz w:val="32"/>
          <w:szCs w:val="32"/>
          <w:highlight w:val="none"/>
          <w:u w:val="single"/>
        </w:rPr>
        <w:t xml:space="preserve"> （中型企业、小型企业、微型企业）</w:t>
      </w:r>
      <w:r/>
    </w:p>
    <w:p>
      <w:pPr>
        <w:ind w:firstLine="643"/>
        <w:spacing w:line="500" w:lineRule="exact"/>
        <w:rPr>
          <w:rFonts w:ascii="仿宋" w:hAnsi="仿宋" w:eastAsia="仿宋"/>
          <w:b/>
          <w:color w:val="auto"/>
          <w:sz w:val="32"/>
          <w:szCs w:val="32"/>
          <w:highlight w:val="none"/>
        </w:rPr>
      </w:pPr>
      <w:r>
        <w:rPr>
          <w:rFonts w:ascii="仿宋" w:hAnsi="仿宋" w:eastAsia="仿宋"/>
          <w:b/>
          <w:color w:val="auto"/>
          <w:sz w:val="32"/>
          <w:szCs w:val="32"/>
          <w:highlight w:val="none"/>
        </w:rPr>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本企业对上述声明内容的真实性负责。如有虚假，将依法承担相应责任。</w:t>
      </w:r>
      <w:r/>
    </w:p>
    <w:p>
      <w:pPr>
        <w:jc w:val="right"/>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企业名称（盖章）：            </w:t>
      </w:r>
      <w:r/>
    </w:p>
    <w:p>
      <w:pPr>
        <w:jc w:val="right"/>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日 期：               </w:t>
      </w:r>
      <w:r/>
    </w:p>
    <w:p>
      <w:pPr>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注1： 从业人员、营业收入、资产总额填报上一年度数据，无上一年度数据的新成立企业可不填报。</w:t>
      </w:r>
      <w:r/>
    </w:p>
    <w:p>
      <w:pPr>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jc w:val="left"/>
        <w:widowControl/>
        <w:rPr>
          <w:rFonts w:ascii="Calibri" w:hAnsi="Calibri"/>
          <w:bCs/>
          <w:color w:val="auto"/>
          <w:szCs w:val="22"/>
          <w:highlight w:val="none"/>
        </w:rPr>
      </w:pPr>
      <w:r>
        <w:rPr>
          <w:rFonts w:ascii="Calibri" w:hAnsi="Calibri"/>
          <w:bCs/>
          <w:color w:val="auto"/>
          <w:szCs w:val="22"/>
          <w:highlight w:val="none"/>
        </w:rPr>
        <w:br w:type="page" w:clear="all"/>
      </w:r>
      <w:r/>
    </w:p>
    <w:p>
      <w:pPr>
        <w:spacing w:line="500" w:lineRule="exact"/>
        <w:rPr>
          <w:rFonts w:ascii="仿宋" w:hAnsi="仿宋" w:eastAsia="仿宋" w:cs="Arial"/>
          <w:bCs/>
          <w:color w:val="auto"/>
          <w:sz w:val="28"/>
          <w:szCs w:val="28"/>
          <w:highlight w:val="none"/>
        </w:rPr>
      </w:pPr>
      <w:r>
        <w:rPr>
          <w:rFonts w:hint="eastAsia" w:ascii="仿宋" w:hAnsi="仿宋" w:eastAsia="仿宋"/>
          <w:bCs/>
          <w:color w:val="auto"/>
          <w:sz w:val="28"/>
          <w:szCs w:val="28"/>
          <w:highlight w:val="none"/>
        </w:rPr>
        <w:t xml:space="preserve">（四）</w:t>
      </w:r>
      <w:r>
        <w:rPr>
          <w:rFonts w:hint="eastAsia" w:ascii="仿宋" w:hAnsi="仿宋" w:eastAsia="仿宋" w:cs="Arial"/>
          <w:bCs/>
          <w:color w:val="auto"/>
          <w:sz w:val="28"/>
          <w:szCs w:val="28"/>
          <w:highlight w:val="none"/>
        </w:rPr>
        <w:t xml:space="preserve">残疾人福利性单位声明函</w:t>
      </w:r>
      <w:r>
        <w:rPr>
          <w:rFonts w:hint="eastAsia" w:ascii="仿宋" w:hAnsi="仿宋" w:eastAsia="仿宋"/>
          <w:bCs/>
          <w:color w:val="auto"/>
          <w:sz w:val="28"/>
          <w:szCs w:val="28"/>
          <w:highlight w:val="none"/>
        </w:rPr>
        <w:t xml:space="preserve">（根据响应供应商具体情况而定，如不属于可删除）</w:t>
      </w:r>
      <w:r/>
    </w:p>
    <w:p>
      <w:pPr>
        <w:jc w:val="center"/>
        <w:rPr>
          <w:rFonts w:ascii="方正小标宋简体" w:eastAsia="方正小标宋简体"/>
          <w:bCs/>
          <w:i/>
          <w:color w:val="auto"/>
          <w:sz w:val="36"/>
          <w:szCs w:val="36"/>
          <w:highlight w:val="none"/>
        </w:rPr>
      </w:pPr>
      <w:r>
        <w:rPr>
          <w:rFonts w:hint="eastAsia" w:ascii="方正小标宋简体" w:eastAsia="方正小标宋简体"/>
          <w:bCs/>
          <w:color w:val="auto"/>
          <w:sz w:val="36"/>
          <w:szCs w:val="36"/>
          <w:highlight w:val="none"/>
        </w:rPr>
        <w:t xml:space="preserve">残疾人福利性单位声明函</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本单位对上述声明的真实性负责。如有虚假，将依法承担相应责任。</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right="1560" w:firstLine="560"/>
        <w:jc w:val="center"/>
        <w:spacing w:line="500" w:lineRule="exact"/>
        <w:tabs>
          <w:tab w:val="left" w:pos="486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日  期：</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注意：中标供应商提供的《中小企业声明函》、《残疾人福利性单位声明函》将随中标结果同时公告，接受社会监督。</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br w:type="page" w:clear="all"/>
      </w:r>
      <w:r>
        <w:rPr>
          <w:rFonts w:hint="eastAsia" w:ascii="仿宋" w:hAnsi="仿宋" w:eastAsia="仿宋" w:cs="仿宋"/>
          <w:bCs/>
          <w:color w:val="auto"/>
          <w:sz w:val="28"/>
          <w:szCs w:val="28"/>
          <w:highlight w:val="none"/>
        </w:rPr>
        <w:t xml:space="preserve">（五）关于符合本国产品标准的声明函（在有进口产品参加的采购项目中，享受本国产品价格扣除优惠的，须提供此函）</w:t>
      </w:r>
      <w:r/>
    </w:p>
    <w:p>
      <w:pPr>
        <w:jc w:val="center"/>
        <w:rPr>
          <w:rFonts w:ascii="方正小标宋简体" w:hAnsi="方正小标宋简体" w:eastAsia="方正小标宋简体"/>
          <w:bCs/>
          <w:color w:val="auto"/>
          <w:sz w:val="44"/>
          <w:szCs w:val="44"/>
          <w:highlight w:val="none"/>
        </w:rPr>
      </w:pPr>
      <w:r>
        <w:rPr>
          <w:rStyle w:val="924"/>
          <w:rFonts w:ascii="方正小标宋简体" w:hAnsi="方正小标宋简体" w:eastAsia="方正小标宋简体" w:cs="方正小标宋简体"/>
          <w:b w:val="0"/>
          <w:color w:val="auto"/>
          <w:sz w:val="44"/>
          <w:szCs w:val="44"/>
          <w:highlight w:val="none"/>
        </w:rPr>
        <w:t xml:space="preserve">关于符合本国产品标准的声明函</w:t>
      </w:r>
      <w:r>
        <w:rPr>
          <w:rStyle w:val="924"/>
          <w:rFonts w:hint="eastAsia" w:ascii="方正小标宋简体" w:hAnsi="方正小标宋简体" w:eastAsia="方正小标宋简体" w:cs="方正小标宋简体"/>
          <w:b w:val="0"/>
          <w:color w:val="auto"/>
          <w:sz w:val="44"/>
          <w:szCs w:val="44"/>
          <w:highlight w:val="none"/>
        </w:rPr>
        <w:t xml:space="preserve">（采购包1）</w:t>
      </w:r>
      <w:r/>
    </w:p>
    <w:p>
      <w:pPr>
        <w:ind w:firstLine="420"/>
        <w:rPr>
          <w:rFonts w:ascii="仿宋" w:hAnsi="仿宋" w:eastAsia="仿宋"/>
          <w:bCs/>
          <w:color w:val="auto"/>
          <w:szCs w:val="21"/>
          <w:highlight w:val="none"/>
        </w:rPr>
      </w:pPr>
      <w:r>
        <w:rPr>
          <w:rFonts w:ascii="仿宋" w:hAnsi="仿宋" w:eastAsia="仿宋"/>
          <w:bCs/>
          <w:color w:val="auto"/>
          <w:szCs w:val="21"/>
          <w:highlight w:val="none"/>
        </w:rPr>
      </w:r>
      <w:r/>
    </w:p>
    <w:p>
      <w:pPr>
        <w:ind w:firstLine="640"/>
        <w:spacing w:line="540" w:lineRule="exact"/>
        <w:rPr>
          <w:rFonts w:ascii="仿宋" w:hAnsi="仿宋" w:eastAsia="仿宋"/>
          <w:bCs/>
          <w:color w:val="auto"/>
          <w:sz w:val="32"/>
          <w:szCs w:val="32"/>
          <w:highlight w:val="none"/>
        </w:rPr>
      </w:pPr>
      <w:r>
        <w:rPr>
          <w:rFonts w:hint="eastAsia" w:ascii="仿宋" w:hAnsi="仿宋" w:eastAsia="仿宋" w:cs="仿宋"/>
          <w:bCs/>
          <w:color w:val="auto"/>
          <w:sz w:val="32"/>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ascii="仿宋" w:hAnsi="仿宋" w:eastAsia="仿宋"/>
          <w:bCs/>
          <w:color w:val="auto"/>
          <w:sz w:val="32"/>
          <w:szCs w:val="32"/>
          <w:highlight w:val="none"/>
        </w:rPr>
      </w:pPr>
      <w:r>
        <w:rPr>
          <w:rFonts w:hint="eastAsia" w:ascii="仿宋" w:hAnsi="仿宋" w:eastAsia="仿宋" w:cs="仿宋"/>
          <w:bCs/>
          <w:color w:val="auto"/>
          <w:sz w:val="32"/>
          <w:szCs w:val="32"/>
          <w:highlight w:val="none"/>
        </w:rPr>
        <w:t xml:space="preserve">1.</w:t>
      </w:r>
      <w:r>
        <w:rPr>
          <w:rStyle w:val="921"/>
          <w:rFonts w:hint="eastAsia" w:ascii="仿宋" w:hAnsi="仿宋" w:eastAsia="仿宋" w:cs="仿宋"/>
          <w:bCs/>
          <w:i w:val="0"/>
          <w:iCs w:val="0"/>
          <w:color w:val="auto"/>
          <w:sz w:val="32"/>
          <w:szCs w:val="32"/>
          <w:highlight w:val="none"/>
        </w:rPr>
        <w:t xml:space="preserve">（五参数分析仪）</w:t>
      </w:r>
      <w:r>
        <w:rPr>
          <w:rStyle w:val="921"/>
          <w:rFonts w:hint="eastAsia" w:ascii="仿宋" w:hAnsi="仿宋" w:eastAsia="仿宋" w:cs="仿宋"/>
          <w:bCs/>
          <w:i w:val="0"/>
          <w:iCs w:val="0"/>
          <w:color w:val="auto"/>
          <w:sz w:val="32"/>
          <w:szCs w:val="32"/>
          <w:highlight w:val="none"/>
          <w:vertAlign w:val="superscript"/>
        </w:rPr>
        <w:t xml:space="preserve">1</w:t>
      </w:r>
      <w:r>
        <w:rPr>
          <w:rFonts w:hint="eastAsia" w:ascii="仿宋" w:hAnsi="仿宋" w:eastAsia="仿宋" w:cs="仿宋"/>
          <w:bCs/>
          <w:color w:val="auto"/>
          <w:sz w:val="32"/>
          <w:szCs w:val="32"/>
          <w:highlight w:val="none"/>
        </w:rPr>
        <w:t xml:space="preserve">，生产厂为</w:t>
      </w:r>
      <w:r>
        <w:rPr>
          <w:rStyle w:val="921"/>
          <w:rFonts w:hint="eastAsia" w:ascii="仿宋" w:hAnsi="仿宋" w:eastAsia="仿宋" w:cs="仿宋"/>
          <w:bCs/>
          <w:i w:val="0"/>
          <w:iCs w:val="0"/>
          <w:color w:val="auto"/>
          <w:sz w:val="32"/>
          <w:szCs w:val="32"/>
          <w:highlight w:val="none"/>
        </w:rPr>
        <w:t xml:space="preserve">（厂名）</w:t>
      </w:r>
      <w:r>
        <w:rPr>
          <w:rStyle w:val="921"/>
          <w:rFonts w:hint="eastAsia" w:ascii="仿宋" w:hAnsi="仿宋" w:eastAsia="仿宋" w:cs="仿宋"/>
          <w:bCs/>
          <w:i w:val="0"/>
          <w:iCs w:val="0"/>
          <w:color w:val="auto"/>
          <w:sz w:val="32"/>
          <w:szCs w:val="32"/>
          <w:highlight w:val="none"/>
          <w:vertAlign w:val="superscript"/>
        </w:rPr>
        <w:t xml:space="preserve">2</w:t>
      </w:r>
      <w:r>
        <w:rPr>
          <w:rFonts w:hint="eastAsia" w:ascii="仿宋" w:hAnsi="仿宋" w:eastAsia="仿宋" w:cs="仿宋"/>
          <w:bCs/>
          <w:color w:val="auto"/>
          <w:sz w:val="32"/>
          <w:szCs w:val="32"/>
          <w:highlight w:val="none"/>
        </w:rPr>
        <w:t xml:space="preserve">，厂址为</w:t>
      </w:r>
      <w:r>
        <w:rPr>
          <w:rStyle w:val="921"/>
          <w:rFonts w:hint="eastAsia" w:ascii="仿宋" w:hAnsi="仿宋" w:eastAsia="仿宋" w:cs="仿宋"/>
          <w:bCs/>
          <w:i w:val="0"/>
          <w:iCs w:val="0"/>
          <w:color w:val="auto"/>
          <w:sz w:val="32"/>
          <w:szCs w:val="32"/>
          <w:highlight w:val="none"/>
        </w:rPr>
        <w:t xml:space="preserve">（生产厂址）</w:t>
      </w:r>
      <w:r>
        <w:rPr>
          <w:rFonts w:hint="eastAsia" w:ascii="仿宋" w:hAnsi="仿宋" w:eastAsia="仿宋" w:cs="仿宋"/>
          <w:bCs/>
          <w:color w:val="auto"/>
          <w:sz w:val="32"/>
          <w:szCs w:val="32"/>
          <w:highlight w:val="none"/>
        </w:rPr>
        <w:t xml:space="preserve">。</w:t>
      </w:r>
      <w:r>
        <w:rPr>
          <w:rStyle w:val="921"/>
          <w:rFonts w:hint="eastAsia" w:ascii="仿宋" w:hAnsi="仿宋" w:eastAsia="仿宋" w:cs="仿宋"/>
          <w:bCs/>
          <w:i w:val="0"/>
          <w:iCs w:val="0"/>
          <w:color w:val="auto"/>
          <w:sz w:val="32"/>
          <w:szCs w:val="32"/>
          <w:highlight w:val="none"/>
        </w:rPr>
        <w:t xml:space="preserve">（产品名称1）</w:t>
      </w:r>
      <w:r>
        <w:rPr>
          <w:rFonts w:hint="eastAsia" w:ascii="仿宋" w:hAnsi="仿宋" w:eastAsia="仿宋" w:cs="仿宋"/>
          <w:bCs/>
          <w:color w:val="auto"/>
          <w:sz w:val="32"/>
          <w:szCs w:val="32"/>
          <w:highlight w:val="none"/>
        </w:rPr>
        <w:t xml:space="preserve">的中国境内生产的组件成本占比≥</w:t>
      </w:r>
      <w:r>
        <w:rPr>
          <w:rStyle w:val="921"/>
          <w:rFonts w:hint="eastAsia" w:ascii="仿宋" w:hAnsi="仿宋" w:eastAsia="仿宋" w:cs="仿宋"/>
          <w:bCs/>
          <w:i w:val="0"/>
          <w:iCs w:val="0"/>
          <w:color w:val="auto"/>
          <w:sz w:val="32"/>
          <w:szCs w:val="32"/>
          <w:highlight w:val="none"/>
        </w:rPr>
        <w:t xml:space="preserve">（规定比例）</w:t>
      </w:r>
      <w:r>
        <w:rPr>
          <w:rStyle w:val="921"/>
          <w:rFonts w:hint="eastAsia" w:ascii="仿宋" w:hAnsi="仿宋" w:eastAsia="仿宋" w:cs="仿宋"/>
          <w:bCs/>
          <w:i w:val="0"/>
          <w:iCs w:val="0"/>
          <w:color w:val="auto"/>
          <w:sz w:val="32"/>
          <w:szCs w:val="32"/>
          <w:highlight w:val="none"/>
          <w:vertAlign w:val="superscript"/>
        </w:rPr>
        <w:t xml:space="preserve">3</w:t>
      </w:r>
      <w:r>
        <w:rPr>
          <w:rFonts w:hint="eastAsia" w:ascii="仿宋" w:hAnsi="仿宋" w:eastAsia="仿宋" w:cs="仿宋"/>
          <w:bCs/>
          <w:color w:val="auto"/>
          <w:sz w:val="32"/>
          <w:szCs w:val="32"/>
          <w:highlight w:val="none"/>
        </w:rPr>
        <w:t xml:space="preserve">。</w:t>
      </w:r>
      <w:r>
        <w:rPr>
          <w:rStyle w:val="921"/>
          <w:rFonts w:hint="eastAsia" w:ascii="仿宋" w:hAnsi="仿宋" w:eastAsia="仿宋" w:cs="仿宋"/>
          <w:bCs/>
          <w:i w:val="0"/>
          <w:iCs w:val="0"/>
          <w:color w:val="auto"/>
          <w:sz w:val="32"/>
          <w:szCs w:val="32"/>
          <w:highlight w:val="none"/>
        </w:rPr>
        <w:t xml:space="preserve">（产品名称1）</w:t>
      </w:r>
      <w:r>
        <w:rPr>
          <w:rFonts w:hint="eastAsia" w:ascii="仿宋" w:hAnsi="仿宋" w:eastAsia="仿宋" w:cs="仿宋"/>
          <w:bCs/>
          <w:color w:val="auto"/>
          <w:sz w:val="32"/>
          <w:szCs w:val="32"/>
          <w:highlight w:val="none"/>
        </w:rPr>
        <w:t xml:space="preserve">的</w:t>
      </w:r>
      <w:r>
        <w:rPr>
          <w:rStyle w:val="921"/>
          <w:rFonts w:hint="eastAsia" w:ascii="仿宋" w:hAnsi="仿宋" w:eastAsia="仿宋" w:cs="仿宋"/>
          <w:bCs/>
          <w:i w:val="0"/>
          <w:iCs w:val="0"/>
          <w:color w:val="auto"/>
          <w:sz w:val="32"/>
          <w:szCs w:val="32"/>
          <w:highlight w:val="none"/>
        </w:rPr>
        <w:t xml:space="preserve">（关键组件）</w:t>
      </w:r>
      <w:r>
        <w:rPr>
          <w:rStyle w:val="921"/>
          <w:rFonts w:hint="eastAsia" w:ascii="仿宋" w:hAnsi="仿宋" w:eastAsia="仿宋" w:cs="仿宋"/>
          <w:bCs/>
          <w:i w:val="0"/>
          <w:iCs w:val="0"/>
          <w:color w:val="auto"/>
          <w:sz w:val="32"/>
          <w:szCs w:val="32"/>
          <w:highlight w:val="none"/>
          <w:vertAlign w:val="superscript"/>
        </w:rPr>
        <w:t xml:space="preserve">4</w:t>
      </w:r>
      <w:r>
        <w:rPr>
          <w:rFonts w:hint="eastAsia" w:ascii="仿宋" w:hAnsi="仿宋" w:eastAsia="仿宋" w:cs="仿宋"/>
          <w:bCs/>
          <w:color w:val="auto"/>
          <w:sz w:val="32"/>
          <w:szCs w:val="32"/>
          <w:highlight w:val="none"/>
        </w:rPr>
        <w:t xml:space="preserve">在中国境内生产。</w:t>
      </w:r>
      <w:r>
        <w:rPr>
          <w:rStyle w:val="921"/>
          <w:rFonts w:hint="eastAsia" w:ascii="仿宋" w:hAnsi="仿宋" w:eastAsia="仿宋" w:cs="仿宋"/>
          <w:bCs/>
          <w:i w:val="0"/>
          <w:iCs w:val="0"/>
          <w:color w:val="auto"/>
          <w:sz w:val="32"/>
          <w:szCs w:val="32"/>
          <w:highlight w:val="none"/>
        </w:rPr>
        <w:t xml:space="preserve">（产品名称1）</w:t>
      </w:r>
      <w:r>
        <w:rPr>
          <w:rFonts w:hint="eastAsia" w:ascii="仿宋" w:hAnsi="仿宋" w:eastAsia="仿宋" w:cs="仿宋"/>
          <w:bCs/>
          <w:color w:val="auto"/>
          <w:sz w:val="32"/>
          <w:szCs w:val="32"/>
          <w:highlight w:val="none"/>
        </w:rPr>
        <w:t xml:space="preserve">的</w:t>
      </w:r>
      <w:r>
        <w:rPr>
          <w:rStyle w:val="921"/>
          <w:rFonts w:hint="eastAsia" w:ascii="仿宋" w:hAnsi="仿宋" w:eastAsia="仿宋" w:cs="仿宋"/>
          <w:bCs/>
          <w:i w:val="0"/>
          <w:iCs w:val="0"/>
          <w:color w:val="auto"/>
          <w:sz w:val="32"/>
          <w:szCs w:val="32"/>
          <w:highlight w:val="none"/>
        </w:rPr>
        <w:t xml:space="preserve">（关键工序）</w:t>
      </w:r>
      <w:r>
        <w:rPr>
          <w:rStyle w:val="921"/>
          <w:rFonts w:hint="eastAsia" w:ascii="仿宋" w:hAnsi="仿宋" w:eastAsia="仿宋" w:cs="仿宋"/>
          <w:bCs/>
          <w:i w:val="0"/>
          <w:iCs w:val="0"/>
          <w:color w:val="auto"/>
          <w:sz w:val="32"/>
          <w:szCs w:val="32"/>
          <w:highlight w:val="none"/>
          <w:vertAlign w:val="superscript"/>
        </w:rPr>
        <w:t xml:space="preserve">5</w:t>
      </w:r>
      <w:r>
        <w:rPr>
          <w:rFonts w:hint="eastAsia" w:ascii="仿宋" w:hAnsi="仿宋" w:eastAsia="仿宋" w:cs="仿宋"/>
          <w:bCs/>
          <w:color w:val="auto"/>
          <w:sz w:val="32"/>
          <w:szCs w:val="32"/>
          <w:highlight w:val="none"/>
        </w:rPr>
        <w:t xml:space="preserve">在中国境内完成。</w:t>
      </w:r>
      <w:r/>
    </w:p>
    <w:p>
      <w:pPr>
        <w:ind w:firstLine="640"/>
        <w:spacing w:line="540" w:lineRule="exact"/>
        <w:rPr>
          <w:rFonts w:ascii="仿宋" w:hAnsi="仿宋" w:eastAsia="仿宋"/>
          <w:bCs/>
          <w:color w:val="auto"/>
          <w:sz w:val="32"/>
          <w:szCs w:val="32"/>
          <w:highlight w:val="none"/>
        </w:rPr>
      </w:pPr>
      <w:r>
        <w:rPr>
          <w:rFonts w:hint="eastAsia" w:ascii="仿宋" w:hAnsi="仿宋" w:eastAsia="仿宋" w:cs="仿宋"/>
          <w:bCs/>
          <w:color w:val="auto"/>
          <w:sz w:val="32"/>
          <w:szCs w:val="32"/>
          <w:highlight w:val="none"/>
        </w:rPr>
        <w:t xml:space="preserve">2.</w:t>
      </w:r>
      <w:r>
        <w:rPr>
          <w:rStyle w:val="921"/>
          <w:rFonts w:hint="eastAsia" w:ascii="仿宋" w:hAnsi="仿宋" w:eastAsia="仿宋" w:cs="仿宋"/>
          <w:bCs/>
          <w:i w:val="0"/>
          <w:iCs w:val="0"/>
          <w:color w:val="auto"/>
          <w:sz w:val="32"/>
          <w:szCs w:val="32"/>
          <w:highlight w:val="none"/>
        </w:rPr>
        <w:t xml:space="preserve">（高锰酸盐指数分析仪）</w:t>
      </w:r>
      <w:r>
        <w:rPr>
          <w:rFonts w:hint="eastAsia" w:ascii="仿宋" w:hAnsi="仿宋" w:eastAsia="仿宋" w:cs="仿宋"/>
          <w:bCs/>
          <w:color w:val="auto"/>
          <w:sz w:val="32"/>
          <w:szCs w:val="32"/>
          <w:highlight w:val="none"/>
        </w:rPr>
        <w:t xml:space="preserve">，生产厂为</w:t>
      </w:r>
      <w:r>
        <w:rPr>
          <w:rStyle w:val="921"/>
          <w:rFonts w:hint="eastAsia" w:ascii="仿宋" w:hAnsi="仿宋" w:eastAsia="仿宋" w:cs="仿宋"/>
          <w:bCs/>
          <w:i w:val="0"/>
          <w:iCs w:val="0"/>
          <w:color w:val="auto"/>
          <w:sz w:val="32"/>
          <w:szCs w:val="32"/>
          <w:highlight w:val="none"/>
        </w:rPr>
        <w:t xml:space="preserve">（厂名）</w:t>
      </w:r>
      <w:r>
        <w:rPr>
          <w:rFonts w:hint="eastAsia" w:ascii="仿宋" w:hAnsi="仿宋" w:eastAsia="仿宋" w:cs="仿宋"/>
          <w:bCs/>
          <w:color w:val="auto"/>
          <w:sz w:val="32"/>
          <w:szCs w:val="32"/>
          <w:highlight w:val="none"/>
        </w:rPr>
        <w:t xml:space="preserve">，厂址为</w:t>
      </w:r>
      <w:r>
        <w:rPr>
          <w:rStyle w:val="921"/>
          <w:rFonts w:hint="eastAsia" w:ascii="仿宋" w:hAnsi="仿宋" w:eastAsia="仿宋" w:cs="仿宋"/>
          <w:bCs/>
          <w:i w:val="0"/>
          <w:iCs w:val="0"/>
          <w:color w:val="auto"/>
          <w:sz w:val="32"/>
          <w:szCs w:val="32"/>
          <w:highlight w:val="none"/>
        </w:rPr>
        <w:t xml:space="preserve">（生产厂址）</w:t>
      </w:r>
      <w:r>
        <w:rPr>
          <w:rFonts w:hint="eastAsia" w:ascii="仿宋" w:hAnsi="仿宋" w:eastAsia="仿宋" w:cs="仿宋"/>
          <w:bCs/>
          <w:color w:val="auto"/>
          <w:sz w:val="32"/>
          <w:szCs w:val="32"/>
          <w:highlight w:val="none"/>
        </w:rPr>
        <w:t xml:space="preserve">。</w:t>
      </w:r>
      <w:r>
        <w:rPr>
          <w:rStyle w:val="921"/>
          <w:rFonts w:hint="eastAsia" w:ascii="仿宋" w:hAnsi="仿宋" w:eastAsia="仿宋" w:cs="仿宋"/>
          <w:bCs/>
          <w:i w:val="0"/>
          <w:iCs w:val="0"/>
          <w:color w:val="auto"/>
          <w:sz w:val="32"/>
          <w:szCs w:val="32"/>
          <w:highlight w:val="none"/>
        </w:rPr>
        <w:t xml:space="preserve">（产品名称2）</w:t>
      </w:r>
      <w:r>
        <w:rPr>
          <w:rFonts w:hint="eastAsia" w:ascii="仿宋" w:hAnsi="仿宋" w:eastAsia="仿宋" w:cs="仿宋"/>
          <w:bCs/>
          <w:color w:val="auto"/>
          <w:sz w:val="32"/>
          <w:szCs w:val="32"/>
          <w:highlight w:val="none"/>
        </w:rPr>
        <w:t xml:space="preserve">的中国境内生产的组件成本占比≥</w:t>
      </w:r>
      <w:r>
        <w:rPr>
          <w:rStyle w:val="921"/>
          <w:rFonts w:hint="eastAsia" w:ascii="仿宋" w:hAnsi="仿宋" w:eastAsia="仿宋" w:cs="仿宋"/>
          <w:bCs/>
          <w:i w:val="0"/>
          <w:iCs w:val="0"/>
          <w:color w:val="auto"/>
          <w:sz w:val="32"/>
          <w:szCs w:val="32"/>
          <w:highlight w:val="none"/>
        </w:rPr>
        <w:t xml:space="preserve">（规定比例）</w:t>
      </w:r>
      <w:r>
        <w:rPr>
          <w:rFonts w:hint="eastAsia" w:ascii="仿宋" w:hAnsi="仿宋" w:eastAsia="仿宋" w:cs="仿宋"/>
          <w:bCs/>
          <w:color w:val="auto"/>
          <w:sz w:val="32"/>
          <w:szCs w:val="32"/>
          <w:highlight w:val="none"/>
        </w:rPr>
        <w:t xml:space="preserve">。</w:t>
      </w:r>
      <w:r>
        <w:rPr>
          <w:rStyle w:val="921"/>
          <w:rFonts w:hint="eastAsia" w:ascii="仿宋" w:hAnsi="仿宋" w:eastAsia="仿宋" w:cs="仿宋"/>
          <w:bCs/>
          <w:i w:val="0"/>
          <w:iCs w:val="0"/>
          <w:color w:val="auto"/>
          <w:sz w:val="32"/>
          <w:szCs w:val="32"/>
          <w:highlight w:val="none"/>
        </w:rPr>
        <w:t xml:space="preserve">（产品名称2）</w:t>
      </w:r>
      <w:r>
        <w:rPr>
          <w:rFonts w:hint="eastAsia" w:ascii="仿宋" w:hAnsi="仿宋" w:eastAsia="仿宋" w:cs="仿宋"/>
          <w:bCs/>
          <w:color w:val="auto"/>
          <w:sz w:val="32"/>
          <w:szCs w:val="32"/>
          <w:highlight w:val="none"/>
        </w:rPr>
        <w:t xml:space="preserve">的</w:t>
      </w:r>
      <w:r>
        <w:rPr>
          <w:rStyle w:val="921"/>
          <w:rFonts w:hint="eastAsia" w:ascii="仿宋" w:hAnsi="仿宋" w:eastAsia="仿宋" w:cs="仿宋"/>
          <w:bCs/>
          <w:i w:val="0"/>
          <w:iCs w:val="0"/>
          <w:color w:val="auto"/>
          <w:sz w:val="32"/>
          <w:szCs w:val="32"/>
          <w:highlight w:val="none"/>
        </w:rPr>
        <w:t xml:space="preserve">（关键组件）</w:t>
      </w:r>
      <w:r>
        <w:rPr>
          <w:rFonts w:hint="eastAsia" w:ascii="仿宋" w:hAnsi="仿宋" w:eastAsia="仿宋" w:cs="仿宋"/>
          <w:bCs/>
          <w:color w:val="auto"/>
          <w:sz w:val="32"/>
          <w:szCs w:val="32"/>
          <w:highlight w:val="none"/>
        </w:rPr>
        <w:t xml:space="preserve">在中国境内生产。</w:t>
      </w:r>
      <w:r>
        <w:rPr>
          <w:rStyle w:val="921"/>
          <w:rFonts w:hint="eastAsia" w:ascii="仿宋" w:hAnsi="仿宋" w:eastAsia="仿宋" w:cs="仿宋"/>
          <w:bCs/>
          <w:i w:val="0"/>
          <w:iCs w:val="0"/>
          <w:color w:val="auto"/>
          <w:sz w:val="32"/>
          <w:szCs w:val="32"/>
          <w:highlight w:val="none"/>
        </w:rPr>
        <w:t xml:space="preserve">（产品名称2）</w:t>
      </w:r>
      <w:r>
        <w:rPr>
          <w:rFonts w:hint="eastAsia" w:ascii="仿宋" w:hAnsi="仿宋" w:eastAsia="仿宋" w:cs="仿宋"/>
          <w:bCs/>
          <w:color w:val="auto"/>
          <w:sz w:val="32"/>
          <w:szCs w:val="32"/>
          <w:highlight w:val="none"/>
        </w:rPr>
        <w:t xml:space="preserve">的</w:t>
      </w:r>
      <w:r>
        <w:rPr>
          <w:rStyle w:val="921"/>
          <w:rFonts w:hint="eastAsia" w:ascii="仿宋" w:hAnsi="仿宋" w:eastAsia="仿宋" w:cs="仿宋"/>
          <w:bCs/>
          <w:i w:val="0"/>
          <w:iCs w:val="0"/>
          <w:color w:val="auto"/>
          <w:sz w:val="32"/>
          <w:szCs w:val="32"/>
          <w:highlight w:val="none"/>
        </w:rPr>
        <w:t xml:space="preserve">（关键工序）</w:t>
      </w:r>
      <w:r>
        <w:rPr>
          <w:rFonts w:hint="eastAsia" w:ascii="仿宋" w:hAnsi="仿宋" w:eastAsia="仿宋" w:cs="仿宋"/>
          <w:bCs/>
          <w:color w:val="auto"/>
          <w:sz w:val="32"/>
          <w:szCs w:val="32"/>
          <w:highlight w:val="none"/>
        </w:rPr>
        <w:t xml:space="preserve">在中国境内完成。</w:t>
      </w:r>
      <w:r/>
    </w:p>
    <w:p>
      <w:pPr>
        <w:ind w:firstLine="640"/>
        <w:spacing w:line="540" w:lineRule="exact"/>
        <w:rPr>
          <w:rFonts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3.（氨氮分析仪），生产厂为（厂名），厂址为（生产厂址）。（产品名称2）的中国境内生产的组件成本占比≥（规定比例）。（产品名称2）的（关键组件）在中国境内生产。（产品名称2）的（关键工序）在中国境内完成。</w:t>
      </w:r>
      <w:r/>
    </w:p>
    <w:p>
      <w:pPr>
        <w:ind w:firstLine="640"/>
        <w:spacing w:line="540" w:lineRule="exact"/>
        <w:rPr>
          <w:rFonts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4.（总磷分析仪），生产厂为（厂名），厂址为（生产厂址）。（产品名称2）的中国境内生产的组件成本占比≥（规定比例）。（产品名称2）的（关键组件）在中国境内生产。（产品名称2）的（关键工序）在中国境内完成。</w:t>
      </w:r>
      <w:r/>
    </w:p>
    <w:p>
      <w:pPr>
        <w:ind w:firstLine="640"/>
        <w:spacing w:line="540" w:lineRule="exact"/>
        <w:rPr>
          <w:rFonts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5.（总氮分析仪），生产厂为（厂名），厂址为（生产厂址）。（产品名称2）的中国境内生产的组件成本占比≥（规定比例）。（产品名称2）的（关键组件）在中国境内生产。（产品名称2）的（关键工序）在中国境内完成。</w:t>
      </w:r>
      <w:r/>
    </w:p>
    <w:p>
      <w:pPr>
        <w:ind w:firstLine="640"/>
        <w:spacing w:line="540" w:lineRule="exact"/>
        <w:rPr>
          <w:rFonts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6.（挥发酚分析仪），生产厂为（厂名），厂址为（生产厂址）。（产品名称2）的中国境内生产的组件成本占比≥（规定比例）。（产品名称2）的（关键组件）在中国境内生产。（产品名称2）的（关键工序）在中国境内完成。</w:t>
      </w:r>
      <w:r/>
    </w:p>
    <w:p>
      <w:pPr>
        <w:ind w:firstLine="640"/>
        <w:spacing w:line="540" w:lineRule="exact"/>
        <w:rPr>
          <w:rFonts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7.（挥发性有机物</w:t>
      </w:r>
      <w:r/>
    </w:p>
    <w:p>
      <w:pPr>
        <w:ind w:firstLine="640"/>
        <w:spacing w:line="540" w:lineRule="exact"/>
        <w:rPr>
          <w:rFonts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自动分析仪），生产厂为（厂名），厂址为（生产厂址）。（产品名称2）的中国境内生产的组件成本占比≥（规定比例）。（产品名称2）的（关键组件）在中国境内生产。（产品名称2）的（关键工序）在中国境内完成。</w:t>
      </w:r>
      <w:r/>
    </w:p>
    <w:p>
      <w:pPr>
        <w:ind w:firstLine="640"/>
        <w:spacing w:line="540" w:lineRule="exact"/>
        <w:rPr>
          <w:rFonts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8.（系统集成单元），生产厂为（厂名），厂址为（生产厂址）。（产品名称2）的中国境内生产的组件成本占比≥（规定比例）。（产品名称2）的（关键组件）在中国境内生产。（产品名称2）的（关键工序）在中国境内完成。</w:t>
      </w:r>
      <w:r/>
    </w:p>
    <w:p>
      <w:pPr>
        <w:ind w:firstLine="640"/>
        <w:spacing w:line="540" w:lineRule="exact"/>
        <w:rPr>
          <w:rFonts w:ascii="仿宋" w:hAnsi="仿宋" w:eastAsia="仿宋"/>
          <w:bCs/>
          <w:color w:val="auto"/>
          <w:sz w:val="32"/>
          <w:szCs w:val="32"/>
          <w:highlight w:val="none"/>
        </w:rPr>
      </w:pPr>
      <w:r>
        <w:rPr>
          <w:rFonts w:hint="eastAsia" w:ascii="仿宋" w:hAnsi="仿宋" w:eastAsia="仿宋" w:cs="仿宋"/>
          <w:bCs/>
          <w:color w:val="auto"/>
          <w:sz w:val="32"/>
          <w:szCs w:val="32"/>
          <w:highlight w:val="none"/>
        </w:rPr>
        <w:t xml:space="preserve">本公司（单位）对上述声明内容的真实性负责。如有虚假，愿承担相应法律责任。</w:t>
      </w:r>
      <w:r/>
    </w:p>
    <w:p>
      <w:pPr>
        <w:ind w:firstLine="640"/>
        <w:spacing w:line="540" w:lineRule="exact"/>
        <w:rPr>
          <w:rFonts w:ascii="仿宋" w:hAnsi="仿宋" w:eastAsia="仿宋"/>
          <w:bCs/>
          <w:color w:val="auto"/>
          <w:sz w:val="32"/>
          <w:szCs w:val="32"/>
          <w:highlight w:val="none"/>
        </w:rPr>
      </w:pPr>
      <w:r>
        <w:rPr>
          <w:rFonts w:ascii="仿宋" w:hAnsi="仿宋" w:eastAsia="仿宋"/>
          <w:bCs/>
          <w:color w:val="auto"/>
          <w:sz w:val="32"/>
          <w:szCs w:val="32"/>
          <w:highlight w:val="none"/>
        </w:rPr>
      </w:r>
      <w:r/>
    </w:p>
    <w:p>
      <w:pPr>
        <w:ind w:firstLine="640"/>
        <w:spacing w:line="540" w:lineRule="exact"/>
        <w:rPr>
          <w:rFonts w:ascii="仿宋" w:hAnsi="仿宋" w:eastAsia="仿宋"/>
          <w:bCs/>
          <w:color w:val="auto"/>
          <w:sz w:val="32"/>
          <w:szCs w:val="32"/>
          <w:highlight w:val="none"/>
        </w:rPr>
      </w:pPr>
      <w:r>
        <w:rPr>
          <w:rFonts w:hint="eastAsia" w:ascii="MS Gothic" w:hAnsi="MS Gothic" w:eastAsia="MS Gothic" w:cs="MS Gothic"/>
          <w:bCs/>
          <w:color w:val="auto"/>
          <w:sz w:val="32"/>
          <w:szCs w:val="32"/>
          <w:highlight w:val="none"/>
        </w:rPr>
        <w:t xml:space="preserve">        </w:t>
      </w:r>
      <w:r>
        <w:rPr>
          <w:rFonts w:hint="eastAsia" w:ascii="仿宋" w:hAnsi="仿宋" w:eastAsia="仿宋" w:cs="仿宋"/>
          <w:bCs/>
          <w:color w:val="auto"/>
          <w:sz w:val="32"/>
          <w:szCs w:val="32"/>
          <w:highlight w:val="none"/>
        </w:rPr>
        <w:t xml:space="preserve">公司（单位）名称（盖章）： </w:t>
      </w:r>
      <w:r/>
    </w:p>
    <w:p>
      <w:pPr>
        <w:jc w:val="center"/>
        <w:spacing w:line="540" w:lineRule="exact"/>
        <w:rPr>
          <w:rFonts w:ascii="仿宋" w:hAnsi="仿宋" w:eastAsia="仿宋"/>
          <w:bCs/>
          <w:color w:val="auto"/>
          <w:sz w:val="32"/>
          <w:szCs w:val="32"/>
          <w:highlight w:val="none"/>
        </w:rPr>
      </w:pPr>
      <w:r>
        <w:rPr>
          <w:rFonts w:hint="eastAsia" w:ascii="MS Gothic" w:hAnsi="MS Gothic" w:eastAsia="MS Gothic" w:cs="MS Gothic"/>
          <w:bCs/>
          <w:color w:val="auto"/>
          <w:sz w:val="32"/>
          <w:szCs w:val="32"/>
          <w:highlight w:val="none"/>
        </w:rPr>
        <w:t xml:space="preserve">       </w:t>
      </w:r>
      <w:r>
        <w:rPr>
          <w:rFonts w:hint="eastAsia" w:ascii="仿宋" w:hAnsi="仿宋" w:eastAsia="仿宋" w:cs="仿宋"/>
          <w:bCs/>
          <w:color w:val="auto"/>
          <w:sz w:val="32"/>
          <w:szCs w:val="32"/>
          <w:highlight w:val="none"/>
        </w:rPr>
        <w:t xml:space="preserve">日期： </w:t>
      </w:r>
      <w:r/>
    </w:p>
    <w:p>
      <w:pPr>
        <w:ind w:firstLine="56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1.产品如有型号，请在“产品名称”栏一并填写。</w:t>
      </w:r>
      <w:r/>
    </w:p>
    <w:p>
      <w:pPr>
        <w:ind w:firstLine="56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2.生产厂名与厂址应与生产厂营业执照载明的相关信息保持一致。</w:t>
      </w:r>
      <w:r/>
    </w:p>
    <w:p>
      <w:pPr>
        <w:ind w:firstLine="56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3.该产品的中国境内生产的组件成本占比相关要求实施前，“规定比例”栏可不填，下同。</w:t>
      </w:r>
      <w:r/>
    </w:p>
    <w:p>
      <w:pPr>
        <w:ind w:firstLine="56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4.该产品的关键组件要求实施前，“关键组件”栏可不填，下同。</w:t>
      </w:r>
      <w:r/>
    </w:p>
    <w:p>
      <w:pPr>
        <w:ind w:firstLine="560"/>
        <w:spacing w:line="5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5.该产品的关键工序要求实施前，“关键工序”栏可不填，下同。</w:t>
      </w:r>
      <w:r/>
    </w:p>
    <w:p>
      <w:pPr>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center"/>
        <w:rPr>
          <w:rFonts w:ascii="方正小标宋简体" w:hAnsi="方正小标宋简体" w:eastAsia="方正小标宋简体"/>
          <w:color w:val="auto"/>
          <w:sz w:val="44"/>
          <w:szCs w:val="44"/>
          <w:highlight w:val="none"/>
        </w:rPr>
      </w:pPr>
      <w:r>
        <w:rPr>
          <w:rStyle w:val="924"/>
          <w:rFonts w:hint="eastAsia" w:ascii="方正小标宋简体" w:hAnsi="方正小标宋简体" w:eastAsia="方正小标宋简体" w:cs="方正小标宋简体"/>
          <w:b w:val="0"/>
          <w:bCs w:val="0"/>
          <w:color w:val="auto"/>
          <w:sz w:val="44"/>
          <w:szCs w:val="44"/>
          <w:highlight w:val="none"/>
        </w:rPr>
        <w:t xml:space="preserve">关于符合本国产品标准的声明函（采购包2）</w:t>
      </w:r>
      <w:r/>
    </w:p>
    <w:p>
      <w:pPr>
        <w:ind w:firstLine="420"/>
        <w:rPr>
          <w:rFonts w:ascii="仿宋" w:hAnsi="仿宋" w:eastAsia="仿宋"/>
          <w:color w:val="auto"/>
          <w:szCs w:val="21"/>
          <w:highlight w:val="none"/>
        </w:rPr>
      </w:pPr>
      <w:r>
        <w:rPr>
          <w:rFonts w:ascii="仿宋" w:hAnsi="仿宋" w:eastAsia="仿宋"/>
          <w:color w:val="auto"/>
          <w:szCs w:val="21"/>
          <w:highlight w:val="none"/>
        </w:rPr>
      </w:r>
      <w:r/>
    </w:p>
    <w:p>
      <w:pPr>
        <w:ind w:firstLine="640"/>
        <w:spacing w:line="540" w:lineRule="exact"/>
        <w:rPr>
          <w:rFonts w:ascii="仿宋" w:hAnsi="仿宋" w:eastAsia="仿宋"/>
          <w:color w:val="auto"/>
          <w:sz w:val="32"/>
          <w:szCs w:val="32"/>
          <w:highlight w:val="none"/>
        </w:rPr>
      </w:pPr>
      <w:r>
        <w:rPr>
          <w:rFonts w:hint="eastAsia" w:ascii="仿宋" w:hAnsi="仿宋" w:eastAsia="仿宋" w:cs="仿宋"/>
          <w:color w:val="auto"/>
          <w:sz w:val="32"/>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ascii="仿宋" w:hAnsi="仿宋" w:eastAsia="仿宋"/>
          <w:color w:val="auto"/>
          <w:sz w:val="32"/>
          <w:szCs w:val="32"/>
          <w:highlight w:val="none"/>
        </w:rPr>
      </w:pPr>
      <w:r>
        <w:rPr>
          <w:rFonts w:hint="eastAsia" w:ascii="仿宋" w:hAnsi="仿宋" w:eastAsia="仿宋" w:cs="仿宋"/>
          <w:color w:val="auto"/>
          <w:sz w:val="32"/>
          <w:szCs w:val="32"/>
          <w:highlight w:val="none"/>
        </w:rPr>
        <w:t xml:space="preserve">1.</w:t>
      </w:r>
      <w:r>
        <w:rPr>
          <w:rStyle w:val="921"/>
          <w:rFonts w:hint="eastAsia" w:ascii="仿宋" w:hAnsi="仿宋" w:eastAsia="仿宋" w:cs="仿宋"/>
          <w:color w:val="auto"/>
          <w:sz w:val="32"/>
          <w:szCs w:val="32"/>
          <w:highlight w:val="none"/>
        </w:rPr>
        <w:t xml:space="preserve">（总磷总氮全自动分析仪）</w:t>
      </w:r>
      <w:r>
        <w:rPr>
          <w:rStyle w:val="921"/>
          <w:rFonts w:hint="eastAsia" w:ascii="仿宋" w:hAnsi="仿宋" w:eastAsia="仿宋" w:cs="仿宋"/>
          <w:color w:val="auto"/>
          <w:sz w:val="32"/>
          <w:szCs w:val="32"/>
          <w:highlight w:val="none"/>
          <w:vertAlign w:val="superscript"/>
        </w:rPr>
        <w:t xml:space="preserve">1</w:t>
      </w:r>
      <w:r>
        <w:rPr>
          <w:rFonts w:hint="eastAsia" w:ascii="仿宋" w:hAnsi="仿宋" w:eastAsia="仿宋" w:cs="仿宋"/>
          <w:color w:val="auto"/>
          <w:sz w:val="32"/>
          <w:szCs w:val="32"/>
          <w:highlight w:val="none"/>
        </w:rPr>
        <w:t xml:space="preserve">，生产厂为</w:t>
      </w:r>
      <w:r>
        <w:rPr>
          <w:rStyle w:val="921"/>
          <w:rFonts w:hint="eastAsia" w:ascii="仿宋" w:hAnsi="仿宋" w:eastAsia="仿宋" w:cs="仿宋"/>
          <w:color w:val="auto"/>
          <w:sz w:val="32"/>
          <w:szCs w:val="32"/>
          <w:highlight w:val="none"/>
        </w:rPr>
        <w:t xml:space="preserve">（厂名）</w:t>
      </w:r>
      <w:r>
        <w:rPr>
          <w:rStyle w:val="921"/>
          <w:rFonts w:hint="eastAsia" w:ascii="仿宋" w:hAnsi="仿宋" w:eastAsia="仿宋" w:cs="仿宋"/>
          <w:color w:val="auto"/>
          <w:sz w:val="32"/>
          <w:szCs w:val="32"/>
          <w:highlight w:val="none"/>
          <w:vertAlign w:val="superscript"/>
        </w:rPr>
        <w:t xml:space="preserve">2</w:t>
      </w:r>
      <w:r>
        <w:rPr>
          <w:rFonts w:hint="eastAsia" w:ascii="仿宋" w:hAnsi="仿宋" w:eastAsia="仿宋" w:cs="仿宋"/>
          <w:color w:val="auto"/>
          <w:sz w:val="32"/>
          <w:szCs w:val="32"/>
          <w:highlight w:val="none"/>
        </w:rPr>
        <w:t xml:space="preserve">，厂址为</w:t>
      </w:r>
      <w:r>
        <w:rPr>
          <w:rStyle w:val="921"/>
          <w:rFonts w:hint="eastAsia" w:ascii="仿宋" w:hAnsi="仿宋" w:eastAsia="仿宋" w:cs="仿宋"/>
          <w:color w:val="auto"/>
          <w:sz w:val="32"/>
          <w:szCs w:val="32"/>
          <w:highlight w:val="none"/>
        </w:rPr>
        <w:t xml:space="preserve">（生产厂址）</w:t>
      </w:r>
      <w:r>
        <w:rPr>
          <w:rFonts w:hint="eastAsia" w:ascii="仿宋" w:hAnsi="仿宋" w:eastAsia="仿宋" w:cs="仿宋"/>
          <w:color w:val="auto"/>
          <w:sz w:val="32"/>
          <w:szCs w:val="32"/>
          <w:highlight w:val="none"/>
        </w:rPr>
        <w:t xml:space="preserve">。</w:t>
      </w:r>
      <w:r>
        <w:rPr>
          <w:rStyle w:val="921"/>
          <w:rFonts w:hint="eastAsia" w:ascii="仿宋" w:hAnsi="仿宋" w:eastAsia="仿宋" w:cs="仿宋"/>
          <w:color w:val="auto"/>
          <w:sz w:val="32"/>
          <w:szCs w:val="32"/>
          <w:highlight w:val="none"/>
        </w:rPr>
        <w:t xml:space="preserve">（产品名称1）</w:t>
      </w:r>
      <w:r>
        <w:rPr>
          <w:rFonts w:hint="eastAsia" w:ascii="仿宋" w:hAnsi="仿宋" w:eastAsia="仿宋" w:cs="仿宋"/>
          <w:color w:val="auto"/>
          <w:sz w:val="32"/>
          <w:szCs w:val="32"/>
          <w:highlight w:val="none"/>
        </w:rPr>
        <w:t xml:space="preserve">的中国境内生产的组件成本占比≥</w:t>
      </w:r>
      <w:r>
        <w:rPr>
          <w:rStyle w:val="921"/>
          <w:rFonts w:hint="eastAsia" w:ascii="仿宋" w:hAnsi="仿宋" w:eastAsia="仿宋" w:cs="仿宋"/>
          <w:color w:val="auto"/>
          <w:sz w:val="32"/>
          <w:szCs w:val="32"/>
          <w:highlight w:val="none"/>
        </w:rPr>
        <w:t xml:space="preserve">（规定比例）</w:t>
      </w:r>
      <w:r>
        <w:rPr>
          <w:rStyle w:val="921"/>
          <w:rFonts w:hint="eastAsia" w:ascii="仿宋" w:hAnsi="仿宋" w:eastAsia="仿宋" w:cs="仿宋"/>
          <w:color w:val="auto"/>
          <w:sz w:val="32"/>
          <w:szCs w:val="32"/>
          <w:highlight w:val="none"/>
          <w:vertAlign w:val="superscript"/>
        </w:rPr>
        <w:t xml:space="preserve">3</w:t>
      </w:r>
      <w:r>
        <w:rPr>
          <w:rFonts w:hint="eastAsia" w:ascii="仿宋" w:hAnsi="仿宋" w:eastAsia="仿宋" w:cs="仿宋"/>
          <w:color w:val="auto"/>
          <w:sz w:val="32"/>
          <w:szCs w:val="32"/>
          <w:highlight w:val="none"/>
        </w:rPr>
        <w:t xml:space="preserve">。</w:t>
      </w:r>
      <w:r>
        <w:rPr>
          <w:rStyle w:val="921"/>
          <w:rFonts w:hint="eastAsia" w:ascii="仿宋" w:hAnsi="仿宋" w:eastAsia="仿宋" w:cs="仿宋"/>
          <w:color w:val="auto"/>
          <w:sz w:val="32"/>
          <w:szCs w:val="32"/>
          <w:highlight w:val="none"/>
        </w:rPr>
        <w:t xml:space="preserve">（产品名称1）</w:t>
      </w:r>
      <w:r>
        <w:rPr>
          <w:rFonts w:hint="eastAsia" w:ascii="仿宋" w:hAnsi="仿宋" w:eastAsia="仿宋" w:cs="仿宋"/>
          <w:color w:val="auto"/>
          <w:sz w:val="32"/>
          <w:szCs w:val="32"/>
          <w:highlight w:val="none"/>
        </w:rPr>
        <w:t xml:space="preserve">的</w:t>
      </w:r>
      <w:r>
        <w:rPr>
          <w:rStyle w:val="921"/>
          <w:rFonts w:hint="eastAsia" w:ascii="仿宋" w:hAnsi="仿宋" w:eastAsia="仿宋" w:cs="仿宋"/>
          <w:color w:val="auto"/>
          <w:sz w:val="32"/>
          <w:szCs w:val="32"/>
          <w:highlight w:val="none"/>
        </w:rPr>
        <w:t xml:space="preserve">（关键组件）</w:t>
      </w:r>
      <w:r>
        <w:rPr>
          <w:rStyle w:val="921"/>
          <w:rFonts w:hint="eastAsia" w:ascii="仿宋" w:hAnsi="仿宋" w:eastAsia="仿宋" w:cs="仿宋"/>
          <w:color w:val="auto"/>
          <w:sz w:val="32"/>
          <w:szCs w:val="32"/>
          <w:highlight w:val="none"/>
          <w:vertAlign w:val="superscript"/>
        </w:rPr>
        <w:t xml:space="preserve">4</w:t>
      </w:r>
      <w:r>
        <w:rPr>
          <w:rFonts w:hint="eastAsia" w:ascii="仿宋" w:hAnsi="仿宋" w:eastAsia="仿宋" w:cs="仿宋"/>
          <w:color w:val="auto"/>
          <w:sz w:val="32"/>
          <w:szCs w:val="32"/>
          <w:highlight w:val="none"/>
        </w:rPr>
        <w:t xml:space="preserve">在中国境内生产。</w:t>
      </w:r>
      <w:r>
        <w:rPr>
          <w:rStyle w:val="921"/>
          <w:rFonts w:hint="eastAsia" w:ascii="仿宋" w:hAnsi="仿宋" w:eastAsia="仿宋" w:cs="仿宋"/>
          <w:color w:val="auto"/>
          <w:sz w:val="32"/>
          <w:szCs w:val="32"/>
          <w:highlight w:val="none"/>
        </w:rPr>
        <w:t xml:space="preserve">（产品名称1）</w:t>
      </w:r>
      <w:r>
        <w:rPr>
          <w:rFonts w:hint="eastAsia" w:ascii="仿宋" w:hAnsi="仿宋" w:eastAsia="仿宋" w:cs="仿宋"/>
          <w:color w:val="auto"/>
          <w:sz w:val="32"/>
          <w:szCs w:val="32"/>
          <w:highlight w:val="none"/>
        </w:rPr>
        <w:t xml:space="preserve">的</w:t>
      </w:r>
      <w:r>
        <w:rPr>
          <w:rStyle w:val="921"/>
          <w:rFonts w:hint="eastAsia" w:ascii="仿宋" w:hAnsi="仿宋" w:eastAsia="仿宋" w:cs="仿宋"/>
          <w:color w:val="auto"/>
          <w:sz w:val="32"/>
          <w:szCs w:val="32"/>
          <w:highlight w:val="none"/>
        </w:rPr>
        <w:t xml:space="preserve">（关键工序）</w:t>
      </w:r>
      <w:r>
        <w:rPr>
          <w:rStyle w:val="921"/>
          <w:rFonts w:hint="eastAsia" w:ascii="仿宋" w:hAnsi="仿宋" w:eastAsia="仿宋" w:cs="仿宋"/>
          <w:color w:val="auto"/>
          <w:sz w:val="32"/>
          <w:szCs w:val="32"/>
          <w:highlight w:val="none"/>
          <w:vertAlign w:val="superscript"/>
        </w:rPr>
        <w:t xml:space="preserve">5</w:t>
      </w:r>
      <w:r>
        <w:rPr>
          <w:rFonts w:hint="eastAsia" w:ascii="仿宋" w:hAnsi="仿宋" w:eastAsia="仿宋" w:cs="仿宋"/>
          <w:color w:val="auto"/>
          <w:sz w:val="32"/>
          <w:szCs w:val="32"/>
          <w:highlight w:val="none"/>
        </w:rPr>
        <w:t xml:space="preserve">在中国境内完成。</w:t>
      </w:r>
      <w:r/>
    </w:p>
    <w:p>
      <w:pPr>
        <w:ind w:firstLine="640"/>
        <w:spacing w:line="540" w:lineRule="exact"/>
        <w:rPr>
          <w:rFonts w:ascii="仿宋" w:hAnsi="仿宋" w:eastAsia="仿宋"/>
          <w:color w:val="auto"/>
          <w:sz w:val="32"/>
          <w:szCs w:val="32"/>
          <w:highlight w:val="none"/>
        </w:rPr>
      </w:pPr>
      <w:r>
        <w:rPr>
          <w:rFonts w:hint="eastAsia" w:ascii="仿宋" w:hAnsi="仿宋" w:eastAsia="仿宋" w:cs="仿宋"/>
          <w:color w:val="auto"/>
          <w:sz w:val="32"/>
          <w:szCs w:val="32"/>
          <w:highlight w:val="none"/>
        </w:rPr>
        <w:t xml:space="preserve">2.</w:t>
      </w:r>
      <w:r>
        <w:rPr>
          <w:rStyle w:val="921"/>
          <w:rFonts w:hint="eastAsia" w:ascii="仿宋" w:hAnsi="仿宋" w:eastAsia="仿宋" w:cs="仿宋"/>
          <w:color w:val="auto"/>
          <w:sz w:val="32"/>
          <w:szCs w:val="32"/>
          <w:highlight w:val="none"/>
        </w:rPr>
        <w:t xml:space="preserve">（采水无人机</w:t>
      </w:r>
      <w:r>
        <w:rPr>
          <w:rFonts w:hint="eastAsia" w:ascii="仿宋" w:hAnsi="仿宋" w:eastAsia="仿宋" w:cs="仿宋"/>
          <w:color w:val="auto"/>
          <w:sz w:val="32"/>
          <w:szCs w:val="32"/>
          <w:highlight w:val="none"/>
        </w:rPr>
        <w:t xml:space="preserve">，生产厂为</w:t>
      </w:r>
      <w:r>
        <w:rPr>
          <w:rStyle w:val="921"/>
          <w:rFonts w:hint="eastAsia" w:ascii="仿宋" w:hAnsi="仿宋" w:eastAsia="仿宋" w:cs="仿宋"/>
          <w:color w:val="auto"/>
          <w:sz w:val="32"/>
          <w:szCs w:val="32"/>
          <w:highlight w:val="none"/>
        </w:rPr>
        <w:t xml:space="preserve">（厂名）</w:t>
      </w:r>
      <w:r>
        <w:rPr>
          <w:rFonts w:hint="eastAsia" w:ascii="仿宋" w:hAnsi="仿宋" w:eastAsia="仿宋" w:cs="仿宋"/>
          <w:color w:val="auto"/>
          <w:sz w:val="32"/>
          <w:szCs w:val="32"/>
          <w:highlight w:val="none"/>
        </w:rPr>
        <w:t xml:space="preserve">，厂址为</w:t>
      </w:r>
      <w:r>
        <w:rPr>
          <w:rStyle w:val="921"/>
          <w:rFonts w:hint="eastAsia" w:ascii="仿宋" w:hAnsi="仿宋" w:eastAsia="仿宋" w:cs="仿宋"/>
          <w:color w:val="auto"/>
          <w:sz w:val="32"/>
          <w:szCs w:val="32"/>
          <w:highlight w:val="none"/>
        </w:rPr>
        <w:t xml:space="preserve">（生产厂址）</w:t>
      </w:r>
      <w:r>
        <w:rPr>
          <w:rFonts w:hint="eastAsia" w:ascii="仿宋" w:hAnsi="仿宋" w:eastAsia="仿宋" w:cs="仿宋"/>
          <w:color w:val="auto"/>
          <w:sz w:val="32"/>
          <w:szCs w:val="32"/>
          <w:highlight w:val="none"/>
        </w:rPr>
        <w:t xml:space="preserve">。</w:t>
      </w:r>
      <w:r>
        <w:rPr>
          <w:rStyle w:val="921"/>
          <w:rFonts w:hint="eastAsia" w:ascii="仿宋" w:hAnsi="仿宋" w:eastAsia="仿宋" w:cs="仿宋"/>
          <w:color w:val="auto"/>
          <w:sz w:val="32"/>
          <w:szCs w:val="32"/>
          <w:highlight w:val="none"/>
        </w:rPr>
        <w:t xml:space="preserve">（产品名称2）</w:t>
      </w:r>
      <w:r>
        <w:rPr>
          <w:rFonts w:hint="eastAsia" w:ascii="仿宋" w:hAnsi="仿宋" w:eastAsia="仿宋" w:cs="仿宋"/>
          <w:color w:val="auto"/>
          <w:sz w:val="32"/>
          <w:szCs w:val="32"/>
          <w:highlight w:val="none"/>
        </w:rPr>
        <w:t xml:space="preserve">的中国境内生产的组件成本占比≥</w:t>
      </w:r>
      <w:r>
        <w:rPr>
          <w:rStyle w:val="921"/>
          <w:rFonts w:hint="eastAsia" w:ascii="仿宋" w:hAnsi="仿宋" w:eastAsia="仿宋" w:cs="仿宋"/>
          <w:color w:val="auto"/>
          <w:sz w:val="32"/>
          <w:szCs w:val="32"/>
          <w:highlight w:val="none"/>
        </w:rPr>
        <w:t xml:space="preserve">（规定比例）</w:t>
      </w:r>
      <w:r>
        <w:rPr>
          <w:rFonts w:hint="eastAsia" w:ascii="仿宋" w:hAnsi="仿宋" w:eastAsia="仿宋" w:cs="仿宋"/>
          <w:color w:val="auto"/>
          <w:sz w:val="32"/>
          <w:szCs w:val="32"/>
          <w:highlight w:val="none"/>
        </w:rPr>
        <w:t xml:space="preserve">。</w:t>
      </w:r>
      <w:r>
        <w:rPr>
          <w:rStyle w:val="921"/>
          <w:rFonts w:hint="eastAsia" w:ascii="仿宋" w:hAnsi="仿宋" w:eastAsia="仿宋" w:cs="仿宋"/>
          <w:color w:val="auto"/>
          <w:sz w:val="32"/>
          <w:szCs w:val="32"/>
          <w:highlight w:val="none"/>
        </w:rPr>
        <w:t xml:space="preserve">（产品名称2）</w:t>
      </w:r>
      <w:r>
        <w:rPr>
          <w:rFonts w:hint="eastAsia" w:ascii="仿宋" w:hAnsi="仿宋" w:eastAsia="仿宋" w:cs="仿宋"/>
          <w:color w:val="auto"/>
          <w:sz w:val="32"/>
          <w:szCs w:val="32"/>
          <w:highlight w:val="none"/>
        </w:rPr>
        <w:t xml:space="preserve">的</w:t>
      </w:r>
      <w:r>
        <w:rPr>
          <w:rStyle w:val="921"/>
          <w:rFonts w:hint="eastAsia" w:ascii="仿宋" w:hAnsi="仿宋" w:eastAsia="仿宋" w:cs="仿宋"/>
          <w:color w:val="auto"/>
          <w:sz w:val="32"/>
          <w:szCs w:val="32"/>
          <w:highlight w:val="none"/>
        </w:rPr>
        <w:t xml:space="preserve">（关键组件）</w:t>
      </w:r>
      <w:r>
        <w:rPr>
          <w:rFonts w:hint="eastAsia" w:ascii="仿宋" w:hAnsi="仿宋" w:eastAsia="仿宋" w:cs="仿宋"/>
          <w:color w:val="auto"/>
          <w:sz w:val="32"/>
          <w:szCs w:val="32"/>
          <w:highlight w:val="none"/>
        </w:rPr>
        <w:t xml:space="preserve">在中国境内生产。</w:t>
      </w:r>
      <w:r>
        <w:rPr>
          <w:rStyle w:val="921"/>
          <w:rFonts w:hint="eastAsia" w:ascii="仿宋" w:hAnsi="仿宋" w:eastAsia="仿宋" w:cs="仿宋"/>
          <w:color w:val="auto"/>
          <w:sz w:val="32"/>
          <w:szCs w:val="32"/>
          <w:highlight w:val="none"/>
        </w:rPr>
        <w:t xml:space="preserve">（产品名称2）</w:t>
      </w:r>
      <w:r>
        <w:rPr>
          <w:rFonts w:hint="eastAsia" w:ascii="仿宋" w:hAnsi="仿宋" w:eastAsia="仿宋" w:cs="仿宋"/>
          <w:color w:val="auto"/>
          <w:sz w:val="32"/>
          <w:szCs w:val="32"/>
          <w:highlight w:val="none"/>
        </w:rPr>
        <w:t xml:space="preserve">的</w:t>
      </w:r>
      <w:r>
        <w:rPr>
          <w:rStyle w:val="921"/>
          <w:rFonts w:hint="eastAsia" w:ascii="仿宋" w:hAnsi="仿宋" w:eastAsia="仿宋" w:cs="仿宋"/>
          <w:color w:val="auto"/>
          <w:sz w:val="32"/>
          <w:szCs w:val="32"/>
          <w:highlight w:val="none"/>
        </w:rPr>
        <w:t xml:space="preserve">（关键工序）</w:t>
      </w:r>
      <w:r>
        <w:rPr>
          <w:rFonts w:hint="eastAsia" w:ascii="仿宋" w:hAnsi="仿宋" w:eastAsia="仿宋" w:cs="仿宋"/>
          <w:color w:val="auto"/>
          <w:sz w:val="32"/>
          <w:szCs w:val="32"/>
          <w:highlight w:val="none"/>
        </w:rPr>
        <w:t xml:space="preserve">在中国境内完成。</w:t>
      </w:r>
      <w:r/>
    </w:p>
    <w:p>
      <w:pPr>
        <w:ind w:firstLine="640"/>
        <w:spacing w:line="540" w:lineRule="exact"/>
        <w:rPr>
          <w:rFonts w:ascii="仿宋" w:hAnsi="仿宋" w:eastAsia="仿宋"/>
          <w:color w:val="auto"/>
          <w:sz w:val="32"/>
          <w:szCs w:val="32"/>
          <w:highlight w:val="none"/>
        </w:rPr>
      </w:pPr>
      <w:r>
        <w:rPr>
          <w:rFonts w:hint="eastAsia" w:ascii="仿宋" w:hAnsi="仿宋" w:eastAsia="仿宋" w:cs="仿宋"/>
          <w:color w:val="auto"/>
          <w:sz w:val="32"/>
          <w:szCs w:val="32"/>
          <w:highlight w:val="none"/>
        </w:rPr>
        <w:t xml:space="preserve">3.（便携式气相色谱质谱联用仪），生产厂为（厂名），厂址为（生产厂址）。（产品名称2）的中国境内生产的组件成本占比≥（规定比例）。（产品名称2）的（关键组件）在中国境内生产。（产品名称2）的（关键工序）在中国境内完成。</w:t>
      </w:r>
      <w:r/>
    </w:p>
    <w:p>
      <w:pPr>
        <w:ind w:firstLine="640"/>
        <w:spacing w:line="540" w:lineRule="exact"/>
        <w:rPr>
          <w:rFonts w:ascii="仿宋" w:hAnsi="仿宋" w:eastAsia="仿宋"/>
          <w:color w:val="auto"/>
          <w:sz w:val="32"/>
          <w:szCs w:val="32"/>
          <w:highlight w:val="none"/>
        </w:rPr>
      </w:pPr>
      <w:r>
        <w:rPr>
          <w:rFonts w:hint="eastAsia" w:ascii="仿宋" w:hAnsi="仿宋" w:eastAsia="仿宋" w:cs="仿宋"/>
          <w:color w:val="auto"/>
          <w:sz w:val="32"/>
          <w:szCs w:val="32"/>
          <w:highlight w:val="none"/>
        </w:rPr>
        <w:t xml:space="preserve">本公司（单位）对上述声明内容的真实性负责。如有虚假，愿承担相应法律责任。</w:t>
      </w:r>
      <w:r/>
    </w:p>
    <w:p>
      <w:pPr>
        <w:ind w:firstLine="640"/>
        <w:spacing w:line="540" w:lineRule="exact"/>
        <w:rPr>
          <w:rFonts w:ascii="仿宋" w:hAnsi="仿宋" w:eastAsia="仿宋"/>
          <w:color w:val="auto"/>
          <w:sz w:val="32"/>
          <w:szCs w:val="32"/>
          <w:highlight w:val="none"/>
        </w:rPr>
      </w:pPr>
      <w:r>
        <w:rPr>
          <w:rFonts w:ascii="仿宋" w:hAnsi="仿宋" w:eastAsia="仿宋"/>
          <w:color w:val="auto"/>
          <w:sz w:val="32"/>
          <w:szCs w:val="32"/>
          <w:highlight w:val="none"/>
        </w:rPr>
      </w:r>
      <w:r/>
    </w:p>
    <w:p>
      <w:pPr>
        <w:ind w:firstLine="640"/>
        <w:spacing w:line="540" w:lineRule="exact"/>
        <w:rPr>
          <w:rFonts w:ascii="仿宋" w:hAnsi="仿宋" w:eastAsia="仿宋"/>
          <w:color w:val="auto"/>
          <w:sz w:val="32"/>
          <w:szCs w:val="32"/>
          <w:highlight w:val="none"/>
        </w:rPr>
      </w:pPr>
      <w:r>
        <w:rPr>
          <w:rFonts w:hint="eastAsia" w:ascii="MS Gothic" w:hAnsi="MS Gothic" w:eastAsia="MS Gothic" w:cs="MS Gothic"/>
          <w:color w:val="auto"/>
          <w:sz w:val="32"/>
          <w:szCs w:val="32"/>
          <w:highlight w:val="none"/>
        </w:rPr>
        <w:t xml:space="preserve">        </w:t>
      </w:r>
      <w:r>
        <w:rPr>
          <w:rFonts w:hint="eastAsia" w:ascii="仿宋" w:hAnsi="仿宋" w:eastAsia="仿宋" w:cs="仿宋"/>
          <w:color w:val="auto"/>
          <w:sz w:val="32"/>
          <w:szCs w:val="32"/>
          <w:highlight w:val="none"/>
        </w:rPr>
        <w:t xml:space="preserve">公司（单位）名称（盖章）： </w:t>
      </w:r>
      <w:r/>
    </w:p>
    <w:p>
      <w:pPr>
        <w:jc w:val="center"/>
        <w:spacing w:line="540" w:lineRule="exact"/>
        <w:rPr>
          <w:rFonts w:ascii="仿宋" w:hAnsi="仿宋" w:eastAsia="仿宋"/>
          <w:color w:val="auto"/>
          <w:sz w:val="32"/>
          <w:szCs w:val="32"/>
          <w:highlight w:val="none"/>
        </w:rPr>
      </w:pPr>
      <w:r>
        <w:rPr>
          <w:rFonts w:hint="eastAsia" w:ascii="MS Gothic" w:hAnsi="MS Gothic" w:eastAsia="MS Gothic" w:cs="MS Gothic"/>
          <w:color w:val="auto"/>
          <w:sz w:val="32"/>
          <w:szCs w:val="32"/>
          <w:highlight w:val="none"/>
        </w:rPr>
        <w:t xml:space="preserve">       </w:t>
      </w:r>
      <w:r>
        <w:rPr>
          <w:rFonts w:hint="eastAsia" w:ascii="仿宋" w:hAnsi="仿宋" w:eastAsia="仿宋" w:cs="仿宋"/>
          <w:color w:val="auto"/>
          <w:sz w:val="32"/>
          <w:szCs w:val="32"/>
          <w:highlight w:val="none"/>
        </w:rPr>
        <w:t xml:space="preserve">日期： </w:t>
      </w:r>
      <w:r/>
    </w:p>
    <w:p>
      <w:pPr>
        <w:ind w:firstLine="560"/>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1.产品如有型号，请在“产品名称”栏一并填写。</w:t>
      </w:r>
      <w:r/>
    </w:p>
    <w:p>
      <w:pPr>
        <w:ind w:firstLine="560"/>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2.生产厂名与厂址应与生产厂营业执照载明的相关信息保持一致。</w:t>
      </w:r>
      <w:r/>
    </w:p>
    <w:p>
      <w:pPr>
        <w:ind w:firstLine="560"/>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3.该产品的中国境内生产的组件成本占比相关要求实施前，“规定比例”栏可不填，下同。</w:t>
      </w:r>
      <w:r/>
    </w:p>
    <w:p>
      <w:pPr>
        <w:ind w:firstLine="560"/>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4.该产品的关键组件要求实施前，“关键组件”栏可不填，下同。</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5.该产品的关键工序要求实施前，“关键工序”栏可不填，下同。</w:t>
      </w:r>
      <w:r/>
    </w:p>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ind w:firstLine="560"/>
        <w:rPr>
          <w:rFonts w:ascii="仿宋" w:hAnsi="仿宋" w:eastAsia="仿宋"/>
          <w:bCs/>
          <w:color w:val="auto"/>
          <w:sz w:val="28"/>
          <w:szCs w:val="28"/>
          <w:highlight w:val="none"/>
        </w:rPr>
        <w:outlineLvl w:val="2"/>
      </w:pPr>
      <w:r>
        <w:rPr>
          <w:rFonts w:hint="eastAsia" w:ascii="仿宋" w:hAnsi="仿宋" w:eastAsia="仿宋"/>
          <w:bCs/>
          <w:color w:val="auto"/>
          <w:sz w:val="28"/>
          <w:szCs w:val="28"/>
          <w:highlight w:val="none"/>
        </w:rPr>
        <w:t xml:space="preserve">（二）公开招标响应报价明细表</w:t>
      </w:r>
      <w:r/>
    </w:p>
    <w:p>
      <w:pPr>
        <w:ind w:firstLine="3040"/>
        <w:rPr>
          <w:rFonts w:ascii="宋体" w:hAnsi="宋体"/>
          <w:bCs/>
          <w:color w:val="auto"/>
          <w:sz w:val="24"/>
          <w:highlight w:val="none"/>
        </w:rPr>
      </w:pPr>
      <w:r>
        <w:rPr>
          <w:rFonts w:hint="eastAsia" w:ascii="方正小标宋简体" w:hAnsi="宋体" w:eastAsia="方正小标宋简体"/>
          <w:bCs/>
          <w:color w:val="auto"/>
          <w:sz w:val="32"/>
          <w:szCs w:val="32"/>
          <w:highlight w:val="none"/>
        </w:rPr>
        <w:t xml:space="preserve">公开招标响应报价明细表</w:t>
      </w:r>
      <w:r/>
    </w:p>
    <w:p>
      <w:pPr>
        <w:rPr>
          <w:rFonts w:ascii="宋体" w:hAnsi="宋体"/>
          <w:bCs/>
          <w:color w:val="auto"/>
          <w:highlight w:val="none"/>
        </w:rPr>
      </w:pPr>
      <w:r>
        <w:rPr>
          <w:rFonts w:ascii="宋体" w:hAnsi="宋体"/>
          <w:bCs/>
          <w:color w:val="auto"/>
          <w:highlight w:val="none"/>
        </w:rPr>
      </w:r>
      <w:r/>
    </w:p>
    <w:p>
      <w:pPr>
        <w:pStyle w:val="884"/>
        <w:rPr>
          <w:bCs/>
          <w:color w:val="auto"/>
          <w:highlight w:val="none"/>
        </w:rPr>
      </w:pPr>
      <w:r>
        <w:rPr>
          <w:rFonts w:hint="eastAsia" w:ascii="仿宋" w:hAnsi="仿宋" w:eastAsia="仿宋"/>
          <w:bCs/>
          <w:color w:val="auto"/>
          <w:szCs w:val="24"/>
          <w:highlight w:val="none"/>
        </w:rPr>
        <w:t xml:space="preserve">项目名称：如皋市水源地水质自动监测监控预警能力提升建设项目</w:t>
      </w:r>
      <w:r/>
    </w:p>
    <w:p>
      <w:pPr>
        <w:rPr>
          <w:rFonts w:ascii="仿宋" w:hAnsi="仿宋" w:eastAsia="仿宋"/>
          <w:bCs/>
          <w:color w:val="auto"/>
          <w:sz w:val="24"/>
          <w:highlight w:val="none"/>
        </w:rPr>
      </w:pPr>
      <w:r>
        <w:rPr>
          <w:rFonts w:hint="eastAsia" w:ascii="仿宋" w:hAnsi="仿宋" w:eastAsia="仿宋"/>
          <w:bCs/>
          <w:color w:val="auto"/>
          <w:sz w:val="24"/>
          <w:highlight w:val="none"/>
        </w:rPr>
        <w:t xml:space="preserve">项目编号： JSZC-320682-NTZJ-G2026-0011              分包号1：                   </w:t>
      </w:r>
      <w:r/>
    </w:p>
    <w:tbl>
      <w:tblPr>
        <w:tblStyle w:val="875"/>
        <w:tblW w:w="92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168"/>
        <w:gridCol w:w="1354"/>
        <w:gridCol w:w="983"/>
        <w:gridCol w:w="983"/>
        <w:gridCol w:w="983"/>
        <w:gridCol w:w="983"/>
        <w:gridCol w:w="1147"/>
        <w:gridCol w:w="983"/>
      </w:tblGrid>
      <w:tr>
        <w:trPr>
          <w:cantSplit/>
          <w:trHeight w:val="954"/>
        </w:trPr>
        <w:tc>
          <w:tcPr>
            <w:tcW w:w="689"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序号</w:t>
            </w:r>
            <w:r/>
          </w:p>
        </w:tc>
        <w:tc>
          <w:tcPr>
            <w:tcW w:w="1168"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设备名称</w:t>
            </w:r>
            <w:r/>
          </w:p>
        </w:tc>
        <w:tc>
          <w:tcPr>
            <w:tcW w:w="1354"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品牌和型号</w:t>
            </w:r>
            <w:r/>
          </w:p>
        </w:tc>
        <w:tc>
          <w:tcPr>
            <w:tcW w:w="983"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制造商名称</w:t>
            </w:r>
            <w:r/>
          </w:p>
        </w:tc>
        <w:tc>
          <w:tcPr>
            <w:tcW w:w="983"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数量</w:t>
            </w:r>
            <w:r/>
          </w:p>
        </w:tc>
        <w:tc>
          <w:tcPr>
            <w:tcW w:w="983"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计量单位</w:t>
            </w:r>
            <w:r/>
          </w:p>
        </w:tc>
        <w:tc>
          <w:tcPr>
            <w:tcW w:w="983"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单价</w:t>
            </w:r>
            <w:r/>
          </w:p>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（万元）</w:t>
            </w:r>
            <w:r/>
          </w:p>
        </w:tc>
        <w:tc>
          <w:tcPr>
            <w:tcW w:w="1147"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单项</w:t>
            </w:r>
            <w:r/>
          </w:p>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合计价</w:t>
            </w:r>
            <w:r/>
          </w:p>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（万元）</w:t>
            </w:r>
            <w:r/>
          </w:p>
        </w:tc>
        <w:tc>
          <w:tcPr>
            <w:tcW w:w="983"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cantSplit/>
          <w:trHeight w:val="639"/>
        </w:trPr>
        <w:tc>
          <w:tcPr>
            <w:tcW w:w="689"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shd w:val="clear" w:color="auto" w:fill="auto"/>
            <w:tcW w:w="1168"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五参数分析仪</w:t>
            </w:r>
            <w:r/>
          </w:p>
        </w:tc>
        <w:tc>
          <w:tcPr>
            <w:shd w:val="clear" w:color="auto" w:fill="auto"/>
            <w:tcW w:w="1354"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1147"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cantSplit/>
          <w:trHeight w:val="954"/>
        </w:trPr>
        <w:tc>
          <w:tcPr>
            <w:tcW w:w="689"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shd w:val="clear" w:color="auto" w:fill="auto"/>
            <w:tcW w:w="1168"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高锰酸盐指数分析仪</w:t>
            </w:r>
            <w:r/>
          </w:p>
        </w:tc>
        <w:tc>
          <w:tcPr>
            <w:shd w:val="clear" w:color="auto" w:fill="auto"/>
            <w:tcW w:w="1354"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1147"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cantSplit/>
          <w:trHeight w:val="639"/>
        </w:trPr>
        <w:tc>
          <w:tcPr>
            <w:tcW w:w="689"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3</w:t>
            </w:r>
            <w:r/>
          </w:p>
        </w:tc>
        <w:tc>
          <w:tcPr>
            <w:shd w:val="clear" w:color="auto" w:fill="auto"/>
            <w:tcW w:w="1168"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氨氮分析仪</w:t>
            </w:r>
            <w:r/>
          </w:p>
        </w:tc>
        <w:tc>
          <w:tcPr>
            <w:shd w:val="clear" w:color="auto" w:fill="auto"/>
            <w:tcW w:w="1354"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1147"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cantSplit/>
          <w:trHeight w:val="639"/>
        </w:trPr>
        <w:tc>
          <w:tcPr>
            <w:tcW w:w="689"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4</w:t>
            </w:r>
            <w:r/>
          </w:p>
        </w:tc>
        <w:tc>
          <w:tcPr>
            <w:shd w:val="clear" w:color="auto" w:fill="auto"/>
            <w:tcW w:w="1168"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总磷分析仪</w:t>
            </w:r>
            <w:r/>
          </w:p>
        </w:tc>
        <w:tc>
          <w:tcPr>
            <w:shd w:val="clear" w:color="auto" w:fill="auto"/>
            <w:tcW w:w="1354"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1147"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cantSplit/>
          <w:trHeight w:val="639"/>
        </w:trPr>
        <w:tc>
          <w:tcPr>
            <w:tcW w:w="689"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shd w:val="clear" w:color="auto" w:fill="auto"/>
            <w:tcW w:w="1168"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总氮分析仪</w:t>
            </w:r>
            <w:r/>
          </w:p>
        </w:tc>
        <w:tc>
          <w:tcPr>
            <w:shd w:val="clear" w:color="auto" w:fill="auto"/>
            <w:tcW w:w="1354"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1147"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cantSplit/>
          <w:trHeight w:val="639"/>
        </w:trPr>
        <w:tc>
          <w:tcPr>
            <w:tcW w:w="689"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6</w:t>
            </w:r>
            <w:r/>
          </w:p>
        </w:tc>
        <w:tc>
          <w:tcPr>
            <w:shd w:val="clear" w:color="auto" w:fill="auto"/>
            <w:tcW w:w="1168"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挥发酚分析仪</w:t>
            </w:r>
            <w:r/>
          </w:p>
        </w:tc>
        <w:tc>
          <w:tcPr>
            <w:shd w:val="clear" w:color="auto" w:fill="auto"/>
            <w:tcW w:w="1354"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1147"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cantSplit/>
          <w:trHeight w:val="1269"/>
        </w:trPr>
        <w:tc>
          <w:tcPr>
            <w:tcW w:w="689"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7</w:t>
            </w:r>
            <w:r/>
          </w:p>
        </w:tc>
        <w:tc>
          <w:tcPr>
            <w:shd w:val="clear" w:color="auto" w:fill="auto"/>
            <w:tcW w:w="1168"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挥发性有机物</w:t>
            </w:r>
            <w:r/>
          </w:p>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自动分析仪</w:t>
            </w:r>
            <w:r/>
          </w:p>
        </w:tc>
        <w:tc>
          <w:tcPr>
            <w:shd w:val="clear" w:color="auto" w:fill="auto"/>
            <w:tcW w:w="1354"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1147"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cantSplit/>
          <w:trHeight w:val="639"/>
        </w:trPr>
        <w:tc>
          <w:tcPr>
            <w:tcW w:w="689"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8</w:t>
            </w:r>
            <w:r/>
          </w:p>
        </w:tc>
        <w:tc>
          <w:tcPr>
            <w:shd w:val="clear" w:color="auto" w:fill="auto"/>
            <w:tcW w:w="1168"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系统集成单元</w:t>
            </w:r>
            <w:r/>
          </w:p>
        </w:tc>
        <w:tc>
          <w:tcPr>
            <w:shd w:val="clear" w:color="auto" w:fill="auto"/>
            <w:tcW w:w="1354"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1147"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cantSplit/>
          <w:trHeight w:val="324"/>
        </w:trPr>
        <w:tc>
          <w:tcPr>
            <w:tcW w:w="689"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1168"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1354"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1147"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cantSplit/>
          <w:trHeight w:val="334"/>
        </w:trPr>
        <w:tc>
          <w:tcPr>
            <w:gridSpan w:val="6"/>
            <w:tcW w:w="6160" w:type="dxa"/>
            <w:vAlign w:val="center"/>
            <w:textDirection w:val="lrTb"/>
            <w:noWrap w:val="false"/>
          </w:tcPr>
          <w:p>
            <w:pPr>
              <w:rPr>
                <w:rFonts w:ascii="仿宋" w:hAnsi="仿宋" w:eastAsia="仿宋"/>
                <w:bCs/>
                <w:color w:val="auto"/>
                <w:sz w:val="24"/>
                <w:highlight w:val="none"/>
              </w:rPr>
            </w:pPr>
            <w:r>
              <w:rPr>
                <w:rFonts w:hint="eastAsia" w:ascii="仿宋" w:hAnsi="仿宋" w:eastAsia="仿宋"/>
                <w:bCs/>
                <w:color w:val="auto"/>
                <w:sz w:val="24"/>
                <w:highlight w:val="none"/>
              </w:rPr>
              <w:t xml:space="preserve">总 计（大写）</w:t>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1147"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bl>
    <w:p>
      <w:pPr>
        <w:rPr>
          <w:rFonts w:ascii="仿宋" w:hAnsi="仿宋" w:eastAsia="仿宋"/>
          <w:bCs/>
          <w:color w:val="auto"/>
          <w:szCs w:val="21"/>
          <w:highlight w:val="none"/>
        </w:rPr>
      </w:pPr>
      <w:r>
        <w:rPr>
          <w:rFonts w:hint="eastAsia" w:ascii="仿宋" w:hAnsi="仿宋" w:eastAsia="仿宋"/>
          <w:bCs/>
          <w:color w:val="auto"/>
          <w:szCs w:val="21"/>
          <w:highlight w:val="none"/>
        </w:rPr>
        <w:t xml:space="preserve">投标人名称：（盖章）                日期：年月日</w:t>
      </w:r>
      <w:r/>
    </w:p>
    <w:p>
      <w:pPr>
        <w:rPr>
          <w:rFonts w:ascii="仿宋" w:hAnsi="仿宋" w:eastAsia="仿宋"/>
          <w:bCs/>
          <w:color w:val="auto"/>
          <w:szCs w:val="21"/>
          <w:highlight w:val="none"/>
        </w:rPr>
      </w:pPr>
      <w:r>
        <w:rPr>
          <w:rFonts w:hint="eastAsia" w:ascii="仿宋" w:hAnsi="仿宋" w:eastAsia="仿宋"/>
          <w:bCs/>
          <w:color w:val="auto"/>
          <w:szCs w:val="21"/>
          <w:highlight w:val="none"/>
        </w:rPr>
        <w:t xml:space="preserve">注：</w:t>
      </w:r>
      <w:r/>
    </w:p>
    <w:p>
      <w:pPr>
        <w:rPr>
          <w:rFonts w:ascii="仿宋" w:hAnsi="仿宋" w:eastAsia="仿宋"/>
          <w:bCs/>
          <w:color w:val="auto"/>
          <w:szCs w:val="21"/>
          <w:highlight w:val="none"/>
        </w:rPr>
      </w:pPr>
      <w:r>
        <w:rPr>
          <w:rFonts w:hint="eastAsia" w:ascii="仿宋" w:hAnsi="仿宋" w:eastAsia="仿宋"/>
          <w:bCs/>
          <w:color w:val="auto"/>
          <w:szCs w:val="21"/>
          <w:highlight w:val="none"/>
        </w:rPr>
        <w:t xml:space="preserve">1、此表可以根据需要自行增减行数。</w:t>
      </w:r>
      <w:r/>
    </w:p>
    <w:p>
      <w:pPr>
        <w:rPr>
          <w:rFonts w:ascii="仿宋" w:hAnsi="仿宋" w:eastAsia="仿宋"/>
          <w:bCs/>
          <w:color w:val="auto"/>
          <w:szCs w:val="21"/>
          <w:highlight w:val="none"/>
        </w:rPr>
      </w:pPr>
      <w:r>
        <w:rPr>
          <w:rFonts w:hint="eastAsia" w:ascii="仿宋" w:hAnsi="仿宋" w:eastAsia="仿宋"/>
          <w:bCs/>
          <w:color w:val="auto"/>
          <w:szCs w:val="21"/>
          <w:highlight w:val="none"/>
        </w:rPr>
        <w:t xml:space="preserve">2、项目如有分包，请各投标人按投报的分包分别列表。</w:t>
      </w:r>
      <w:r/>
    </w:p>
    <w:p>
      <w:pPr>
        <w:rPr>
          <w:rFonts w:ascii="仿宋" w:hAnsi="仿宋" w:eastAsia="仿宋"/>
          <w:bCs/>
          <w:color w:val="auto"/>
          <w:szCs w:val="21"/>
          <w:highlight w:val="none"/>
        </w:rPr>
      </w:pPr>
      <w:r>
        <w:rPr>
          <w:rFonts w:hint="eastAsia" w:ascii="仿宋" w:hAnsi="仿宋" w:eastAsia="仿宋"/>
          <w:bCs/>
          <w:color w:val="auto"/>
          <w:szCs w:val="21"/>
          <w:highlight w:val="none"/>
        </w:rPr>
        <w:br w:type="page" w:clear="all"/>
      </w:r>
      <w:r/>
    </w:p>
    <w:p>
      <w:pPr>
        <w:ind w:firstLine="3052"/>
        <w:rPr>
          <w:rFonts w:ascii="宋体" w:hAnsi="宋体"/>
          <w:b/>
          <w:color w:val="auto"/>
          <w:sz w:val="24"/>
          <w:highlight w:val="none"/>
        </w:rPr>
      </w:pPr>
      <w:r>
        <w:rPr>
          <w:rFonts w:hint="eastAsia" w:ascii="方正小标宋简体" w:hAnsi="宋体" w:eastAsia="方正小标宋简体"/>
          <w:b/>
          <w:color w:val="auto"/>
          <w:sz w:val="32"/>
          <w:szCs w:val="32"/>
          <w:highlight w:val="none"/>
        </w:rPr>
        <w:t xml:space="preserve">公开招标响应报价明细表</w:t>
      </w:r>
      <w:r/>
    </w:p>
    <w:p>
      <w:pPr>
        <w:rPr>
          <w:rFonts w:ascii="宋体" w:hAnsi="宋体"/>
          <w:b/>
          <w:color w:val="auto"/>
          <w:highlight w:val="none"/>
        </w:rPr>
      </w:pPr>
      <w:r>
        <w:rPr>
          <w:rFonts w:ascii="宋体" w:hAnsi="宋体"/>
          <w:b/>
          <w:color w:val="auto"/>
          <w:highlight w:val="none"/>
        </w:rPr>
      </w:r>
      <w:r/>
    </w:p>
    <w:p>
      <w:pPr>
        <w:pStyle w:val="884"/>
        <w:rPr>
          <w:rFonts w:ascii="宋体"/>
          <w:b w:val="0"/>
          <w:bCs/>
          <w:color w:val="auto"/>
          <w:highlight w:val="none"/>
        </w:rPr>
      </w:pPr>
      <w:r>
        <w:rPr>
          <w:rFonts w:hint="eastAsia" w:ascii="仿宋" w:hAnsi="仿宋" w:eastAsia="仿宋"/>
          <w:b w:val="0"/>
          <w:bCs/>
          <w:color w:val="auto"/>
          <w:szCs w:val="24"/>
          <w:highlight w:val="none"/>
        </w:rPr>
        <w:t xml:space="preserve">项目名称：如皋市水源地水质自动监测监控预警能力提升建设项目</w:t>
      </w:r>
      <w:r/>
    </w:p>
    <w:p>
      <w:pP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项目编号： JSZC-320682-NTZJ-G2026-0011              分包号2：                   </w:t>
      </w:r>
      <w:r/>
    </w:p>
    <w:tbl>
      <w:tblPr>
        <w:tblStyle w:val="875"/>
        <w:tblW w:w="92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168"/>
        <w:gridCol w:w="1354"/>
        <w:gridCol w:w="983"/>
        <w:gridCol w:w="983"/>
        <w:gridCol w:w="983"/>
        <w:gridCol w:w="983"/>
        <w:gridCol w:w="1147"/>
        <w:gridCol w:w="983"/>
      </w:tblGrid>
      <w:tr>
        <w:trPr>
          <w:cantSplit/>
          <w:trHeight w:val="954"/>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tcPr>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设备名称</w:t>
            </w:r>
            <w:r/>
          </w:p>
        </w:tc>
        <w:tc>
          <w:tcPr>
            <w:tcBorders>
              <w:top w:val="single" w:color="auto" w:sz="4" w:space="0"/>
              <w:left w:val="single" w:color="auto" w:sz="4" w:space="0"/>
              <w:bottom w:val="single" w:color="auto" w:sz="4" w:space="0"/>
              <w:right w:val="single" w:color="auto" w:sz="4" w:space="0"/>
            </w:tcBorders>
            <w:tcW w:w="1354" w:type="dxa"/>
            <w:vAlign w:val="center"/>
            <w:textDirection w:val="lrTb"/>
            <w:noWrap/>
          </w:tcPr>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品牌和型号</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计量单位</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单价</w:t>
            </w:r>
            <w:r/>
          </w:p>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单项</w:t>
            </w:r>
            <w:r/>
          </w:p>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合计价</w:t>
            </w:r>
            <w:r/>
          </w:p>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（万元）</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备注</w:t>
            </w:r>
            <w:r/>
          </w:p>
        </w:tc>
      </w:tr>
      <w:tr>
        <w:trPr>
          <w:cantSplit/>
          <w:trHeight w:val="639"/>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68"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总磷总氮全自动分析仪</w:t>
            </w:r>
            <w:r/>
          </w:p>
        </w:tc>
        <w:tc>
          <w:tcPr>
            <w:shd w:val="clear" w:color="auto" w:fill="auto"/>
            <w:tcBorders>
              <w:top w:val="single" w:color="auto" w:sz="4" w:space="0"/>
              <w:left w:val="single" w:color="auto" w:sz="4" w:space="0"/>
              <w:bottom w:val="single" w:color="auto" w:sz="4" w:space="0"/>
              <w:right w:val="single" w:color="auto" w:sz="4" w:space="0"/>
            </w:tcBorders>
            <w:tcW w:w="1354"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r>
      <w:tr>
        <w:trPr>
          <w:cantSplit/>
          <w:trHeight w:val="954"/>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68"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采水无人机</w:t>
            </w:r>
            <w:r/>
          </w:p>
        </w:tc>
        <w:tc>
          <w:tcPr>
            <w:shd w:val="clear" w:color="auto" w:fill="auto"/>
            <w:tcBorders>
              <w:top w:val="single" w:color="auto" w:sz="4" w:space="0"/>
              <w:left w:val="single" w:color="auto" w:sz="4" w:space="0"/>
              <w:bottom w:val="single" w:color="auto" w:sz="4" w:space="0"/>
              <w:right w:val="single" w:color="auto" w:sz="4" w:space="0"/>
            </w:tcBorders>
            <w:tcW w:w="1354"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r>
      <w:tr>
        <w:trPr>
          <w:cantSplit/>
          <w:trHeight w:val="639"/>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68"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便携式气相色谱质谱联用仪</w:t>
            </w:r>
            <w:r/>
          </w:p>
        </w:tc>
        <w:tc>
          <w:tcPr>
            <w:shd w:val="clear" w:color="auto" w:fill="auto"/>
            <w:tcBorders>
              <w:top w:val="single" w:color="auto" w:sz="4" w:space="0"/>
              <w:left w:val="single" w:color="auto" w:sz="4" w:space="0"/>
              <w:bottom w:val="single" w:color="auto" w:sz="4" w:space="0"/>
              <w:right w:val="single" w:color="auto" w:sz="4" w:space="0"/>
            </w:tcBorders>
            <w:tcW w:w="1354"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台</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r>
      <w:tr>
        <w:trPr>
          <w:cantSplit/>
          <w:trHeight w:val="639"/>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68"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354"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r>
      <w:tr>
        <w:trPr>
          <w:cantSplit/>
          <w:trHeight w:val="334"/>
        </w:trPr>
        <w:tc>
          <w:tcPr>
            <w:gridSpan w:val="6"/>
            <w:tcBorders>
              <w:top w:val="single" w:color="auto" w:sz="4" w:space="0"/>
              <w:left w:val="single" w:color="auto" w:sz="4" w:space="0"/>
              <w:bottom w:val="single" w:color="auto" w:sz="4" w:space="0"/>
              <w:right w:val="single" w:color="auto" w:sz="4" w:space="0"/>
            </w:tcBorders>
            <w:tcW w:w="6160" w:type="dxa"/>
            <w:vAlign w:val="center"/>
            <w:textDirection w:val="lrTb"/>
            <w:noWrap/>
          </w:tcPr>
          <w:p>
            <w:pPr>
              <w:rPr>
                <w:rFonts w:ascii="仿宋" w:hAnsi="仿宋" w:eastAsia="仿宋"/>
                <w:b/>
                <w:color w:val="auto"/>
                <w:sz w:val="24"/>
                <w:highlight w:val="none"/>
              </w:rPr>
            </w:pPr>
            <w:r>
              <w:rPr>
                <w:rFonts w:hint="eastAsia" w:ascii="仿宋" w:hAnsi="仿宋" w:eastAsia="仿宋"/>
                <w:b/>
                <w:color w:val="auto"/>
                <w:sz w:val="24"/>
                <w:highlight w:val="none"/>
              </w:rPr>
              <w:t xml:space="preserve">总 计（大写）</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r>
    </w:tbl>
    <w:p>
      <w:pPr>
        <w:rPr>
          <w:rFonts w:ascii="仿宋" w:hAnsi="仿宋" w:eastAsia="仿宋"/>
          <w:b/>
          <w:color w:val="auto"/>
          <w:szCs w:val="21"/>
          <w:highlight w:val="none"/>
        </w:rPr>
      </w:pPr>
      <w:r>
        <w:rPr>
          <w:rFonts w:hint="eastAsia" w:ascii="仿宋" w:hAnsi="仿宋" w:eastAsia="仿宋"/>
          <w:b/>
          <w:color w:val="auto"/>
          <w:szCs w:val="21"/>
          <w:highlight w:val="none"/>
        </w:rPr>
        <w:t xml:space="preserve">投标人名称：（盖章）                日期：年月日</w:t>
      </w:r>
      <w:r/>
    </w:p>
    <w:p>
      <w:pPr>
        <w:rPr>
          <w:rFonts w:ascii="仿宋" w:hAnsi="仿宋" w:eastAsia="仿宋"/>
          <w:b/>
          <w:color w:val="auto"/>
          <w:szCs w:val="21"/>
          <w:highlight w:val="none"/>
        </w:rPr>
      </w:pPr>
      <w:r>
        <w:rPr>
          <w:rFonts w:hint="eastAsia" w:ascii="仿宋" w:hAnsi="仿宋" w:eastAsia="仿宋"/>
          <w:b/>
          <w:color w:val="auto"/>
          <w:szCs w:val="21"/>
          <w:highlight w:val="none"/>
        </w:rPr>
        <w:t xml:space="preserve">注：</w:t>
      </w:r>
      <w:r/>
    </w:p>
    <w:p>
      <w:pPr>
        <w:rPr>
          <w:rFonts w:ascii="仿宋" w:hAnsi="仿宋" w:eastAsia="仿宋"/>
          <w:b/>
          <w:color w:val="auto"/>
          <w:szCs w:val="21"/>
          <w:highlight w:val="none"/>
        </w:rPr>
      </w:pPr>
      <w:r>
        <w:rPr>
          <w:rFonts w:hint="eastAsia" w:ascii="仿宋" w:hAnsi="仿宋" w:eastAsia="仿宋"/>
          <w:b/>
          <w:color w:val="auto"/>
          <w:szCs w:val="21"/>
          <w:highlight w:val="none"/>
        </w:rPr>
        <w:t xml:space="preserve">1、此表可以根据需要自行增减行数。</w:t>
      </w:r>
      <w:r/>
    </w:p>
    <w:p>
      <w:pPr>
        <w:rPr>
          <w:rFonts w:ascii="仿宋" w:hAnsi="仿宋" w:eastAsia="仿宋"/>
          <w:b/>
          <w:color w:val="auto"/>
          <w:szCs w:val="21"/>
          <w:highlight w:val="none"/>
        </w:rPr>
      </w:pPr>
      <w:r>
        <w:rPr>
          <w:rFonts w:hint="eastAsia" w:ascii="仿宋" w:hAnsi="仿宋" w:eastAsia="仿宋"/>
          <w:b/>
          <w:color w:val="auto"/>
          <w:szCs w:val="21"/>
          <w:highlight w:val="none"/>
        </w:rPr>
        <w:t xml:space="preserve">2、项目如有分包，请各投标人按投报的分包分别列表。</w:t>
      </w:r>
      <w:r/>
    </w:p>
    <w:p>
      <w:pPr>
        <w:pStyle w:val="890"/>
        <w:rPr>
          <w:color w:val="auto"/>
          <w:highlight w:val="none"/>
        </w:rPr>
      </w:pPr>
      <w:r>
        <w:rPr>
          <w:color w:val="auto"/>
          <w:highlight w:val="none"/>
        </w:rPr>
      </w:r>
      <w:r/>
    </w:p>
    <w:p>
      <w:pPr>
        <w:pStyle w:val="912"/>
        <w:ind w:firstLine="0"/>
        <w:jc w:val="center"/>
        <w:spacing w:line="240" w:lineRule="auto"/>
        <w:rPr>
          <w:rFonts w:hint="eastAsia" w:ascii="仿宋" w:hAnsi="仿宋" w:eastAsia="仿宋"/>
          <w:bCs/>
          <w:color w:val="auto"/>
          <w:sz w:val="28"/>
          <w:szCs w:val="28"/>
          <w:highlight w:val="none"/>
          <w:lang w:val="en-US" w:eastAsia="zh-CN"/>
        </w:rPr>
        <w:outlineLvl w:val="0"/>
      </w:pPr>
      <w:r>
        <w:rPr>
          <w:rFonts w:ascii="仿宋" w:hAnsi="仿宋" w:eastAsia="仿宋"/>
          <w:bCs/>
          <w:color w:val="auto"/>
          <w:sz w:val="28"/>
          <w:szCs w:val="28"/>
          <w:highlight w:val="none"/>
        </w:rPr>
        <w:br w:type="page" w:clear="all"/>
      </w:r>
      <w:bookmarkStart w:id="142" w:name="_Toc1566"/>
      <w:r>
        <w:rPr>
          <w:rFonts w:hint="eastAsia" w:ascii="方正小标宋简体" w:eastAsia="方正小标宋简体"/>
          <w:b/>
          <w:color w:val="auto"/>
          <w:sz w:val="32"/>
          <w:szCs w:val="32"/>
          <w:highlight w:val="none"/>
          <w:lang w:val="en-US" w:eastAsia="zh-CN"/>
        </w:rPr>
        <w:t xml:space="preserve">第7章 附 件</w:t>
      </w:r>
      <w:bookmarkEnd w:id="142"/>
      <w:r/>
      <w:r/>
    </w:p>
    <w:p>
      <w:pPr>
        <w:numPr>
          <w:ilvl w:val="0"/>
          <w:numId w:val="0"/>
        </w:numPr>
        <w:spacing w:line="360" w:lineRule="auto"/>
        <w:rPr>
          <w:rFonts w:ascii="方正小标宋简体" w:hAnsi="Arial" w:eastAsia="方正小标宋简体"/>
          <w:bCs/>
          <w:color w:val="auto"/>
          <w:sz w:val="32"/>
          <w:szCs w:val="32"/>
          <w:highlight w:val="none"/>
        </w:rPr>
        <w:outlineLvl w:val="9"/>
      </w:pPr>
      <w:r>
        <w:rPr>
          <w:rFonts w:hint="eastAsia" w:ascii="方正小标宋简体" w:hAnsi="Arial" w:eastAsia="方正小标宋简体"/>
          <w:bCs/>
          <w:color w:val="auto"/>
          <w:sz w:val="32"/>
          <w:szCs w:val="32"/>
          <w:highlight w:val="none"/>
          <w:lang w:val="en-US" w:eastAsia="zh-CN"/>
        </w:rPr>
        <w:t xml:space="preserve">附件1：</w:t>
      </w:r>
      <w:r>
        <w:rPr>
          <w:rFonts w:hint="eastAsia" w:ascii="方正小标宋简体" w:hAnsi="Arial" w:eastAsia="方正小标宋简体"/>
          <w:bCs/>
          <w:color w:val="auto"/>
          <w:sz w:val="32"/>
          <w:szCs w:val="32"/>
          <w:highlight w:val="none"/>
        </w:rPr>
        <w:t xml:space="preserve">现场踏勘确认函</w:t>
      </w:r>
      <w:r/>
    </w:p>
    <w:p>
      <w:pPr>
        <w:jc w:val="center"/>
        <w:rPr>
          <w:rFonts w:ascii="宋体" w:hAnsi="宋体"/>
          <w:bCs/>
          <w:color w:val="auto"/>
          <w:sz w:val="32"/>
          <w:szCs w:val="32"/>
          <w:highlight w:val="none"/>
        </w:rPr>
      </w:pPr>
      <w:r>
        <w:rPr>
          <w:rFonts w:hint="eastAsia" w:ascii="宋体" w:hAnsi="宋体"/>
          <w:bCs/>
          <w:color w:val="auto"/>
          <w:sz w:val="32"/>
          <w:szCs w:val="32"/>
          <w:highlight w:val="none"/>
        </w:rPr>
        <w:t xml:space="preserve">现场踏勘确认函</w:t>
      </w:r>
      <w:r/>
    </w:p>
    <w:p>
      <w:pPr>
        <w:pStyle w:val="906"/>
        <w:ind w:firstLine="200"/>
        <w:spacing w:line="300" w:lineRule="auto"/>
        <w:rPr>
          <w:rFonts w:ascii="宋体" w:eastAsia="宋体"/>
          <w:bCs/>
          <w:color w:val="auto"/>
          <w:sz w:val="10"/>
          <w:szCs w:val="10"/>
          <w:highlight w:val="none"/>
        </w:rPr>
      </w:pPr>
      <w:r>
        <w:rPr>
          <w:rFonts w:ascii="宋体" w:eastAsia="宋体"/>
          <w:bCs/>
          <w:color w:val="auto"/>
          <w:sz w:val="10"/>
          <w:szCs w:val="10"/>
          <w:highlight w:val="none"/>
        </w:rPr>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______________________________：</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依据贵单位（</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如皋市水源地水质自动监测监控预警能力提升建设项目</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项目（编号：JSZC-320682-NTZJ-G2026-0011）招标文件的要求。我方已于年月日自行对该项目进行了现场勘察，我公司现就现场勘察情况做如下承诺：</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w:t>
      </w:r>
      <w:r>
        <w:rPr>
          <w:rFonts w:hint="eastAsia" w:ascii="仿宋" w:hAnsi="仿宋" w:eastAsia="仿宋"/>
          <w:bCs/>
          <w:color w:val="auto"/>
          <w:sz w:val="28"/>
          <w:szCs w:val="28"/>
          <w:highlight w:val="none"/>
        </w:rPr>
        <w:t xml:space="preserve">、经现场勘察，我方已熟悉与该项目相关的物业管理现场、现场周围交通道路等所有情况。</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、我方承诺自行承担本次现场勘察所发生的所有费用并承担勘察现场的相关责任和风险。</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w:t>
      </w:r>
      <w:r>
        <w:rPr>
          <w:rFonts w:hint="eastAsia" w:ascii="仿宋" w:hAnsi="仿宋" w:eastAsia="仿宋"/>
          <w:bCs/>
          <w:color w:val="auto"/>
          <w:sz w:val="28"/>
          <w:szCs w:val="28"/>
          <w:highlight w:val="none"/>
        </w:rPr>
        <w:t xml:space="preserve">、我方承诺在任何情况下均不以不完全了解现场情况为理由而向采购人提出任何索赔的要求。</w:t>
      </w:r>
      <w:r/>
    </w:p>
    <w:p>
      <w:pPr>
        <w:jc w:val="right"/>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jc w:val="right"/>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响应供应商：（加盖公章）</w:t>
      </w:r>
      <w:r/>
    </w:p>
    <w:p>
      <w:pPr>
        <w:pStyle w:val="890"/>
        <w:rPr>
          <w:bCs/>
          <w:color w:val="auto"/>
          <w:highlight w:val="none"/>
        </w:rPr>
      </w:pPr>
      <w:r>
        <w:rPr>
          <w:bCs/>
          <w:color w:val="auto"/>
          <w:highlight w:val="none"/>
        </w:rPr>
      </w:r>
      <w:r/>
    </w:p>
    <w:p>
      <w:pPr>
        <w:ind w:firstLine="560"/>
        <w:jc w:val="right"/>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法定代表人或被授权人：（签字或盖章）</w:t>
      </w:r>
      <w:r/>
    </w:p>
    <w:p>
      <w:pPr>
        <w:pStyle w:val="890"/>
        <w:rPr>
          <w:bCs/>
          <w:color w:val="auto"/>
          <w:highlight w:val="none"/>
        </w:rPr>
      </w:pPr>
      <w:r>
        <w:rPr>
          <w:bCs/>
          <w:color w:val="auto"/>
          <w:highlight w:val="none"/>
        </w:rPr>
      </w:r>
      <w:r/>
    </w:p>
    <w:p>
      <w:pPr>
        <w:jc w:val="right"/>
        <w:spacing w:line="300" w:lineRule="exact"/>
        <w:rPr>
          <w:rFonts w:ascii="仿宋" w:hAnsi="仿宋" w:eastAsia="仿宋"/>
          <w:bCs/>
          <w:color w:val="auto"/>
          <w:szCs w:val="21"/>
          <w:highlight w:val="none"/>
        </w:rPr>
      </w:pPr>
      <w:r>
        <w:rPr>
          <w:rFonts w:hint="eastAsia" w:ascii="仿宋" w:hAnsi="仿宋" w:eastAsia="仿宋"/>
          <w:bCs/>
          <w:color w:val="auto"/>
          <w:sz w:val="28"/>
          <w:szCs w:val="28"/>
          <w:highlight w:val="none"/>
        </w:rPr>
        <w:t xml:space="preserve">年月  日</w:t>
      </w:r>
      <w:r/>
    </w:p>
    <w:p>
      <w:pPr>
        <w:pStyle w:val="877"/>
        <w:ind w:left="0"/>
        <w:rPr>
          <w:bCs/>
          <w:color w:val="auto"/>
          <w:highlight w:val="none"/>
        </w:rPr>
      </w:pPr>
      <w:r>
        <w:rPr>
          <w:bCs/>
          <w:color w:val="auto"/>
          <w:highlight w:val="none"/>
        </w:rPr>
      </w:r>
      <w:r/>
    </w:p>
    <w:sectPr>
      <w:footerReference w:type="default" r:id="rId11"/>
      <w:footnotePr/>
      <w:endnotePr/>
      <w:type w:val="nextPage"/>
      <w:pgSz w:w="11906" w:h="16838" w:orient="portrait"/>
      <w:pgMar w:top="1418" w:right="1134" w:bottom="1134" w:left="141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仿宋">
    <w:panose1 w:val="02010609060101010101"/>
  </w:font>
  <w:font w:name="Tahoma">
    <w:panose1 w:val="020B0604030504040204"/>
  </w:font>
  <w:font w:name="方正小标宋简体">
    <w:panose1 w:val="020B0503020202020204"/>
  </w:font>
  <w:font w:name="Courier New">
    <w:panose1 w:val="02070309020205020404"/>
  </w:font>
  <w:font w:name="文鼎CS楷体">
    <w:panose1 w:val="020B0503020202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896"/>
      </w:rPr>
      <w:framePr w:wrap="around" w:vAnchor="text" w:hAnchor="margin" w:xAlign="center" w:y="1"/>
    </w:pPr>
    <w:r>
      <w:fldChar w:fldCharType="begin"/>
    </w:r>
    <w:r>
      <w:rPr>
        <w:rStyle w:val="896"/>
      </w:rPr>
      <w:instrText xml:space="preserve">PAGE  </w:instrText>
    </w:r>
    <w:r>
      <w:fldChar w:fldCharType="end"/>
    </w:r>
    <w:r/>
  </w:p>
  <w:p>
    <w:pPr>
      <w:pStyle w:val="8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874"/>
    <w:link w:val="870"/>
    <w:uiPriority w:val="9"/>
    <w:rPr>
      <w:rFonts w:ascii="Arial" w:hAnsi="Arial" w:eastAsia="Arial" w:cs="Arial"/>
      <w:sz w:val="40"/>
      <w:szCs w:val="40"/>
    </w:rPr>
  </w:style>
  <w:style w:type="character" w:styleId="703">
    <w:name w:val="Heading 2 Char"/>
    <w:basedOn w:val="874"/>
    <w:link w:val="871"/>
    <w:uiPriority w:val="9"/>
    <w:rPr>
      <w:rFonts w:ascii="Arial" w:hAnsi="Arial" w:eastAsia="Arial" w:cs="Arial"/>
      <w:sz w:val="34"/>
    </w:rPr>
  </w:style>
  <w:style w:type="character" w:styleId="704">
    <w:name w:val="Heading 3 Char"/>
    <w:basedOn w:val="874"/>
    <w:link w:val="872"/>
    <w:uiPriority w:val="9"/>
    <w:rPr>
      <w:rFonts w:ascii="Arial" w:hAnsi="Arial" w:eastAsia="Arial" w:cs="Arial"/>
      <w:sz w:val="30"/>
      <w:szCs w:val="30"/>
    </w:rPr>
  </w:style>
  <w:style w:type="character" w:styleId="705">
    <w:name w:val="Heading 4 Char"/>
    <w:basedOn w:val="874"/>
    <w:link w:val="873"/>
    <w:uiPriority w:val="9"/>
    <w:rPr>
      <w:rFonts w:ascii="Arial" w:hAnsi="Arial" w:eastAsia="Arial" w:cs="Arial"/>
      <w:b/>
      <w:bCs/>
      <w:sz w:val="26"/>
      <w:szCs w:val="26"/>
    </w:rPr>
  </w:style>
  <w:style w:type="paragraph" w:styleId="706">
    <w:name w:val="Heading 5"/>
    <w:basedOn w:val="869"/>
    <w:next w:val="869"/>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basedOn w:val="874"/>
    <w:link w:val="706"/>
    <w:uiPriority w:val="9"/>
    <w:rPr>
      <w:rFonts w:ascii="Arial" w:hAnsi="Arial" w:eastAsia="Arial" w:cs="Arial"/>
      <w:b/>
      <w:bCs/>
      <w:sz w:val="24"/>
      <w:szCs w:val="24"/>
    </w:rPr>
  </w:style>
  <w:style w:type="paragraph" w:styleId="708">
    <w:name w:val="Heading 6"/>
    <w:basedOn w:val="869"/>
    <w:next w:val="869"/>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basedOn w:val="874"/>
    <w:link w:val="708"/>
    <w:uiPriority w:val="9"/>
    <w:rPr>
      <w:rFonts w:ascii="Arial" w:hAnsi="Arial" w:eastAsia="Arial" w:cs="Arial"/>
      <w:b/>
      <w:bCs/>
      <w:sz w:val="22"/>
      <w:szCs w:val="22"/>
    </w:rPr>
  </w:style>
  <w:style w:type="paragraph" w:styleId="710">
    <w:name w:val="Heading 7"/>
    <w:basedOn w:val="869"/>
    <w:next w:val="869"/>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basedOn w:val="874"/>
    <w:link w:val="710"/>
    <w:uiPriority w:val="9"/>
    <w:rPr>
      <w:rFonts w:ascii="Arial" w:hAnsi="Arial" w:eastAsia="Arial" w:cs="Arial"/>
      <w:b/>
      <w:bCs/>
      <w:i/>
      <w:iCs/>
      <w:sz w:val="22"/>
      <w:szCs w:val="22"/>
    </w:rPr>
  </w:style>
  <w:style w:type="paragraph" w:styleId="712">
    <w:name w:val="Heading 8"/>
    <w:basedOn w:val="869"/>
    <w:next w:val="869"/>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basedOn w:val="874"/>
    <w:link w:val="712"/>
    <w:uiPriority w:val="9"/>
    <w:rPr>
      <w:rFonts w:ascii="Arial" w:hAnsi="Arial" w:eastAsia="Arial" w:cs="Arial"/>
      <w:i/>
      <w:iCs/>
      <w:sz w:val="22"/>
      <w:szCs w:val="22"/>
    </w:rPr>
  </w:style>
  <w:style w:type="paragraph" w:styleId="714">
    <w:name w:val="Heading 9"/>
    <w:basedOn w:val="869"/>
    <w:next w:val="869"/>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basedOn w:val="874"/>
    <w:link w:val="714"/>
    <w:uiPriority w:val="9"/>
    <w:rPr>
      <w:rFonts w:ascii="Arial" w:hAnsi="Arial" w:eastAsia="Arial" w:cs="Arial"/>
      <w:i/>
      <w:iCs/>
      <w:sz w:val="21"/>
      <w:szCs w:val="21"/>
    </w:rPr>
  </w:style>
  <w:style w:type="paragraph" w:styleId="716">
    <w:name w:val="List Paragraph"/>
    <w:basedOn w:val="869"/>
    <w:uiPriority w:val="34"/>
    <w:qFormat/>
    <w:pPr>
      <w:contextualSpacing/>
      <w:ind w:left="720"/>
    </w:pPr>
  </w:style>
  <w:style w:type="paragraph" w:styleId="717">
    <w:name w:val="No Spacing"/>
    <w:uiPriority w:val="1"/>
    <w:qFormat/>
    <w:pPr>
      <w:spacing w:before="0" w:after="0" w:line="240" w:lineRule="auto"/>
    </w:pPr>
  </w:style>
  <w:style w:type="paragraph" w:styleId="718">
    <w:name w:val="Title"/>
    <w:basedOn w:val="869"/>
    <w:next w:val="869"/>
    <w:link w:val="719"/>
    <w:uiPriority w:val="10"/>
    <w:qFormat/>
    <w:pPr>
      <w:contextualSpacing/>
      <w:spacing w:before="300" w:after="200"/>
    </w:pPr>
    <w:rPr>
      <w:sz w:val="48"/>
      <w:szCs w:val="48"/>
    </w:rPr>
  </w:style>
  <w:style w:type="character" w:styleId="719">
    <w:name w:val="Title Char"/>
    <w:basedOn w:val="874"/>
    <w:link w:val="718"/>
    <w:uiPriority w:val="10"/>
    <w:rPr>
      <w:sz w:val="48"/>
      <w:szCs w:val="48"/>
    </w:rPr>
  </w:style>
  <w:style w:type="paragraph" w:styleId="720">
    <w:name w:val="Subtitle"/>
    <w:basedOn w:val="869"/>
    <w:next w:val="869"/>
    <w:link w:val="721"/>
    <w:uiPriority w:val="11"/>
    <w:qFormat/>
    <w:pPr>
      <w:spacing w:before="200" w:after="200"/>
    </w:pPr>
    <w:rPr>
      <w:sz w:val="24"/>
      <w:szCs w:val="24"/>
    </w:rPr>
  </w:style>
  <w:style w:type="character" w:styleId="721">
    <w:name w:val="Subtitle Char"/>
    <w:basedOn w:val="874"/>
    <w:link w:val="720"/>
    <w:uiPriority w:val="11"/>
    <w:rPr>
      <w:sz w:val="24"/>
      <w:szCs w:val="24"/>
    </w:rPr>
  </w:style>
  <w:style w:type="paragraph" w:styleId="722">
    <w:name w:val="Quote"/>
    <w:basedOn w:val="869"/>
    <w:next w:val="869"/>
    <w:link w:val="723"/>
    <w:uiPriority w:val="29"/>
    <w:qFormat/>
    <w:pPr>
      <w:ind w:left="720" w:right="720"/>
    </w:pPr>
    <w:rPr>
      <w:i/>
    </w:rPr>
  </w:style>
  <w:style w:type="character" w:styleId="723">
    <w:name w:val="Quote Char"/>
    <w:link w:val="722"/>
    <w:uiPriority w:val="29"/>
    <w:rPr>
      <w:i/>
    </w:rPr>
  </w:style>
  <w:style w:type="paragraph" w:styleId="724">
    <w:name w:val="Intense Quote"/>
    <w:basedOn w:val="869"/>
    <w:next w:val="869"/>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character" w:styleId="726">
    <w:name w:val="Header Char"/>
    <w:basedOn w:val="874"/>
    <w:link w:val="888"/>
    <w:uiPriority w:val="99"/>
  </w:style>
  <w:style w:type="character" w:styleId="727">
    <w:name w:val="Footer Char"/>
    <w:basedOn w:val="874"/>
    <w:link w:val="887"/>
    <w:uiPriority w:val="99"/>
  </w:style>
  <w:style w:type="paragraph" w:styleId="728">
    <w:name w:val="Caption"/>
    <w:basedOn w:val="869"/>
    <w:next w:val="869"/>
    <w:uiPriority w:val="35"/>
    <w:semiHidden/>
    <w:unhideWhenUsed/>
    <w:qFormat/>
    <w:pPr>
      <w:spacing w:line="276" w:lineRule="auto"/>
    </w:pPr>
    <w:rPr>
      <w:b/>
      <w:bCs/>
      <w:color w:val="4f81bd" w:themeColor="accent1"/>
      <w:sz w:val="18"/>
      <w:szCs w:val="18"/>
    </w:rPr>
  </w:style>
  <w:style w:type="character" w:styleId="729">
    <w:name w:val="Caption Char"/>
    <w:basedOn w:val="728"/>
    <w:link w:val="887"/>
    <w:uiPriority w:val="99"/>
  </w:style>
  <w:style w:type="table" w:styleId="730">
    <w:name w:val="Table Grid Light"/>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basedOn w:val="8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basedOn w:val="8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basedOn w:val="8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basedOn w:val="8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basedOn w:val="8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basedOn w:val="8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basedOn w:val="8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basedOn w:val="8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basedOn w:val="8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basedOn w:val="8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basedOn w:val="8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basedOn w:val="8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basedOn w:val="8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basedOn w:val="8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basedOn w:val="8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basedOn w:val="8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basedOn w:val="87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basedOn w:val="87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basedOn w:val="87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basedOn w:val="87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basedOn w:val="87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basedOn w:val="87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basedOn w:val="8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basedOn w:val="8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basedOn w:val="8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basedOn w:val="8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basedOn w:val="8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basedOn w:val="8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basedOn w:val="8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basedOn w:val="8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basedOn w:val="8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basedOn w:val="8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basedOn w:val="8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basedOn w:val="8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basedOn w:val="8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basedOn w:val="8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basedOn w:val="8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basedOn w:val="8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basedOn w:val="8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basedOn w:val="8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basedOn w:val="8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basedOn w:val="8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basedOn w:val="8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basedOn w:val="8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basedOn w:val="8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basedOn w:val="8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basedOn w:val="8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basedOn w:val="8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basedOn w:val="8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basedOn w:val="8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basedOn w:val="8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basedOn w:val="8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basedOn w:val="8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basedOn w:val="8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basedOn w:val="8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basedOn w:val="8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basedOn w:val="8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basedOn w:val="8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basedOn w:val="8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basedOn w:val="8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basedOn w:val="8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basedOn w:val="8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Footnote Text Char"/>
    <w:link w:val="890"/>
    <w:uiPriority w:val="99"/>
    <w:rPr>
      <w:sz w:val="18"/>
    </w:rPr>
  </w:style>
  <w:style w:type="character" w:styleId="856">
    <w:name w:val="footnote reference"/>
    <w:basedOn w:val="874"/>
    <w:uiPriority w:val="99"/>
    <w:unhideWhenUsed/>
    <w:rPr>
      <w:vertAlign w:val="superscript"/>
    </w:rPr>
  </w:style>
  <w:style w:type="paragraph" w:styleId="857">
    <w:name w:val="endnote text"/>
    <w:basedOn w:val="869"/>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basedOn w:val="874"/>
    <w:uiPriority w:val="99"/>
    <w:semiHidden/>
    <w:unhideWhenUsed/>
    <w:rPr>
      <w:vertAlign w:val="superscript"/>
    </w:r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0">
    <w:name w:val="Heading 1"/>
    <w:basedOn w:val="869"/>
    <w:next w:val="869"/>
    <w:uiPriority w:val="0"/>
    <w:qFormat/>
    <w:pPr>
      <w:keepLines/>
      <w:keepNext/>
      <w:spacing w:before="340" w:after="330" w:line="578" w:lineRule="auto"/>
      <w:outlineLvl w:val="0"/>
    </w:pPr>
    <w:rPr>
      <w:b/>
      <w:bCs/>
      <w:sz w:val="44"/>
      <w:szCs w:val="44"/>
    </w:rPr>
  </w:style>
  <w:style w:type="paragraph" w:styleId="871">
    <w:name w:val="Heading 2"/>
    <w:basedOn w:val="869"/>
    <w:next w:val="869"/>
    <w:link w:val="918"/>
    <w:uiPriority w:val="0"/>
    <w:qFormat/>
    <w:pPr>
      <w:keepLines/>
      <w:keepNext/>
      <w:spacing w:before="260" w:after="260" w:line="416" w:lineRule="auto"/>
      <w:outlineLvl w:val="1"/>
    </w:pPr>
    <w:rPr>
      <w:rFonts w:ascii="Arial" w:hAnsi="Arial" w:eastAsia="黑体"/>
      <w:b/>
      <w:bCs/>
      <w:sz w:val="32"/>
      <w:szCs w:val="32"/>
    </w:rPr>
  </w:style>
  <w:style w:type="paragraph" w:styleId="872">
    <w:name w:val="Heading 3"/>
    <w:basedOn w:val="869"/>
    <w:next w:val="869"/>
    <w:link w:val="903"/>
    <w:uiPriority w:val="0"/>
    <w:qFormat/>
    <w:pPr>
      <w:keepLines/>
      <w:keepNext/>
      <w:spacing w:before="260" w:after="260" w:line="416" w:lineRule="auto"/>
      <w:outlineLvl w:val="2"/>
    </w:pPr>
    <w:rPr>
      <w:b/>
      <w:sz w:val="32"/>
      <w:szCs w:val="20"/>
    </w:rPr>
  </w:style>
  <w:style w:type="paragraph" w:styleId="873">
    <w:name w:val="Heading 4"/>
    <w:basedOn w:val="869"/>
    <w:next w:val="869"/>
    <w:link w:val="904"/>
    <w:uiPriority w:val="0"/>
    <w:qFormat/>
    <w:pPr>
      <w:keepLines/>
      <w:keepNext/>
      <w:spacing w:before="280" w:after="290" w:line="376" w:lineRule="auto"/>
      <w:outlineLvl w:val="3"/>
    </w:pPr>
    <w:rPr>
      <w:rFonts w:ascii="Arial" w:hAnsi="Arial" w:eastAsia="黑体"/>
      <w:b/>
      <w:bCs/>
      <w:sz w:val="28"/>
      <w:szCs w:val="28"/>
    </w:rPr>
  </w:style>
  <w:style w:type="character" w:styleId="874" w:default="1">
    <w:name w:val="Default Paragraph Font"/>
    <w:uiPriority w:val="1"/>
    <w:semiHidden/>
    <w:unhideWhenUsed/>
    <w:qFormat/>
  </w:style>
  <w:style w:type="table" w:styleId="875" w:default="1">
    <w:name w:val="Normal Table"/>
    <w:uiPriority w:val="99"/>
    <w:semiHidden/>
    <w:unhideWhenUsed/>
    <w:qFormat/>
    <w:tblPr>
      <w:tblCellMar>
        <w:left w:w="108" w:type="dxa"/>
        <w:top w:w="0" w:type="dxa"/>
        <w:right w:w="108" w:type="dxa"/>
        <w:bottom w:w="0" w:type="dxa"/>
      </w:tblCellMar>
    </w:tblPr>
  </w:style>
  <w:style w:type="paragraph" w:styleId="876">
    <w:name w:val="Normal Indent"/>
    <w:basedOn w:val="869"/>
    <w:link w:val="909"/>
    <w:uiPriority w:val="0"/>
    <w:qFormat/>
    <w:pPr>
      <w:ind w:firstLine="420"/>
    </w:pPr>
  </w:style>
  <w:style w:type="paragraph" w:styleId="877">
    <w:name w:val="index 5"/>
    <w:basedOn w:val="869"/>
    <w:next w:val="869"/>
    <w:uiPriority w:val="0"/>
    <w:qFormat/>
    <w:pPr>
      <w:ind w:left="800"/>
    </w:pPr>
  </w:style>
  <w:style w:type="paragraph" w:styleId="878">
    <w:name w:val="Document Map"/>
    <w:basedOn w:val="869"/>
    <w:uiPriority w:val="0"/>
    <w:semiHidden/>
    <w:qFormat/>
    <w:pPr>
      <w:shd w:val="clear" w:color="auto" w:fill="000080"/>
    </w:pPr>
  </w:style>
  <w:style w:type="paragraph" w:styleId="879">
    <w:name w:val="annotation text"/>
    <w:basedOn w:val="869"/>
    <w:uiPriority w:val="0"/>
    <w:unhideWhenUsed/>
    <w:qFormat/>
    <w:pPr>
      <w:jc w:val="left"/>
    </w:pPr>
    <w:rPr>
      <w:rFonts w:hint="eastAsia"/>
    </w:rPr>
  </w:style>
  <w:style w:type="paragraph" w:styleId="880">
    <w:name w:val="Body Text"/>
    <w:basedOn w:val="869"/>
    <w:uiPriority w:val="0"/>
    <w:qFormat/>
    <w:pPr>
      <w:spacing w:after="120"/>
    </w:pPr>
    <w:rPr>
      <w:rFonts w:ascii="Calibri" w:hAnsi="Calibri"/>
    </w:rPr>
  </w:style>
  <w:style w:type="paragraph" w:styleId="881">
    <w:name w:val="Body Text Indent"/>
    <w:basedOn w:val="869"/>
    <w:next w:val="882"/>
    <w:uiPriority w:val="0"/>
    <w:qFormat/>
    <w:pPr>
      <w:ind w:left="420"/>
      <w:spacing w:after="120"/>
    </w:pPr>
  </w:style>
  <w:style w:type="paragraph" w:styleId="882">
    <w:name w:val="envelope return"/>
    <w:basedOn w:val="869"/>
    <w:uiPriority w:val="99"/>
    <w:unhideWhenUsed/>
    <w:qFormat/>
    <w:rPr>
      <w:rFonts w:ascii="Arial" w:hAnsi="Arial"/>
    </w:rPr>
  </w:style>
  <w:style w:type="paragraph" w:styleId="883">
    <w:name w:val="Plain Text"/>
    <w:basedOn w:val="869"/>
    <w:link w:val="908"/>
    <w:uiPriority w:val="99"/>
    <w:qFormat/>
    <w:pPr>
      <w:jc w:val="left"/>
      <w:spacing w:after="200" w:line="252" w:lineRule="auto"/>
      <w:widowControl/>
    </w:pPr>
    <w:rPr>
      <w:rFonts w:ascii="宋体" w:hAnsi="Courier New"/>
      <w:szCs w:val="20"/>
    </w:rPr>
  </w:style>
  <w:style w:type="paragraph" w:styleId="884">
    <w:name w:val="Date"/>
    <w:basedOn w:val="869"/>
    <w:next w:val="869"/>
    <w:link w:val="899"/>
    <w:uiPriority w:val="0"/>
    <w:qFormat/>
    <w:rPr>
      <w:sz w:val="24"/>
      <w:szCs w:val="20"/>
    </w:rPr>
  </w:style>
  <w:style w:type="paragraph" w:styleId="885">
    <w:name w:val="Body Text Indent 2"/>
    <w:basedOn w:val="869"/>
    <w:link w:val="919"/>
    <w:uiPriority w:val="0"/>
    <w:qFormat/>
    <w:pPr>
      <w:ind w:left="420"/>
      <w:spacing w:after="120" w:line="480" w:lineRule="auto"/>
    </w:pPr>
  </w:style>
  <w:style w:type="paragraph" w:styleId="886">
    <w:name w:val="Balloon Text"/>
    <w:basedOn w:val="869"/>
    <w:link w:val="901"/>
    <w:uiPriority w:val="0"/>
    <w:qFormat/>
    <w:rPr>
      <w:sz w:val="18"/>
      <w:szCs w:val="18"/>
    </w:rPr>
  </w:style>
  <w:style w:type="paragraph" w:styleId="887">
    <w:name w:val="Footer"/>
    <w:basedOn w:val="869"/>
    <w:uiPriority w:val="0"/>
    <w:qFormat/>
    <w:pPr>
      <w:jc w:val="left"/>
      <w:tabs>
        <w:tab w:val="center" w:pos="4153" w:leader="none"/>
        <w:tab w:val="right" w:pos="8306" w:leader="none"/>
      </w:tabs>
    </w:pPr>
    <w:rPr>
      <w:sz w:val="18"/>
      <w:szCs w:val="18"/>
    </w:rPr>
  </w:style>
  <w:style w:type="paragraph" w:styleId="888">
    <w:name w:val="Header"/>
    <w:basedOn w:val="869"/>
    <w:link w:val="910"/>
    <w:uiPriority w:val="99"/>
    <w:qFormat/>
    <w:pPr>
      <w:jc w:val="center"/>
      <w:tabs>
        <w:tab w:val="center" w:pos="4153" w:leader="none"/>
        <w:tab w:val="right" w:pos="8306" w:leader="none"/>
      </w:tabs>
      <w:pBdr>
        <w:bottom w:val="single" w:color="auto" w:sz="6" w:space="1"/>
      </w:pBdr>
    </w:pPr>
    <w:rPr>
      <w:sz w:val="18"/>
      <w:szCs w:val="18"/>
    </w:rPr>
  </w:style>
  <w:style w:type="paragraph" w:styleId="889">
    <w:name w:val="toc 1"/>
    <w:basedOn w:val="869"/>
    <w:next w:val="869"/>
    <w:uiPriority w:val="0"/>
    <w:qFormat/>
  </w:style>
  <w:style w:type="paragraph" w:styleId="890">
    <w:name w:val="footnote text"/>
    <w:basedOn w:val="869"/>
    <w:next w:val="877"/>
    <w:uiPriority w:val="0"/>
    <w:qFormat/>
    <w:pPr>
      <w:jc w:val="left"/>
      <w:spacing w:line="312" w:lineRule="atLeast"/>
    </w:pPr>
    <w:rPr>
      <w:sz w:val="18"/>
      <w:szCs w:val="22"/>
    </w:rPr>
  </w:style>
  <w:style w:type="paragraph" w:styleId="891">
    <w:name w:val="Body Text Indent 3"/>
    <w:basedOn w:val="869"/>
    <w:link w:val="900"/>
    <w:uiPriority w:val="0"/>
    <w:qFormat/>
    <w:pPr>
      <w:ind w:left="420"/>
      <w:spacing w:after="120"/>
    </w:pPr>
    <w:rPr>
      <w:sz w:val="16"/>
      <w:szCs w:val="16"/>
    </w:rPr>
  </w:style>
  <w:style w:type="paragraph" w:styleId="892">
    <w:name w:val="toc 2"/>
    <w:basedOn w:val="869"/>
    <w:next w:val="869"/>
    <w:uiPriority w:val="0"/>
    <w:qFormat/>
    <w:pPr>
      <w:ind w:left="420"/>
    </w:pPr>
  </w:style>
  <w:style w:type="paragraph" w:styleId="893">
    <w:name w:val="Normal (Web)"/>
    <w:basedOn w:val="869"/>
    <w:uiPriority w:val="99"/>
    <w:unhideWhenUsed/>
    <w:qFormat/>
    <w:pPr>
      <w:jc w:val="left"/>
      <w:spacing w:before="100" w:beforeAutospacing="1" w:after="100" w:afterAutospacing="1"/>
      <w:widowControl/>
    </w:pPr>
    <w:rPr>
      <w:rFonts w:ascii="宋体" w:hAnsi="宋体" w:cs="宋体"/>
      <w:sz w:val="24"/>
    </w:rPr>
  </w:style>
  <w:style w:type="paragraph" w:styleId="894">
    <w:name w:val="Body Text First Indent"/>
    <w:basedOn w:val="880"/>
    <w:next w:val="869"/>
    <w:uiPriority w:val="99"/>
    <w:qFormat/>
    <w:pPr>
      <w:ind w:firstLine="420"/>
      <w:tabs>
        <w:tab w:val="left" w:pos="2020" w:leader="none"/>
        <w:tab w:val="center" w:pos="4535" w:leader="none"/>
      </w:tabs>
    </w:pPr>
  </w:style>
  <w:style w:type="table" w:styleId="895">
    <w:name w:val="Table Grid"/>
    <w:basedOn w:val="87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6">
    <w:name w:val="page number"/>
    <w:basedOn w:val="874"/>
    <w:uiPriority w:val="0"/>
    <w:qFormat/>
  </w:style>
  <w:style w:type="character" w:styleId="897">
    <w:name w:val="Hyperlink"/>
    <w:basedOn w:val="874"/>
    <w:uiPriority w:val="0"/>
    <w:qFormat/>
    <w:rPr>
      <w:color w:val="0000ff"/>
      <w:u w:val="single"/>
    </w:rPr>
  </w:style>
  <w:style w:type="character" w:styleId="898">
    <w:name w:val="annotation reference"/>
    <w:basedOn w:val="874"/>
    <w:uiPriority w:val="0"/>
    <w:qFormat/>
    <w:rPr>
      <w:sz w:val="21"/>
      <w:szCs w:val="21"/>
    </w:rPr>
  </w:style>
  <w:style w:type="character" w:styleId="899" w:customStyle="1">
    <w:name w:val="日期 Char"/>
    <w:basedOn w:val="874"/>
    <w:link w:val="884"/>
    <w:uiPriority w:val="0"/>
    <w:qFormat/>
    <w:rPr>
      <w:sz w:val="24"/>
    </w:rPr>
  </w:style>
  <w:style w:type="character" w:styleId="900" w:customStyle="1">
    <w:name w:val="正文文本缩进 3 Char"/>
    <w:basedOn w:val="874"/>
    <w:link w:val="891"/>
    <w:uiPriority w:val="0"/>
    <w:qFormat/>
    <w:rPr>
      <w:sz w:val="16"/>
      <w:szCs w:val="16"/>
    </w:rPr>
  </w:style>
  <w:style w:type="character" w:styleId="901" w:customStyle="1">
    <w:name w:val="批注框文本 Char"/>
    <w:basedOn w:val="874"/>
    <w:link w:val="886"/>
    <w:uiPriority w:val="0"/>
    <w:qFormat/>
    <w:rPr>
      <w:sz w:val="18"/>
      <w:szCs w:val="18"/>
    </w:rPr>
  </w:style>
  <w:style w:type="character" w:styleId="902" w:customStyle="1">
    <w:name w:val="纯文本 Char"/>
    <w:uiPriority w:val="99"/>
    <w:qFormat/>
    <w:rPr>
      <w:rFonts w:ascii="宋体" w:hAnsi="Courier New"/>
      <w:sz w:val="21"/>
    </w:rPr>
  </w:style>
  <w:style w:type="character" w:styleId="903" w:customStyle="1">
    <w:name w:val="标题 3 Char"/>
    <w:basedOn w:val="874"/>
    <w:link w:val="872"/>
    <w:uiPriority w:val="0"/>
    <w:qFormat/>
    <w:rPr>
      <w:b/>
      <w:sz w:val="32"/>
    </w:rPr>
  </w:style>
  <w:style w:type="character" w:styleId="904" w:customStyle="1">
    <w:name w:val="标题 4 Char"/>
    <w:basedOn w:val="874"/>
    <w:link w:val="873"/>
    <w:uiPriority w:val="0"/>
    <w:qFormat/>
    <w:rPr>
      <w:rFonts w:ascii="Arial" w:hAnsi="Arial" w:eastAsia="黑体"/>
      <w:b/>
      <w:bCs/>
      <w:sz w:val="28"/>
      <w:szCs w:val="28"/>
    </w:rPr>
  </w:style>
  <w:style w:type="character" w:styleId="905" w:customStyle="1">
    <w:name w:val="正文缩进2格 Char"/>
    <w:link w:val="906"/>
    <w:uiPriority w:val="0"/>
    <w:qFormat/>
    <w:rPr>
      <w:rFonts w:ascii="仿宋_GB2312" w:hAnsi="宋体" w:eastAsia="仿宋_GB2312"/>
      <w:sz w:val="31"/>
      <w:szCs w:val="28"/>
      <w:lang w:bidi="ar-SA"/>
    </w:rPr>
  </w:style>
  <w:style w:type="paragraph" w:styleId="906" w:customStyle="1">
    <w:name w:val="正文缩进2格"/>
    <w:basedOn w:val="869"/>
    <w:link w:val="905"/>
    <w:uiPriority w:val="0"/>
    <w:qFormat/>
    <w:pPr>
      <w:ind w:firstLine="639"/>
      <w:spacing w:line="600" w:lineRule="exact"/>
    </w:pPr>
    <w:rPr>
      <w:rFonts w:ascii="仿宋_GB2312" w:hAnsi="宋体" w:eastAsia="仿宋_GB2312"/>
      <w:sz w:val="31"/>
      <w:szCs w:val="28"/>
    </w:rPr>
  </w:style>
  <w:style w:type="character" w:styleId="907" w:customStyle="1">
    <w:name w:val="纯文本 Char2"/>
    <w:basedOn w:val="874"/>
    <w:uiPriority w:val="0"/>
    <w:qFormat/>
    <w:rPr>
      <w:rFonts w:ascii="宋体" w:hAnsi="Courier New" w:eastAsia="宋体"/>
      <w:sz w:val="24"/>
      <w:lang w:val="en-US" w:eastAsia="zh-CN" w:bidi="ar-SA"/>
    </w:rPr>
  </w:style>
  <w:style w:type="character" w:styleId="908" w:customStyle="1">
    <w:name w:val="纯文本 Char1"/>
    <w:basedOn w:val="874"/>
    <w:link w:val="883"/>
    <w:uiPriority w:val="0"/>
    <w:qFormat/>
    <w:rPr>
      <w:rFonts w:ascii="宋体" w:hAnsi="Courier New" w:cs="Courier New"/>
      <w:sz w:val="21"/>
      <w:szCs w:val="21"/>
    </w:rPr>
  </w:style>
  <w:style w:type="character" w:styleId="909" w:customStyle="1">
    <w:name w:val="正文缩进 Char"/>
    <w:link w:val="876"/>
    <w:uiPriority w:val="0"/>
    <w:qFormat/>
    <w:rPr>
      <w:rFonts w:eastAsia="宋体"/>
      <w:sz w:val="21"/>
      <w:szCs w:val="24"/>
      <w:lang w:val="en-US" w:eastAsia="zh-CN" w:bidi="ar-SA"/>
    </w:rPr>
  </w:style>
  <w:style w:type="character" w:styleId="910" w:customStyle="1">
    <w:name w:val="页眉 Char"/>
    <w:link w:val="888"/>
    <w:uiPriority w:val="99"/>
    <w:qFormat/>
    <w:rPr>
      <w:sz w:val="18"/>
      <w:szCs w:val="18"/>
    </w:rPr>
  </w:style>
  <w:style w:type="paragraph" w:styleId="911" w:customStyle="1">
    <w:name w:val="Char"/>
    <w:basedOn w:val="878"/>
    <w:uiPriority w:val="0"/>
    <w:qFormat/>
    <w:rPr>
      <w:rFonts w:ascii="Tahoma" w:hAnsi="Tahoma"/>
      <w:sz w:val="24"/>
    </w:rPr>
  </w:style>
  <w:style w:type="paragraph" w:styleId="912" w:customStyle="1">
    <w:name w:val="普通正文"/>
    <w:basedOn w:val="869"/>
    <w:uiPriority w:val="0"/>
    <w:qFormat/>
    <w:pPr>
      <w:ind w:firstLine="480"/>
      <w:jc w:val="left"/>
      <w:spacing w:before="120" w:after="120" w:line="360" w:lineRule="auto"/>
    </w:pPr>
    <w:rPr>
      <w:rFonts w:ascii="Arial" w:hAnsi="Arial"/>
      <w:sz w:val="24"/>
    </w:rPr>
  </w:style>
  <w:style w:type="paragraph" w:styleId="913" w:customStyle="1">
    <w:name w:val="msonormalcxspmiddle"/>
    <w:basedOn w:val="869"/>
    <w:uiPriority w:val="0"/>
    <w:qFormat/>
    <w:pPr>
      <w:jc w:val="left"/>
      <w:spacing w:before="100" w:beforeAutospacing="1" w:after="100" w:afterAutospacing="1"/>
      <w:widowControl/>
    </w:pPr>
    <w:rPr>
      <w:rFonts w:ascii="宋体" w:hAnsi="宋体" w:cs="宋体"/>
      <w:sz w:val="24"/>
    </w:rPr>
  </w:style>
  <w:style w:type="paragraph" w:styleId="914" w:customStyle="1">
    <w:name w:val="Char1"/>
    <w:basedOn w:val="869"/>
    <w:uiPriority w:val="0"/>
    <w:qFormat/>
    <w:pPr>
      <w:tabs>
        <w:tab w:val="left" w:pos="360" w:leader="none"/>
      </w:tabs>
    </w:pPr>
    <w:rPr>
      <w:color w:val="000000"/>
      <w:sz w:val="24"/>
    </w:rPr>
  </w:style>
  <w:style w:type="paragraph" w:styleId="915" w:customStyle="1">
    <w:name w:val="Char Char Char Char"/>
    <w:basedOn w:val="878"/>
    <w:uiPriority w:val="0"/>
    <w:qFormat/>
    <w:pPr>
      <w:spacing w:line="360" w:lineRule="auto"/>
    </w:pPr>
    <w:rPr>
      <w:szCs w:val="20"/>
    </w:rPr>
  </w:style>
  <w:style w:type="character" w:styleId="916" w:customStyle="1">
    <w:name w:val="p0 Char"/>
    <w:link w:val="917"/>
    <w:uiPriority w:val="0"/>
    <w:qFormat/>
    <w:rPr>
      <w:sz w:val="21"/>
      <w:szCs w:val="21"/>
    </w:rPr>
  </w:style>
  <w:style w:type="paragraph" w:styleId="917" w:customStyle="1">
    <w:name w:val="p0"/>
    <w:basedOn w:val="869"/>
    <w:link w:val="916"/>
    <w:uiPriority w:val="0"/>
    <w:qFormat/>
    <w:pPr>
      <w:widowControl/>
    </w:pPr>
    <w:rPr>
      <w:szCs w:val="21"/>
    </w:rPr>
  </w:style>
  <w:style w:type="character" w:styleId="918" w:customStyle="1">
    <w:name w:val="标题 2 Char"/>
    <w:link w:val="871"/>
    <w:uiPriority w:val="0"/>
    <w:qFormat/>
    <w:rPr>
      <w:rFonts w:ascii="Arial" w:hAnsi="Arial" w:eastAsia="黑体"/>
      <w:b/>
      <w:bCs/>
      <w:sz w:val="32"/>
      <w:szCs w:val="32"/>
    </w:rPr>
  </w:style>
  <w:style w:type="character" w:styleId="919" w:customStyle="1">
    <w:name w:val="正文文本缩进 2 Char"/>
    <w:basedOn w:val="874"/>
    <w:link w:val="885"/>
    <w:uiPriority w:val="0"/>
    <w:qFormat/>
    <w:rPr>
      <w:sz w:val="21"/>
      <w:szCs w:val="24"/>
    </w:rPr>
  </w:style>
  <w:style w:type="paragraph" w:styleId="920" w:customStyle="1">
    <w:name w:val="正文1"/>
    <w:basedOn w:val="869"/>
    <w:uiPriority w:val="0"/>
    <w:qFormat/>
    <w:pPr>
      <w:ind w:firstLine="361"/>
      <w:spacing w:line="360" w:lineRule="auto"/>
    </w:pPr>
    <w:rPr>
      <w:rFonts w:ascii="宋体" w:hAnsi="宋体" w:eastAsia="仿宋_GB2312"/>
    </w:rPr>
  </w:style>
  <w:style w:type="character" w:styleId="921" w:customStyle="1">
    <w:name w:val="15"/>
    <w:basedOn w:val="874"/>
    <w:uiPriority w:val="0"/>
    <w:qFormat/>
    <w:rPr>
      <w:rFonts w:hint="default" w:ascii="Times New Roman" w:hAnsi="Times New Roman" w:cs="Times New Roman"/>
      <w:i/>
      <w:iCs/>
    </w:rPr>
  </w:style>
  <w:style w:type="character" w:styleId="922" w:customStyle="1">
    <w:name w:val="16"/>
    <w:basedOn w:val="874"/>
    <w:uiPriority w:val="0"/>
    <w:qFormat/>
    <w:rPr>
      <w:rFonts w:hint="default" w:ascii="Times New Roman" w:hAnsi="Times New Roman" w:cs="Times New Roman"/>
    </w:rPr>
  </w:style>
  <w:style w:type="character" w:styleId="923" w:customStyle="1">
    <w:name w:val="10"/>
    <w:basedOn w:val="874"/>
    <w:uiPriority w:val="0"/>
    <w:qFormat/>
    <w:rPr>
      <w:rFonts w:hint="default" w:ascii="Times New Roman" w:hAnsi="Times New Roman" w:cs="Times New Roman"/>
    </w:rPr>
  </w:style>
  <w:style w:type="character" w:styleId="924" w:customStyle="1">
    <w:name w:val="17"/>
    <w:basedOn w:val="874"/>
    <w:uiPriority w:val="0"/>
    <w:qFormat/>
    <w:rPr>
      <w:rFonts w:hint="default" w:ascii="Times New Roman" w:hAnsi="Times New Roman" w:cs="Times New Roman"/>
      <w:b/>
      <w:bCs/>
    </w:rPr>
  </w:style>
  <w:style w:type="paragraph" w:styleId="925" w:customStyle="1">
    <w:name w:val="表格文字"/>
    <w:basedOn w:val="881"/>
    <w:next w:val="880"/>
    <w:uiPriority w:val="0"/>
    <w:qFormat/>
    <w:pPr>
      <w:jc w:val="left"/>
      <w:spacing w:line="360" w:lineRule="auto"/>
    </w:pPr>
    <w:rPr>
      <w:bCs/>
      <w:spacing w:val="10"/>
      <w:szCs w:val="20"/>
    </w:rPr>
  </w:style>
  <w:style w:type="paragraph" w:styleId="926" w:customStyle="1">
    <w:name w:val="表"/>
    <w:basedOn w:val="869"/>
    <w:uiPriority w:val="0"/>
    <w:unhideWhenUsed/>
    <w:qFormat/>
    <w:pPr>
      <w:spacing w:line="312" w:lineRule="auto"/>
    </w:pPr>
    <w:rPr>
      <w:rFonts w:ascii="Calibri" w:hAnsi="Calibri" w:cs="宋体"/>
      <w:szCs w:val="20"/>
    </w:rPr>
  </w:style>
  <w:style w:type="paragraph" w:styleId="927" w:customStyle="1">
    <w:name w:val="正文首行缩进2字符"/>
    <w:basedOn w:val="869"/>
    <w:uiPriority w:val="0"/>
    <w:unhideWhenUsed/>
    <w:qFormat/>
    <w:pPr>
      <w:ind w:firstLine="482"/>
      <w:spacing w:line="360" w:lineRule="auto"/>
    </w:pPr>
  </w:style>
  <w:style w:type="numbering" w:styleId="9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杨洁</cp:lastModifiedBy>
  <cp:revision>8</cp:revision>
  <dcterms:created xsi:type="dcterms:W3CDTF">2026-06-23T03:05:00Z</dcterms:created>
  <dcterms:modified xsi:type="dcterms:W3CDTF">2026-06-29T08:36:34Z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B2B27CAE9AB84507A5CA12686C38F503_13</vt:lpwstr>
  </property>
  <property fmtid="{D5CDD505-2E9C-101B-9397-08002B2CF9AE}" pid="4" name="KSOTemplateDocerSaveRecord">
    <vt:lpwstr>eyJoZGlkIjoiYmViMmMzOTZmM2RlY2U5YzgxYmVjYmVmOThmZDA4MzIiLCJ1c2VySWQiOiI2MzQ3ODY4MTAifQ==</vt:lpwstr>
  </property>
</Properties>
</file>