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F16FC">
      <w:pPr>
        <w:jc w:val="left"/>
        <w:rPr>
          <w:rFonts w:hint="eastAsia" w:eastAsia="宋体"/>
          <w:color w:val="000000"/>
          <w:highlight w:val="none"/>
          <w:lang w:eastAsia="zh-CN"/>
        </w:rPr>
      </w:pPr>
    </w:p>
    <w:p w14:paraId="69F20332">
      <w:pPr>
        <w:rPr>
          <w:color w:val="000000"/>
          <w:highlight w:val="none"/>
        </w:rPr>
      </w:pPr>
      <w:bookmarkStart w:id="0" w:name="EB3ace3d43b98b41779337deb808be6fa3"/>
      <w:r>
        <w:rPr>
          <w:rFonts w:hint="eastAsia"/>
          <w:color w:val="000000"/>
          <w:sz w:val="20"/>
          <w:highlight w:val="none"/>
        </w:rPr>
        <w:t xml:space="preserve"> </w:t>
      </w:r>
      <w:bookmarkEnd w:id="0"/>
      <w:bookmarkStart w:id="1" w:name="EB57dd2a69e2b54b0cb3f5c2f03a1ab7bf"/>
      <w:r>
        <w:rPr>
          <w:rFonts w:hint="eastAsia"/>
          <w:color w:val="000000"/>
          <w:sz w:val="20"/>
          <w:highlight w:val="none"/>
        </w:rPr>
        <w:t xml:space="preserve"> </w:t>
      </w:r>
      <w:bookmarkEnd w:id="1"/>
    </w:p>
    <w:p w14:paraId="330A44D4">
      <w:pPr>
        <w:rPr>
          <w:color w:val="000000"/>
          <w:highlight w:val="none"/>
        </w:rPr>
      </w:pPr>
    </w:p>
    <w:p w14:paraId="5E63BD5C">
      <w:pPr>
        <w:spacing w:before="120" w:after="120" w:line="360" w:lineRule="auto"/>
        <w:jc w:val="center"/>
        <w:rPr>
          <w:rFonts w:hint="eastAsia" w:ascii="Arial" w:hAnsi="Arial" w:eastAsia="黑体" w:cs="黑体"/>
          <w:b/>
          <w:color w:val="000000"/>
          <w:sz w:val="84"/>
          <w:szCs w:val="24"/>
          <w:highlight w:val="none"/>
          <w:lang w:bidi="ar"/>
        </w:rPr>
      </w:pPr>
      <w:r>
        <w:rPr>
          <w:rFonts w:hint="eastAsia" w:ascii="Arial" w:hAnsi="Arial" w:eastAsia="黑体" w:cs="黑体"/>
          <w:b/>
          <w:color w:val="000000"/>
          <w:sz w:val="84"/>
          <w:szCs w:val="24"/>
          <w:highlight w:val="none"/>
          <w:lang w:bidi="ar"/>
        </w:rPr>
        <w:t>招　标　文　件</w:t>
      </w:r>
    </w:p>
    <w:p w14:paraId="66F58B76">
      <w:pPr>
        <w:rPr>
          <w:rFonts w:hint="eastAsia" w:ascii="Times New Roman" w:hAnsi="Times New Roman" w:cs="宋体"/>
          <w:b/>
          <w:color w:val="000000"/>
          <w:sz w:val="30"/>
          <w:szCs w:val="30"/>
          <w:highlight w:val="none"/>
          <w:lang w:bidi="ar"/>
        </w:rPr>
      </w:pPr>
    </w:p>
    <w:p w14:paraId="5E8C2722">
      <w:pPr>
        <w:rPr>
          <w:rFonts w:hint="eastAsia" w:ascii="Times New Roman" w:hAnsi="Times New Roman" w:cs="宋体"/>
          <w:b/>
          <w:color w:val="000000"/>
          <w:sz w:val="30"/>
          <w:szCs w:val="30"/>
          <w:highlight w:val="none"/>
          <w:lang w:bidi="ar"/>
        </w:rPr>
      </w:pPr>
    </w:p>
    <w:p w14:paraId="123DC318">
      <w:pPr>
        <w:ind w:firstLine="1506"/>
        <w:rPr>
          <w:rFonts w:hint="eastAsia"/>
          <w:b/>
          <w:color w:val="000000"/>
          <w:sz w:val="30"/>
          <w:szCs w:val="30"/>
          <w:highlight w:val="none"/>
        </w:rPr>
      </w:pPr>
      <w:r>
        <w:rPr>
          <w:rFonts w:hint="eastAsia" w:ascii="Times New Roman" w:hAnsi="Times New Roman" w:cs="宋体"/>
          <w:b/>
          <w:color w:val="000000"/>
          <w:sz w:val="30"/>
          <w:szCs w:val="30"/>
          <w:highlight w:val="none"/>
          <w:lang w:bidi="ar"/>
        </w:rPr>
        <w:t>项目名称：</w:t>
      </w:r>
      <w:r>
        <w:rPr>
          <w:rFonts w:hint="eastAsia" w:ascii="宋体" w:hAnsi="宋体" w:cs="宋体"/>
          <w:b/>
          <w:bCs/>
          <w:caps w:val="0"/>
          <w:color w:val="000000"/>
          <w:sz w:val="32"/>
          <w:highlight w:val="none"/>
          <w:lang w:eastAsia="zh-CN"/>
        </w:rPr>
        <w:t>沭阳县高墟镇社会面监控建设项目</w:t>
      </w:r>
      <w:r>
        <w:rPr>
          <w:rFonts w:hint="eastAsia" w:ascii="Times New Roman" w:hAnsi="Times New Roman" w:cs="宋体"/>
          <w:b/>
          <w:color w:val="000000"/>
          <w:sz w:val="30"/>
          <w:szCs w:val="30"/>
          <w:highlight w:val="none"/>
          <w:lang w:bidi="ar"/>
        </w:rPr>
        <w:t xml:space="preserve"> </w:t>
      </w:r>
    </w:p>
    <w:p w14:paraId="5A9EFB20">
      <w:pPr>
        <w:ind w:firstLine="1506"/>
        <w:rPr>
          <w:rFonts w:hint="eastAsia" w:ascii="Times New Roman" w:hAnsi="Times New Roman" w:cs="宋体"/>
          <w:b/>
          <w:color w:val="000000"/>
          <w:sz w:val="30"/>
          <w:szCs w:val="30"/>
          <w:highlight w:val="none"/>
          <w:lang w:bidi="ar"/>
        </w:rPr>
      </w:pPr>
    </w:p>
    <w:p w14:paraId="58673990">
      <w:pPr>
        <w:ind w:left="3146" w:leftChars="738" w:hanging="1596" w:hangingChars="530"/>
        <w:rPr>
          <w:rFonts w:hint="default" w:ascii="Times New Roman" w:hAnsi="Times New Roman" w:eastAsia="宋体"/>
          <w:color w:val="000000"/>
          <w:sz w:val="28"/>
          <w:szCs w:val="28"/>
          <w:highlight w:val="none"/>
          <w:lang w:val="en-US" w:eastAsia="zh-CN" w:bidi="ar"/>
        </w:rPr>
      </w:pPr>
      <w:r>
        <w:rPr>
          <w:rFonts w:hint="eastAsia" w:ascii="Times New Roman" w:hAnsi="Times New Roman" w:cs="宋体"/>
          <w:b/>
          <w:color w:val="000000"/>
          <w:sz w:val="30"/>
          <w:szCs w:val="30"/>
          <w:highlight w:val="none"/>
          <w:lang w:bidi="ar"/>
        </w:rPr>
        <w:t>项目编号：JSZC-321322-AAZY-G2026-0002</w:t>
      </w:r>
    </w:p>
    <w:p w14:paraId="4BCBB66C">
      <w:pPr>
        <w:ind w:left="2800" w:hanging="2800"/>
        <w:rPr>
          <w:b/>
          <w:color w:val="000000"/>
          <w:sz w:val="28"/>
          <w:szCs w:val="28"/>
          <w:highlight w:val="none"/>
        </w:rPr>
      </w:pPr>
      <w:r>
        <w:rPr>
          <w:rFonts w:ascii="Times New Roman" w:hAnsi="Times New Roman"/>
          <w:color w:val="000000"/>
          <w:sz w:val="28"/>
          <w:szCs w:val="28"/>
          <w:highlight w:val="none"/>
          <w:lang w:bidi="ar"/>
        </w:rPr>
        <w:t xml:space="preserve">       </w:t>
      </w:r>
      <w:r>
        <w:rPr>
          <w:rFonts w:hint="eastAsia" w:ascii="Times New Roman" w:hAnsi="Times New Roman"/>
          <w:color w:val="000000"/>
          <w:sz w:val="28"/>
          <w:szCs w:val="28"/>
          <w:highlight w:val="none"/>
          <w:lang w:bidi="ar"/>
        </w:rPr>
        <w:t xml:space="preserve">   </w:t>
      </w:r>
      <w:r>
        <w:rPr>
          <w:rFonts w:ascii="Times New Roman" w:hAnsi="Times New Roman"/>
          <w:b/>
          <w:color w:val="000000"/>
          <w:sz w:val="28"/>
          <w:szCs w:val="28"/>
          <w:highlight w:val="none"/>
          <w:lang w:bidi="ar"/>
        </w:rPr>
        <w:t xml:space="preserve"> </w:t>
      </w:r>
    </w:p>
    <w:p w14:paraId="1D8ED559">
      <w:pPr>
        <w:spacing w:line="360" w:lineRule="auto"/>
        <w:jc w:val="left"/>
        <w:rPr>
          <w:rFonts w:ascii="宋体" w:hAnsi="宋体" w:cs="宋体"/>
          <w:color w:val="000000"/>
          <w:sz w:val="24"/>
          <w:szCs w:val="24"/>
          <w:highlight w:val="none"/>
        </w:rPr>
      </w:pPr>
    </w:p>
    <w:p w14:paraId="69F67737">
      <w:pPr>
        <w:spacing w:line="360" w:lineRule="auto"/>
        <w:jc w:val="left"/>
        <w:rPr>
          <w:rFonts w:ascii="宋体" w:hAnsi="宋体" w:cs="宋体"/>
          <w:color w:val="000000"/>
          <w:sz w:val="24"/>
          <w:szCs w:val="24"/>
          <w:highlight w:val="none"/>
        </w:rPr>
      </w:pPr>
    </w:p>
    <w:p w14:paraId="7481BEC3">
      <w:pPr>
        <w:spacing w:line="360" w:lineRule="auto"/>
        <w:jc w:val="left"/>
        <w:rPr>
          <w:rFonts w:ascii="宋体" w:hAnsi="宋体" w:cs="宋体"/>
          <w:color w:val="000000"/>
          <w:sz w:val="24"/>
          <w:szCs w:val="24"/>
          <w:highlight w:val="none"/>
        </w:rPr>
      </w:pPr>
    </w:p>
    <w:p w14:paraId="67338120">
      <w:pPr>
        <w:spacing w:line="360" w:lineRule="auto"/>
        <w:jc w:val="left"/>
        <w:rPr>
          <w:rFonts w:ascii="宋体" w:hAnsi="宋体" w:cs="宋体"/>
          <w:color w:val="000000"/>
          <w:sz w:val="24"/>
          <w:szCs w:val="24"/>
          <w:highlight w:val="none"/>
        </w:rPr>
      </w:pPr>
    </w:p>
    <w:p w14:paraId="4E8D25EA">
      <w:pPr>
        <w:spacing w:line="360" w:lineRule="auto"/>
        <w:jc w:val="left"/>
        <w:rPr>
          <w:rFonts w:ascii="宋体" w:hAnsi="宋体" w:cs="宋体"/>
          <w:color w:val="000000"/>
          <w:sz w:val="24"/>
          <w:szCs w:val="24"/>
          <w:highlight w:val="none"/>
        </w:rPr>
      </w:pPr>
    </w:p>
    <w:p w14:paraId="713ECDCE">
      <w:pPr>
        <w:spacing w:line="360" w:lineRule="auto"/>
        <w:jc w:val="left"/>
        <w:rPr>
          <w:rFonts w:ascii="宋体" w:hAnsi="宋体" w:cs="宋体"/>
          <w:color w:val="000000"/>
          <w:sz w:val="24"/>
          <w:szCs w:val="24"/>
          <w:highlight w:val="none"/>
        </w:rPr>
      </w:pPr>
    </w:p>
    <w:tbl>
      <w:tblPr>
        <w:tblStyle w:val="31"/>
        <w:tblpPr w:leftFromText="180" w:rightFromText="180" w:vertAnchor="text" w:horzAnchor="page" w:tblpX="2413" w:tblpY="466"/>
        <w:tblW w:w="0" w:type="auto"/>
        <w:tblInd w:w="-108" w:type="dxa"/>
        <w:tblLayout w:type="autofit"/>
        <w:tblCellMar>
          <w:top w:w="0" w:type="dxa"/>
          <w:left w:w="108" w:type="dxa"/>
          <w:bottom w:w="0" w:type="dxa"/>
          <w:right w:w="108" w:type="dxa"/>
        </w:tblCellMar>
      </w:tblPr>
      <w:tblGrid>
        <w:gridCol w:w="2675"/>
        <w:gridCol w:w="4752"/>
      </w:tblGrid>
      <w:tr w14:paraId="43783161">
        <w:tblPrEx>
          <w:tblCellMar>
            <w:top w:w="0" w:type="dxa"/>
            <w:left w:w="108" w:type="dxa"/>
            <w:bottom w:w="0" w:type="dxa"/>
            <w:right w:w="108" w:type="dxa"/>
          </w:tblCellMar>
        </w:tblPrEx>
        <w:trPr>
          <w:trHeight w:val="586" w:hRule="atLeast"/>
        </w:trPr>
        <w:tc>
          <w:tcPr>
            <w:tcW w:w="2675" w:type="dxa"/>
            <w:tcBorders>
              <w:top w:val="nil"/>
              <w:left w:val="nil"/>
              <w:bottom w:val="nil"/>
              <w:right w:val="nil"/>
            </w:tcBorders>
            <w:noWrap w:val="0"/>
            <w:vAlign w:val="center"/>
          </w:tcPr>
          <w:p w14:paraId="5A50B872">
            <w:pPr>
              <w:spacing w:line="500" w:lineRule="exact"/>
              <w:jc w:val="left"/>
              <w:rPr>
                <w:rFonts w:hint="eastAsia" w:ascii="Times New Roman" w:hAnsi="Times New Roman" w:eastAsia="宋体" w:cs="Times New Roman"/>
                <w:b/>
                <w:bCs/>
                <w:color w:val="000000"/>
                <w:sz w:val="32"/>
                <w:szCs w:val="24"/>
                <w:highlight w:val="none"/>
              </w:rPr>
            </w:pPr>
            <w:r>
              <w:rPr>
                <w:rFonts w:hint="eastAsia" w:ascii="Times New Roman" w:hAnsi="Times New Roman" w:eastAsia="宋体" w:cs="Times New Roman"/>
                <w:b/>
                <w:bCs/>
                <w:color w:val="000000"/>
                <w:sz w:val="32"/>
                <w:szCs w:val="24"/>
                <w:highlight w:val="none"/>
              </w:rPr>
              <w:t>采  购 人：</w:t>
            </w:r>
          </w:p>
        </w:tc>
        <w:tc>
          <w:tcPr>
            <w:tcW w:w="4752" w:type="dxa"/>
            <w:tcBorders>
              <w:top w:val="nil"/>
              <w:left w:val="nil"/>
              <w:bottom w:val="nil"/>
              <w:right w:val="nil"/>
            </w:tcBorders>
            <w:noWrap w:val="0"/>
            <w:vAlign w:val="center"/>
          </w:tcPr>
          <w:p w14:paraId="1EF077FF">
            <w:pPr>
              <w:spacing w:line="500" w:lineRule="exact"/>
              <w:jc w:val="left"/>
              <w:rPr>
                <w:rFonts w:hint="eastAsia" w:ascii="Times New Roman" w:hAnsi="Times New Roman" w:eastAsia="宋体" w:cs="Times New Roman"/>
                <w:b/>
                <w:bCs/>
                <w:color w:val="000000"/>
                <w:sz w:val="32"/>
                <w:szCs w:val="24"/>
                <w:highlight w:val="none"/>
                <w:lang w:eastAsia="zh-CN"/>
              </w:rPr>
            </w:pPr>
            <w:r>
              <w:rPr>
                <w:rFonts w:hint="eastAsia" w:ascii="Times New Roman" w:hAnsi="Times New Roman" w:cs="Times New Roman"/>
                <w:b/>
                <w:bCs/>
                <w:color w:val="000000"/>
                <w:sz w:val="32"/>
                <w:szCs w:val="24"/>
                <w:highlight w:val="none"/>
                <w:lang w:eastAsia="zh-CN"/>
              </w:rPr>
              <w:t>沭阳县高墟镇人民政府</w:t>
            </w:r>
          </w:p>
        </w:tc>
      </w:tr>
      <w:tr w14:paraId="13194220">
        <w:tblPrEx>
          <w:tblCellMar>
            <w:top w:w="0" w:type="dxa"/>
            <w:left w:w="108" w:type="dxa"/>
            <w:bottom w:w="0" w:type="dxa"/>
            <w:right w:w="108" w:type="dxa"/>
          </w:tblCellMar>
        </w:tblPrEx>
        <w:trPr>
          <w:trHeight w:val="617" w:hRule="atLeast"/>
        </w:trPr>
        <w:tc>
          <w:tcPr>
            <w:tcW w:w="2675" w:type="dxa"/>
            <w:tcBorders>
              <w:top w:val="nil"/>
              <w:left w:val="nil"/>
              <w:bottom w:val="nil"/>
              <w:right w:val="nil"/>
            </w:tcBorders>
            <w:noWrap w:val="0"/>
            <w:vAlign w:val="center"/>
          </w:tcPr>
          <w:p w14:paraId="181D07CE">
            <w:pPr>
              <w:spacing w:line="500" w:lineRule="exact"/>
              <w:jc w:val="left"/>
              <w:rPr>
                <w:rFonts w:hint="eastAsia" w:ascii="Times New Roman" w:hAnsi="Times New Roman" w:eastAsia="宋体" w:cs="Times New Roman"/>
                <w:b/>
                <w:bCs/>
                <w:color w:val="000000"/>
                <w:sz w:val="32"/>
                <w:szCs w:val="24"/>
                <w:highlight w:val="none"/>
              </w:rPr>
            </w:pPr>
            <w:r>
              <w:rPr>
                <w:rFonts w:hint="eastAsia" w:ascii="Times New Roman" w:hAnsi="Times New Roman" w:eastAsia="宋体" w:cs="Times New Roman"/>
                <w:b/>
                <w:bCs/>
                <w:color w:val="000000"/>
                <w:sz w:val="32"/>
                <w:szCs w:val="24"/>
                <w:highlight w:val="none"/>
              </w:rPr>
              <w:t>采购代理机构：</w:t>
            </w:r>
          </w:p>
        </w:tc>
        <w:tc>
          <w:tcPr>
            <w:tcW w:w="4752" w:type="dxa"/>
            <w:tcBorders>
              <w:top w:val="nil"/>
              <w:left w:val="nil"/>
              <w:bottom w:val="nil"/>
              <w:right w:val="nil"/>
            </w:tcBorders>
            <w:noWrap w:val="0"/>
            <w:vAlign w:val="center"/>
          </w:tcPr>
          <w:p w14:paraId="44FDD141">
            <w:pPr>
              <w:spacing w:line="500" w:lineRule="exact"/>
              <w:jc w:val="left"/>
              <w:rPr>
                <w:rFonts w:hint="eastAsia" w:ascii="Times New Roman" w:hAnsi="Times New Roman" w:eastAsia="宋体" w:cs="Times New Roman"/>
                <w:b/>
                <w:bCs/>
                <w:color w:val="000000"/>
                <w:sz w:val="32"/>
                <w:szCs w:val="24"/>
                <w:highlight w:val="none"/>
                <w:lang w:eastAsia="zh-CN"/>
              </w:rPr>
            </w:pPr>
            <w:r>
              <w:rPr>
                <w:rFonts w:hint="eastAsia" w:ascii="Times New Roman" w:hAnsi="Times New Roman" w:cs="Times New Roman"/>
                <w:b/>
                <w:bCs/>
                <w:color w:val="000000"/>
                <w:sz w:val="32"/>
                <w:szCs w:val="24"/>
                <w:highlight w:val="none"/>
                <w:lang w:eastAsia="zh-CN"/>
              </w:rPr>
              <w:t>江苏中堉项目管理咨询有限公司</w:t>
            </w:r>
          </w:p>
        </w:tc>
      </w:tr>
    </w:tbl>
    <w:p w14:paraId="4BF2D601">
      <w:pPr>
        <w:spacing w:line="360" w:lineRule="auto"/>
        <w:jc w:val="left"/>
        <w:rPr>
          <w:rFonts w:ascii="宋体" w:hAnsi="宋体" w:cs="宋体"/>
          <w:color w:val="000000"/>
          <w:sz w:val="24"/>
          <w:szCs w:val="24"/>
          <w:highlight w:val="none"/>
        </w:rPr>
      </w:pPr>
    </w:p>
    <w:p w14:paraId="69B9C0B2">
      <w:pPr>
        <w:spacing w:before="120" w:after="120" w:line="360" w:lineRule="auto"/>
        <w:ind w:firstLine="964"/>
        <w:jc w:val="left"/>
        <w:rPr>
          <w:rFonts w:ascii="Arial" w:hAnsi="Arial"/>
          <w:b/>
          <w:color w:val="000000"/>
          <w:sz w:val="32"/>
          <w:szCs w:val="24"/>
          <w:highlight w:val="none"/>
        </w:rPr>
      </w:pPr>
      <w:r>
        <w:rPr>
          <w:rFonts w:hint="eastAsia" w:ascii="Times New Roman" w:hAnsi="Times New Roman"/>
          <w:b/>
          <w:bCs/>
          <w:color w:val="000000"/>
          <w:sz w:val="32"/>
          <w:szCs w:val="24"/>
          <w:highlight w:val="none"/>
        </w:rPr>
        <w:t xml:space="preserve"> </w:t>
      </w:r>
    </w:p>
    <w:p w14:paraId="13F8247D">
      <w:pPr>
        <w:spacing w:before="120" w:after="120" w:line="360" w:lineRule="auto"/>
        <w:jc w:val="center"/>
        <w:rPr>
          <w:rFonts w:ascii="Arial" w:hAnsi="Arial"/>
          <w:b/>
          <w:color w:val="000000"/>
          <w:sz w:val="32"/>
          <w:szCs w:val="24"/>
          <w:highlight w:val="none"/>
        </w:rPr>
      </w:pPr>
      <w:r>
        <w:rPr>
          <w:rFonts w:ascii="Arial" w:hAnsi="Arial"/>
          <w:b/>
          <w:color w:val="000000"/>
          <w:sz w:val="32"/>
          <w:szCs w:val="24"/>
          <w:highlight w:val="none"/>
          <w:lang w:bidi="ar"/>
        </w:rPr>
        <w:t>202</w:t>
      </w:r>
      <w:r>
        <w:rPr>
          <w:rFonts w:hint="eastAsia" w:ascii="Arial" w:hAnsi="Arial"/>
          <w:b/>
          <w:color w:val="000000"/>
          <w:sz w:val="32"/>
          <w:szCs w:val="24"/>
          <w:highlight w:val="none"/>
          <w:lang w:val="en-US" w:eastAsia="zh-CN" w:bidi="ar"/>
        </w:rPr>
        <w:t>6</w:t>
      </w:r>
      <w:r>
        <w:rPr>
          <w:rFonts w:hint="eastAsia" w:ascii="Arial" w:hAnsi="Arial" w:cs="宋体"/>
          <w:b/>
          <w:color w:val="000000"/>
          <w:sz w:val="32"/>
          <w:szCs w:val="24"/>
          <w:highlight w:val="none"/>
          <w:lang w:bidi="ar"/>
        </w:rPr>
        <w:t>年</w:t>
      </w:r>
      <w:r>
        <w:rPr>
          <w:rFonts w:hint="eastAsia" w:ascii="Arial" w:hAnsi="Arial" w:cs="宋体"/>
          <w:b/>
          <w:color w:val="000000"/>
          <w:sz w:val="32"/>
          <w:szCs w:val="24"/>
          <w:highlight w:val="none"/>
          <w:lang w:val="en-US" w:eastAsia="zh-CN" w:bidi="ar"/>
        </w:rPr>
        <w:t>6</w:t>
      </w:r>
      <w:r>
        <w:rPr>
          <w:rFonts w:hint="eastAsia" w:ascii="Arial" w:hAnsi="Arial" w:cs="宋体"/>
          <w:b/>
          <w:color w:val="000000"/>
          <w:sz w:val="32"/>
          <w:szCs w:val="24"/>
          <w:highlight w:val="none"/>
          <w:lang w:bidi="ar"/>
        </w:rPr>
        <w:t>月</w:t>
      </w:r>
      <w:r>
        <w:rPr>
          <w:rFonts w:hint="eastAsia" w:ascii="Arial" w:hAnsi="Arial" w:cs="宋体"/>
          <w:b/>
          <w:color w:val="000000"/>
          <w:sz w:val="32"/>
          <w:szCs w:val="24"/>
          <w:highlight w:val="none"/>
          <w:lang w:val="en-US" w:eastAsia="zh-CN" w:bidi="ar"/>
        </w:rPr>
        <w:t>26</w:t>
      </w:r>
      <w:r>
        <w:rPr>
          <w:rFonts w:hint="eastAsia" w:ascii="Arial" w:hAnsi="Arial" w:cs="宋体"/>
          <w:b/>
          <w:color w:val="000000"/>
          <w:sz w:val="32"/>
          <w:szCs w:val="24"/>
          <w:highlight w:val="none"/>
          <w:lang w:bidi="ar"/>
        </w:rPr>
        <w:t>日</w:t>
      </w:r>
    </w:p>
    <w:p w14:paraId="68E3F2B5">
      <w:pPr>
        <w:spacing w:before="120" w:after="120" w:line="360" w:lineRule="auto"/>
        <w:jc w:val="center"/>
        <w:rPr>
          <w:rFonts w:ascii="Arial" w:hAnsi="Arial"/>
          <w:b/>
          <w:color w:val="000000"/>
          <w:sz w:val="32"/>
          <w:szCs w:val="24"/>
          <w:highlight w:val="none"/>
        </w:rPr>
      </w:pPr>
    </w:p>
    <w:p w14:paraId="68D18C42">
      <w:pPr>
        <w:keepNext/>
        <w:keepLines/>
        <w:pageBreakBefore/>
        <w:jc w:val="center"/>
        <w:rPr>
          <w:b/>
          <w:color w:val="000000"/>
          <w:sz w:val="44"/>
          <w:szCs w:val="44"/>
          <w:highlight w:val="none"/>
        </w:rPr>
      </w:pPr>
      <w:r>
        <w:rPr>
          <w:rFonts w:hint="eastAsia"/>
          <w:b/>
          <w:color w:val="000000"/>
          <w:sz w:val="44"/>
          <w:szCs w:val="44"/>
          <w:highlight w:val="none"/>
        </w:rPr>
        <w:t>目 录</w:t>
      </w:r>
    </w:p>
    <w:p w14:paraId="507375B7">
      <w:pPr>
        <w:pStyle w:val="98"/>
        <w:tabs>
          <w:tab w:val="right" w:leader="dot" w:pos="9185"/>
        </w:tabs>
        <w:spacing w:line="600" w:lineRule="exact"/>
        <w:rPr>
          <w:rFonts w:ascii="Times New Roman" w:hAnsi="Times New Roman" w:eastAsia="黑体"/>
          <w:b w:val="0"/>
          <w:bCs w:val="0"/>
          <w:color w:val="000000"/>
          <w:sz w:val="32"/>
          <w:highlight w:val="none"/>
        </w:rPr>
      </w:pPr>
      <w:r>
        <w:rPr>
          <w:color w:val="000000"/>
          <w:highlight w:val="none"/>
        </w:rPr>
        <w:fldChar w:fldCharType="begin"/>
      </w:r>
      <w:r>
        <w:rPr>
          <w:color w:val="000000"/>
          <w:highlight w:val="none"/>
        </w:rPr>
        <w:instrText xml:space="preserve">TOC \o "1-1" \h \u </w:instrText>
      </w:r>
      <w:r>
        <w:rPr>
          <w:color w:val="000000"/>
          <w:highlight w:val="none"/>
        </w:rPr>
        <w:fldChar w:fldCharType="separate"/>
      </w:r>
      <w:r>
        <w:rPr>
          <w:rFonts w:ascii="Times New Roman" w:hAnsi="Times New Roman" w:eastAsia="黑体"/>
          <w:b w:val="0"/>
          <w:bCs w:val="0"/>
          <w:color w:val="000000"/>
          <w:sz w:val="32"/>
          <w:highlight w:val="none"/>
        </w:rPr>
        <w:fldChar w:fldCharType="begin"/>
      </w:r>
      <w:r>
        <w:rPr>
          <w:rFonts w:ascii="Times New Roman" w:hAnsi="Times New Roman" w:eastAsia="黑体"/>
          <w:b w:val="0"/>
          <w:bCs w:val="0"/>
          <w:color w:val="000000"/>
          <w:sz w:val="32"/>
          <w:highlight w:val="none"/>
        </w:rPr>
        <w:instrText xml:space="preserve"> HYPERLINK \l _Toc10813 </w:instrText>
      </w:r>
      <w:r>
        <w:rPr>
          <w:rFonts w:ascii="Times New Roman" w:hAnsi="Times New Roman" w:eastAsia="黑体"/>
          <w:b w:val="0"/>
          <w:bCs w:val="0"/>
          <w:color w:val="000000"/>
          <w:sz w:val="32"/>
          <w:highlight w:val="none"/>
        </w:rPr>
        <w:fldChar w:fldCharType="separate"/>
      </w:r>
      <w:r>
        <w:rPr>
          <w:rFonts w:hint="eastAsia" w:ascii="Times New Roman" w:hAnsi="Times New Roman" w:eastAsia="黑体"/>
          <w:b w:val="0"/>
          <w:bCs w:val="0"/>
          <w:color w:val="000000"/>
          <w:sz w:val="32"/>
          <w:highlight w:val="none"/>
        </w:rPr>
        <w:t>第一章  投标邀请</w:t>
      </w:r>
      <w:r>
        <w:rPr>
          <w:rFonts w:ascii="Times New Roman" w:hAnsi="Times New Roman" w:eastAsia="黑体"/>
          <w:b w:val="0"/>
          <w:bCs w:val="0"/>
          <w:color w:val="000000"/>
          <w:sz w:val="32"/>
          <w:highlight w:val="none"/>
        </w:rPr>
        <w:tab/>
      </w:r>
      <w:r>
        <w:rPr>
          <w:rFonts w:ascii="Times New Roman" w:hAnsi="Times New Roman" w:eastAsia="黑体"/>
          <w:b w:val="0"/>
          <w:bCs w:val="0"/>
          <w:color w:val="000000"/>
          <w:sz w:val="32"/>
          <w:highlight w:val="none"/>
        </w:rPr>
        <w:fldChar w:fldCharType="begin"/>
      </w:r>
      <w:r>
        <w:rPr>
          <w:rFonts w:ascii="Times New Roman" w:hAnsi="Times New Roman" w:eastAsia="黑体"/>
          <w:b w:val="0"/>
          <w:bCs w:val="0"/>
          <w:color w:val="000000"/>
          <w:sz w:val="32"/>
          <w:highlight w:val="none"/>
        </w:rPr>
        <w:instrText xml:space="preserve"> PAGEREF _Toc10813 \h </w:instrText>
      </w:r>
      <w:r>
        <w:rPr>
          <w:rFonts w:ascii="Times New Roman" w:hAnsi="Times New Roman" w:eastAsia="黑体"/>
          <w:b w:val="0"/>
          <w:bCs w:val="0"/>
          <w:color w:val="000000"/>
          <w:sz w:val="32"/>
          <w:highlight w:val="none"/>
        </w:rPr>
        <w:fldChar w:fldCharType="separate"/>
      </w:r>
      <w:r>
        <w:rPr>
          <w:rFonts w:ascii="Times New Roman" w:hAnsi="Times New Roman" w:eastAsia="黑体"/>
          <w:b w:val="0"/>
          <w:bCs w:val="0"/>
          <w:color w:val="000000"/>
          <w:sz w:val="32"/>
          <w:highlight w:val="none"/>
        </w:rPr>
        <w:t>3</w:t>
      </w:r>
      <w:r>
        <w:rPr>
          <w:rFonts w:ascii="Times New Roman" w:hAnsi="Times New Roman" w:eastAsia="黑体"/>
          <w:b w:val="0"/>
          <w:bCs w:val="0"/>
          <w:color w:val="000000"/>
          <w:sz w:val="32"/>
          <w:highlight w:val="none"/>
        </w:rPr>
        <w:fldChar w:fldCharType="end"/>
      </w:r>
      <w:r>
        <w:rPr>
          <w:rFonts w:ascii="Times New Roman" w:hAnsi="Times New Roman" w:eastAsia="黑体"/>
          <w:b w:val="0"/>
          <w:bCs w:val="0"/>
          <w:color w:val="000000"/>
          <w:sz w:val="32"/>
          <w:highlight w:val="none"/>
        </w:rPr>
        <w:fldChar w:fldCharType="end"/>
      </w:r>
    </w:p>
    <w:p w14:paraId="0C52AEE3">
      <w:pPr>
        <w:pStyle w:val="98"/>
        <w:tabs>
          <w:tab w:val="right" w:leader="dot" w:pos="9185"/>
        </w:tabs>
        <w:spacing w:line="600" w:lineRule="exact"/>
        <w:rPr>
          <w:rFonts w:ascii="Times New Roman" w:hAnsi="Times New Roman" w:eastAsia="黑体"/>
          <w:b w:val="0"/>
          <w:bCs w:val="0"/>
          <w:color w:val="000000"/>
          <w:sz w:val="32"/>
          <w:highlight w:val="none"/>
        </w:rPr>
      </w:pPr>
      <w:r>
        <w:rPr>
          <w:rFonts w:ascii="Times New Roman" w:hAnsi="Times New Roman" w:eastAsia="黑体"/>
          <w:b w:val="0"/>
          <w:bCs w:val="0"/>
          <w:color w:val="000000"/>
          <w:sz w:val="32"/>
          <w:highlight w:val="none"/>
        </w:rPr>
        <w:fldChar w:fldCharType="begin"/>
      </w:r>
      <w:r>
        <w:rPr>
          <w:rFonts w:ascii="Times New Roman" w:hAnsi="Times New Roman" w:eastAsia="黑体"/>
          <w:b w:val="0"/>
          <w:bCs w:val="0"/>
          <w:color w:val="000000"/>
          <w:sz w:val="32"/>
          <w:highlight w:val="none"/>
        </w:rPr>
        <w:instrText xml:space="preserve"> HYPERLINK \l _Toc9425 </w:instrText>
      </w:r>
      <w:r>
        <w:rPr>
          <w:rFonts w:ascii="Times New Roman" w:hAnsi="Times New Roman" w:eastAsia="黑体"/>
          <w:b w:val="0"/>
          <w:bCs w:val="0"/>
          <w:color w:val="000000"/>
          <w:sz w:val="32"/>
          <w:highlight w:val="none"/>
        </w:rPr>
        <w:fldChar w:fldCharType="separate"/>
      </w:r>
      <w:r>
        <w:rPr>
          <w:rFonts w:hint="eastAsia" w:ascii="Times New Roman" w:hAnsi="Times New Roman" w:eastAsia="黑体"/>
          <w:b w:val="0"/>
          <w:bCs w:val="0"/>
          <w:color w:val="000000"/>
          <w:sz w:val="32"/>
          <w:highlight w:val="none"/>
        </w:rPr>
        <w:t>第二章  投标人须知</w:t>
      </w:r>
      <w:r>
        <w:rPr>
          <w:rFonts w:ascii="Times New Roman" w:hAnsi="Times New Roman" w:eastAsia="黑体"/>
          <w:b w:val="0"/>
          <w:bCs w:val="0"/>
          <w:color w:val="000000"/>
          <w:sz w:val="32"/>
          <w:highlight w:val="none"/>
        </w:rPr>
        <w:tab/>
      </w:r>
      <w:r>
        <w:rPr>
          <w:rFonts w:ascii="Times New Roman" w:hAnsi="Times New Roman" w:eastAsia="黑体"/>
          <w:b w:val="0"/>
          <w:bCs w:val="0"/>
          <w:color w:val="000000"/>
          <w:sz w:val="32"/>
          <w:highlight w:val="none"/>
        </w:rPr>
        <w:fldChar w:fldCharType="begin"/>
      </w:r>
      <w:r>
        <w:rPr>
          <w:rFonts w:ascii="Times New Roman" w:hAnsi="Times New Roman" w:eastAsia="黑体"/>
          <w:b w:val="0"/>
          <w:bCs w:val="0"/>
          <w:color w:val="000000"/>
          <w:sz w:val="32"/>
          <w:highlight w:val="none"/>
        </w:rPr>
        <w:instrText xml:space="preserve"> PAGEREF _Toc9425 \h </w:instrText>
      </w:r>
      <w:r>
        <w:rPr>
          <w:rFonts w:ascii="Times New Roman" w:hAnsi="Times New Roman" w:eastAsia="黑体"/>
          <w:b w:val="0"/>
          <w:bCs w:val="0"/>
          <w:color w:val="000000"/>
          <w:sz w:val="32"/>
          <w:highlight w:val="none"/>
        </w:rPr>
        <w:fldChar w:fldCharType="separate"/>
      </w:r>
      <w:r>
        <w:rPr>
          <w:rFonts w:ascii="Times New Roman" w:hAnsi="Times New Roman" w:eastAsia="黑体"/>
          <w:b w:val="0"/>
          <w:bCs w:val="0"/>
          <w:color w:val="000000"/>
          <w:sz w:val="32"/>
          <w:highlight w:val="none"/>
        </w:rPr>
        <w:t>6</w:t>
      </w:r>
      <w:r>
        <w:rPr>
          <w:rFonts w:ascii="Times New Roman" w:hAnsi="Times New Roman" w:eastAsia="黑体"/>
          <w:b w:val="0"/>
          <w:bCs w:val="0"/>
          <w:color w:val="000000"/>
          <w:sz w:val="32"/>
          <w:highlight w:val="none"/>
        </w:rPr>
        <w:fldChar w:fldCharType="end"/>
      </w:r>
      <w:r>
        <w:rPr>
          <w:rFonts w:ascii="Times New Roman" w:hAnsi="Times New Roman" w:eastAsia="黑体"/>
          <w:b w:val="0"/>
          <w:bCs w:val="0"/>
          <w:color w:val="000000"/>
          <w:sz w:val="32"/>
          <w:highlight w:val="none"/>
        </w:rPr>
        <w:fldChar w:fldCharType="end"/>
      </w:r>
    </w:p>
    <w:p w14:paraId="38F1A69F">
      <w:pPr>
        <w:pStyle w:val="98"/>
        <w:tabs>
          <w:tab w:val="right" w:leader="dot" w:pos="9185"/>
        </w:tabs>
        <w:spacing w:line="600" w:lineRule="exact"/>
        <w:rPr>
          <w:rFonts w:ascii="Times New Roman" w:hAnsi="Times New Roman" w:eastAsia="黑体"/>
          <w:b w:val="0"/>
          <w:bCs w:val="0"/>
          <w:color w:val="000000"/>
          <w:sz w:val="32"/>
          <w:highlight w:val="none"/>
        </w:rPr>
      </w:pPr>
      <w:r>
        <w:rPr>
          <w:rFonts w:ascii="Times New Roman" w:hAnsi="Times New Roman" w:eastAsia="黑体"/>
          <w:b w:val="0"/>
          <w:bCs w:val="0"/>
          <w:color w:val="000000"/>
          <w:sz w:val="32"/>
          <w:highlight w:val="none"/>
        </w:rPr>
        <w:fldChar w:fldCharType="begin"/>
      </w:r>
      <w:r>
        <w:rPr>
          <w:rFonts w:ascii="Times New Roman" w:hAnsi="Times New Roman" w:eastAsia="黑体"/>
          <w:b w:val="0"/>
          <w:bCs w:val="0"/>
          <w:color w:val="000000"/>
          <w:sz w:val="32"/>
          <w:highlight w:val="none"/>
        </w:rPr>
        <w:instrText xml:space="preserve"> HYPERLINK \l _Toc17996 </w:instrText>
      </w:r>
      <w:r>
        <w:rPr>
          <w:rFonts w:ascii="Times New Roman" w:hAnsi="Times New Roman" w:eastAsia="黑体"/>
          <w:b w:val="0"/>
          <w:bCs w:val="0"/>
          <w:color w:val="000000"/>
          <w:sz w:val="32"/>
          <w:highlight w:val="none"/>
        </w:rPr>
        <w:fldChar w:fldCharType="separate"/>
      </w:r>
      <w:r>
        <w:rPr>
          <w:rFonts w:hint="eastAsia" w:ascii="Times New Roman" w:hAnsi="Times New Roman" w:eastAsia="黑体" w:cs="Times New Roman"/>
          <w:b w:val="0"/>
          <w:bCs w:val="0"/>
          <w:color w:val="000000"/>
          <w:sz w:val="32"/>
          <w:szCs w:val="44"/>
          <w:highlight w:val="none"/>
        </w:rPr>
        <w:t>第三章  资格审查及评标办法</w:t>
      </w:r>
      <w:r>
        <w:rPr>
          <w:rFonts w:ascii="Times New Roman" w:hAnsi="Times New Roman" w:eastAsia="黑体"/>
          <w:b w:val="0"/>
          <w:bCs w:val="0"/>
          <w:color w:val="000000"/>
          <w:sz w:val="32"/>
          <w:highlight w:val="none"/>
        </w:rPr>
        <w:tab/>
      </w:r>
      <w:r>
        <w:rPr>
          <w:rFonts w:ascii="Times New Roman" w:hAnsi="Times New Roman" w:eastAsia="黑体"/>
          <w:b w:val="0"/>
          <w:bCs w:val="0"/>
          <w:color w:val="000000"/>
          <w:sz w:val="32"/>
          <w:highlight w:val="none"/>
        </w:rPr>
        <w:fldChar w:fldCharType="begin"/>
      </w:r>
      <w:r>
        <w:rPr>
          <w:rFonts w:ascii="Times New Roman" w:hAnsi="Times New Roman" w:eastAsia="黑体"/>
          <w:b w:val="0"/>
          <w:bCs w:val="0"/>
          <w:color w:val="000000"/>
          <w:sz w:val="32"/>
          <w:highlight w:val="none"/>
        </w:rPr>
        <w:instrText xml:space="preserve"> PAGEREF _Toc17996 \h </w:instrText>
      </w:r>
      <w:r>
        <w:rPr>
          <w:rFonts w:ascii="Times New Roman" w:hAnsi="Times New Roman" w:eastAsia="黑体"/>
          <w:b w:val="0"/>
          <w:bCs w:val="0"/>
          <w:color w:val="000000"/>
          <w:sz w:val="32"/>
          <w:highlight w:val="none"/>
        </w:rPr>
        <w:fldChar w:fldCharType="separate"/>
      </w:r>
      <w:r>
        <w:rPr>
          <w:rFonts w:ascii="Times New Roman" w:hAnsi="Times New Roman" w:eastAsia="黑体"/>
          <w:b w:val="0"/>
          <w:bCs w:val="0"/>
          <w:color w:val="000000"/>
          <w:sz w:val="32"/>
          <w:highlight w:val="none"/>
        </w:rPr>
        <w:t>19</w:t>
      </w:r>
      <w:r>
        <w:rPr>
          <w:rFonts w:ascii="Times New Roman" w:hAnsi="Times New Roman" w:eastAsia="黑体"/>
          <w:b w:val="0"/>
          <w:bCs w:val="0"/>
          <w:color w:val="000000"/>
          <w:sz w:val="32"/>
          <w:highlight w:val="none"/>
        </w:rPr>
        <w:fldChar w:fldCharType="end"/>
      </w:r>
      <w:r>
        <w:rPr>
          <w:rFonts w:ascii="Times New Roman" w:hAnsi="Times New Roman" w:eastAsia="黑体"/>
          <w:b w:val="0"/>
          <w:bCs w:val="0"/>
          <w:color w:val="000000"/>
          <w:sz w:val="32"/>
          <w:highlight w:val="none"/>
        </w:rPr>
        <w:fldChar w:fldCharType="end"/>
      </w:r>
    </w:p>
    <w:p w14:paraId="208DE1F2">
      <w:pPr>
        <w:pStyle w:val="98"/>
        <w:tabs>
          <w:tab w:val="right" w:leader="dot" w:pos="9185"/>
        </w:tabs>
        <w:spacing w:line="600" w:lineRule="exact"/>
        <w:rPr>
          <w:rFonts w:ascii="Times New Roman" w:hAnsi="Times New Roman" w:eastAsia="黑体"/>
          <w:b w:val="0"/>
          <w:bCs w:val="0"/>
          <w:color w:val="000000"/>
          <w:sz w:val="32"/>
          <w:highlight w:val="none"/>
        </w:rPr>
      </w:pPr>
      <w:r>
        <w:rPr>
          <w:rFonts w:ascii="Times New Roman" w:hAnsi="Times New Roman" w:eastAsia="黑体"/>
          <w:b w:val="0"/>
          <w:bCs w:val="0"/>
          <w:color w:val="000000"/>
          <w:sz w:val="32"/>
          <w:highlight w:val="none"/>
        </w:rPr>
        <w:fldChar w:fldCharType="begin"/>
      </w:r>
      <w:r>
        <w:rPr>
          <w:rFonts w:ascii="Times New Roman" w:hAnsi="Times New Roman" w:eastAsia="黑体"/>
          <w:b w:val="0"/>
          <w:bCs w:val="0"/>
          <w:color w:val="000000"/>
          <w:sz w:val="32"/>
          <w:highlight w:val="none"/>
        </w:rPr>
        <w:instrText xml:space="preserve"> HYPERLINK \l _Toc22314 </w:instrText>
      </w:r>
      <w:r>
        <w:rPr>
          <w:rFonts w:ascii="Times New Roman" w:hAnsi="Times New Roman" w:eastAsia="黑体"/>
          <w:b w:val="0"/>
          <w:bCs w:val="0"/>
          <w:color w:val="000000"/>
          <w:sz w:val="32"/>
          <w:highlight w:val="none"/>
        </w:rPr>
        <w:fldChar w:fldCharType="separate"/>
      </w:r>
      <w:r>
        <w:rPr>
          <w:rFonts w:hint="eastAsia" w:ascii="Times New Roman" w:hAnsi="Times New Roman" w:eastAsia="黑体"/>
          <w:b w:val="0"/>
          <w:bCs w:val="0"/>
          <w:color w:val="000000"/>
          <w:sz w:val="32"/>
          <w:szCs w:val="44"/>
          <w:highlight w:val="none"/>
        </w:rPr>
        <w:t>第四章</w:t>
      </w:r>
      <w:r>
        <w:rPr>
          <w:rFonts w:ascii="Times New Roman" w:hAnsi="Times New Roman" w:eastAsia="黑体"/>
          <w:b w:val="0"/>
          <w:bCs w:val="0"/>
          <w:color w:val="000000"/>
          <w:sz w:val="32"/>
          <w:szCs w:val="44"/>
          <w:highlight w:val="none"/>
        </w:rPr>
        <w:t xml:space="preserve">  </w:t>
      </w:r>
      <w:r>
        <w:rPr>
          <w:rFonts w:hint="eastAsia" w:ascii="Times New Roman" w:hAnsi="Times New Roman" w:eastAsia="黑体"/>
          <w:b w:val="0"/>
          <w:bCs w:val="0"/>
          <w:color w:val="000000"/>
          <w:sz w:val="32"/>
          <w:szCs w:val="44"/>
          <w:highlight w:val="none"/>
        </w:rPr>
        <w:t>采购需求</w:t>
      </w:r>
      <w:r>
        <w:rPr>
          <w:rFonts w:ascii="Times New Roman" w:hAnsi="Times New Roman" w:eastAsia="黑体"/>
          <w:b w:val="0"/>
          <w:bCs w:val="0"/>
          <w:color w:val="000000"/>
          <w:sz w:val="32"/>
          <w:highlight w:val="none"/>
        </w:rPr>
        <w:tab/>
      </w:r>
      <w:r>
        <w:rPr>
          <w:rFonts w:ascii="Times New Roman" w:hAnsi="Times New Roman" w:eastAsia="黑体"/>
          <w:b w:val="0"/>
          <w:bCs w:val="0"/>
          <w:color w:val="000000"/>
          <w:sz w:val="32"/>
          <w:highlight w:val="none"/>
        </w:rPr>
        <w:fldChar w:fldCharType="begin"/>
      </w:r>
      <w:r>
        <w:rPr>
          <w:rFonts w:ascii="Times New Roman" w:hAnsi="Times New Roman" w:eastAsia="黑体"/>
          <w:b w:val="0"/>
          <w:bCs w:val="0"/>
          <w:color w:val="000000"/>
          <w:sz w:val="32"/>
          <w:highlight w:val="none"/>
        </w:rPr>
        <w:instrText xml:space="preserve"> PAGEREF _Toc22314 \h </w:instrText>
      </w:r>
      <w:r>
        <w:rPr>
          <w:rFonts w:ascii="Times New Roman" w:hAnsi="Times New Roman" w:eastAsia="黑体"/>
          <w:b w:val="0"/>
          <w:bCs w:val="0"/>
          <w:color w:val="000000"/>
          <w:sz w:val="32"/>
          <w:highlight w:val="none"/>
        </w:rPr>
        <w:fldChar w:fldCharType="separate"/>
      </w:r>
      <w:r>
        <w:rPr>
          <w:rFonts w:ascii="Times New Roman" w:hAnsi="Times New Roman" w:eastAsia="黑体"/>
          <w:b w:val="0"/>
          <w:bCs w:val="0"/>
          <w:color w:val="000000"/>
          <w:sz w:val="32"/>
          <w:highlight w:val="none"/>
        </w:rPr>
        <w:t>21</w:t>
      </w:r>
      <w:r>
        <w:rPr>
          <w:rFonts w:ascii="Times New Roman" w:hAnsi="Times New Roman" w:eastAsia="黑体"/>
          <w:b w:val="0"/>
          <w:bCs w:val="0"/>
          <w:color w:val="000000"/>
          <w:sz w:val="32"/>
          <w:highlight w:val="none"/>
        </w:rPr>
        <w:fldChar w:fldCharType="end"/>
      </w:r>
      <w:r>
        <w:rPr>
          <w:rFonts w:ascii="Times New Roman" w:hAnsi="Times New Roman" w:eastAsia="黑体"/>
          <w:b w:val="0"/>
          <w:bCs w:val="0"/>
          <w:color w:val="000000"/>
          <w:sz w:val="32"/>
          <w:highlight w:val="none"/>
        </w:rPr>
        <w:fldChar w:fldCharType="end"/>
      </w:r>
    </w:p>
    <w:p w14:paraId="27FB714F">
      <w:pPr>
        <w:pStyle w:val="98"/>
        <w:tabs>
          <w:tab w:val="right" w:leader="dot" w:pos="9185"/>
        </w:tabs>
        <w:spacing w:line="600" w:lineRule="exact"/>
        <w:rPr>
          <w:rFonts w:hint="eastAsia" w:ascii="Times New Roman" w:hAnsi="Times New Roman" w:eastAsia="黑体"/>
          <w:b w:val="0"/>
          <w:bCs w:val="0"/>
          <w:color w:val="000000"/>
          <w:sz w:val="32"/>
          <w:highlight w:val="none"/>
          <w:lang w:val="en-US" w:eastAsia="zh-CN"/>
        </w:rPr>
      </w:pPr>
      <w:r>
        <w:rPr>
          <w:rFonts w:ascii="Times New Roman" w:hAnsi="Times New Roman" w:eastAsia="黑体"/>
          <w:b w:val="0"/>
          <w:bCs w:val="0"/>
          <w:color w:val="000000"/>
          <w:sz w:val="32"/>
          <w:highlight w:val="none"/>
        </w:rPr>
        <w:fldChar w:fldCharType="begin"/>
      </w:r>
      <w:r>
        <w:rPr>
          <w:rFonts w:ascii="Times New Roman" w:hAnsi="Times New Roman" w:eastAsia="黑体"/>
          <w:b w:val="0"/>
          <w:bCs w:val="0"/>
          <w:color w:val="000000"/>
          <w:sz w:val="32"/>
          <w:highlight w:val="none"/>
        </w:rPr>
        <w:instrText xml:space="preserve"> HYPERLINK \l _Toc2513 </w:instrText>
      </w:r>
      <w:r>
        <w:rPr>
          <w:rFonts w:ascii="Times New Roman" w:hAnsi="Times New Roman" w:eastAsia="黑体"/>
          <w:b w:val="0"/>
          <w:bCs w:val="0"/>
          <w:color w:val="000000"/>
          <w:sz w:val="32"/>
          <w:highlight w:val="none"/>
        </w:rPr>
        <w:fldChar w:fldCharType="separate"/>
      </w:r>
      <w:r>
        <w:rPr>
          <w:rFonts w:hint="eastAsia" w:ascii="Times New Roman" w:hAnsi="Times New Roman" w:eastAsia="黑体"/>
          <w:b w:val="0"/>
          <w:bCs w:val="0"/>
          <w:color w:val="000000"/>
          <w:sz w:val="32"/>
          <w:szCs w:val="44"/>
          <w:highlight w:val="none"/>
        </w:rPr>
        <w:t>第五章</w:t>
      </w:r>
      <w:r>
        <w:rPr>
          <w:rFonts w:ascii="Times New Roman" w:hAnsi="Times New Roman" w:eastAsia="黑体"/>
          <w:b w:val="0"/>
          <w:bCs w:val="0"/>
          <w:color w:val="000000"/>
          <w:sz w:val="32"/>
          <w:szCs w:val="44"/>
          <w:highlight w:val="none"/>
        </w:rPr>
        <w:t xml:space="preserve">  </w:t>
      </w:r>
      <w:r>
        <w:rPr>
          <w:rFonts w:hint="eastAsia" w:ascii="Times New Roman" w:hAnsi="Times New Roman" w:eastAsia="黑体"/>
          <w:b w:val="0"/>
          <w:bCs w:val="0"/>
          <w:color w:val="000000"/>
          <w:sz w:val="32"/>
          <w:szCs w:val="44"/>
          <w:highlight w:val="none"/>
        </w:rPr>
        <w:t>合同文本</w:t>
      </w:r>
      <w:r>
        <w:rPr>
          <w:rFonts w:ascii="Times New Roman" w:hAnsi="Times New Roman" w:eastAsia="黑体"/>
          <w:b w:val="0"/>
          <w:bCs w:val="0"/>
          <w:color w:val="000000"/>
          <w:sz w:val="32"/>
          <w:highlight w:val="none"/>
        </w:rPr>
        <w:tab/>
      </w:r>
      <w:r>
        <w:rPr>
          <w:rFonts w:hint="eastAsia" w:ascii="Times New Roman" w:hAnsi="Times New Roman" w:eastAsia="黑体"/>
          <w:b w:val="0"/>
          <w:bCs w:val="0"/>
          <w:color w:val="000000"/>
          <w:sz w:val="32"/>
          <w:highlight w:val="none"/>
          <w:lang w:val="en-US" w:eastAsia="zh-CN"/>
        </w:rPr>
        <w:t>4</w:t>
      </w:r>
      <w:r>
        <w:rPr>
          <w:rFonts w:ascii="Times New Roman" w:hAnsi="Times New Roman" w:eastAsia="黑体"/>
          <w:b w:val="0"/>
          <w:bCs w:val="0"/>
          <w:color w:val="000000"/>
          <w:sz w:val="32"/>
          <w:highlight w:val="none"/>
        </w:rPr>
        <w:fldChar w:fldCharType="end"/>
      </w:r>
      <w:r>
        <w:rPr>
          <w:rFonts w:hint="eastAsia" w:ascii="Times New Roman" w:hAnsi="Times New Roman" w:eastAsia="黑体"/>
          <w:b w:val="0"/>
          <w:bCs w:val="0"/>
          <w:color w:val="000000"/>
          <w:sz w:val="32"/>
          <w:highlight w:val="none"/>
          <w:lang w:val="en-US" w:eastAsia="zh-CN"/>
        </w:rPr>
        <w:t>5</w:t>
      </w:r>
    </w:p>
    <w:p w14:paraId="4CAF4168">
      <w:pPr>
        <w:pStyle w:val="98"/>
        <w:tabs>
          <w:tab w:val="right" w:leader="dot" w:pos="9185"/>
        </w:tabs>
        <w:spacing w:line="600" w:lineRule="exact"/>
        <w:rPr>
          <w:rFonts w:eastAsia="黑体"/>
          <w:color w:val="000000"/>
          <w:highlight w:val="none"/>
          <w:lang w:val="en-US" w:eastAsia="zh-CN"/>
        </w:rPr>
      </w:pPr>
      <w:r>
        <w:rPr>
          <w:rFonts w:ascii="Times New Roman" w:hAnsi="Times New Roman" w:eastAsia="黑体"/>
          <w:b w:val="0"/>
          <w:bCs w:val="0"/>
          <w:color w:val="000000"/>
          <w:sz w:val="32"/>
          <w:highlight w:val="none"/>
        </w:rPr>
        <w:fldChar w:fldCharType="begin"/>
      </w:r>
      <w:r>
        <w:rPr>
          <w:rFonts w:ascii="Times New Roman" w:hAnsi="Times New Roman" w:eastAsia="黑体"/>
          <w:b w:val="0"/>
          <w:bCs w:val="0"/>
          <w:color w:val="000000"/>
          <w:sz w:val="32"/>
          <w:highlight w:val="none"/>
        </w:rPr>
        <w:instrText xml:space="preserve"> HYPERLINK \l _Toc12937 </w:instrText>
      </w:r>
      <w:r>
        <w:rPr>
          <w:rFonts w:ascii="Times New Roman" w:hAnsi="Times New Roman" w:eastAsia="黑体"/>
          <w:b w:val="0"/>
          <w:bCs w:val="0"/>
          <w:color w:val="000000"/>
          <w:sz w:val="32"/>
          <w:highlight w:val="none"/>
        </w:rPr>
        <w:fldChar w:fldCharType="separate"/>
      </w:r>
      <w:r>
        <w:rPr>
          <w:rFonts w:hint="eastAsia" w:ascii="Times New Roman" w:hAnsi="Times New Roman" w:eastAsia="黑体"/>
          <w:b w:val="0"/>
          <w:bCs w:val="0"/>
          <w:color w:val="000000"/>
          <w:sz w:val="32"/>
          <w:szCs w:val="44"/>
          <w:highlight w:val="none"/>
        </w:rPr>
        <w:t>第六章  投标文件格式</w:t>
      </w:r>
      <w:r>
        <w:rPr>
          <w:rFonts w:ascii="Times New Roman" w:hAnsi="Times New Roman" w:eastAsia="黑体"/>
          <w:b w:val="0"/>
          <w:bCs w:val="0"/>
          <w:color w:val="000000"/>
          <w:sz w:val="32"/>
          <w:highlight w:val="none"/>
        </w:rPr>
        <w:tab/>
      </w:r>
      <w:r>
        <w:rPr>
          <w:rFonts w:ascii="Times New Roman" w:hAnsi="Times New Roman" w:eastAsia="黑体"/>
          <w:b w:val="0"/>
          <w:bCs w:val="0"/>
          <w:color w:val="000000"/>
          <w:sz w:val="32"/>
          <w:highlight w:val="none"/>
        </w:rPr>
        <w:fldChar w:fldCharType="end"/>
      </w:r>
      <w:r>
        <w:rPr>
          <w:rFonts w:hint="eastAsia" w:ascii="Times New Roman" w:hAnsi="Times New Roman" w:eastAsia="黑体"/>
          <w:b w:val="0"/>
          <w:bCs w:val="0"/>
          <w:color w:val="000000"/>
          <w:sz w:val="32"/>
          <w:highlight w:val="none"/>
          <w:lang w:val="en-US" w:eastAsia="zh-CN"/>
        </w:rPr>
        <w:t>56</w:t>
      </w:r>
    </w:p>
    <w:p w14:paraId="6FE3E2AB">
      <w:pPr>
        <w:rPr>
          <w:color w:val="000000"/>
          <w:highlight w:val="none"/>
        </w:rPr>
      </w:pPr>
      <w:r>
        <w:rPr>
          <w:color w:val="000000"/>
          <w:highlight w:val="none"/>
        </w:rPr>
        <w:fldChar w:fldCharType="end"/>
      </w:r>
    </w:p>
    <w:p w14:paraId="62B0FC82">
      <w:pPr>
        <w:keepNext/>
        <w:keepLines/>
        <w:pageBreakBefore/>
        <w:jc w:val="center"/>
        <w:outlineLvl w:val="0"/>
        <w:rPr>
          <w:b/>
          <w:color w:val="000000"/>
          <w:sz w:val="44"/>
          <w:szCs w:val="44"/>
          <w:highlight w:val="none"/>
        </w:rPr>
        <w:sectPr>
          <w:footerReference r:id="rId5" w:type="first"/>
          <w:headerReference r:id="rId3" w:type="default"/>
          <w:footerReference r:id="rId4" w:type="default"/>
          <w:pgSz w:w="11907" w:h="16840"/>
          <w:pgMar w:top="1474" w:right="1304" w:bottom="1474" w:left="1418" w:header="851" w:footer="851" w:gutter="0"/>
          <w:cols w:space="1701" w:num="1"/>
          <w:docGrid w:linePitch="360" w:charSpace="0"/>
        </w:sectPr>
      </w:pPr>
      <w:bookmarkStart w:id="2" w:name="_Toc81575189"/>
      <w:bookmarkStart w:id="3" w:name="_Toc81575152"/>
    </w:p>
    <w:p w14:paraId="323D1D17">
      <w:pPr>
        <w:pStyle w:val="42"/>
        <w:spacing w:before="200"/>
        <w:jc w:val="center"/>
        <w:rPr>
          <w:rFonts w:hint="eastAsia" w:eastAsia="黑体"/>
          <w:color w:val="000000"/>
          <w:sz w:val="44"/>
          <w:highlight w:val="none"/>
        </w:rPr>
      </w:pPr>
      <w:bookmarkStart w:id="4" w:name="_Toc10813"/>
      <w:bookmarkStart w:id="5" w:name="_Toc30943"/>
      <w:bookmarkStart w:id="6" w:name="_Toc25722"/>
      <w:r>
        <w:rPr>
          <w:rFonts w:hint="eastAsia" w:eastAsia="黑体"/>
          <w:color w:val="000000"/>
          <w:sz w:val="44"/>
          <w:highlight w:val="none"/>
        </w:rPr>
        <w:t>第一章  投标邀请</w:t>
      </w:r>
      <w:bookmarkEnd w:id="2"/>
      <w:bookmarkEnd w:id="3"/>
      <w:bookmarkEnd w:id="4"/>
      <w:bookmarkEnd w:id="5"/>
      <w:bookmarkEnd w:id="6"/>
    </w:p>
    <w:p w14:paraId="480944A2">
      <w:pPr>
        <w:spacing w:line="480" w:lineRule="exact"/>
        <w:ind w:firstLine="480"/>
        <w:rPr>
          <w:rFonts w:ascii="Times New Roman" w:hAnsi="Times New Roman" w:cs="方正仿宋_GBK"/>
          <w:color w:val="000000"/>
          <w:sz w:val="24"/>
          <w:szCs w:val="24"/>
          <w:highlight w:val="none"/>
        </w:rPr>
      </w:pPr>
      <w:r>
        <w:rPr>
          <w:rFonts w:hint="eastAsia" w:ascii="宋体" w:hAnsi="宋体"/>
          <w:color w:val="000000"/>
          <w:sz w:val="24"/>
          <w:szCs w:val="24"/>
          <w:highlight w:val="none"/>
        </w:rPr>
        <w:t>受</w:t>
      </w:r>
      <w:r>
        <w:rPr>
          <w:rFonts w:hint="eastAsia" w:ascii="宋体" w:hAnsi="宋体"/>
          <w:color w:val="000000"/>
          <w:sz w:val="24"/>
          <w:szCs w:val="24"/>
          <w:highlight w:val="none"/>
          <w:u w:val="single"/>
          <w:lang w:eastAsia="zh-CN"/>
        </w:rPr>
        <w:t>沭阳县高墟镇人民政府</w:t>
      </w:r>
      <w:r>
        <w:rPr>
          <w:rFonts w:hint="eastAsia" w:ascii="宋体" w:hAnsi="宋体"/>
          <w:color w:val="000000"/>
          <w:sz w:val="24"/>
          <w:szCs w:val="24"/>
          <w:highlight w:val="none"/>
        </w:rPr>
        <w:t>的委托，</w:t>
      </w:r>
      <w:r>
        <w:rPr>
          <w:rFonts w:hint="eastAsia" w:ascii="Times New Roman" w:hAnsi="Times New Roman" w:cs="方正仿宋_GBK"/>
          <w:color w:val="000000"/>
          <w:sz w:val="24"/>
          <w:szCs w:val="24"/>
          <w:highlight w:val="none"/>
          <w:u w:val="single"/>
          <w:lang w:eastAsia="zh-CN"/>
        </w:rPr>
        <w:t>（江苏中堉项目管理咨询有限公司）</w:t>
      </w:r>
      <w:r>
        <w:rPr>
          <w:rFonts w:hint="eastAsia" w:ascii="Times New Roman" w:hAnsi="Times New Roman" w:cs="方正仿宋_GBK"/>
          <w:color w:val="000000"/>
          <w:sz w:val="24"/>
          <w:szCs w:val="24"/>
          <w:highlight w:val="none"/>
        </w:rPr>
        <w:t>就</w:t>
      </w:r>
      <w:r>
        <w:rPr>
          <w:rFonts w:hint="eastAsia" w:ascii="宋体" w:hAnsi="宋体"/>
          <w:color w:val="000000"/>
          <w:sz w:val="24"/>
          <w:szCs w:val="24"/>
          <w:highlight w:val="none"/>
          <w:u w:val="single"/>
          <w:lang w:eastAsia="zh-CN"/>
        </w:rPr>
        <w:t>沭阳县高墟镇社会面监控建设项目（JSZC-321322-AAZY-G2026-0002</w:t>
      </w:r>
      <w:r>
        <w:rPr>
          <w:rFonts w:hint="eastAsia" w:ascii="宋体" w:hAnsi="宋体"/>
          <w:color w:val="000000"/>
          <w:sz w:val="24"/>
          <w:szCs w:val="24"/>
          <w:highlight w:val="none"/>
          <w:u w:val="single"/>
          <w:lang w:val="en-US" w:eastAsia="zh-CN"/>
        </w:rPr>
        <w:t>）</w:t>
      </w:r>
      <w:r>
        <w:rPr>
          <w:rFonts w:hint="eastAsia" w:ascii="Times New Roman" w:hAnsi="Times New Roman" w:cs="方正仿宋_GBK"/>
          <w:color w:val="000000"/>
          <w:sz w:val="24"/>
          <w:szCs w:val="24"/>
          <w:highlight w:val="none"/>
        </w:rPr>
        <w:t>进行公开招标采购，欢迎符合条件的投标人投标。</w:t>
      </w:r>
    </w:p>
    <w:p w14:paraId="2903DCC0">
      <w:pPr>
        <w:pBdr>
          <w:top w:val="single" w:color="000000" w:sz="4" w:space="1"/>
          <w:left w:val="single" w:color="000000" w:sz="4" w:space="4"/>
          <w:bottom w:val="single" w:color="000000" w:sz="4" w:space="1"/>
          <w:right w:val="single" w:color="000000" w:sz="4" w:space="4"/>
        </w:pBdr>
        <w:spacing w:line="480" w:lineRule="exact"/>
        <w:ind w:firstLine="480"/>
        <w:rPr>
          <w:rFonts w:ascii="Times New Roman" w:hAnsi="Times New Roman" w:cs="方正仿宋_GBK"/>
          <w:color w:val="000000"/>
          <w:sz w:val="24"/>
          <w:szCs w:val="24"/>
          <w:highlight w:val="none"/>
        </w:rPr>
      </w:pPr>
      <w:r>
        <w:rPr>
          <w:rFonts w:hint="eastAsia" w:ascii="Times New Roman" w:hAnsi="Times New Roman" w:cs="方正仿宋_GBK"/>
          <w:color w:val="000000"/>
          <w:sz w:val="24"/>
          <w:szCs w:val="24"/>
          <w:highlight w:val="none"/>
        </w:rPr>
        <w:t>项目概况</w:t>
      </w:r>
    </w:p>
    <w:p w14:paraId="37A27C60">
      <w:pPr>
        <w:pBdr>
          <w:top w:val="single" w:color="000000" w:sz="4" w:space="1"/>
          <w:left w:val="single" w:color="000000" w:sz="4" w:space="4"/>
          <w:bottom w:val="single" w:color="000000" w:sz="4" w:space="1"/>
          <w:right w:val="single" w:color="000000" w:sz="4" w:space="4"/>
        </w:pBdr>
        <w:spacing w:line="480" w:lineRule="exact"/>
        <w:ind w:firstLine="480"/>
        <w:rPr>
          <w:rFonts w:ascii="方正仿宋_GBK" w:hAnsi="方正仿宋_GBK" w:eastAsia="方正仿宋_GBK" w:cs="方正仿宋_GBK"/>
          <w:color w:val="000000"/>
          <w:sz w:val="24"/>
          <w:szCs w:val="24"/>
          <w:highlight w:val="none"/>
        </w:rPr>
      </w:pPr>
      <w:r>
        <w:rPr>
          <w:rFonts w:hint="eastAsia" w:ascii="Times New Roman" w:hAnsi="Times New Roman" w:cs="方正仿宋_GBK"/>
          <w:color w:val="000000"/>
          <w:sz w:val="24"/>
          <w:szCs w:val="24"/>
          <w:highlight w:val="none"/>
          <w:lang w:eastAsia="zh-CN"/>
        </w:rPr>
        <w:t>沭阳县高墟镇社会面监控建设项目</w:t>
      </w:r>
      <w:r>
        <w:rPr>
          <w:rFonts w:hint="eastAsia" w:ascii="Times New Roman" w:hAnsi="Times New Roman" w:cs="方正仿宋_GBK"/>
          <w:color w:val="000000"/>
          <w:sz w:val="24"/>
          <w:szCs w:val="24"/>
          <w:highlight w:val="none"/>
        </w:rPr>
        <w:t>招标项目的潜在投标人可在“江苏政府采购网</w:t>
      </w:r>
      <w:r>
        <w:rPr>
          <w:rFonts w:hint="eastAsia" w:ascii="Times New Roman" w:hAnsi="Times New Roman" w:cs="方正仿宋_GBK"/>
          <w:color w:val="000000"/>
          <w:sz w:val="24"/>
          <w:szCs w:val="24"/>
          <w:highlight w:val="none"/>
          <w:lang w:eastAsia="zh-CN"/>
        </w:rPr>
        <w:t>”“</w:t>
      </w:r>
      <w:r>
        <w:rPr>
          <w:rFonts w:hint="eastAsia" w:ascii="Times New Roman" w:hAnsi="Times New Roman" w:cs="方正仿宋_GBK"/>
          <w:color w:val="000000"/>
          <w:sz w:val="24"/>
          <w:szCs w:val="24"/>
          <w:highlight w:val="none"/>
          <w:u w:val="single"/>
        </w:rPr>
        <w:t>宿迁市政府采购网”自行免费</w:t>
      </w:r>
      <w:r>
        <w:rPr>
          <w:rFonts w:hint="eastAsia" w:ascii="Times New Roman" w:hAnsi="Times New Roman" w:cs="方正仿宋_GBK"/>
          <w:color w:val="000000"/>
          <w:sz w:val="24"/>
          <w:szCs w:val="24"/>
          <w:highlight w:val="none"/>
        </w:rPr>
        <w:t>获取招标文件，并于</w:t>
      </w:r>
      <w:r>
        <w:rPr>
          <w:rFonts w:hint="eastAsia" w:ascii="宋体" w:hAnsi="宋体"/>
          <w:color w:val="000000"/>
          <w:sz w:val="24"/>
          <w:szCs w:val="24"/>
          <w:highlight w:val="none"/>
          <w:u w:val="single"/>
        </w:rPr>
        <w:t>202</w:t>
      </w:r>
      <w:r>
        <w:rPr>
          <w:rFonts w:hint="eastAsia" w:ascii="宋体" w:hAnsi="宋体"/>
          <w:color w:val="000000"/>
          <w:sz w:val="24"/>
          <w:szCs w:val="24"/>
          <w:highlight w:val="none"/>
          <w:u w:val="single"/>
          <w:lang w:val="en-US" w:eastAsia="zh-CN"/>
        </w:rPr>
        <w:t>6</w:t>
      </w:r>
      <w:r>
        <w:rPr>
          <w:rFonts w:hint="eastAsia" w:ascii="宋体" w:hAnsi="宋体"/>
          <w:bCs/>
          <w:color w:val="000000"/>
          <w:sz w:val="24"/>
          <w:szCs w:val="24"/>
          <w:highlight w:val="none"/>
          <w:u w:val="single"/>
        </w:rPr>
        <w:t>年</w:t>
      </w:r>
      <w:r>
        <w:rPr>
          <w:rFonts w:hint="eastAsia" w:ascii="宋体" w:hAnsi="宋体"/>
          <w:bCs/>
          <w:color w:val="000000"/>
          <w:sz w:val="24"/>
          <w:szCs w:val="24"/>
          <w:highlight w:val="none"/>
          <w:u w:val="single"/>
          <w:lang w:val="en-US" w:eastAsia="zh-CN"/>
        </w:rPr>
        <w:t>07</w:t>
      </w:r>
      <w:r>
        <w:rPr>
          <w:rFonts w:hint="eastAsia" w:ascii="宋体" w:hAnsi="宋体"/>
          <w:bCs/>
          <w:color w:val="000000"/>
          <w:sz w:val="24"/>
          <w:szCs w:val="24"/>
          <w:highlight w:val="none"/>
          <w:u w:val="single"/>
        </w:rPr>
        <w:t>月</w:t>
      </w:r>
      <w:r>
        <w:rPr>
          <w:rFonts w:hint="eastAsia" w:ascii="宋体" w:hAnsi="宋体"/>
          <w:bCs/>
          <w:color w:val="000000"/>
          <w:sz w:val="24"/>
          <w:szCs w:val="24"/>
          <w:highlight w:val="none"/>
          <w:u w:val="single"/>
          <w:lang w:val="en-US" w:eastAsia="zh-CN"/>
        </w:rPr>
        <w:t>21</w:t>
      </w:r>
      <w:r>
        <w:rPr>
          <w:rFonts w:hint="eastAsia" w:ascii="宋体" w:hAnsi="宋体"/>
          <w:bCs/>
          <w:color w:val="000000"/>
          <w:sz w:val="24"/>
          <w:szCs w:val="24"/>
          <w:highlight w:val="none"/>
          <w:u w:val="single"/>
        </w:rPr>
        <w:t>日</w:t>
      </w:r>
      <w:r>
        <w:rPr>
          <w:rFonts w:hint="eastAsia" w:ascii="宋体" w:hAnsi="宋体"/>
          <w:bCs/>
          <w:color w:val="000000"/>
          <w:sz w:val="24"/>
          <w:szCs w:val="24"/>
          <w:highlight w:val="none"/>
          <w:u w:val="single"/>
          <w:lang w:val="en-US" w:eastAsia="zh-CN"/>
        </w:rPr>
        <w:t>9</w:t>
      </w:r>
      <w:r>
        <w:rPr>
          <w:rFonts w:hint="eastAsia" w:ascii="宋体" w:hAnsi="宋体"/>
          <w:bCs/>
          <w:color w:val="000000"/>
          <w:sz w:val="24"/>
          <w:szCs w:val="24"/>
          <w:highlight w:val="none"/>
          <w:u w:val="single"/>
        </w:rPr>
        <w:t>点</w:t>
      </w:r>
      <w:r>
        <w:rPr>
          <w:rFonts w:hint="eastAsia" w:ascii="宋体" w:hAnsi="宋体"/>
          <w:bCs/>
          <w:color w:val="000000"/>
          <w:sz w:val="24"/>
          <w:szCs w:val="24"/>
          <w:highlight w:val="none"/>
          <w:u w:val="single"/>
          <w:lang w:val="en-US" w:eastAsia="zh-CN"/>
        </w:rPr>
        <w:t>30</w:t>
      </w:r>
      <w:r>
        <w:rPr>
          <w:rFonts w:hint="eastAsia" w:ascii="宋体" w:hAnsi="宋体"/>
          <w:bCs/>
          <w:color w:val="000000"/>
          <w:sz w:val="24"/>
          <w:szCs w:val="24"/>
          <w:highlight w:val="none"/>
          <w:u w:val="single"/>
        </w:rPr>
        <w:t>分（</w:t>
      </w:r>
      <w:r>
        <w:rPr>
          <w:rFonts w:hint="eastAsia" w:ascii="宋体" w:hAnsi="宋体"/>
          <w:bCs/>
          <w:color w:val="000000"/>
          <w:sz w:val="24"/>
          <w:szCs w:val="24"/>
          <w:highlight w:val="none"/>
        </w:rPr>
        <w:t>北京时间）</w:t>
      </w:r>
      <w:r>
        <w:rPr>
          <w:rFonts w:hint="eastAsia" w:ascii="Times New Roman" w:hAnsi="Times New Roman" w:cs="方正仿宋_GBK"/>
          <w:bCs/>
          <w:color w:val="000000"/>
          <w:sz w:val="24"/>
          <w:szCs w:val="24"/>
          <w:highlight w:val="none"/>
        </w:rPr>
        <w:t>前递交投标文件</w:t>
      </w:r>
      <w:r>
        <w:rPr>
          <w:rFonts w:hint="eastAsia" w:ascii="Times New Roman" w:hAnsi="Times New Roman" w:cs="方正仿宋_GBK"/>
          <w:color w:val="000000"/>
          <w:sz w:val="24"/>
          <w:szCs w:val="24"/>
          <w:highlight w:val="none"/>
        </w:rPr>
        <w:t>。</w:t>
      </w:r>
    </w:p>
    <w:p w14:paraId="365C2D16">
      <w:pPr>
        <w:pStyle w:val="43"/>
        <w:spacing w:before="0" w:after="0" w:line="480" w:lineRule="exact"/>
        <w:ind w:firstLine="643"/>
        <w:rPr>
          <w:rFonts w:hint="eastAsia" w:eastAsia="宋体" w:cs="Arial"/>
          <w:bCs/>
          <w:color w:val="000000"/>
          <w:szCs w:val="22"/>
          <w:highlight w:val="none"/>
        </w:rPr>
      </w:pPr>
      <w:bookmarkStart w:id="7" w:name="_Toc28359002"/>
      <w:bookmarkStart w:id="8" w:name="_Toc38985263"/>
      <w:bookmarkStart w:id="9" w:name="_Toc28359079"/>
      <w:bookmarkStart w:id="10" w:name="_Toc2584"/>
      <w:bookmarkStart w:id="11" w:name="_Toc35393621"/>
      <w:bookmarkStart w:id="12" w:name="_Toc35393790"/>
      <w:bookmarkStart w:id="13" w:name="_Hlk24379207"/>
      <w:r>
        <w:rPr>
          <w:rFonts w:hint="eastAsia" w:eastAsia="宋体" w:cs="Arial"/>
          <w:bCs/>
          <w:color w:val="000000"/>
          <w:szCs w:val="22"/>
          <w:highlight w:val="none"/>
        </w:rPr>
        <w:t>一、项目基本情况</w:t>
      </w:r>
      <w:bookmarkEnd w:id="7"/>
      <w:bookmarkEnd w:id="8"/>
      <w:bookmarkEnd w:id="9"/>
      <w:bookmarkEnd w:id="10"/>
      <w:bookmarkEnd w:id="11"/>
      <w:bookmarkEnd w:id="12"/>
    </w:p>
    <w:p w14:paraId="2856E912">
      <w:pPr>
        <w:spacing w:line="480" w:lineRule="exact"/>
        <w:ind w:firstLine="480"/>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1.项目编号：JSZC-321322-AAZY-G2026-0002</w:t>
      </w:r>
    </w:p>
    <w:p w14:paraId="317F514E">
      <w:pPr>
        <w:spacing w:line="480" w:lineRule="exact"/>
        <w:ind w:firstLine="480"/>
        <w:rPr>
          <w:rFonts w:hint="eastAsia" w:ascii="宋体" w:hAnsi="宋体" w:eastAsia="宋体" w:cs="宋体"/>
          <w:color w:val="000000"/>
          <w:sz w:val="24"/>
          <w:szCs w:val="24"/>
          <w:highlight w:val="none"/>
          <w:lang w:eastAsia="zh-CN"/>
        </w:rPr>
      </w:pPr>
      <w:bookmarkStart w:id="14" w:name="OLE_LINK2"/>
      <w:r>
        <w:rPr>
          <w:rFonts w:hint="eastAsia" w:ascii="宋体" w:hAnsi="宋体" w:eastAsia="宋体" w:cs="宋体"/>
          <w:color w:val="000000"/>
          <w:sz w:val="24"/>
          <w:szCs w:val="24"/>
          <w:highlight w:val="none"/>
        </w:rPr>
        <w:t>2.项目名称：</w:t>
      </w:r>
      <w:bookmarkEnd w:id="13"/>
      <w:r>
        <w:rPr>
          <w:rFonts w:hint="eastAsia" w:ascii="宋体" w:hAnsi="宋体" w:cs="宋体"/>
          <w:color w:val="000000"/>
          <w:sz w:val="24"/>
          <w:szCs w:val="24"/>
          <w:highlight w:val="none"/>
          <w:lang w:eastAsia="zh-CN"/>
        </w:rPr>
        <w:t>沭阳县高墟镇社会面监控建设项目</w:t>
      </w:r>
    </w:p>
    <w:p w14:paraId="0E71C914">
      <w:pPr>
        <w:spacing w:line="480" w:lineRule="exact"/>
        <w:ind w:firstLine="48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3.</w:t>
      </w:r>
      <w:bookmarkStart w:id="15" w:name="OLE_LINK18"/>
      <w:r>
        <w:rPr>
          <w:rFonts w:hint="eastAsia" w:ascii="宋体" w:hAnsi="宋体" w:eastAsia="宋体" w:cs="宋体"/>
          <w:color w:val="000000"/>
          <w:sz w:val="24"/>
          <w:szCs w:val="24"/>
          <w:highlight w:val="none"/>
        </w:rPr>
        <w:t>预算金额：</w:t>
      </w:r>
      <w:bookmarkStart w:id="16" w:name="OLE_LINK17"/>
      <w:r>
        <w:rPr>
          <w:rFonts w:hint="eastAsia" w:ascii="宋体" w:hAnsi="宋体" w:cs="宋体"/>
          <w:caps w:val="0"/>
          <w:color w:val="000000"/>
          <w:sz w:val="24"/>
          <w:szCs w:val="24"/>
          <w:highlight w:val="none"/>
          <w:lang w:val="en-US" w:eastAsia="zh-CN"/>
        </w:rPr>
        <w:t>142.7</w:t>
      </w:r>
      <w:r>
        <w:rPr>
          <w:rFonts w:hint="eastAsia" w:ascii="宋体" w:hAnsi="宋体" w:eastAsia="宋体" w:cs="宋体"/>
          <w:caps w:val="0"/>
          <w:color w:val="000000"/>
          <w:sz w:val="24"/>
          <w:szCs w:val="24"/>
          <w:highlight w:val="none"/>
        </w:rPr>
        <w:t>万元</w:t>
      </w:r>
      <w:bookmarkEnd w:id="14"/>
      <w:bookmarkEnd w:id="16"/>
    </w:p>
    <w:p w14:paraId="65D16C7A">
      <w:pPr>
        <w:spacing w:line="48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bookmarkStart w:id="17" w:name="OLE_LINK9"/>
      <w:r>
        <w:rPr>
          <w:rFonts w:hint="eastAsia" w:ascii="宋体" w:hAnsi="宋体" w:eastAsia="宋体" w:cs="宋体"/>
          <w:color w:val="000000"/>
          <w:sz w:val="24"/>
          <w:szCs w:val="24"/>
          <w:highlight w:val="none"/>
        </w:rPr>
        <w:t>本项目设定最高限价，</w:t>
      </w:r>
      <w:bookmarkStart w:id="18" w:name="OLE_LINK49"/>
      <w:r>
        <w:rPr>
          <w:rFonts w:hint="eastAsia" w:ascii="宋体" w:hAnsi="宋体" w:eastAsia="宋体" w:cs="宋体"/>
          <w:color w:val="000000"/>
          <w:sz w:val="24"/>
          <w:szCs w:val="24"/>
          <w:highlight w:val="none"/>
        </w:rPr>
        <w:t>最高限价为：</w:t>
      </w:r>
      <w:bookmarkStart w:id="19" w:name="EB6c1f3d39c6914ae1bada8ccaa777b37a"/>
      <w:r>
        <w:rPr>
          <w:rFonts w:hint="eastAsia" w:ascii="宋体" w:hAnsi="宋体" w:cs="宋体"/>
          <w:color w:val="000000"/>
          <w:sz w:val="24"/>
          <w:szCs w:val="24"/>
          <w:highlight w:val="none"/>
          <w:lang w:val="en-US" w:eastAsia="zh-CN"/>
        </w:rPr>
        <w:t>142.7</w:t>
      </w:r>
      <w:r>
        <w:rPr>
          <w:rFonts w:hint="eastAsia" w:ascii="宋体" w:hAnsi="宋体" w:eastAsia="宋体" w:cs="宋体"/>
          <w:color w:val="000000"/>
          <w:sz w:val="24"/>
          <w:szCs w:val="24"/>
          <w:highlight w:val="none"/>
          <w:lang w:val="en-US" w:eastAsia="zh-CN"/>
        </w:rPr>
        <w:t>万元</w:t>
      </w:r>
      <w:bookmarkEnd w:id="15"/>
      <w:bookmarkEnd w:id="18"/>
      <w:bookmarkEnd w:id="19"/>
    </w:p>
    <w:p w14:paraId="1B6C463F">
      <w:pPr>
        <w:spacing w:line="48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5.采购需求（简介）：</w:t>
      </w:r>
      <w:bookmarkStart w:id="20" w:name="OLE_LINK20"/>
      <w:r>
        <w:rPr>
          <w:rFonts w:hint="eastAsia" w:ascii="宋体" w:hAnsi="宋体" w:eastAsia="宋体" w:cs="宋体"/>
          <w:color w:val="000000"/>
          <w:sz w:val="24"/>
          <w:szCs w:val="24"/>
          <w:highlight w:val="none"/>
          <w:lang w:eastAsia="zh-CN"/>
        </w:rPr>
        <w:t>沭阳县高墟镇社会面监控建设项目</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招标内容包括前后端设备建设、配套实施及运维服务。</w:t>
      </w:r>
      <w:r>
        <w:rPr>
          <w:rFonts w:hint="eastAsia" w:ascii="宋体" w:hAnsi="宋体" w:eastAsia="宋体" w:cs="宋体"/>
          <w:color w:val="000000"/>
          <w:sz w:val="24"/>
          <w:szCs w:val="24"/>
          <w:highlight w:val="none"/>
        </w:rPr>
        <w:t xml:space="preserve">（详细内容见本招标文件第四章） </w:t>
      </w:r>
      <w:bookmarkEnd w:id="17"/>
      <w:bookmarkEnd w:id="20"/>
    </w:p>
    <w:p w14:paraId="44B89CB2">
      <w:pPr>
        <w:spacing w:line="48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6.合同履行期限：</w:t>
      </w:r>
      <w:bookmarkStart w:id="21" w:name="OLE_LINK50"/>
      <w:r>
        <w:rPr>
          <w:rFonts w:hint="eastAsia" w:ascii="宋体" w:hAnsi="宋体" w:eastAsia="宋体" w:cs="宋体"/>
          <w:color w:val="000000"/>
          <w:sz w:val="24"/>
          <w:szCs w:val="24"/>
          <w:highlight w:val="none"/>
        </w:rPr>
        <w:t>合同签订后</w:t>
      </w:r>
      <w:r>
        <w:rPr>
          <w:rFonts w:hint="eastAsia" w:ascii="宋体" w:hAnsi="宋体" w:eastAsia="宋体" w:cs="宋体"/>
          <w:color w:val="000000"/>
          <w:sz w:val="24"/>
          <w:szCs w:val="24"/>
          <w:highlight w:val="none"/>
          <w:lang w:val="en-US" w:eastAsia="zh-CN"/>
        </w:rPr>
        <w:t>80日历天</w:t>
      </w:r>
      <w:r>
        <w:rPr>
          <w:rFonts w:hint="eastAsia" w:ascii="宋体" w:hAnsi="宋体" w:eastAsia="宋体" w:cs="宋体"/>
          <w:color w:val="000000"/>
          <w:sz w:val="24"/>
          <w:szCs w:val="24"/>
          <w:highlight w:val="none"/>
        </w:rPr>
        <w:t>内完成交货、安装并验收完成。</w:t>
      </w:r>
      <w:bookmarkEnd w:id="21"/>
    </w:p>
    <w:p w14:paraId="0F655042">
      <w:pPr>
        <w:spacing w:line="48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7.本项目不接受联合体投标。</w:t>
      </w:r>
    </w:p>
    <w:p w14:paraId="74118274">
      <w:pPr>
        <w:pStyle w:val="43"/>
        <w:spacing w:before="0" w:after="0" w:line="480" w:lineRule="exact"/>
        <w:ind w:firstLine="482"/>
        <w:rPr>
          <w:rFonts w:hint="eastAsia" w:ascii="宋体" w:hAnsi="宋体" w:eastAsia="宋体" w:cs="宋体"/>
          <w:bCs/>
          <w:color w:val="000000"/>
          <w:sz w:val="24"/>
          <w:szCs w:val="24"/>
          <w:highlight w:val="none"/>
        </w:rPr>
      </w:pPr>
      <w:bookmarkStart w:id="22" w:name="_Toc28359080"/>
      <w:bookmarkStart w:id="23" w:name="_Toc35393791"/>
      <w:bookmarkStart w:id="24" w:name="_Toc28359003"/>
      <w:bookmarkStart w:id="25" w:name="_Toc35393622"/>
      <w:bookmarkStart w:id="26" w:name="_Toc27291"/>
      <w:bookmarkStart w:id="27" w:name="_Toc38985264"/>
      <w:r>
        <w:rPr>
          <w:rFonts w:hint="eastAsia" w:ascii="宋体" w:hAnsi="宋体" w:eastAsia="宋体" w:cs="宋体"/>
          <w:bCs/>
          <w:color w:val="000000"/>
          <w:sz w:val="24"/>
          <w:szCs w:val="24"/>
          <w:highlight w:val="none"/>
        </w:rPr>
        <w:t>二、申请人的资格要求</w:t>
      </w:r>
      <w:bookmarkEnd w:id="22"/>
      <w:bookmarkEnd w:id="23"/>
      <w:bookmarkEnd w:id="24"/>
      <w:bookmarkEnd w:id="25"/>
      <w:bookmarkEnd w:id="26"/>
      <w:bookmarkEnd w:id="27"/>
    </w:p>
    <w:p w14:paraId="10505C07">
      <w:pPr>
        <w:spacing w:line="480" w:lineRule="exact"/>
        <w:ind w:firstLine="480"/>
        <w:rPr>
          <w:rFonts w:hint="eastAsia" w:ascii="宋体" w:hAnsi="宋体" w:eastAsia="宋体" w:cs="宋体"/>
          <w:color w:val="000000"/>
          <w:sz w:val="24"/>
          <w:szCs w:val="24"/>
          <w:highlight w:val="none"/>
        </w:rPr>
      </w:pPr>
      <w:bookmarkStart w:id="28" w:name="_Toc35393623"/>
      <w:bookmarkStart w:id="29" w:name="_Toc28359081"/>
      <w:bookmarkStart w:id="30" w:name="_Toc28359004"/>
      <w:bookmarkStart w:id="31" w:name="_Toc35393792"/>
      <w:bookmarkStart w:id="32" w:name="_Toc38985265"/>
      <w:r>
        <w:rPr>
          <w:rFonts w:hint="eastAsia" w:ascii="宋体" w:hAnsi="宋体" w:eastAsia="宋体" w:cs="宋体"/>
          <w:color w:val="000000"/>
          <w:sz w:val="24"/>
          <w:szCs w:val="24"/>
          <w:highlight w:val="none"/>
        </w:rPr>
        <w:t>（一）通用资格要求</w:t>
      </w:r>
    </w:p>
    <w:p w14:paraId="1FA6855E">
      <w:pPr>
        <w:spacing w:line="48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1.具备《中华人民共和国政府采购法》第二十二条第一款规定的6项条件（按要求提供投标函）。</w:t>
      </w:r>
    </w:p>
    <w:p w14:paraId="54E45EA5">
      <w:pPr>
        <w:spacing w:line="48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在“信用中国”网站（www.creditchina.gov.cn）查询，不存在被列入失信被执行人、重大税收违法案件当事人名单、政府采购严重失信行为记录名单及其他不符合《中华人民共和国政府采购法》第二十二条规定条件的信用记录情形（无需提供证明材料）。</w:t>
      </w:r>
    </w:p>
    <w:p w14:paraId="39AF61D9">
      <w:pPr>
        <w:spacing w:line="48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bookmarkStart w:id="33" w:name="OLE_LINK31"/>
      <w:r>
        <w:rPr>
          <w:rFonts w:hint="eastAsia" w:ascii="宋体" w:hAnsi="宋体" w:eastAsia="宋体" w:cs="宋体"/>
          <w:color w:val="000000"/>
          <w:sz w:val="24"/>
          <w:szCs w:val="24"/>
          <w:highlight w:val="none"/>
        </w:rPr>
        <w:t>落实政府采购政策需满足的资格要求</w:t>
      </w:r>
      <w:bookmarkEnd w:id="33"/>
      <w:r>
        <w:rPr>
          <w:rFonts w:hint="eastAsia" w:ascii="宋体" w:hAnsi="宋体" w:eastAsia="宋体" w:cs="宋体"/>
          <w:color w:val="000000"/>
          <w:sz w:val="24"/>
          <w:szCs w:val="24"/>
          <w:highlight w:val="none"/>
        </w:rPr>
        <w:t>：</w:t>
      </w:r>
      <w:bookmarkStart w:id="34" w:name="OLE_LINK32"/>
      <w:bookmarkStart w:id="35" w:name="OLE_LINK19"/>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本项目为非预留份额的采购项目或采购包，执行价格扣除优惠政策，给予小微型企业、监狱企业或残疾人福利性单位报价</w:t>
      </w:r>
      <w:r>
        <w:rPr>
          <w:rFonts w:hint="eastAsia" w:ascii="宋体" w:hAnsi="宋体" w:eastAsia="宋体" w:cs="宋体"/>
          <w:color w:val="000000"/>
          <w:sz w:val="24"/>
          <w:szCs w:val="24"/>
          <w:highlight w:val="none"/>
          <w:lang w:val="en-US" w:eastAsia="zh-CN"/>
        </w:rPr>
        <w:t>15</w:t>
      </w:r>
      <w:r>
        <w:rPr>
          <w:rFonts w:hint="eastAsia" w:ascii="宋体" w:hAnsi="宋体" w:eastAsia="宋体" w:cs="宋体"/>
          <w:color w:val="000000"/>
          <w:sz w:val="24"/>
          <w:szCs w:val="24"/>
          <w:highlight w:val="none"/>
        </w:rPr>
        <w:t>%的扣除，用扣除后的价格参加评审。价格扣除比例对小型企业和微型企业同等对待，不作区分。监狱企业、残疾人福利单位属于小型、微型企业的，不重复享受政策。</w:t>
      </w:r>
      <w:bookmarkEnd w:id="34"/>
    </w:p>
    <w:p w14:paraId="76D88146">
      <w:pPr>
        <w:spacing w:line="480" w:lineRule="exact"/>
        <w:ind w:firstLine="48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eastAsia="zh-CN"/>
        </w:rPr>
        <w:t>）</w:t>
      </w:r>
      <w:r>
        <w:rPr>
          <w:rFonts w:hint="default" w:ascii="宋体" w:hAnsi="宋体" w:eastAsia="宋体" w:cs="宋体"/>
          <w:color w:val="000000"/>
          <w:sz w:val="24"/>
          <w:szCs w:val="24"/>
          <w:highlight w:val="none"/>
        </w:rPr>
        <w:t>投标人所投产品既有本国产品又有非本国产品参与竞争的，依法对本国产品给予价格评审优惠，对本国产品的报价给予20%的价格扣除，用扣除后的价格参与评审。</w:t>
      </w:r>
      <w:bookmarkEnd w:id="35"/>
    </w:p>
    <w:p w14:paraId="3032B92F">
      <w:pPr>
        <w:spacing w:line="48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w:t>
      </w:r>
      <w:bookmarkStart w:id="36" w:name="OLE_LINK33"/>
      <w:r>
        <w:rPr>
          <w:rFonts w:hint="eastAsia" w:ascii="宋体" w:hAnsi="宋体" w:eastAsia="宋体" w:cs="宋体"/>
          <w:color w:val="000000"/>
          <w:sz w:val="24"/>
          <w:szCs w:val="24"/>
          <w:highlight w:val="none"/>
        </w:rPr>
        <w:t>本项目的特定资格要求：</w:t>
      </w:r>
      <w:bookmarkStart w:id="37" w:name="OLE_LINK11"/>
      <w:r>
        <w:rPr>
          <w:rFonts w:hint="eastAsia" w:ascii="宋体" w:hAnsi="宋体" w:eastAsia="宋体" w:cs="宋体"/>
          <w:color w:val="000000"/>
          <w:sz w:val="24"/>
          <w:szCs w:val="24"/>
          <w:highlight w:val="none"/>
        </w:rPr>
        <w:t>投标人具有电子与智能化工程专业承包资质二级及以上资质</w:t>
      </w:r>
      <w:bookmarkEnd w:id="37"/>
      <w:r>
        <w:rPr>
          <w:rFonts w:hint="eastAsia" w:ascii="宋体" w:hAnsi="宋体" w:eastAsia="宋体" w:cs="宋体"/>
          <w:color w:val="000000"/>
          <w:sz w:val="24"/>
          <w:szCs w:val="24"/>
          <w:highlight w:val="none"/>
        </w:rPr>
        <w:t>，并取得有效的安全生产许可证。</w:t>
      </w:r>
      <w:bookmarkEnd w:id="36"/>
    </w:p>
    <w:p w14:paraId="21B94802">
      <w:pPr>
        <w:pStyle w:val="43"/>
        <w:spacing w:before="0" w:after="0" w:line="480" w:lineRule="exact"/>
        <w:ind w:firstLine="482"/>
        <w:rPr>
          <w:rFonts w:hint="eastAsia" w:ascii="宋体" w:hAnsi="宋体" w:eastAsia="宋体" w:cs="宋体"/>
          <w:bCs/>
          <w:color w:val="000000"/>
          <w:sz w:val="24"/>
          <w:szCs w:val="24"/>
          <w:highlight w:val="none"/>
        </w:rPr>
      </w:pPr>
      <w:bookmarkStart w:id="38" w:name="_Toc22204"/>
      <w:r>
        <w:rPr>
          <w:rFonts w:hint="eastAsia" w:ascii="宋体" w:hAnsi="宋体" w:eastAsia="宋体" w:cs="宋体"/>
          <w:bCs/>
          <w:color w:val="000000"/>
          <w:sz w:val="24"/>
          <w:szCs w:val="24"/>
          <w:highlight w:val="none"/>
        </w:rPr>
        <w:t>三、获取招标文件</w:t>
      </w:r>
      <w:bookmarkEnd w:id="28"/>
      <w:bookmarkEnd w:id="29"/>
      <w:bookmarkEnd w:id="30"/>
      <w:bookmarkEnd w:id="31"/>
      <w:bookmarkEnd w:id="32"/>
      <w:bookmarkEnd w:id="38"/>
    </w:p>
    <w:p w14:paraId="283A06FF">
      <w:pPr>
        <w:spacing w:line="480" w:lineRule="exact"/>
        <w:ind w:firstLine="480"/>
        <w:rPr>
          <w:rFonts w:hint="eastAsia" w:ascii="宋体" w:hAnsi="宋体" w:eastAsia="宋体" w:cs="宋体"/>
          <w:color w:val="000000"/>
          <w:sz w:val="24"/>
          <w:szCs w:val="24"/>
          <w:highlight w:val="none"/>
        </w:rPr>
      </w:pPr>
      <w:bookmarkStart w:id="39" w:name="_Toc28359082"/>
      <w:bookmarkStart w:id="40" w:name="_Toc28359005"/>
      <w:bookmarkStart w:id="41" w:name="_Toc35393793"/>
      <w:bookmarkStart w:id="42" w:name="_Toc38985266"/>
      <w:bookmarkStart w:id="43" w:name="_Toc35393624"/>
      <w:r>
        <w:rPr>
          <w:rFonts w:hint="eastAsia" w:ascii="宋体" w:hAnsi="宋体" w:eastAsia="宋体" w:cs="宋体"/>
          <w:color w:val="000000"/>
          <w:sz w:val="24"/>
          <w:szCs w:val="24"/>
          <w:highlight w:val="none"/>
        </w:rPr>
        <w:t>1.时间：招标公告发布之日起5个工作</w:t>
      </w:r>
      <w:r>
        <w:rPr>
          <w:rFonts w:hint="eastAsia" w:ascii="宋体" w:hAnsi="宋体" w:cs="宋体"/>
          <w:color w:val="000000"/>
          <w:sz w:val="24"/>
          <w:szCs w:val="24"/>
          <w:highlight w:val="none"/>
          <w:lang w:eastAsia="zh-CN"/>
        </w:rPr>
        <w:t>日内</w:t>
      </w:r>
      <w:r>
        <w:rPr>
          <w:rFonts w:hint="eastAsia" w:ascii="宋体" w:hAnsi="宋体" w:eastAsia="宋体" w:cs="宋体"/>
          <w:color w:val="000000"/>
          <w:sz w:val="24"/>
          <w:szCs w:val="24"/>
          <w:highlight w:val="none"/>
        </w:rPr>
        <w:t>。</w:t>
      </w:r>
    </w:p>
    <w:p w14:paraId="4372A6D6">
      <w:pPr>
        <w:spacing w:line="48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2.方式：投标人应在招标文件提供的时间内，通过“苏采云”系统（网址： http://jszfcg.jsczt.cn/），使用CA锁登录系统后，找到本项目获取招标文件（后缀名为</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kedt”）。</w:t>
      </w:r>
    </w:p>
    <w:p w14:paraId="662DD233">
      <w:pPr>
        <w:spacing w:line="480" w:lineRule="exact"/>
        <w:ind w:firstLine="480"/>
        <w:rPr>
          <w:rFonts w:hint="eastAsia" w:ascii="宋体" w:hAnsi="宋体" w:eastAsia="宋体" w:cs="宋体"/>
          <w:color w:val="000000"/>
          <w:sz w:val="24"/>
          <w:szCs w:val="24"/>
          <w:highlight w:val="none"/>
        </w:rPr>
      </w:pPr>
      <w:bookmarkStart w:id="44" w:name="EB0c44ff4da61f4af989d119fe214be450"/>
      <w:r>
        <w:rPr>
          <w:rFonts w:hint="eastAsia" w:ascii="宋体" w:hAnsi="宋体" w:eastAsia="宋体" w:cs="宋体"/>
          <w:color w:val="000000"/>
          <w:sz w:val="24"/>
          <w:szCs w:val="24"/>
          <w:highlight w:val="none"/>
        </w:rPr>
        <w:t>3.本项目共分</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个采购包。投标人参与多个采购包投标的，应按采购包分别获取招标文件。投标人未按要求获取招标文件，后果自负（其投标文件不予接受）。</w:t>
      </w:r>
      <w:bookmarkEnd w:id="44"/>
    </w:p>
    <w:p w14:paraId="6232F3CE">
      <w:pPr>
        <w:pStyle w:val="43"/>
        <w:spacing w:before="0" w:after="0" w:line="480" w:lineRule="exact"/>
        <w:ind w:firstLine="482"/>
        <w:rPr>
          <w:rFonts w:hint="eastAsia" w:ascii="宋体" w:hAnsi="宋体" w:eastAsia="宋体" w:cs="宋体"/>
          <w:bCs/>
          <w:color w:val="000000"/>
          <w:sz w:val="24"/>
          <w:szCs w:val="24"/>
          <w:highlight w:val="none"/>
        </w:rPr>
      </w:pPr>
      <w:bookmarkStart w:id="45" w:name="_Toc19148"/>
      <w:r>
        <w:rPr>
          <w:rFonts w:hint="eastAsia" w:ascii="宋体" w:hAnsi="宋体" w:eastAsia="宋体" w:cs="宋体"/>
          <w:bCs/>
          <w:color w:val="000000"/>
          <w:sz w:val="24"/>
          <w:szCs w:val="24"/>
          <w:highlight w:val="none"/>
        </w:rPr>
        <w:t>四、提交投标文件</w:t>
      </w:r>
      <w:bookmarkEnd w:id="39"/>
      <w:bookmarkEnd w:id="40"/>
      <w:r>
        <w:rPr>
          <w:rFonts w:hint="eastAsia" w:ascii="宋体" w:hAnsi="宋体" w:eastAsia="宋体" w:cs="宋体"/>
          <w:bCs/>
          <w:color w:val="000000"/>
          <w:sz w:val="24"/>
          <w:szCs w:val="24"/>
          <w:highlight w:val="none"/>
        </w:rPr>
        <w:t>截止时间、开标时间和地点</w:t>
      </w:r>
      <w:bookmarkEnd w:id="41"/>
      <w:bookmarkEnd w:id="42"/>
      <w:bookmarkEnd w:id="43"/>
      <w:bookmarkEnd w:id="45"/>
    </w:p>
    <w:p w14:paraId="70163F37">
      <w:pPr>
        <w:spacing w:line="48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1.提交投标文件截止时间、开标时间：202</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年</w:t>
      </w:r>
      <w:r>
        <w:rPr>
          <w:rFonts w:hint="eastAsia" w:ascii="宋体" w:hAnsi="宋体" w:cs="宋体"/>
          <w:color w:val="000000"/>
          <w:sz w:val="24"/>
          <w:szCs w:val="24"/>
          <w:highlight w:val="none"/>
          <w:lang w:val="en-US" w:eastAsia="zh-CN"/>
        </w:rPr>
        <w:t>07</w:t>
      </w:r>
      <w:r>
        <w:rPr>
          <w:rFonts w:hint="eastAsia" w:ascii="宋体" w:hAnsi="宋体" w:eastAsia="宋体" w:cs="宋体"/>
          <w:color w:val="000000"/>
          <w:sz w:val="24"/>
          <w:szCs w:val="24"/>
          <w:highlight w:val="none"/>
        </w:rPr>
        <w:t>月</w:t>
      </w:r>
      <w:r>
        <w:rPr>
          <w:rFonts w:hint="eastAsia" w:ascii="宋体" w:hAnsi="宋体" w:cs="宋体"/>
          <w:color w:val="000000"/>
          <w:sz w:val="24"/>
          <w:szCs w:val="24"/>
          <w:highlight w:val="none"/>
          <w:lang w:val="en-US" w:eastAsia="zh-CN"/>
        </w:rPr>
        <w:t>21</w:t>
      </w:r>
      <w:r>
        <w:rPr>
          <w:rFonts w:hint="eastAsia" w:ascii="宋体" w:hAnsi="宋体" w:eastAsia="宋体" w:cs="宋体"/>
          <w:color w:val="000000"/>
          <w:sz w:val="24"/>
          <w:szCs w:val="24"/>
          <w:highlight w:val="none"/>
        </w:rPr>
        <w:t>日</w:t>
      </w:r>
      <w:r>
        <w:rPr>
          <w:rFonts w:hint="eastAsia" w:ascii="宋体" w:hAnsi="宋体" w:cs="宋体"/>
          <w:color w:val="000000"/>
          <w:sz w:val="24"/>
          <w:szCs w:val="24"/>
          <w:highlight w:val="none"/>
          <w:lang w:val="en-US" w:eastAsia="zh-CN"/>
        </w:rPr>
        <w:t>9</w:t>
      </w:r>
      <w:r>
        <w:rPr>
          <w:rFonts w:hint="eastAsia" w:ascii="宋体" w:hAnsi="宋体" w:eastAsia="宋体" w:cs="宋体"/>
          <w:color w:val="000000"/>
          <w:sz w:val="24"/>
          <w:szCs w:val="24"/>
          <w:highlight w:val="none"/>
        </w:rPr>
        <w:t>点</w:t>
      </w:r>
      <w:r>
        <w:rPr>
          <w:rFonts w:hint="eastAsia" w:ascii="宋体" w:hAnsi="宋体" w:cs="宋体"/>
          <w:color w:val="000000"/>
          <w:sz w:val="24"/>
          <w:szCs w:val="24"/>
          <w:highlight w:val="none"/>
          <w:lang w:val="en-US" w:eastAsia="zh-CN"/>
        </w:rPr>
        <w:t>30</w:t>
      </w:r>
      <w:r>
        <w:rPr>
          <w:rFonts w:hint="eastAsia" w:ascii="宋体" w:hAnsi="宋体" w:eastAsia="宋体" w:cs="宋体"/>
          <w:color w:val="000000"/>
          <w:sz w:val="24"/>
          <w:szCs w:val="24"/>
          <w:highlight w:val="none"/>
        </w:rPr>
        <w:t>分（北京时间）</w:t>
      </w:r>
    </w:p>
    <w:p w14:paraId="3901712B">
      <w:pPr>
        <w:spacing w:line="48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2.地点：“苏采云”政府采购交易系统网上开标大厅。</w:t>
      </w:r>
    </w:p>
    <w:p w14:paraId="71C3F7EA">
      <w:pPr>
        <w:pStyle w:val="43"/>
        <w:spacing w:before="0" w:after="0" w:line="480" w:lineRule="exact"/>
        <w:ind w:firstLine="482"/>
        <w:rPr>
          <w:rFonts w:hint="eastAsia" w:ascii="宋体" w:hAnsi="宋体" w:eastAsia="宋体" w:cs="宋体"/>
          <w:bCs/>
          <w:color w:val="000000"/>
          <w:sz w:val="24"/>
          <w:szCs w:val="24"/>
          <w:highlight w:val="none"/>
        </w:rPr>
      </w:pPr>
      <w:bookmarkStart w:id="46" w:name="_Toc38985267"/>
      <w:bookmarkStart w:id="47" w:name="_Toc35393625"/>
      <w:bookmarkStart w:id="48" w:name="_Toc24820"/>
      <w:bookmarkStart w:id="49" w:name="_Toc28359007"/>
      <w:bookmarkStart w:id="50" w:name="_Toc35393794"/>
      <w:bookmarkStart w:id="51" w:name="_Toc28359084"/>
      <w:r>
        <w:rPr>
          <w:rFonts w:hint="eastAsia" w:ascii="宋体" w:hAnsi="宋体" w:eastAsia="宋体" w:cs="宋体"/>
          <w:bCs/>
          <w:color w:val="000000"/>
          <w:sz w:val="24"/>
          <w:szCs w:val="24"/>
          <w:highlight w:val="none"/>
        </w:rPr>
        <w:t>五、公告期限</w:t>
      </w:r>
      <w:bookmarkEnd w:id="46"/>
      <w:bookmarkEnd w:id="47"/>
      <w:bookmarkEnd w:id="48"/>
      <w:bookmarkEnd w:id="49"/>
      <w:bookmarkEnd w:id="50"/>
      <w:bookmarkEnd w:id="51"/>
    </w:p>
    <w:p w14:paraId="183ED3F6">
      <w:pPr>
        <w:spacing w:line="480" w:lineRule="exact"/>
        <w:ind w:firstLine="480"/>
        <w:rPr>
          <w:rFonts w:hint="eastAsia" w:ascii="宋体" w:hAnsi="宋体" w:eastAsia="宋体" w:cs="宋体"/>
          <w:color w:val="000000"/>
          <w:sz w:val="24"/>
          <w:szCs w:val="24"/>
          <w:highlight w:val="none"/>
        </w:rPr>
      </w:pPr>
      <w:bookmarkStart w:id="52" w:name="_Toc35393626"/>
      <w:bookmarkStart w:id="53" w:name="_Toc35393795"/>
      <w:bookmarkStart w:id="54" w:name="_Toc38985268"/>
      <w:r>
        <w:rPr>
          <w:rFonts w:hint="eastAsia" w:ascii="宋体" w:hAnsi="宋体" w:eastAsia="宋体" w:cs="宋体"/>
          <w:color w:val="000000"/>
          <w:sz w:val="24"/>
          <w:szCs w:val="24"/>
          <w:highlight w:val="none"/>
        </w:rPr>
        <w:t>招标公告及招标文件公告期限为自本公告发布之日起5个工作日。</w:t>
      </w:r>
    </w:p>
    <w:p w14:paraId="133A2AA0">
      <w:pPr>
        <w:pStyle w:val="43"/>
        <w:spacing w:before="0" w:after="0" w:line="480" w:lineRule="exact"/>
        <w:ind w:firstLine="482"/>
        <w:rPr>
          <w:rFonts w:hint="eastAsia" w:ascii="宋体" w:hAnsi="宋体" w:eastAsia="宋体" w:cs="宋体"/>
          <w:bCs/>
          <w:color w:val="000000"/>
          <w:sz w:val="24"/>
          <w:szCs w:val="24"/>
          <w:highlight w:val="none"/>
        </w:rPr>
      </w:pPr>
      <w:bookmarkStart w:id="55" w:name="_Toc13415"/>
      <w:r>
        <w:rPr>
          <w:rFonts w:hint="eastAsia" w:ascii="宋体" w:hAnsi="宋体" w:eastAsia="宋体" w:cs="宋体"/>
          <w:bCs/>
          <w:color w:val="000000"/>
          <w:sz w:val="24"/>
          <w:szCs w:val="24"/>
          <w:highlight w:val="none"/>
        </w:rPr>
        <w:t>六、其他补充事宜</w:t>
      </w:r>
      <w:bookmarkEnd w:id="52"/>
      <w:bookmarkEnd w:id="53"/>
      <w:bookmarkEnd w:id="54"/>
      <w:bookmarkEnd w:id="55"/>
    </w:p>
    <w:p w14:paraId="38D46201">
      <w:pPr>
        <w:spacing w:line="480" w:lineRule="exact"/>
        <w:ind w:firstLine="480"/>
        <w:rPr>
          <w:rFonts w:hint="eastAsia" w:ascii="宋体" w:hAnsi="宋体" w:eastAsia="宋体" w:cs="宋体"/>
          <w:color w:val="000000"/>
          <w:sz w:val="24"/>
          <w:szCs w:val="24"/>
          <w:highlight w:val="none"/>
        </w:rPr>
      </w:pPr>
      <w:bookmarkStart w:id="56" w:name="EB64e1f522fd8c43fcb4d3ba471386b3e7"/>
      <w:bookmarkStart w:id="57" w:name="OLE_LINK48"/>
      <w:bookmarkStart w:id="58" w:name="_Toc28359008"/>
      <w:bookmarkStart w:id="59" w:name="_Toc35393796"/>
      <w:bookmarkStart w:id="60" w:name="_Toc35393627"/>
      <w:bookmarkStart w:id="61" w:name="_Toc38985269"/>
      <w:bookmarkStart w:id="62" w:name="_Toc28359085"/>
      <w:r>
        <w:rPr>
          <w:rFonts w:hint="eastAsia" w:ascii="宋体" w:hAnsi="宋体" w:eastAsia="宋体" w:cs="宋体"/>
          <w:color w:val="000000"/>
          <w:sz w:val="24"/>
          <w:szCs w:val="24"/>
          <w:highlight w:val="none"/>
        </w:rPr>
        <w:t>1.招标公告发布媒体：</w:t>
      </w:r>
      <w:bookmarkStart w:id="63" w:name="OLE_LINK3"/>
      <w:r>
        <w:rPr>
          <w:rFonts w:hint="eastAsia" w:ascii="宋体" w:hAnsi="宋体" w:eastAsia="宋体" w:cs="宋体"/>
          <w:color w:val="000000"/>
          <w:sz w:val="24"/>
          <w:szCs w:val="24"/>
          <w:highlight w:val="none"/>
        </w:rPr>
        <w:t>江苏政府采购网</w:t>
      </w:r>
      <w:bookmarkEnd w:id="63"/>
      <w:r>
        <w:rPr>
          <w:rFonts w:hint="eastAsia" w:ascii="宋体" w:hAnsi="宋体" w:eastAsia="宋体" w:cs="宋体"/>
          <w:color w:val="000000"/>
          <w:sz w:val="24"/>
          <w:szCs w:val="24"/>
          <w:highlight w:val="none"/>
        </w:rPr>
        <w:t>、宿迁市政府采购网等。</w:t>
      </w:r>
    </w:p>
    <w:p w14:paraId="73FAD512">
      <w:pPr>
        <w:spacing w:line="48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2.“CA”数字证书办理：“苏采云”系统目前仅支持“苏采云”系统下的意源CA。省内各地区办理的“苏采云”系统下的意源CA全省通用。宿迁地区CA数字证书办理联系方式：</w:t>
      </w:r>
      <w:r>
        <w:rPr>
          <w:rFonts w:hint="eastAsia" w:ascii="宋体" w:hAnsi="宋体" w:cs="宋体"/>
          <w:color w:val="000000"/>
          <w:sz w:val="24"/>
          <w:szCs w:val="24"/>
          <w:highlight w:val="none"/>
          <w:lang w:val="en-US" w:eastAsia="zh-CN"/>
        </w:rPr>
        <w:t>15115607509</w:t>
      </w:r>
      <w:r>
        <w:rPr>
          <w:rFonts w:hint="eastAsia" w:ascii="宋体" w:hAnsi="宋体" w:eastAsia="宋体" w:cs="宋体"/>
          <w:color w:val="000000"/>
          <w:sz w:val="24"/>
          <w:szCs w:val="24"/>
          <w:highlight w:val="none"/>
        </w:rPr>
        <w:t>。</w:t>
      </w:r>
    </w:p>
    <w:p w14:paraId="02DED733">
      <w:pPr>
        <w:spacing w:line="48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3.宿迁地区“苏采云”系统技术支持客服电话：0527-84363067、0519-86722806。</w:t>
      </w:r>
      <w:bookmarkEnd w:id="56"/>
    </w:p>
    <w:p w14:paraId="780AD7A8">
      <w:pPr>
        <w:spacing w:line="480" w:lineRule="exact"/>
        <w:ind w:firstLine="480"/>
        <w:rPr>
          <w:rFonts w:hint="eastAsia" w:ascii="宋体" w:hAnsi="宋体" w:eastAsia="宋体" w:cs="宋体"/>
          <w:color w:val="000000"/>
          <w:sz w:val="24"/>
          <w:szCs w:val="24"/>
          <w:highlight w:val="none"/>
        </w:rPr>
      </w:pPr>
      <w:bookmarkStart w:id="64" w:name="_Toc29049"/>
      <w:r>
        <w:rPr>
          <w:rFonts w:hint="eastAsia" w:ascii="宋体" w:hAnsi="宋体" w:eastAsia="宋体" w:cs="宋体"/>
          <w:color w:val="000000"/>
          <w:sz w:val="24"/>
          <w:szCs w:val="24"/>
          <w:highlight w:val="none"/>
        </w:rPr>
        <w:t>4.质疑渠道：投标人登录“苏采云”系统“项目质疑申请”模块向采购人提出，质疑处理联系方式详见“采购人信息”；财政部门投诉受理电话：0527-83559270。</w:t>
      </w:r>
    </w:p>
    <w:p w14:paraId="1168A34B">
      <w:pPr>
        <w:spacing w:line="480" w:lineRule="exact"/>
        <w:ind w:firstLine="48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5.现场勘察及答疑：本项目不组织集中勘察及答疑，投标人如对采购需求有疑问，请咨询采购单位联系人。</w:t>
      </w:r>
      <w:bookmarkEnd w:id="57"/>
      <w:r>
        <w:rPr>
          <w:rFonts w:hint="eastAsia" w:ascii="宋体" w:hAnsi="宋体" w:eastAsia="宋体" w:cs="宋体"/>
          <w:color w:val="000000"/>
          <w:sz w:val="24"/>
          <w:szCs w:val="24"/>
          <w:highlight w:val="none"/>
          <w:lang w:val="en-US" w:eastAsia="zh-CN"/>
        </w:rPr>
        <w:t xml:space="preserve"> </w:t>
      </w:r>
    </w:p>
    <w:p w14:paraId="19843F2E">
      <w:pPr>
        <w:pStyle w:val="43"/>
        <w:spacing w:before="0" w:after="0" w:line="48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七、本次招标联系方式</w:t>
      </w:r>
      <w:bookmarkEnd w:id="58"/>
      <w:bookmarkEnd w:id="59"/>
      <w:bookmarkEnd w:id="60"/>
      <w:bookmarkEnd w:id="61"/>
      <w:bookmarkEnd w:id="62"/>
      <w:bookmarkEnd w:id="64"/>
    </w:p>
    <w:p w14:paraId="63EF5C8B">
      <w:pPr>
        <w:keepNext w:val="0"/>
        <w:keepLines w:val="0"/>
        <w:pageBreakBefore w:val="0"/>
        <w:widowControl/>
        <w:spacing w:line="520" w:lineRule="exact"/>
        <w:ind w:left="210" w:firstLine="480"/>
        <w:jc w:val="both"/>
        <w:rPr>
          <w:rFonts w:hint="eastAsia" w:ascii="宋体" w:hAnsi="宋体" w:eastAsia="宋体" w:cs="宋体"/>
          <w:caps w:val="0"/>
          <w:color w:val="000000"/>
          <w:sz w:val="24"/>
          <w:szCs w:val="24"/>
          <w:highlight w:val="none"/>
        </w:rPr>
      </w:pPr>
      <w:r>
        <w:rPr>
          <w:rFonts w:hint="eastAsia" w:ascii="宋体" w:hAnsi="宋体" w:eastAsia="宋体" w:cs="宋体"/>
          <w:caps w:val="0"/>
          <w:color w:val="000000"/>
          <w:sz w:val="24"/>
          <w:szCs w:val="24"/>
          <w:highlight w:val="none"/>
        </w:rPr>
        <w:t>1.采购人信息</w:t>
      </w:r>
    </w:p>
    <w:p w14:paraId="3C88B8DD">
      <w:pPr>
        <w:keepNext w:val="0"/>
        <w:keepLines w:val="0"/>
        <w:pageBreakBefore w:val="0"/>
        <w:spacing w:line="520" w:lineRule="exact"/>
        <w:ind w:left="210" w:firstLine="480"/>
        <w:jc w:val="both"/>
        <w:rPr>
          <w:rFonts w:hint="eastAsia" w:ascii="宋体" w:hAnsi="宋体" w:eastAsia="宋体" w:cs="宋体"/>
          <w:caps w:val="0"/>
          <w:color w:val="000000"/>
          <w:sz w:val="24"/>
          <w:szCs w:val="24"/>
          <w:highlight w:val="none"/>
        </w:rPr>
      </w:pPr>
      <w:r>
        <w:rPr>
          <w:rFonts w:hint="eastAsia" w:ascii="宋体" w:hAnsi="宋体" w:eastAsia="宋体" w:cs="宋体"/>
          <w:caps w:val="0"/>
          <w:color w:val="000000"/>
          <w:sz w:val="24"/>
          <w:szCs w:val="24"/>
          <w:highlight w:val="none"/>
        </w:rPr>
        <w:t>名 称：</w:t>
      </w:r>
      <w:r>
        <w:rPr>
          <w:rFonts w:hint="eastAsia" w:ascii="宋体" w:hAnsi="宋体" w:cs="宋体"/>
          <w:caps w:val="0"/>
          <w:color w:val="000000"/>
          <w:sz w:val="24"/>
          <w:szCs w:val="24"/>
          <w:highlight w:val="none"/>
          <w:u w:val="single"/>
          <w:lang w:eastAsia="zh-CN"/>
        </w:rPr>
        <w:t>沭阳县高墟镇人民政府</w:t>
      </w:r>
      <w:r>
        <w:rPr>
          <w:rFonts w:hint="eastAsia" w:ascii="宋体" w:hAnsi="宋体" w:eastAsia="宋体" w:cs="宋体"/>
          <w:caps w:val="0"/>
          <w:color w:val="000000"/>
          <w:sz w:val="24"/>
          <w:szCs w:val="24"/>
          <w:highlight w:val="none"/>
          <w:u w:val="single"/>
        </w:rPr>
        <w:t>　　</w:t>
      </w:r>
      <w:r>
        <w:rPr>
          <w:rFonts w:hint="eastAsia" w:ascii="宋体" w:hAnsi="宋体" w:eastAsia="宋体" w:cs="宋体"/>
          <w:caps w:val="0"/>
          <w:color w:val="000000"/>
          <w:sz w:val="24"/>
          <w:szCs w:val="24"/>
          <w:highlight w:val="none"/>
          <w:u w:val="single"/>
          <w:lang w:val="en-US" w:eastAsia="zh-CN"/>
        </w:rPr>
        <w:t xml:space="preserve">      </w:t>
      </w:r>
    </w:p>
    <w:p w14:paraId="77154407">
      <w:pPr>
        <w:keepNext w:val="0"/>
        <w:keepLines w:val="0"/>
        <w:pageBreakBefore w:val="0"/>
        <w:spacing w:line="520" w:lineRule="exact"/>
        <w:ind w:left="210" w:firstLine="480"/>
        <w:jc w:val="both"/>
        <w:rPr>
          <w:rFonts w:hint="eastAsia" w:ascii="宋体" w:hAnsi="宋体" w:eastAsia="宋体" w:cs="宋体"/>
          <w:caps w:val="0"/>
          <w:color w:val="000000"/>
          <w:sz w:val="24"/>
          <w:szCs w:val="24"/>
          <w:highlight w:val="none"/>
          <w:lang w:val="en-US" w:eastAsia="zh-CN"/>
        </w:rPr>
      </w:pPr>
      <w:r>
        <w:rPr>
          <w:rFonts w:hint="eastAsia" w:ascii="宋体" w:hAnsi="宋体" w:eastAsia="宋体" w:cs="宋体"/>
          <w:caps w:val="0"/>
          <w:color w:val="000000"/>
          <w:sz w:val="24"/>
          <w:szCs w:val="24"/>
          <w:highlight w:val="none"/>
        </w:rPr>
        <w:t>地址：</w:t>
      </w:r>
      <w:r>
        <w:rPr>
          <w:rFonts w:hint="eastAsia" w:ascii="宋体" w:hAnsi="宋体" w:eastAsia="宋体" w:cs="宋体"/>
          <w:caps w:val="0"/>
          <w:color w:val="000000"/>
          <w:sz w:val="24"/>
          <w:szCs w:val="24"/>
          <w:highlight w:val="none"/>
          <w:u w:val="single"/>
        </w:rPr>
        <w:t>沭阳县</w:t>
      </w:r>
      <w:r>
        <w:rPr>
          <w:rFonts w:hint="eastAsia" w:ascii="宋体" w:hAnsi="宋体" w:cs="宋体"/>
          <w:caps w:val="0"/>
          <w:color w:val="000000"/>
          <w:sz w:val="24"/>
          <w:szCs w:val="24"/>
          <w:highlight w:val="none"/>
          <w:u w:val="single"/>
          <w:lang w:val="en-US" w:eastAsia="zh-CN"/>
        </w:rPr>
        <w:t>高墟</w:t>
      </w:r>
      <w:r>
        <w:rPr>
          <w:rFonts w:hint="eastAsia" w:ascii="宋体" w:hAnsi="宋体" w:cs="宋体"/>
          <w:caps w:val="0"/>
          <w:color w:val="000000"/>
          <w:sz w:val="24"/>
          <w:szCs w:val="24"/>
          <w:highlight w:val="none"/>
          <w:u w:val="single"/>
          <w:lang w:eastAsia="zh-CN"/>
        </w:rPr>
        <w:t>镇</w:t>
      </w:r>
      <w:r>
        <w:rPr>
          <w:rFonts w:hint="eastAsia" w:ascii="宋体" w:hAnsi="宋体" w:eastAsia="宋体" w:cs="宋体"/>
          <w:caps w:val="0"/>
          <w:color w:val="000000"/>
          <w:sz w:val="24"/>
          <w:szCs w:val="24"/>
          <w:highlight w:val="none"/>
          <w:u w:val="single"/>
          <w:lang w:val="en-US" w:eastAsia="zh-CN"/>
        </w:rPr>
        <w:t xml:space="preserve">                   </w:t>
      </w:r>
    </w:p>
    <w:p w14:paraId="14AEA27B">
      <w:pPr>
        <w:keepNext w:val="0"/>
        <w:keepLines w:val="0"/>
        <w:pageBreakBefore w:val="0"/>
        <w:spacing w:line="520" w:lineRule="exact"/>
        <w:ind w:left="210" w:firstLine="480"/>
        <w:jc w:val="both"/>
        <w:rPr>
          <w:rFonts w:hint="eastAsia" w:ascii="宋体" w:hAnsi="宋体" w:eastAsia="宋体" w:cs="宋体"/>
          <w:caps w:val="0"/>
          <w:color w:val="000000"/>
          <w:sz w:val="24"/>
          <w:szCs w:val="24"/>
          <w:highlight w:val="none"/>
        </w:rPr>
      </w:pPr>
      <w:r>
        <w:rPr>
          <w:rFonts w:hint="eastAsia" w:ascii="宋体" w:hAnsi="宋体" w:eastAsia="宋体" w:cs="宋体"/>
          <w:caps w:val="0"/>
          <w:color w:val="000000"/>
          <w:sz w:val="24"/>
          <w:szCs w:val="24"/>
          <w:highlight w:val="none"/>
        </w:rPr>
        <w:t>联系人：</w:t>
      </w:r>
      <w:bookmarkStart w:id="65" w:name="OLE_LINK21"/>
      <w:r>
        <w:rPr>
          <w:rFonts w:hint="eastAsia" w:ascii="宋体" w:hAnsi="宋体" w:eastAsia="宋体" w:cs="宋体"/>
          <w:caps w:val="0"/>
          <w:color w:val="000000"/>
          <w:sz w:val="24"/>
          <w:szCs w:val="24"/>
          <w:highlight w:val="none"/>
          <w:u w:val="single"/>
          <w:lang w:eastAsia="zh-CN"/>
        </w:rPr>
        <w:t>王学昌</w:t>
      </w:r>
      <w:bookmarkEnd w:id="65"/>
      <w:r>
        <w:rPr>
          <w:rFonts w:hint="eastAsia" w:ascii="宋体" w:hAnsi="宋体" w:eastAsia="宋体" w:cs="宋体"/>
          <w:caps w:val="0"/>
          <w:color w:val="000000"/>
          <w:sz w:val="24"/>
          <w:szCs w:val="24"/>
          <w:highlight w:val="none"/>
          <w:u w:val="single"/>
        </w:rPr>
        <w:t xml:space="preserve">              </w:t>
      </w:r>
      <w:r>
        <w:rPr>
          <w:rFonts w:hint="eastAsia" w:ascii="宋体" w:hAnsi="宋体" w:eastAsia="宋体" w:cs="宋体"/>
          <w:caps w:val="0"/>
          <w:color w:val="000000"/>
          <w:sz w:val="24"/>
          <w:szCs w:val="24"/>
          <w:highlight w:val="none"/>
          <w:u w:val="single"/>
          <w:lang w:val="en-US" w:eastAsia="zh-CN"/>
        </w:rPr>
        <w:t xml:space="preserve"> </w:t>
      </w:r>
      <w:r>
        <w:rPr>
          <w:rFonts w:hint="eastAsia" w:ascii="宋体" w:hAnsi="宋体" w:eastAsia="宋体" w:cs="宋体"/>
          <w:caps w:val="0"/>
          <w:color w:val="000000"/>
          <w:sz w:val="24"/>
          <w:szCs w:val="24"/>
          <w:highlight w:val="none"/>
          <w:u w:val="single"/>
        </w:rPr>
        <w:t xml:space="preserve">  </w:t>
      </w:r>
      <w:r>
        <w:rPr>
          <w:rFonts w:hint="eastAsia" w:ascii="宋体" w:hAnsi="宋体" w:eastAsia="宋体" w:cs="宋体"/>
          <w:caps w:val="0"/>
          <w:color w:val="000000"/>
          <w:sz w:val="24"/>
          <w:szCs w:val="24"/>
          <w:highlight w:val="none"/>
          <w:u w:val="single"/>
          <w:lang w:val="en-US" w:eastAsia="zh-CN"/>
        </w:rPr>
        <w:t xml:space="preserve">    </w:t>
      </w:r>
      <w:r>
        <w:rPr>
          <w:rFonts w:hint="eastAsia" w:ascii="宋体" w:hAnsi="宋体" w:eastAsia="宋体" w:cs="宋体"/>
          <w:caps w:val="0"/>
          <w:color w:val="000000"/>
          <w:sz w:val="24"/>
          <w:szCs w:val="24"/>
          <w:highlight w:val="none"/>
          <w:u w:val="single"/>
        </w:rPr>
        <w:t xml:space="preserve">  </w:t>
      </w:r>
    </w:p>
    <w:p w14:paraId="00208739">
      <w:pPr>
        <w:keepNext w:val="0"/>
        <w:keepLines w:val="0"/>
        <w:pageBreakBefore w:val="0"/>
        <w:spacing w:line="520" w:lineRule="exact"/>
        <w:ind w:left="210" w:firstLine="480"/>
        <w:jc w:val="both"/>
        <w:rPr>
          <w:rFonts w:hint="eastAsia" w:ascii="宋体" w:hAnsi="宋体" w:eastAsia="宋体" w:cs="宋体"/>
          <w:caps w:val="0"/>
          <w:color w:val="000000"/>
          <w:sz w:val="24"/>
          <w:szCs w:val="24"/>
          <w:highlight w:val="none"/>
          <w:u w:val="single"/>
        </w:rPr>
      </w:pPr>
      <w:r>
        <w:rPr>
          <w:rFonts w:hint="eastAsia" w:ascii="宋体" w:hAnsi="宋体" w:eastAsia="宋体" w:cs="宋体"/>
          <w:caps w:val="0"/>
          <w:color w:val="000000"/>
          <w:sz w:val="24"/>
          <w:szCs w:val="24"/>
          <w:highlight w:val="none"/>
        </w:rPr>
        <w:t>联系方式：</w:t>
      </w:r>
      <w:bookmarkStart w:id="66" w:name="OLE_LINK22"/>
      <w:r>
        <w:rPr>
          <w:rFonts w:hint="eastAsia" w:ascii="宋体" w:hAnsi="宋体" w:eastAsia="宋体" w:cs="宋体"/>
          <w:caps w:val="0"/>
          <w:color w:val="000000"/>
          <w:sz w:val="24"/>
          <w:szCs w:val="24"/>
          <w:highlight w:val="none"/>
          <w:u w:val="single"/>
          <w:lang w:val="en-US" w:eastAsia="zh-CN"/>
        </w:rPr>
        <w:t>18800616362</w:t>
      </w:r>
      <w:bookmarkEnd w:id="66"/>
      <w:r>
        <w:rPr>
          <w:rFonts w:hint="eastAsia" w:ascii="宋体" w:hAnsi="宋体" w:eastAsia="宋体" w:cs="宋体"/>
          <w:caps w:val="0"/>
          <w:color w:val="000000"/>
          <w:sz w:val="24"/>
          <w:szCs w:val="24"/>
          <w:highlight w:val="none"/>
          <w:u w:val="single"/>
          <w:lang w:val="en-US" w:eastAsia="zh-CN"/>
        </w:rPr>
        <w:t xml:space="preserve">              </w:t>
      </w:r>
      <w:r>
        <w:rPr>
          <w:rFonts w:hint="eastAsia" w:ascii="宋体" w:hAnsi="宋体" w:eastAsia="宋体" w:cs="宋体"/>
          <w:caps w:val="0"/>
          <w:color w:val="000000"/>
          <w:sz w:val="24"/>
          <w:szCs w:val="24"/>
          <w:highlight w:val="none"/>
          <w:u w:val="single"/>
        </w:rPr>
        <w:t>　</w:t>
      </w:r>
      <w:bookmarkStart w:id="67" w:name="_Toc28359086"/>
      <w:bookmarkStart w:id="68" w:name="_Toc28359009"/>
    </w:p>
    <w:p w14:paraId="46A0742D">
      <w:pPr>
        <w:keepNext w:val="0"/>
        <w:keepLines w:val="0"/>
        <w:pageBreakBefore w:val="0"/>
        <w:widowControl/>
        <w:spacing w:line="520" w:lineRule="exact"/>
        <w:ind w:left="210" w:firstLine="480"/>
        <w:jc w:val="both"/>
        <w:rPr>
          <w:rFonts w:hint="eastAsia" w:ascii="宋体" w:hAnsi="宋体" w:eastAsia="宋体" w:cs="宋体"/>
          <w:caps w:val="0"/>
          <w:color w:val="000000"/>
          <w:sz w:val="24"/>
          <w:szCs w:val="24"/>
          <w:highlight w:val="none"/>
        </w:rPr>
      </w:pPr>
      <w:r>
        <w:rPr>
          <w:rFonts w:hint="eastAsia" w:ascii="宋体" w:hAnsi="宋体" w:eastAsia="宋体" w:cs="宋体"/>
          <w:caps w:val="0"/>
          <w:color w:val="000000"/>
          <w:sz w:val="24"/>
          <w:szCs w:val="24"/>
          <w:highlight w:val="none"/>
        </w:rPr>
        <w:t>2.</w:t>
      </w:r>
      <w:bookmarkEnd w:id="67"/>
      <w:bookmarkEnd w:id="68"/>
      <w:r>
        <w:rPr>
          <w:rFonts w:hint="eastAsia" w:ascii="宋体" w:hAnsi="宋体" w:eastAsia="宋体" w:cs="宋体"/>
          <w:caps w:val="0"/>
          <w:color w:val="000000"/>
          <w:sz w:val="24"/>
          <w:szCs w:val="24"/>
          <w:highlight w:val="none"/>
        </w:rPr>
        <w:t>采购代理机构信息</w:t>
      </w:r>
    </w:p>
    <w:p w14:paraId="78FADACD">
      <w:pPr>
        <w:pageBreakBefore w:val="0"/>
        <w:spacing w:line="520" w:lineRule="exact"/>
        <w:ind w:left="210" w:firstLine="480"/>
        <w:jc w:val="both"/>
        <w:rPr>
          <w:rFonts w:hint="eastAsia" w:ascii="宋体" w:hAnsi="宋体" w:eastAsia="宋体" w:cs="宋体"/>
          <w:caps w:val="0"/>
          <w:color w:val="000000"/>
          <w:sz w:val="24"/>
          <w:szCs w:val="24"/>
          <w:highlight w:val="none"/>
        </w:rPr>
      </w:pPr>
      <w:r>
        <w:rPr>
          <w:rFonts w:hint="eastAsia" w:ascii="宋体" w:hAnsi="宋体" w:eastAsia="宋体" w:cs="宋体"/>
          <w:caps w:val="0"/>
          <w:color w:val="000000"/>
          <w:sz w:val="24"/>
          <w:szCs w:val="24"/>
          <w:highlight w:val="none"/>
        </w:rPr>
        <w:t>名 称：</w:t>
      </w:r>
      <w:r>
        <w:rPr>
          <w:rFonts w:hint="eastAsia" w:ascii="宋体" w:hAnsi="宋体" w:cs="宋体"/>
          <w:caps w:val="0"/>
          <w:color w:val="000000"/>
          <w:sz w:val="24"/>
          <w:szCs w:val="24"/>
          <w:highlight w:val="none"/>
          <w:u w:val="single"/>
          <w:lang w:eastAsia="zh-CN"/>
        </w:rPr>
        <w:t>江苏中堉项目管理咨询有限公司</w:t>
      </w:r>
      <w:r>
        <w:rPr>
          <w:rFonts w:hint="eastAsia" w:ascii="宋体" w:hAnsi="宋体" w:eastAsia="宋体" w:cs="宋体"/>
          <w:caps w:val="0"/>
          <w:color w:val="000000"/>
          <w:sz w:val="24"/>
          <w:szCs w:val="24"/>
          <w:highlight w:val="none"/>
          <w:u w:val="single"/>
          <w:lang w:val="en-US" w:eastAsia="zh-CN"/>
        </w:rPr>
        <w:t xml:space="preserve"> </w:t>
      </w:r>
    </w:p>
    <w:p w14:paraId="1BC107EA">
      <w:pPr>
        <w:keepNext w:val="0"/>
        <w:keepLines w:val="0"/>
        <w:pageBreakBefore w:val="0"/>
        <w:spacing w:line="520" w:lineRule="exact"/>
        <w:ind w:left="210" w:firstLine="480"/>
        <w:jc w:val="both"/>
        <w:rPr>
          <w:rFonts w:hint="default" w:ascii="宋体" w:hAnsi="宋体" w:eastAsia="宋体" w:cs="宋体"/>
          <w:caps w:val="0"/>
          <w:color w:val="000000"/>
          <w:sz w:val="24"/>
          <w:szCs w:val="24"/>
          <w:highlight w:val="none"/>
          <w:lang w:val="en-US" w:eastAsia="zh-CN"/>
        </w:rPr>
      </w:pPr>
      <w:r>
        <w:rPr>
          <w:rFonts w:hint="eastAsia" w:ascii="宋体" w:hAnsi="宋体" w:eastAsia="宋体" w:cs="宋体"/>
          <w:caps w:val="0"/>
          <w:color w:val="000000"/>
          <w:sz w:val="24"/>
          <w:szCs w:val="24"/>
          <w:highlight w:val="none"/>
        </w:rPr>
        <w:t>地　址：</w:t>
      </w:r>
      <w:r>
        <w:rPr>
          <w:rFonts w:hint="eastAsia" w:ascii="宋体" w:hAnsi="宋体" w:cs="宋体"/>
          <w:color w:val="000000"/>
          <w:sz w:val="24"/>
          <w:szCs w:val="24"/>
          <w:highlight w:val="none"/>
          <w:u w:val="single"/>
          <w:lang w:eastAsia="zh-CN"/>
        </w:rPr>
        <w:t>沭阳县金生金融大厦170A</w:t>
      </w:r>
      <w:r>
        <w:rPr>
          <w:rFonts w:hint="eastAsia" w:ascii="宋体" w:hAnsi="宋体" w:cs="宋体"/>
          <w:color w:val="000000"/>
          <w:sz w:val="24"/>
          <w:szCs w:val="24"/>
          <w:highlight w:val="none"/>
          <w:u w:val="single"/>
          <w:lang w:val="en-US" w:eastAsia="zh-CN"/>
        </w:rPr>
        <w:t xml:space="preserve">      </w:t>
      </w:r>
    </w:p>
    <w:p w14:paraId="45A76736">
      <w:pPr>
        <w:keepNext w:val="0"/>
        <w:keepLines w:val="0"/>
        <w:pageBreakBefore w:val="0"/>
        <w:spacing w:line="520" w:lineRule="exact"/>
        <w:ind w:left="210" w:firstLine="480"/>
        <w:jc w:val="both"/>
        <w:rPr>
          <w:rFonts w:hint="eastAsia" w:ascii="宋体" w:hAnsi="宋体" w:eastAsia="宋体" w:cs="宋体"/>
          <w:caps w:val="0"/>
          <w:color w:val="000000"/>
          <w:sz w:val="24"/>
          <w:szCs w:val="24"/>
          <w:highlight w:val="none"/>
        </w:rPr>
      </w:pPr>
      <w:r>
        <w:rPr>
          <w:rFonts w:hint="eastAsia" w:ascii="宋体" w:hAnsi="宋体" w:eastAsia="宋体" w:cs="宋体"/>
          <w:caps w:val="0"/>
          <w:color w:val="000000"/>
          <w:sz w:val="24"/>
          <w:szCs w:val="24"/>
          <w:highlight w:val="none"/>
        </w:rPr>
        <w:t>联系人：</w:t>
      </w:r>
      <w:r>
        <w:rPr>
          <w:rFonts w:hint="eastAsia" w:ascii="宋体" w:hAnsi="宋体" w:cs="宋体"/>
          <w:caps w:val="0"/>
          <w:color w:val="000000"/>
          <w:sz w:val="24"/>
          <w:szCs w:val="24"/>
          <w:highlight w:val="none"/>
          <w:u w:val="single"/>
          <w:lang w:eastAsia="zh-CN"/>
        </w:rPr>
        <w:t>赵敏</w:t>
      </w:r>
      <w:r>
        <w:rPr>
          <w:rFonts w:hint="eastAsia" w:ascii="宋体" w:hAnsi="宋体" w:eastAsia="宋体" w:cs="宋体"/>
          <w:caps w:val="0"/>
          <w:color w:val="000000"/>
          <w:sz w:val="24"/>
          <w:szCs w:val="24"/>
          <w:highlight w:val="none"/>
          <w:u w:val="single"/>
        </w:rPr>
        <w:t xml:space="preserve">                </w:t>
      </w:r>
      <w:r>
        <w:rPr>
          <w:rFonts w:hint="eastAsia" w:ascii="宋体" w:hAnsi="宋体" w:cs="宋体"/>
          <w:caps w:val="0"/>
          <w:color w:val="000000"/>
          <w:sz w:val="24"/>
          <w:szCs w:val="24"/>
          <w:highlight w:val="none"/>
          <w:u w:val="single"/>
          <w:lang w:val="en-US" w:eastAsia="zh-CN"/>
        </w:rPr>
        <w:t xml:space="preserve">      </w:t>
      </w:r>
      <w:r>
        <w:rPr>
          <w:rFonts w:hint="eastAsia" w:ascii="宋体" w:hAnsi="宋体" w:eastAsia="宋体" w:cs="宋体"/>
          <w:caps w:val="0"/>
          <w:color w:val="000000"/>
          <w:sz w:val="24"/>
          <w:szCs w:val="24"/>
          <w:highlight w:val="none"/>
          <w:u w:val="single"/>
        </w:rPr>
        <w:t xml:space="preserve">  </w:t>
      </w:r>
    </w:p>
    <w:p w14:paraId="2BBF611F">
      <w:pPr>
        <w:keepNext w:val="0"/>
        <w:keepLines w:val="0"/>
        <w:pageBreakBefore w:val="0"/>
        <w:spacing w:line="520" w:lineRule="exact"/>
        <w:ind w:left="210" w:firstLine="480"/>
        <w:jc w:val="both"/>
        <w:rPr>
          <w:rFonts w:hint="eastAsia" w:ascii="宋体" w:hAnsi="宋体" w:eastAsia="宋体" w:cs="宋体"/>
          <w:caps w:val="0"/>
          <w:color w:val="000000"/>
          <w:sz w:val="24"/>
          <w:szCs w:val="24"/>
          <w:highlight w:val="none"/>
        </w:rPr>
      </w:pPr>
      <w:r>
        <w:rPr>
          <w:rFonts w:hint="eastAsia" w:ascii="宋体" w:hAnsi="宋体" w:eastAsia="宋体" w:cs="宋体"/>
          <w:caps w:val="0"/>
          <w:color w:val="000000"/>
          <w:sz w:val="24"/>
          <w:szCs w:val="24"/>
          <w:highlight w:val="none"/>
        </w:rPr>
        <w:t>联系方式：</w:t>
      </w:r>
      <w:bookmarkStart w:id="69" w:name="_Toc28359010"/>
      <w:bookmarkStart w:id="70" w:name="_Toc28359087"/>
      <w:r>
        <w:rPr>
          <w:rFonts w:hint="eastAsia" w:ascii="宋体" w:hAnsi="宋体" w:cs="宋体"/>
          <w:caps w:val="0"/>
          <w:color w:val="000000"/>
          <w:sz w:val="24"/>
          <w:szCs w:val="24"/>
          <w:highlight w:val="none"/>
          <w:u w:val="single"/>
          <w:lang w:val="en-US" w:eastAsia="zh-CN"/>
        </w:rPr>
        <w:t>18000124097</w:t>
      </w:r>
      <w:r>
        <w:rPr>
          <w:rFonts w:hint="eastAsia" w:ascii="宋体" w:hAnsi="宋体" w:eastAsia="宋体" w:cs="宋体"/>
          <w:caps w:val="0"/>
          <w:color w:val="000000"/>
          <w:sz w:val="24"/>
          <w:szCs w:val="24"/>
          <w:highlight w:val="none"/>
          <w:u w:val="single"/>
        </w:rPr>
        <w:t>　</w:t>
      </w:r>
      <w:r>
        <w:rPr>
          <w:rFonts w:hint="eastAsia" w:ascii="宋体" w:hAnsi="宋体" w:eastAsia="宋体" w:cs="宋体"/>
          <w:caps w:val="0"/>
          <w:color w:val="000000"/>
          <w:sz w:val="24"/>
          <w:szCs w:val="24"/>
          <w:highlight w:val="none"/>
          <w:u w:val="single"/>
          <w:lang w:val="en-US" w:eastAsia="zh-CN"/>
        </w:rPr>
        <w:t xml:space="preserve">   </w:t>
      </w:r>
      <w:r>
        <w:rPr>
          <w:rFonts w:hint="eastAsia" w:ascii="宋体" w:hAnsi="宋体" w:cs="宋体"/>
          <w:caps w:val="0"/>
          <w:color w:val="000000"/>
          <w:sz w:val="24"/>
          <w:szCs w:val="24"/>
          <w:highlight w:val="none"/>
          <w:u w:val="single"/>
          <w:lang w:val="en-US" w:eastAsia="zh-CN"/>
        </w:rPr>
        <w:t xml:space="preserve">    </w:t>
      </w:r>
      <w:r>
        <w:rPr>
          <w:rFonts w:hint="eastAsia" w:ascii="宋体" w:hAnsi="宋体" w:eastAsia="宋体" w:cs="宋体"/>
          <w:caps w:val="0"/>
          <w:color w:val="000000"/>
          <w:sz w:val="24"/>
          <w:szCs w:val="24"/>
          <w:highlight w:val="none"/>
          <w:u w:val="single"/>
          <w:lang w:val="en-US" w:eastAsia="zh-CN"/>
        </w:rPr>
        <w:t xml:space="preserve"> </w:t>
      </w:r>
      <w:r>
        <w:rPr>
          <w:rFonts w:hint="eastAsia" w:ascii="宋体" w:hAnsi="宋体" w:eastAsia="宋体" w:cs="宋体"/>
          <w:caps w:val="0"/>
          <w:color w:val="000000"/>
          <w:sz w:val="24"/>
          <w:szCs w:val="24"/>
          <w:highlight w:val="none"/>
          <w:u w:val="single"/>
        </w:rPr>
        <w:t>　　　</w:t>
      </w:r>
      <w:bookmarkEnd w:id="69"/>
      <w:bookmarkEnd w:id="70"/>
    </w:p>
    <w:p w14:paraId="63480E9E">
      <w:pPr>
        <w:spacing w:line="480" w:lineRule="exact"/>
        <w:ind w:firstLine="480"/>
        <w:rPr>
          <w:rFonts w:hint="eastAsia" w:ascii="宋体" w:hAnsi="宋体"/>
          <w:color w:val="000000"/>
          <w:sz w:val="24"/>
          <w:szCs w:val="24"/>
          <w:highlight w:val="none"/>
          <w:u w:val="single"/>
        </w:rPr>
      </w:pPr>
    </w:p>
    <w:p w14:paraId="6866B44C">
      <w:pPr>
        <w:spacing w:line="480" w:lineRule="exact"/>
        <w:rPr>
          <w:rFonts w:ascii="仿宋_GB2312" w:eastAsia="宋体"/>
          <w:color w:val="000000"/>
          <w:sz w:val="24"/>
          <w:highlight w:val="none"/>
          <w:lang w:val="en-US" w:eastAsia="zh-CN"/>
        </w:rPr>
      </w:pPr>
    </w:p>
    <w:p w14:paraId="33A44154">
      <w:pPr>
        <w:spacing w:line="480" w:lineRule="exact"/>
        <w:ind w:firstLine="480"/>
        <w:rPr>
          <w:rFonts w:ascii="仿宋_GB2312" w:eastAsia="仿宋_GB2312"/>
          <w:color w:val="000000"/>
          <w:sz w:val="24"/>
          <w:highlight w:val="none"/>
        </w:rPr>
      </w:pPr>
    </w:p>
    <w:p w14:paraId="776ADCBF">
      <w:pPr>
        <w:spacing w:line="480" w:lineRule="exact"/>
        <w:ind w:firstLine="480"/>
        <w:jc w:val="center"/>
        <w:outlineLvl w:val="0"/>
        <w:rPr>
          <w:rFonts w:hint="eastAsia" w:eastAsia="黑体"/>
          <w:color w:val="000000"/>
          <w:sz w:val="44"/>
          <w:highlight w:val="none"/>
        </w:rPr>
      </w:pPr>
      <w:r>
        <w:rPr>
          <w:rFonts w:hint="eastAsia" w:ascii="仿宋_GB2312" w:eastAsia="仿宋_GB2312"/>
          <w:color w:val="000000"/>
          <w:sz w:val="24"/>
          <w:highlight w:val="none"/>
        </w:rPr>
        <w:br w:type="page" w:clear="all"/>
      </w:r>
      <w:bookmarkStart w:id="71" w:name="_Toc81575190"/>
      <w:bookmarkStart w:id="72" w:name="_Toc9425"/>
      <w:bookmarkStart w:id="73" w:name="_Toc15265"/>
      <w:bookmarkStart w:id="74" w:name="_Toc11687"/>
      <w:bookmarkStart w:id="75" w:name="_Toc81575153"/>
      <w:r>
        <w:rPr>
          <w:rFonts w:hint="eastAsia" w:eastAsia="黑体"/>
          <w:color w:val="000000"/>
          <w:sz w:val="44"/>
          <w:highlight w:val="none"/>
        </w:rPr>
        <w:t>第二章  投标人须知</w:t>
      </w:r>
      <w:bookmarkEnd w:id="71"/>
      <w:bookmarkEnd w:id="72"/>
      <w:bookmarkEnd w:id="73"/>
      <w:bookmarkEnd w:id="74"/>
      <w:bookmarkEnd w:id="75"/>
    </w:p>
    <w:p w14:paraId="7E3824FF">
      <w:pPr>
        <w:pStyle w:val="43"/>
        <w:spacing w:before="0" w:after="120" w:line="520" w:lineRule="exact"/>
        <w:rPr>
          <w:rFonts w:hint="eastAsia" w:eastAsia="宋体" w:cs="Arial"/>
          <w:bCs/>
          <w:color w:val="000000"/>
          <w:szCs w:val="22"/>
          <w:highlight w:val="none"/>
        </w:rPr>
      </w:pPr>
      <w:bookmarkStart w:id="76" w:name="_Toc4529"/>
      <w:r>
        <w:rPr>
          <w:rFonts w:hint="eastAsia" w:eastAsia="宋体" w:cs="Arial"/>
          <w:bCs/>
          <w:color w:val="000000"/>
          <w:szCs w:val="22"/>
          <w:highlight w:val="none"/>
        </w:rPr>
        <w:t>投标人须知前附表：</w:t>
      </w:r>
      <w:bookmarkEnd w:id="76"/>
    </w:p>
    <w:tbl>
      <w:tblPr>
        <w:tblStyle w:val="31"/>
        <w:tblpPr w:leftFromText="180" w:rightFromText="180" w:vertAnchor="text" w:horzAnchor="page" w:tblpX="1530" w:tblpY="228"/>
        <w:tblW w:w="920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8"/>
        <w:gridCol w:w="1772"/>
        <w:gridCol w:w="6579"/>
      </w:tblGrid>
      <w:tr w14:paraId="02390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858" w:type="dxa"/>
            <w:noWrap w:val="0"/>
            <w:vAlign w:val="center"/>
          </w:tcPr>
          <w:p w14:paraId="4C17B5D4">
            <w:pPr>
              <w:jc w:val="center"/>
              <w:rPr>
                <w:rFonts w:hint="eastAsia" w:ascii="仿宋_GB2312" w:hAnsi="仿宋"/>
                <w:b/>
                <w:color w:val="000000"/>
                <w:sz w:val="24"/>
                <w:szCs w:val="24"/>
                <w:highlight w:val="none"/>
              </w:rPr>
            </w:pPr>
            <w:bookmarkStart w:id="77" w:name="_Toc29262"/>
            <w:bookmarkStart w:id="78" w:name="_Toc81575154"/>
            <w:bookmarkStart w:id="79" w:name="_Toc81575191"/>
            <w:r>
              <w:rPr>
                <w:rFonts w:hint="eastAsia" w:ascii="仿宋_GB2312" w:hAnsi="仿宋"/>
                <w:b/>
                <w:color w:val="000000"/>
                <w:sz w:val="24"/>
                <w:szCs w:val="24"/>
                <w:highlight w:val="none"/>
              </w:rPr>
              <w:t>序号</w:t>
            </w:r>
          </w:p>
        </w:tc>
        <w:tc>
          <w:tcPr>
            <w:tcW w:w="1772" w:type="dxa"/>
            <w:noWrap w:val="0"/>
            <w:vAlign w:val="center"/>
          </w:tcPr>
          <w:p w14:paraId="3F222857">
            <w:pPr>
              <w:jc w:val="center"/>
              <w:rPr>
                <w:rFonts w:hint="eastAsia" w:ascii="仿宋_GB2312" w:hAnsi="仿宋"/>
                <w:b/>
                <w:color w:val="000000"/>
                <w:sz w:val="24"/>
                <w:szCs w:val="24"/>
                <w:highlight w:val="none"/>
              </w:rPr>
            </w:pPr>
            <w:r>
              <w:rPr>
                <w:rFonts w:hint="eastAsia" w:ascii="仿宋_GB2312" w:hAnsi="仿宋"/>
                <w:b/>
                <w:color w:val="000000"/>
                <w:sz w:val="24"/>
                <w:szCs w:val="24"/>
                <w:highlight w:val="none"/>
              </w:rPr>
              <w:t>内容</w:t>
            </w:r>
          </w:p>
        </w:tc>
        <w:tc>
          <w:tcPr>
            <w:tcW w:w="6579" w:type="dxa"/>
            <w:noWrap w:val="0"/>
            <w:vAlign w:val="center"/>
          </w:tcPr>
          <w:p w14:paraId="203C5E0A">
            <w:pPr>
              <w:jc w:val="center"/>
              <w:rPr>
                <w:rFonts w:hint="eastAsia" w:ascii="仿宋_GB2312" w:hAnsi="仿宋"/>
                <w:b/>
                <w:color w:val="000000"/>
                <w:sz w:val="24"/>
                <w:szCs w:val="24"/>
                <w:highlight w:val="none"/>
              </w:rPr>
            </w:pPr>
            <w:r>
              <w:rPr>
                <w:rFonts w:hint="eastAsia" w:ascii="仿宋_GB2312" w:hAnsi="仿宋"/>
                <w:b/>
                <w:color w:val="000000"/>
                <w:sz w:val="24"/>
                <w:szCs w:val="24"/>
                <w:highlight w:val="none"/>
              </w:rPr>
              <w:t>说明及要求</w:t>
            </w:r>
          </w:p>
        </w:tc>
      </w:tr>
      <w:tr w14:paraId="13070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8" w:type="dxa"/>
            <w:noWrap w:val="0"/>
            <w:vAlign w:val="center"/>
          </w:tcPr>
          <w:p w14:paraId="09988962">
            <w:pPr>
              <w:spacing w:line="400" w:lineRule="exact"/>
              <w:jc w:val="center"/>
              <w:rPr>
                <w:rFonts w:hint="eastAsia" w:ascii="Times New Roman" w:hAnsi="Times New Roman" w:cs="仿宋"/>
                <w:color w:val="000000"/>
                <w:sz w:val="24"/>
                <w:szCs w:val="24"/>
                <w:highlight w:val="none"/>
              </w:rPr>
            </w:pPr>
            <w:r>
              <w:rPr>
                <w:rFonts w:hint="eastAsia" w:ascii="Times New Roman" w:hAnsi="Times New Roman" w:cs="仿宋"/>
                <w:color w:val="000000"/>
                <w:sz w:val="24"/>
                <w:szCs w:val="24"/>
                <w:highlight w:val="none"/>
              </w:rPr>
              <w:t>1</w:t>
            </w:r>
          </w:p>
        </w:tc>
        <w:tc>
          <w:tcPr>
            <w:tcW w:w="1772" w:type="dxa"/>
            <w:noWrap w:val="0"/>
            <w:vAlign w:val="center"/>
          </w:tcPr>
          <w:p w14:paraId="20F56B9B">
            <w:pPr>
              <w:spacing w:line="400" w:lineRule="exact"/>
              <w:jc w:val="center"/>
              <w:rPr>
                <w:rFonts w:hint="eastAsia" w:ascii="Times New Roman" w:hAnsi="Times New Roman" w:cs="仿宋"/>
                <w:color w:val="000000"/>
                <w:sz w:val="24"/>
                <w:szCs w:val="24"/>
                <w:highlight w:val="none"/>
              </w:rPr>
            </w:pPr>
            <w:r>
              <w:rPr>
                <w:rFonts w:hint="eastAsia" w:ascii="Times New Roman" w:hAnsi="Times New Roman" w:cs="仿宋"/>
                <w:color w:val="000000"/>
                <w:sz w:val="24"/>
                <w:szCs w:val="24"/>
                <w:highlight w:val="none"/>
              </w:rPr>
              <w:t>项目属性</w:t>
            </w:r>
          </w:p>
        </w:tc>
        <w:tc>
          <w:tcPr>
            <w:tcW w:w="6579" w:type="dxa"/>
            <w:noWrap w:val="0"/>
            <w:vAlign w:val="center"/>
          </w:tcPr>
          <w:p w14:paraId="65F0888D">
            <w:pPr>
              <w:spacing w:line="400" w:lineRule="exact"/>
              <w:jc w:val="left"/>
              <w:rPr>
                <w:rFonts w:ascii="Times New Roman" w:hAnsi="Times New Roman" w:cs="仿宋"/>
                <w:color w:val="000000"/>
                <w:sz w:val="24"/>
                <w:szCs w:val="24"/>
                <w:highlight w:val="none"/>
              </w:rPr>
            </w:pPr>
            <w:r>
              <w:rPr>
                <w:rFonts w:hint="eastAsia" w:ascii="Times New Roman" w:hAnsi="Times New Roman" w:cs="仿宋"/>
                <w:color w:val="000000"/>
                <w:sz w:val="24"/>
                <w:szCs w:val="24"/>
                <w:highlight w:val="none"/>
              </w:rPr>
              <w:t>本项目</w:t>
            </w:r>
            <w:bookmarkStart w:id="80" w:name="EB9a5853ee094f4f0ea6ec3169265f6f2c"/>
            <w:r>
              <w:rPr>
                <w:rFonts w:hint="eastAsia" w:ascii="Times New Roman" w:hAnsi="Times New Roman" w:cs="仿宋"/>
                <w:color w:val="000000"/>
                <w:sz w:val="24"/>
                <w:szCs w:val="24"/>
                <w:highlight w:val="none"/>
              </w:rPr>
              <w:t>属性按以下第</w:t>
            </w:r>
            <w:bookmarkEnd w:id="80"/>
            <w:r>
              <w:rPr>
                <w:rFonts w:hint="eastAsia" w:ascii="Times New Roman" w:hAnsi="Times New Roman" w:cs="仿宋"/>
                <w:color w:val="000000"/>
                <w:sz w:val="24"/>
                <w:szCs w:val="24"/>
                <w:highlight w:val="none"/>
                <w:u w:val="single"/>
                <w:lang w:val="en-US" w:eastAsia="zh-CN"/>
              </w:rPr>
              <w:t xml:space="preserve">  1 </w:t>
            </w:r>
            <w:r>
              <w:rPr>
                <w:rFonts w:hint="eastAsia" w:ascii="Times New Roman" w:hAnsi="Times New Roman" w:cs="仿宋"/>
                <w:color w:val="000000"/>
                <w:sz w:val="24"/>
                <w:szCs w:val="24"/>
                <w:highlight w:val="none"/>
              </w:rPr>
              <w:t>种确定：</w:t>
            </w:r>
          </w:p>
          <w:p w14:paraId="63886421">
            <w:pPr>
              <w:spacing w:line="400" w:lineRule="exact"/>
              <w:jc w:val="left"/>
              <w:rPr>
                <w:rFonts w:hint="eastAsia" w:ascii="Times New Roman" w:hAnsi="Times New Roman" w:cs="仿宋"/>
                <w:color w:val="000000"/>
                <w:sz w:val="24"/>
                <w:szCs w:val="24"/>
                <w:highlight w:val="none"/>
              </w:rPr>
            </w:pPr>
            <w:r>
              <w:rPr>
                <w:rFonts w:hint="eastAsia" w:ascii="Times New Roman" w:hAnsi="Times New Roman" w:cs="仿宋"/>
                <w:color w:val="000000"/>
                <w:sz w:val="24"/>
                <w:szCs w:val="24"/>
                <w:highlight w:val="none"/>
              </w:rPr>
              <w:t>1.货物</w:t>
            </w:r>
            <w:bookmarkStart w:id="81" w:name="EBd5c6c026f9674c39b21b31ecd0c1e7fa"/>
            <w:r>
              <w:rPr>
                <w:rFonts w:hint="eastAsia" w:ascii="Times New Roman" w:hAnsi="Times New Roman" w:cs="仿宋"/>
                <w:color w:val="000000"/>
                <w:sz w:val="24"/>
                <w:szCs w:val="24"/>
                <w:highlight w:val="none"/>
              </w:rPr>
              <w:t>采购；2.</w:t>
            </w:r>
            <w:bookmarkEnd w:id="81"/>
            <w:r>
              <w:rPr>
                <w:rFonts w:hint="eastAsia" w:ascii="Times New Roman" w:hAnsi="Times New Roman" w:cs="仿宋"/>
                <w:color w:val="000000"/>
                <w:sz w:val="24"/>
                <w:szCs w:val="24"/>
                <w:highlight w:val="none"/>
              </w:rPr>
              <w:t>服务</w:t>
            </w:r>
            <w:bookmarkStart w:id="82" w:name="EBf7d2a4f44ecb4166a93ea852e73be69f"/>
            <w:r>
              <w:rPr>
                <w:rFonts w:hint="eastAsia" w:ascii="Times New Roman" w:hAnsi="Times New Roman" w:cs="仿宋"/>
                <w:color w:val="000000"/>
                <w:sz w:val="24"/>
                <w:szCs w:val="24"/>
                <w:highlight w:val="none"/>
              </w:rPr>
              <w:t>采购；3.</w:t>
            </w:r>
            <w:bookmarkEnd w:id="82"/>
            <w:r>
              <w:rPr>
                <w:rFonts w:hint="eastAsia" w:ascii="Times New Roman" w:hAnsi="Times New Roman" w:cs="仿宋"/>
                <w:color w:val="000000"/>
                <w:sz w:val="24"/>
                <w:szCs w:val="24"/>
                <w:highlight w:val="none"/>
              </w:rPr>
              <w:t>工程采购。</w:t>
            </w:r>
          </w:p>
        </w:tc>
      </w:tr>
      <w:tr w14:paraId="6541A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8" w:type="dxa"/>
            <w:noWrap w:val="0"/>
            <w:vAlign w:val="center"/>
          </w:tcPr>
          <w:p w14:paraId="00CD07BA">
            <w:pPr>
              <w:spacing w:line="400" w:lineRule="exact"/>
              <w:jc w:val="center"/>
              <w:rPr>
                <w:rFonts w:hint="eastAsia" w:ascii="Times New Roman" w:hAnsi="Times New Roman" w:cs="仿宋"/>
                <w:color w:val="000000"/>
                <w:sz w:val="24"/>
                <w:szCs w:val="24"/>
                <w:highlight w:val="none"/>
              </w:rPr>
            </w:pPr>
            <w:r>
              <w:rPr>
                <w:rFonts w:hint="eastAsia" w:ascii="Times New Roman" w:hAnsi="Times New Roman" w:cs="仿宋"/>
                <w:color w:val="000000"/>
                <w:sz w:val="24"/>
                <w:szCs w:val="24"/>
                <w:highlight w:val="none"/>
              </w:rPr>
              <w:t>2</w:t>
            </w:r>
          </w:p>
        </w:tc>
        <w:tc>
          <w:tcPr>
            <w:tcW w:w="1772" w:type="dxa"/>
            <w:noWrap w:val="0"/>
            <w:vAlign w:val="center"/>
          </w:tcPr>
          <w:p w14:paraId="02EA2BC3">
            <w:pPr>
              <w:spacing w:line="400" w:lineRule="exact"/>
              <w:jc w:val="center"/>
              <w:rPr>
                <w:rFonts w:hint="eastAsia" w:ascii="Times New Roman" w:hAnsi="Times New Roman" w:cs="仿宋"/>
                <w:color w:val="000000"/>
                <w:sz w:val="24"/>
                <w:szCs w:val="24"/>
                <w:highlight w:val="none"/>
              </w:rPr>
            </w:pPr>
            <w:r>
              <w:rPr>
                <w:rFonts w:hint="eastAsia" w:ascii="Times New Roman" w:hAnsi="Times New Roman" w:cs="仿宋"/>
                <w:color w:val="000000"/>
                <w:sz w:val="24"/>
                <w:szCs w:val="24"/>
                <w:highlight w:val="none"/>
              </w:rPr>
              <w:t>投标有效期</w:t>
            </w:r>
          </w:p>
        </w:tc>
        <w:tc>
          <w:tcPr>
            <w:tcW w:w="6579" w:type="dxa"/>
            <w:noWrap w:val="0"/>
            <w:vAlign w:val="center"/>
          </w:tcPr>
          <w:p w14:paraId="61363D4F">
            <w:pPr>
              <w:spacing w:line="400" w:lineRule="exact"/>
              <w:jc w:val="left"/>
              <w:rPr>
                <w:rFonts w:hint="eastAsia" w:ascii="Times New Roman" w:hAnsi="Times New Roman" w:cs="仿宋"/>
                <w:color w:val="FF0000"/>
                <w:sz w:val="24"/>
                <w:szCs w:val="24"/>
                <w:highlight w:val="none"/>
              </w:rPr>
            </w:pPr>
            <w:bookmarkStart w:id="83" w:name="EBd40b5fb42f2944a3b45e579ce3941f02"/>
            <w:bookmarkEnd w:id="83"/>
            <w:r>
              <w:rPr>
                <w:rFonts w:hint="eastAsia" w:ascii="Times New Roman" w:hAnsi="Times New Roman" w:cs="仿宋"/>
                <w:color w:val="000000"/>
                <w:sz w:val="24"/>
                <w:szCs w:val="24"/>
                <w:highlight w:val="none"/>
                <w:lang w:val="en-US" w:eastAsia="zh-CN"/>
              </w:rPr>
              <w:t>60</w:t>
            </w:r>
            <w:r>
              <w:rPr>
                <w:rFonts w:hint="eastAsia" w:ascii="Times New Roman" w:hAnsi="Times New Roman" w:cs="仿宋"/>
                <w:color w:val="000000"/>
                <w:sz w:val="24"/>
                <w:szCs w:val="24"/>
                <w:highlight w:val="none"/>
                <w:lang w:eastAsia="zh-CN"/>
              </w:rPr>
              <w:t>日</w:t>
            </w:r>
            <w:r>
              <w:rPr>
                <w:rFonts w:hint="eastAsia" w:ascii="Times New Roman" w:hAnsi="Times New Roman" w:cs="仿宋"/>
                <w:color w:val="000000"/>
                <w:sz w:val="24"/>
                <w:szCs w:val="24"/>
                <w:highlight w:val="none"/>
              </w:rPr>
              <w:t>（从提交投标文件截止之日起算）</w:t>
            </w:r>
          </w:p>
        </w:tc>
      </w:tr>
      <w:tr w14:paraId="48D18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8" w:type="dxa"/>
            <w:noWrap w:val="0"/>
            <w:vAlign w:val="center"/>
          </w:tcPr>
          <w:p w14:paraId="66AD5FD0">
            <w:pPr>
              <w:spacing w:line="400" w:lineRule="exact"/>
              <w:jc w:val="center"/>
              <w:rPr>
                <w:rFonts w:hint="eastAsia" w:ascii="Times New Roman" w:hAnsi="Times New Roman" w:cs="仿宋"/>
                <w:color w:val="000000"/>
                <w:sz w:val="24"/>
                <w:szCs w:val="24"/>
                <w:highlight w:val="none"/>
              </w:rPr>
            </w:pPr>
            <w:r>
              <w:rPr>
                <w:rFonts w:hint="eastAsia" w:ascii="Times New Roman" w:hAnsi="Times New Roman" w:cs="仿宋"/>
                <w:color w:val="000000"/>
                <w:sz w:val="24"/>
                <w:szCs w:val="24"/>
                <w:highlight w:val="none"/>
              </w:rPr>
              <w:t>3</w:t>
            </w:r>
          </w:p>
        </w:tc>
        <w:tc>
          <w:tcPr>
            <w:tcW w:w="1772" w:type="dxa"/>
            <w:noWrap w:val="0"/>
            <w:vAlign w:val="center"/>
          </w:tcPr>
          <w:p w14:paraId="40AE58CB">
            <w:pPr>
              <w:spacing w:line="400" w:lineRule="exact"/>
              <w:jc w:val="center"/>
              <w:rPr>
                <w:rFonts w:hint="eastAsia" w:ascii="Times New Roman" w:hAnsi="Times New Roman" w:cs="仿宋"/>
                <w:color w:val="000000"/>
                <w:sz w:val="24"/>
                <w:szCs w:val="24"/>
                <w:highlight w:val="none"/>
              </w:rPr>
            </w:pPr>
            <w:r>
              <w:rPr>
                <w:rFonts w:hint="eastAsia" w:ascii="Times New Roman" w:hAnsi="Times New Roman" w:cs="仿宋"/>
                <w:color w:val="000000"/>
                <w:sz w:val="24"/>
                <w:szCs w:val="24"/>
                <w:highlight w:val="none"/>
              </w:rPr>
              <w:t>投标文件份数</w:t>
            </w:r>
          </w:p>
        </w:tc>
        <w:tc>
          <w:tcPr>
            <w:tcW w:w="6579" w:type="dxa"/>
            <w:noWrap w:val="0"/>
            <w:vAlign w:val="center"/>
          </w:tcPr>
          <w:p w14:paraId="18955F0B">
            <w:pPr>
              <w:spacing w:line="400" w:lineRule="exact"/>
              <w:jc w:val="left"/>
              <w:rPr>
                <w:rFonts w:hint="eastAsia" w:ascii="Times New Roman" w:hAnsi="Times New Roman" w:cs="仿宋"/>
                <w:color w:val="000000"/>
                <w:sz w:val="24"/>
                <w:szCs w:val="24"/>
                <w:highlight w:val="none"/>
              </w:rPr>
            </w:pPr>
            <w:r>
              <w:rPr>
                <w:rFonts w:hint="eastAsia" w:ascii="Times New Roman" w:hAnsi="Times New Roman" w:cs="仿宋"/>
                <w:color w:val="000000"/>
                <w:sz w:val="24"/>
                <w:szCs w:val="24"/>
                <w:highlight w:val="none"/>
              </w:rPr>
              <w:t>提交加密电子投标文件</w:t>
            </w:r>
            <w:r>
              <w:rPr>
                <w:rFonts w:hint="eastAsia" w:ascii="Times New Roman" w:hAnsi="Times New Roman" w:cs="仿宋"/>
                <w:color w:val="000000"/>
                <w:sz w:val="24"/>
                <w:szCs w:val="24"/>
                <w:highlight w:val="none"/>
                <w:u w:val="single"/>
              </w:rPr>
              <w:t>1</w:t>
            </w:r>
            <w:r>
              <w:rPr>
                <w:rFonts w:hint="eastAsia" w:ascii="Times New Roman" w:hAnsi="Times New Roman" w:cs="仿宋"/>
                <w:color w:val="000000"/>
                <w:sz w:val="24"/>
                <w:szCs w:val="24"/>
                <w:highlight w:val="none"/>
              </w:rPr>
              <w:t>份。</w:t>
            </w:r>
          </w:p>
        </w:tc>
      </w:tr>
      <w:tr w14:paraId="567AC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8" w:type="dxa"/>
            <w:noWrap w:val="0"/>
            <w:vAlign w:val="center"/>
          </w:tcPr>
          <w:p w14:paraId="3FB67284">
            <w:pPr>
              <w:spacing w:line="400" w:lineRule="exact"/>
              <w:jc w:val="center"/>
              <w:rPr>
                <w:rFonts w:hint="eastAsia" w:ascii="Times New Roman" w:hAnsi="Times New Roman" w:cs="仿宋"/>
                <w:color w:val="000000"/>
                <w:sz w:val="24"/>
                <w:szCs w:val="24"/>
                <w:highlight w:val="none"/>
              </w:rPr>
            </w:pPr>
            <w:r>
              <w:rPr>
                <w:rFonts w:hint="eastAsia" w:ascii="Times New Roman" w:hAnsi="Times New Roman" w:cs="仿宋"/>
                <w:color w:val="000000"/>
                <w:sz w:val="24"/>
                <w:szCs w:val="24"/>
                <w:highlight w:val="none"/>
              </w:rPr>
              <w:t>4</w:t>
            </w:r>
          </w:p>
        </w:tc>
        <w:tc>
          <w:tcPr>
            <w:tcW w:w="1772" w:type="dxa"/>
            <w:noWrap w:val="0"/>
            <w:vAlign w:val="center"/>
          </w:tcPr>
          <w:p w14:paraId="67A0429E">
            <w:pPr>
              <w:spacing w:line="400" w:lineRule="exact"/>
              <w:jc w:val="center"/>
              <w:rPr>
                <w:rFonts w:hint="eastAsia" w:ascii="Times New Roman" w:hAnsi="Times New Roman" w:cs="仿宋"/>
                <w:color w:val="000000"/>
                <w:sz w:val="24"/>
                <w:szCs w:val="24"/>
                <w:highlight w:val="none"/>
              </w:rPr>
            </w:pPr>
            <w:r>
              <w:rPr>
                <w:rFonts w:hint="eastAsia" w:ascii="Times New Roman" w:hAnsi="Times New Roman" w:cs="仿宋"/>
                <w:color w:val="000000"/>
                <w:sz w:val="24"/>
                <w:szCs w:val="24"/>
                <w:highlight w:val="none"/>
              </w:rPr>
              <w:t>开标</w:t>
            </w:r>
          </w:p>
        </w:tc>
        <w:tc>
          <w:tcPr>
            <w:tcW w:w="6579" w:type="dxa"/>
            <w:noWrap w:val="0"/>
            <w:vAlign w:val="center"/>
          </w:tcPr>
          <w:p w14:paraId="10EFEC7B">
            <w:pPr>
              <w:spacing w:line="400" w:lineRule="exact"/>
              <w:jc w:val="left"/>
              <w:rPr>
                <w:rFonts w:hint="eastAsia" w:ascii="Times New Roman" w:hAnsi="Times New Roman" w:cs="仿宋"/>
                <w:color w:val="000000"/>
                <w:sz w:val="24"/>
                <w:szCs w:val="24"/>
                <w:highlight w:val="none"/>
              </w:rPr>
            </w:pPr>
            <w:r>
              <w:rPr>
                <w:rFonts w:hint="eastAsia" w:ascii="Times New Roman" w:hAnsi="Times New Roman" w:cs="仿宋"/>
                <w:color w:val="000000"/>
                <w:sz w:val="24"/>
                <w:szCs w:val="24"/>
                <w:highlight w:val="none"/>
              </w:rPr>
              <w:t>“苏采云”政府采购交易系统网上开标大厅进行不见面开标。</w:t>
            </w:r>
          </w:p>
        </w:tc>
      </w:tr>
      <w:tr w14:paraId="644F7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58" w:type="dxa"/>
            <w:noWrap w:val="0"/>
            <w:vAlign w:val="center"/>
          </w:tcPr>
          <w:p w14:paraId="7671BC8F">
            <w:pPr>
              <w:spacing w:line="400" w:lineRule="exact"/>
              <w:jc w:val="center"/>
              <w:rPr>
                <w:rFonts w:hint="eastAsia" w:ascii="Times New Roman" w:hAnsi="Times New Roman" w:cs="仿宋"/>
                <w:color w:val="000000"/>
                <w:sz w:val="24"/>
                <w:szCs w:val="24"/>
                <w:highlight w:val="none"/>
              </w:rPr>
            </w:pPr>
            <w:r>
              <w:rPr>
                <w:rFonts w:hint="eastAsia" w:ascii="Times New Roman" w:hAnsi="Times New Roman" w:cs="仿宋"/>
                <w:color w:val="000000"/>
                <w:sz w:val="24"/>
                <w:szCs w:val="24"/>
                <w:highlight w:val="none"/>
              </w:rPr>
              <w:t>5</w:t>
            </w:r>
          </w:p>
        </w:tc>
        <w:tc>
          <w:tcPr>
            <w:tcW w:w="1772" w:type="dxa"/>
            <w:noWrap w:val="0"/>
            <w:vAlign w:val="center"/>
          </w:tcPr>
          <w:p w14:paraId="22BC282D">
            <w:pPr>
              <w:spacing w:line="400" w:lineRule="exact"/>
              <w:jc w:val="center"/>
              <w:rPr>
                <w:rFonts w:hint="eastAsia" w:ascii="Times New Roman" w:hAnsi="Times New Roman" w:cs="仿宋"/>
                <w:color w:val="000000"/>
                <w:sz w:val="24"/>
                <w:szCs w:val="24"/>
                <w:highlight w:val="none"/>
              </w:rPr>
            </w:pPr>
            <w:r>
              <w:rPr>
                <w:rFonts w:hint="eastAsia" w:ascii="Times New Roman" w:hAnsi="Times New Roman" w:cs="仿宋"/>
                <w:color w:val="000000"/>
                <w:sz w:val="24"/>
                <w:szCs w:val="24"/>
                <w:highlight w:val="none"/>
              </w:rPr>
              <w:t>进口产品</w:t>
            </w:r>
          </w:p>
        </w:tc>
        <w:tc>
          <w:tcPr>
            <w:tcW w:w="6579" w:type="dxa"/>
            <w:noWrap w:val="0"/>
            <w:vAlign w:val="center"/>
          </w:tcPr>
          <w:p w14:paraId="68D3ECDC">
            <w:pPr>
              <w:spacing w:line="400" w:lineRule="exact"/>
              <w:jc w:val="left"/>
              <w:rPr>
                <w:rFonts w:ascii="Times New Roman" w:hAnsi="Times New Roman" w:cs="仿宋"/>
                <w:color w:val="000000"/>
                <w:sz w:val="24"/>
                <w:szCs w:val="24"/>
                <w:highlight w:val="none"/>
              </w:rPr>
            </w:pPr>
            <w:r>
              <w:rPr>
                <w:rFonts w:hint="eastAsia" w:ascii="Times New Roman" w:hAnsi="Times New Roman" w:cs="仿宋"/>
                <w:color w:val="000000"/>
                <w:sz w:val="24"/>
                <w:szCs w:val="24"/>
                <w:highlight w:val="none"/>
              </w:rPr>
              <w:t>按以下第</w:t>
            </w:r>
            <w:r>
              <w:rPr>
                <w:rFonts w:hint="eastAsia" w:ascii="Times New Roman" w:hAnsi="Times New Roman" w:cs="仿宋"/>
                <w:color w:val="000000"/>
                <w:sz w:val="24"/>
                <w:szCs w:val="24"/>
                <w:highlight w:val="none"/>
                <w:u w:val="single"/>
              </w:rPr>
              <w:t>2</w:t>
            </w:r>
            <w:r>
              <w:rPr>
                <w:rFonts w:hint="eastAsia" w:ascii="Times New Roman" w:hAnsi="Times New Roman" w:cs="仿宋"/>
                <w:color w:val="000000"/>
                <w:sz w:val="24"/>
                <w:szCs w:val="24"/>
                <w:highlight w:val="none"/>
              </w:rPr>
              <w:t>种方式确定：</w:t>
            </w:r>
          </w:p>
          <w:p w14:paraId="30259C56">
            <w:pPr>
              <w:widowControl/>
              <w:spacing w:line="360" w:lineRule="exact"/>
              <w:jc w:val="left"/>
              <w:rPr>
                <w:rFonts w:ascii="Times New Roman" w:hAnsi="Times New Roman" w:cs="仿宋"/>
                <w:color w:val="000000"/>
                <w:sz w:val="24"/>
                <w:szCs w:val="24"/>
                <w:highlight w:val="none"/>
              </w:rPr>
            </w:pPr>
            <w:r>
              <w:rPr>
                <w:rFonts w:hint="eastAsia" w:ascii="Times New Roman" w:hAnsi="Times New Roman" w:cs="仿宋"/>
                <w:color w:val="000000"/>
                <w:sz w:val="24"/>
                <w:szCs w:val="24"/>
                <w:highlight w:val="none"/>
              </w:rPr>
              <w:t>1.接受进口产品。</w:t>
            </w:r>
            <w:r>
              <w:rPr>
                <w:rFonts w:hint="eastAsia" w:ascii="Times New Roman" w:hAnsi="Times New Roman" w:cs="仿宋"/>
                <w:color w:val="000000"/>
                <w:sz w:val="24"/>
                <w:highlight w:val="none"/>
              </w:rPr>
              <w:t>应当符合《政府采购进口产品管理办法》（财库〔2007〕119号）、《关于政府采购进口产品管理有关问题的通知》（财办库〔2008〕248号）等相关规定</w:t>
            </w:r>
            <w:r>
              <w:rPr>
                <w:rFonts w:hint="eastAsia" w:ascii="Times New Roman" w:hAnsi="Times New Roman" w:cs="仿宋"/>
                <w:color w:val="000000"/>
                <w:sz w:val="24"/>
                <w:szCs w:val="24"/>
                <w:highlight w:val="none"/>
              </w:rPr>
              <w:t>；</w:t>
            </w:r>
          </w:p>
          <w:p w14:paraId="4BC3AC30">
            <w:pPr>
              <w:spacing w:line="400" w:lineRule="exact"/>
              <w:jc w:val="left"/>
              <w:rPr>
                <w:rFonts w:hint="eastAsia" w:ascii="Times New Roman" w:hAnsi="Times New Roman" w:cs="仿宋"/>
                <w:color w:val="000000"/>
                <w:sz w:val="24"/>
                <w:szCs w:val="24"/>
                <w:highlight w:val="none"/>
              </w:rPr>
            </w:pPr>
            <w:r>
              <w:rPr>
                <w:rFonts w:hint="eastAsia" w:ascii="Times New Roman" w:hAnsi="Times New Roman" w:cs="仿宋"/>
                <w:color w:val="000000"/>
                <w:sz w:val="24"/>
                <w:szCs w:val="24"/>
                <w:highlight w:val="none"/>
              </w:rPr>
              <w:t>2.不接受进口产品。</w:t>
            </w:r>
          </w:p>
        </w:tc>
      </w:tr>
      <w:tr w14:paraId="44470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8" w:type="dxa"/>
            <w:noWrap w:val="0"/>
            <w:vAlign w:val="center"/>
          </w:tcPr>
          <w:p w14:paraId="725660E6">
            <w:pPr>
              <w:spacing w:line="400" w:lineRule="exact"/>
              <w:jc w:val="center"/>
              <w:rPr>
                <w:rFonts w:hint="eastAsia" w:ascii="Times New Roman" w:hAnsi="Times New Roman" w:cs="仿宋"/>
                <w:color w:val="000000"/>
                <w:sz w:val="24"/>
                <w:szCs w:val="24"/>
                <w:highlight w:val="none"/>
              </w:rPr>
            </w:pPr>
            <w:r>
              <w:rPr>
                <w:rFonts w:hint="eastAsia" w:ascii="Times New Roman" w:hAnsi="Times New Roman" w:cs="仿宋"/>
                <w:color w:val="000000"/>
                <w:sz w:val="24"/>
                <w:szCs w:val="24"/>
                <w:highlight w:val="none"/>
              </w:rPr>
              <w:t>6</w:t>
            </w:r>
          </w:p>
        </w:tc>
        <w:tc>
          <w:tcPr>
            <w:tcW w:w="1772" w:type="dxa"/>
            <w:noWrap w:val="0"/>
            <w:vAlign w:val="center"/>
          </w:tcPr>
          <w:p w14:paraId="007C429E">
            <w:pPr>
              <w:spacing w:line="400" w:lineRule="exact"/>
              <w:jc w:val="center"/>
              <w:rPr>
                <w:rFonts w:hint="eastAsia" w:ascii="Times New Roman" w:hAnsi="Times New Roman" w:cs="仿宋"/>
                <w:color w:val="000000"/>
                <w:sz w:val="24"/>
                <w:szCs w:val="24"/>
                <w:highlight w:val="none"/>
              </w:rPr>
            </w:pPr>
            <w:r>
              <w:rPr>
                <w:rFonts w:hint="eastAsia" w:ascii="Times New Roman" w:hAnsi="Times New Roman" w:cs="仿宋"/>
                <w:color w:val="000000"/>
                <w:sz w:val="24"/>
                <w:szCs w:val="24"/>
                <w:highlight w:val="none"/>
              </w:rPr>
              <w:t>评标办法</w:t>
            </w:r>
          </w:p>
        </w:tc>
        <w:tc>
          <w:tcPr>
            <w:tcW w:w="6579" w:type="dxa"/>
            <w:noWrap w:val="0"/>
            <w:vAlign w:val="center"/>
          </w:tcPr>
          <w:p w14:paraId="491FCBC0">
            <w:pPr>
              <w:spacing w:line="400" w:lineRule="exact"/>
              <w:jc w:val="left"/>
              <w:rPr>
                <w:rFonts w:hint="eastAsia" w:ascii="Times New Roman" w:hAnsi="Times New Roman" w:cs="仿宋"/>
                <w:color w:val="000000"/>
                <w:sz w:val="24"/>
                <w:szCs w:val="24"/>
                <w:highlight w:val="none"/>
              </w:rPr>
            </w:pPr>
            <w:r>
              <w:rPr>
                <w:rFonts w:hint="eastAsia" w:ascii="Times New Roman" w:hAnsi="Times New Roman" w:cs="仿宋"/>
                <w:color w:val="000000"/>
                <w:sz w:val="24"/>
                <w:szCs w:val="24"/>
                <w:highlight w:val="none"/>
              </w:rPr>
              <w:t>具体评标办法详见招标文件第三章。</w:t>
            </w:r>
          </w:p>
          <w:p w14:paraId="3BEFAEDB">
            <w:pPr>
              <w:spacing w:line="400" w:lineRule="exact"/>
              <w:jc w:val="left"/>
              <w:rPr>
                <w:rFonts w:hint="eastAsia" w:ascii="Times New Roman" w:hAnsi="Times New Roman" w:cs="仿宋"/>
                <w:color w:val="000000"/>
                <w:sz w:val="24"/>
                <w:szCs w:val="24"/>
                <w:highlight w:val="none"/>
              </w:rPr>
            </w:pPr>
            <w:r>
              <w:rPr>
                <w:rFonts w:hint="eastAsia" w:ascii="Times New Roman" w:hAnsi="Times New Roman" w:cs="仿宋"/>
                <w:color w:val="000000"/>
                <w:sz w:val="24"/>
                <w:szCs w:val="24"/>
                <w:highlight w:val="none"/>
              </w:rPr>
              <w:t>评标委员会依据招标文件规定的评标办法和标准推荐</w:t>
            </w:r>
            <w:r>
              <w:rPr>
                <w:rFonts w:hint="eastAsia" w:ascii="Times New Roman" w:hAnsi="Times New Roman" w:cs="仿宋"/>
                <w:color w:val="000000"/>
                <w:sz w:val="24"/>
                <w:szCs w:val="24"/>
                <w:highlight w:val="none"/>
                <w:u w:val="single"/>
              </w:rPr>
              <w:t>3</w:t>
            </w:r>
            <w:r>
              <w:rPr>
                <w:rFonts w:hint="eastAsia" w:ascii="Times New Roman" w:hAnsi="Times New Roman" w:cs="仿宋"/>
                <w:color w:val="000000"/>
                <w:sz w:val="24"/>
                <w:szCs w:val="24"/>
                <w:highlight w:val="none"/>
              </w:rPr>
              <w:t>名中标候选人。</w:t>
            </w:r>
          </w:p>
        </w:tc>
      </w:tr>
      <w:tr w14:paraId="63E7C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8" w:type="dxa"/>
            <w:noWrap w:val="0"/>
            <w:vAlign w:val="center"/>
          </w:tcPr>
          <w:p w14:paraId="0586DA04">
            <w:pPr>
              <w:spacing w:line="400" w:lineRule="exact"/>
              <w:jc w:val="center"/>
              <w:rPr>
                <w:rFonts w:hint="eastAsia" w:ascii="Times New Roman" w:hAnsi="Times New Roman" w:cs="仿宋"/>
                <w:color w:val="000000"/>
                <w:sz w:val="24"/>
                <w:szCs w:val="24"/>
                <w:highlight w:val="none"/>
              </w:rPr>
            </w:pPr>
            <w:r>
              <w:rPr>
                <w:rFonts w:hint="eastAsia" w:ascii="Times New Roman" w:hAnsi="Times New Roman" w:cs="仿宋"/>
                <w:color w:val="000000"/>
                <w:sz w:val="24"/>
                <w:szCs w:val="24"/>
                <w:highlight w:val="none"/>
              </w:rPr>
              <w:t>7</w:t>
            </w:r>
          </w:p>
        </w:tc>
        <w:tc>
          <w:tcPr>
            <w:tcW w:w="1772" w:type="dxa"/>
            <w:noWrap w:val="0"/>
            <w:vAlign w:val="center"/>
          </w:tcPr>
          <w:p w14:paraId="2DB0C16E">
            <w:pPr>
              <w:spacing w:line="400" w:lineRule="exact"/>
              <w:jc w:val="center"/>
              <w:rPr>
                <w:rFonts w:hint="eastAsia" w:ascii="Times New Roman" w:hAnsi="Times New Roman" w:cs="仿宋"/>
                <w:color w:val="000000"/>
                <w:sz w:val="24"/>
                <w:szCs w:val="24"/>
                <w:highlight w:val="none"/>
              </w:rPr>
            </w:pPr>
            <w:r>
              <w:rPr>
                <w:rFonts w:hint="eastAsia" w:ascii="Times New Roman" w:hAnsi="Times New Roman" w:cs="仿宋"/>
                <w:color w:val="000000"/>
                <w:sz w:val="24"/>
                <w:szCs w:val="24"/>
                <w:highlight w:val="none"/>
              </w:rPr>
              <w:t>确定中标人</w:t>
            </w:r>
          </w:p>
        </w:tc>
        <w:tc>
          <w:tcPr>
            <w:tcW w:w="6579" w:type="dxa"/>
            <w:noWrap w:val="0"/>
            <w:vAlign w:val="center"/>
          </w:tcPr>
          <w:p w14:paraId="029F4437">
            <w:pPr>
              <w:spacing w:line="400" w:lineRule="exact"/>
              <w:jc w:val="left"/>
              <w:rPr>
                <w:rFonts w:ascii="Times New Roman" w:hAnsi="Times New Roman" w:cs="仿宋"/>
                <w:color w:val="000000"/>
                <w:sz w:val="24"/>
                <w:szCs w:val="24"/>
                <w:highlight w:val="none"/>
              </w:rPr>
            </w:pPr>
            <w:r>
              <w:rPr>
                <w:rFonts w:hint="eastAsia" w:ascii="Times New Roman" w:hAnsi="Times New Roman" w:cs="仿宋"/>
                <w:color w:val="000000"/>
                <w:sz w:val="24"/>
                <w:szCs w:val="24"/>
                <w:highlight w:val="none"/>
              </w:rPr>
              <w:t>按以下第</w:t>
            </w:r>
            <w:r>
              <w:rPr>
                <w:rFonts w:hint="eastAsia" w:ascii="Times New Roman" w:hAnsi="Times New Roman" w:cs="仿宋"/>
                <w:color w:val="000000"/>
                <w:sz w:val="24"/>
                <w:szCs w:val="24"/>
                <w:highlight w:val="none"/>
                <w:u w:val="single"/>
              </w:rPr>
              <w:t>2</w:t>
            </w:r>
            <w:r>
              <w:rPr>
                <w:rFonts w:hint="eastAsia" w:ascii="Times New Roman" w:hAnsi="Times New Roman" w:cs="仿宋"/>
                <w:color w:val="000000"/>
                <w:sz w:val="24"/>
                <w:szCs w:val="24"/>
                <w:highlight w:val="none"/>
              </w:rPr>
              <w:t>种方式确定中标人：</w:t>
            </w:r>
          </w:p>
          <w:p w14:paraId="066AADA6">
            <w:pPr>
              <w:spacing w:line="400" w:lineRule="exact"/>
              <w:jc w:val="left"/>
              <w:rPr>
                <w:rFonts w:ascii="Times New Roman" w:hAnsi="Times New Roman" w:cs="仿宋"/>
                <w:color w:val="000000"/>
                <w:sz w:val="24"/>
                <w:szCs w:val="24"/>
                <w:highlight w:val="none"/>
              </w:rPr>
            </w:pPr>
            <w:r>
              <w:rPr>
                <w:rFonts w:hint="eastAsia" w:ascii="Times New Roman" w:hAnsi="Times New Roman" w:cs="仿宋"/>
                <w:color w:val="000000"/>
                <w:sz w:val="24"/>
                <w:szCs w:val="24"/>
                <w:highlight w:val="none"/>
              </w:rPr>
              <w:t>1.采购人按规定在评标委员会推荐的中标候选人中确定中标人；</w:t>
            </w:r>
          </w:p>
          <w:p w14:paraId="07C17D1C">
            <w:pPr>
              <w:spacing w:line="400" w:lineRule="exact"/>
              <w:jc w:val="left"/>
              <w:rPr>
                <w:rFonts w:hint="eastAsia" w:ascii="Times New Roman" w:hAnsi="Times New Roman" w:cs="仿宋"/>
                <w:color w:val="000000"/>
                <w:sz w:val="24"/>
                <w:szCs w:val="24"/>
                <w:highlight w:val="none"/>
              </w:rPr>
            </w:pPr>
            <w:r>
              <w:rPr>
                <w:rFonts w:hint="eastAsia" w:ascii="Times New Roman" w:hAnsi="Times New Roman" w:cs="仿宋"/>
                <w:color w:val="000000"/>
                <w:sz w:val="24"/>
                <w:szCs w:val="24"/>
                <w:highlight w:val="none"/>
              </w:rPr>
              <w:t>2.采购人授权评标委员会直接确定中标人。</w:t>
            </w:r>
          </w:p>
        </w:tc>
      </w:tr>
      <w:tr w14:paraId="5D9EA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8" w:type="dxa"/>
            <w:noWrap w:val="0"/>
            <w:vAlign w:val="center"/>
          </w:tcPr>
          <w:p w14:paraId="05F89464">
            <w:pPr>
              <w:spacing w:line="400" w:lineRule="exact"/>
              <w:jc w:val="center"/>
              <w:rPr>
                <w:rFonts w:hint="eastAsia" w:ascii="Times New Roman" w:hAnsi="Times New Roman" w:cs="仿宋"/>
                <w:color w:val="000000"/>
                <w:sz w:val="24"/>
                <w:szCs w:val="24"/>
                <w:highlight w:val="none"/>
              </w:rPr>
            </w:pPr>
            <w:r>
              <w:rPr>
                <w:rFonts w:hint="eastAsia" w:ascii="Times New Roman" w:hAnsi="Times New Roman" w:cs="仿宋"/>
                <w:color w:val="000000"/>
                <w:sz w:val="24"/>
                <w:szCs w:val="24"/>
                <w:highlight w:val="none"/>
              </w:rPr>
              <w:t>8</w:t>
            </w:r>
          </w:p>
        </w:tc>
        <w:tc>
          <w:tcPr>
            <w:tcW w:w="1772" w:type="dxa"/>
            <w:noWrap w:val="0"/>
            <w:vAlign w:val="center"/>
          </w:tcPr>
          <w:p w14:paraId="681BC9A0">
            <w:pPr>
              <w:spacing w:line="400" w:lineRule="exact"/>
              <w:jc w:val="center"/>
              <w:rPr>
                <w:rFonts w:hint="eastAsia" w:ascii="Times New Roman" w:hAnsi="Times New Roman" w:cs="仿宋"/>
                <w:color w:val="000000"/>
                <w:sz w:val="24"/>
                <w:szCs w:val="24"/>
                <w:highlight w:val="none"/>
              </w:rPr>
            </w:pPr>
            <w:r>
              <w:rPr>
                <w:rFonts w:hint="eastAsia" w:ascii="Times New Roman" w:hAnsi="Times New Roman" w:cs="仿宋"/>
                <w:color w:val="000000"/>
                <w:sz w:val="24"/>
                <w:szCs w:val="24"/>
                <w:highlight w:val="none"/>
              </w:rPr>
              <w:t>分包要求</w:t>
            </w:r>
          </w:p>
        </w:tc>
        <w:tc>
          <w:tcPr>
            <w:tcW w:w="6579" w:type="dxa"/>
            <w:noWrap w:val="0"/>
            <w:vAlign w:val="center"/>
          </w:tcPr>
          <w:p w14:paraId="54889A27">
            <w:pPr>
              <w:spacing w:line="400" w:lineRule="exact"/>
              <w:jc w:val="left"/>
              <w:rPr>
                <w:rFonts w:hint="eastAsia" w:ascii="Times New Roman" w:hAnsi="Times New Roman" w:cs="仿宋"/>
                <w:color w:val="000000"/>
                <w:sz w:val="24"/>
                <w:szCs w:val="24"/>
                <w:highlight w:val="none"/>
              </w:rPr>
            </w:pPr>
            <w:bookmarkStart w:id="84" w:name="EBebac1462c5d9459fbda8a75065c2455d"/>
            <w:r>
              <w:rPr>
                <w:rFonts w:hint="eastAsia" w:ascii="Times New Roman" w:hAnsi="Times New Roman" w:cs="仿宋"/>
                <w:color w:val="000000"/>
                <w:sz w:val="24"/>
                <w:szCs w:val="24"/>
                <w:highlight w:val="none"/>
              </w:rPr>
              <w:t>本项目的非主体、非关键性工作是否允许分包</w:t>
            </w:r>
            <w:bookmarkEnd w:id="84"/>
            <w:r>
              <w:rPr>
                <w:rFonts w:hint="eastAsia" w:ascii="Times New Roman" w:hAnsi="Times New Roman" w:cs="仿宋"/>
                <w:color w:val="000000"/>
                <w:sz w:val="24"/>
                <w:szCs w:val="24"/>
                <w:highlight w:val="none"/>
              </w:rPr>
              <w:t>按以下第</w:t>
            </w:r>
            <w:r>
              <w:rPr>
                <w:rFonts w:hint="eastAsia" w:ascii="Times New Roman" w:hAnsi="Times New Roman" w:cs="仿宋"/>
                <w:color w:val="000000"/>
                <w:sz w:val="24"/>
                <w:szCs w:val="24"/>
                <w:highlight w:val="none"/>
                <w:u w:val="single"/>
              </w:rPr>
              <w:t>  2  </w:t>
            </w:r>
            <w:r>
              <w:rPr>
                <w:rFonts w:hint="eastAsia" w:ascii="Times New Roman" w:hAnsi="Times New Roman" w:cs="仿宋"/>
                <w:color w:val="000000"/>
                <w:sz w:val="24"/>
                <w:szCs w:val="24"/>
                <w:highlight w:val="none"/>
              </w:rPr>
              <w:t>种方式确定：</w:t>
            </w:r>
          </w:p>
          <w:p w14:paraId="566538BF">
            <w:pPr>
              <w:spacing w:line="400" w:lineRule="exact"/>
              <w:jc w:val="left"/>
              <w:rPr>
                <w:rFonts w:hint="eastAsia" w:ascii="Times New Roman" w:hAnsi="Times New Roman" w:cs="仿宋"/>
                <w:color w:val="000000"/>
                <w:sz w:val="24"/>
                <w:szCs w:val="24"/>
                <w:highlight w:val="none"/>
              </w:rPr>
            </w:pPr>
            <w:r>
              <w:rPr>
                <w:rFonts w:hint="eastAsia" w:ascii="Times New Roman" w:hAnsi="Times New Roman" w:cs="仿宋"/>
                <w:color w:val="000000"/>
                <w:sz w:val="24"/>
                <w:szCs w:val="24"/>
                <w:highlight w:val="none"/>
              </w:rPr>
              <w:t>1.允许分包，</w:t>
            </w:r>
            <w:bookmarkStart w:id="85" w:name="EB512ba06683724173802e2aae54a26079"/>
            <w:r>
              <w:rPr>
                <w:rFonts w:hint="eastAsia" w:ascii="Times New Roman" w:hAnsi="Times New Roman" w:cs="仿宋"/>
                <w:color w:val="000000"/>
                <w:sz w:val="24"/>
                <w:szCs w:val="24"/>
                <w:highlight w:val="none"/>
              </w:rPr>
              <w:t>允许大中型企业向一家或者多家小微企业分包，分包具体内容、金额或比例：</w:t>
            </w:r>
            <w:bookmarkEnd w:id="85"/>
            <w:r>
              <w:rPr>
                <w:rFonts w:hint="eastAsia" w:ascii="Times New Roman" w:hAnsi="Times New Roman" w:cs="仿宋"/>
                <w:color w:val="000000"/>
                <w:sz w:val="24"/>
                <w:szCs w:val="24"/>
                <w:highlight w:val="none"/>
              </w:rPr>
              <w:t>无</w:t>
            </w:r>
          </w:p>
          <w:p w14:paraId="0A6032E5">
            <w:pPr>
              <w:spacing w:line="400" w:lineRule="exact"/>
              <w:jc w:val="left"/>
              <w:rPr>
                <w:rFonts w:hint="eastAsia" w:ascii="Times New Roman" w:hAnsi="Times New Roman" w:cs="仿宋"/>
                <w:color w:val="000000"/>
                <w:sz w:val="24"/>
                <w:szCs w:val="24"/>
                <w:highlight w:val="none"/>
              </w:rPr>
            </w:pPr>
            <w:r>
              <w:rPr>
                <w:rFonts w:hint="eastAsia" w:ascii="Times New Roman" w:hAnsi="Times New Roman" w:cs="仿宋"/>
                <w:color w:val="000000"/>
                <w:sz w:val="24"/>
                <w:szCs w:val="24"/>
                <w:highlight w:val="none"/>
              </w:rPr>
              <w:t>2.不允许分包。</w:t>
            </w:r>
          </w:p>
        </w:tc>
      </w:tr>
      <w:tr w14:paraId="47EE3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8" w:type="dxa"/>
            <w:noWrap w:val="0"/>
            <w:vAlign w:val="center"/>
          </w:tcPr>
          <w:p w14:paraId="31994A83">
            <w:pPr>
              <w:spacing w:line="400" w:lineRule="exact"/>
              <w:jc w:val="center"/>
              <w:rPr>
                <w:rFonts w:hint="eastAsia" w:ascii="Times New Roman" w:hAnsi="Times New Roman" w:cs="仿宋"/>
                <w:color w:val="000000"/>
                <w:sz w:val="24"/>
                <w:szCs w:val="24"/>
                <w:highlight w:val="none"/>
              </w:rPr>
            </w:pPr>
            <w:r>
              <w:rPr>
                <w:rFonts w:hint="eastAsia" w:ascii="Times New Roman" w:hAnsi="Times New Roman" w:cs="仿宋"/>
                <w:color w:val="000000"/>
                <w:sz w:val="24"/>
                <w:szCs w:val="24"/>
                <w:highlight w:val="none"/>
              </w:rPr>
              <w:t>9</w:t>
            </w:r>
          </w:p>
        </w:tc>
        <w:tc>
          <w:tcPr>
            <w:tcW w:w="1772" w:type="dxa"/>
            <w:noWrap w:val="0"/>
            <w:vAlign w:val="center"/>
          </w:tcPr>
          <w:p w14:paraId="782ECEEA">
            <w:pPr>
              <w:spacing w:line="400" w:lineRule="exact"/>
              <w:jc w:val="center"/>
              <w:rPr>
                <w:rFonts w:hint="eastAsia" w:ascii="Times New Roman" w:hAnsi="Times New Roman" w:cs="仿宋"/>
                <w:color w:val="000000"/>
                <w:sz w:val="24"/>
                <w:szCs w:val="24"/>
                <w:highlight w:val="none"/>
              </w:rPr>
            </w:pPr>
            <w:r>
              <w:rPr>
                <w:rFonts w:hint="eastAsia" w:ascii="Times New Roman" w:hAnsi="Times New Roman" w:cs="仿宋"/>
                <w:color w:val="000000"/>
                <w:sz w:val="24"/>
                <w:szCs w:val="24"/>
                <w:highlight w:val="none"/>
              </w:rPr>
              <w:t>代理费用收取方式及标准</w:t>
            </w:r>
          </w:p>
        </w:tc>
        <w:tc>
          <w:tcPr>
            <w:tcW w:w="6579" w:type="dxa"/>
            <w:noWrap w:val="0"/>
            <w:vAlign w:val="center"/>
          </w:tcPr>
          <w:p w14:paraId="300D8E26">
            <w:pPr>
              <w:spacing w:line="400" w:lineRule="exact"/>
              <w:jc w:val="left"/>
              <w:rPr>
                <w:rFonts w:hint="eastAsia" w:ascii="Times New Roman" w:hAnsi="Times New Roman" w:cs="仿宋"/>
                <w:color w:val="000000"/>
                <w:sz w:val="24"/>
                <w:szCs w:val="24"/>
                <w:highlight w:val="none"/>
              </w:rPr>
            </w:pPr>
            <w:bookmarkStart w:id="86" w:name="EBfe735bb6fc4d4e5e9e350f940db98c5f"/>
            <w:bookmarkEnd w:id="86"/>
            <w:r>
              <w:rPr>
                <w:rFonts w:hint="eastAsia" w:ascii="Times New Roman" w:hAnsi="Times New Roman" w:cs="仿宋"/>
                <w:color w:val="000000"/>
                <w:sz w:val="24"/>
                <w:szCs w:val="24"/>
                <w:highlight w:val="none"/>
              </w:rPr>
              <w:t>中标人在中标公告发出后7日内按照“苏招协【2022】002号”文件标准支付招标代理费。投标人应将其综合考虑在投标报价中，不单独列项。（可采用数字人民币方式）</w:t>
            </w:r>
          </w:p>
        </w:tc>
      </w:tr>
      <w:tr w14:paraId="16FD6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8" w:type="dxa"/>
            <w:noWrap w:val="0"/>
            <w:vAlign w:val="center"/>
          </w:tcPr>
          <w:p w14:paraId="30E433EF">
            <w:pPr>
              <w:spacing w:line="400" w:lineRule="exact"/>
              <w:jc w:val="center"/>
              <w:rPr>
                <w:rFonts w:hint="eastAsia" w:ascii="Times New Roman" w:hAnsi="Times New Roman" w:cs="仿宋"/>
                <w:color w:val="000000"/>
                <w:sz w:val="24"/>
                <w:szCs w:val="24"/>
                <w:highlight w:val="none"/>
              </w:rPr>
            </w:pPr>
            <w:r>
              <w:rPr>
                <w:rFonts w:hint="eastAsia" w:ascii="Times New Roman" w:hAnsi="Times New Roman" w:cs="仿宋"/>
                <w:color w:val="000000"/>
                <w:sz w:val="24"/>
                <w:szCs w:val="24"/>
                <w:highlight w:val="none"/>
              </w:rPr>
              <w:t>10</w:t>
            </w:r>
          </w:p>
        </w:tc>
        <w:tc>
          <w:tcPr>
            <w:tcW w:w="1772" w:type="dxa"/>
            <w:noWrap w:val="0"/>
            <w:vAlign w:val="center"/>
          </w:tcPr>
          <w:p w14:paraId="1766FF79">
            <w:pPr>
              <w:spacing w:line="400" w:lineRule="exact"/>
              <w:jc w:val="center"/>
              <w:rPr>
                <w:rFonts w:hint="eastAsia" w:ascii="Times New Roman" w:hAnsi="Times New Roman" w:cs="仿宋"/>
                <w:color w:val="000000"/>
                <w:sz w:val="24"/>
                <w:szCs w:val="24"/>
                <w:highlight w:val="none"/>
              </w:rPr>
            </w:pPr>
            <w:r>
              <w:rPr>
                <w:rFonts w:hint="eastAsia" w:ascii="Times New Roman" w:hAnsi="Times New Roman" w:cs="仿宋"/>
                <w:color w:val="000000"/>
                <w:sz w:val="24"/>
                <w:szCs w:val="24"/>
                <w:highlight w:val="none"/>
              </w:rPr>
              <w:t>其他</w:t>
            </w:r>
            <w:bookmarkEnd w:id="77"/>
            <w:bookmarkEnd w:id="78"/>
            <w:bookmarkEnd w:id="79"/>
          </w:p>
        </w:tc>
        <w:tc>
          <w:tcPr>
            <w:tcW w:w="6579" w:type="dxa"/>
            <w:noWrap w:val="0"/>
            <w:vAlign w:val="center"/>
          </w:tcPr>
          <w:p w14:paraId="6B97C861">
            <w:pPr>
              <w:spacing w:line="400" w:lineRule="exact"/>
              <w:jc w:val="left"/>
              <w:rPr>
                <w:rFonts w:hint="eastAsia" w:ascii="Times New Roman" w:hAnsi="Times New Roman" w:cs="仿宋"/>
                <w:color w:val="000000"/>
                <w:sz w:val="24"/>
                <w:szCs w:val="24"/>
                <w:highlight w:val="none"/>
              </w:rPr>
            </w:pPr>
            <w:r>
              <w:rPr>
                <w:rFonts w:hint="eastAsia" w:ascii="Times New Roman" w:hAnsi="Times New Roman" w:cs="仿宋"/>
                <w:color w:val="000000"/>
                <w:sz w:val="24"/>
                <w:szCs w:val="24"/>
                <w:highlight w:val="none"/>
              </w:rPr>
              <w:t>信用信息查询截止时间：资格审查结束前。由采购人在资格审查现场查询信用信息，网页截屏打印，查询结果留存并归档。</w:t>
            </w:r>
          </w:p>
        </w:tc>
      </w:tr>
    </w:tbl>
    <w:p w14:paraId="08BAE75B">
      <w:pPr>
        <w:rPr>
          <w:color w:val="000000"/>
          <w:sz w:val="20"/>
          <w:highlight w:val="none"/>
        </w:rPr>
      </w:pPr>
    </w:p>
    <w:p w14:paraId="67E83DAC">
      <w:pPr>
        <w:pStyle w:val="43"/>
        <w:spacing w:before="0" w:after="0" w:line="480" w:lineRule="exact"/>
        <w:ind w:firstLine="321"/>
        <w:rPr>
          <w:rFonts w:hint="eastAsia" w:eastAsia="宋体" w:cs="Arial"/>
          <w:bCs/>
          <w:color w:val="000000"/>
          <w:szCs w:val="22"/>
          <w:highlight w:val="none"/>
        </w:rPr>
      </w:pPr>
      <w:bookmarkStart w:id="87" w:name="EB6eaaf474639940df900ef4965d71f450"/>
      <w:bookmarkEnd w:id="87"/>
      <w:bookmarkStart w:id="88" w:name="_Toc81575192"/>
      <w:bookmarkStart w:id="89" w:name="_Toc8239"/>
      <w:bookmarkStart w:id="90" w:name="_Toc30953"/>
      <w:bookmarkStart w:id="91" w:name="_Toc81575155"/>
      <w:r>
        <w:rPr>
          <w:rFonts w:hint="eastAsia" w:eastAsia="宋体" w:cs="Arial"/>
          <w:bCs/>
          <w:color w:val="000000"/>
          <w:szCs w:val="22"/>
          <w:highlight w:val="none"/>
        </w:rPr>
        <w:t>一、总 则</w:t>
      </w:r>
      <w:bookmarkEnd w:id="88"/>
      <w:bookmarkEnd w:id="89"/>
      <w:bookmarkEnd w:id="90"/>
      <w:bookmarkEnd w:id="91"/>
    </w:p>
    <w:p w14:paraId="1D6AE6BE">
      <w:pPr>
        <w:spacing w:line="480" w:lineRule="exact"/>
        <w:ind w:firstLine="482"/>
        <w:rPr>
          <w:rFonts w:hint="eastAsia" w:ascii="Times New Roman" w:hAnsi="Times New Roman" w:cs="仿宋"/>
          <w:b/>
          <w:color w:val="000000"/>
          <w:sz w:val="24"/>
          <w:highlight w:val="none"/>
        </w:rPr>
      </w:pPr>
      <w:r>
        <w:rPr>
          <w:rFonts w:hint="eastAsia" w:ascii="Times New Roman" w:hAnsi="Times New Roman" w:cs="仿宋"/>
          <w:b/>
          <w:color w:val="000000"/>
          <w:sz w:val="24"/>
          <w:highlight w:val="none"/>
          <w:lang w:eastAsia="zh-CN"/>
        </w:rPr>
        <w:t>1.</w:t>
      </w:r>
      <w:r>
        <w:rPr>
          <w:rFonts w:hint="eastAsia" w:ascii="Times New Roman" w:hAnsi="Times New Roman" w:cs="仿宋"/>
          <w:b/>
          <w:color w:val="000000"/>
          <w:sz w:val="24"/>
          <w:highlight w:val="none"/>
        </w:rPr>
        <w:t>招标方式</w:t>
      </w:r>
    </w:p>
    <w:p w14:paraId="69C4C4F2">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本次采购采取公开招标方式。</w:t>
      </w:r>
    </w:p>
    <w:p w14:paraId="3B10A91A">
      <w:pPr>
        <w:spacing w:line="480" w:lineRule="exact"/>
        <w:ind w:firstLine="482"/>
        <w:rPr>
          <w:rFonts w:hint="eastAsia" w:ascii="Times New Roman" w:hAnsi="Times New Roman" w:cs="仿宋"/>
          <w:b/>
          <w:color w:val="000000"/>
          <w:sz w:val="24"/>
          <w:highlight w:val="none"/>
        </w:rPr>
      </w:pPr>
      <w:r>
        <w:rPr>
          <w:rFonts w:hint="eastAsia" w:ascii="Times New Roman" w:hAnsi="Times New Roman" w:cs="仿宋"/>
          <w:b/>
          <w:color w:val="000000"/>
          <w:sz w:val="24"/>
          <w:highlight w:val="none"/>
          <w:lang w:eastAsia="zh-CN"/>
        </w:rPr>
        <w:t>2.</w:t>
      </w:r>
      <w:r>
        <w:rPr>
          <w:rFonts w:hint="eastAsia" w:ascii="Times New Roman" w:hAnsi="Times New Roman" w:cs="仿宋"/>
          <w:b/>
          <w:color w:val="000000"/>
          <w:sz w:val="24"/>
          <w:highlight w:val="none"/>
        </w:rPr>
        <w:t>合格的投标人</w:t>
      </w:r>
    </w:p>
    <w:p w14:paraId="566D3A95">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2.1合格的投标人必须符合招标文件第一章《投标邀请》第二条及投标人须知前附表相关规定，且具备完成本项目的能力，中标后不允许转包。</w:t>
      </w:r>
    </w:p>
    <w:p w14:paraId="1FF3A8E7">
      <w:pPr>
        <w:spacing w:line="480" w:lineRule="exact"/>
        <w:ind w:firstLine="480"/>
        <w:rPr>
          <w:rFonts w:ascii="Times New Roman" w:hAnsi="Times New Roman" w:cs="仿宋"/>
          <w:color w:val="000000"/>
          <w:sz w:val="24"/>
          <w:highlight w:val="none"/>
        </w:rPr>
      </w:pPr>
      <w:r>
        <w:rPr>
          <w:rFonts w:hint="eastAsia" w:ascii="Times New Roman" w:hAnsi="Times New Roman" w:cs="仿宋"/>
          <w:color w:val="000000"/>
          <w:sz w:val="24"/>
          <w:highlight w:val="none"/>
        </w:rPr>
        <w:t>2.2满足本文件实质性要求的规定。</w:t>
      </w:r>
    </w:p>
    <w:p w14:paraId="7F6A9ACF">
      <w:pPr>
        <w:spacing w:line="480" w:lineRule="exact"/>
        <w:ind w:firstLine="482"/>
        <w:rPr>
          <w:rFonts w:hint="eastAsia" w:ascii="Times New Roman" w:hAnsi="Times New Roman" w:cs="仿宋"/>
          <w:b/>
          <w:color w:val="000000"/>
          <w:sz w:val="24"/>
          <w:highlight w:val="none"/>
        </w:rPr>
      </w:pPr>
      <w:r>
        <w:rPr>
          <w:rFonts w:hint="eastAsia" w:ascii="Times New Roman" w:hAnsi="Times New Roman" w:cs="仿宋"/>
          <w:b/>
          <w:color w:val="000000"/>
          <w:sz w:val="24"/>
          <w:highlight w:val="none"/>
          <w:lang w:eastAsia="zh-CN"/>
        </w:rPr>
        <w:t>3.</w:t>
      </w:r>
      <w:r>
        <w:rPr>
          <w:rFonts w:hint="eastAsia" w:ascii="Times New Roman" w:hAnsi="Times New Roman" w:cs="仿宋"/>
          <w:b/>
          <w:color w:val="000000"/>
          <w:sz w:val="24"/>
          <w:highlight w:val="none"/>
        </w:rPr>
        <w:t>适用法律</w:t>
      </w:r>
    </w:p>
    <w:p w14:paraId="4C65B129">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本次招标及由招标产生的合同受中华人民共和国的相关</w:t>
      </w:r>
      <w:r>
        <w:rPr>
          <w:rFonts w:hint="eastAsia" w:ascii="Times New Roman" w:hAnsi="Times New Roman" w:cs="仿宋"/>
          <w:color w:val="000000"/>
          <w:sz w:val="24"/>
          <w:highlight w:val="none"/>
          <w:lang w:eastAsia="zh-CN"/>
        </w:rPr>
        <w:t>法律法规</w:t>
      </w:r>
      <w:r>
        <w:rPr>
          <w:rFonts w:hint="eastAsia" w:ascii="Times New Roman" w:hAnsi="Times New Roman" w:cs="仿宋"/>
          <w:color w:val="000000"/>
          <w:sz w:val="24"/>
          <w:highlight w:val="none"/>
        </w:rPr>
        <w:t>制约和保护。</w:t>
      </w:r>
    </w:p>
    <w:p w14:paraId="6CE32D1F">
      <w:pPr>
        <w:spacing w:line="480" w:lineRule="exact"/>
        <w:ind w:firstLine="482"/>
        <w:rPr>
          <w:rFonts w:hint="eastAsia" w:ascii="Times New Roman" w:hAnsi="Times New Roman" w:cs="仿宋"/>
          <w:b/>
          <w:color w:val="000000"/>
          <w:sz w:val="24"/>
          <w:highlight w:val="none"/>
        </w:rPr>
      </w:pPr>
      <w:r>
        <w:rPr>
          <w:rFonts w:hint="eastAsia" w:ascii="Times New Roman" w:hAnsi="Times New Roman" w:cs="仿宋"/>
          <w:b/>
          <w:color w:val="000000"/>
          <w:sz w:val="24"/>
          <w:highlight w:val="none"/>
          <w:lang w:eastAsia="zh-CN"/>
        </w:rPr>
        <w:t>4.</w:t>
      </w:r>
      <w:r>
        <w:rPr>
          <w:rFonts w:hint="eastAsia" w:ascii="Times New Roman" w:hAnsi="Times New Roman" w:cs="仿宋"/>
          <w:b/>
          <w:color w:val="000000"/>
          <w:sz w:val="24"/>
          <w:highlight w:val="none"/>
        </w:rPr>
        <w:t>投标费用</w:t>
      </w:r>
    </w:p>
    <w:p w14:paraId="6CCBA308">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投标人应自行承担所有参加投标有关的费用。</w:t>
      </w:r>
    </w:p>
    <w:p w14:paraId="17FF64FD">
      <w:pPr>
        <w:pStyle w:val="43"/>
        <w:spacing w:before="0" w:after="0" w:line="480" w:lineRule="exact"/>
        <w:ind w:firstLine="321"/>
        <w:rPr>
          <w:rFonts w:hint="eastAsia" w:eastAsia="宋体" w:cs="Arial"/>
          <w:bCs/>
          <w:color w:val="000000"/>
          <w:szCs w:val="22"/>
          <w:highlight w:val="none"/>
        </w:rPr>
      </w:pPr>
      <w:bookmarkStart w:id="92" w:name="_Toc15995"/>
      <w:bookmarkStart w:id="93" w:name="_Toc81575156"/>
      <w:bookmarkStart w:id="94" w:name="_Toc81575193"/>
      <w:bookmarkStart w:id="95" w:name="_Toc29306"/>
      <w:r>
        <w:rPr>
          <w:rFonts w:hint="eastAsia" w:eastAsia="宋体" w:cs="Arial"/>
          <w:bCs/>
          <w:color w:val="000000"/>
          <w:szCs w:val="22"/>
          <w:highlight w:val="none"/>
        </w:rPr>
        <w:t>二、招标文件</w:t>
      </w:r>
      <w:bookmarkEnd w:id="92"/>
      <w:bookmarkEnd w:id="93"/>
      <w:bookmarkEnd w:id="94"/>
      <w:bookmarkEnd w:id="95"/>
    </w:p>
    <w:p w14:paraId="52DA8C3B">
      <w:pPr>
        <w:spacing w:line="480" w:lineRule="exact"/>
        <w:ind w:firstLine="482"/>
        <w:rPr>
          <w:rFonts w:hint="eastAsia" w:ascii="Times New Roman" w:hAnsi="Times New Roman" w:cs="仿宋"/>
          <w:b/>
          <w:color w:val="000000"/>
          <w:sz w:val="24"/>
          <w:highlight w:val="none"/>
        </w:rPr>
      </w:pPr>
      <w:r>
        <w:rPr>
          <w:rFonts w:hint="eastAsia" w:ascii="Times New Roman" w:hAnsi="Times New Roman" w:cs="仿宋"/>
          <w:b/>
          <w:color w:val="000000"/>
          <w:sz w:val="24"/>
          <w:highlight w:val="none"/>
          <w:lang w:eastAsia="zh-CN"/>
        </w:rPr>
        <w:t>5.</w:t>
      </w:r>
      <w:r>
        <w:rPr>
          <w:rFonts w:hint="eastAsia" w:ascii="Times New Roman" w:hAnsi="Times New Roman" w:cs="仿宋"/>
          <w:b/>
          <w:color w:val="000000"/>
          <w:sz w:val="24"/>
          <w:highlight w:val="none"/>
        </w:rPr>
        <w:t>招标文件构成</w:t>
      </w:r>
    </w:p>
    <w:p w14:paraId="256D2AD4">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5.1招标文件由以下部分组成：</w:t>
      </w:r>
    </w:p>
    <w:p w14:paraId="74B9AAC8">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第一章：投标邀请；</w:t>
      </w:r>
    </w:p>
    <w:p w14:paraId="5446B22A">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第二章：投标人须知；</w:t>
      </w:r>
    </w:p>
    <w:p w14:paraId="54BB3E33">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第三章：资格审查及评标办法；</w:t>
      </w:r>
    </w:p>
    <w:p w14:paraId="0B91AEC8">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第四章：采购需求；</w:t>
      </w:r>
    </w:p>
    <w:p w14:paraId="45721979">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第五章：合同文本；</w:t>
      </w:r>
    </w:p>
    <w:p w14:paraId="2403E6BD">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第六章：投标文件格式。</w:t>
      </w:r>
    </w:p>
    <w:p w14:paraId="0C3ACBBC">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请仔细检查招标文件是否齐全，如有缺漏请立即与代理机构联系解决。</w:t>
      </w:r>
    </w:p>
    <w:p w14:paraId="4AD0B6D5">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5.2投标人应认真阅读招标文件中所有的事项、格式、条款和规范等要求，按招标文件要求和规定编制投标文件，并保证所提供的全部资料的真实性，以使其投标文件对招标文件作出实质性响应，否则风险由投标人自行承担。</w:t>
      </w:r>
    </w:p>
    <w:p w14:paraId="6ACA38BF">
      <w:pPr>
        <w:spacing w:line="480" w:lineRule="exact"/>
        <w:ind w:firstLine="482"/>
        <w:rPr>
          <w:rFonts w:hint="eastAsia" w:ascii="Times New Roman" w:hAnsi="Times New Roman" w:cs="仿宋"/>
          <w:b/>
          <w:color w:val="000000"/>
          <w:sz w:val="24"/>
          <w:highlight w:val="none"/>
        </w:rPr>
      </w:pPr>
      <w:r>
        <w:rPr>
          <w:rFonts w:hint="eastAsia" w:ascii="Times New Roman" w:hAnsi="Times New Roman" w:cs="仿宋"/>
          <w:b/>
          <w:color w:val="000000"/>
          <w:sz w:val="24"/>
          <w:highlight w:val="none"/>
          <w:lang w:eastAsia="zh-CN"/>
        </w:rPr>
        <w:t>6.</w:t>
      </w:r>
      <w:r>
        <w:rPr>
          <w:rFonts w:hint="eastAsia" w:ascii="Times New Roman" w:hAnsi="Times New Roman" w:cs="仿宋"/>
          <w:b/>
          <w:color w:val="000000"/>
          <w:sz w:val="24"/>
          <w:highlight w:val="none"/>
        </w:rPr>
        <w:t>政府采购政策功能落实</w:t>
      </w:r>
    </w:p>
    <w:p w14:paraId="0D962233">
      <w:pPr>
        <w:spacing w:line="480" w:lineRule="exact"/>
        <w:ind w:firstLine="482"/>
        <w:rPr>
          <w:rFonts w:ascii="Times New Roman" w:hAnsi="Times New Roman" w:cs="仿宋"/>
          <w:b/>
          <w:bCs/>
          <w:color w:val="000000"/>
          <w:sz w:val="24"/>
          <w:highlight w:val="none"/>
          <w:u w:val="single"/>
        </w:rPr>
      </w:pPr>
      <w:r>
        <w:rPr>
          <w:rFonts w:hint="eastAsia" w:ascii="Times New Roman" w:hAnsi="Times New Roman" w:cs="仿宋"/>
          <w:b/>
          <w:bCs/>
          <w:color w:val="000000"/>
          <w:sz w:val="24"/>
          <w:highlight w:val="none"/>
        </w:rPr>
        <w:t>本项目落实的政府采购政策对应序号为</w:t>
      </w:r>
      <w:r>
        <w:rPr>
          <w:rFonts w:hint="eastAsia" w:ascii="Times New Roman" w:hAnsi="Times New Roman" w:cs="仿宋"/>
          <w:b/>
          <w:bCs/>
          <w:color w:val="000000"/>
          <w:sz w:val="24"/>
          <w:highlight w:val="none"/>
          <w:u w:val="single"/>
        </w:rPr>
        <w:t xml:space="preserve">     </w:t>
      </w:r>
      <w:r>
        <w:rPr>
          <w:rFonts w:hint="eastAsia" w:ascii="Times New Roman" w:hAnsi="Times New Roman" w:cs="仿宋"/>
          <w:b/>
          <w:bCs/>
          <w:color w:val="000000"/>
          <w:sz w:val="24"/>
          <w:highlight w:val="none"/>
          <w:u w:val="single"/>
          <w:lang w:val="en-US" w:eastAsia="zh-CN"/>
        </w:rPr>
        <w:t>6.1</w:t>
      </w:r>
      <w:r>
        <w:rPr>
          <w:rFonts w:hint="eastAsia" w:ascii="Times New Roman" w:hAnsi="Times New Roman" w:cs="仿宋"/>
          <w:b/>
          <w:bCs/>
          <w:color w:val="000000"/>
          <w:sz w:val="24"/>
          <w:highlight w:val="none"/>
          <w:u w:val="single"/>
        </w:rPr>
        <w:t xml:space="preserve">  </w:t>
      </w:r>
      <w:r>
        <w:rPr>
          <w:rFonts w:hint="eastAsia" w:ascii="Times New Roman" w:hAnsi="Times New Roman" w:cs="仿宋"/>
          <w:b/>
          <w:bCs/>
          <w:color w:val="000000"/>
          <w:sz w:val="24"/>
          <w:highlight w:val="none"/>
          <w:u w:val="single"/>
          <w:lang w:val="en-US" w:eastAsia="zh-CN"/>
        </w:rPr>
        <w:t>6.2  6.3</w:t>
      </w:r>
      <w:r>
        <w:rPr>
          <w:rFonts w:hint="eastAsia" w:ascii="Times New Roman" w:hAnsi="Times New Roman" w:cs="仿宋"/>
          <w:b/>
          <w:bCs/>
          <w:color w:val="000000"/>
          <w:sz w:val="24"/>
          <w:highlight w:val="none"/>
          <w:u w:val="single"/>
        </w:rPr>
        <w:t xml:space="preserve">  </w:t>
      </w:r>
      <w:r>
        <w:rPr>
          <w:rFonts w:hint="eastAsia" w:ascii="Times New Roman" w:hAnsi="Times New Roman" w:cs="仿宋"/>
          <w:b/>
          <w:bCs/>
          <w:color w:val="000000"/>
          <w:sz w:val="24"/>
          <w:highlight w:val="none"/>
          <w:u w:val="single"/>
          <w:lang w:val="en-US" w:eastAsia="zh-CN"/>
        </w:rPr>
        <w:t>6.5</w:t>
      </w:r>
      <w:r>
        <w:rPr>
          <w:rFonts w:hint="eastAsia" w:ascii="Times New Roman" w:hAnsi="Times New Roman" w:cs="仿宋"/>
          <w:b/>
          <w:bCs/>
          <w:color w:val="000000"/>
          <w:sz w:val="24"/>
          <w:highlight w:val="none"/>
          <w:u w:val="single"/>
        </w:rPr>
        <w:t xml:space="preserve">   </w:t>
      </w:r>
    </w:p>
    <w:p w14:paraId="66AD0746">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6.1中小企业政策</w:t>
      </w:r>
    </w:p>
    <w:p w14:paraId="4BF304ED">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本项目按第</w:t>
      </w:r>
      <w:r>
        <w:rPr>
          <w:rFonts w:hint="eastAsia" w:ascii="Times New Roman" w:hAnsi="Times New Roman" w:cs="仿宋"/>
          <w:color w:val="000000"/>
          <w:sz w:val="24"/>
          <w:highlight w:val="none"/>
          <w:u w:val="single"/>
        </w:rPr>
        <w:t>（2）</w:t>
      </w:r>
      <w:r>
        <w:rPr>
          <w:rFonts w:hint="eastAsia" w:ascii="Times New Roman" w:hAnsi="Times New Roman" w:cs="仿宋"/>
          <w:color w:val="000000"/>
          <w:sz w:val="24"/>
          <w:highlight w:val="none"/>
        </w:rPr>
        <w:t>种政策落实：</w:t>
      </w:r>
    </w:p>
    <w:p w14:paraId="033940EC">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（1）本项目专门面向中小企业（含监狱与戒毒企业、残疾人福利企业）采购。</w:t>
      </w:r>
    </w:p>
    <w:p w14:paraId="7BAC61DA">
      <w:pPr>
        <w:spacing w:line="480" w:lineRule="exact"/>
        <w:ind w:firstLine="480"/>
        <w:rPr>
          <w:rFonts w:ascii="Times New Roman" w:hAnsi="Times New Roman" w:cs="仿宋"/>
          <w:color w:val="000000"/>
          <w:sz w:val="24"/>
          <w:highlight w:val="none"/>
        </w:rPr>
      </w:pPr>
      <w:r>
        <w:rPr>
          <w:rFonts w:hint="eastAsia" w:ascii="Times New Roman" w:hAnsi="Times New Roman" w:cs="仿宋"/>
          <w:color w:val="000000"/>
          <w:sz w:val="24"/>
          <w:highlight w:val="none"/>
        </w:rPr>
        <w:t>（2）对符合规定情形的小微企业报价给予</w:t>
      </w:r>
      <w:r>
        <w:rPr>
          <w:rFonts w:hint="eastAsia" w:ascii="Times New Roman" w:hAnsi="Times New Roman" w:cs="仿宋"/>
          <w:color w:val="000000"/>
          <w:sz w:val="24"/>
          <w:highlight w:val="none"/>
          <w:u w:val="single"/>
          <w:lang w:val="en-US" w:eastAsia="zh-CN"/>
        </w:rPr>
        <w:t>15</w:t>
      </w:r>
      <w:r>
        <w:rPr>
          <w:rFonts w:hint="eastAsia" w:ascii="Times New Roman" w:hAnsi="Times New Roman" w:cs="仿宋"/>
          <w:color w:val="000000"/>
          <w:sz w:val="24"/>
          <w:highlight w:val="none"/>
          <w:u w:val="single"/>
        </w:rPr>
        <w:t>%</w:t>
      </w:r>
      <w:r>
        <w:rPr>
          <w:rFonts w:hint="eastAsia" w:ascii="Times New Roman" w:hAnsi="Times New Roman" w:cs="仿宋"/>
          <w:color w:val="000000"/>
          <w:sz w:val="24"/>
          <w:highlight w:val="none"/>
        </w:rPr>
        <w:t>扣除，用扣除后的价格参加评审。</w:t>
      </w:r>
    </w:p>
    <w:p w14:paraId="6BD82AB7">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在服务采购项目中，服务由中小企业承接，即提供服务的人员为中小企业依照《中华人民共和国劳动合同法》订立劳动合同的从业人员。</w:t>
      </w:r>
    </w:p>
    <w:p w14:paraId="4748A699">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_GB2312"/>
          <w:color w:val="000000"/>
          <w:sz w:val="24"/>
          <w:highlight w:val="none"/>
        </w:rPr>
        <w:t>在货物采购项目中，货物由中小企业制造，即货物由中小企业生产且使用该中小企业商号或者注册商标。</w:t>
      </w:r>
    </w:p>
    <w:p w14:paraId="6C6E9062">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注：①参加投标的中小企业，应当按照《政府采购促进中小企业发展管理办法》（财库〔2020〕46号）规定，出具《中小企业声明函》，中小企业划型依据《关于印发中小企业划型标准规定的通知》（工信部联企业〔2011〕300号）。</w:t>
      </w:r>
    </w:p>
    <w:p w14:paraId="4589325F">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②参加投标的监狱企业，视同小型、微型企业。监狱企业应当按照《财政部 司法部关于政府采购支持监狱企业发展有关问题的通知》（财库〔2014〕68号）的规定，提供由省级以上监狱管理局、戒毒管理局</w:t>
      </w:r>
      <w:r>
        <w:rPr>
          <w:rFonts w:hint="eastAsia" w:ascii="Times New Roman" w:hAnsi="Times New Roman" w:cs="仿宋"/>
          <w:color w:val="000000"/>
          <w:sz w:val="24"/>
          <w:highlight w:val="none"/>
          <w:lang w:eastAsia="zh-CN"/>
        </w:rPr>
        <w:t>（</w:t>
      </w:r>
      <w:r>
        <w:rPr>
          <w:rFonts w:hint="eastAsia" w:ascii="Times New Roman" w:hAnsi="Times New Roman" w:cs="仿宋"/>
          <w:color w:val="000000"/>
          <w:sz w:val="24"/>
          <w:highlight w:val="none"/>
        </w:rPr>
        <w:t>含新疆生产建设兵团</w:t>
      </w:r>
      <w:r>
        <w:rPr>
          <w:rFonts w:hint="eastAsia" w:ascii="Times New Roman" w:hAnsi="Times New Roman" w:cs="仿宋"/>
          <w:color w:val="000000"/>
          <w:sz w:val="24"/>
          <w:highlight w:val="none"/>
          <w:lang w:eastAsia="zh-CN"/>
        </w:rPr>
        <w:t>）</w:t>
      </w:r>
      <w:r>
        <w:rPr>
          <w:rFonts w:hint="eastAsia" w:ascii="Times New Roman" w:hAnsi="Times New Roman" w:cs="仿宋"/>
          <w:color w:val="000000"/>
          <w:sz w:val="24"/>
          <w:highlight w:val="none"/>
        </w:rPr>
        <w:t>出具的属于监狱企业的证明文件（投标文件中上传加盖出具单位公章的电子件）。</w:t>
      </w:r>
    </w:p>
    <w:p w14:paraId="1BB1C883">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③参加投标的残疾人福利性单位，视同小型、微型企业。残疾人福利性单位应当按照《财政部 民政部 中国残疾人联合会关于促进残疾人就业政府采购政策的通知》（财库〔2017〕141号）的规定，提供《残疾人福利性单位声明函》。</w:t>
      </w:r>
    </w:p>
    <w:p w14:paraId="03B57DA4">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④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Times New Roman" w:hAnsi="Times New Roman" w:cs="仿宋"/>
          <w:color w:val="000000"/>
          <w:sz w:val="24"/>
          <w:highlight w:val="none"/>
          <w:u w:val="single"/>
        </w:rPr>
        <w:t>5</w:t>
      </w:r>
      <w:r>
        <w:rPr>
          <w:rFonts w:hint="eastAsia" w:ascii="Times New Roman" w:hAnsi="Times New Roman" w:cs="仿宋"/>
          <w:color w:val="000000"/>
          <w:sz w:val="24"/>
          <w:highlight w:val="none"/>
        </w:rPr>
        <w:t>%（工程项目为</w:t>
      </w:r>
      <w:r>
        <w:rPr>
          <w:rFonts w:hint="eastAsia" w:ascii="Times New Roman" w:hAnsi="Times New Roman" w:cs="仿宋"/>
          <w:color w:val="000000"/>
          <w:sz w:val="24"/>
          <w:highlight w:val="none"/>
          <w:u w:val="single"/>
        </w:rPr>
        <w:t>2</w:t>
      </w:r>
      <w:r>
        <w:rPr>
          <w:rFonts w:hint="eastAsia" w:ascii="Times New Roman" w:hAnsi="Times New Roman" w:cs="仿宋"/>
          <w:color w:val="000000"/>
          <w:sz w:val="24"/>
          <w:highlight w:val="none"/>
        </w:rPr>
        <w:t>%）的扣除，用扣除后的价格参加评审。（是否接受联合体以“项目基本情况”相关内容为准，是否允许大中型企业向一家或者多家小微企业分包以“须知前附表</w:t>
      </w:r>
      <w:r>
        <w:rPr>
          <w:rFonts w:hint="eastAsia" w:ascii="Times New Roman" w:hAnsi="Times New Roman" w:cs="仿宋"/>
          <w:color w:val="000000"/>
          <w:sz w:val="24"/>
          <w:highlight w:val="none"/>
          <w:lang w:eastAsia="zh-CN"/>
        </w:rPr>
        <w:t>”“</w:t>
      </w:r>
      <w:r>
        <w:rPr>
          <w:rFonts w:hint="eastAsia" w:ascii="Times New Roman" w:hAnsi="Times New Roman" w:cs="仿宋"/>
          <w:color w:val="000000"/>
          <w:sz w:val="24"/>
          <w:highlight w:val="none"/>
        </w:rPr>
        <w:t>采购需求”相关内容为准。）</w:t>
      </w:r>
    </w:p>
    <w:p w14:paraId="0E8787C4">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⑤联合体各方均为小型、微型企业（残疾人福利单位、监狱企业）的，联合体享受15%价格扣除，用扣除后的价格参与评审。</w:t>
      </w:r>
    </w:p>
    <w:p w14:paraId="33FFE25A">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6.2节能产品、环境标志产品</w:t>
      </w:r>
    </w:p>
    <w:p w14:paraId="77964F21">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拟采购的产品属于品目清单范围的，采购人将依据国家确定的认证机构出具的、处于有效期之内的节能产品、环境标志产品认证证书，对获得证书的产品实施政府优先采购或强制采购。</w:t>
      </w:r>
    </w:p>
    <w:p w14:paraId="788A0961">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6.2.1拟采购的产品属于政府强制采购的节能产品品目清单范围的，投标人须提供国家确定的认证机构出具的、处于有效期之内的节能产品认证证书，否则其投标文件作无效标处理。</w:t>
      </w:r>
    </w:p>
    <w:p w14:paraId="2CC1745F">
      <w:pPr>
        <w:keepNext w:val="0"/>
        <w:keepLines w:val="0"/>
        <w:pageBreakBefore w:val="0"/>
        <w:widowControl w:val="0"/>
        <w:spacing w:line="480" w:lineRule="exact"/>
        <w:ind w:firstLine="480"/>
        <w:rPr>
          <w:rFonts w:hint="eastAsia" w:ascii="Times New Roman" w:hAnsi="Times New Roman" w:eastAsia="宋体" w:cs="仿宋"/>
          <w:color w:val="000000"/>
          <w:sz w:val="24"/>
          <w:highlight w:val="none"/>
        </w:rPr>
      </w:pPr>
      <w:r>
        <w:rPr>
          <w:rFonts w:hint="eastAsia" w:ascii="Times New Roman" w:hAnsi="Times New Roman" w:eastAsia="宋体" w:cs="仿宋"/>
          <w:color w:val="000000"/>
          <w:sz w:val="24"/>
          <w:highlight w:val="none"/>
        </w:rPr>
        <w:t>6.2.</w:t>
      </w:r>
      <w:r>
        <w:rPr>
          <w:rFonts w:hint="eastAsia" w:ascii="Times New Roman" w:hAnsi="Times New Roman" w:eastAsia="宋体" w:cs="仿宋"/>
          <w:color w:val="000000"/>
          <w:sz w:val="24"/>
          <w:highlight w:val="none"/>
          <w:lang w:val="en-US" w:eastAsia="zh-CN"/>
        </w:rPr>
        <w:t>2</w:t>
      </w:r>
      <w:r>
        <w:rPr>
          <w:rFonts w:hint="eastAsia" w:ascii="Times New Roman" w:hAnsi="Times New Roman" w:eastAsia="宋体" w:cs="仿宋"/>
          <w:color w:val="000000"/>
          <w:sz w:val="24"/>
          <w:highlight w:val="none"/>
        </w:rPr>
        <w:t>采购人拟采购的产品属于优先采购的节能环保品目清单范围的，按以下条件优先采购：</w:t>
      </w:r>
    </w:p>
    <w:p w14:paraId="520F79E3">
      <w:pPr>
        <w:keepNext w:val="0"/>
        <w:keepLines w:val="0"/>
        <w:pageBreakBefore w:val="0"/>
        <w:widowControl w:val="0"/>
        <w:spacing w:line="480" w:lineRule="exact"/>
        <w:ind w:firstLine="480"/>
        <w:rPr>
          <w:rFonts w:hint="eastAsia" w:ascii="Times New Roman" w:hAnsi="Times New Roman" w:eastAsia="宋体" w:cs="仿宋"/>
          <w:color w:val="000000"/>
          <w:sz w:val="24"/>
          <w:highlight w:val="none"/>
        </w:rPr>
      </w:pPr>
      <w:r>
        <w:rPr>
          <w:rFonts w:hint="eastAsia" w:ascii="Times New Roman" w:hAnsi="Times New Roman" w:eastAsia="宋体" w:cs="仿宋"/>
          <w:color w:val="000000"/>
          <w:sz w:val="24"/>
          <w:highlight w:val="none"/>
        </w:rPr>
        <w:t>采用综合评分法的项目，对提供有效节能环保证书的投标人加分。</w:t>
      </w:r>
    </w:p>
    <w:p w14:paraId="3C63D3BA">
      <w:pPr>
        <w:keepNext w:val="0"/>
        <w:keepLines w:val="0"/>
        <w:pageBreakBefore w:val="0"/>
        <w:widowControl w:val="0"/>
        <w:spacing w:line="480" w:lineRule="exact"/>
        <w:ind w:firstLine="480"/>
        <w:rPr>
          <w:rFonts w:hint="eastAsia" w:ascii="Times New Roman" w:hAnsi="Times New Roman" w:eastAsia="宋体" w:cs="仿宋"/>
          <w:color w:val="000000"/>
          <w:sz w:val="24"/>
          <w:highlight w:val="none"/>
        </w:rPr>
      </w:pPr>
      <w:r>
        <w:rPr>
          <w:rFonts w:hint="eastAsia" w:ascii="Times New Roman" w:hAnsi="Times New Roman" w:eastAsia="宋体" w:cs="仿宋"/>
          <w:color w:val="000000"/>
          <w:sz w:val="24"/>
          <w:highlight w:val="none"/>
        </w:rPr>
        <w:t>采用最低评标价法的项目，同等条件下优先推荐提供有效节能环保证书多的投标人为中标人。</w:t>
      </w:r>
    </w:p>
    <w:p w14:paraId="1106F6A9">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6.3政府采购需求标准</w:t>
      </w:r>
    </w:p>
    <w:p w14:paraId="6F2A35B3">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6.3.1商品包装、快递包装政府采购需求标准（试行）</w:t>
      </w:r>
    </w:p>
    <w:p w14:paraId="5623AA94">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按照财政部印发的《商品包装政府采购需求标准（试行）》《快递包装政府采购需求标准（试行）》要求执行，本项目商品包装和快递包装的具体需求详见第四章采购需求。</w:t>
      </w:r>
    </w:p>
    <w:p w14:paraId="5DB8FF69">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6.3.2绿色数据中心政府采购需求标准（试行）</w:t>
      </w:r>
    </w:p>
    <w:p w14:paraId="7D78D311">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按照财政部 生态环境部 工业和信息化部关于印发《绿色数据中心政府采购需求标准（试行）》的通知）要求执行，本项目绿色数据中心的具体需求详见第四章采购需求。</w:t>
      </w:r>
    </w:p>
    <w:p w14:paraId="5AC737ED">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6.3.3绿色建材政府采购需求标准</w:t>
      </w:r>
    </w:p>
    <w:p w14:paraId="023C7FDD">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按照财政部 住房和城乡建设部 工业和信息化部关于印发《关于扩大政府采购支持绿色建材促进建筑品质提升政策实施范围的通知》要求执行，本项目绿色建材的具体需求详见第四章采购需求。</w:t>
      </w:r>
    </w:p>
    <w:p w14:paraId="5962B11F">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6.4采购产品中涉及涂料、胶黏剂、油墨、清洗剂等挥发性有机物产品的，属于强制性标准的，供应商应当提供符合国家和江苏省相关VOCs 含量限制标准的产品。采购产品中涉及通用类货物、家具的，供应商应当优先使用低挥发性原辅材料，采购人将使用低VOCs含量的涂料、胶黏剂等纳入政府采购合同条款的，供应商必须严格执行。</w:t>
      </w:r>
    </w:p>
    <w:p w14:paraId="4F533C21">
      <w:pPr>
        <w:spacing w:line="480" w:lineRule="exact"/>
        <w:ind w:firstLine="480"/>
        <w:rPr>
          <w:rFonts w:hint="eastAsia" w:ascii="Times New Roman" w:hAnsi="Times New Roman" w:cs="仿宋"/>
          <w:color w:val="000000"/>
          <w:sz w:val="24"/>
          <w:highlight w:val="none"/>
        </w:rPr>
      </w:pPr>
      <w:r>
        <w:rPr>
          <w:rFonts w:hint="default" w:ascii="Times New Roman" w:hAnsi="Times New Roman" w:cs="仿宋"/>
          <w:color w:val="000000"/>
          <w:sz w:val="24"/>
          <w:highlight w:val="none"/>
        </w:rPr>
        <w:t>6.5本国产品价格评审优惠（依据国办发〔2025〕34 号）</w:t>
      </w:r>
    </w:p>
    <w:p w14:paraId="087D8AF1">
      <w:pPr>
        <w:spacing w:line="480" w:lineRule="exact"/>
        <w:ind w:firstLine="480"/>
        <w:rPr>
          <w:rFonts w:hint="eastAsia" w:ascii="Times New Roman" w:hAnsi="Times New Roman" w:cs="仿宋"/>
          <w:color w:val="000000"/>
          <w:sz w:val="24"/>
          <w:highlight w:val="none"/>
        </w:rPr>
      </w:pPr>
      <w:r>
        <w:rPr>
          <w:rFonts w:hint="default" w:ascii="Times New Roman" w:hAnsi="Times New Roman" w:cs="仿宋"/>
          <w:color w:val="000000"/>
          <w:sz w:val="24"/>
          <w:highlight w:val="none"/>
        </w:rPr>
        <w:t>6.5.1本项目为非预留份额的货物类采购项目，执行本国产品价格扣除政策。投标人所投产品既有本国产品又有非本国产品参与竞争时，对符合条件的本国产品给予20% 价格扣除，用扣除后的价格参与评审。</w:t>
      </w:r>
    </w:p>
    <w:p w14:paraId="79962982">
      <w:pPr>
        <w:spacing w:line="480" w:lineRule="exact"/>
        <w:ind w:firstLine="480"/>
        <w:rPr>
          <w:rFonts w:hint="eastAsia" w:ascii="Times New Roman" w:hAnsi="Times New Roman" w:cs="仿宋"/>
          <w:color w:val="000000"/>
          <w:sz w:val="24"/>
          <w:highlight w:val="none"/>
        </w:rPr>
      </w:pPr>
      <w:r>
        <w:rPr>
          <w:rFonts w:hint="default" w:ascii="Times New Roman" w:hAnsi="Times New Roman" w:cs="仿宋"/>
          <w:color w:val="000000"/>
          <w:sz w:val="24"/>
          <w:highlight w:val="none"/>
        </w:rPr>
        <w:t>（1）本国产品认定标准：指在中国关境内完成实质性生产（实现原材料、组件到成品的属性改变，不含简单贴牌、包装、上漆、分装等细微操作）。过渡期内，仅以境内生产作为认定依据。</w:t>
      </w:r>
    </w:p>
    <w:p w14:paraId="205566A9">
      <w:pPr>
        <w:spacing w:line="480" w:lineRule="exact"/>
        <w:ind w:firstLine="480"/>
        <w:rPr>
          <w:rFonts w:hint="eastAsia" w:ascii="Times New Roman" w:hAnsi="Times New Roman" w:cs="仿宋"/>
          <w:color w:val="000000"/>
          <w:sz w:val="24"/>
          <w:highlight w:val="none"/>
        </w:rPr>
      </w:pPr>
      <w:r>
        <w:rPr>
          <w:rFonts w:hint="default" w:ascii="Times New Roman" w:hAnsi="Times New Roman" w:cs="仿宋"/>
          <w:color w:val="000000"/>
          <w:sz w:val="24"/>
          <w:highlight w:val="none"/>
        </w:rPr>
        <w:t>（2）多产品比例规则：若项目含多种产品，投标人所投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7E2CA02">
      <w:pPr>
        <w:spacing w:line="480" w:lineRule="exact"/>
        <w:ind w:firstLine="480"/>
        <w:rPr>
          <w:rFonts w:hint="eastAsia"/>
        </w:rPr>
      </w:pPr>
      <w:r>
        <w:rPr>
          <w:rFonts w:hint="default" w:ascii="Times New Roman" w:hAnsi="Times New Roman" w:cs="仿宋"/>
          <w:color w:val="000000"/>
          <w:sz w:val="24"/>
          <w:highlight w:val="none"/>
        </w:rPr>
        <w:t>（3）证明材料要求：投标人须在投标文件中提供《关于符合本国产品标准的声明函》；多产品项目须同时提供《本国产品成本比例声明函》，承诺成本占比达标。未按要求提供或声明不实的，不享受价格扣除并承担相应法律责任。</w:t>
      </w:r>
    </w:p>
    <w:p w14:paraId="14B1BA5E">
      <w:pPr>
        <w:spacing w:line="480" w:lineRule="exact"/>
        <w:ind w:firstLine="482"/>
        <w:rPr>
          <w:rFonts w:hint="eastAsia" w:ascii="Times New Roman" w:hAnsi="Times New Roman" w:cs="仿宋"/>
          <w:b/>
          <w:color w:val="000000"/>
          <w:sz w:val="24"/>
          <w:highlight w:val="none"/>
        </w:rPr>
      </w:pPr>
      <w:r>
        <w:rPr>
          <w:rFonts w:hint="eastAsia" w:ascii="Times New Roman" w:hAnsi="Times New Roman" w:cs="仿宋"/>
          <w:b/>
          <w:color w:val="000000"/>
          <w:sz w:val="24"/>
          <w:highlight w:val="none"/>
          <w:lang w:eastAsia="zh-CN"/>
        </w:rPr>
        <w:t>7.</w:t>
      </w:r>
      <w:r>
        <w:rPr>
          <w:rFonts w:hint="eastAsia" w:ascii="Times New Roman" w:hAnsi="Times New Roman" w:cs="仿宋"/>
          <w:b/>
          <w:color w:val="000000"/>
          <w:sz w:val="24"/>
          <w:highlight w:val="none"/>
        </w:rPr>
        <w:t>招标文件的澄清或修改</w:t>
      </w:r>
    </w:p>
    <w:p w14:paraId="273C74F8">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7.1采购人或者采购代理机构可以以更正公告的形式，对已发出的招标文件进行必要的澄清或者修改。澄清或者修改的内容可能影响投标文件编制的，采购人或者采购代理机构应当在投标截止时间前15日前发出；不足15日的，采购人、采购代理机构应当顺延提交投标文件的截止时间。</w:t>
      </w:r>
    </w:p>
    <w:p w14:paraId="11648971">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7.2招标文件的澄清、修改将在原公告媒体上发布更正公告，澄清、修改文件均作为招标文件的组成部分，并对投标人具有约束力。</w:t>
      </w:r>
    </w:p>
    <w:p w14:paraId="25FFCF58">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7.3投标人应及时登录“苏采云”系统获取澄清答疑文件（修改后的招标文件），如投标人未能及时下载澄清答疑文件，造成的相关责任由投标人承担。</w:t>
      </w:r>
    </w:p>
    <w:p w14:paraId="52AD66C9">
      <w:pPr>
        <w:pStyle w:val="43"/>
        <w:spacing w:before="0" w:after="0" w:line="480" w:lineRule="exact"/>
        <w:ind w:firstLine="321"/>
        <w:rPr>
          <w:rFonts w:hint="eastAsia" w:eastAsia="宋体" w:cs="Arial"/>
          <w:bCs/>
          <w:color w:val="000000"/>
          <w:szCs w:val="22"/>
          <w:highlight w:val="none"/>
        </w:rPr>
      </w:pPr>
      <w:bookmarkStart w:id="96" w:name="_Toc81575157"/>
      <w:bookmarkStart w:id="97" w:name="_Toc11461"/>
      <w:bookmarkStart w:id="98" w:name="_Toc5574"/>
      <w:bookmarkStart w:id="99" w:name="_Toc81575194"/>
      <w:r>
        <w:rPr>
          <w:rFonts w:hint="eastAsia" w:eastAsia="宋体" w:cs="Arial"/>
          <w:bCs/>
          <w:color w:val="000000"/>
          <w:szCs w:val="22"/>
          <w:highlight w:val="none"/>
        </w:rPr>
        <w:t>三、投标文件的编制</w:t>
      </w:r>
      <w:bookmarkEnd w:id="96"/>
      <w:bookmarkEnd w:id="97"/>
      <w:bookmarkEnd w:id="98"/>
      <w:bookmarkEnd w:id="99"/>
    </w:p>
    <w:p w14:paraId="1A0FD54B">
      <w:pPr>
        <w:spacing w:line="480" w:lineRule="exact"/>
        <w:ind w:firstLine="482"/>
        <w:rPr>
          <w:rFonts w:hint="eastAsia" w:ascii="Times New Roman" w:hAnsi="Times New Roman" w:cs="仿宋"/>
          <w:b/>
          <w:color w:val="000000"/>
          <w:sz w:val="24"/>
          <w:highlight w:val="none"/>
        </w:rPr>
      </w:pPr>
      <w:r>
        <w:rPr>
          <w:rFonts w:hint="eastAsia" w:ascii="Times New Roman" w:hAnsi="Times New Roman" w:cs="仿宋"/>
          <w:b/>
          <w:color w:val="000000"/>
          <w:sz w:val="24"/>
          <w:highlight w:val="none"/>
          <w:lang w:eastAsia="zh-CN"/>
        </w:rPr>
        <w:t>8.</w:t>
      </w:r>
      <w:r>
        <w:rPr>
          <w:rFonts w:hint="eastAsia" w:ascii="Times New Roman" w:hAnsi="Times New Roman" w:cs="仿宋"/>
          <w:b/>
          <w:color w:val="000000"/>
          <w:sz w:val="24"/>
          <w:highlight w:val="none"/>
        </w:rPr>
        <w:t>投标文件的编制要求</w:t>
      </w:r>
    </w:p>
    <w:p w14:paraId="73D7810B">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8.1投标人应仔细阅读“招标文件”的所有内容，保证所提供的全部资料的真实性、完整性及有效性，以使其投标对“招标文件”作出实质性响应。</w:t>
      </w:r>
    </w:p>
    <w:p w14:paraId="7969C2AB">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8.2投标文件要求加盖电子签章之处，应按要求加盖投标人数字证书的电子签章。其他需要盖章但未明确要求电子签章的，投标人可按要求加盖公章后上传材料电子件或直接加盖电子签章。</w:t>
      </w:r>
    </w:p>
    <w:p w14:paraId="04AFB2EB">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8.3本项目通过“苏采云”系统进行电子投标，投标人使用政府采购客户端工具制作并通过“苏采云”系统提交投标文件，如标书制作工具中格式、内容与“江苏政府采购网”“宿迁市政府采购网”发布的采购文件不一致的，以“江苏政府采购网”“宿迁市政府采购网”发布的采购文件为准。</w:t>
      </w:r>
    </w:p>
    <w:p w14:paraId="5C97A983">
      <w:pPr>
        <w:spacing w:line="480" w:lineRule="exact"/>
        <w:ind w:firstLine="482"/>
        <w:rPr>
          <w:rFonts w:hint="eastAsia" w:ascii="Times New Roman" w:hAnsi="Times New Roman" w:cs="仿宋"/>
          <w:b/>
          <w:color w:val="000000"/>
          <w:sz w:val="24"/>
          <w:highlight w:val="none"/>
        </w:rPr>
      </w:pPr>
      <w:r>
        <w:rPr>
          <w:rFonts w:hint="eastAsia" w:ascii="Times New Roman" w:hAnsi="Times New Roman" w:cs="仿宋"/>
          <w:b/>
          <w:color w:val="000000"/>
          <w:sz w:val="24"/>
          <w:highlight w:val="none"/>
          <w:lang w:eastAsia="zh-CN"/>
        </w:rPr>
        <w:t>9.</w:t>
      </w:r>
      <w:r>
        <w:rPr>
          <w:rFonts w:hint="eastAsia" w:ascii="Times New Roman" w:hAnsi="Times New Roman" w:cs="仿宋"/>
          <w:b/>
          <w:color w:val="000000"/>
          <w:sz w:val="24"/>
          <w:highlight w:val="none"/>
        </w:rPr>
        <w:t>投标文件构成</w:t>
      </w:r>
    </w:p>
    <w:p w14:paraId="45D99828">
      <w:pPr>
        <w:spacing w:line="480" w:lineRule="exact"/>
        <w:ind w:firstLine="480"/>
        <w:rPr>
          <w:rFonts w:ascii="Times New Roman" w:hAnsi="Times New Roman" w:cs="仿宋"/>
          <w:bCs/>
          <w:color w:val="000000"/>
          <w:sz w:val="24"/>
          <w:highlight w:val="none"/>
        </w:rPr>
      </w:pPr>
      <w:r>
        <w:rPr>
          <w:rFonts w:hint="eastAsia" w:ascii="Times New Roman" w:hAnsi="Times New Roman" w:cs="仿宋"/>
          <w:color w:val="000000"/>
          <w:sz w:val="24"/>
          <w:highlight w:val="none"/>
        </w:rPr>
        <w:t>9.1投标文件包括资格证明文件、开标一览表、分项报价表、响应及偏离表、投标函、其他证明文件等部分。</w:t>
      </w:r>
      <w:r>
        <w:rPr>
          <w:rFonts w:hint="eastAsia" w:ascii="Times New Roman" w:hAnsi="Times New Roman" w:cs="仿宋"/>
          <w:bCs/>
          <w:color w:val="000000"/>
          <w:sz w:val="24"/>
          <w:highlight w:val="none"/>
        </w:rPr>
        <w:t>投标文件构成资料为非中文时应提供中文译版。</w:t>
      </w:r>
      <w:bookmarkStart w:id="100" w:name="EBc50e2bb832bb43068403b10c1cce6141"/>
    </w:p>
    <w:p w14:paraId="26B0988A">
      <w:pPr>
        <w:spacing w:line="480" w:lineRule="exact"/>
        <w:ind w:firstLine="482"/>
        <w:rPr>
          <w:rFonts w:ascii="Times New Roman" w:hAnsi="Times New Roman" w:cs="仿宋"/>
          <w:bCs/>
          <w:color w:val="000000"/>
          <w:sz w:val="24"/>
          <w:highlight w:val="none"/>
        </w:rPr>
      </w:pPr>
      <w:r>
        <w:rPr>
          <w:rFonts w:hint="eastAsia" w:ascii="Times New Roman" w:hAnsi="Times New Roman" w:cs="仿宋"/>
          <w:b/>
          <w:color w:val="000000"/>
          <w:sz w:val="24"/>
          <w:highlight w:val="none"/>
        </w:rPr>
        <w:t>9.2招标文件要求提供证书证件等原件电子件的，投标人提供的电子件应是对证书证件等原件通过扫描、拍照等方式进行数字化的可被“苏采云”系统识别的数字文件，否则评标委员会可以视其未提供。无论何种原因，即使投标人开标时携带了证书证明资料的原件，但电子投标文件中未包含相关资料电子件的，评标委员会可以视同其未提供。</w:t>
      </w:r>
      <w:bookmarkEnd w:id="100"/>
    </w:p>
    <w:p w14:paraId="5EC2530F">
      <w:pPr>
        <w:spacing w:line="480" w:lineRule="exact"/>
        <w:ind w:firstLine="482"/>
        <w:rPr>
          <w:rFonts w:hint="eastAsia" w:ascii="Times New Roman" w:hAnsi="Times New Roman" w:cs="仿宋"/>
          <w:b/>
          <w:color w:val="000000"/>
          <w:sz w:val="24"/>
          <w:highlight w:val="none"/>
        </w:rPr>
      </w:pPr>
      <w:r>
        <w:rPr>
          <w:rFonts w:hint="eastAsia" w:ascii="Times New Roman" w:hAnsi="Times New Roman" w:cs="仿宋"/>
          <w:b/>
          <w:color w:val="000000"/>
          <w:sz w:val="24"/>
          <w:highlight w:val="none"/>
          <w:lang w:eastAsia="zh-CN"/>
        </w:rPr>
        <w:t>10.</w:t>
      </w:r>
      <w:r>
        <w:rPr>
          <w:rFonts w:hint="eastAsia" w:ascii="Times New Roman" w:hAnsi="Times New Roman" w:cs="仿宋"/>
          <w:b/>
          <w:color w:val="000000"/>
          <w:sz w:val="24"/>
          <w:highlight w:val="none"/>
        </w:rPr>
        <w:t>投标报价</w:t>
      </w:r>
    </w:p>
    <w:p w14:paraId="366243F3">
      <w:pPr>
        <w:spacing w:line="480" w:lineRule="exact"/>
        <w:ind w:firstLine="480"/>
        <w:rPr>
          <w:rFonts w:ascii="Times New Roman" w:hAnsi="Times New Roman" w:cs="仿宋"/>
          <w:color w:val="000000"/>
          <w:sz w:val="24"/>
          <w:highlight w:val="none"/>
        </w:rPr>
      </w:pPr>
      <w:r>
        <w:rPr>
          <w:rFonts w:hint="eastAsia" w:ascii="Times New Roman" w:hAnsi="Times New Roman" w:cs="仿宋"/>
          <w:color w:val="000000"/>
          <w:sz w:val="24"/>
          <w:highlight w:val="none"/>
        </w:rPr>
        <w:t>10.1报价为一次报价，本项目不接受备选的投标方案或有选择的报价，只允许有一个报价。</w:t>
      </w:r>
    </w:p>
    <w:p w14:paraId="1717A565">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10.2报价注意事项：投标价格一律以人民币计算，以元为单位标注，最多保留至小数点后两位，招标文件有规定的按招标文件执行。</w:t>
      </w:r>
    </w:p>
    <w:p w14:paraId="59F25779">
      <w:pPr>
        <w:spacing w:line="480" w:lineRule="exact"/>
        <w:ind w:firstLine="482"/>
        <w:rPr>
          <w:rFonts w:hint="eastAsia" w:ascii="Times New Roman" w:hAnsi="Times New Roman" w:cs="仿宋"/>
          <w:b/>
          <w:color w:val="000000"/>
          <w:sz w:val="24"/>
          <w:highlight w:val="none"/>
        </w:rPr>
      </w:pPr>
      <w:r>
        <w:rPr>
          <w:rFonts w:hint="eastAsia" w:ascii="Times New Roman" w:hAnsi="Times New Roman" w:cs="仿宋"/>
          <w:b/>
          <w:color w:val="000000"/>
          <w:sz w:val="24"/>
          <w:highlight w:val="none"/>
          <w:lang w:eastAsia="zh-CN"/>
        </w:rPr>
        <w:t>11.</w:t>
      </w:r>
      <w:r>
        <w:rPr>
          <w:rFonts w:hint="eastAsia" w:ascii="Times New Roman" w:hAnsi="Times New Roman" w:cs="仿宋"/>
          <w:b/>
          <w:color w:val="000000"/>
          <w:sz w:val="24"/>
          <w:highlight w:val="none"/>
        </w:rPr>
        <w:t>投标保证金</w:t>
      </w:r>
      <w:bookmarkStart w:id="101" w:name="EB183a0bf075204c54a4ff090f1aecaaa7"/>
    </w:p>
    <w:p w14:paraId="498C9DE5">
      <w:pPr>
        <w:spacing w:line="480" w:lineRule="exact"/>
        <w:ind w:firstLine="480"/>
        <w:rPr>
          <w:rFonts w:ascii="Times New Roman" w:hAnsi="Times New Roman" w:cs="仿宋"/>
          <w:color w:val="000000"/>
          <w:sz w:val="24"/>
          <w:highlight w:val="none"/>
        </w:rPr>
      </w:pPr>
      <w:r>
        <w:rPr>
          <w:rFonts w:hint="eastAsia" w:ascii="Times New Roman" w:hAnsi="Times New Roman" w:cs="仿宋"/>
          <w:color w:val="000000"/>
          <w:sz w:val="24"/>
          <w:highlight w:val="none"/>
        </w:rPr>
        <w:t>本项目不收取投标保证金。</w:t>
      </w:r>
      <w:bookmarkEnd w:id="101"/>
    </w:p>
    <w:p w14:paraId="5E88567A">
      <w:pPr>
        <w:spacing w:line="480" w:lineRule="exact"/>
        <w:ind w:firstLine="482"/>
        <w:rPr>
          <w:rFonts w:hint="eastAsia" w:ascii="Times New Roman" w:hAnsi="Times New Roman" w:cs="仿宋"/>
          <w:b/>
          <w:color w:val="000000"/>
          <w:sz w:val="24"/>
          <w:highlight w:val="none"/>
        </w:rPr>
      </w:pPr>
      <w:r>
        <w:rPr>
          <w:rFonts w:hint="eastAsia" w:ascii="Times New Roman" w:hAnsi="Times New Roman" w:cs="仿宋"/>
          <w:b/>
          <w:color w:val="000000"/>
          <w:sz w:val="24"/>
          <w:highlight w:val="none"/>
          <w:lang w:eastAsia="zh-CN"/>
        </w:rPr>
        <w:t>12.</w:t>
      </w:r>
      <w:r>
        <w:rPr>
          <w:rFonts w:hint="eastAsia" w:ascii="Times New Roman" w:hAnsi="Times New Roman" w:cs="仿宋"/>
          <w:b/>
          <w:color w:val="000000"/>
          <w:sz w:val="24"/>
          <w:highlight w:val="none"/>
        </w:rPr>
        <w:t>投标有效期</w:t>
      </w:r>
    </w:p>
    <w:p w14:paraId="1AD80F54">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12.1在投标人须知前附表规定的投标有效期内，投标有效期从提交投标文件的截止之日起算。投标有效期比规定短的将被视为未实质性响应招标文件。</w:t>
      </w:r>
    </w:p>
    <w:p w14:paraId="5C30191A">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12.2特殊情况需延长投标有效期的，采购代理机构可于投标有效期届满之前，要求投标人同意延长有效期，可向投标人提出延长投标有效期的要求，采购代理机构的要求与投标人的答复均应为书面形式（如信件、传真或电报等），投标人拒绝延长的，其投标在原投标有效期届满后将不再有效；投标人同意延长的，不允许修改或撤回投标文件。</w:t>
      </w:r>
    </w:p>
    <w:p w14:paraId="490EDA7A">
      <w:pPr>
        <w:pStyle w:val="43"/>
        <w:spacing w:before="0" w:after="0" w:line="480" w:lineRule="exact"/>
        <w:ind w:firstLine="321"/>
        <w:rPr>
          <w:rFonts w:hint="eastAsia" w:eastAsia="宋体" w:cs="Arial"/>
          <w:bCs/>
          <w:color w:val="000000"/>
          <w:szCs w:val="22"/>
          <w:highlight w:val="none"/>
        </w:rPr>
      </w:pPr>
      <w:bookmarkStart w:id="102" w:name="_Toc23443"/>
      <w:bookmarkStart w:id="103" w:name="_Toc81575158"/>
      <w:bookmarkStart w:id="104" w:name="_Toc81575195"/>
      <w:bookmarkStart w:id="105" w:name="_Toc2773"/>
      <w:r>
        <w:rPr>
          <w:rFonts w:hint="eastAsia" w:eastAsia="宋体" w:cs="Arial"/>
          <w:bCs/>
          <w:color w:val="000000"/>
          <w:szCs w:val="22"/>
          <w:highlight w:val="none"/>
        </w:rPr>
        <w:t>四、投标文件的提交</w:t>
      </w:r>
      <w:bookmarkEnd w:id="102"/>
      <w:bookmarkEnd w:id="103"/>
      <w:bookmarkEnd w:id="104"/>
      <w:bookmarkEnd w:id="105"/>
    </w:p>
    <w:p w14:paraId="58B33191">
      <w:pPr>
        <w:spacing w:line="480" w:lineRule="exact"/>
        <w:ind w:firstLine="482"/>
        <w:rPr>
          <w:rFonts w:hint="eastAsia" w:ascii="Times New Roman" w:hAnsi="Times New Roman" w:cs="仿宋"/>
          <w:b/>
          <w:color w:val="000000"/>
          <w:sz w:val="24"/>
          <w:highlight w:val="none"/>
        </w:rPr>
      </w:pPr>
      <w:r>
        <w:rPr>
          <w:rFonts w:hint="eastAsia" w:ascii="Times New Roman" w:hAnsi="Times New Roman" w:cs="仿宋"/>
          <w:b/>
          <w:color w:val="000000"/>
          <w:sz w:val="24"/>
          <w:highlight w:val="none"/>
          <w:lang w:eastAsia="zh-CN"/>
        </w:rPr>
        <w:t>13.</w:t>
      </w:r>
      <w:r>
        <w:rPr>
          <w:rFonts w:hint="eastAsia" w:ascii="Times New Roman" w:hAnsi="Times New Roman" w:cs="仿宋"/>
          <w:b/>
          <w:color w:val="000000"/>
          <w:sz w:val="24"/>
          <w:highlight w:val="none"/>
        </w:rPr>
        <w:t>投标文件的提交</w:t>
      </w:r>
    </w:p>
    <w:p w14:paraId="1A19DA8B">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13.1投标人应在招标文件规定的投标截止时间前提交投标文件并将电子投标文件上传至“苏采云”系统对应的本次开标采购包中。除招标文件另有规定外，投标人所提交的投标文件不予退还。</w:t>
      </w:r>
    </w:p>
    <w:p w14:paraId="20846592">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13.2投标文件的修改和撤回：在投标截止时</w:t>
      </w:r>
      <w:r>
        <w:rPr>
          <w:rFonts w:hint="eastAsia" w:ascii="Times New Roman" w:hAnsi="Times New Roman" w:cs="仿宋"/>
          <w:color w:val="000000"/>
          <w:sz w:val="24"/>
          <w:highlight w:val="none"/>
          <w:lang w:eastAsia="zh-CN"/>
        </w:rPr>
        <w:t>间之</w:t>
      </w:r>
      <w:r>
        <w:rPr>
          <w:rFonts w:hint="eastAsia" w:ascii="Times New Roman" w:hAnsi="Times New Roman" w:cs="仿宋"/>
          <w:color w:val="000000"/>
          <w:sz w:val="24"/>
          <w:highlight w:val="none"/>
        </w:rPr>
        <w:t>前，投标人可以撤回或重新提交投标文件。投标文件以最终完成上传的为准。</w:t>
      </w:r>
    </w:p>
    <w:p w14:paraId="4C0E415F">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13.3采购人、采购代理机构可以通过修改招标文件酌情延长投标文件接收截止日期，在此情况下，投标人的所有权利和义务以及投标人受制约的截止日期均应以延长后新的截止日期为准。</w:t>
      </w:r>
    </w:p>
    <w:p w14:paraId="7FDF48A0">
      <w:pPr>
        <w:spacing w:line="480" w:lineRule="exact"/>
        <w:ind w:firstLine="482"/>
        <w:rPr>
          <w:rFonts w:ascii="Times New Roman" w:hAnsi="Times New Roman" w:cs="仿宋"/>
          <w:b/>
          <w:color w:val="000000"/>
          <w:sz w:val="24"/>
          <w:highlight w:val="none"/>
        </w:rPr>
      </w:pPr>
      <w:r>
        <w:rPr>
          <w:rFonts w:hint="eastAsia" w:ascii="Times New Roman" w:hAnsi="Times New Roman" w:cs="仿宋"/>
          <w:b/>
          <w:color w:val="000000"/>
          <w:sz w:val="24"/>
          <w:highlight w:val="none"/>
          <w:lang w:eastAsia="zh-CN"/>
        </w:rPr>
        <w:t>14.</w:t>
      </w:r>
      <w:r>
        <w:rPr>
          <w:rFonts w:hint="eastAsia" w:ascii="Times New Roman" w:hAnsi="Times New Roman" w:cs="仿宋"/>
          <w:b/>
          <w:color w:val="000000"/>
          <w:sz w:val="24"/>
          <w:highlight w:val="none"/>
        </w:rPr>
        <w:t>投标文件被拒绝接收的情形</w:t>
      </w:r>
    </w:p>
    <w:p w14:paraId="138EBEAC">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在招标文件规定的投标截止时间后上传的投标文件或对投标报价或其他实质性内容修正的文件。</w:t>
      </w:r>
    </w:p>
    <w:p w14:paraId="5834AFDC">
      <w:pPr>
        <w:pStyle w:val="43"/>
        <w:spacing w:before="0" w:after="0" w:line="520" w:lineRule="exact"/>
        <w:ind w:firstLine="321"/>
        <w:rPr>
          <w:rFonts w:hint="eastAsia" w:eastAsia="宋体" w:cs="Arial"/>
          <w:bCs/>
          <w:color w:val="000000"/>
          <w:szCs w:val="22"/>
          <w:highlight w:val="none"/>
        </w:rPr>
      </w:pPr>
      <w:bookmarkStart w:id="106" w:name="_Toc81575160"/>
      <w:bookmarkStart w:id="107" w:name="_Toc81575197"/>
      <w:bookmarkStart w:id="108" w:name="_Toc959"/>
      <w:bookmarkStart w:id="109" w:name="_Toc20026"/>
      <w:r>
        <w:rPr>
          <w:rFonts w:hint="eastAsia" w:eastAsia="宋体" w:cs="Arial"/>
          <w:bCs/>
          <w:color w:val="000000"/>
          <w:szCs w:val="22"/>
          <w:highlight w:val="none"/>
        </w:rPr>
        <w:t>五、开标、评标程序</w:t>
      </w:r>
      <w:bookmarkEnd w:id="106"/>
      <w:bookmarkEnd w:id="107"/>
      <w:bookmarkEnd w:id="108"/>
      <w:bookmarkEnd w:id="109"/>
    </w:p>
    <w:p w14:paraId="1800A177">
      <w:pPr>
        <w:spacing w:line="480" w:lineRule="exact"/>
        <w:ind w:firstLine="482"/>
        <w:rPr>
          <w:rFonts w:hint="eastAsia" w:ascii="Times New Roman" w:hAnsi="Times New Roman" w:cs="仿宋"/>
          <w:b/>
          <w:color w:val="000000"/>
          <w:sz w:val="24"/>
          <w:highlight w:val="none"/>
        </w:rPr>
      </w:pPr>
      <w:r>
        <w:rPr>
          <w:rFonts w:hint="eastAsia" w:ascii="Times New Roman" w:hAnsi="Times New Roman" w:cs="仿宋"/>
          <w:b/>
          <w:color w:val="000000"/>
          <w:sz w:val="24"/>
          <w:highlight w:val="none"/>
          <w:lang w:eastAsia="zh-CN"/>
        </w:rPr>
        <w:t>15.</w:t>
      </w:r>
      <w:r>
        <w:rPr>
          <w:rFonts w:hint="eastAsia" w:ascii="Times New Roman" w:hAnsi="Times New Roman" w:cs="仿宋"/>
          <w:b/>
          <w:color w:val="000000"/>
          <w:sz w:val="24"/>
          <w:highlight w:val="none"/>
        </w:rPr>
        <w:t>开标</w:t>
      </w:r>
    </w:p>
    <w:p w14:paraId="365F5D1C">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15.1采购代理机构将在招标公告中规定的时间和地点组织公开开标。投标人应当按照《操作手册》规定，参加开标活动，在“苏采云”系统规定的时间内对投标文件解密。</w:t>
      </w:r>
    </w:p>
    <w:p w14:paraId="0371A4C1">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15.2开标仪式由采购代理机构组织。“苏采云”系统将自动对项目进行开标，并宣布各投标人名称和投标价格。</w:t>
      </w:r>
    </w:p>
    <w:p w14:paraId="51932912">
      <w:pPr>
        <w:spacing w:line="480" w:lineRule="exact"/>
        <w:ind w:firstLine="482"/>
        <w:rPr>
          <w:rFonts w:hint="eastAsia" w:ascii="Times New Roman" w:hAnsi="Times New Roman" w:cs="仿宋"/>
          <w:b/>
          <w:bCs/>
          <w:color w:val="000000"/>
          <w:sz w:val="24"/>
          <w:highlight w:val="none"/>
        </w:rPr>
      </w:pPr>
      <w:r>
        <w:rPr>
          <w:rFonts w:hint="eastAsia" w:ascii="Times New Roman" w:hAnsi="Times New Roman" w:cs="仿宋"/>
          <w:b/>
          <w:bCs/>
          <w:color w:val="000000"/>
          <w:sz w:val="24"/>
          <w:highlight w:val="none"/>
        </w:rPr>
        <w:t>15.3投标人用于解密的CA证书应为该投标文件生成加密、上传的同一把CA证书。投标人应登录“苏采云”系统进入“开标大厅”，在系统约定时间内使用CA证书解密，未成功解密的视为放弃投标。</w:t>
      </w:r>
    </w:p>
    <w:p w14:paraId="16F48B59">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15.4投标人如果对开标过程和开标记录有疑义，应当根据《操作手册》规定提出。如“苏采云”系统中《开标记录表》宣布后5分钟内未提出的，视同认可开标结果。</w:t>
      </w:r>
    </w:p>
    <w:p w14:paraId="24A1DB90">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15.5投标人在开、评标全过程中应</w:t>
      </w:r>
      <w:r>
        <w:rPr>
          <w:rFonts w:hint="eastAsia" w:ascii="Times New Roman" w:hAnsi="Times New Roman" w:cs="仿宋"/>
          <w:color w:val="000000"/>
          <w:sz w:val="24"/>
          <w:highlight w:val="none"/>
          <w:lang w:eastAsia="zh-CN"/>
        </w:rPr>
        <w:t>保持通信畅通</w:t>
      </w:r>
      <w:r>
        <w:rPr>
          <w:rFonts w:hint="eastAsia" w:ascii="Times New Roman" w:hAnsi="Times New Roman" w:cs="仿宋"/>
          <w:color w:val="000000"/>
          <w:sz w:val="24"/>
          <w:highlight w:val="none"/>
        </w:rPr>
        <w:t>，及时登录“苏采云”系统查阅、答复相关信息。</w:t>
      </w:r>
    </w:p>
    <w:p w14:paraId="3E76AFC0">
      <w:pPr>
        <w:spacing w:line="480" w:lineRule="exact"/>
        <w:ind w:firstLine="482"/>
        <w:rPr>
          <w:rFonts w:hint="eastAsia" w:ascii="Times New Roman" w:hAnsi="Times New Roman" w:cs="仿宋"/>
          <w:b/>
          <w:color w:val="000000"/>
          <w:sz w:val="24"/>
          <w:highlight w:val="none"/>
        </w:rPr>
      </w:pPr>
      <w:r>
        <w:rPr>
          <w:rFonts w:hint="eastAsia" w:ascii="Times New Roman" w:hAnsi="Times New Roman" w:cs="仿宋"/>
          <w:b/>
          <w:color w:val="000000"/>
          <w:sz w:val="24"/>
          <w:highlight w:val="none"/>
          <w:lang w:eastAsia="zh-CN"/>
        </w:rPr>
        <w:t>16.</w:t>
      </w:r>
      <w:r>
        <w:rPr>
          <w:rFonts w:hint="eastAsia" w:ascii="Times New Roman" w:hAnsi="Times New Roman" w:cs="仿宋"/>
          <w:b/>
          <w:color w:val="000000"/>
          <w:sz w:val="24"/>
          <w:highlight w:val="none"/>
        </w:rPr>
        <w:t>评标委员会</w:t>
      </w:r>
    </w:p>
    <w:p w14:paraId="768B4B27">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采购人应根据本项目的特点依法组建评标委员会，评标委员会由采购人代表和有关技术、经济等方面的专家组成，且人员构成符合政府采购有关规定。评标委员会负责具体评标事务，按公平、公正、客观、择优的原则独立履行相关职责。</w:t>
      </w:r>
    </w:p>
    <w:p w14:paraId="644C8FF8">
      <w:pPr>
        <w:spacing w:line="480" w:lineRule="exact"/>
        <w:ind w:firstLine="480"/>
        <w:rPr>
          <w:rFonts w:hint="eastAsia" w:ascii="Times New Roman" w:hAnsi="Times New Roman" w:cs="仿宋"/>
          <w:color w:val="000000"/>
          <w:sz w:val="24"/>
          <w:highlight w:val="none"/>
          <w:lang w:val="en-US" w:eastAsia="zh-CN"/>
        </w:rPr>
      </w:pPr>
      <w:r>
        <w:rPr>
          <w:rFonts w:hint="eastAsia" w:ascii="Times New Roman" w:hAnsi="Times New Roman" w:cs="仿宋"/>
          <w:color w:val="000000"/>
          <w:sz w:val="24"/>
          <w:highlight w:val="none"/>
          <w:lang w:val="en-US" w:eastAsia="zh-CN"/>
        </w:rPr>
        <w:t>采购人应当在采购文件中明确，政府采购评审中出现下列情形之一的，评审委员会应当启动异常低价投标（响应）审查程序： </w:t>
      </w:r>
    </w:p>
    <w:p w14:paraId="024D1E91">
      <w:pPr>
        <w:spacing w:line="480" w:lineRule="exact"/>
        <w:ind w:firstLine="480"/>
        <w:rPr>
          <w:rFonts w:hint="eastAsia" w:ascii="Times New Roman" w:hAnsi="Times New Roman" w:cs="仿宋"/>
          <w:color w:val="000000"/>
          <w:sz w:val="24"/>
          <w:highlight w:val="none"/>
          <w:lang w:val="en-US" w:eastAsia="zh-CN"/>
        </w:rPr>
      </w:pPr>
      <w:r>
        <w:rPr>
          <w:rFonts w:hint="eastAsia" w:ascii="Times New Roman" w:hAnsi="Times New Roman" w:cs="仿宋"/>
          <w:color w:val="000000"/>
          <w:sz w:val="24"/>
          <w:highlight w:val="none"/>
          <w:lang w:val="en-US" w:eastAsia="zh-CN"/>
        </w:rPr>
        <w:t>1.投标（响应）报价低于全部通过符合性审查供应商投标（响应）报价平均值50%的，即投标（响应）报价&lt;全部通过符合性审查供应商投标（响应）报价平均值×50%； </w:t>
      </w:r>
    </w:p>
    <w:p w14:paraId="455567BC">
      <w:pPr>
        <w:spacing w:line="480" w:lineRule="exact"/>
        <w:ind w:firstLine="480"/>
        <w:rPr>
          <w:rFonts w:hint="eastAsia" w:ascii="Times New Roman" w:hAnsi="Times New Roman" w:cs="仿宋"/>
          <w:color w:val="000000"/>
          <w:sz w:val="24"/>
          <w:highlight w:val="none"/>
          <w:lang w:val="en-US" w:eastAsia="zh-CN"/>
        </w:rPr>
      </w:pPr>
      <w:r>
        <w:rPr>
          <w:rFonts w:hint="eastAsia" w:ascii="Times New Roman" w:hAnsi="Times New Roman" w:cs="仿宋"/>
          <w:color w:val="000000"/>
          <w:sz w:val="24"/>
          <w:highlight w:val="none"/>
          <w:lang w:val="en-US" w:eastAsia="zh-CN"/>
        </w:rPr>
        <w:t>2.投标（响应）报价低于通过符合性审查的次低报价供应商投标（响应）报价50%的，即投标（响应）报价&lt;通过符合性审查的次低报价供应商投标（响应）报价×50%； </w:t>
      </w:r>
    </w:p>
    <w:p w14:paraId="28129288">
      <w:pPr>
        <w:spacing w:line="480" w:lineRule="exact"/>
        <w:ind w:firstLine="480"/>
        <w:rPr>
          <w:rFonts w:hint="eastAsia" w:ascii="Times New Roman" w:hAnsi="Times New Roman" w:cs="仿宋"/>
          <w:color w:val="000000"/>
          <w:sz w:val="24"/>
          <w:highlight w:val="none"/>
          <w:lang w:val="en-US" w:eastAsia="zh-CN"/>
        </w:rPr>
      </w:pPr>
      <w:r>
        <w:rPr>
          <w:rFonts w:hint="eastAsia" w:ascii="Times New Roman" w:hAnsi="Times New Roman" w:cs="仿宋"/>
          <w:color w:val="000000"/>
          <w:sz w:val="24"/>
          <w:highlight w:val="none"/>
          <w:lang w:val="en-US" w:eastAsia="zh-CN"/>
        </w:rPr>
        <w:t>3.投标（响应）报价低于采购项目最高限价45%的，即投标（响应）报价&lt;采购项目最高限价×45%； </w:t>
      </w:r>
    </w:p>
    <w:p w14:paraId="0408EB93">
      <w:pPr>
        <w:spacing w:line="480" w:lineRule="exact"/>
        <w:ind w:firstLine="480"/>
        <w:rPr>
          <w:rFonts w:hint="eastAsia" w:ascii="Times New Roman" w:hAnsi="Times New Roman" w:cs="仿宋"/>
          <w:color w:val="000000"/>
          <w:sz w:val="24"/>
          <w:highlight w:val="none"/>
          <w:lang w:val="en-US" w:eastAsia="zh-CN"/>
        </w:rPr>
      </w:pPr>
      <w:r>
        <w:rPr>
          <w:rFonts w:hint="eastAsia" w:ascii="Times New Roman" w:hAnsi="Times New Roman" w:cs="仿宋"/>
          <w:color w:val="000000"/>
          <w:sz w:val="24"/>
          <w:highlight w:val="none"/>
          <w:lang w:val="en-US" w:eastAsia="zh-CN"/>
        </w:rPr>
        <w:t>4.评审委员会基于专业判断，认为供应商报价过低，有可能影响产品质量或者不能诚信履约的其他情形。 </w:t>
      </w:r>
    </w:p>
    <w:p w14:paraId="6331EAFF">
      <w:pPr>
        <w:spacing w:line="480" w:lineRule="exact"/>
        <w:ind w:firstLine="480"/>
        <w:rPr>
          <w:rFonts w:hint="eastAsia" w:ascii="Times New Roman" w:hAnsi="Times New Roman" w:cs="仿宋"/>
          <w:color w:val="000000"/>
          <w:sz w:val="24"/>
          <w:highlight w:val="none"/>
          <w:lang w:val="en-US" w:eastAsia="zh-CN"/>
        </w:rPr>
      </w:pPr>
      <w:r>
        <w:rPr>
          <w:rFonts w:hint="eastAsia" w:ascii="Times New Roman" w:hAnsi="Times New Roman" w:cs="仿宋"/>
          <w:color w:val="000000"/>
          <w:sz w:val="24"/>
          <w:highlight w:val="none"/>
          <w:lang w:val="en-US" w:eastAsia="zh-CN"/>
        </w:rPr>
        <w:t>采购人可以结合具体项目实际情况，提高上述第1项至第3项中启动异常低价投标（响应）审查的数值标准，但是最高不得超过65%。 </w:t>
      </w:r>
    </w:p>
    <w:p w14:paraId="47FBC5B1">
      <w:pPr>
        <w:spacing w:line="480" w:lineRule="exact"/>
        <w:ind w:firstLine="480"/>
        <w:rPr>
          <w:rFonts w:hint="eastAsia" w:ascii="Times New Roman" w:hAnsi="Times New Roman" w:cs="仿宋"/>
          <w:color w:val="000000"/>
          <w:sz w:val="24"/>
          <w:highlight w:val="none"/>
          <w:lang w:val="en-US" w:eastAsia="zh-CN"/>
        </w:rPr>
      </w:pPr>
      <w:r>
        <w:rPr>
          <w:rFonts w:hint="eastAsia" w:ascii="Times New Roman" w:hAnsi="Times New Roman" w:cs="仿宋"/>
          <w:color w:val="000000"/>
          <w:sz w:val="24"/>
          <w:highlight w:val="none"/>
          <w:lang w:val="en-US" w:eastAsia="zh-CN"/>
        </w:rPr>
        <w:t>相关法律法规对供应商报价有规定的，从其规定。 </w:t>
      </w:r>
    </w:p>
    <w:p w14:paraId="45BE8482">
      <w:pPr>
        <w:spacing w:line="480" w:lineRule="exact"/>
        <w:ind w:firstLine="480"/>
        <w:rPr>
          <w:rFonts w:hint="eastAsia" w:ascii="Times New Roman" w:hAnsi="Times New Roman" w:cs="仿宋"/>
          <w:color w:val="000000"/>
          <w:sz w:val="24"/>
          <w:highlight w:val="none"/>
          <w:lang w:val="en-US" w:eastAsia="zh-CN"/>
        </w:rPr>
      </w:pPr>
      <w:r>
        <w:rPr>
          <w:rFonts w:hint="eastAsia" w:ascii="Times New Roman" w:hAnsi="Times New Roman" w:cs="仿宋"/>
          <w:color w:val="000000"/>
          <w:sz w:val="24"/>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1D32A549">
      <w:pPr>
        <w:spacing w:line="480" w:lineRule="exact"/>
        <w:ind w:firstLine="480"/>
        <w:rPr>
          <w:rFonts w:hint="eastAsia" w:ascii="Times New Roman" w:hAnsi="Times New Roman" w:cs="仿宋"/>
          <w:color w:val="000000"/>
          <w:sz w:val="24"/>
          <w:highlight w:val="none"/>
          <w:lang w:val="en-US" w:eastAsia="zh-CN"/>
        </w:rPr>
      </w:pPr>
      <w:r>
        <w:rPr>
          <w:rFonts w:hint="eastAsia" w:ascii="Times New Roman" w:hAnsi="Times New Roman" w:cs="仿宋"/>
          <w:color w:val="000000"/>
          <w:sz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5F6CEEC1">
      <w:pPr>
        <w:spacing w:line="480" w:lineRule="exact"/>
        <w:ind w:firstLine="480"/>
        <w:rPr>
          <w:rFonts w:hint="eastAsia" w:ascii="Times New Roman" w:hAnsi="Times New Roman" w:cs="仿宋"/>
          <w:color w:val="000000"/>
          <w:sz w:val="24"/>
          <w:highlight w:val="none"/>
          <w:lang w:val="en-US" w:eastAsia="zh-CN"/>
        </w:rPr>
      </w:pPr>
      <w:r>
        <w:rPr>
          <w:rFonts w:hint="eastAsia" w:ascii="Times New Roman" w:hAnsi="Times New Roman" w:cs="仿宋"/>
          <w:color w:val="000000"/>
          <w:sz w:val="24"/>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565C71F2">
      <w:pPr>
        <w:spacing w:line="480" w:lineRule="exact"/>
        <w:ind w:firstLine="480"/>
        <w:rPr>
          <w:rFonts w:hint="eastAsia" w:ascii="Times New Roman" w:hAnsi="Times New Roman" w:cs="仿宋"/>
          <w:color w:val="000000"/>
          <w:sz w:val="24"/>
          <w:highlight w:val="none"/>
          <w:lang w:val="en-US" w:eastAsia="zh-CN"/>
        </w:rPr>
      </w:pPr>
      <w:r>
        <w:rPr>
          <w:rFonts w:hint="eastAsia" w:ascii="Times New Roman" w:hAnsi="Times New Roman" w:cs="仿宋"/>
          <w:color w:val="000000"/>
          <w:sz w:val="24"/>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 </w:t>
      </w:r>
    </w:p>
    <w:p w14:paraId="2E7DE8B5">
      <w:pPr>
        <w:spacing w:line="480" w:lineRule="exact"/>
        <w:ind w:firstLine="480"/>
        <w:rPr>
          <w:rFonts w:hint="eastAsia" w:ascii="Times New Roman" w:hAnsi="Times New Roman" w:cs="仿宋"/>
          <w:color w:val="000000"/>
          <w:sz w:val="24"/>
          <w:highlight w:val="none"/>
          <w:lang w:val="en-US" w:eastAsia="zh-CN"/>
        </w:rPr>
      </w:pPr>
      <w:r>
        <w:rPr>
          <w:rFonts w:hint="eastAsia" w:ascii="Times New Roman" w:hAnsi="Times New Roman" w:cs="仿宋"/>
          <w:color w:val="000000"/>
          <w:sz w:val="24"/>
          <w:highlight w:val="none"/>
          <w:lang w:val="en-US" w:eastAsia="zh-CN"/>
        </w:rPr>
        <w:t>各级财政部门应当加强对评审专家的指导和监管，进一步压实评审专家的责任。财政部门在投诉处理、监督检查中发现评审委员会未按规定对异常低价开展审查的，依法予以纠正并追究评审专家的法律责任。</w:t>
      </w:r>
    </w:p>
    <w:p w14:paraId="11DBFB15">
      <w:pPr>
        <w:spacing w:line="480" w:lineRule="exact"/>
        <w:ind w:firstLine="482"/>
        <w:rPr>
          <w:rFonts w:hint="eastAsia" w:ascii="Times New Roman" w:hAnsi="Times New Roman" w:cs="仿宋"/>
          <w:b/>
          <w:color w:val="000000"/>
          <w:sz w:val="24"/>
          <w:highlight w:val="none"/>
        </w:rPr>
      </w:pPr>
      <w:r>
        <w:rPr>
          <w:rFonts w:hint="eastAsia" w:ascii="Times New Roman" w:hAnsi="Times New Roman" w:cs="仿宋"/>
          <w:b/>
          <w:color w:val="000000"/>
          <w:sz w:val="24"/>
          <w:highlight w:val="none"/>
          <w:lang w:eastAsia="zh-CN"/>
        </w:rPr>
        <w:t>17.</w:t>
      </w:r>
      <w:r>
        <w:rPr>
          <w:rFonts w:hint="eastAsia" w:ascii="Times New Roman" w:hAnsi="Times New Roman" w:cs="仿宋"/>
          <w:b/>
          <w:color w:val="000000"/>
          <w:sz w:val="24"/>
          <w:highlight w:val="none"/>
        </w:rPr>
        <w:t>评标程序</w:t>
      </w:r>
    </w:p>
    <w:p w14:paraId="31803765">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17.1资格审查</w:t>
      </w:r>
      <w:bookmarkStart w:id="110" w:name="EBa9c0a2c9e523494487594c65b2a92370"/>
    </w:p>
    <w:p w14:paraId="3469C0DF">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开标结束后，采购人依法根据招标文件的规定对投标人的资格证明文件等进行审查。</w:t>
      </w:r>
      <w:bookmarkEnd w:id="110"/>
    </w:p>
    <w:p w14:paraId="7C5FF242">
      <w:pPr>
        <w:spacing w:line="480" w:lineRule="exact"/>
        <w:ind w:firstLine="480"/>
        <w:rPr>
          <w:rFonts w:ascii="Times New Roman" w:hAnsi="Times New Roman" w:cs="仿宋"/>
          <w:color w:val="000000"/>
          <w:sz w:val="24"/>
          <w:highlight w:val="none"/>
        </w:rPr>
      </w:pPr>
      <w:r>
        <w:rPr>
          <w:rFonts w:hint="eastAsia" w:ascii="Times New Roman" w:hAnsi="Times New Roman" w:cs="仿宋"/>
          <w:color w:val="000000"/>
          <w:sz w:val="24"/>
          <w:highlight w:val="none"/>
        </w:rPr>
        <w:t>17.2符合性检查</w:t>
      </w:r>
    </w:p>
    <w:p w14:paraId="61CB0B31">
      <w:pPr>
        <w:spacing w:line="480" w:lineRule="exact"/>
        <w:ind w:firstLine="480"/>
        <w:rPr>
          <w:rFonts w:ascii="Times New Roman" w:hAnsi="Times New Roman" w:cs="仿宋"/>
          <w:color w:val="000000"/>
          <w:sz w:val="24"/>
          <w:highlight w:val="none"/>
        </w:rPr>
      </w:pPr>
      <w:r>
        <w:rPr>
          <w:rFonts w:hint="eastAsia" w:ascii="Times New Roman" w:hAnsi="Times New Roman" w:cs="仿宋"/>
          <w:color w:val="000000"/>
          <w:sz w:val="24"/>
          <w:highlight w:val="none"/>
        </w:rPr>
        <w:t>17.2.1依据招标文件的规定，由评标委员会从投标文件的有效性、完整性和对招标文件的响应程度进行审查，以确定是否对招标文件的实质性要求作出响应。</w:t>
      </w:r>
    </w:p>
    <w:p w14:paraId="35A1DBEB">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17.2.2在详细评标之前，评标委员会将首先审查每份投标文件是否实质性响应了招标文件的要求。实质性响应的投标应是与招标文件要求的全部条款、条件和规格相符，没有重大偏离的投标。</w:t>
      </w:r>
      <w:bookmarkStart w:id="111" w:name="EB1499356fad43416eb16398733accabf7"/>
      <w:r>
        <w:rPr>
          <w:rFonts w:hint="eastAsia" w:ascii="Times New Roman" w:hAnsi="Times New Roman" w:cs="仿宋"/>
          <w:color w:val="000000"/>
          <w:sz w:val="24"/>
          <w:highlight w:val="none"/>
        </w:rPr>
        <w:t>所谓重大偏离是指投标人投标文件中所述设备质量、技术规格、数量、交货期、服务等明显不能满足招标文件要求。</w:t>
      </w:r>
      <w:bookmarkEnd w:id="111"/>
      <w:r>
        <w:rPr>
          <w:rFonts w:hint="eastAsia" w:ascii="Times New Roman" w:hAnsi="Times New Roman" w:cs="仿宋"/>
          <w:color w:val="000000"/>
          <w:sz w:val="24"/>
          <w:highlight w:val="none"/>
        </w:rPr>
        <w:t>重大偏离的认定需经过评标委员会以少数服从多数的原则作出结论。</w:t>
      </w:r>
    </w:p>
    <w:p w14:paraId="608C9572">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17.3未通过资格审查或符合性审查的投标人，采购代理机构将在“苏采云”系统中告知未通过资格审查或符合性审查的原因，评标结束后，采购代理机构将不再告知未通过资格审查或符合性审查的原因。</w:t>
      </w:r>
    </w:p>
    <w:p w14:paraId="5D45DE28">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17.4评标委员会判断投标文件的响应性，仅基于投标文件本身而不靠外部证据。对非实质性响应的投标文件，投标人不能通过修正或撤销不符之处，而使其成为实质性响应。</w:t>
      </w:r>
    </w:p>
    <w:p w14:paraId="6CDE5B34">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17.5相同品牌产品投标</w:t>
      </w:r>
    </w:p>
    <w:p w14:paraId="67571B42">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17.5.1采用最低评标价法的采购项目，提供相同品牌产品的不同投标人参加同一合同项下投标的，以其中通过资格审查、符合性审查且报价最低的参加评标；报价相同的，由采购人采取随机抽取方式确定，其他投标无效。</w:t>
      </w:r>
    </w:p>
    <w:p w14:paraId="7B0939EA">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17.5.2使用综合评分法的采购项目，提供相同品牌产品且通过资格审查、符合性审查的不同投标人参加同一合同项下投标的，按一家投标人计算，评审后得分最高的同品牌投标人获得中标人推荐资格；评审得分相同的，报价最低的同品牌投标人获得中标人推荐资格；评审得分且报价相同的，采取随机抽取方式确定，其他同品牌投标人不作为中标候选人。</w:t>
      </w:r>
    </w:p>
    <w:p w14:paraId="4D0DFA63">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17.5.3非单一产品采购项目，采购人确定核心产品，并在招标文件中载明。多家投标人提供的核心产品品牌相同的，按前两款规定处理。</w:t>
      </w:r>
    </w:p>
    <w:p w14:paraId="7A105425">
      <w:pPr>
        <w:spacing w:line="480" w:lineRule="exact"/>
        <w:ind w:firstLine="482"/>
        <w:rPr>
          <w:rFonts w:ascii="Times New Roman" w:hAnsi="Times New Roman" w:cs="仿宋"/>
          <w:b/>
          <w:color w:val="000000"/>
          <w:sz w:val="24"/>
          <w:highlight w:val="none"/>
        </w:rPr>
      </w:pPr>
      <w:r>
        <w:rPr>
          <w:rFonts w:hint="eastAsia" w:ascii="Times New Roman" w:hAnsi="Times New Roman" w:cs="仿宋"/>
          <w:b/>
          <w:color w:val="000000"/>
          <w:sz w:val="24"/>
          <w:highlight w:val="none"/>
        </w:rPr>
        <w:t>17.6有关问题的澄清</w:t>
      </w:r>
    </w:p>
    <w:p w14:paraId="58F20282">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17.6.1对投标文件中含义不明确、同类问题表述不一致或者有明显文字和计算错误的内容，评标委员会通过“苏采云”系统向投标人发出“澄清要求函”，要求投标人作出必要的澄清、说明或者补正。投标人的澄清、说明或者补正应当采用书面形式且不得超出投标文件的范围或者改变投标文件的实质性内容。投标人的澄清、说明或者补正应加盖电子公章，或者由法定代表人或其授权的代表签章（或签字）。澄清、说明和补正的内容作为投标文件的补充部分。</w:t>
      </w:r>
    </w:p>
    <w:p w14:paraId="7ECBB355">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17.6.2投标文件报价出现前后不一致的，除招标文件另有规定外，按照下列规定修正：</w:t>
      </w:r>
    </w:p>
    <w:p w14:paraId="7E4F0859">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①投标文件中开标一览表（报价表）内容与投标文件中相应内容不一致的，以开标一览表（报价表）为准；</w:t>
      </w:r>
    </w:p>
    <w:p w14:paraId="3B97F943">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②大写金额和小写金额不一致的，以大写金额为准；</w:t>
      </w:r>
    </w:p>
    <w:p w14:paraId="5B821176">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③单价金额小数点或者百分比有明显错位的，以开标一览表的总价为准，并修改单价；</w:t>
      </w:r>
    </w:p>
    <w:p w14:paraId="6BF1BDB0">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④总价金额与按单价汇总金额不一致的，以单价金额计算结果为准。</w:t>
      </w:r>
    </w:p>
    <w:p w14:paraId="74D03CE9">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同时出现两种以上不一致的，按照前款规定的顺序修正。</w:t>
      </w:r>
    </w:p>
    <w:p w14:paraId="03DDC80A">
      <w:pPr>
        <w:spacing w:line="480" w:lineRule="exact"/>
        <w:ind w:firstLine="480"/>
        <w:rPr>
          <w:rFonts w:ascii="Times New Roman" w:hAnsi="Times New Roman" w:cs="仿宋"/>
          <w:color w:val="000000"/>
          <w:sz w:val="24"/>
          <w:highlight w:val="none"/>
        </w:rPr>
      </w:pPr>
      <w:r>
        <w:rPr>
          <w:rFonts w:hint="eastAsia" w:ascii="Times New Roman" w:hAnsi="Times New Roman" w:cs="仿宋"/>
          <w:color w:val="000000"/>
          <w:sz w:val="24"/>
          <w:highlight w:val="none"/>
        </w:rPr>
        <w:t>17.6.3评标委员会将按上述修正错误的方法调整投标文件中的投标报价，并通过“苏采云”系统告知投标人，调整后的价格应对投标人具有约束力。投标人不接受修正后的价格，其投标将被拒绝。</w:t>
      </w:r>
    </w:p>
    <w:p w14:paraId="4A97DC73">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评标过程中，不得去掉报价中的最高报价和最低报价。</w:t>
      </w:r>
    </w:p>
    <w:p w14:paraId="4FF1CBEA">
      <w:pPr>
        <w:spacing w:line="480" w:lineRule="exact"/>
        <w:ind w:firstLine="480"/>
        <w:rPr>
          <w:rFonts w:ascii="Times New Roman" w:hAnsi="Times New Roman" w:cs="仿宋"/>
          <w:color w:val="000000"/>
          <w:sz w:val="24"/>
          <w:highlight w:val="none"/>
        </w:rPr>
      </w:pPr>
      <w:r>
        <w:rPr>
          <w:rFonts w:hint="eastAsia" w:ascii="Times New Roman" w:hAnsi="Times New Roman" w:cs="仿宋"/>
          <w:color w:val="000000"/>
          <w:sz w:val="24"/>
          <w:highlight w:val="none"/>
        </w:rPr>
        <w:t>17.7比较</w:t>
      </w:r>
    </w:p>
    <w:p w14:paraId="78EBEADB">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评标委员会将按招标文件中规定的评标方法和标准，对符合性检查合格的投标文件进行商务和技术评比。</w:t>
      </w:r>
    </w:p>
    <w:p w14:paraId="4DDBE261">
      <w:pPr>
        <w:spacing w:line="480" w:lineRule="exact"/>
        <w:ind w:firstLine="480"/>
        <w:rPr>
          <w:rFonts w:ascii="Times New Roman" w:hAnsi="Times New Roman" w:cs="仿宋"/>
          <w:color w:val="000000"/>
          <w:sz w:val="24"/>
          <w:highlight w:val="none"/>
        </w:rPr>
      </w:pPr>
      <w:r>
        <w:rPr>
          <w:rFonts w:hint="eastAsia" w:ascii="Times New Roman" w:hAnsi="Times New Roman" w:cs="仿宋"/>
          <w:color w:val="000000"/>
          <w:sz w:val="24"/>
          <w:highlight w:val="none"/>
        </w:rPr>
        <w:t>17.8推荐中标候选人</w:t>
      </w:r>
    </w:p>
    <w:p w14:paraId="0E431396">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评标委员会按照招标文件中规定的评标方法和标准推荐中标候选人。</w:t>
      </w:r>
    </w:p>
    <w:p w14:paraId="0D1AD4C6">
      <w:pPr>
        <w:pStyle w:val="43"/>
        <w:spacing w:before="0" w:after="0" w:line="480" w:lineRule="exact"/>
        <w:ind w:firstLine="321"/>
        <w:rPr>
          <w:rFonts w:hint="eastAsia" w:eastAsia="宋体" w:cs="Arial"/>
          <w:bCs/>
          <w:color w:val="000000"/>
          <w:szCs w:val="22"/>
          <w:highlight w:val="none"/>
        </w:rPr>
      </w:pPr>
      <w:bookmarkStart w:id="112" w:name="_Toc8841"/>
      <w:bookmarkStart w:id="113" w:name="_Toc81575159"/>
      <w:bookmarkStart w:id="114" w:name="_Toc8712"/>
      <w:bookmarkStart w:id="115" w:name="_Toc81575196"/>
      <w:r>
        <w:rPr>
          <w:rFonts w:hint="eastAsia" w:eastAsia="宋体" w:cs="Arial"/>
          <w:bCs/>
          <w:color w:val="000000"/>
          <w:szCs w:val="22"/>
          <w:highlight w:val="none"/>
        </w:rPr>
        <w:t>六、无效投标、废标、串通投标</w:t>
      </w:r>
      <w:bookmarkEnd w:id="112"/>
      <w:bookmarkEnd w:id="113"/>
      <w:bookmarkEnd w:id="114"/>
      <w:bookmarkEnd w:id="115"/>
      <w:r>
        <w:rPr>
          <w:rFonts w:hint="eastAsia" w:eastAsia="宋体" w:cs="Arial"/>
          <w:bCs/>
          <w:color w:val="000000"/>
          <w:szCs w:val="22"/>
          <w:highlight w:val="none"/>
        </w:rPr>
        <w:t>及取消中标候选人资格情形</w:t>
      </w:r>
    </w:p>
    <w:p w14:paraId="1A7ABDA0">
      <w:pPr>
        <w:spacing w:line="480" w:lineRule="exact"/>
        <w:ind w:firstLine="482"/>
        <w:rPr>
          <w:rFonts w:hint="eastAsia" w:ascii="Times New Roman" w:hAnsi="Times New Roman" w:cs="仿宋"/>
          <w:b/>
          <w:color w:val="000000"/>
          <w:sz w:val="24"/>
          <w:highlight w:val="none"/>
        </w:rPr>
      </w:pPr>
      <w:r>
        <w:rPr>
          <w:rFonts w:hint="eastAsia" w:ascii="Times New Roman" w:hAnsi="Times New Roman" w:cs="仿宋"/>
          <w:b/>
          <w:color w:val="000000"/>
          <w:sz w:val="24"/>
          <w:highlight w:val="none"/>
          <w:lang w:eastAsia="zh-CN"/>
        </w:rPr>
        <w:t>18.</w:t>
      </w:r>
      <w:r>
        <w:rPr>
          <w:rFonts w:hint="eastAsia" w:ascii="Times New Roman" w:hAnsi="Times New Roman" w:cs="仿宋"/>
          <w:b/>
          <w:color w:val="000000"/>
          <w:sz w:val="24"/>
          <w:highlight w:val="none"/>
        </w:rPr>
        <w:t>无效投标情形</w:t>
      </w:r>
    </w:p>
    <w:p w14:paraId="5CF8B125">
      <w:pPr>
        <w:spacing w:line="480" w:lineRule="exact"/>
        <w:ind w:firstLine="480"/>
        <w:rPr>
          <w:rFonts w:hint="eastAsia" w:ascii="Times New Roman" w:hAnsi="Times New Roman" w:cs="仿宋"/>
          <w:strike/>
          <w:color w:val="000000"/>
          <w:sz w:val="24"/>
          <w:highlight w:val="none"/>
        </w:rPr>
      </w:pPr>
      <w:r>
        <w:rPr>
          <w:rFonts w:hint="eastAsia" w:ascii="Times New Roman" w:hAnsi="Times New Roman" w:cs="仿宋"/>
          <w:color w:val="000000"/>
          <w:sz w:val="24"/>
          <w:highlight w:val="none"/>
        </w:rPr>
        <w:t>18.1投标人同一采购包提交两个（含两个）以上不同的投标报价的。</w:t>
      </w:r>
    </w:p>
    <w:p w14:paraId="4EF33D5A">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18.2投标人不符合招标文件规定资格要求的或未按规定提交资质证件的。</w:t>
      </w:r>
    </w:p>
    <w:p w14:paraId="392B8002">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18.3投标人的报价超过了采购预算或最高限价的。</w:t>
      </w:r>
    </w:p>
    <w:p w14:paraId="027DADD5">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18.4投标文件未通过符合性审查的。</w:t>
      </w:r>
    </w:p>
    <w:p w14:paraId="6D808E0C">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18.5投标文件出现重大偏离，不符合招标文件中规定的实质性要求的（★部分为实质性要求）。</w:t>
      </w:r>
    </w:p>
    <w:p w14:paraId="3F70486C">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18.6评标委员会认为投标人的报价明显低于其他通过符合性审查投标人的报价，有可能影响产品质量或者不能诚信履约的，且投标人不能在合理的时间内提供说明，证明其报价合理性的。</w:t>
      </w:r>
    </w:p>
    <w:p w14:paraId="06DEB5EA">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18.7投标文件未按照招标文件要求加盖CA电子公章的。</w:t>
      </w:r>
    </w:p>
    <w:p w14:paraId="720B0176">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18.8投标人有本招标文件规定的恶意串通投标情形的。</w:t>
      </w:r>
    </w:p>
    <w:p w14:paraId="3A2C8E0A">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18.9投标文件含有采购人不能接受的附加条件的。</w:t>
      </w:r>
    </w:p>
    <w:p w14:paraId="647099CE">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18.10其他</w:t>
      </w:r>
      <w:r>
        <w:rPr>
          <w:rFonts w:hint="eastAsia" w:ascii="Times New Roman" w:hAnsi="Times New Roman" w:cs="仿宋"/>
          <w:color w:val="000000"/>
          <w:sz w:val="24"/>
          <w:highlight w:val="none"/>
          <w:lang w:eastAsia="zh-CN"/>
        </w:rPr>
        <w:t>法律法规</w:t>
      </w:r>
      <w:r>
        <w:rPr>
          <w:rFonts w:hint="eastAsia" w:ascii="Times New Roman" w:hAnsi="Times New Roman" w:cs="仿宋"/>
          <w:color w:val="000000"/>
          <w:sz w:val="24"/>
          <w:highlight w:val="none"/>
        </w:rPr>
        <w:t>及本招标文件规定的</w:t>
      </w:r>
      <w:r>
        <w:rPr>
          <w:rFonts w:hint="eastAsia" w:ascii="Times New Roman" w:hAnsi="Times New Roman" w:cs="仿宋"/>
          <w:color w:val="000000"/>
          <w:sz w:val="24"/>
          <w:highlight w:val="none"/>
          <w:lang w:eastAsia="zh-CN"/>
        </w:rPr>
        <w:t>属于</w:t>
      </w:r>
      <w:r>
        <w:rPr>
          <w:rFonts w:hint="eastAsia" w:ascii="Times New Roman" w:hAnsi="Times New Roman" w:cs="仿宋"/>
          <w:color w:val="000000"/>
          <w:sz w:val="24"/>
          <w:highlight w:val="none"/>
        </w:rPr>
        <w:t>无效投标的情形。</w:t>
      </w:r>
    </w:p>
    <w:p w14:paraId="605063DD">
      <w:pPr>
        <w:spacing w:line="480" w:lineRule="exact"/>
        <w:ind w:firstLine="482"/>
        <w:rPr>
          <w:rFonts w:hint="eastAsia" w:ascii="Times New Roman" w:hAnsi="Times New Roman" w:cs="仿宋"/>
          <w:b/>
          <w:color w:val="000000"/>
          <w:sz w:val="24"/>
          <w:highlight w:val="none"/>
        </w:rPr>
      </w:pPr>
      <w:r>
        <w:rPr>
          <w:rFonts w:hint="eastAsia" w:ascii="Times New Roman" w:hAnsi="Times New Roman" w:cs="仿宋"/>
          <w:b/>
          <w:color w:val="000000"/>
          <w:sz w:val="24"/>
          <w:highlight w:val="none"/>
          <w:lang w:eastAsia="zh-CN"/>
        </w:rPr>
        <w:t>19.</w:t>
      </w:r>
      <w:r>
        <w:rPr>
          <w:rFonts w:hint="eastAsia" w:ascii="Times New Roman" w:hAnsi="Times New Roman" w:cs="仿宋"/>
          <w:b/>
          <w:color w:val="000000"/>
          <w:sz w:val="24"/>
          <w:highlight w:val="none"/>
        </w:rPr>
        <w:t>废标情形</w:t>
      </w:r>
    </w:p>
    <w:p w14:paraId="60897287">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19.1符合专业条件的投标人或者对招标文件作实质响应的投标人不足三家的。</w:t>
      </w:r>
    </w:p>
    <w:p w14:paraId="03BF7245">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19.2出现影响采购公正的违法、违规行为的。</w:t>
      </w:r>
    </w:p>
    <w:p w14:paraId="643057C6">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19.3因重大变故，采购任务取消的。</w:t>
      </w:r>
    </w:p>
    <w:p w14:paraId="33C9F1AB">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19.4评标委员会认定招标文件存在歧义、重大缺陷导致评审工作无法进行的。</w:t>
      </w:r>
    </w:p>
    <w:p w14:paraId="48753A65">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19.5在“苏采云”系统规定时间内成功解密电子投标文件的投标人不足3家的。</w:t>
      </w:r>
    </w:p>
    <w:p w14:paraId="61472BEA">
      <w:pPr>
        <w:spacing w:line="480" w:lineRule="exact"/>
        <w:ind w:firstLine="482"/>
        <w:rPr>
          <w:rFonts w:hint="eastAsia" w:ascii="Times New Roman" w:hAnsi="Times New Roman" w:cs="仿宋"/>
          <w:b/>
          <w:color w:val="000000"/>
          <w:sz w:val="24"/>
          <w:highlight w:val="none"/>
        </w:rPr>
      </w:pPr>
      <w:r>
        <w:rPr>
          <w:rFonts w:hint="eastAsia" w:ascii="Times New Roman" w:hAnsi="Times New Roman" w:cs="仿宋"/>
          <w:b/>
          <w:color w:val="000000"/>
          <w:sz w:val="24"/>
          <w:highlight w:val="none"/>
          <w:lang w:eastAsia="zh-CN"/>
        </w:rPr>
        <w:t>20.</w:t>
      </w:r>
      <w:r>
        <w:rPr>
          <w:rFonts w:hint="eastAsia" w:ascii="Times New Roman" w:hAnsi="Times New Roman" w:cs="仿宋"/>
          <w:b/>
          <w:color w:val="000000"/>
          <w:sz w:val="24"/>
          <w:highlight w:val="none"/>
        </w:rPr>
        <w:t>投标人不足三家情形处理</w:t>
      </w:r>
    </w:p>
    <w:p w14:paraId="5A895993">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投标截止后投标人不足3家或者通过资格审查或符合性审查的投标人不足3家的，除采购任务取消情形外，按财政部令第87号第四十三条条款进行处理。</w:t>
      </w:r>
    </w:p>
    <w:p w14:paraId="2FA7D467">
      <w:pPr>
        <w:spacing w:line="480" w:lineRule="exact"/>
        <w:ind w:firstLine="482"/>
        <w:rPr>
          <w:rFonts w:hint="eastAsia" w:ascii="Times New Roman" w:hAnsi="Times New Roman" w:cs="仿宋"/>
          <w:b/>
          <w:color w:val="000000"/>
          <w:sz w:val="24"/>
          <w:highlight w:val="none"/>
        </w:rPr>
      </w:pPr>
      <w:r>
        <w:rPr>
          <w:rFonts w:hint="eastAsia" w:ascii="Times New Roman" w:hAnsi="Times New Roman" w:cs="仿宋"/>
          <w:b/>
          <w:color w:val="000000"/>
          <w:sz w:val="24"/>
          <w:highlight w:val="none"/>
          <w:lang w:eastAsia="zh-CN"/>
        </w:rPr>
        <w:t>21.</w:t>
      </w:r>
      <w:r>
        <w:rPr>
          <w:rFonts w:hint="eastAsia" w:ascii="Times New Roman" w:hAnsi="Times New Roman" w:cs="仿宋"/>
          <w:b/>
          <w:color w:val="000000"/>
          <w:sz w:val="24"/>
          <w:highlight w:val="none"/>
        </w:rPr>
        <w:t>串通投标情形</w:t>
      </w:r>
    </w:p>
    <w:p w14:paraId="0C671EC5">
      <w:pPr>
        <w:spacing w:line="500" w:lineRule="exact"/>
        <w:ind w:firstLine="480"/>
        <w:rPr>
          <w:rFonts w:ascii="黑体" w:hAnsi="黑体" w:eastAsia="黑体"/>
          <w:color w:val="000000"/>
          <w:sz w:val="24"/>
          <w:highlight w:val="none"/>
        </w:rPr>
      </w:pPr>
      <w:r>
        <w:rPr>
          <w:rFonts w:hint="eastAsia" w:ascii="黑体" w:hAnsi="黑体" w:eastAsia="黑体"/>
          <w:color w:val="000000"/>
          <w:sz w:val="24"/>
          <w:highlight w:val="none"/>
        </w:rPr>
        <w:t>有下列情形之一的，属于恶意串通投标：</w:t>
      </w:r>
    </w:p>
    <w:p w14:paraId="1D1E2C99">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21.1供应商直接或间接从采购人或采购代理机构处获得其他供应商的投标情况，并修改其投标文件；</w:t>
      </w:r>
    </w:p>
    <w:p w14:paraId="0CE1444A">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21.2评审活动开始前供应商直接或间接从采购人或采购代理机构处获得评标委员会组成人员情况；</w:t>
      </w:r>
    </w:p>
    <w:p w14:paraId="4EFC9C68">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21.3供应商接受采购人或采购代理机构授意撤换、修改投标文件；</w:t>
      </w:r>
    </w:p>
    <w:p w14:paraId="62238E47">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21.4供应商之间协商投标报价、技术方案等投标文件实质性内容；</w:t>
      </w:r>
    </w:p>
    <w:p w14:paraId="58DC3991">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21.5属于同一集团、协会、商会等组织成员的供应商按照该组织要求协同投标；</w:t>
      </w:r>
    </w:p>
    <w:p w14:paraId="40DBF32C">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21.6供应商之间事先约定由某一特定供应商中标、成交；</w:t>
      </w:r>
    </w:p>
    <w:p w14:paraId="51ED7A53">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21.7供应商之间商定部分供应商放弃投标或者放弃中标、成交；</w:t>
      </w:r>
    </w:p>
    <w:p w14:paraId="1FBB62A8">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21.8供应商与采购人或采购代理机构之间、供应商相互之间为谋求特定供应商中标成交或者排斥其他供应商的其他串通行为；</w:t>
      </w:r>
    </w:p>
    <w:p w14:paraId="666C161F">
      <w:pPr>
        <w:spacing w:line="500" w:lineRule="exact"/>
        <w:ind w:firstLine="482"/>
        <w:rPr>
          <w:rFonts w:ascii="黑体" w:hAnsi="黑体" w:eastAsia="黑体"/>
          <w:color w:val="000000"/>
          <w:sz w:val="24"/>
          <w:highlight w:val="none"/>
        </w:rPr>
      </w:pPr>
      <w:r>
        <w:rPr>
          <w:rFonts w:hint="eastAsia" w:ascii="黑体" w:hAnsi="黑体" w:eastAsia="黑体"/>
          <w:color w:val="000000"/>
          <w:sz w:val="24"/>
          <w:highlight w:val="none"/>
        </w:rPr>
        <w:t>有下列情形之一的，视为投标人串通投标，其投标无效：</w:t>
      </w:r>
    </w:p>
    <w:p w14:paraId="5994E95C">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21.9不同投标人的投标文件由同一单位或者个人编制；</w:t>
      </w:r>
    </w:p>
    <w:p w14:paraId="7155E68D">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21.10不同投标人委托同一单位或者个人办理投标事宜；</w:t>
      </w:r>
    </w:p>
    <w:p w14:paraId="246F351A">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21.11不同投标人的投标文件载明的项目管理成员或者联系人员为同一人；</w:t>
      </w:r>
    </w:p>
    <w:p w14:paraId="4A4BFA88">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21.12不同投标人的投标文件异常一致或者投标报价呈规律性差异；</w:t>
      </w:r>
    </w:p>
    <w:p w14:paraId="102930AF">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21.13不同投标人的投标文件相互混装；</w:t>
      </w:r>
    </w:p>
    <w:p w14:paraId="7FC56099">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21.14不同投标人的投标保证金从同一单位或者个人的账户转出。</w:t>
      </w:r>
    </w:p>
    <w:p w14:paraId="34574FBD">
      <w:pPr>
        <w:spacing w:line="480" w:lineRule="exact"/>
        <w:ind w:firstLine="482"/>
        <w:rPr>
          <w:rFonts w:hint="eastAsia" w:ascii="Times New Roman" w:hAnsi="Times New Roman" w:cs="仿宋"/>
          <w:b/>
          <w:color w:val="000000"/>
          <w:sz w:val="24"/>
          <w:highlight w:val="none"/>
        </w:rPr>
      </w:pPr>
      <w:r>
        <w:rPr>
          <w:rFonts w:hint="eastAsia" w:ascii="Times New Roman" w:hAnsi="Times New Roman" w:cs="仿宋"/>
          <w:b/>
          <w:color w:val="000000"/>
          <w:sz w:val="24"/>
          <w:highlight w:val="none"/>
          <w:lang w:eastAsia="zh-CN"/>
        </w:rPr>
        <w:t>22.</w:t>
      </w:r>
      <w:bookmarkStart w:id="116" w:name="OLE_LINK4"/>
      <w:r>
        <w:rPr>
          <w:rFonts w:hint="eastAsia" w:ascii="Times New Roman" w:hAnsi="Times New Roman" w:cs="仿宋"/>
          <w:b/>
          <w:color w:val="000000"/>
          <w:sz w:val="24"/>
          <w:highlight w:val="none"/>
        </w:rPr>
        <w:t>取消中标候选人资格情形</w:t>
      </w:r>
      <w:bookmarkEnd w:id="116"/>
    </w:p>
    <w:p w14:paraId="385B24C8">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22.1提供虚假材料谋取中标的；</w:t>
      </w:r>
    </w:p>
    <w:p w14:paraId="244BCD5B">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22.2采取不正当手段诋毁、排挤其他投标人的；</w:t>
      </w:r>
    </w:p>
    <w:p w14:paraId="2CEF8F43">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22.3与采购人、其他投标人或者采购代理机构恶意串通的；</w:t>
      </w:r>
    </w:p>
    <w:p w14:paraId="23BDDACE">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22.4向采购人、采购代理机构行贿或者提供其他不正当利益的；</w:t>
      </w:r>
    </w:p>
    <w:p w14:paraId="3049E9A9">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22.5未在规定时间内与采购人签订采购合同的；</w:t>
      </w:r>
    </w:p>
    <w:p w14:paraId="424B48C8">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22.6</w:t>
      </w:r>
      <w:r>
        <w:rPr>
          <w:rFonts w:hint="eastAsia" w:ascii="Times New Roman" w:hAnsi="Times New Roman" w:cs="仿宋"/>
          <w:color w:val="000000"/>
          <w:sz w:val="24"/>
          <w:highlight w:val="none"/>
          <w:lang w:eastAsia="zh-CN"/>
        </w:rPr>
        <w:t>法律法规</w:t>
      </w:r>
      <w:r>
        <w:rPr>
          <w:rFonts w:hint="eastAsia" w:ascii="Times New Roman" w:hAnsi="Times New Roman" w:cs="仿宋"/>
          <w:color w:val="000000"/>
          <w:sz w:val="24"/>
          <w:highlight w:val="none"/>
        </w:rPr>
        <w:t>规定的</w:t>
      </w:r>
      <w:r>
        <w:rPr>
          <w:rFonts w:hint="eastAsia" w:ascii="Times New Roman" w:hAnsi="Times New Roman" w:cs="仿宋"/>
          <w:color w:val="000000"/>
          <w:sz w:val="24"/>
          <w:highlight w:val="none"/>
          <w:lang w:eastAsia="zh-CN"/>
        </w:rPr>
        <w:t>其他情况</w:t>
      </w:r>
      <w:r>
        <w:rPr>
          <w:rFonts w:hint="eastAsia" w:ascii="Times New Roman" w:hAnsi="Times New Roman" w:cs="仿宋"/>
          <w:color w:val="000000"/>
          <w:sz w:val="24"/>
          <w:highlight w:val="none"/>
        </w:rPr>
        <w:t>。</w:t>
      </w:r>
      <w:bookmarkStart w:id="117" w:name="_Toc2391"/>
      <w:bookmarkStart w:id="118" w:name="_Toc81575198"/>
      <w:bookmarkStart w:id="119" w:name="_Toc6494"/>
      <w:bookmarkStart w:id="120" w:name="_Toc81575161"/>
    </w:p>
    <w:p w14:paraId="29B52145">
      <w:pPr>
        <w:spacing w:line="480" w:lineRule="exact"/>
        <w:ind w:firstLine="321"/>
        <w:outlineLvl w:val="1"/>
        <w:rPr>
          <w:rFonts w:hint="eastAsia" w:ascii="Arial" w:hAnsi="Arial" w:eastAsia="宋体" w:cs="Arial"/>
          <w:b/>
          <w:bCs/>
          <w:color w:val="000000"/>
          <w:sz w:val="32"/>
          <w:szCs w:val="22"/>
          <w:highlight w:val="none"/>
          <w:lang w:val="en-US" w:eastAsia="zh-CN" w:bidi="ar-SA"/>
        </w:rPr>
      </w:pPr>
      <w:r>
        <w:rPr>
          <w:rFonts w:hint="eastAsia" w:ascii="Arial" w:hAnsi="Arial" w:eastAsia="宋体" w:cs="Arial"/>
          <w:b/>
          <w:bCs/>
          <w:color w:val="000000"/>
          <w:sz w:val="32"/>
          <w:szCs w:val="22"/>
          <w:highlight w:val="none"/>
          <w:lang w:val="en-US" w:eastAsia="zh-CN" w:bidi="ar-SA"/>
        </w:rPr>
        <w:t>七、中标及合同签订</w:t>
      </w:r>
      <w:bookmarkEnd w:id="117"/>
      <w:bookmarkEnd w:id="118"/>
      <w:bookmarkEnd w:id="119"/>
      <w:bookmarkEnd w:id="120"/>
    </w:p>
    <w:p w14:paraId="567FC334">
      <w:pPr>
        <w:spacing w:line="500" w:lineRule="exact"/>
        <w:ind w:firstLine="482"/>
        <w:rPr>
          <w:rFonts w:hint="eastAsia" w:ascii="Times New Roman" w:hAnsi="Times New Roman" w:cs="仿宋"/>
          <w:b/>
          <w:color w:val="000000"/>
          <w:sz w:val="24"/>
          <w:highlight w:val="none"/>
        </w:rPr>
      </w:pPr>
      <w:r>
        <w:rPr>
          <w:rFonts w:hint="eastAsia" w:ascii="Times New Roman" w:hAnsi="Times New Roman" w:cs="仿宋"/>
          <w:b/>
          <w:color w:val="000000"/>
          <w:sz w:val="24"/>
          <w:highlight w:val="none"/>
          <w:lang w:eastAsia="zh-CN"/>
        </w:rPr>
        <w:t>23.</w:t>
      </w:r>
      <w:r>
        <w:rPr>
          <w:rFonts w:hint="eastAsia" w:ascii="Times New Roman" w:hAnsi="Times New Roman" w:cs="仿宋"/>
          <w:b/>
          <w:color w:val="000000"/>
          <w:sz w:val="24"/>
          <w:highlight w:val="none"/>
        </w:rPr>
        <w:t>确定中标人</w:t>
      </w:r>
    </w:p>
    <w:p w14:paraId="66C65CEC">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23.1采购人应当自收到评审报告之日起5个工作日内在评审报告推荐的中标候选人中按顺序确定中标人。</w:t>
      </w:r>
    </w:p>
    <w:p w14:paraId="3C8AFD54">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23.2中标人确定之日起2个工作日内，采购人、采购代理机构将发布中标结果，中标公告的公告期限为1个工作日。</w:t>
      </w:r>
    </w:p>
    <w:p w14:paraId="7BD5DEA5">
      <w:pPr>
        <w:spacing w:line="480" w:lineRule="exact"/>
        <w:ind w:firstLine="480"/>
        <w:rPr>
          <w:rFonts w:ascii="Times New Roman" w:hAnsi="Times New Roman" w:cs="仿宋"/>
          <w:color w:val="000000"/>
          <w:sz w:val="24"/>
          <w:highlight w:val="none"/>
        </w:rPr>
      </w:pPr>
      <w:r>
        <w:rPr>
          <w:rFonts w:hint="eastAsia" w:ascii="Times New Roman" w:hAnsi="Times New Roman" w:cs="仿宋"/>
          <w:color w:val="000000"/>
          <w:sz w:val="24"/>
          <w:highlight w:val="none"/>
        </w:rPr>
        <w:t>23.3采购人确定正被列为失信被执行人的投标人为中标人的，中标结果无效。</w:t>
      </w:r>
    </w:p>
    <w:p w14:paraId="1726EF07">
      <w:pPr>
        <w:spacing w:line="500" w:lineRule="exact"/>
        <w:ind w:firstLine="482"/>
        <w:rPr>
          <w:rFonts w:hint="eastAsia" w:ascii="Times New Roman" w:hAnsi="Times New Roman" w:cs="仿宋"/>
          <w:b/>
          <w:color w:val="000000"/>
          <w:sz w:val="24"/>
          <w:highlight w:val="none"/>
        </w:rPr>
      </w:pPr>
      <w:r>
        <w:rPr>
          <w:rFonts w:hint="eastAsia" w:ascii="Times New Roman" w:hAnsi="Times New Roman" w:cs="仿宋"/>
          <w:b/>
          <w:color w:val="000000"/>
          <w:sz w:val="24"/>
          <w:highlight w:val="none"/>
          <w:lang w:eastAsia="zh-CN"/>
        </w:rPr>
        <w:t>24.</w:t>
      </w:r>
      <w:r>
        <w:rPr>
          <w:rFonts w:hint="eastAsia" w:ascii="Times New Roman" w:hAnsi="Times New Roman" w:cs="仿宋"/>
          <w:b/>
          <w:color w:val="000000"/>
          <w:sz w:val="24"/>
          <w:highlight w:val="none"/>
        </w:rPr>
        <w:t>中标通知书</w:t>
      </w:r>
    </w:p>
    <w:p w14:paraId="416C05E3">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24.1在公告中标结果的同时，采购代理机构将向中标人发出中标通知书。中标人使用CA数字证书登录“苏采云”系统及时下载中标通知书。</w:t>
      </w:r>
    </w:p>
    <w:p w14:paraId="334043FE">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24.2中标通知书发出后，采购人改变中标结果的，或者中标人放弃中标项目的，应当依法承担法律责任。</w:t>
      </w:r>
    </w:p>
    <w:p w14:paraId="2A369175">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24.3采用综合评分法评审的，未中标人可于中标结果公告期限届满之日起通过“苏采云”系统查看</w:t>
      </w:r>
      <w:bookmarkStart w:id="121" w:name="OLE_LINK5"/>
      <w:r>
        <w:rPr>
          <w:rFonts w:hint="eastAsia" w:ascii="Times New Roman" w:hAnsi="Times New Roman" w:cs="仿宋"/>
          <w:color w:val="000000"/>
          <w:sz w:val="24"/>
          <w:highlight w:val="none"/>
        </w:rPr>
        <w:t>自己的评审得分及排序情况。</w:t>
      </w:r>
      <w:bookmarkEnd w:id="121"/>
    </w:p>
    <w:p w14:paraId="284C3C19">
      <w:pPr>
        <w:spacing w:line="500" w:lineRule="exact"/>
        <w:ind w:firstLine="482"/>
        <w:rPr>
          <w:rFonts w:hint="eastAsia" w:ascii="Times New Roman" w:hAnsi="Times New Roman" w:cs="仿宋"/>
          <w:b/>
          <w:color w:val="000000"/>
          <w:sz w:val="24"/>
          <w:highlight w:val="none"/>
        </w:rPr>
      </w:pPr>
      <w:r>
        <w:rPr>
          <w:rFonts w:hint="eastAsia" w:ascii="Times New Roman" w:hAnsi="Times New Roman" w:cs="仿宋"/>
          <w:b/>
          <w:color w:val="000000"/>
          <w:sz w:val="24"/>
          <w:highlight w:val="none"/>
          <w:lang w:eastAsia="zh-CN"/>
        </w:rPr>
        <w:t>25.</w:t>
      </w:r>
      <w:r>
        <w:rPr>
          <w:rFonts w:hint="eastAsia" w:ascii="Times New Roman" w:hAnsi="Times New Roman" w:cs="仿宋"/>
          <w:b/>
          <w:color w:val="000000"/>
          <w:sz w:val="24"/>
          <w:highlight w:val="none"/>
        </w:rPr>
        <w:t>授予合同</w:t>
      </w:r>
    </w:p>
    <w:p w14:paraId="6CB1FFA5">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25.1采购人与中标人应当在中标通知书发出之日起15日内签订政府采购合同。招标文件、中标人的投标文件以及评标过程中有关澄清文件均作为合同附件。</w:t>
      </w:r>
    </w:p>
    <w:p w14:paraId="3B46D935">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25.2采购人在自合同签订之日起2个工作日内，将合同在指定的媒体上公告。</w:t>
      </w:r>
    </w:p>
    <w:p w14:paraId="2D1A6993">
      <w:pPr>
        <w:spacing w:line="480" w:lineRule="exact"/>
        <w:ind w:firstLine="482"/>
        <w:rPr>
          <w:rFonts w:hint="eastAsia" w:ascii="Times New Roman" w:hAnsi="Times New Roman" w:cs="仿宋"/>
          <w:b/>
          <w:color w:val="000000"/>
          <w:sz w:val="24"/>
          <w:highlight w:val="none"/>
        </w:rPr>
      </w:pPr>
      <w:r>
        <w:rPr>
          <w:rFonts w:hint="eastAsia" w:ascii="Times New Roman" w:hAnsi="Times New Roman" w:cs="仿宋"/>
          <w:b/>
          <w:color w:val="000000"/>
          <w:sz w:val="24"/>
          <w:highlight w:val="none"/>
          <w:lang w:eastAsia="zh-CN"/>
        </w:rPr>
        <w:t>26.</w:t>
      </w:r>
      <w:r>
        <w:rPr>
          <w:rFonts w:hint="eastAsia" w:ascii="Times New Roman" w:hAnsi="Times New Roman" w:cs="仿宋"/>
          <w:b/>
          <w:color w:val="000000"/>
          <w:sz w:val="24"/>
          <w:highlight w:val="none"/>
        </w:rPr>
        <w:t>履约保证金</w:t>
      </w:r>
    </w:p>
    <w:p w14:paraId="1C7F15C4">
      <w:pPr>
        <w:spacing w:line="480" w:lineRule="exact"/>
        <w:ind w:firstLine="480"/>
        <w:rPr>
          <w:rFonts w:hint="eastAsia" w:ascii="Times New Roman" w:hAnsi="Times New Roman" w:cs="仿宋"/>
          <w:color w:val="000000"/>
          <w:sz w:val="24"/>
          <w:highlight w:val="none"/>
          <w:lang w:val="zh-CN"/>
        </w:rPr>
      </w:pPr>
      <w:r>
        <w:rPr>
          <w:rFonts w:hint="eastAsia" w:ascii="Times New Roman" w:hAnsi="Times New Roman" w:cs="仿宋"/>
          <w:color w:val="000000"/>
          <w:sz w:val="24"/>
          <w:highlight w:val="none"/>
          <w:lang w:val="zh-CN"/>
        </w:rPr>
        <w:t>按照以下第</w:t>
      </w:r>
      <w:r>
        <w:rPr>
          <w:rFonts w:hint="eastAsia" w:ascii="Times New Roman" w:hAnsi="Times New Roman" w:cs="仿宋"/>
          <w:color w:val="000000"/>
          <w:sz w:val="24"/>
          <w:highlight w:val="none"/>
          <w:u w:val="single"/>
        </w:rPr>
        <w:t>（</w:t>
      </w:r>
      <w:r>
        <w:rPr>
          <w:rFonts w:hint="eastAsia" w:ascii="Times New Roman" w:hAnsi="Times New Roman" w:cs="仿宋"/>
          <w:color w:val="000000"/>
          <w:sz w:val="24"/>
          <w:highlight w:val="none"/>
          <w:u w:val="single"/>
          <w:lang w:val="en-US" w:eastAsia="zh-CN"/>
        </w:rPr>
        <w:t>1</w:t>
      </w:r>
      <w:r>
        <w:rPr>
          <w:rFonts w:hint="eastAsia" w:ascii="Times New Roman" w:hAnsi="Times New Roman" w:cs="仿宋"/>
          <w:color w:val="000000"/>
          <w:sz w:val="24"/>
          <w:highlight w:val="none"/>
          <w:u w:val="single"/>
        </w:rPr>
        <w:t>）</w:t>
      </w:r>
      <w:r>
        <w:rPr>
          <w:rFonts w:hint="eastAsia" w:ascii="Times New Roman" w:hAnsi="Times New Roman" w:cs="仿宋"/>
          <w:color w:val="000000"/>
          <w:sz w:val="24"/>
          <w:highlight w:val="none"/>
          <w:lang w:val="zh-CN"/>
        </w:rPr>
        <w:t>方式确定履约保证</w:t>
      </w:r>
      <w:r>
        <w:rPr>
          <w:rFonts w:hint="eastAsia" w:ascii="Times New Roman" w:hAnsi="Times New Roman" w:cs="仿宋"/>
          <w:color w:val="000000"/>
          <w:sz w:val="24"/>
          <w:highlight w:val="none"/>
        </w:rPr>
        <w:t>金</w:t>
      </w:r>
      <w:r>
        <w:rPr>
          <w:rFonts w:hint="eastAsia" w:ascii="Times New Roman" w:hAnsi="Times New Roman" w:cs="仿宋"/>
          <w:color w:val="000000"/>
          <w:sz w:val="24"/>
          <w:highlight w:val="none"/>
          <w:lang w:val="zh-CN"/>
        </w:rPr>
        <w:t>收取方式。</w:t>
      </w:r>
    </w:p>
    <w:p w14:paraId="39D90601">
      <w:pPr>
        <w:spacing w:line="480" w:lineRule="exact"/>
        <w:ind w:firstLine="480"/>
        <w:rPr>
          <w:rFonts w:ascii="Times New Roman" w:hAnsi="Times New Roman" w:cs="仿宋"/>
          <w:color w:val="000000"/>
          <w:sz w:val="24"/>
          <w:highlight w:val="none"/>
        </w:rPr>
      </w:pPr>
      <w:r>
        <w:rPr>
          <w:rFonts w:hint="eastAsia" w:ascii="Times New Roman" w:hAnsi="Times New Roman" w:cs="仿宋"/>
          <w:color w:val="000000"/>
          <w:sz w:val="24"/>
          <w:highlight w:val="none"/>
        </w:rPr>
        <w:t>（1）本项目不收取履约保证金。</w:t>
      </w:r>
    </w:p>
    <w:p w14:paraId="7B2AF0CB">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（2）本项目收取履约保证金。</w:t>
      </w:r>
    </w:p>
    <w:p w14:paraId="39A66DDC">
      <w:pPr>
        <w:spacing w:line="480" w:lineRule="exact"/>
        <w:ind w:firstLine="482"/>
        <w:rPr>
          <w:rFonts w:ascii="Times New Roman" w:hAnsi="Times New Roman" w:cs="仿宋"/>
          <w:b/>
          <w:bCs/>
          <w:color w:val="000000"/>
          <w:sz w:val="24"/>
          <w:szCs w:val="24"/>
          <w:highlight w:val="none"/>
        </w:rPr>
      </w:pPr>
      <w:r>
        <w:rPr>
          <w:rFonts w:hint="eastAsia" w:ascii="Times New Roman" w:hAnsi="Times New Roman" w:cs="仿宋"/>
          <w:b/>
          <w:color w:val="000000"/>
          <w:sz w:val="24"/>
          <w:highlight w:val="none"/>
          <w:lang w:eastAsia="zh-CN"/>
        </w:rPr>
        <w:t>27.</w:t>
      </w:r>
      <w:r>
        <w:rPr>
          <w:rFonts w:hint="eastAsia" w:ascii="Times New Roman" w:hAnsi="Times New Roman" w:cs="仿宋"/>
          <w:b/>
          <w:color w:val="000000"/>
          <w:sz w:val="24"/>
          <w:highlight w:val="none"/>
        </w:rPr>
        <w:t>线上融资</w:t>
      </w:r>
    </w:p>
    <w:p w14:paraId="31B40D8E">
      <w:pPr>
        <w:spacing w:line="480" w:lineRule="exact"/>
        <w:ind w:firstLine="480"/>
        <w:rPr>
          <w:rFonts w:hint="eastAsia" w:ascii="Times New Roman" w:hAnsi="Times New Roman" w:cs="仿宋"/>
          <w:b/>
          <w:bCs/>
          <w:color w:val="000000"/>
          <w:sz w:val="24"/>
          <w:szCs w:val="24"/>
          <w:highlight w:val="none"/>
        </w:rPr>
      </w:pPr>
      <w:r>
        <w:rPr>
          <w:rFonts w:hint="eastAsia" w:ascii="宋体" w:hAnsi="宋体"/>
          <w:bCs/>
          <w:color w:val="000000"/>
          <w:sz w:val="24"/>
          <w:szCs w:val="24"/>
          <w:highlight w:val="none"/>
        </w:rPr>
        <w:t>中标人可凭政府采购合同办理融资贷款，详情见江苏政府采购网“政采贷”专栏。</w:t>
      </w:r>
    </w:p>
    <w:p w14:paraId="4BED55CA">
      <w:pPr>
        <w:spacing w:line="480" w:lineRule="exact"/>
        <w:ind w:firstLine="482"/>
        <w:rPr>
          <w:rFonts w:hint="eastAsia" w:ascii="Times New Roman" w:hAnsi="Times New Roman" w:cs="仿宋"/>
          <w:color w:val="000000"/>
          <w:sz w:val="24"/>
          <w:highlight w:val="none"/>
        </w:rPr>
      </w:pPr>
      <w:r>
        <w:rPr>
          <w:rFonts w:hint="eastAsia" w:ascii="Times New Roman" w:hAnsi="Times New Roman" w:cs="仿宋"/>
          <w:b/>
          <w:color w:val="000000"/>
          <w:sz w:val="24"/>
          <w:highlight w:val="none"/>
          <w:lang w:eastAsia="zh-CN"/>
        </w:rPr>
        <w:t>28.</w:t>
      </w:r>
      <w:r>
        <w:rPr>
          <w:rFonts w:hint="eastAsia" w:ascii="Times New Roman" w:hAnsi="Times New Roman" w:cs="仿宋"/>
          <w:b/>
          <w:color w:val="000000"/>
          <w:sz w:val="24"/>
          <w:highlight w:val="none"/>
        </w:rPr>
        <w:t>合同履行</w:t>
      </w:r>
    </w:p>
    <w:p w14:paraId="74217335">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28.1政府采购合同订立后，合同各方不得擅自变更、中止或者终止合同。</w:t>
      </w:r>
    </w:p>
    <w:p w14:paraId="78E3FA0A">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28.2政府采购合同履行中，采购人需追加与合同标的相同的货物、工程或者服务的，在不改变合同其他条款的前提下，可以与中标人签订补充合同，但所补充合同的采购金额不得超过原采购金额的10%。</w:t>
      </w:r>
    </w:p>
    <w:p w14:paraId="5652BF67">
      <w:pPr>
        <w:pStyle w:val="43"/>
        <w:spacing w:before="0" w:after="0" w:line="520" w:lineRule="exact"/>
        <w:rPr>
          <w:rFonts w:hint="eastAsia" w:eastAsia="宋体" w:cs="Arial"/>
          <w:bCs/>
          <w:color w:val="000000"/>
          <w:szCs w:val="22"/>
          <w:highlight w:val="none"/>
        </w:rPr>
      </w:pPr>
      <w:bookmarkStart w:id="122" w:name="_Toc22084"/>
      <w:bookmarkStart w:id="123" w:name="_Toc7550"/>
      <w:bookmarkStart w:id="124" w:name="_Toc81575199"/>
      <w:bookmarkStart w:id="125" w:name="_Toc81575162"/>
      <w:r>
        <w:rPr>
          <w:rFonts w:hint="eastAsia" w:eastAsia="宋体" w:cs="Arial"/>
          <w:bCs/>
          <w:color w:val="000000"/>
          <w:szCs w:val="22"/>
          <w:highlight w:val="none"/>
        </w:rPr>
        <w:t>八、</w:t>
      </w:r>
      <w:bookmarkEnd w:id="122"/>
      <w:bookmarkEnd w:id="123"/>
      <w:bookmarkEnd w:id="124"/>
      <w:bookmarkEnd w:id="125"/>
      <w:bookmarkStart w:id="126" w:name="_Toc81575163"/>
      <w:bookmarkStart w:id="127" w:name="_Toc81575200"/>
      <w:bookmarkStart w:id="128" w:name="_Toc12263"/>
      <w:bookmarkStart w:id="129" w:name="_Toc31888"/>
      <w:r>
        <w:rPr>
          <w:rFonts w:hint="eastAsia" w:eastAsia="宋体" w:cs="Arial"/>
          <w:bCs/>
          <w:color w:val="000000"/>
          <w:szCs w:val="22"/>
          <w:highlight w:val="none"/>
        </w:rPr>
        <w:t>质疑与投诉</w:t>
      </w:r>
      <w:bookmarkEnd w:id="126"/>
      <w:bookmarkEnd w:id="127"/>
      <w:bookmarkEnd w:id="128"/>
      <w:bookmarkEnd w:id="129"/>
    </w:p>
    <w:p w14:paraId="1922186B">
      <w:pPr>
        <w:spacing w:line="480" w:lineRule="exact"/>
        <w:ind w:firstLine="482"/>
        <w:rPr>
          <w:rFonts w:hint="eastAsia" w:ascii="Times New Roman" w:hAnsi="Times New Roman" w:cs="仿宋"/>
          <w:b/>
          <w:color w:val="000000"/>
          <w:sz w:val="24"/>
          <w:highlight w:val="none"/>
        </w:rPr>
      </w:pPr>
      <w:r>
        <w:rPr>
          <w:rFonts w:hint="eastAsia" w:ascii="Times New Roman" w:hAnsi="Times New Roman" w:cs="仿宋"/>
          <w:b/>
          <w:color w:val="000000"/>
          <w:sz w:val="24"/>
          <w:highlight w:val="none"/>
          <w:lang w:eastAsia="zh-CN"/>
        </w:rPr>
        <w:t>29.</w:t>
      </w:r>
      <w:r>
        <w:rPr>
          <w:rFonts w:hint="eastAsia" w:ascii="Times New Roman" w:hAnsi="Times New Roman" w:cs="仿宋"/>
          <w:b/>
          <w:color w:val="000000"/>
          <w:sz w:val="24"/>
          <w:highlight w:val="none"/>
        </w:rPr>
        <w:t>质疑</w:t>
      </w:r>
    </w:p>
    <w:p w14:paraId="507038F5">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29.1供应商认为采购文件、采购过程和中标结果使自己的权益受到损害的，可以在知道或者应知其权益受到损害之日起七个工作日内，</w:t>
      </w:r>
      <w:bookmarkStart w:id="130" w:name="OLE_LINK1"/>
      <w:r>
        <w:rPr>
          <w:rFonts w:hint="eastAsia" w:ascii="Times New Roman" w:hAnsi="Times New Roman" w:cs="仿宋"/>
          <w:color w:val="000000"/>
          <w:sz w:val="24"/>
          <w:highlight w:val="none"/>
        </w:rPr>
        <w:t>质疑联系部门、联系电话、通讯地址</w:t>
      </w:r>
      <w:r>
        <w:rPr>
          <w:rFonts w:hint="eastAsia" w:ascii="Times New Roman" w:hAnsi="Times New Roman" w:cs="仿宋"/>
          <w:color w:val="000000"/>
          <w:sz w:val="24"/>
          <w:highlight w:val="none"/>
          <w:lang w:val="en-US" w:eastAsia="zh-CN"/>
        </w:rPr>
        <w:t>如下</w:t>
      </w:r>
      <w:bookmarkEnd w:id="130"/>
      <w:r>
        <w:rPr>
          <w:rFonts w:hint="eastAsia" w:ascii="Times New Roman" w:hAnsi="Times New Roman" w:cs="仿宋"/>
          <w:color w:val="000000"/>
          <w:sz w:val="24"/>
          <w:highlight w:val="none"/>
          <w:lang w:val="en-US" w:eastAsia="zh-CN"/>
        </w:rPr>
        <w:t>：</w:t>
      </w:r>
    </w:p>
    <w:p w14:paraId="4A4D2987">
      <w:pPr>
        <w:pageBreakBefore w:val="0"/>
        <w:widowControl w:val="0"/>
        <w:spacing w:line="520" w:lineRule="exact"/>
        <w:ind w:left="0" w:firstLine="480"/>
        <w:jc w:val="both"/>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接收质疑函的方式：</w:t>
      </w:r>
      <w:r>
        <w:rPr>
          <w:rFonts w:hint="eastAsia" w:ascii="宋体" w:hAnsi="宋体" w:eastAsia="宋体" w:cs="宋体"/>
          <w:color w:val="000000"/>
          <w:sz w:val="24"/>
          <w:szCs w:val="24"/>
          <w:highlight w:val="none"/>
          <w:u w:val="single"/>
        </w:rPr>
        <w:t>以书面形式向采购人或者其委托的采购代理机构提出质疑。</w:t>
      </w:r>
    </w:p>
    <w:p w14:paraId="29CF434A">
      <w:pPr>
        <w:pageBreakBefore w:val="0"/>
        <w:widowControl w:val="0"/>
        <w:spacing w:line="520" w:lineRule="exact"/>
        <w:ind w:left="0" w:firstLine="480"/>
        <w:jc w:val="both"/>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rPr>
        <w:t>联系部门：</w:t>
      </w:r>
      <w:r>
        <w:rPr>
          <w:rFonts w:hint="eastAsia" w:ascii="宋体" w:hAnsi="宋体" w:cs="宋体"/>
          <w:b w:val="0"/>
          <w:bCs w:val="0"/>
          <w:color w:val="000000"/>
          <w:sz w:val="24"/>
          <w:szCs w:val="24"/>
          <w:highlight w:val="none"/>
          <w:u w:val="single"/>
          <w:lang w:eastAsia="zh-CN"/>
        </w:rPr>
        <w:t>沭阳县高墟镇人民政府</w:t>
      </w:r>
      <w:r>
        <w:rPr>
          <w:rFonts w:hint="eastAsia" w:ascii="宋体" w:hAnsi="宋体" w:eastAsia="宋体" w:cs="宋体"/>
          <w:b w:val="0"/>
          <w:bCs w:val="0"/>
          <w:color w:val="000000"/>
          <w:sz w:val="24"/>
          <w:szCs w:val="24"/>
          <w:highlight w:val="none"/>
          <w:u w:val="single"/>
          <w:lang w:eastAsia="zh-CN"/>
        </w:rPr>
        <w:t>、</w:t>
      </w:r>
      <w:r>
        <w:rPr>
          <w:rFonts w:hint="eastAsia" w:ascii="宋体" w:hAnsi="宋体" w:cs="宋体"/>
          <w:b w:val="0"/>
          <w:bCs w:val="0"/>
          <w:color w:val="000000"/>
          <w:sz w:val="24"/>
          <w:szCs w:val="24"/>
          <w:highlight w:val="none"/>
          <w:u w:val="single"/>
          <w:lang w:val="en-US" w:eastAsia="zh-CN"/>
        </w:rPr>
        <w:t>江苏中堉项目管理咨询有限公司</w:t>
      </w:r>
    </w:p>
    <w:p w14:paraId="0EE51A01">
      <w:pPr>
        <w:pageBreakBefore w:val="0"/>
        <w:widowControl w:val="0"/>
        <w:spacing w:line="520" w:lineRule="exact"/>
        <w:ind w:left="0" w:firstLine="480"/>
        <w:jc w:val="both"/>
        <w:rPr>
          <w:rFonts w:hint="default"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rPr>
        <w:t>联系电话：</w:t>
      </w:r>
      <w:r>
        <w:rPr>
          <w:rFonts w:hint="eastAsia" w:ascii="宋体" w:hAnsi="宋体" w:eastAsia="宋体" w:cs="宋体"/>
          <w:color w:val="000000"/>
          <w:sz w:val="24"/>
          <w:szCs w:val="24"/>
          <w:highlight w:val="none"/>
          <w:u w:val="single"/>
          <w:lang w:val="en-US" w:eastAsia="zh-CN"/>
        </w:rPr>
        <w:t>18800616362</w:t>
      </w:r>
      <w:r>
        <w:rPr>
          <w:rFonts w:hint="eastAsia" w:ascii="宋体" w:hAnsi="宋体" w:eastAsia="宋体" w:cs="宋体"/>
          <w:b w:val="0"/>
          <w:bCs w:val="0"/>
          <w:color w:val="000000"/>
          <w:sz w:val="24"/>
          <w:szCs w:val="24"/>
          <w:highlight w:val="none"/>
          <w:u w:val="single"/>
        </w:rPr>
        <w:t>、</w:t>
      </w:r>
      <w:r>
        <w:rPr>
          <w:rFonts w:hint="eastAsia" w:ascii="宋体" w:hAnsi="宋体" w:cs="宋体"/>
          <w:b w:val="0"/>
          <w:bCs w:val="0"/>
          <w:color w:val="000000"/>
          <w:sz w:val="24"/>
          <w:szCs w:val="24"/>
          <w:highlight w:val="none"/>
          <w:u w:val="single"/>
          <w:lang w:val="en-US" w:eastAsia="zh-CN"/>
        </w:rPr>
        <w:t>18000124097</w:t>
      </w:r>
    </w:p>
    <w:p w14:paraId="53079D92">
      <w:pPr>
        <w:pageBreakBefore w:val="0"/>
        <w:widowControl w:val="0"/>
        <w:spacing w:line="520" w:lineRule="exact"/>
        <w:ind w:left="0" w:firstLine="480"/>
        <w:jc w:val="both"/>
        <w:rPr>
          <w:rFonts w:hint="eastAsia" w:ascii="Times New Roman" w:hAnsi="Times New Roman" w:cs="仿宋"/>
          <w:color w:val="000000"/>
          <w:sz w:val="24"/>
          <w:highlight w:val="none"/>
        </w:rPr>
      </w:pPr>
      <w:r>
        <w:rPr>
          <w:rFonts w:hint="eastAsia" w:ascii="宋体" w:hAnsi="宋体" w:eastAsia="宋体" w:cs="宋体"/>
          <w:color w:val="000000"/>
          <w:sz w:val="24"/>
          <w:szCs w:val="24"/>
          <w:highlight w:val="none"/>
        </w:rPr>
        <w:t>通讯地址：</w:t>
      </w:r>
      <w:r>
        <w:rPr>
          <w:rFonts w:hint="eastAsia" w:ascii="宋体" w:hAnsi="宋体" w:eastAsia="宋体" w:cs="宋体"/>
          <w:color w:val="000000"/>
          <w:sz w:val="24"/>
          <w:szCs w:val="24"/>
          <w:highlight w:val="none"/>
          <w:u w:val="single"/>
        </w:rPr>
        <w:t>沭阳县</w:t>
      </w:r>
      <w:r>
        <w:rPr>
          <w:rFonts w:hint="eastAsia" w:ascii="宋体" w:hAnsi="宋体" w:cs="宋体"/>
          <w:color w:val="000000"/>
          <w:sz w:val="24"/>
          <w:szCs w:val="24"/>
          <w:highlight w:val="none"/>
          <w:u w:val="single"/>
          <w:lang w:val="en-US" w:eastAsia="zh-CN"/>
        </w:rPr>
        <w:t>高</w:t>
      </w:r>
      <w:r>
        <w:rPr>
          <w:rFonts w:hint="eastAsia" w:ascii="宋体" w:hAnsi="宋体" w:cs="宋体"/>
          <w:color w:val="000000"/>
          <w:sz w:val="24"/>
          <w:szCs w:val="24"/>
          <w:highlight w:val="none"/>
          <w:u w:val="single"/>
          <w:lang w:eastAsia="zh-CN"/>
        </w:rPr>
        <w:t>墟镇</w:t>
      </w:r>
      <w:r>
        <w:rPr>
          <w:rFonts w:hint="eastAsia" w:ascii="宋体" w:hAnsi="宋体" w:eastAsia="宋体" w:cs="宋体"/>
          <w:b w:val="0"/>
          <w:bCs w:val="0"/>
          <w:color w:val="000000"/>
          <w:sz w:val="24"/>
          <w:szCs w:val="24"/>
          <w:highlight w:val="none"/>
          <w:u w:val="single"/>
          <w:lang w:eastAsia="zh-CN"/>
        </w:rPr>
        <w:t>、</w:t>
      </w:r>
      <w:r>
        <w:rPr>
          <w:rFonts w:hint="eastAsia" w:ascii="宋体" w:hAnsi="宋体" w:cs="宋体"/>
          <w:color w:val="000000"/>
          <w:sz w:val="24"/>
          <w:szCs w:val="24"/>
          <w:highlight w:val="none"/>
          <w:u w:val="single"/>
          <w:lang w:eastAsia="zh-CN"/>
        </w:rPr>
        <w:t>沭阳县金生金融大厦170A</w:t>
      </w:r>
    </w:p>
    <w:p w14:paraId="26A7F44F">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29.2供应商应知其权益受到损害之日，是指：</w:t>
      </w:r>
    </w:p>
    <w:p w14:paraId="69273FA9">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（1）对本项目采购文件提出质疑的，为获取采购文件之日或者采购文件公告期限届满之日；</w:t>
      </w:r>
    </w:p>
    <w:p w14:paraId="78575475">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（2）对本项目采购过程提出质疑的，为各采购程序环节结束之日；</w:t>
      </w:r>
    </w:p>
    <w:p w14:paraId="0D18F190">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（3）对本项目中标结果提出质疑的，为中标结果公告期限届满之日。</w:t>
      </w:r>
    </w:p>
    <w:p w14:paraId="01AADA71">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29.3质疑供应商应当是参与所质疑项目采购活动的供应商。潜在供应商已依法获取其可质疑的采购文件的，方可对该文件提出质疑。供应商在法定质疑期内应一次性提出针对同一采购程序环节的质疑。</w:t>
      </w:r>
    </w:p>
    <w:p w14:paraId="06EB0973">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29.4供应商提出质疑应当提交质疑函和必要的证明材料。质疑函的必备内容：</w:t>
      </w:r>
    </w:p>
    <w:p w14:paraId="5E95FC31">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（1）供应商的姓名或者名称、地址、邮编、联系人及联系电话；</w:t>
      </w:r>
    </w:p>
    <w:p w14:paraId="599C0E7A">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（2）质疑项目的名称、编号；</w:t>
      </w:r>
    </w:p>
    <w:p w14:paraId="40ECD5A2">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（3）获取采购文件的时间；</w:t>
      </w:r>
    </w:p>
    <w:p w14:paraId="5D8B43F8">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（4）具体、明确的质疑事项和质疑事项相关的请求；</w:t>
      </w:r>
    </w:p>
    <w:p w14:paraId="27AAEF7A">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（5）事实依据；</w:t>
      </w:r>
    </w:p>
    <w:p w14:paraId="2DC4C57C">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（6）必要的法律依据；</w:t>
      </w:r>
    </w:p>
    <w:p w14:paraId="48DC0930">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（7）提出质疑的日期；</w:t>
      </w:r>
    </w:p>
    <w:p w14:paraId="2700AAB4">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（8）供应商为自然人的，由本人签字；供应商为法人或者其他组织的，应当由法定代表人、主要负责人，或者其授权代表签字或者盖章，并加盖公章；</w:t>
      </w:r>
    </w:p>
    <w:p w14:paraId="1A3E13C0">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9）供应商委托代理人进行质疑的，代理人同时应当提交供应商签署的授权委托书。授权委托书载明代理人的姓名或者名称、代理事项、具体权限、期限和相关事项。供应商为自然人的，授权委托书应当由本人签字；供应商为法人或者其他组织的，授权委托书应当由法定代表人、主要负责人签字或者盖章，并加盖单位公章。</w:t>
      </w:r>
    </w:p>
    <w:p w14:paraId="1F4709FD">
      <w:pPr>
        <w:spacing w:line="480" w:lineRule="exact"/>
        <w:ind w:firstLine="480"/>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29.5采购人在收到质疑函后7个工作日内作出答复，并以书面形式通知质疑供应商和其他有关供应商，但质疑答复的内容不涉及商业秘密。</w:t>
      </w:r>
    </w:p>
    <w:p w14:paraId="612279CA">
      <w:pPr>
        <w:spacing w:line="480" w:lineRule="exact"/>
        <w:ind w:firstLine="482"/>
        <w:rPr>
          <w:rFonts w:hint="eastAsia" w:ascii="Times New Roman" w:hAnsi="Times New Roman" w:cs="仿宋"/>
          <w:b/>
          <w:color w:val="000000"/>
          <w:sz w:val="24"/>
          <w:highlight w:val="none"/>
        </w:rPr>
      </w:pPr>
      <w:r>
        <w:rPr>
          <w:rFonts w:hint="eastAsia" w:ascii="Times New Roman" w:hAnsi="Times New Roman" w:cs="仿宋"/>
          <w:b/>
          <w:color w:val="000000"/>
          <w:sz w:val="24"/>
          <w:highlight w:val="none"/>
          <w:lang w:eastAsia="zh-CN"/>
        </w:rPr>
        <w:t>30.</w:t>
      </w:r>
      <w:r>
        <w:rPr>
          <w:rFonts w:hint="eastAsia" w:ascii="Times New Roman" w:hAnsi="Times New Roman" w:cs="仿宋"/>
          <w:b/>
          <w:color w:val="000000"/>
          <w:sz w:val="24"/>
          <w:highlight w:val="none"/>
        </w:rPr>
        <w:t>投诉</w:t>
      </w:r>
    </w:p>
    <w:p w14:paraId="69BD3F9B">
      <w:pPr>
        <w:spacing w:line="480" w:lineRule="exact"/>
        <w:ind w:firstLine="480"/>
        <w:rPr>
          <w:rFonts w:ascii="Times New Roman" w:hAnsi="Times New Roman" w:cs="仿宋"/>
          <w:color w:val="000000"/>
          <w:sz w:val="24"/>
          <w:highlight w:val="none"/>
        </w:rPr>
      </w:pPr>
      <w:r>
        <w:rPr>
          <w:rFonts w:hint="eastAsia" w:ascii="Times New Roman" w:hAnsi="Times New Roman" w:cs="仿宋"/>
          <w:color w:val="000000"/>
          <w:sz w:val="24"/>
          <w:highlight w:val="none"/>
        </w:rPr>
        <w:t>质疑供应商对答复不满意或采购人、采购代理机构未在规定时间内作出答复的，可在答复期满后15个工作日内向同级财政部门提起投诉。</w:t>
      </w:r>
    </w:p>
    <w:p w14:paraId="114722CC">
      <w:pPr>
        <w:pStyle w:val="42"/>
        <w:spacing w:before="200"/>
        <w:jc w:val="center"/>
        <w:rPr>
          <w:color w:val="000000"/>
          <w:highlight w:val="none"/>
        </w:rPr>
      </w:pPr>
      <w:bookmarkStart w:id="131" w:name="EB4d341233595e4bf8ad7006b4bd78d974"/>
      <w:bookmarkEnd w:id="131"/>
      <w:bookmarkStart w:id="132" w:name="_Toc81575201"/>
      <w:bookmarkStart w:id="133" w:name="_Toc81575164"/>
      <w:bookmarkStart w:id="134" w:name="_Hlk166141273"/>
      <w:r>
        <w:rPr>
          <w:rFonts w:hint="eastAsia"/>
          <w:color w:val="000000"/>
          <w:highlight w:val="none"/>
        </w:rPr>
        <w:br w:type="page" w:clear="all"/>
      </w:r>
      <w:bookmarkStart w:id="135" w:name="_Toc17996"/>
      <w:r>
        <w:rPr>
          <w:rFonts w:hint="eastAsia" w:ascii="Calibri" w:hAnsi="Calibri" w:eastAsia="宋体" w:cs="Times New Roman"/>
          <w:b/>
          <w:color w:val="000000"/>
          <w:sz w:val="44"/>
          <w:szCs w:val="44"/>
          <w:highlight w:val="none"/>
        </w:rPr>
        <w:t>第三章  资格审查及评标</w:t>
      </w:r>
      <w:bookmarkEnd w:id="132"/>
      <w:bookmarkEnd w:id="133"/>
      <w:bookmarkEnd w:id="135"/>
      <w:r>
        <w:rPr>
          <w:rFonts w:hint="eastAsia" w:ascii="Calibri" w:hAnsi="Calibri" w:eastAsia="宋体" w:cs="Times New Roman"/>
          <w:b/>
          <w:color w:val="000000"/>
          <w:sz w:val="44"/>
          <w:szCs w:val="44"/>
          <w:highlight w:val="none"/>
        </w:rPr>
        <w:t>方法</w:t>
      </w:r>
    </w:p>
    <w:p w14:paraId="1FCF634D">
      <w:pPr>
        <w:spacing w:line="480" w:lineRule="exact"/>
        <w:ind w:firstLine="482"/>
        <w:jc w:val="left"/>
        <w:rPr>
          <w:rFonts w:ascii="Times New Roman" w:hAnsi="Times New Roman" w:cs="仿宋"/>
          <w:b/>
          <w:bCs/>
          <w:color w:val="000000"/>
          <w:sz w:val="24"/>
          <w:highlight w:val="none"/>
        </w:rPr>
      </w:pPr>
      <w:r>
        <w:rPr>
          <w:rFonts w:hint="eastAsia" w:ascii="Times New Roman" w:hAnsi="Times New Roman" w:cs="仿宋"/>
          <w:b/>
          <w:bCs/>
          <w:color w:val="000000"/>
          <w:sz w:val="24"/>
          <w:highlight w:val="none"/>
        </w:rPr>
        <w:t>一、资格审查</w:t>
      </w:r>
    </w:p>
    <w:p w14:paraId="0E57D8C3">
      <w:pPr>
        <w:spacing w:line="480" w:lineRule="exact"/>
        <w:ind w:firstLine="480"/>
        <w:jc w:val="left"/>
        <w:rPr>
          <w:rFonts w:hint="eastAsia"/>
          <w:color w:val="000000"/>
          <w:sz w:val="24"/>
          <w:szCs w:val="28"/>
          <w:highlight w:val="none"/>
        </w:rPr>
      </w:pPr>
      <w:r>
        <w:rPr>
          <w:rFonts w:hint="eastAsia"/>
          <w:color w:val="000000"/>
          <w:sz w:val="24"/>
          <w:szCs w:val="28"/>
          <w:highlight w:val="none"/>
        </w:rPr>
        <w:t>资格审查人员按照下列指标对各投标人的资格进行审查，未通过审查的为无效标，不参与评标。</w:t>
      </w:r>
    </w:p>
    <w:tbl>
      <w:tblPr>
        <w:tblStyle w:val="31"/>
        <w:tblW w:w="5235" w:type="pct"/>
        <w:tblInd w:w="-7" w:type="dxa"/>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Layout w:type="autofit"/>
        <w:tblCellMar>
          <w:top w:w="0" w:type="dxa"/>
          <w:left w:w="0" w:type="dxa"/>
          <w:bottom w:w="0" w:type="dxa"/>
          <w:right w:w="0" w:type="dxa"/>
        </w:tblCellMar>
      </w:tblPr>
      <w:tblGrid>
        <w:gridCol w:w="4548"/>
        <w:gridCol w:w="4934"/>
      </w:tblGrid>
      <w:tr w14:paraId="36617340">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534" w:type="dxa"/>
            <w:noWrap w:val="0"/>
            <w:vAlign w:val="center"/>
          </w:tcPr>
          <w:p w14:paraId="030998CD">
            <w:pPr>
              <w:spacing w:line="480" w:lineRule="exact"/>
              <w:ind w:firstLine="480"/>
              <w:jc w:val="center"/>
              <w:rPr>
                <w:rFonts w:hint="eastAsia" w:eastAsia="宋体" w:cs="Times New Roman"/>
                <w:color w:val="000000"/>
                <w:sz w:val="24"/>
                <w:szCs w:val="28"/>
                <w:highlight w:val="none"/>
                <w:lang w:val="en-US" w:eastAsia="zh-CN"/>
              </w:rPr>
            </w:pPr>
            <w:r>
              <w:rPr>
                <w:rFonts w:hint="eastAsia" w:eastAsia="宋体" w:cs="Times New Roman"/>
                <w:color w:val="000000"/>
                <w:sz w:val="24"/>
                <w:szCs w:val="28"/>
                <w:highlight w:val="none"/>
                <w:rtl w:val="0"/>
                <w:lang w:val="en-US" w:eastAsia="zh-CN"/>
              </w:rPr>
              <w:t>资格审查因素</w:t>
            </w:r>
          </w:p>
        </w:tc>
        <w:tc>
          <w:tcPr>
            <w:tcW w:w="4918" w:type="dxa"/>
            <w:noWrap w:val="0"/>
            <w:vAlign w:val="center"/>
          </w:tcPr>
          <w:p w14:paraId="7ED6DC61">
            <w:pPr>
              <w:spacing w:line="480" w:lineRule="exact"/>
              <w:ind w:firstLine="480"/>
              <w:jc w:val="center"/>
              <w:rPr>
                <w:rFonts w:hint="eastAsia" w:eastAsia="宋体" w:cs="Times New Roman"/>
                <w:color w:val="000000"/>
                <w:sz w:val="24"/>
                <w:szCs w:val="28"/>
                <w:highlight w:val="none"/>
                <w:lang w:val="en-US" w:eastAsia="zh-CN"/>
              </w:rPr>
            </w:pPr>
            <w:r>
              <w:rPr>
                <w:rFonts w:hint="eastAsia" w:eastAsia="宋体" w:cs="Times New Roman"/>
                <w:color w:val="000000"/>
                <w:sz w:val="24"/>
                <w:szCs w:val="28"/>
                <w:highlight w:val="none"/>
                <w:rtl w:val="0"/>
                <w:lang w:val="en-US" w:eastAsia="zh-CN"/>
              </w:rPr>
              <w:t>审查标准</w:t>
            </w:r>
          </w:p>
        </w:tc>
      </w:tr>
      <w:tr w14:paraId="5F0C0AD5">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534" w:type="dxa"/>
            <w:noWrap w:val="0"/>
            <w:vAlign w:val="center"/>
          </w:tcPr>
          <w:p w14:paraId="25DFFB83">
            <w:pPr>
              <w:spacing w:line="480" w:lineRule="exact"/>
              <w:ind w:firstLine="400"/>
              <w:jc w:val="left"/>
              <w:rPr>
                <w:rFonts w:hint="eastAsia" w:eastAsia="宋体" w:cs="Times New Roman"/>
                <w:color w:val="000000"/>
                <w:sz w:val="20"/>
                <w:szCs w:val="20"/>
                <w:highlight w:val="none"/>
                <w:lang w:val="en-US" w:eastAsia="zh-CN"/>
              </w:rPr>
            </w:pPr>
            <w:bookmarkStart w:id="136" w:name="OLE_LINK25"/>
            <w:r>
              <w:rPr>
                <w:rFonts w:hint="eastAsia" w:eastAsia="宋体" w:cs="Times New Roman"/>
                <w:color w:val="000000"/>
                <w:sz w:val="20"/>
                <w:szCs w:val="20"/>
                <w:highlight w:val="none"/>
                <w:rtl w:val="0"/>
                <w:lang w:val="en-US" w:eastAsia="zh-CN"/>
              </w:rPr>
              <w:t>投标声明及承诺函</w:t>
            </w:r>
            <w:bookmarkEnd w:id="136"/>
          </w:p>
        </w:tc>
        <w:tc>
          <w:tcPr>
            <w:tcW w:w="4918" w:type="dxa"/>
            <w:noWrap w:val="0"/>
            <w:vAlign w:val="center"/>
          </w:tcPr>
          <w:p w14:paraId="755AF665">
            <w:pPr>
              <w:spacing w:line="480" w:lineRule="exact"/>
              <w:ind w:firstLine="400"/>
              <w:jc w:val="left"/>
              <w:rPr>
                <w:rFonts w:hint="eastAsia" w:eastAsia="宋体" w:cs="Times New Roman"/>
                <w:color w:val="000000"/>
                <w:sz w:val="20"/>
                <w:szCs w:val="20"/>
                <w:highlight w:val="none"/>
                <w:lang w:val="en-US" w:eastAsia="zh-CN"/>
              </w:rPr>
            </w:pPr>
            <w:bookmarkStart w:id="137" w:name="OLE_LINK26"/>
            <w:r>
              <w:rPr>
                <w:rFonts w:hint="eastAsia" w:eastAsia="宋体" w:cs="Times New Roman"/>
                <w:color w:val="000000"/>
                <w:sz w:val="20"/>
                <w:szCs w:val="20"/>
                <w:highlight w:val="none"/>
                <w:rtl w:val="0"/>
                <w:lang w:val="en-US" w:eastAsia="zh-CN"/>
              </w:rPr>
              <w:t>符合招标文件要求</w:t>
            </w:r>
            <w:bookmarkEnd w:id="137"/>
          </w:p>
        </w:tc>
      </w:tr>
      <w:tr w14:paraId="4B54EC22">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534" w:type="dxa"/>
            <w:noWrap w:val="0"/>
            <w:vAlign w:val="center"/>
          </w:tcPr>
          <w:p w14:paraId="5344DF1D">
            <w:pPr>
              <w:spacing w:line="480" w:lineRule="exact"/>
              <w:ind w:firstLine="400"/>
              <w:jc w:val="left"/>
              <w:rPr>
                <w:rFonts w:hint="eastAsia" w:eastAsia="宋体" w:cs="Times New Roman"/>
                <w:color w:val="000000"/>
                <w:sz w:val="20"/>
                <w:szCs w:val="20"/>
                <w:highlight w:val="none"/>
                <w:lang w:val="en-US" w:eastAsia="zh-CN"/>
              </w:rPr>
            </w:pPr>
            <w:bookmarkStart w:id="138" w:name="OLE_LINK27"/>
            <w:r>
              <w:rPr>
                <w:rFonts w:hint="eastAsia" w:eastAsia="宋体" w:cs="Times New Roman"/>
                <w:color w:val="000000"/>
                <w:sz w:val="20"/>
                <w:szCs w:val="20"/>
                <w:highlight w:val="none"/>
                <w:rtl w:val="0"/>
                <w:lang w:val="en-US" w:eastAsia="zh-CN"/>
              </w:rPr>
              <w:t>信用信息</w:t>
            </w:r>
            <w:bookmarkEnd w:id="138"/>
          </w:p>
        </w:tc>
        <w:tc>
          <w:tcPr>
            <w:tcW w:w="4918" w:type="dxa"/>
            <w:noWrap w:val="0"/>
            <w:vAlign w:val="center"/>
          </w:tcPr>
          <w:p w14:paraId="00151418">
            <w:pPr>
              <w:spacing w:line="480" w:lineRule="exact"/>
              <w:ind w:firstLine="400"/>
              <w:jc w:val="left"/>
              <w:rPr>
                <w:rFonts w:hint="eastAsia" w:eastAsia="宋体" w:cs="Times New Roman"/>
                <w:color w:val="000000"/>
                <w:sz w:val="20"/>
                <w:szCs w:val="20"/>
                <w:highlight w:val="none"/>
                <w:lang w:val="en-US" w:eastAsia="zh-CN"/>
              </w:rPr>
            </w:pPr>
            <w:bookmarkStart w:id="139" w:name="OLE_LINK28"/>
            <w:r>
              <w:rPr>
                <w:rFonts w:hint="eastAsia" w:eastAsia="宋体" w:cs="Times New Roman"/>
                <w:color w:val="000000"/>
                <w:sz w:val="20"/>
                <w:szCs w:val="20"/>
                <w:highlight w:val="none"/>
                <w:rtl w:val="0"/>
                <w:lang w:val="en-US" w:eastAsia="zh-CN"/>
              </w:rPr>
              <w:t>符合招标文件要求</w:t>
            </w:r>
            <w:bookmarkEnd w:id="139"/>
          </w:p>
        </w:tc>
      </w:tr>
      <w:tr w14:paraId="23F43604">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534" w:type="dxa"/>
            <w:noWrap w:val="0"/>
            <w:vAlign w:val="center"/>
          </w:tcPr>
          <w:p w14:paraId="59888D5B">
            <w:pPr>
              <w:spacing w:line="480" w:lineRule="exact"/>
              <w:ind w:firstLine="400"/>
              <w:jc w:val="left"/>
              <w:rPr>
                <w:rFonts w:hint="eastAsia" w:eastAsia="宋体" w:cs="Times New Roman"/>
                <w:color w:val="000000"/>
                <w:sz w:val="20"/>
                <w:szCs w:val="20"/>
                <w:highlight w:val="none"/>
                <w:lang w:val="en-US" w:eastAsia="zh-CN"/>
              </w:rPr>
            </w:pPr>
            <w:bookmarkStart w:id="140" w:name="OLE_LINK29"/>
            <w:r>
              <w:rPr>
                <w:rFonts w:hint="eastAsia" w:cs="Times New Roman"/>
                <w:color w:val="000000"/>
                <w:sz w:val="20"/>
                <w:szCs w:val="20"/>
                <w:highlight w:val="none"/>
                <w:rtl w:val="0"/>
                <w:lang w:val="en-US" w:eastAsia="zh-CN"/>
              </w:rPr>
              <w:t>供应商资质</w:t>
            </w:r>
            <w:bookmarkEnd w:id="140"/>
          </w:p>
        </w:tc>
        <w:tc>
          <w:tcPr>
            <w:tcW w:w="4918" w:type="dxa"/>
            <w:noWrap w:val="0"/>
            <w:vAlign w:val="center"/>
          </w:tcPr>
          <w:p w14:paraId="590A1815">
            <w:pPr>
              <w:spacing w:line="480" w:lineRule="exact"/>
              <w:ind w:firstLine="400"/>
              <w:jc w:val="left"/>
              <w:rPr>
                <w:rFonts w:hint="eastAsia" w:eastAsia="宋体" w:cs="Times New Roman"/>
                <w:color w:val="000000"/>
                <w:sz w:val="20"/>
                <w:szCs w:val="20"/>
                <w:highlight w:val="none"/>
                <w:lang w:val="en-US" w:eastAsia="zh-CN"/>
              </w:rPr>
            </w:pPr>
            <w:r>
              <w:rPr>
                <w:rFonts w:hint="eastAsia" w:eastAsia="宋体" w:cs="Times New Roman"/>
                <w:color w:val="000000"/>
                <w:sz w:val="20"/>
                <w:szCs w:val="20"/>
                <w:highlight w:val="none"/>
                <w:rtl w:val="0"/>
                <w:lang w:val="en-US" w:eastAsia="zh-CN"/>
              </w:rPr>
              <w:t>符合招标文件要求</w:t>
            </w:r>
          </w:p>
        </w:tc>
      </w:tr>
      <w:tr w14:paraId="2F5C49AC">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534" w:type="dxa"/>
            <w:noWrap w:val="0"/>
            <w:vAlign w:val="center"/>
          </w:tcPr>
          <w:p w14:paraId="48E7DF20">
            <w:pPr>
              <w:spacing w:line="480" w:lineRule="exact"/>
              <w:ind w:firstLine="400"/>
              <w:jc w:val="left"/>
              <w:rPr>
                <w:rFonts w:hint="default" w:eastAsia="宋体" w:cs="Times New Roman"/>
                <w:color w:val="000000"/>
                <w:sz w:val="20"/>
                <w:szCs w:val="20"/>
                <w:highlight w:val="none"/>
                <w:rtl w:val="0"/>
                <w:lang w:val="en-US" w:eastAsia="zh-CN"/>
              </w:rPr>
            </w:pPr>
            <w:r>
              <w:rPr>
                <w:rFonts w:hint="eastAsia" w:eastAsia="宋体" w:cs="Times New Roman"/>
                <w:color w:val="000000"/>
                <w:sz w:val="20"/>
                <w:szCs w:val="20"/>
                <w:highlight w:val="none"/>
                <w:rtl w:val="0"/>
                <w:lang w:val="en-US" w:eastAsia="zh-CN"/>
              </w:rPr>
              <w:t>联合体投标</w:t>
            </w:r>
          </w:p>
        </w:tc>
        <w:tc>
          <w:tcPr>
            <w:tcW w:w="4918" w:type="dxa"/>
            <w:noWrap w:val="0"/>
            <w:vAlign w:val="center"/>
          </w:tcPr>
          <w:p w14:paraId="42AEDDB1">
            <w:pPr>
              <w:spacing w:line="480" w:lineRule="exact"/>
              <w:ind w:firstLine="400"/>
              <w:jc w:val="left"/>
              <w:rPr>
                <w:rFonts w:hint="eastAsia" w:eastAsia="宋体" w:cs="Times New Roman"/>
                <w:color w:val="000000"/>
                <w:sz w:val="20"/>
                <w:szCs w:val="20"/>
                <w:highlight w:val="none"/>
                <w:rtl w:val="0"/>
                <w:lang w:val="en-US" w:eastAsia="zh-CN"/>
              </w:rPr>
            </w:pPr>
            <w:bookmarkStart w:id="141" w:name="OLE_LINK30"/>
            <w:r>
              <w:rPr>
                <w:rFonts w:hint="eastAsia" w:eastAsia="宋体" w:cs="Times New Roman"/>
                <w:color w:val="000000"/>
                <w:sz w:val="20"/>
                <w:szCs w:val="20"/>
                <w:highlight w:val="none"/>
                <w:rtl w:val="0"/>
                <w:lang w:val="en-US" w:eastAsia="zh-CN"/>
              </w:rPr>
              <w:t>不接受联合体投标</w:t>
            </w:r>
            <w:bookmarkEnd w:id="141"/>
          </w:p>
        </w:tc>
      </w:tr>
    </w:tbl>
    <w:p w14:paraId="5DEBE607">
      <w:pPr>
        <w:spacing w:line="480" w:lineRule="exact"/>
        <w:ind w:firstLine="482"/>
        <w:jc w:val="left"/>
        <w:rPr>
          <w:rFonts w:ascii="Times New Roman" w:hAnsi="Times New Roman" w:cs="仿宋"/>
          <w:b/>
          <w:bCs/>
          <w:color w:val="000000"/>
          <w:sz w:val="24"/>
          <w:highlight w:val="none"/>
        </w:rPr>
      </w:pPr>
      <w:r>
        <w:rPr>
          <w:rFonts w:hint="eastAsia" w:ascii="Times New Roman" w:hAnsi="Times New Roman" w:cs="仿宋"/>
          <w:b/>
          <w:bCs/>
          <w:color w:val="000000"/>
          <w:sz w:val="24"/>
          <w:highlight w:val="none"/>
        </w:rPr>
        <w:t>二、符合性审查</w:t>
      </w:r>
    </w:p>
    <w:p w14:paraId="6A8E64FB">
      <w:pPr>
        <w:spacing w:line="480" w:lineRule="exact"/>
        <w:ind w:firstLine="480"/>
        <w:jc w:val="left"/>
        <w:rPr>
          <w:rFonts w:hint="eastAsia"/>
          <w:color w:val="000000"/>
          <w:sz w:val="24"/>
          <w:szCs w:val="28"/>
          <w:highlight w:val="none"/>
        </w:rPr>
      </w:pPr>
      <w:r>
        <w:rPr>
          <w:rFonts w:hint="eastAsia"/>
          <w:color w:val="000000"/>
          <w:sz w:val="24"/>
          <w:szCs w:val="28"/>
          <w:highlight w:val="none"/>
        </w:rPr>
        <w:t>评标委员会对符合资格的投标人的投标文件进行符合性审查，未通过审查的为无效标，不再参与评审。</w:t>
      </w:r>
    </w:p>
    <w:tbl>
      <w:tblPr>
        <w:tblStyle w:val="31"/>
        <w:tblW w:w="5222" w:type="pct"/>
        <w:tblInd w:w="-7" w:type="dxa"/>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Layout w:type="autofit"/>
        <w:tblCellMar>
          <w:top w:w="0" w:type="dxa"/>
          <w:left w:w="0" w:type="dxa"/>
          <w:bottom w:w="0" w:type="dxa"/>
          <w:right w:w="0" w:type="dxa"/>
        </w:tblCellMar>
      </w:tblPr>
      <w:tblGrid>
        <w:gridCol w:w="4547"/>
        <w:gridCol w:w="4911"/>
      </w:tblGrid>
      <w:tr w14:paraId="483B938B">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532" w:type="dxa"/>
            <w:noWrap w:val="0"/>
            <w:vAlign w:val="center"/>
          </w:tcPr>
          <w:p w14:paraId="7545AE84">
            <w:pPr>
              <w:widowControl w:val="0"/>
              <w:spacing w:after="0" w:afterAutospacing="0"/>
              <w:jc w:val="center"/>
              <w:rPr>
                <w:rFonts w:hint="eastAsia" w:ascii="宋体" w:hAnsi="宋体" w:eastAsia="宋体" w:cs="宋体"/>
                <w:caps w:val="0"/>
                <w:color w:val="000000"/>
                <w:sz w:val="21"/>
                <w:szCs w:val="22"/>
                <w:highlight w:val="none"/>
                <w:lang w:val="en-US" w:eastAsia="zh-CN" w:bidi="ar-SA"/>
              </w:rPr>
            </w:pPr>
            <w:r>
              <w:rPr>
                <w:rFonts w:hint="eastAsia" w:ascii="宋体" w:hAnsi="宋体" w:eastAsia="宋体" w:cs="宋体"/>
                <w:caps w:val="0"/>
                <w:color w:val="000000"/>
                <w:sz w:val="21"/>
                <w:szCs w:val="22"/>
                <w:highlight w:val="none"/>
                <w:rtl w:val="0"/>
                <w:lang w:val="en-US" w:eastAsia="zh-CN" w:bidi="ar-SA"/>
              </w:rPr>
              <w:t>符合性审查因素</w:t>
            </w:r>
          </w:p>
        </w:tc>
        <w:tc>
          <w:tcPr>
            <w:tcW w:w="4895" w:type="dxa"/>
            <w:noWrap w:val="0"/>
            <w:vAlign w:val="center"/>
          </w:tcPr>
          <w:p w14:paraId="004D554A">
            <w:pPr>
              <w:widowControl w:val="0"/>
              <w:spacing w:after="0" w:afterAutospacing="0"/>
              <w:jc w:val="center"/>
              <w:rPr>
                <w:rFonts w:hint="eastAsia" w:ascii="宋体" w:hAnsi="宋体" w:eastAsia="宋体" w:cs="宋体"/>
                <w:caps w:val="0"/>
                <w:color w:val="000000"/>
                <w:sz w:val="21"/>
                <w:szCs w:val="22"/>
                <w:highlight w:val="none"/>
                <w:lang w:val="en-US" w:eastAsia="zh-CN" w:bidi="ar-SA"/>
              </w:rPr>
            </w:pPr>
            <w:r>
              <w:rPr>
                <w:rFonts w:hint="eastAsia" w:ascii="宋体" w:hAnsi="宋体" w:eastAsia="宋体" w:cs="宋体"/>
                <w:caps w:val="0"/>
                <w:color w:val="000000"/>
                <w:sz w:val="21"/>
                <w:szCs w:val="22"/>
                <w:highlight w:val="none"/>
                <w:rtl w:val="0"/>
                <w:lang w:val="en-US" w:eastAsia="zh-CN" w:bidi="ar-SA"/>
              </w:rPr>
              <w:t>审查标准</w:t>
            </w:r>
          </w:p>
        </w:tc>
      </w:tr>
      <w:tr w14:paraId="4C0B962E">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532" w:type="dxa"/>
            <w:noWrap w:val="0"/>
            <w:vAlign w:val="center"/>
          </w:tcPr>
          <w:p w14:paraId="05ED175D">
            <w:pPr>
              <w:widowControl w:val="0"/>
              <w:spacing w:after="0" w:afterAutospacing="0"/>
              <w:jc w:val="left"/>
              <w:rPr>
                <w:rFonts w:hint="eastAsia" w:ascii="宋体" w:hAnsi="宋体" w:eastAsia="宋体" w:cs="宋体"/>
                <w:caps w:val="0"/>
                <w:color w:val="000000"/>
                <w:sz w:val="21"/>
                <w:szCs w:val="22"/>
                <w:highlight w:val="none"/>
                <w:lang w:val="en-US" w:eastAsia="zh-CN" w:bidi="ar-SA"/>
              </w:rPr>
            </w:pPr>
            <w:bookmarkStart w:id="142" w:name="OLE_LINK36"/>
            <w:r>
              <w:rPr>
                <w:rFonts w:hint="eastAsia" w:ascii="宋体" w:hAnsi="宋体" w:eastAsia="宋体" w:cs="宋体"/>
                <w:caps w:val="0"/>
                <w:color w:val="000000"/>
                <w:sz w:val="21"/>
                <w:szCs w:val="22"/>
                <w:highlight w:val="none"/>
                <w:rtl w:val="0"/>
                <w:lang w:val="en-US" w:eastAsia="zh-CN" w:bidi="ar-SA"/>
              </w:rPr>
              <w:t>法定代表人身份证明或授权委托书</w:t>
            </w:r>
            <w:bookmarkEnd w:id="142"/>
          </w:p>
        </w:tc>
        <w:tc>
          <w:tcPr>
            <w:tcW w:w="4895" w:type="dxa"/>
            <w:noWrap w:val="0"/>
            <w:vAlign w:val="center"/>
          </w:tcPr>
          <w:p w14:paraId="74C81269">
            <w:pPr>
              <w:widowControl w:val="0"/>
              <w:spacing w:after="0" w:afterAutospacing="0"/>
              <w:jc w:val="left"/>
              <w:rPr>
                <w:rFonts w:hint="eastAsia" w:ascii="宋体" w:hAnsi="宋体" w:eastAsia="宋体" w:cs="宋体"/>
                <w:caps w:val="0"/>
                <w:color w:val="000000"/>
                <w:sz w:val="21"/>
                <w:szCs w:val="22"/>
                <w:highlight w:val="none"/>
                <w:lang w:val="en-US" w:eastAsia="zh-CN" w:bidi="ar-SA"/>
              </w:rPr>
            </w:pPr>
            <w:bookmarkStart w:id="143" w:name="OLE_LINK37"/>
            <w:r>
              <w:rPr>
                <w:rFonts w:hint="eastAsia" w:ascii="宋体" w:hAnsi="宋体" w:eastAsia="宋体" w:cs="宋体"/>
                <w:caps w:val="0"/>
                <w:color w:val="000000"/>
                <w:sz w:val="21"/>
                <w:szCs w:val="22"/>
                <w:highlight w:val="none"/>
                <w:rtl w:val="0"/>
                <w:lang w:val="en-US" w:eastAsia="zh-CN" w:bidi="ar-SA"/>
              </w:rPr>
              <w:t>符合招标文件要求</w:t>
            </w:r>
            <w:bookmarkEnd w:id="143"/>
          </w:p>
        </w:tc>
      </w:tr>
      <w:tr w14:paraId="7D28733F">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532" w:type="dxa"/>
            <w:noWrap w:val="0"/>
            <w:vAlign w:val="center"/>
          </w:tcPr>
          <w:p w14:paraId="7BF9B0BE">
            <w:pPr>
              <w:widowControl w:val="0"/>
              <w:spacing w:after="0" w:afterAutospacing="0"/>
              <w:jc w:val="left"/>
              <w:rPr>
                <w:rFonts w:hint="eastAsia" w:ascii="宋体" w:hAnsi="宋体" w:eastAsia="宋体" w:cs="宋体"/>
                <w:caps w:val="0"/>
                <w:color w:val="000000"/>
                <w:sz w:val="21"/>
                <w:szCs w:val="22"/>
                <w:highlight w:val="none"/>
                <w:lang w:val="en-US" w:eastAsia="zh-CN" w:bidi="ar-SA"/>
              </w:rPr>
            </w:pPr>
            <w:bookmarkStart w:id="144" w:name="OLE_LINK34"/>
            <w:r>
              <w:rPr>
                <w:rFonts w:hint="eastAsia" w:ascii="宋体" w:hAnsi="宋体" w:eastAsia="宋体" w:cs="宋体"/>
                <w:caps w:val="0"/>
                <w:color w:val="000000"/>
                <w:sz w:val="21"/>
                <w:szCs w:val="22"/>
                <w:highlight w:val="none"/>
                <w:rtl w:val="0"/>
                <w:lang w:val="en-US" w:eastAsia="zh-CN" w:bidi="ar-SA"/>
              </w:rPr>
              <w:t>开标一览表及投标报价</w:t>
            </w:r>
            <w:bookmarkEnd w:id="144"/>
          </w:p>
        </w:tc>
        <w:tc>
          <w:tcPr>
            <w:tcW w:w="4895" w:type="dxa"/>
            <w:noWrap w:val="0"/>
            <w:vAlign w:val="center"/>
          </w:tcPr>
          <w:p w14:paraId="236398B7">
            <w:pPr>
              <w:widowControl w:val="0"/>
              <w:spacing w:after="0" w:afterAutospacing="0"/>
              <w:jc w:val="left"/>
              <w:rPr>
                <w:rFonts w:hint="eastAsia" w:ascii="宋体" w:hAnsi="宋体" w:eastAsia="宋体" w:cs="宋体"/>
                <w:caps w:val="0"/>
                <w:color w:val="000000"/>
                <w:sz w:val="21"/>
                <w:szCs w:val="22"/>
                <w:highlight w:val="none"/>
                <w:lang w:val="en-US" w:eastAsia="zh-CN" w:bidi="ar-SA"/>
              </w:rPr>
            </w:pPr>
            <w:bookmarkStart w:id="145" w:name="OLE_LINK35"/>
            <w:r>
              <w:rPr>
                <w:rFonts w:hint="eastAsia" w:ascii="宋体" w:hAnsi="宋体" w:eastAsia="宋体" w:cs="宋体"/>
                <w:caps w:val="0"/>
                <w:color w:val="000000"/>
                <w:sz w:val="21"/>
                <w:szCs w:val="22"/>
                <w:highlight w:val="none"/>
                <w:rtl w:val="0"/>
                <w:lang w:val="en-US" w:eastAsia="zh-CN" w:bidi="ar-SA"/>
              </w:rPr>
              <w:t>格式、填写要求符合招标文件规定</w:t>
            </w:r>
            <w:bookmarkEnd w:id="145"/>
          </w:p>
        </w:tc>
      </w:tr>
      <w:tr w14:paraId="5678D8C5">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532" w:type="dxa"/>
            <w:noWrap w:val="0"/>
            <w:vAlign w:val="center"/>
          </w:tcPr>
          <w:p w14:paraId="282F0E60">
            <w:pPr>
              <w:widowControl w:val="0"/>
              <w:spacing w:after="0" w:afterAutospacing="0"/>
              <w:jc w:val="left"/>
              <w:rPr>
                <w:rFonts w:hint="eastAsia" w:ascii="宋体" w:hAnsi="宋体" w:eastAsia="宋体" w:cs="宋体"/>
                <w:caps w:val="0"/>
                <w:color w:val="000000"/>
                <w:sz w:val="21"/>
                <w:szCs w:val="22"/>
                <w:highlight w:val="none"/>
                <w:lang w:val="en-US" w:eastAsia="zh-CN" w:bidi="ar-SA"/>
              </w:rPr>
            </w:pPr>
            <w:bookmarkStart w:id="146" w:name="OLE_LINK38"/>
            <w:r>
              <w:rPr>
                <w:rFonts w:hint="eastAsia" w:ascii="宋体" w:hAnsi="宋体" w:eastAsia="宋体" w:cs="宋体"/>
                <w:caps w:val="0"/>
                <w:color w:val="000000"/>
                <w:sz w:val="21"/>
                <w:szCs w:val="22"/>
                <w:highlight w:val="none"/>
                <w:rtl w:val="0"/>
                <w:lang w:val="en-US" w:eastAsia="zh-CN" w:bidi="ar-SA"/>
              </w:rPr>
              <w:t>技术标准和要求</w:t>
            </w:r>
            <w:bookmarkEnd w:id="146"/>
          </w:p>
        </w:tc>
        <w:tc>
          <w:tcPr>
            <w:tcW w:w="4895" w:type="dxa"/>
            <w:noWrap w:val="0"/>
            <w:vAlign w:val="center"/>
          </w:tcPr>
          <w:p w14:paraId="3B4264B2">
            <w:pPr>
              <w:widowControl w:val="0"/>
              <w:spacing w:after="0" w:afterAutospacing="0"/>
              <w:jc w:val="left"/>
              <w:rPr>
                <w:rFonts w:hint="eastAsia" w:ascii="宋体" w:hAnsi="宋体" w:eastAsia="宋体" w:cs="宋体"/>
                <w:caps w:val="0"/>
                <w:color w:val="000000"/>
                <w:sz w:val="21"/>
                <w:szCs w:val="22"/>
                <w:highlight w:val="none"/>
                <w:lang w:val="en-US" w:eastAsia="zh-CN" w:bidi="ar-SA"/>
              </w:rPr>
            </w:pPr>
            <w:r>
              <w:rPr>
                <w:rFonts w:hint="eastAsia" w:ascii="宋体" w:hAnsi="宋体" w:eastAsia="宋体" w:cs="宋体"/>
                <w:caps w:val="0"/>
                <w:color w:val="000000"/>
                <w:sz w:val="21"/>
                <w:szCs w:val="22"/>
                <w:highlight w:val="none"/>
                <w:rtl w:val="0"/>
                <w:lang w:val="en-US" w:eastAsia="zh-CN" w:bidi="ar-SA"/>
              </w:rPr>
              <w:t>符合招标文件要求</w:t>
            </w:r>
          </w:p>
        </w:tc>
      </w:tr>
      <w:tr w14:paraId="2EF3FAE7">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532" w:type="dxa"/>
            <w:noWrap w:val="0"/>
            <w:vAlign w:val="center"/>
          </w:tcPr>
          <w:p w14:paraId="2FA2BAE5">
            <w:pPr>
              <w:widowControl w:val="0"/>
              <w:spacing w:after="0" w:afterAutospacing="0"/>
              <w:jc w:val="left"/>
              <w:rPr>
                <w:rFonts w:hint="eastAsia" w:ascii="宋体" w:hAnsi="宋体" w:eastAsia="宋体" w:cs="宋体"/>
                <w:caps w:val="0"/>
                <w:color w:val="000000"/>
                <w:sz w:val="21"/>
                <w:szCs w:val="22"/>
                <w:highlight w:val="none"/>
                <w:lang w:val="en-US" w:eastAsia="zh-CN" w:bidi="ar-SA"/>
              </w:rPr>
            </w:pPr>
            <w:r>
              <w:rPr>
                <w:rFonts w:hint="eastAsia" w:ascii="宋体" w:hAnsi="宋体" w:eastAsia="宋体" w:cs="宋体"/>
                <w:caps w:val="0"/>
                <w:color w:val="000000"/>
                <w:sz w:val="21"/>
                <w:szCs w:val="22"/>
                <w:highlight w:val="none"/>
                <w:rtl w:val="0"/>
                <w:lang w:val="en-US" w:eastAsia="zh-CN" w:bidi="ar-SA"/>
              </w:rPr>
              <w:t>其他</w:t>
            </w:r>
          </w:p>
        </w:tc>
        <w:tc>
          <w:tcPr>
            <w:tcW w:w="4895" w:type="dxa"/>
            <w:noWrap w:val="0"/>
            <w:vAlign w:val="center"/>
          </w:tcPr>
          <w:p w14:paraId="26D40E1F">
            <w:pPr>
              <w:widowControl w:val="0"/>
              <w:spacing w:after="0" w:afterAutospacing="0"/>
              <w:jc w:val="left"/>
              <w:rPr>
                <w:rFonts w:hint="eastAsia" w:ascii="宋体" w:hAnsi="宋体" w:eastAsia="宋体" w:cs="宋体"/>
                <w:caps w:val="0"/>
                <w:color w:val="000000"/>
                <w:sz w:val="21"/>
                <w:szCs w:val="22"/>
                <w:highlight w:val="none"/>
                <w:lang w:val="en-US" w:eastAsia="zh-CN" w:bidi="ar-SA"/>
              </w:rPr>
            </w:pPr>
            <w:bookmarkStart w:id="147" w:name="OLE_LINK39"/>
            <w:r>
              <w:rPr>
                <w:rFonts w:hint="eastAsia" w:ascii="宋体" w:hAnsi="宋体" w:eastAsia="宋体" w:cs="宋体"/>
                <w:caps w:val="0"/>
                <w:color w:val="000000"/>
                <w:sz w:val="21"/>
                <w:szCs w:val="22"/>
                <w:highlight w:val="none"/>
                <w:rtl w:val="0"/>
                <w:lang w:val="en-US" w:eastAsia="zh-CN" w:bidi="ar-SA"/>
              </w:rPr>
              <w:t>符合招标文件要求</w:t>
            </w:r>
            <w:bookmarkEnd w:id="147"/>
          </w:p>
        </w:tc>
      </w:tr>
    </w:tbl>
    <w:p w14:paraId="227C85CE">
      <w:pPr>
        <w:spacing w:line="480" w:lineRule="exact"/>
        <w:ind w:firstLine="482"/>
        <w:jc w:val="left"/>
        <w:rPr>
          <w:rFonts w:ascii="Times New Roman" w:hAnsi="Times New Roman" w:cs="仿宋"/>
          <w:b/>
          <w:bCs/>
          <w:color w:val="000000"/>
          <w:sz w:val="24"/>
          <w:highlight w:val="none"/>
        </w:rPr>
      </w:pPr>
      <w:r>
        <w:rPr>
          <w:rFonts w:hint="eastAsia" w:ascii="Times New Roman" w:hAnsi="Times New Roman" w:cs="仿宋"/>
          <w:b/>
          <w:bCs/>
          <w:color w:val="000000"/>
          <w:sz w:val="24"/>
          <w:highlight w:val="none"/>
        </w:rPr>
        <w:t>三、评标方法</w:t>
      </w:r>
    </w:p>
    <w:p w14:paraId="706BCB08">
      <w:pPr>
        <w:spacing w:line="480" w:lineRule="exact"/>
        <w:ind w:firstLine="480"/>
        <w:jc w:val="left"/>
        <w:rPr>
          <w:rFonts w:ascii="Times New Roman" w:hAnsi="Times New Roman" w:cs="仿宋"/>
          <w:color w:val="000000"/>
          <w:sz w:val="24"/>
          <w:highlight w:val="none"/>
        </w:rPr>
      </w:pPr>
      <w:r>
        <w:rPr>
          <w:rFonts w:hint="eastAsia"/>
          <w:color w:val="000000"/>
          <w:sz w:val="24"/>
          <w:szCs w:val="28"/>
          <w:highlight w:val="none"/>
        </w:rPr>
        <w:t>本项目采用综合评分法，评标结果按评审后得分由高到低顺序排列。得分相同的，按投标报价由低到高顺序排序。得分且投标报价相同的并列。</w:t>
      </w:r>
    </w:p>
    <w:p w14:paraId="2C5EEC86">
      <w:pPr>
        <w:spacing w:line="480" w:lineRule="exact"/>
        <w:ind w:firstLine="480"/>
        <w:jc w:val="left"/>
        <w:rPr>
          <w:rFonts w:ascii="Times New Roman" w:hAnsi="Times New Roman" w:cs="仿宋"/>
          <w:color w:val="000000"/>
          <w:sz w:val="24"/>
          <w:highlight w:val="none"/>
        </w:rPr>
      </w:pPr>
      <w:r>
        <w:rPr>
          <w:rFonts w:hint="eastAsia" w:ascii="Times New Roman" w:hAnsi="Times New Roman" w:cs="仿宋"/>
          <w:color w:val="000000"/>
          <w:sz w:val="24"/>
          <w:highlight w:val="none"/>
        </w:rPr>
        <w:t>综合评分保留至小数点后两位。</w:t>
      </w:r>
    </w:p>
    <w:p w14:paraId="1F9ADCAC">
      <w:pPr>
        <w:spacing w:line="480" w:lineRule="exact"/>
        <w:ind w:firstLine="480"/>
        <w:jc w:val="left"/>
        <w:rPr>
          <w:rFonts w:hint="eastAsia" w:ascii="Times New Roman" w:hAnsi="Times New Roman" w:cs="仿宋"/>
          <w:color w:val="000000"/>
          <w:sz w:val="24"/>
          <w:highlight w:val="none"/>
        </w:rPr>
      </w:pPr>
      <w:r>
        <w:rPr>
          <w:rFonts w:hint="eastAsia" w:ascii="Times New Roman" w:hAnsi="Times New Roman" w:cs="仿宋"/>
          <w:color w:val="000000"/>
          <w:sz w:val="24"/>
          <w:highlight w:val="none"/>
        </w:rPr>
        <w:t>评标委员会根据评标后投标人排序推荐中标候选人，并形成评标报告。</w:t>
      </w:r>
    </w:p>
    <w:p w14:paraId="41E000C4">
      <w:pPr>
        <w:numPr>
          <w:ilvl w:val="0"/>
          <w:numId w:val="3"/>
        </w:numPr>
        <w:spacing w:line="480" w:lineRule="exact"/>
        <w:ind w:firstLine="482"/>
        <w:jc w:val="left"/>
        <w:rPr>
          <w:rFonts w:hint="eastAsia" w:ascii="Times New Roman" w:hAnsi="Times New Roman" w:cs="仿宋"/>
          <w:b/>
          <w:bCs/>
          <w:color w:val="000000"/>
          <w:sz w:val="24"/>
          <w:highlight w:val="none"/>
        </w:rPr>
      </w:pPr>
      <w:r>
        <w:rPr>
          <w:rFonts w:hint="eastAsia" w:ascii="Times New Roman" w:hAnsi="Times New Roman" w:cs="仿宋"/>
          <w:b/>
          <w:bCs/>
          <w:color w:val="000000"/>
          <w:sz w:val="24"/>
          <w:highlight w:val="none"/>
        </w:rPr>
        <w:t>评标标准</w:t>
      </w:r>
    </w:p>
    <w:tbl>
      <w:tblPr>
        <w:tblStyle w:val="31"/>
        <w:tblW w:w="5391" w:type="pct"/>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18"/>
        <w:gridCol w:w="1365"/>
        <w:gridCol w:w="1164"/>
        <w:gridCol w:w="5696"/>
      </w:tblGrid>
      <w:tr w14:paraId="4CA61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650" w:type="dxa"/>
            <w:gridSpan w:val="2"/>
            <w:noWrap w:val="0"/>
            <w:vAlign w:val="center"/>
          </w:tcPr>
          <w:p w14:paraId="65DD3EB5">
            <w:pPr>
              <w:jc w:val="center"/>
              <w:rPr>
                <w:rFonts w:hint="default" w:ascii="宋体" w:hAnsi="宋体"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评审因素</w:t>
            </w:r>
          </w:p>
        </w:tc>
        <w:tc>
          <w:tcPr>
            <w:tcW w:w="1070" w:type="dxa"/>
            <w:noWrap w:val="0"/>
            <w:vAlign w:val="center"/>
          </w:tcPr>
          <w:p w14:paraId="2D97021D">
            <w:pPr>
              <w:jc w:val="center"/>
              <w:rPr>
                <w:rFonts w:hint="default" w:ascii="宋体" w:hAnsi="宋体"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分数</w:t>
            </w:r>
          </w:p>
        </w:tc>
        <w:tc>
          <w:tcPr>
            <w:tcW w:w="5236" w:type="dxa"/>
            <w:noWrap w:val="0"/>
            <w:vAlign w:val="center"/>
          </w:tcPr>
          <w:p w14:paraId="074D06AC">
            <w:pPr>
              <w:jc w:val="center"/>
              <w:rPr>
                <w:rFonts w:hint="default" w:ascii="宋体" w:hAnsi="宋体"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评审标准</w:t>
            </w:r>
          </w:p>
        </w:tc>
      </w:tr>
      <w:tr w14:paraId="54EC9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8" w:hRule="atLeast"/>
        </w:trPr>
        <w:tc>
          <w:tcPr>
            <w:tcW w:w="1395" w:type="dxa"/>
            <w:noWrap w:val="0"/>
            <w:vAlign w:val="center"/>
          </w:tcPr>
          <w:p w14:paraId="202A6ABA">
            <w:pPr>
              <w:jc w:val="center"/>
              <w:rPr>
                <w:rFonts w:hint="default" w:ascii="宋体" w:hAnsi="宋体"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报价分</w:t>
            </w:r>
          </w:p>
        </w:tc>
        <w:tc>
          <w:tcPr>
            <w:tcW w:w="1255" w:type="dxa"/>
            <w:noWrap w:val="0"/>
            <w:vAlign w:val="center"/>
          </w:tcPr>
          <w:p w14:paraId="59C2E845">
            <w:pPr>
              <w:jc w:val="left"/>
              <w:rPr>
                <w:rFonts w:hint="default" w:ascii="宋体" w:hAnsi="宋体"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投标报价</w:t>
            </w:r>
          </w:p>
        </w:tc>
        <w:tc>
          <w:tcPr>
            <w:tcW w:w="1070" w:type="dxa"/>
            <w:noWrap w:val="0"/>
            <w:vAlign w:val="center"/>
          </w:tcPr>
          <w:p w14:paraId="1B421C03">
            <w:pPr>
              <w:jc w:val="left"/>
              <w:rPr>
                <w:rFonts w:hint="default" w:ascii="宋体" w:hAnsi="宋体"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lang w:val="en-US" w:eastAsia="zh-CN"/>
              </w:rPr>
              <w:t>30</w:t>
            </w:r>
            <w:r>
              <w:rPr>
                <w:rFonts w:hint="default" w:ascii="Times New Roman" w:hAnsi="Times New Roman" w:eastAsia="宋体" w:cs="Times New Roman"/>
                <w:color w:val="auto"/>
                <w:kern w:val="0"/>
                <w:sz w:val="21"/>
                <w:szCs w:val="21"/>
                <w:highlight w:val="none"/>
              </w:rPr>
              <w:t>.00分</w:t>
            </w:r>
          </w:p>
        </w:tc>
        <w:tc>
          <w:tcPr>
            <w:tcW w:w="5236" w:type="dxa"/>
            <w:noWrap w:val="0"/>
            <w:vAlign w:val="center"/>
          </w:tcPr>
          <w:p w14:paraId="540C99B5">
            <w:pPr>
              <w:widowControl w:val="0"/>
              <w:spacing w:after="0" w:afterAutospacing="0"/>
              <w:jc w:val="left"/>
              <w:rPr>
                <w:rFonts w:hint="eastAsia" w:ascii="宋体" w:hAnsi="宋体" w:eastAsia="宋体" w:cs="宋体"/>
                <w:color w:val="auto"/>
                <w:kern w:val="0"/>
                <w:sz w:val="21"/>
                <w:szCs w:val="21"/>
                <w:highlight w:val="none"/>
              </w:rPr>
            </w:pPr>
            <w:bookmarkStart w:id="148" w:name="OLE_LINK40"/>
            <w:r>
              <w:rPr>
                <w:rFonts w:hint="eastAsia" w:ascii="宋体" w:hAnsi="宋体" w:eastAsia="宋体" w:cs="宋体"/>
                <w:color w:val="auto"/>
                <w:kern w:val="0"/>
                <w:sz w:val="21"/>
                <w:szCs w:val="21"/>
                <w:highlight w:val="none"/>
              </w:rPr>
              <w:t>采用低价优先法计算，即满足招标文件要求且投标价格最低的投标报价为评标基准价，其价格分为满分。其他投标人投标报价得分＝（评标基准价/投标报价）*</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w:t>
            </w:r>
          </w:p>
          <w:p w14:paraId="753459CA">
            <w:pPr>
              <w:jc w:val="left"/>
              <w:rPr>
                <w:rFonts w:hint="default" w:ascii="宋体" w:hAnsi="宋体" w:eastAsia="宋体" w:cs="Times New Roman"/>
                <w:color w:val="auto"/>
                <w:kern w:val="0"/>
                <w:sz w:val="21"/>
                <w:szCs w:val="21"/>
                <w:highlight w:val="none"/>
              </w:rPr>
            </w:pPr>
            <w:r>
              <w:rPr>
                <w:rFonts w:hint="eastAsia" w:ascii="宋体" w:hAnsi="宋体" w:eastAsia="宋体" w:cs="宋体"/>
                <w:color w:val="auto"/>
                <w:kern w:val="0"/>
                <w:sz w:val="21"/>
                <w:szCs w:val="21"/>
                <w:highlight w:val="none"/>
              </w:rPr>
              <w:t>注：符合规定的小微企业（含监狱企业和残疾人福利单位）报价给予</w:t>
            </w:r>
            <w:r>
              <w:rPr>
                <w:rFonts w:hint="eastAsia" w:ascii="宋体" w:hAnsi="宋体" w:eastAsia="宋体" w:cs="宋体"/>
                <w:color w:val="auto"/>
                <w:kern w:val="0"/>
                <w:sz w:val="21"/>
                <w:szCs w:val="21"/>
                <w:highlight w:val="none"/>
                <w:lang w:val="en-US" w:eastAsia="zh-CN"/>
              </w:rPr>
              <w:t>15</w:t>
            </w:r>
            <w:r>
              <w:rPr>
                <w:rFonts w:hint="eastAsia" w:ascii="宋体" w:hAnsi="宋体" w:eastAsia="宋体" w:cs="宋体"/>
                <w:color w:val="auto"/>
                <w:kern w:val="0"/>
                <w:sz w:val="21"/>
                <w:szCs w:val="21"/>
                <w:highlight w:val="none"/>
              </w:rPr>
              <w:t>%的扣除，用扣除后的价格参加评审。</w:t>
            </w:r>
            <w:bookmarkEnd w:id="148"/>
          </w:p>
        </w:tc>
      </w:tr>
      <w:tr w14:paraId="130B3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395" w:type="dxa"/>
            <w:noWrap w:val="0"/>
            <w:vAlign w:val="center"/>
          </w:tcPr>
          <w:p w14:paraId="0FB3B275">
            <w:pPr>
              <w:jc w:val="center"/>
              <w:rPr>
                <w:rFonts w:hint="default" w:ascii="宋体" w:hAnsi="宋体"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企业经营业绩</w:t>
            </w:r>
          </w:p>
        </w:tc>
        <w:tc>
          <w:tcPr>
            <w:tcW w:w="1255" w:type="dxa"/>
            <w:noWrap w:val="0"/>
            <w:vAlign w:val="center"/>
          </w:tcPr>
          <w:p w14:paraId="2099C4BB">
            <w:pPr>
              <w:jc w:val="left"/>
              <w:rPr>
                <w:rFonts w:hint="default" w:ascii="宋体" w:hAnsi="宋体"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企业业绩</w:t>
            </w:r>
          </w:p>
        </w:tc>
        <w:tc>
          <w:tcPr>
            <w:tcW w:w="1070" w:type="dxa"/>
            <w:noWrap w:val="0"/>
            <w:vAlign w:val="center"/>
          </w:tcPr>
          <w:p w14:paraId="5F46B8A6">
            <w:pPr>
              <w:jc w:val="left"/>
              <w:rPr>
                <w:rFonts w:hint="default" w:ascii="宋体" w:hAnsi="宋体" w:eastAsia="宋体" w:cs="Times New Roman"/>
                <w:color w:val="auto"/>
                <w:kern w:val="0"/>
                <w:sz w:val="21"/>
                <w:szCs w:val="21"/>
                <w:highlight w:val="none"/>
              </w:rPr>
            </w:pPr>
            <w:r>
              <w:rPr>
                <w:rFonts w:hint="eastAsia" w:ascii="Times New Roman" w:hAnsi="Times New Roman" w:cs="Times New Roman"/>
                <w:color w:val="auto"/>
                <w:kern w:val="0"/>
                <w:sz w:val="21"/>
                <w:szCs w:val="21"/>
                <w:highlight w:val="none"/>
                <w:lang w:val="en-US" w:eastAsia="zh-CN"/>
              </w:rPr>
              <w:t>4</w:t>
            </w:r>
            <w:r>
              <w:rPr>
                <w:rFonts w:hint="default" w:ascii="Times New Roman" w:hAnsi="Times New Roman" w:eastAsia="宋体" w:cs="Times New Roman"/>
                <w:color w:val="auto"/>
                <w:kern w:val="0"/>
                <w:sz w:val="21"/>
                <w:szCs w:val="21"/>
                <w:highlight w:val="none"/>
              </w:rPr>
              <w:t>.00分</w:t>
            </w:r>
          </w:p>
        </w:tc>
        <w:tc>
          <w:tcPr>
            <w:tcW w:w="5236" w:type="dxa"/>
            <w:noWrap w:val="0"/>
            <w:vAlign w:val="center"/>
          </w:tcPr>
          <w:p w14:paraId="54121AA5">
            <w:pP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投标人需提供承接过类似业绩的，每有1个业绩得2分，最多得</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w:t>
            </w:r>
          </w:p>
          <w:p w14:paraId="5FA5ABAA">
            <w:pP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注：投标文件提供中标通知书、合同及验收报告等有效证明材</w:t>
            </w:r>
          </w:p>
          <w:p w14:paraId="495395BB">
            <w:pPr>
              <w:jc w:val="left"/>
              <w:rPr>
                <w:rFonts w:hint="default" w:ascii="宋体" w:hAnsi="宋体" w:eastAsia="宋体" w:cs="Times New Roman"/>
                <w:color w:val="auto"/>
                <w:kern w:val="0"/>
                <w:sz w:val="21"/>
                <w:szCs w:val="21"/>
                <w:highlight w:val="none"/>
              </w:rPr>
            </w:pPr>
            <w:r>
              <w:rPr>
                <w:rFonts w:hint="eastAsia" w:ascii="宋体" w:hAnsi="宋体" w:eastAsia="宋体" w:cs="宋体"/>
                <w:color w:val="auto"/>
                <w:kern w:val="0"/>
                <w:sz w:val="21"/>
                <w:szCs w:val="21"/>
                <w:highlight w:val="none"/>
              </w:rPr>
              <w:t>料的原件扫描件，以上缺一不可，不上传或上传不齐或模糊不清导致无法辨认的不予计分。本项得分证明材料随中标公告同步公示</w:t>
            </w:r>
            <w:r>
              <w:rPr>
                <w:rFonts w:hint="eastAsia" w:ascii="宋体" w:hAnsi="宋体" w:eastAsia="宋体" w:cs="宋体"/>
                <w:b/>
                <w:bCs/>
                <w:color w:val="auto"/>
                <w:kern w:val="0"/>
                <w:sz w:val="21"/>
                <w:szCs w:val="21"/>
                <w:highlight w:val="none"/>
              </w:rPr>
              <w:t>。</w:t>
            </w:r>
          </w:p>
        </w:tc>
      </w:tr>
      <w:tr w14:paraId="00028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395" w:type="dxa"/>
            <w:noWrap w:val="0"/>
            <w:vAlign w:val="center"/>
          </w:tcPr>
          <w:p w14:paraId="386CDF96">
            <w:pPr>
              <w:jc w:val="center"/>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0"/>
                <w:szCs w:val="20"/>
                <w:highlight w:val="none"/>
                <w:lang w:bidi="ar"/>
              </w:rPr>
              <w:t>技术参数响应</w:t>
            </w:r>
          </w:p>
        </w:tc>
        <w:tc>
          <w:tcPr>
            <w:tcW w:w="1255" w:type="dxa"/>
            <w:noWrap w:val="0"/>
            <w:vAlign w:val="center"/>
          </w:tcPr>
          <w:p w14:paraId="70790295">
            <w:pPr>
              <w:jc w:val="left"/>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0"/>
                <w:szCs w:val="20"/>
                <w:highlight w:val="none"/>
                <w:lang w:bidi="ar"/>
              </w:rPr>
              <w:t>技术参数</w:t>
            </w:r>
          </w:p>
        </w:tc>
        <w:tc>
          <w:tcPr>
            <w:tcW w:w="1070" w:type="dxa"/>
            <w:noWrap w:val="0"/>
            <w:vAlign w:val="center"/>
          </w:tcPr>
          <w:p w14:paraId="44E0673F">
            <w:pPr>
              <w:jc w:val="left"/>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lang w:val="en-US" w:eastAsia="zh-CN"/>
              </w:rPr>
              <w:t>30</w:t>
            </w:r>
            <w:r>
              <w:rPr>
                <w:rFonts w:hint="eastAsia" w:ascii="Times New Roman" w:hAnsi="Times New Roman" w:eastAsia="宋体" w:cs="Times New Roman"/>
                <w:color w:val="auto"/>
                <w:kern w:val="0"/>
                <w:sz w:val="21"/>
                <w:szCs w:val="21"/>
                <w:highlight w:val="none"/>
              </w:rPr>
              <w:t>.00分</w:t>
            </w:r>
          </w:p>
        </w:tc>
        <w:tc>
          <w:tcPr>
            <w:tcW w:w="5236" w:type="dxa"/>
            <w:noWrap w:val="0"/>
            <w:vAlign w:val="center"/>
          </w:tcPr>
          <w:p w14:paraId="75329C62">
            <w:pPr>
              <w:rPr>
                <w:rFonts w:hint="default" w:ascii="Calibri" w:hAnsi="Calibri" w:eastAsia="仿宋" w:cs="Times New Roman"/>
                <w:color w:val="auto"/>
                <w:kern w:val="0"/>
                <w:sz w:val="18"/>
                <w:szCs w:val="20"/>
                <w:highlight w:val="none"/>
              </w:rPr>
            </w:pPr>
            <w:bookmarkStart w:id="149" w:name="OLE_LINK42"/>
            <w:r>
              <w:rPr>
                <w:rFonts w:hint="eastAsia" w:ascii="宋体" w:hAnsi="宋体" w:eastAsia="宋体" w:cs="宋体"/>
                <w:color w:val="auto"/>
                <w:kern w:val="0"/>
                <w:sz w:val="21"/>
                <w:szCs w:val="21"/>
                <w:highlight w:val="none"/>
              </w:rPr>
              <w:t>供应商完全满足采购需求中参数要求的得</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分。其中，加★项为实质性要求，不接受负偏离，否则作无效标处理；加▲项为重要参数，每有一项负偏离，扣</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其他参数，每有一项负偏离，扣</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分。本项最高</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分，扣完为止。</w:t>
            </w:r>
            <w:r>
              <w:rPr>
                <w:rFonts w:hint="eastAsia" w:ascii="宋体" w:hAnsi="宋体" w:eastAsia="宋体" w:cs="宋体"/>
                <w:color w:val="auto"/>
                <w:kern w:val="0"/>
                <w:sz w:val="21"/>
                <w:szCs w:val="21"/>
                <w:highlight w:val="none"/>
                <w:lang w:eastAsia="zh-CN"/>
              </w:rPr>
              <w:t>注：</w:t>
            </w:r>
            <w:r>
              <w:rPr>
                <w:rFonts w:hint="eastAsia" w:ascii="宋体" w:hAnsi="宋体" w:eastAsia="宋体" w:cs="宋体"/>
                <w:color w:val="auto"/>
                <w:kern w:val="0"/>
                <w:sz w:val="21"/>
                <w:szCs w:val="21"/>
                <w:highlight w:val="none"/>
              </w:rPr>
              <w:t>打“★”内容为实质性要求和条件</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不允许负偏离，</w:t>
            </w:r>
            <w:r>
              <w:rPr>
                <w:rFonts w:hint="eastAsia" w:ascii="宋体" w:hAnsi="宋体" w:eastAsia="宋体" w:cs="宋体"/>
                <w:color w:val="auto"/>
                <w:kern w:val="0"/>
                <w:sz w:val="21"/>
                <w:szCs w:val="21"/>
                <w:highlight w:val="none"/>
              </w:rPr>
              <w:t>投标人针对采购清单及参数在投标文件《技术要求响应及偏离表》中</w:t>
            </w:r>
            <w:r>
              <w:rPr>
                <w:rFonts w:hint="eastAsia" w:ascii="宋体" w:hAnsi="宋体" w:eastAsia="宋体" w:cs="宋体"/>
                <w:bCs/>
                <w:iCs/>
                <w:color w:val="auto"/>
                <w:kern w:val="0"/>
                <w:sz w:val="21"/>
                <w:szCs w:val="21"/>
                <w:highlight w:val="none"/>
              </w:rPr>
              <w:t>逐条列出</w:t>
            </w:r>
            <w:r>
              <w:rPr>
                <w:rFonts w:hint="eastAsia" w:ascii="宋体" w:hAnsi="宋体" w:eastAsia="宋体" w:cs="宋体"/>
                <w:color w:val="auto"/>
                <w:kern w:val="0"/>
                <w:sz w:val="21"/>
                <w:szCs w:val="21"/>
                <w:highlight w:val="none"/>
              </w:rPr>
              <w:t>所投产品的响应及偏离情况。采购需求中要求提供证明材料的，以证明材料为准，若《技术要求响应及偏离表》与提供证明材料的内容不一致，以证明材料为准；采购需求中未要求提供证明材料的，以《技术要求响应及偏离表》为准，《技术要求响应及偏离表》中未列出的对应项按未响应处理。</w:t>
            </w:r>
            <w:bookmarkEnd w:id="149"/>
          </w:p>
        </w:tc>
      </w:tr>
      <w:tr w14:paraId="73D49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8" w:hRule="atLeast"/>
        </w:trPr>
        <w:tc>
          <w:tcPr>
            <w:tcW w:w="1395" w:type="dxa"/>
            <w:vMerge w:val="restart"/>
            <w:noWrap w:val="0"/>
            <w:vAlign w:val="center"/>
          </w:tcPr>
          <w:p w14:paraId="5864C8A5">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项目实施方案</w:t>
            </w:r>
          </w:p>
          <w:p w14:paraId="566BE50D">
            <w:pPr>
              <w:rPr>
                <w:rFonts w:hint="eastAsia" w:ascii="宋体" w:hAnsi="宋体" w:eastAsia="宋体" w:cs="宋体"/>
                <w:color w:val="auto"/>
                <w:kern w:val="0"/>
                <w:sz w:val="21"/>
                <w:szCs w:val="21"/>
                <w:highlight w:val="none"/>
              </w:rPr>
            </w:pPr>
          </w:p>
        </w:tc>
        <w:tc>
          <w:tcPr>
            <w:tcW w:w="1255" w:type="dxa"/>
            <w:noWrap w:val="0"/>
            <w:vAlign w:val="center"/>
          </w:tcPr>
          <w:p w14:paraId="259BB394">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点位布设方案</w:t>
            </w:r>
          </w:p>
        </w:tc>
        <w:tc>
          <w:tcPr>
            <w:tcW w:w="1070" w:type="dxa"/>
            <w:noWrap w:val="0"/>
            <w:vAlign w:val="center"/>
          </w:tcPr>
          <w:p w14:paraId="50C81661">
            <w:pP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lang w:val="en-US" w:eastAsia="zh-CN"/>
              </w:rPr>
              <w:t>.00分</w:t>
            </w:r>
          </w:p>
        </w:tc>
        <w:tc>
          <w:tcPr>
            <w:tcW w:w="5236" w:type="dxa"/>
            <w:noWrap w:val="0"/>
            <w:vAlign w:val="center"/>
          </w:tcPr>
          <w:p w14:paraId="035982E7">
            <w:pP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方案中</w:t>
            </w:r>
            <w:r>
              <w:rPr>
                <w:rFonts w:hint="eastAsia" w:ascii="宋体" w:hAnsi="宋体" w:eastAsia="宋体" w:cs="宋体"/>
                <w:color w:val="auto"/>
                <w:kern w:val="0"/>
                <w:sz w:val="21"/>
                <w:szCs w:val="21"/>
                <w:highlight w:val="none"/>
              </w:rPr>
              <w:t>点位覆盖无盲区，重点区域（主干道、出入口、案件高发区）</w:t>
            </w:r>
            <w:r>
              <w:rPr>
                <w:rFonts w:hint="eastAsia" w:ascii="宋体" w:hAnsi="宋体" w:cs="宋体"/>
                <w:color w:val="auto"/>
                <w:kern w:val="0"/>
                <w:sz w:val="21"/>
                <w:szCs w:val="21"/>
                <w:highlight w:val="none"/>
                <w:lang w:val="en-US" w:eastAsia="zh-CN"/>
              </w:rPr>
              <w:t>布设方案优于采购需求并</w:t>
            </w:r>
            <w:r>
              <w:rPr>
                <w:rFonts w:hint="eastAsia" w:ascii="宋体" w:hAnsi="宋体" w:eastAsia="宋体" w:cs="宋体"/>
                <w:color w:val="auto"/>
                <w:kern w:val="0"/>
                <w:sz w:val="21"/>
                <w:szCs w:val="21"/>
                <w:highlight w:val="none"/>
              </w:rPr>
              <w:t>符合公安要求</w:t>
            </w:r>
            <w:r>
              <w:rPr>
                <w:rFonts w:hint="eastAsia" w:ascii="宋体" w:hAnsi="宋体" w:cs="宋体"/>
                <w:color w:val="auto"/>
                <w:kern w:val="0"/>
                <w:sz w:val="21"/>
                <w:szCs w:val="21"/>
                <w:highlight w:val="none"/>
                <w:lang w:val="en-US" w:eastAsia="zh-CN"/>
              </w:rPr>
              <w:t>的</w:t>
            </w:r>
            <w:r>
              <w:rPr>
                <w:rFonts w:hint="eastAsia" w:ascii="宋体" w:hAnsi="宋体" w:eastAsia="宋体" w:cs="宋体"/>
                <w:color w:val="auto"/>
                <w:kern w:val="0"/>
                <w:sz w:val="21"/>
                <w:szCs w:val="21"/>
                <w:highlight w:val="none"/>
                <w:lang w:val="en-US" w:eastAsia="zh-CN"/>
              </w:rPr>
              <w:t>得</w:t>
            </w:r>
            <w:r>
              <w:rPr>
                <w:rFonts w:hint="eastAsia" w:ascii="宋体" w:hAnsi="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lang w:val="en-US" w:eastAsia="zh-CN"/>
              </w:rPr>
              <w:t>分；</w:t>
            </w:r>
            <w:r>
              <w:rPr>
                <w:rFonts w:hint="default" w:ascii="宋体" w:hAnsi="宋体" w:eastAsia="宋体" w:cs="宋体"/>
                <w:color w:val="auto"/>
                <w:kern w:val="0"/>
                <w:sz w:val="21"/>
                <w:szCs w:val="21"/>
                <w:highlight w:val="none"/>
              </w:rPr>
              <w:t>点位覆盖基本合理，无重大遗漏</w:t>
            </w:r>
            <w:r>
              <w:rPr>
                <w:rFonts w:hint="eastAsia" w:ascii="宋体" w:hAnsi="宋体" w:eastAsia="宋体" w:cs="宋体"/>
                <w:color w:val="auto"/>
                <w:kern w:val="0"/>
                <w:sz w:val="21"/>
                <w:szCs w:val="21"/>
                <w:highlight w:val="none"/>
                <w:lang w:val="en-US" w:eastAsia="zh-CN"/>
              </w:rPr>
              <w:t>的得</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en-US" w:eastAsia="zh-CN"/>
              </w:rPr>
              <w:t>分；</w:t>
            </w:r>
            <w:r>
              <w:rPr>
                <w:rFonts w:hint="default" w:ascii="宋体" w:hAnsi="宋体" w:eastAsia="宋体" w:cs="宋体"/>
                <w:color w:val="auto"/>
                <w:kern w:val="0"/>
                <w:sz w:val="21"/>
                <w:szCs w:val="21"/>
                <w:highlight w:val="none"/>
              </w:rPr>
              <w:t>点位规划模糊，存在明显盲区</w:t>
            </w:r>
            <w:r>
              <w:rPr>
                <w:rFonts w:hint="eastAsia" w:ascii="宋体" w:hAnsi="宋体" w:eastAsia="宋体" w:cs="宋体"/>
                <w:color w:val="auto"/>
                <w:kern w:val="0"/>
                <w:sz w:val="21"/>
                <w:szCs w:val="21"/>
                <w:highlight w:val="none"/>
                <w:lang w:val="en-US" w:eastAsia="zh-CN"/>
              </w:rPr>
              <w:t>的得</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分；没有内容不得分。</w:t>
            </w:r>
          </w:p>
        </w:tc>
      </w:tr>
      <w:tr w14:paraId="087B8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8" w:hRule="atLeast"/>
        </w:trPr>
        <w:tc>
          <w:tcPr>
            <w:tcW w:w="1395" w:type="dxa"/>
            <w:vMerge w:val="continue"/>
            <w:noWrap w:val="0"/>
            <w:vAlign w:val="center"/>
          </w:tcPr>
          <w:p w14:paraId="4788BB99">
            <w:pPr>
              <w:rPr>
                <w:rFonts w:hint="eastAsia" w:ascii="宋体" w:hAnsi="宋体" w:eastAsia="宋体" w:cs="宋体"/>
                <w:color w:val="auto"/>
                <w:kern w:val="0"/>
                <w:sz w:val="21"/>
                <w:szCs w:val="21"/>
                <w:highlight w:val="none"/>
              </w:rPr>
            </w:pPr>
          </w:p>
        </w:tc>
        <w:tc>
          <w:tcPr>
            <w:tcW w:w="1255" w:type="dxa"/>
            <w:shd w:val="clear" w:color="auto" w:fill="auto"/>
            <w:noWrap w:val="0"/>
            <w:vAlign w:val="center"/>
          </w:tcPr>
          <w:p w14:paraId="0CF6B0C4">
            <w:pPr>
              <w:rPr>
                <w:rFonts w:hint="eastAsia"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1"/>
                <w:szCs w:val="21"/>
                <w:highlight w:val="none"/>
                <w:lang w:val="en-US" w:eastAsia="zh-CN"/>
              </w:rPr>
              <w:t>总体方案设计</w:t>
            </w:r>
          </w:p>
        </w:tc>
        <w:tc>
          <w:tcPr>
            <w:tcW w:w="1070" w:type="dxa"/>
            <w:shd w:val="clear" w:color="auto" w:fill="auto"/>
            <w:noWrap w:val="0"/>
            <w:vAlign w:val="center"/>
          </w:tcPr>
          <w:p w14:paraId="745161A1">
            <w:pP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10.00分</w:t>
            </w:r>
          </w:p>
        </w:tc>
        <w:tc>
          <w:tcPr>
            <w:tcW w:w="5236" w:type="dxa"/>
            <w:shd w:val="clear" w:color="auto" w:fill="auto"/>
            <w:noWrap w:val="0"/>
            <w:vAlign w:val="center"/>
          </w:tcPr>
          <w:p w14:paraId="51631EF5">
            <w:pP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方案中架构清晰，完全贴合本项目建设需求，对现状理解准确，建设目标明确，技术路线科学合理，符合国家及行业标准，针对设备故障、网络中断、数据泄露、自然灾害等场景有明确的处置流程、响应时间和保障措施，有应急演练计划的，优于采购需求的得10分；</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方案架构基本合理，满足项目基本需求的得6分；方案架构模糊，存在明显不合理之处的得2分；没有内容不得分。</w:t>
            </w:r>
          </w:p>
        </w:tc>
      </w:tr>
      <w:tr w14:paraId="10B25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8" w:hRule="atLeast"/>
        </w:trPr>
        <w:tc>
          <w:tcPr>
            <w:tcW w:w="1395" w:type="dxa"/>
            <w:vMerge w:val="continue"/>
            <w:noWrap w:val="0"/>
            <w:vAlign w:val="center"/>
          </w:tcPr>
          <w:p w14:paraId="35E6A987">
            <w:pPr>
              <w:rPr>
                <w:rFonts w:hint="eastAsia" w:ascii="宋体" w:hAnsi="宋体" w:eastAsia="宋体" w:cs="宋体"/>
                <w:color w:val="auto"/>
                <w:kern w:val="0"/>
                <w:sz w:val="21"/>
                <w:szCs w:val="21"/>
                <w:highlight w:val="none"/>
              </w:rPr>
            </w:pPr>
          </w:p>
        </w:tc>
        <w:tc>
          <w:tcPr>
            <w:tcW w:w="1255" w:type="dxa"/>
            <w:shd w:val="clear" w:color="auto" w:fill="auto"/>
            <w:noWrap w:val="0"/>
            <w:vAlign w:val="center"/>
          </w:tcPr>
          <w:p w14:paraId="77E2BAD7">
            <w:pPr>
              <w:rPr>
                <w:rFonts w:hint="default" w:ascii="宋体" w:hAnsi="宋体" w:eastAsia="宋体" w:cs="宋体"/>
                <w:color w:val="auto"/>
                <w:kern w:val="0"/>
                <w:sz w:val="21"/>
                <w:szCs w:val="21"/>
                <w:highlight w:val="none"/>
                <w:lang w:val="en-US" w:eastAsia="zh-CN"/>
              </w:rPr>
            </w:pPr>
            <w:r>
              <w:rPr>
                <w:rFonts w:hint="default" w:ascii="宋体" w:hAnsi="宋体" w:eastAsia="宋体" w:cs="宋体"/>
                <w:color w:val="auto"/>
                <w:kern w:val="0"/>
                <w:sz w:val="21"/>
                <w:szCs w:val="21"/>
                <w:highlight w:val="none"/>
                <w:lang w:val="en-US" w:eastAsia="zh-CN"/>
              </w:rPr>
              <w:t> </w:t>
            </w:r>
          </w:p>
          <w:p w14:paraId="31AC4922">
            <w:pP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tl w:val="0"/>
                <w:lang w:val="en-US" w:eastAsia="zh-CN"/>
              </w:rPr>
              <w:t>施工进度计划和各阶段进度的保证措施</w:t>
            </w:r>
            <w:r>
              <w:rPr>
                <w:rFonts w:hint="default" w:ascii="宋体" w:hAnsi="宋体" w:eastAsia="宋体" w:cs="宋体"/>
                <w:color w:val="auto"/>
                <w:kern w:val="0"/>
                <w:sz w:val="21"/>
                <w:szCs w:val="21"/>
                <w:highlight w:val="none"/>
                <w:lang w:val="en-US" w:eastAsia="zh-CN"/>
              </w:rPr>
              <w:t> </w:t>
            </w:r>
          </w:p>
        </w:tc>
        <w:tc>
          <w:tcPr>
            <w:tcW w:w="1070" w:type="dxa"/>
            <w:shd w:val="clear" w:color="auto" w:fill="auto"/>
            <w:noWrap w:val="0"/>
            <w:vAlign w:val="center"/>
          </w:tcPr>
          <w:p w14:paraId="4665135B">
            <w:pP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8.00</w:t>
            </w:r>
            <w:r>
              <w:rPr>
                <w:rFonts w:hint="default" w:ascii="宋体" w:hAnsi="宋体" w:eastAsia="宋体" w:cs="宋体"/>
                <w:color w:val="auto"/>
                <w:kern w:val="0"/>
                <w:sz w:val="21"/>
                <w:szCs w:val="21"/>
                <w:highlight w:val="none"/>
                <w:lang w:val="en-US" w:eastAsia="zh-CN"/>
              </w:rPr>
              <w:t>分</w:t>
            </w:r>
          </w:p>
        </w:tc>
        <w:tc>
          <w:tcPr>
            <w:tcW w:w="5236" w:type="dxa"/>
            <w:shd w:val="clear" w:color="auto" w:fill="auto"/>
            <w:noWrap w:val="0"/>
            <w:vAlign w:val="center"/>
          </w:tcPr>
          <w:p w14:paraId="03990597">
            <w:pP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施工工艺流程、各分部分项工程工序计划安排、施工进度计划、各阶段的进度保证措施。方案内容完整，符合实际情况且优于采购需求得8分；方案内容完整，较符合现场实际情况且基本符合采购需求得6分；现场资料不完整，措施不完善，但基本符合规范要求，通过后期优化能够满足采购需求得3分。没有内容或关键内容缺失不得分。</w:t>
            </w:r>
          </w:p>
        </w:tc>
      </w:tr>
      <w:tr w14:paraId="0944E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8" w:hRule="atLeast"/>
        </w:trPr>
        <w:tc>
          <w:tcPr>
            <w:tcW w:w="1395" w:type="dxa"/>
            <w:noWrap w:val="0"/>
            <w:vAlign w:val="center"/>
          </w:tcPr>
          <w:p w14:paraId="74B6AE3D">
            <w:pP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其他</w:t>
            </w:r>
          </w:p>
        </w:tc>
        <w:tc>
          <w:tcPr>
            <w:tcW w:w="1255" w:type="dxa"/>
            <w:shd w:val="clear" w:color="auto" w:fill="auto"/>
            <w:noWrap w:val="0"/>
            <w:vAlign w:val="center"/>
          </w:tcPr>
          <w:p w14:paraId="4FC2495B">
            <w:pP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质保、维保方案</w:t>
            </w:r>
          </w:p>
        </w:tc>
        <w:tc>
          <w:tcPr>
            <w:tcW w:w="1070" w:type="dxa"/>
            <w:shd w:val="clear" w:color="auto" w:fill="auto"/>
            <w:noWrap w:val="0"/>
            <w:vAlign w:val="center"/>
          </w:tcPr>
          <w:p w14:paraId="5DBCE0C3">
            <w:pP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10.00分</w:t>
            </w:r>
          </w:p>
        </w:tc>
        <w:tc>
          <w:tcPr>
            <w:tcW w:w="5236" w:type="dxa"/>
            <w:shd w:val="clear" w:color="auto" w:fill="auto"/>
            <w:noWrap w:val="0"/>
            <w:vAlign w:val="center"/>
          </w:tcPr>
          <w:p w14:paraId="18679327">
            <w:pP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根据投标人提供针对本项目的售后服务方案进行打分。售后服务方案涵盖：</w:t>
            </w:r>
          </w:p>
          <w:p w14:paraId="16A4480A">
            <w:pP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服务机构、服务体系、服务内容、服务团队的技术能力、应急处理方案、应急保障措施、故障响应及修复时间方案、运维服务电话等。方案优于采购需求的得8分；方案满足采购需求的得6分；有方案但不完全满足采购需求的得3分；没有内容不得分；</w:t>
            </w:r>
          </w:p>
          <w:p w14:paraId="26DBD06A">
            <w:pP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故障响应：接到报障电话10分钟内响应。如须现场维护，则应2个小时内赶赴现场，如果产品故障在检修8个小时后仍无法排除，供应商应在24小时内提供符合本项目要求的备用产品正常使用，直至故障产品修复后替换。供应商需提供承诺函至响应文件的得2分。注：未提供或承诺内容不满足以上要求均不得分(承诺函格式自拟)</w:t>
            </w:r>
          </w:p>
        </w:tc>
      </w:tr>
    </w:tbl>
    <w:p w14:paraId="66C3E6A7">
      <w:pPr>
        <w:widowControl w:val="0"/>
        <w:numPr>
          <w:ilvl w:val="0"/>
          <w:numId w:val="0"/>
        </w:numPr>
        <w:spacing w:line="480" w:lineRule="exact"/>
        <w:jc w:val="left"/>
        <w:rPr>
          <w:rFonts w:hint="eastAsia" w:ascii="Times New Roman" w:hAnsi="Times New Roman" w:cs="仿宋"/>
          <w:b/>
          <w:bCs/>
          <w:color w:val="000000"/>
          <w:sz w:val="24"/>
          <w:highlight w:val="none"/>
        </w:rPr>
      </w:pPr>
    </w:p>
    <w:p w14:paraId="6B979753">
      <w:pPr>
        <w:widowControl w:val="0"/>
        <w:numPr>
          <w:ilvl w:val="0"/>
          <w:numId w:val="0"/>
        </w:numPr>
        <w:spacing w:line="480" w:lineRule="exact"/>
        <w:jc w:val="left"/>
        <w:rPr>
          <w:rFonts w:hint="eastAsia" w:ascii="Times New Roman" w:hAnsi="Times New Roman" w:cs="仿宋"/>
          <w:b/>
          <w:bCs/>
          <w:color w:val="000000"/>
          <w:sz w:val="24"/>
          <w:highlight w:val="none"/>
        </w:rPr>
      </w:pPr>
    </w:p>
    <w:p w14:paraId="020E083D">
      <w:pPr>
        <w:keepNext/>
        <w:keepLines/>
        <w:pageBreakBefore/>
        <w:jc w:val="center"/>
        <w:outlineLvl w:val="0"/>
        <w:rPr>
          <w:rFonts w:hint="eastAsia"/>
          <w:b/>
          <w:color w:val="000000"/>
          <w:sz w:val="44"/>
          <w:szCs w:val="44"/>
          <w:highlight w:val="none"/>
        </w:rPr>
      </w:pPr>
      <w:bookmarkStart w:id="150" w:name="_Toc12255"/>
      <w:bookmarkStart w:id="151" w:name="_Toc2916"/>
      <w:bookmarkStart w:id="152" w:name="_Toc81575168"/>
      <w:bookmarkStart w:id="153" w:name="_Toc81575205"/>
      <w:bookmarkStart w:id="154" w:name="_Toc22314"/>
      <w:r>
        <w:rPr>
          <w:rFonts w:hint="eastAsia"/>
          <w:b/>
          <w:color w:val="000000"/>
          <w:sz w:val="44"/>
          <w:szCs w:val="44"/>
          <w:highlight w:val="none"/>
        </w:rPr>
        <w:t>第四章</w:t>
      </w:r>
      <w:r>
        <w:rPr>
          <w:b/>
          <w:color w:val="000000"/>
          <w:sz w:val="44"/>
          <w:szCs w:val="44"/>
          <w:highlight w:val="none"/>
        </w:rPr>
        <w:t xml:space="preserve">  </w:t>
      </w:r>
      <w:r>
        <w:rPr>
          <w:rFonts w:hint="eastAsia"/>
          <w:b/>
          <w:color w:val="000000"/>
          <w:sz w:val="44"/>
          <w:szCs w:val="44"/>
          <w:highlight w:val="none"/>
        </w:rPr>
        <w:t>采购需求</w:t>
      </w:r>
      <w:bookmarkEnd w:id="134"/>
      <w:bookmarkEnd w:id="150"/>
      <w:bookmarkEnd w:id="151"/>
      <w:bookmarkEnd w:id="152"/>
      <w:bookmarkEnd w:id="153"/>
      <w:bookmarkEnd w:id="154"/>
    </w:p>
    <w:p w14:paraId="0AD86AB4">
      <w:pPr>
        <w:keepNext w:val="0"/>
        <w:keepLines w:val="0"/>
        <w:pageBreakBefore w:val="0"/>
        <w:spacing w:line="560" w:lineRule="exact"/>
        <w:ind w:firstLine="480"/>
        <w:rPr>
          <w:rFonts w:hint="eastAsia" w:ascii="宋体" w:hAnsi="宋体" w:eastAsia="宋体" w:cs="宋体"/>
          <w:color w:val="000000"/>
          <w:sz w:val="24"/>
          <w:szCs w:val="24"/>
          <w:highlight w:val="none"/>
        </w:rPr>
      </w:pPr>
      <w:bookmarkStart w:id="155" w:name="OLE_LINK10"/>
      <w:r>
        <w:rPr>
          <w:rFonts w:hint="eastAsia" w:ascii="宋体" w:hAnsi="宋体" w:eastAsia="宋体" w:cs="宋体"/>
          <w:b/>
          <w:bCs/>
          <w:color w:val="000000"/>
          <w:sz w:val="24"/>
          <w:szCs w:val="24"/>
          <w:highlight w:val="none"/>
        </w:rPr>
        <w:t>一、</w:t>
      </w:r>
      <w:r>
        <w:rPr>
          <w:rFonts w:hint="eastAsia" w:ascii="宋体" w:hAnsi="宋体" w:eastAsia="宋体" w:cs="宋体"/>
          <w:color w:val="000000"/>
          <w:sz w:val="24"/>
          <w:szCs w:val="24"/>
          <w:highlight w:val="none"/>
        </w:rPr>
        <w:t>项目属性：</w:t>
      </w:r>
      <w:r>
        <w:rPr>
          <w:rFonts w:hint="eastAsia" w:ascii="宋体" w:hAnsi="宋体" w:cs="宋体"/>
          <w:color w:val="000000"/>
          <w:sz w:val="24"/>
          <w:szCs w:val="24"/>
          <w:highlight w:val="none"/>
          <w:lang w:val="en-US" w:eastAsia="zh-CN"/>
        </w:rPr>
        <w:t>货物</w:t>
      </w:r>
      <w:r>
        <w:rPr>
          <w:rFonts w:hint="eastAsia" w:ascii="宋体" w:hAnsi="宋体" w:eastAsia="宋体" w:cs="宋体"/>
          <w:color w:val="000000"/>
          <w:sz w:val="24"/>
          <w:szCs w:val="24"/>
          <w:highlight w:val="none"/>
        </w:rPr>
        <w:t>类项目</w:t>
      </w:r>
    </w:p>
    <w:p w14:paraId="75F3C0F0">
      <w:pPr>
        <w:keepNext w:val="0"/>
        <w:keepLines w:val="0"/>
        <w:pageBreakBefore w:val="0"/>
        <w:spacing w:line="560" w:lineRule="exact"/>
        <w:ind w:firstLine="480"/>
        <w:rPr>
          <w:rFonts w:hint="eastAsia" w:ascii="宋体" w:hAnsi="宋体" w:cs="宋体"/>
          <w:color w:val="000000"/>
          <w:sz w:val="24"/>
          <w:szCs w:val="24"/>
          <w:highlight w:val="none"/>
          <w:lang w:val="en-US" w:eastAsia="zh-CN"/>
        </w:rPr>
      </w:pPr>
      <w:r>
        <w:rPr>
          <w:rFonts w:hint="eastAsia" w:ascii="宋体" w:hAnsi="宋体" w:eastAsia="宋体" w:cs="宋体"/>
          <w:b/>
          <w:bCs/>
          <w:color w:val="000000"/>
          <w:sz w:val="24"/>
          <w:szCs w:val="24"/>
          <w:highlight w:val="none"/>
        </w:rPr>
        <w:t>二、</w:t>
      </w:r>
      <w:r>
        <w:rPr>
          <w:rFonts w:hint="eastAsia" w:ascii="宋体" w:hAnsi="宋体" w:eastAsia="宋体" w:cs="宋体"/>
          <w:color w:val="000000"/>
          <w:sz w:val="24"/>
          <w:szCs w:val="24"/>
          <w:highlight w:val="none"/>
        </w:rPr>
        <w:t>本项目采购标的对应的中小企业划分标准所属行业：</w:t>
      </w:r>
      <w:r>
        <w:rPr>
          <w:rFonts w:hint="eastAsia" w:ascii="宋体" w:hAnsi="宋体" w:cs="宋体"/>
          <w:color w:val="000000"/>
          <w:sz w:val="24"/>
          <w:szCs w:val="24"/>
          <w:highlight w:val="none"/>
          <w:lang w:val="en-US" w:eastAsia="zh-CN"/>
        </w:rPr>
        <w:t>制造业</w:t>
      </w:r>
    </w:p>
    <w:p w14:paraId="1F9F3907">
      <w:pPr>
        <w:keepNext w:val="0"/>
        <w:keepLines w:val="0"/>
        <w:pageBreakBefore w:val="0"/>
        <w:spacing w:line="560" w:lineRule="exact"/>
        <w:ind w:firstLine="480"/>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三、</w:t>
      </w:r>
      <w:r>
        <w:rPr>
          <w:rFonts w:hint="eastAsia" w:ascii="宋体" w:hAnsi="宋体" w:eastAsia="宋体" w:cs="宋体"/>
          <w:color w:val="000000"/>
          <w:sz w:val="24"/>
          <w:szCs w:val="24"/>
          <w:highlight w:val="none"/>
        </w:rPr>
        <w:t>本项目</w:t>
      </w:r>
      <w:r>
        <w:rPr>
          <w:rFonts w:hint="eastAsia" w:ascii="宋体" w:hAnsi="宋体" w:eastAsia="宋体" w:cs="宋体"/>
          <w:color w:val="000000"/>
          <w:sz w:val="24"/>
          <w:szCs w:val="24"/>
          <w:highlight w:val="none"/>
          <w:u w:val="single"/>
        </w:rPr>
        <w:t>不接受</w:t>
      </w:r>
      <w:r>
        <w:rPr>
          <w:rFonts w:hint="eastAsia" w:ascii="宋体" w:hAnsi="宋体" w:eastAsia="宋体" w:cs="宋体"/>
          <w:color w:val="000000"/>
          <w:sz w:val="24"/>
          <w:szCs w:val="24"/>
          <w:highlight w:val="none"/>
        </w:rPr>
        <w:t>进口产品。</w:t>
      </w:r>
    </w:p>
    <w:p w14:paraId="7ABB88A7">
      <w:pPr>
        <w:keepNext w:val="0"/>
        <w:keepLines w:val="0"/>
        <w:pageBreakBefore w:val="0"/>
        <w:widowControl/>
        <w:spacing w:line="560" w:lineRule="exact"/>
        <w:ind w:firstLine="482"/>
        <w:rPr>
          <w:rFonts w:hint="eastAsia" w:ascii="宋体" w:hAnsi="宋体" w:eastAsia="宋体" w:cs="宋体"/>
          <w:b w:val="0"/>
          <w:bCs w:val="0"/>
          <w:color w:val="000000"/>
          <w:sz w:val="24"/>
          <w:szCs w:val="24"/>
          <w:highlight w:val="none"/>
        </w:rPr>
      </w:pPr>
      <w:r>
        <w:rPr>
          <w:rFonts w:hint="eastAsia" w:ascii="宋体" w:hAnsi="宋体" w:cs="宋体"/>
          <w:b w:val="0"/>
          <w:bCs w:val="0"/>
          <w:color w:val="000000"/>
          <w:sz w:val="24"/>
          <w:szCs w:val="24"/>
          <w:highlight w:val="none"/>
          <w:lang w:val="en-US" w:eastAsia="zh-CN"/>
        </w:rPr>
        <w:t>四</w:t>
      </w:r>
      <w:r>
        <w:rPr>
          <w:rFonts w:hint="eastAsia" w:ascii="宋体" w:hAnsi="宋体" w:eastAsia="宋体" w:cs="宋体"/>
          <w:b w:val="0"/>
          <w:bCs w:val="0"/>
          <w:color w:val="000000"/>
          <w:sz w:val="24"/>
          <w:szCs w:val="24"/>
          <w:highlight w:val="none"/>
        </w:rPr>
        <w:t xml:space="preserve">、完成时间、免费质保期、实施地点及质量标准 </w:t>
      </w:r>
    </w:p>
    <w:p w14:paraId="431EAC1A">
      <w:pPr>
        <w:keepNext w:val="0"/>
        <w:keepLines w:val="0"/>
        <w:pageBreakBefore w:val="0"/>
        <w:widowControl/>
        <w:spacing w:line="560" w:lineRule="exact"/>
        <w:ind w:firstLine="482"/>
        <w:rPr>
          <w:rFonts w:hint="eastAsia" w:ascii="宋体" w:hAnsi="宋体" w:eastAsia="宋体" w:cs="宋体"/>
          <w:b w:val="0"/>
          <w:bCs w:val="0"/>
          <w:color w:val="000000"/>
          <w:sz w:val="24"/>
          <w:szCs w:val="24"/>
          <w:highlight w:val="none"/>
        </w:rPr>
      </w:pPr>
      <w:bookmarkStart w:id="156" w:name="OLE_LINK12"/>
      <w:r>
        <w:rPr>
          <w:rFonts w:hint="eastAsia" w:ascii="宋体" w:hAnsi="宋体" w:eastAsia="宋体" w:cs="宋体"/>
          <w:color w:val="000000"/>
          <w:sz w:val="24"/>
          <w:szCs w:val="24"/>
          <w:highlight w:val="none"/>
        </w:rPr>
        <w:t>交货日期</w:t>
      </w:r>
      <w:r>
        <w:rPr>
          <w:rFonts w:hint="eastAsia" w:ascii="宋体" w:hAnsi="宋体" w:eastAsia="宋体" w:cs="宋体"/>
          <w:b w:val="0"/>
          <w:bCs w:val="0"/>
          <w:color w:val="000000"/>
          <w:sz w:val="24"/>
          <w:szCs w:val="24"/>
          <w:highlight w:val="none"/>
        </w:rPr>
        <w:t>：合同签订后</w:t>
      </w:r>
      <w:r>
        <w:rPr>
          <w:rFonts w:hint="eastAsia" w:ascii="宋体" w:hAnsi="宋体" w:eastAsia="宋体" w:cs="宋体"/>
          <w:b w:val="0"/>
          <w:bCs w:val="0"/>
          <w:color w:val="000000"/>
          <w:sz w:val="24"/>
          <w:szCs w:val="24"/>
          <w:highlight w:val="none"/>
          <w:lang w:val="en-US" w:eastAsia="zh-CN"/>
        </w:rPr>
        <w:t>80日</w:t>
      </w:r>
      <w:r>
        <w:rPr>
          <w:rFonts w:hint="eastAsia" w:ascii="宋体" w:hAnsi="宋体" w:eastAsia="宋体" w:cs="宋体"/>
          <w:b w:val="0"/>
          <w:bCs w:val="0"/>
          <w:color w:val="000000"/>
          <w:sz w:val="24"/>
          <w:szCs w:val="24"/>
          <w:highlight w:val="none"/>
        </w:rPr>
        <w:t>历天内完成交货、安装并验收完成。</w:t>
      </w:r>
    </w:p>
    <w:p w14:paraId="7DC82587">
      <w:pPr>
        <w:keepNext w:val="0"/>
        <w:keepLines w:val="0"/>
        <w:pageBreakBefore w:val="0"/>
        <w:widowControl/>
        <w:spacing w:line="560" w:lineRule="exact"/>
        <w:ind w:firstLine="482"/>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 xml:space="preserve">实施地点：采购人指定地点； </w:t>
      </w:r>
    </w:p>
    <w:p w14:paraId="757FA118">
      <w:pPr>
        <w:keepNext w:val="0"/>
        <w:keepLines w:val="0"/>
        <w:pageBreakBefore w:val="0"/>
        <w:widowControl/>
        <w:numPr>
          <w:ilvl w:val="0"/>
          <w:numId w:val="4"/>
        </w:numPr>
        <w:spacing w:line="56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质量标准：合格，符合采购要求。 </w:t>
      </w:r>
    </w:p>
    <w:p w14:paraId="11DD1CAB">
      <w:pPr>
        <w:keepNext w:val="0"/>
        <w:keepLines w:val="0"/>
        <w:pageBreakBefore w:val="0"/>
        <w:widowControl/>
        <w:numPr>
          <w:ilvl w:val="0"/>
          <w:numId w:val="4"/>
        </w:numPr>
        <w:spacing w:line="560" w:lineRule="exact"/>
        <w:ind w:firstLine="48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运维</w:t>
      </w:r>
      <w:r>
        <w:rPr>
          <w:rFonts w:hint="eastAsia" w:ascii="宋体" w:hAnsi="宋体" w:eastAsia="宋体" w:cs="宋体"/>
          <w:color w:val="000000"/>
          <w:sz w:val="24"/>
          <w:szCs w:val="24"/>
          <w:highlight w:val="none"/>
          <w:lang w:val="en-US" w:eastAsia="zh-CN"/>
        </w:rPr>
        <w:t>期</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年。</w:t>
      </w:r>
    </w:p>
    <w:p w14:paraId="4445DD73">
      <w:pPr>
        <w:keepNext w:val="0"/>
        <w:keepLines w:val="0"/>
        <w:pageBreakBefore w:val="0"/>
        <w:widowControl/>
        <w:numPr>
          <w:ilvl w:val="0"/>
          <w:numId w:val="0"/>
        </w:numPr>
        <w:spacing w:line="560" w:lineRule="exact"/>
        <w:ind w:firstLine="480"/>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5.本项目核心产品：结构化双向双摄。</w:t>
      </w:r>
      <w:bookmarkEnd w:id="156"/>
    </w:p>
    <w:p w14:paraId="39EA3AB4">
      <w:pPr>
        <w:keepNext w:val="0"/>
        <w:keepLines w:val="0"/>
        <w:pageBreakBefore w:val="0"/>
        <w:widowControl/>
        <w:spacing w:line="560" w:lineRule="exact"/>
        <w:ind w:firstLine="482"/>
        <w:rPr>
          <w:rFonts w:hint="eastAsia" w:ascii="宋体" w:hAnsi="宋体" w:eastAsia="宋体" w:cs="宋体"/>
          <w:color w:val="000000"/>
          <w:sz w:val="24"/>
          <w:szCs w:val="24"/>
          <w:highlight w:val="none"/>
        </w:rPr>
      </w:pPr>
      <w:r>
        <w:rPr>
          <w:rFonts w:hint="eastAsia" w:ascii="宋体" w:hAnsi="宋体" w:cs="宋体"/>
          <w:b/>
          <w:bCs/>
          <w:color w:val="000000"/>
          <w:sz w:val="24"/>
          <w:szCs w:val="24"/>
          <w:highlight w:val="none"/>
          <w:lang w:val="en-US" w:eastAsia="zh-CN"/>
        </w:rPr>
        <w:t>五</w:t>
      </w:r>
      <w:r>
        <w:rPr>
          <w:rFonts w:hint="eastAsia" w:ascii="宋体" w:hAnsi="宋体" w:eastAsia="宋体" w:cs="宋体"/>
          <w:b/>
          <w:bCs/>
          <w:color w:val="000000"/>
          <w:sz w:val="24"/>
          <w:szCs w:val="24"/>
          <w:highlight w:val="none"/>
        </w:rPr>
        <w:t>、</w:t>
      </w:r>
      <w:bookmarkStart w:id="157" w:name="OLE_LINK14"/>
      <w:r>
        <w:rPr>
          <w:rFonts w:hint="eastAsia" w:ascii="宋体" w:hAnsi="宋体" w:eastAsia="宋体" w:cs="宋体"/>
          <w:b/>
          <w:bCs/>
          <w:color w:val="000000"/>
          <w:sz w:val="24"/>
          <w:szCs w:val="24"/>
          <w:highlight w:val="none"/>
        </w:rPr>
        <w:t>付款方式</w:t>
      </w:r>
      <w:r>
        <w:rPr>
          <w:rFonts w:hint="eastAsia" w:ascii="宋体" w:hAnsi="宋体" w:eastAsia="宋体" w:cs="宋体"/>
          <w:color w:val="000000"/>
          <w:sz w:val="24"/>
          <w:szCs w:val="24"/>
          <w:highlight w:val="none"/>
        </w:rPr>
        <w:t>：</w:t>
      </w:r>
      <w:bookmarkEnd w:id="157"/>
      <w:r>
        <w:rPr>
          <w:rFonts w:hint="eastAsia" w:ascii="宋体" w:hAnsi="宋体" w:eastAsia="宋体" w:cs="宋体"/>
          <w:color w:val="000000"/>
          <w:sz w:val="24"/>
          <w:szCs w:val="24"/>
          <w:highlight w:val="none"/>
        </w:rPr>
        <w:t xml:space="preserve"> </w:t>
      </w:r>
    </w:p>
    <w:p w14:paraId="698CCC9C">
      <w:pPr>
        <w:keepNext w:val="0"/>
        <w:keepLines w:val="0"/>
        <w:pageBreakBefore w:val="0"/>
        <w:spacing w:line="560" w:lineRule="exact"/>
        <w:ind w:firstLine="480"/>
        <w:rPr>
          <w:rFonts w:hint="eastAsia" w:ascii="宋体" w:hAnsi="宋体" w:eastAsia="宋体" w:cs="宋体"/>
          <w:bCs/>
          <w:color w:val="000000"/>
          <w:sz w:val="24"/>
          <w:szCs w:val="24"/>
          <w:highlight w:val="none"/>
        </w:rPr>
      </w:pPr>
      <w:bookmarkStart w:id="158" w:name="OLE_LINK13"/>
      <w:r>
        <w:rPr>
          <w:rFonts w:hint="eastAsia" w:ascii="宋体" w:hAnsi="宋体" w:eastAsia="宋体" w:cs="宋体"/>
          <w:bCs/>
          <w:color w:val="000000"/>
          <w:sz w:val="24"/>
          <w:szCs w:val="24"/>
          <w:highlight w:val="none"/>
        </w:rPr>
        <w:t>按照以下确定的付款方式，采购人及时办理付款手续。对于满足合同约定支付条件的，自收到发票后10个工作日内将资金支付到合同约定的供应商账户或供应商数字人民币账户。</w:t>
      </w:r>
    </w:p>
    <w:p w14:paraId="14E8D691">
      <w:pPr>
        <w:keepNext w:val="0"/>
        <w:keepLines w:val="0"/>
        <w:pageBreakBefore w:val="0"/>
        <w:spacing w:line="56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rPr>
        <w:t>进度款：</w:t>
      </w:r>
      <w:bookmarkEnd w:id="158"/>
      <w:r>
        <w:rPr>
          <w:rFonts w:hint="eastAsia" w:ascii="宋体" w:hAnsi="宋体" w:eastAsia="宋体" w:cs="宋体"/>
          <w:bCs/>
          <w:color w:val="000000"/>
          <w:sz w:val="24"/>
          <w:szCs w:val="24"/>
          <w:highlight w:val="none"/>
          <w:lang w:val="en-US" w:eastAsia="zh-CN"/>
        </w:rPr>
        <w:t>项目运维</w:t>
      </w:r>
      <w:r>
        <w:rPr>
          <w:rFonts w:hint="eastAsia" w:ascii="宋体" w:hAnsi="宋体" w:eastAsia="宋体" w:cs="宋体"/>
          <w:bCs/>
          <w:color w:val="000000"/>
          <w:sz w:val="24"/>
          <w:szCs w:val="24"/>
          <w:highlight w:val="none"/>
        </w:rPr>
        <w:t>期限5年。项目建设完成通过验收后支付至合同价款的</w:t>
      </w:r>
      <w:r>
        <w:rPr>
          <w:rFonts w:hint="eastAsia" w:ascii="宋体" w:hAnsi="宋体" w:eastAsia="宋体" w:cs="宋体"/>
          <w:bCs/>
          <w:color w:val="000000"/>
          <w:sz w:val="24"/>
          <w:szCs w:val="24"/>
          <w:highlight w:val="none"/>
          <w:lang w:val="en-US" w:eastAsia="zh-CN"/>
        </w:rPr>
        <w:t>60</w:t>
      </w:r>
      <w:r>
        <w:rPr>
          <w:rFonts w:hint="eastAsia" w:ascii="宋体" w:hAnsi="宋体" w:eastAsia="宋体" w:cs="宋体"/>
          <w:bCs/>
          <w:color w:val="000000"/>
          <w:sz w:val="24"/>
          <w:szCs w:val="24"/>
          <w:highlight w:val="none"/>
        </w:rPr>
        <w:t>%，</w:t>
      </w:r>
      <w:r>
        <w:rPr>
          <w:rFonts w:hint="eastAsia" w:ascii="宋体" w:hAnsi="宋体" w:eastAsia="宋体" w:cs="宋体"/>
          <w:bCs/>
          <w:color w:val="000000"/>
          <w:sz w:val="24"/>
          <w:szCs w:val="24"/>
          <w:highlight w:val="none"/>
          <w:lang w:val="en-US" w:eastAsia="zh-CN"/>
        </w:rPr>
        <w:t>运维</w:t>
      </w:r>
      <w:r>
        <w:rPr>
          <w:rFonts w:hint="eastAsia" w:ascii="宋体" w:hAnsi="宋体" w:eastAsia="宋体" w:cs="宋体"/>
          <w:bCs/>
          <w:color w:val="000000"/>
          <w:sz w:val="24"/>
          <w:szCs w:val="24"/>
          <w:highlight w:val="none"/>
        </w:rPr>
        <w:t>期每满一年，招标人根据对中标人项目</w:t>
      </w:r>
      <w:r>
        <w:rPr>
          <w:rFonts w:hint="eastAsia" w:ascii="宋体" w:hAnsi="宋体" w:eastAsia="宋体" w:cs="宋体"/>
          <w:bCs/>
          <w:color w:val="000000"/>
          <w:sz w:val="24"/>
          <w:szCs w:val="24"/>
          <w:highlight w:val="none"/>
          <w:lang w:val="en-US" w:eastAsia="zh-CN"/>
        </w:rPr>
        <w:t>运维</w:t>
      </w:r>
      <w:r>
        <w:rPr>
          <w:rFonts w:hint="eastAsia" w:ascii="宋体" w:hAnsi="宋体" w:eastAsia="宋体" w:cs="宋体"/>
          <w:bCs/>
          <w:color w:val="000000"/>
          <w:sz w:val="24"/>
          <w:szCs w:val="24"/>
          <w:highlight w:val="none"/>
        </w:rPr>
        <w:t>考核结果支付</w:t>
      </w:r>
      <w:r>
        <w:rPr>
          <w:rFonts w:hint="eastAsia" w:ascii="宋体" w:hAnsi="宋体" w:eastAsia="宋体" w:cs="宋体"/>
          <w:bCs/>
          <w:color w:val="000000"/>
          <w:sz w:val="24"/>
          <w:szCs w:val="24"/>
          <w:highlight w:val="none"/>
          <w:lang w:val="en-US" w:eastAsia="zh-CN"/>
        </w:rPr>
        <w:t>运维</w:t>
      </w:r>
      <w:r>
        <w:rPr>
          <w:rFonts w:hint="eastAsia" w:ascii="宋体" w:hAnsi="宋体" w:eastAsia="宋体" w:cs="宋体"/>
          <w:bCs/>
          <w:color w:val="000000"/>
          <w:sz w:val="24"/>
          <w:szCs w:val="24"/>
          <w:highlight w:val="none"/>
        </w:rPr>
        <w:t>费用【每月在线率达到95%及以上，考核合格，每有一个自然月在线率不合格，本月不计入年度考核，顺延至下一个自然月，满12个月之</w:t>
      </w:r>
      <w:r>
        <w:rPr>
          <w:rFonts w:hint="eastAsia" w:ascii="宋体" w:hAnsi="宋体" w:eastAsia="宋体" w:cs="宋体"/>
          <w:bCs/>
          <w:color w:val="000000"/>
          <w:sz w:val="24"/>
          <w:szCs w:val="24"/>
          <w:highlight w:val="none"/>
          <w:lang w:eastAsia="zh-CN"/>
        </w:rPr>
        <w:t>后支</w:t>
      </w:r>
      <w:r>
        <w:rPr>
          <w:rFonts w:hint="eastAsia" w:ascii="宋体" w:hAnsi="宋体" w:eastAsia="宋体" w:cs="宋体"/>
          <w:bCs/>
          <w:color w:val="000000"/>
          <w:sz w:val="24"/>
          <w:szCs w:val="24"/>
          <w:highlight w:val="none"/>
        </w:rPr>
        <w:t>付年度</w:t>
      </w:r>
      <w:r>
        <w:rPr>
          <w:rFonts w:hint="eastAsia" w:ascii="宋体" w:hAnsi="宋体" w:eastAsia="宋体" w:cs="宋体"/>
          <w:bCs/>
          <w:color w:val="000000"/>
          <w:sz w:val="24"/>
          <w:szCs w:val="24"/>
          <w:highlight w:val="none"/>
          <w:lang w:val="en-US" w:eastAsia="zh-CN"/>
        </w:rPr>
        <w:t>运维</w:t>
      </w:r>
      <w:r>
        <w:rPr>
          <w:rFonts w:hint="eastAsia" w:ascii="宋体" w:hAnsi="宋体" w:eastAsia="宋体" w:cs="宋体"/>
          <w:bCs/>
          <w:color w:val="000000"/>
          <w:sz w:val="24"/>
          <w:szCs w:val="24"/>
          <w:highlight w:val="none"/>
        </w:rPr>
        <w:t>款。如果连续三个月不合格，则不支付当年</w:t>
      </w:r>
      <w:r>
        <w:rPr>
          <w:rFonts w:hint="eastAsia" w:ascii="宋体" w:hAnsi="宋体" w:eastAsia="宋体" w:cs="宋体"/>
          <w:bCs/>
          <w:color w:val="000000"/>
          <w:sz w:val="24"/>
          <w:szCs w:val="24"/>
          <w:highlight w:val="none"/>
          <w:lang w:val="en-US" w:eastAsia="zh-CN"/>
        </w:rPr>
        <w:t>运维</w:t>
      </w:r>
      <w:r>
        <w:rPr>
          <w:rFonts w:hint="eastAsia" w:ascii="宋体" w:hAnsi="宋体" w:eastAsia="宋体" w:cs="宋体"/>
          <w:bCs/>
          <w:color w:val="000000"/>
          <w:sz w:val="24"/>
          <w:szCs w:val="24"/>
          <w:highlight w:val="none"/>
        </w:rPr>
        <w:t>费】。每年</w:t>
      </w:r>
      <w:r>
        <w:rPr>
          <w:rFonts w:hint="eastAsia" w:ascii="宋体" w:hAnsi="宋体" w:eastAsia="宋体" w:cs="宋体"/>
          <w:bCs/>
          <w:color w:val="000000"/>
          <w:sz w:val="24"/>
          <w:szCs w:val="24"/>
          <w:highlight w:val="none"/>
          <w:lang w:val="en-US" w:eastAsia="zh-CN"/>
        </w:rPr>
        <w:t>运维费用</w:t>
      </w:r>
      <w:r>
        <w:rPr>
          <w:rFonts w:hint="eastAsia" w:ascii="宋体" w:hAnsi="宋体" w:eastAsia="宋体" w:cs="宋体"/>
          <w:bCs/>
          <w:color w:val="000000"/>
          <w:sz w:val="24"/>
          <w:szCs w:val="24"/>
          <w:highlight w:val="none"/>
        </w:rPr>
        <w:t>金额不高于中标人项目中标价的</w:t>
      </w:r>
      <w:r>
        <w:rPr>
          <w:rFonts w:hint="eastAsia" w:ascii="宋体" w:hAnsi="宋体" w:eastAsia="宋体" w:cs="宋体"/>
          <w:bCs/>
          <w:color w:val="000000"/>
          <w:sz w:val="24"/>
          <w:szCs w:val="24"/>
          <w:highlight w:val="none"/>
          <w:lang w:val="en-US" w:eastAsia="zh-CN"/>
        </w:rPr>
        <w:t>8</w:t>
      </w:r>
      <w:r>
        <w:rPr>
          <w:rFonts w:hint="eastAsia" w:ascii="宋体" w:hAnsi="宋体" w:eastAsia="宋体" w:cs="宋体"/>
          <w:bCs/>
          <w:color w:val="000000"/>
          <w:sz w:val="24"/>
          <w:szCs w:val="24"/>
          <w:highlight w:val="none"/>
        </w:rPr>
        <w:t>%。最后一次付清尾款前，乙方必须保证该项目完整可靠运行、在线率合格并移交甲方。</w:t>
      </w:r>
    </w:p>
    <w:p w14:paraId="33FC1187">
      <w:pPr>
        <w:keepNext w:val="0"/>
        <w:keepLines w:val="0"/>
        <w:pageBreakBefore w:val="0"/>
        <w:widowControl/>
        <w:spacing w:line="560" w:lineRule="exact"/>
        <w:ind w:firstLine="482"/>
        <w:rPr>
          <w:rFonts w:hint="eastAsia" w:ascii="宋体" w:hAnsi="宋体" w:eastAsia="宋体" w:cs="宋体"/>
          <w:b/>
          <w:bCs/>
          <w:color w:val="000000"/>
          <w:sz w:val="24"/>
          <w:szCs w:val="24"/>
          <w:highlight w:val="none"/>
        </w:rPr>
      </w:pPr>
      <w:r>
        <w:rPr>
          <w:rFonts w:hint="eastAsia" w:ascii="宋体" w:hAnsi="宋体" w:cs="宋体"/>
          <w:b/>
          <w:bCs/>
          <w:color w:val="000000"/>
          <w:sz w:val="24"/>
          <w:szCs w:val="24"/>
          <w:highlight w:val="none"/>
          <w:lang w:val="en-US" w:eastAsia="zh-CN"/>
        </w:rPr>
        <w:t>六</w:t>
      </w:r>
      <w:r>
        <w:rPr>
          <w:rFonts w:hint="eastAsia" w:ascii="宋体" w:hAnsi="宋体" w:eastAsia="宋体" w:cs="宋体"/>
          <w:b/>
          <w:bCs/>
          <w:color w:val="000000"/>
          <w:sz w:val="24"/>
          <w:szCs w:val="24"/>
          <w:highlight w:val="none"/>
        </w:rPr>
        <w:t xml:space="preserve">、项目主要内容： </w:t>
      </w:r>
    </w:p>
    <w:p w14:paraId="53118F74">
      <w:pPr>
        <w:keepNext w:val="0"/>
        <w:keepLines w:val="0"/>
        <w:pageBreakBefore w:val="0"/>
        <w:spacing w:line="560" w:lineRule="exact"/>
        <w:ind w:firstLine="48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为进一步提升本局社会治安防控、交通秩序管理、应急处突等能力，构建全域覆盖、精准感知、智能联动、安全可靠的前端感知体系，实现对人、车、物、事件的全天候、全要素实时监测与数据采集，现面向社会公开采购感知前端设备及相关配套服务（含深化设计），所有设备需无缝对接公安视频图像信息应用平台、大数据研判平台，满足公安实战化应用需求。</w:t>
      </w:r>
    </w:p>
    <w:p w14:paraId="1BD3959C">
      <w:pPr>
        <w:keepNext w:val="0"/>
        <w:keepLines w:val="0"/>
        <w:pageBreakBefore w:val="0"/>
        <w:spacing w:line="560" w:lineRule="exact"/>
        <w:ind w:firstLine="48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（一）采购范围</w:t>
      </w:r>
    </w:p>
    <w:p w14:paraId="58392B67">
      <w:pPr>
        <w:keepNext w:val="0"/>
        <w:keepLines w:val="0"/>
        <w:pageBreakBefore w:val="0"/>
        <w:spacing w:line="560" w:lineRule="exact"/>
        <w:ind w:firstLine="48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本次采购涵盖智能视频监控类、车辆感知卡口类、人脸人像感知类、物联网感知类、网络传输类、安装辅材类等，包含设备供货、运输、安装、调试、对接、培训、质保及后续技术支持等全流程服务，具体设备清单及数量详见后续章节。</w:t>
      </w:r>
    </w:p>
    <w:p w14:paraId="5B8D201E">
      <w:pPr>
        <w:keepNext w:val="0"/>
        <w:keepLines w:val="0"/>
        <w:pageBreakBefore w:val="0"/>
        <w:spacing w:line="560" w:lineRule="exact"/>
        <w:ind w:firstLine="48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（二）项目目标</w:t>
      </w:r>
    </w:p>
    <w:p w14:paraId="5A4CF642">
      <w:pPr>
        <w:keepNext w:val="0"/>
        <w:keepLines w:val="0"/>
        <w:pageBreakBefore w:val="0"/>
        <w:spacing w:line="560" w:lineRule="exact"/>
        <w:ind w:firstLine="48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 实现重点路段、商圈、广场、小区出入口、重点单位、治安复杂区域等场景感知设备全域覆盖，消除监控盲区；</w:t>
      </w:r>
    </w:p>
    <w:p w14:paraId="0DE823DA">
      <w:pPr>
        <w:keepNext w:val="0"/>
        <w:keepLines w:val="0"/>
        <w:pageBreakBefore w:val="0"/>
        <w:spacing w:line="560" w:lineRule="exact"/>
        <w:ind w:firstLine="48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2）设备具备高清采集、AI智能分析、本地预处理、断网续传功能，数据精准度满足公安研判、取证要求；</w:t>
      </w:r>
    </w:p>
    <w:p w14:paraId="1E21DDA3">
      <w:pPr>
        <w:keepNext w:val="0"/>
        <w:keepLines w:val="0"/>
        <w:pageBreakBefore w:val="0"/>
        <w:spacing w:line="560" w:lineRule="exact"/>
        <w:ind w:firstLine="48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3）全面兼容公安现有系统协议，实现数据互联互通、资源共享，支撑治安防控、交通管理、应急指挥等业务开展；</w:t>
      </w:r>
    </w:p>
    <w:p w14:paraId="4F0E1C3D">
      <w:pPr>
        <w:keepNext w:val="0"/>
        <w:keepLines w:val="0"/>
        <w:pageBreakBefore w:val="0"/>
        <w:spacing w:line="560" w:lineRule="exact"/>
        <w:ind w:firstLine="48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4）设备具备高稳定性、高安全性，适应户外复杂环境，降低运维成本，保障长期稳定运行。</w:t>
      </w:r>
    </w:p>
    <w:p w14:paraId="0F3D56FA">
      <w:pPr>
        <w:keepNext w:val="0"/>
        <w:keepLines w:val="0"/>
        <w:pageBreakBefore w:val="0"/>
        <w:widowControl/>
        <w:numPr>
          <w:ilvl w:val="0"/>
          <w:numId w:val="0"/>
        </w:numPr>
        <w:spacing w:line="560" w:lineRule="exact"/>
        <w:ind w:firstLine="420"/>
        <w:rPr>
          <w:rFonts w:hint="eastAsia" w:ascii="宋体" w:hAnsi="宋体" w:eastAsia="宋体" w:cs="宋体"/>
          <w:b/>
          <w:bCs/>
          <w:color w:val="000000"/>
          <w:sz w:val="24"/>
          <w:szCs w:val="24"/>
          <w:highlight w:val="none"/>
        </w:rPr>
      </w:pPr>
      <w:r>
        <w:rPr>
          <w:rFonts w:hint="eastAsia" w:ascii="宋体" w:hAnsi="宋体" w:cs="宋体"/>
          <w:b/>
          <w:bCs/>
          <w:color w:val="000000"/>
          <w:sz w:val="24"/>
          <w:szCs w:val="24"/>
          <w:highlight w:val="none"/>
          <w:lang w:val="en-US" w:eastAsia="zh-CN"/>
        </w:rPr>
        <w:t>七、</w:t>
      </w:r>
      <w:r>
        <w:rPr>
          <w:rFonts w:hint="eastAsia" w:ascii="宋体" w:hAnsi="宋体" w:eastAsia="宋体" w:cs="宋体"/>
          <w:b/>
          <w:bCs/>
          <w:color w:val="000000"/>
          <w:sz w:val="24"/>
          <w:szCs w:val="24"/>
          <w:highlight w:val="none"/>
        </w:rPr>
        <w:t xml:space="preserve">项目技术要求及清单 </w:t>
      </w:r>
    </w:p>
    <w:p w14:paraId="09486100">
      <w:pPr>
        <w:keepNext w:val="0"/>
        <w:keepLines w:val="0"/>
        <w:pageBreakBefore w:val="0"/>
        <w:widowControl/>
        <w:numPr>
          <w:ilvl w:val="0"/>
          <w:numId w:val="0"/>
        </w:numPr>
        <w:spacing w:line="560" w:lineRule="exact"/>
        <w:ind w:left="602"/>
        <w:jc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第一部分    项目概况</w:t>
      </w:r>
    </w:p>
    <w:p w14:paraId="76D99A40">
      <w:pPr>
        <w:keepNext w:val="0"/>
        <w:keepLines w:val="0"/>
        <w:pageBreakBefore w:val="0"/>
        <w:spacing w:line="56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充分利用人工智能、大数据、物联网等现代科技手段，解决视频接力、跨境追踪的应用需求，将先进的人工智能技术与公安视频图像智能化建设深度融合，以人工智能与数据智能双引擎驱动平安建设向精细化迈进，推动公安大数据及“智慧公安”落地，助力社会治理能力现代化的实现。今年为乡镇、行政村（居委会）的大中型商业综合体、城市公园、非机动车通行的主干道、镇区中心街、人员密集区域、进出村居的关键要道口建设具有车辆抓拍、人体抓拍、人脸抓拍的全智能化摄像机，后台配套建设大数据存储系统、智能图像识别系统。</w:t>
      </w:r>
    </w:p>
    <w:p w14:paraId="0DC0A9E8">
      <w:pPr>
        <w:keepNext/>
        <w:keepLines w:val="0"/>
        <w:pageBreakBefore w:val="0"/>
        <w:widowControl/>
        <w:numPr>
          <w:ilvl w:val="0"/>
          <w:numId w:val="0"/>
        </w:numPr>
        <w:spacing w:line="440" w:lineRule="exact"/>
        <w:ind w:left="602"/>
        <w:jc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 xml:space="preserve">第二部分    </w:t>
      </w:r>
      <w:r>
        <w:rPr>
          <w:rFonts w:hint="eastAsia" w:ascii="宋体" w:hAnsi="宋体" w:cs="宋体"/>
          <w:b/>
          <w:bCs/>
          <w:color w:val="000000"/>
          <w:sz w:val="24"/>
          <w:szCs w:val="24"/>
          <w:highlight w:val="none"/>
          <w:lang w:val="en-US" w:eastAsia="zh-CN"/>
        </w:rPr>
        <w:t>货物</w:t>
      </w:r>
      <w:r>
        <w:rPr>
          <w:rFonts w:hint="eastAsia" w:ascii="宋体" w:hAnsi="宋体" w:eastAsia="宋体" w:cs="宋体"/>
          <w:b/>
          <w:bCs/>
          <w:color w:val="000000"/>
          <w:sz w:val="24"/>
          <w:szCs w:val="24"/>
          <w:highlight w:val="none"/>
          <w:lang w:val="en-US" w:eastAsia="zh-CN"/>
        </w:rPr>
        <w:t>清单</w:t>
      </w:r>
    </w:p>
    <w:tbl>
      <w:tblPr>
        <w:tblStyle w:val="31"/>
        <w:tblW w:w="961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780"/>
        <w:gridCol w:w="3750"/>
        <w:gridCol w:w="875"/>
        <w:gridCol w:w="925"/>
        <w:gridCol w:w="850"/>
        <w:gridCol w:w="1163"/>
        <w:gridCol w:w="612"/>
      </w:tblGrid>
      <w:tr w14:paraId="1F598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362F833">
            <w:pPr>
              <w:keepNext/>
              <w:keepLines w:val="0"/>
              <w:pageBreakBefore w:val="0"/>
              <w:widowControl/>
              <w:suppressLineNumbers w:val="0"/>
              <w:jc w:val="center"/>
              <w:rPr>
                <w:rFonts w:ascii="等线" w:hAnsi="等线" w:eastAsia="等线" w:cs="等线"/>
                <w:i w:val="0"/>
                <w:iCs w:val="0"/>
                <w:color w:val="000000"/>
                <w:sz w:val="22"/>
                <w:szCs w:val="22"/>
                <w:u w:val="none"/>
              </w:rPr>
            </w:pPr>
            <w:r>
              <w:rPr>
                <w:rFonts w:hint="eastAsia" w:ascii="等线" w:hAnsi="等线" w:eastAsia="等线" w:cs="等线"/>
                <w:i w:val="0"/>
                <w:iCs w:val="0"/>
                <w:color w:val="000000"/>
                <w:sz w:val="22"/>
                <w:szCs w:val="22"/>
                <w:u w:val="none"/>
                <w:lang w:val="en-US" w:eastAsia="zh-CN" w:bidi="ar"/>
              </w:rPr>
              <w:t>一、</w:t>
            </w:r>
          </w:p>
        </w:tc>
        <w:tc>
          <w:tcPr>
            <w:tcW w:w="895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D4739">
            <w:pPr>
              <w:keepNext/>
              <w:keepLines w:val="0"/>
              <w:pageBreakBefore w:val="0"/>
              <w:widowControl/>
              <w:suppressLineNumbers w:val="0"/>
              <w:jc w:val="left"/>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sz w:val="22"/>
                <w:szCs w:val="22"/>
                <w:u w:val="none"/>
                <w:lang w:val="en-US" w:eastAsia="zh-CN" w:bidi="ar"/>
              </w:rPr>
              <w:t>前端设备</w:t>
            </w:r>
          </w:p>
        </w:tc>
      </w:tr>
      <w:tr w14:paraId="3EBA7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65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FCDAB02">
            <w:pPr>
              <w:keepNext/>
              <w:keepLines w:val="0"/>
              <w:pageBreakBefore w:val="0"/>
              <w:widowControl/>
              <w:suppressLineNumbers w:val="0"/>
              <w:jc w:val="center"/>
              <w:rPr>
                <w:rFonts w:hint="default" w:ascii="等线" w:hAnsi="等线" w:eastAsia="等线" w:cs="等线"/>
                <w:i w:val="0"/>
                <w:iCs w:val="0"/>
                <w:color w:val="000000"/>
                <w:sz w:val="22"/>
                <w:szCs w:val="22"/>
                <w:u w:val="none"/>
                <w:lang w:val="en-US" w:eastAsia="zh-CN" w:bidi="ar"/>
              </w:rPr>
            </w:pPr>
            <w:r>
              <w:rPr>
                <w:rFonts w:hint="eastAsia" w:ascii="等线" w:hAnsi="等线" w:eastAsia="等线" w:cs="等线"/>
                <w:i w:val="0"/>
                <w:iCs w:val="0"/>
                <w:color w:val="000000"/>
                <w:sz w:val="22"/>
                <w:szCs w:val="22"/>
                <w:u w:val="none"/>
                <w:lang w:val="en-US" w:eastAsia="zh-CN" w:bidi="ar"/>
              </w:rPr>
              <w:t>序号</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AD71A">
            <w:pPr>
              <w:keepNext/>
              <w:keepLines w:val="0"/>
              <w:pageBreakBefore w:val="0"/>
              <w:widowControl/>
              <w:suppressLineNumbers w:val="0"/>
              <w:jc w:val="center"/>
              <w:rPr>
                <w:rFonts w:hint="default" w:ascii="等线" w:hAnsi="等线" w:eastAsia="等线" w:cs="等线"/>
                <w:i w:val="0"/>
                <w:iCs w:val="0"/>
                <w:color w:val="000000"/>
                <w:sz w:val="22"/>
                <w:szCs w:val="22"/>
                <w:u w:val="none"/>
                <w:lang w:val="en-US" w:eastAsia="zh-CN" w:bidi="ar"/>
              </w:rPr>
            </w:pPr>
            <w:r>
              <w:rPr>
                <w:rFonts w:hint="eastAsia" w:ascii="等线" w:hAnsi="等线" w:eastAsia="等线" w:cs="等线"/>
                <w:i w:val="0"/>
                <w:iCs w:val="0"/>
                <w:color w:val="000000"/>
                <w:sz w:val="22"/>
                <w:szCs w:val="22"/>
                <w:u w:val="none"/>
                <w:lang w:val="en-US" w:eastAsia="zh-CN" w:bidi="ar"/>
              </w:rPr>
              <w:t>名称</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6895D">
            <w:pPr>
              <w:keepNext/>
              <w:keepLines w:val="0"/>
              <w:pageBreakBefore w:val="0"/>
              <w:widowControl/>
              <w:suppressLineNumbers w:val="0"/>
              <w:jc w:val="center"/>
              <w:rPr>
                <w:rFonts w:hint="default" w:ascii="等线" w:hAnsi="等线" w:eastAsia="等线" w:cs="等线"/>
                <w:i w:val="0"/>
                <w:iCs w:val="0"/>
                <w:color w:val="000000"/>
                <w:sz w:val="22"/>
                <w:szCs w:val="22"/>
                <w:u w:val="none"/>
                <w:lang w:val="en-US" w:eastAsia="zh-CN" w:bidi="ar"/>
              </w:rPr>
            </w:pPr>
            <w:r>
              <w:rPr>
                <w:rFonts w:hint="eastAsia" w:ascii="等线" w:hAnsi="等线" w:eastAsia="等线" w:cs="等线"/>
                <w:i w:val="0"/>
                <w:iCs w:val="0"/>
                <w:color w:val="000000"/>
                <w:sz w:val="22"/>
                <w:szCs w:val="22"/>
                <w:u w:val="none"/>
                <w:lang w:val="en-US" w:eastAsia="zh-CN" w:bidi="ar"/>
              </w:rPr>
              <w:t>详细参数</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1130B">
            <w:pPr>
              <w:keepNext/>
              <w:keepLines w:val="0"/>
              <w:pageBreakBefore w:val="0"/>
              <w:widowControl/>
              <w:suppressLineNumbers w:val="0"/>
              <w:jc w:val="center"/>
              <w:rPr>
                <w:rFonts w:hint="default" w:ascii="等线" w:hAnsi="等线" w:eastAsia="等线" w:cs="等线"/>
                <w:i w:val="0"/>
                <w:iCs w:val="0"/>
                <w:color w:val="000000"/>
                <w:sz w:val="22"/>
                <w:szCs w:val="22"/>
                <w:u w:val="none"/>
                <w:lang w:val="en-US" w:eastAsia="zh-CN" w:bidi="ar"/>
              </w:rPr>
            </w:pPr>
            <w:r>
              <w:rPr>
                <w:rFonts w:hint="eastAsia" w:ascii="等线" w:hAnsi="等线" w:eastAsia="等线" w:cs="等线"/>
                <w:i w:val="0"/>
                <w:iCs w:val="0"/>
                <w:color w:val="000000"/>
                <w:sz w:val="22"/>
                <w:szCs w:val="22"/>
                <w:u w:val="none"/>
                <w:lang w:val="en-US" w:eastAsia="zh-CN" w:bidi="ar"/>
              </w:rPr>
              <w:t>单位</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F8C1C">
            <w:pPr>
              <w:keepNext/>
              <w:keepLines w:val="0"/>
              <w:pageBreakBefore w:val="0"/>
              <w:widowControl/>
              <w:suppressLineNumbers w:val="0"/>
              <w:jc w:val="center"/>
              <w:rPr>
                <w:rFonts w:hint="default" w:ascii="等线" w:hAnsi="等线" w:eastAsia="等线" w:cs="等线"/>
                <w:i w:val="0"/>
                <w:iCs w:val="0"/>
                <w:color w:val="000000"/>
                <w:sz w:val="22"/>
                <w:szCs w:val="22"/>
                <w:u w:val="none"/>
                <w:lang w:val="en-US" w:eastAsia="zh-CN" w:bidi="ar"/>
              </w:rPr>
            </w:pPr>
            <w:r>
              <w:rPr>
                <w:rFonts w:hint="eastAsia" w:ascii="等线" w:hAnsi="等线" w:eastAsia="等线" w:cs="等线"/>
                <w:i w:val="0"/>
                <w:iCs w:val="0"/>
                <w:color w:val="000000"/>
                <w:sz w:val="22"/>
                <w:szCs w:val="22"/>
                <w:u w:val="none"/>
                <w:lang w:val="en-US" w:eastAsia="zh-CN" w:bidi="ar"/>
              </w:rPr>
              <w:t>数量</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86FAE">
            <w:pPr>
              <w:keepNext/>
              <w:keepLines w:val="0"/>
              <w:pageBreakBefore w:val="0"/>
              <w:widowControl/>
              <w:suppressLineNumbers w:val="0"/>
              <w:jc w:val="center"/>
              <w:rPr>
                <w:rFonts w:hint="default" w:ascii="等线" w:hAnsi="等线" w:eastAsia="等线" w:cs="等线"/>
                <w:i w:val="0"/>
                <w:iCs w:val="0"/>
                <w:color w:val="000000"/>
                <w:sz w:val="22"/>
                <w:szCs w:val="22"/>
                <w:u w:val="none"/>
                <w:lang w:val="en-US" w:eastAsia="zh-CN" w:bidi="ar"/>
              </w:rPr>
            </w:pPr>
            <w:r>
              <w:rPr>
                <w:rFonts w:hint="eastAsia" w:ascii="等线" w:hAnsi="等线" w:eastAsia="等线" w:cs="等线"/>
                <w:i w:val="0"/>
                <w:iCs w:val="0"/>
                <w:color w:val="000000"/>
                <w:sz w:val="22"/>
                <w:szCs w:val="22"/>
                <w:u w:val="none"/>
                <w:lang w:val="en-US" w:eastAsia="zh-CN" w:bidi="ar"/>
              </w:rPr>
              <w:t>单价</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829FA">
            <w:pPr>
              <w:keepNext/>
              <w:keepLines w:val="0"/>
              <w:pageBreakBefore w:val="0"/>
              <w:widowControl/>
              <w:suppressLineNumbers w:val="0"/>
              <w:jc w:val="center"/>
              <w:rPr>
                <w:rFonts w:hint="default" w:ascii="等线" w:hAnsi="等线" w:eastAsia="等线" w:cs="等线"/>
                <w:i w:val="0"/>
                <w:iCs w:val="0"/>
                <w:color w:val="000000"/>
                <w:sz w:val="22"/>
                <w:szCs w:val="22"/>
                <w:u w:val="none"/>
                <w:lang w:val="en-US" w:eastAsia="zh-CN" w:bidi="ar"/>
              </w:rPr>
            </w:pPr>
            <w:r>
              <w:rPr>
                <w:rFonts w:hint="eastAsia" w:ascii="等线" w:hAnsi="等线" w:eastAsia="等线" w:cs="等线"/>
                <w:i w:val="0"/>
                <w:iCs w:val="0"/>
                <w:color w:val="000000"/>
                <w:sz w:val="22"/>
                <w:szCs w:val="22"/>
                <w:u w:val="none"/>
                <w:lang w:val="en-US" w:eastAsia="zh-CN" w:bidi="ar"/>
              </w:rPr>
              <w:t>总价</w:t>
            </w:r>
          </w:p>
        </w:tc>
        <w:tc>
          <w:tcPr>
            <w:tcW w:w="612"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1C429954">
            <w:pPr>
              <w:keepNext/>
              <w:keepLines w:val="0"/>
              <w:pageBreakBefore w:val="0"/>
              <w:jc w:val="center"/>
              <w:rPr>
                <w:rFonts w:hint="eastAsia"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备注</w:t>
            </w:r>
          </w:p>
        </w:tc>
      </w:tr>
      <w:tr w14:paraId="5A59C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7" w:hRule="atLeast"/>
        </w:trPr>
        <w:tc>
          <w:tcPr>
            <w:tcW w:w="65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0791217">
            <w:pPr>
              <w:keepNext/>
              <w:keepLines w:val="0"/>
              <w:pageBreakBefore w:val="0"/>
              <w:widowControl/>
              <w:suppressLineNumbers w:val="0"/>
              <w:jc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sz w:val="22"/>
                <w:szCs w:val="22"/>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51409">
            <w:pPr>
              <w:keepNext/>
              <w:keepLines w:val="0"/>
              <w:pageBreakBefore w:val="0"/>
              <w:widowControl/>
              <w:suppressLineNumbers w:val="0"/>
              <w:jc w:val="center"/>
              <w:rPr>
                <w:rFonts w:hint="eastAsia" w:ascii="等线" w:hAnsi="等线" w:eastAsia="等线" w:cs="等线"/>
                <w:i w:val="0"/>
                <w:iCs w:val="0"/>
                <w:color w:val="000000"/>
                <w:sz w:val="22"/>
                <w:szCs w:val="22"/>
                <w:u w:val="none"/>
                <w:lang w:val="en-US" w:eastAsia="zh-CN" w:bidi="ar"/>
              </w:rPr>
            </w:pPr>
            <w:bookmarkStart w:id="204" w:name="_GoBack"/>
            <w:r>
              <w:rPr>
                <w:rFonts w:hint="eastAsia" w:ascii="等线" w:hAnsi="等线" w:eastAsia="等线" w:cs="等线"/>
                <w:i w:val="0"/>
                <w:iCs w:val="0"/>
                <w:color w:val="000000"/>
                <w:sz w:val="22"/>
                <w:szCs w:val="22"/>
                <w:u w:val="none"/>
                <w:lang w:val="en-US" w:eastAsia="zh-CN" w:bidi="ar"/>
              </w:rPr>
              <w:t>结构化双向双摄</w:t>
            </w:r>
            <w:bookmarkEnd w:id="204"/>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2FF7CE">
            <w:pPr>
              <w:keepNext/>
              <w:keepLines w:val="0"/>
              <w:pageBreakBefore w:val="0"/>
              <w:widowControl/>
              <w:suppressLineNumbers w:val="0"/>
              <w:jc w:val="left"/>
              <w:rPr>
                <w:rFonts w:hint="eastAsia" w:ascii="等线" w:hAnsi="等线" w:eastAsia="等线" w:cs="等线"/>
                <w:i w:val="0"/>
                <w:iCs w:val="0"/>
                <w:color w:val="000000"/>
                <w:sz w:val="22"/>
                <w:szCs w:val="22"/>
                <w:u w:val="none"/>
                <w:lang w:val="en-US" w:eastAsia="zh-CN" w:bidi="ar"/>
              </w:rPr>
            </w:pPr>
            <w:r>
              <w:rPr>
                <w:rFonts w:hint="eastAsia" w:ascii="等线" w:hAnsi="等线" w:eastAsia="等线" w:cs="等线"/>
                <w:i w:val="0"/>
                <w:iCs w:val="0"/>
                <w:color w:val="000000"/>
                <w:sz w:val="22"/>
                <w:szCs w:val="22"/>
                <w:u w:val="none"/>
                <w:lang w:val="en-US" w:eastAsia="zh-CN" w:bidi="ar"/>
              </w:rPr>
              <w:t>★1、双400万摄像机，网络摄像机内置2颗CMOS图像传感器，靶面尺寸均不小于1/1.8"英寸（或优于1/1.8"），光圈优于或等于F1.0。可输出2路视频图像，内置CPU、GPU、NPU一体化芯片。细节通道、全景通道分辨率均不小于2650×1500；</w:t>
            </w:r>
          </w:p>
          <w:p w14:paraId="6D089F4C">
            <w:pPr>
              <w:keepNext/>
              <w:keepLines w:val="0"/>
              <w:pageBreakBefore w:val="0"/>
              <w:widowControl/>
              <w:suppressLineNumbers w:val="0"/>
              <w:jc w:val="left"/>
              <w:rPr>
                <w:rFonts w:hint="eastAsia" w:ascii="等线" w:hAnsi="等线" w:eastAsia="等线" w:cs="等线"/>
                <w:i w:val="0"/>
                <w:iCs w:val="0"/>
                <w:color w:val="000000"/>
                <w:sz w:val="22"/>
                <w:szCs w:val="22"/>
                <w:u w:val="none"/>
                <w:lang w:val="en-US" w:eastAsia="zh-CN" w:bidi="ar"/>
              </w:rPr>
            </w:pPr>
            <w:r>
              <w:rPr>
                <w:rFonts w:hint="eastAsia" w:ascii="等线" w:hAnsi="等线" w:eastAsia="等线" w:cs="等线"/>
                <w:i w:val="0"/>
                <w:iCs w:val="0"/>
                <w:color w:val="000000"/>
                <w:sz w:val="22"/>
                <w:szCs w:val="22"/>
                <w:u w:val="none"/>
                <w:lang w:val="en-US" w:eastAsia="zh-CN" w:bidi="ar"/>
              </w:rPr>
              <w:t>▲2、全景通道和细节通道均具有电动控制PT功能，均支持电动调节。细节通道支持水平方向0至355°旋转，垂直方向支持35°调节；全景通道支持垂直方向20°调节；</w:t>
            </w:r>
          </w:p>
          <w:p w14:paraId="007C2B4C">
            <w:pPr>
              <w:keepNext/>
              <w:keepLines w:val="0"/>
              <w:pageBreakBefore w:val="0"/>
              <w:widowControl/>
              <w:suppressLineNumbers w:val="0"/>
              <w:jc w:val="left"/>
              <w:rPr>
                <w:rFonts w:hint="eastAsia" w:ascii="等线" w:hAnsi="等线" w:eastAsia="等线" w:cs="等线"/>
                <w:i w:val="0"/>
                <w:iCs w:val="0"/>
                <w:color w:val="000000"/>
                <w:sz w:val="22"/>
                <w:szCs w:val="22"/>
                <w:u w:val="none"/>
                <w:lang w:val="en-US" w:eastAsia="zh-CN" w:bidi="ar"/>
              </w:rPr>
            </w:pPr>
            <w:r>
              <w:rPr>
                <w:rFonts w:hint="eastAsia" w:ascii="等线" w:hAnsi="等线" w:eastAsia="等线" w:cs="等线"/>
                <w:i w:val="0"/>
                <w:iCs w:val="0"/>
                <w:color w:val="000000"/>
                <w:sz w:val="22"/>
                <w:szCs w:val="22"/>
                <w:u w:val="none"/>
                <w:lang w:val="en-US" w:eastAsia="zh-CN" w:bidi="ar"/>
              </w:rPr>
              <w:t>3.全景通道最低照度：彩色不大于0.0002 lx，黑白不大于0.0001 lx；</w:t>
            </w:r>
          </w:p>
          <w:p w14:paraId="6312E5E0">
            <w:pPr>
              <w:keepNext/>
              <w:keepLines w:val="0"/>
              <w:pageBreakBefore w:val="0"/>
              <w:widowControl/>
              <w:suppressLineNumbers w:val="0"/>
              <w:jc w:val="left"/>
              <w:rPr>
                <w:rFonts w:hint="eastAsia" w:ascii="等线" w:hAnsi="等线" w:eastAsia="等线" w:cs="等线"/>
                <w:i w:val="0"/>
                <w:iCs w:val="0"/>
                <w:color w:val="000000"/>
                <w:sz w:val="22"/>
                <w:szCs w:val="22"/>
                <w:u w:val="none"/>
                <w:lang w:val="en-US" w:eastAsia="zh-CN" w:bidi="ar"/>
              </w:rPr>
            </w:pPr>
            <w:r>
              <w:rPr>
                <w:rFonts w:hint="eastAsia" w:ascii="等线" w:hAnsi="等线" w:eastAsia="等线" w:cs="等线"/>
                <w:i w:val="0"/>
                <w:iCs w:val="0"/>
                <w:color w:val="000000"/>
                <w:sz w:val="22"/>
                <w:szCs w:val="22"/>
                <w:u w:val="none"/>
                <w:lang w:val="en-US" w:eastAsia="zh-CN" w:bidi="ar"/>
              </w:rPr>
              <w:t>4.双两通道的补光灯都支持分区补光，每颗补光灯可以独立控制，可对画面5个不同区域补光强度进行手动控制；</w:t>
            </w:r>
          </w:p>
          <w:p w14:paraId="3A62C0FE">
            <w:pPr>
              <w:keepNext/>
              <w:keepLines w:val="0"/>
              <w:pageBreakBefore w:val="0"/>
              <w:widowControl/>
              <w:suppressLineNumbers w:val="0"/>
              <w:jc w:val="left"/>
              <w:rPr>
                <w:rFonts w:hint="eastAsia" w:ascii="等线" w:hAnsi="等线" w:eastAsia="等线" w:cs="等线"/>
                <w:i w:val="0"/>
                <w:iCs w:val="0"/>
                <w:color w:val="000000"/>
                <w:sz w:val="22"/>
                <w:szCs w:val="22"/>
                <w:u w:val="none"/>
                <w:lang w:val="en-US" w:eastAsia="zh-CN" w:bidi="ar"/>
              </w:rPr>
            </w:pPr>
            <w:r>
              <w:rPr>
                <w:rFonts w:hint="eastAsia" w:ascii="等线" w:hAnsi="等线" w:eastAsia="等线" w:cs="等线"/>
                <w:i w:val="0"/>
                <w:iCs w:val="0"/>
                <w:color w:val="000000"/>
                <w:sz w:val="22"/>
                <w:szCs w:val="22"/>
                <w:u w:val="none"/>
                <w:lang w:val="en-US" w:eastAsia="zh-CN" w:bidi="ar"/>
              </w:rPr>
              <w:t>5.可实现全场景感兴趣目标的最佳聚焦，感兴趣目标类型可设置为人脸、车牌；</w:t>
            </w:r>
          </w:p>
          <w:p w14:paraId="47A78ACE">
            <w:pPr>
              <w:keepNext/>
              <w:keepLines w:val="0"/>
              <w:pageBreakBefore w:val="0"/>
              <w:widowControl/>
              <w:suppressLineNumbers w:val="0"/>
              <w:jc w:val="left"/>
              <w:rPr>
                <w:rFonts w:hint="eastAsia" w:ascii="等线" w:hAnsi="等线" w:eastAsia="等线" w:cs="等线"/>
                <w:i w:val="0"/>
                <w:iCs w:val="0"/>
                <w:color w:val="000000"/>
                <w:sz w:val="22"/>
                <w:szCs w:val="22"/>
                <w:u w:val="none"/>
                <w:lang w:val="en-US" w:eastAsia="zh-CN" w:bidi="ar"/>
              </w:rPr>
            </w:pPr>
            <w:r>
              <w:rPr>
                <w:rFonts w:hint="eastAsia" w:ascii="等线" w:hAnsi="等线" w:eastAsia="等线" w:cs="等线"/>
                <w:i w:val="0"/>
                <w:iCs w:val="0"/>
                <w:color w:val="000000"/>
                <w:sz w:val="22"/>
                <w:szCs w:val="22"/>
                <w:u w:val="none"/>
                <w:lang w:val="en-US" w:eastAsia="zh-CN" w:bidi="ar"/>
              </w:rPr>
              <w:t>6.支持人脸检测、抓拍功能，可检出两眼瞳距不小于20像素点的人脸；</w:t>
            </w:r>
          </w:p>
          <w:p w14:paraId="172EFAC7">
            <w:pPr>
              <w:keepNext/>
              <w:keepLines w:val="0"/>
              <w:pageBreakBefore w:val="0"/>
              <w:widowControl/>
              <w:suppressLineNumbers w:val="0"/>
              <w:jc w:val="left"/>
              <w:rPr>
                <w:rFonts w:hint="eastAsia" w:ascii="等线" w:hAnsi="等线" w:eastAsia="等线" w:cs="等线"/>
                <w:i w:val="0"/>
                <w:iCs w:val="0"/>
                <w:color w:val="000000"/>
                <w:sz w:val="22"/>
                <w:szCs w:val="22"/>
                <w:u w:val="none"/>
                <w:lang w:val="en-US" w:eastAsia="zh-CN" w:bidi="ar"/>
              </w:rPr>
            </w:pPr>
            <w:r>
              <w:rPr>
                <w:rFonts w:hint="eastAsia" w:ascii="等线" w:hAnsi="等线" w:eastAsia="等线" w:cs="等线"/>
                <w:i w:val="0"/>
                <w:iCs w:val="0"/>
                <w:color w:val="000000"/>
                <w:sz w:val="22"/>
                <w:szCs w:val="22"/>
                <w:u w:val="none"/>
                <w:lang w:val="en-US" w:eastAsia="zh-CN" w:bidi="ar"/>
              </w:rPr>
              <w:t>7.可识别像素范围从60×20到1300×400的车牌；</w:t>
            </w:r>
          </w:p>
          <w:p w14:paraId="1700EB21">
            <w:pPr>
              <w:keepNext/>
              <w:keepLines w:val="0"/>
              <w:pageBreakBefore w:val="0"/>
              <w:widowControl/>
              <w:suppressLineNumbers w:val="0"/>
              <w:jc w:val="left"/>
              <w:rPr>
                <w:rFonts w:hint="eastAsia" w:ascii="等线" w:hAnsi="等线" w:eastAsia="等线" w:cs="等线"/>
                <w:i w:val="0"/>
                <w:iCs w:val="0"/>
                <w:color w:val="000000"/>
                <w:sz w:val="22"/>
                <w:szCs w:val="22"/>
                <w:u w:val="none"/>
                <w:lang w:val="en-US" w:eastAsia="zh-CN" w:bidi="ar"/>
              </w:rPr>
            </w:pPr>
            <w:r>
              <w:rPr>
                <w:rFonts w:hint="eastAsia" w:ascii="等线" w:hAnsi="等线" w:eastAsia="等线" w:cs="等线"/>
                <w:i w:val="0"/>
                <w:iCs w:val="0"/>
                <w:color w:val="000000"/>
                <w:sz w:val="22"/>
                <w:szCs w:val="22"/>
                <w:u w:val="none"/>
                <w:lang w:val="en-US" w:eastAsia="zh-CN" w:bidi="ar"/>
              </w:rPr>
              <w:t>8.支持设置通道1的智能分析模式为全结构化/人脸抓拍/车辆特征抓拍/非机动车/车牌识别/道路监控/smart事件/普通监控；通道2的智能分析模式为人数统计/smart事件/普通监控；</w:t>
            </w:r>
          </w:p>
          <w:p w14:paraId="30F9853E">
            <w:pPr>
              <w:keepNext/>
              <w:keepLines w:val="0"/>
              <w:pageBreakBefore w:val="0"/>
              <w:widowControl/>
              <w:suppressLineNumbers w:val="0"/>
              <w:jc w:val="left"/>
              <w:rPr>
                <w:rFonts w:hint="eastAsia" w:ascii="等线" w:hAnsi="等线" w:eastAsia="等线" w:cs="等线"/>
                <w:i w:val="0"/>
                <w:iCs w:val="0"/>
                <w:color w:val="000000"/>
                <w:sz w:val="22"/>
                <w:szCs w:val="22"/>
                <w:u w:val="none"/>
                <w:lang w:val="en-US" w:eastAsia="zh-CN" w:bidi="ar"/>
              </w:rPr>
            </w:pPr>
            <w:r>
              <w:rPr>
                <w:rFonts w:hint="eastAsia" w:ascii="等线" w:hAnsi="等线" w:eastAsia="等线" w:cs="等线"/>
                <w:i w:val="0"/>
                <w:iCs w:val="0"/>
                <w:color w:val="000000"/>
                <w:sz w:val="22"/>
                <w:szCs w:val="22"/>
                <w:u w:val="none"/>
                <w:lang w:val="en-US" w:eastAsia="zh-CN" w:bidi="ar"/>
              </w:rPr>
              <w:t>9.支持对检测区域内出现的机动车、非机动车、行人同时检测、跟踪、评分、抓拍、存储，可关联显示人体和对应的人脸图片、车辆和对应的车牌图片；</w:t>
            </w:r>
          </w:p>
          <w:p w14:paraId="1D0D32C3">
            <w:pPr>
              <w:keepNext/>
              <w:keepLines w:val="0"/>
              <w:pageBreakBefore w:val="0"/>
              <w:widowControl/>
              <w:suppressLineNumbers w:val="0"/>
              <w:jc w:val="left"/>
              <w:rPr>
                <w:rFonts w:hint="eastAsia" w:ascii="等线" w:hAnsi="等线" w:eastAsia="等线" w:cs="等线"/>
                <w:i w:val="0"/>
                <w:iCs w:val="0"/>
                <w:color w:val="000000"/>
                <w:sz w:val="22"/>
                <w:szCs w:val="22"/>
                <w:u w:val="none"/>
                <w:lang w:val="en-US" w:eastAsia="zh-CN" w:bidi="ar"/>
              </w:rPr>
            </w:pPr>
            <w:r>
              <w:rPr>
                <w:rFonts w:hint="eastAsia" w:ascii="等线" w:hAnsi="等线" w:eastAsia="等线" w:cs="等线"/>
                <w:i w:val="0"/>
                <w:iCs w:val="0"/>
                <w:color w:val="000000"/>
                <w:sz w:val="22"/>
                <w:szCs w:val="22"/>
                <w:u w:val="none"/>
                <w:lang w:val="en-US" w:eastAsia="zh-CN" w:bidi="ar"/>
              </w:rPr>
              <w:t>10.支持不低于IP67防护等级。内置1个SD卡槽；</w:t>
            </w:r>
          </w:p>
          <w:p w14:paraId="3A8E93B2">
            <w:pPr>
              <w:keepNext/>
              <w:keepLines w:val="0"/>
              <w:pageBreakBefore w:val="0"/>
              <w:widowControl/>
              <w:suppressLineNumbers w:val="0"/>
              <w:jc w:val="left"/>
              <w:rPr>
                <w:rFonts w:hint="eastAsia" w:ascii="等线" w:hAnsi="等线" w:eastAsia="等线" w:cs="等线"/>
                <w:i w:val="0"/>
                <w:iCs w:val="0"/>
                <w:color w:val="000000"/>
                <w:sz w:val="22"/>
                <w:szCs w:val="22"/>
                <w:u w:val="none"/>
                <w:lang w:val="en-US" w:eastAsia="zh-CN" w:bidi="ar"/>
              </w:rPr>
            </w:pPr>
            <w:r>
              <w:rPr>
                <w:rFonts w:hint="eastAsia" w:ascii="等线" w:hAnsi="等线" w:eastAsia="等线" w:cs="等线"/>
                <w:i w:val="0"/>
                <w:iCs w:val="0"/>
                <w:color w:val="000000"/>
                <w:sz w:val="22"/>
                <w:szCs w:val="22"/>
                <w:u w:val="none"/>
                <w:lang w:val="en-US" w:eastAsia="zh-CN" w:bidi="ar"/>
              </w:rPr>
              <w:t>▲11、符合35114-A标准要求。</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0F278">
            <w:pPr>
              <w:keepNext/>
              <w:keepLines w:val="0"/>
              <w:pageBreakBefore w:val="0"/>
              <w:widowControl/>
              <w:suppressLineNumbers w:val="0"/>
              <w:jc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sz w:val="22"/>
                <w:szCs w:val="22"/>
                <w:u w:val="none"/>
                <w:lang w:val="en-US" w:eastAsia="zh-CN" w:bidi="ar"/>
              </w:rPr>
              <w:t>台</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FE1AC">
            <w:pPr>
              <w:keepNext/>
              <w:keepLines w:val="0"/>
              <w:pageBreakBefore w:val="0"/>
              <w:widowControl/>
              <w:suppressLineNumbers w:val="0"/>
              <w:jc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sz w:val="22"/>
                <w:szCs w:val="22"/>
                <w:u w:val="none"/>
                <w:lang w:val="en-US" w:eastAsia="zh-CN" w:bidi="ar"/>
              </w:rPr>
              <w:t>168</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C6285">
            <w:pPr>
              <w:keepNext/>
              <w:keepLines w:val="0"/>
              <w:pageBreakBefore w:val="0"/>
              <w:widowControl/>
              <w:suppressLineNumbers w:val="0"/>
              <w:jc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sz w:val="22"/>
                <w:szCs w:val="22"/>
                <w:u w:val="none"/>
                <w:lang w:val="en-US" w:eastAsia="zh-CN" w:bidi="ar"/>
              </w:rPr>
              <w:t xml:space="preserve"> </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3994E">
            <w:pPr>
              <w:keepNext/>
              <w:keepLines w:val="0"/>
              <w:pageBreakBefore w:val="0"/>
              <w:widowControl/>
              <w:suppressLineNumbers w:val="0"/>
              <w:jc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sz w:val="22"/>
                <w:szCs w:val="22"/>
                <w:u w:val="none"/>
                <w:lang w:val="en-US" w:eastAsia="zh-CN" w:bidi="ar"/>
              </w:rPr>
              <w:t xml:space="preserve"> </w:t>
            </w:r>
          </w:p>
        </w:tc>
        <w:tc>
          <w:tcPr>
            <w:tcW w:w="612"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15545BF6">
            <w:pPr>
              <w:keepNext/>
              <w:keepLines w:val="0"/>
              <w:pageBreakBefore w:val="0"/>
              <w:rPr>
                <w:rFonts w:hint="eastAsia" w:ascii="等线" w:hAnsi="等线" w:eastAsia="等线" w:cs="等线"/>
                <w:i w:val="0"/>
                <w:iCs w:val="0"/>
                <w:color w:val="000000"/>
                <w:sz w:val="22"/>
                <w:szCs w:val="22"/>
                <w:u w:val="none"/>
              </w:rPr>
            </w:pPr>
          </w:p>
        </w:tc>
      </w:tr>
      <w:tr w14:paraId="11A64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5" w:hRule="atLeast"/>
        </w:trPr>
        <w:tc>
          <w:tcPr>
            <w:tcW w:w="65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8839C3E">
            <w:pPr>
              <w:keepNext w:val="0"/>
              <w:keepLines w:val="0"/>
              <w:widowControl/>
              <w:suppressLineNumbers w:val="0"/>
              <w:jc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sz w:val="22"/>
                <w:szCs w:val="22"/>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BB4E9">
            <w:pPr>
              <w:keepNext w:val="0"/>
              <w:keepLines w:val="0"/>
              <w:widowControl/>
              <w:suppressLineNumbers w:val="0"/>
              <w:jc w:val="center"/>
              <w:rPr>
                <w:rFonts w:hint="eastAsia" w:ascii="等线" w:hAnsi="等线" w:eastAsia="等线" w:cs="等线"/>
                <w:i w:val="0"/>
                <w:iCs w:val="0"/>
                <w:color w:val="000000"/>
                <w:sz w:val="22"/>
                <w:szCs w:val="22"/>
                <w:u w:val="none"/>
                <w:lang w:val="en-US" w:eastAsia="zh-CN" w:bidi="ar"/>
              </w:rPr>
            </w:pPr>
            <w:r>
              <w:rPr>
                <w:rFonts w:hint="eastAsia" w:ascii="等线" w:hAnsi="等线" w:eastAsia="等线" w:cs="等线"/>
                <w:i w:val="0"/>
                <w:iCs w:val="0"/>
                <w:color w:val="000000"/>
                <w:sz w:val="22"/>
                <w:szCs w:val="22"/>
                <w:u w:val="none"/>
                <w:lang w:val="en-US" w:eastAsia="zh-CN" w:bidi="ar"/>
              </w:rPr>
              <w:t>超级卡口</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B66E3F">
            <w:pPr>
              <w:keepNext w:val="0"/>
              <w:keepLines w:val="0"/>
              <w:widowControl/>
              <w:suppressLineNumbers w:val="0"/>
              <w:jc w:val="left"/>
              <w:rPr>
                <w:rFonts w:hint="eastAsia" w:ascii="等线" w:hAnsi="等线" w:eastAsia="等线" w:cs="等线"/>
                <w:i w:val="0"/>
                <w:iCs w:val="0"/>
                <w:color w:val="000000"/>
                <w:sz w:val="22"/>
                <w:szCs w:val="22"/>
                <w:u w:val="none"/>
                <w:lang w:val="en-US" w:eastAsia="zh-CN" w:bidi="ar"/>
              </w:rPr>
            </w:pPr>
            <w:r>
              <w:rPr>
                <w:rFonts w:hint="eastAsia" w:ascii="等线" w:hAnsi="等线" w:eastAsia="等线" w:cs="等线"/>
                <w:i w:val="0"/>
                <w:iCs w:val="0"/>
                <w:color w:val="000000"/>
                <w:sz w:val="22"/>
                <w:szCs w:val="22"/>
                <w:u w:val="none"/>
                <w:lang w:val="en-US" w:eastAsia="zh-CN" w:bidi="ar"/>
              </w:rPr>
              <w:t>▲1、 传感器类型：1英寸曝光 GMOS*1，镜头不低于50mm</w:t>
            </w:r>
            <w:r>
              <w:rPr>
                <w:rFonts w:hint="eastAsia" w:ascii="等线" w:hAnsi="等线" w:eastAsia="等线" w:cs="等线"/>
                <w:i w:val="0"/>
                <w:iCs w:val="0"/>
                <w:color w:val="000000"/>
                <w:sz w:val="22"/>
                <w:szCs w:val="22"/>
                <w:u w:val="none"/>
                <w:lang w:val="en-US" w:eastAsia="zh-CN" w:bidi="ar"/>
              </w:rPr>
              <w:br w:type="textWrapping"/>
            </w:r>
            <w:r>
              <w:rPr>
                <w:rFonts w:hint="eastAsia" w:ascii="等线" w:hAnsi="等线" w:eastAsia="等线" w:cs="等线"/>
                <w:i w:val="0"/>
                <w:iCs w:val="0"/>
                <w:color w:val="000000"/>
                <w:sz w:val="22"/>
                <w:szCs w:val="22"/>
                <w:u w:val="none"/>
                <w:lang w:val="en-US" w:eastAsia="zh-CN" w:bidi="ar"/>
              </w:rPr>
              <w:t>★2 、分辨率：≥4090×2150</w:t>
            </w:r>
            <w:r>
              <w:rPr>
                <w:rFonts w:hint="eastAsia" w:ascii="等线" w:hAnsi="等线" w:eastAsia="等线" w:cs="等线"/>
                <w:i w:val="0"/>
                <w:iCs w:val="0"/>
                <w:color w:val="000000"/>
                <w:sz w:val="22"/>
                <w:szCs w:val="22"/>
                <w:u w:val="none"/>
                <w:lang w:val="en-US" w:eastAsia="zh-CN" w:bidi="ar"/>
              </w:rPr>
              <w:br w:type="textWrapping"/>
            </w:r>
            <w:r>
              <w:rPr>
                <w:rFonts w:hint="eastAsia" w:ascii="等线" w:hAnsi="等线" w:eastAsia="等线" w:cs="等线"/>
                <w:i w:val="0"/>
                <w:iCs w:val="0"/>
                <w:color w:val="000000"/>
                <w:sz w:val="22"/>
                <w:szCs w:val="22"/>
                <w:u w:val="none"/>
                <w:lang w:val="en-US" w:eastAsia="zh-CN" w:bidi="ar"/>
              </w:rPr>
              <w:t>3 、帧率：25fps</w:t>
            </w:r>
            <w:r>
              <w:rPr>
                <w:rFonts w:hint="eastAsia" w:ascii="等线" w:hAnsi="等线" w:eastAsia="等线" w:cs="等线"/>
                <w:i w:val="0"/>
                <w:iCs w:val="0"/>
                <w:color w:val="000000"/>
                <w:sz w:val="22"/>
                <w:szCs w:val="22"/>
                <w:u w:val="none"/>
                <w:lang w:val="en-US" w:eastAsia="zh-CN" w:bidi="ar"/>
              </w:rPr>
              <w:br w:type="textWrapping"/>
            </w:r>
            <w:r>
              <w:rPr>
                <w:rFonts w:hint="eastAsia" w:ascii="等线" w:hAnsi="等线" w:eastAsia="等线" w:cs="等线"/>
                <w:i w:val="0"/>
                <w:iCs w:val="0"/>
                <w:color w:val="000000"/>
                <w:sz w:val="22"/>
                <w:szCs w:val="22"/>
                <w:u w:val="none"/>
                <w:lang w:val="en-US" w:eastAsia="zh-CN" w:bidi="ar"/>
              </w:rPr>
              <w:t>4 、码流：32 Kbps~16 Mbps</w:t>
            </w:r>
            <w:r>
              <w:rPr>
                <w:rFonts w:hint="eastAsia" w:ascii="等线" w:hAnsi="等线" w:eastAsia="等线" w:cs="等线"/>
                <w:i w:val="0"/>
                <w:iCs w:val="0"/>
                <w:color w:val="000000"/>
                <w:sz w:val="22"/>
                <w:szCs w:val="22"/>
                <w:u w:val="none"/>
                <w:lang w:val="en-US" w:eastAsia="zh-CN" w:bidi="ar"/>
              </w:rPr>
              <w:br w:type="textWrapping"/>
            </w:r>
            <w:r>
              <w:rPr>
                <w:rFonts w:hint="eastAsia" w:ascii="等线" w:hAnsi="等线" w:eastAsia="等线" w:cs="等线"/>
                <w:i w:val="0"/>
                <w:iCs w:val="0"/>
                <w:color w:val="000000"/>
                <w:sz w:val="22"/>
                <w:szCs w:val="22"/>
                <w:u w:val="none"/>
                <w:lang w:val="en-US" w:eastAsia="zh-CN" w:bidi="ar"/>
              </w:rPr>
              <w:t>5 、接口协议：ISAPI ,GB28181</w:t>
            </w:r>
            <w:r>
              <w:rPr>
                <w:rFonts w:hint="eastAsia" w:ascii="等线" w:hAnsi="等线" w:eastAsia="等线" w:cs="等线"/>
                <w:i w:val="0"/>
                <w:iCs w:val="0"/>
                <w:color w:val="000000"/>
                <w:sz w:val="22"/>
                <w:szCs w:val="22"/>
                <w:u w:val="none"/>
                <w:lang w:val="en-US" w:eastAsia="zh-CN" w:bidi="ar"/>
              </w:rPr>
              <w:br w:type="textWrapping"/>
            </w:r>
            <w:r>
              <w:rPr>
                <w:rFonts w:hint="eastAsia" w:ascii="等线" w:hAnsi="等线" w:eastAsia="等线" w:cs="等线"/>
                <w:i w:val="0"/>
                <w:iCs w:val="0"/>
                <w:color w:val="000000"/>
                <w:sz w:val="22"/>
                <w:szCs w:val="22"/>
                <w:u w:val="none"/>
                <w:lang w:val="en-US" w:eastAsia="zh-CN" w:bidi="ar"/>
              </w:rPr>
              <w:t>6 、内部组件：LED 补光灯</w:t>
            </w:r>
            <w:r>
              <w:rPr>
                <w:rFonts w:hint="eastAsia" w:ascii="等线" w:hAnsi="等线" w:eastAsia="等线" w:cs="等线"/>
                <w:i w:val="0"/>
                <w:iCs w:val="0"/>
                <w:color w:val="000000"/>
                <w:sz w:val="22"/>
                <w:szCs w:val="22"/>
                <w:u w:val="none"/>
                <w:lang w:val="en-US" w:eastAsia="zh-CN" w:bidi="ar"/>
              </w:rPr>
              <w:br w:type="textWrapping"/>
            </w:r>
            <w:r>
              <w:rPr>
                <w:rFonts w:hint="eastAsia" w:ascii="等线" w:hAnsi="等线" w:eastAsia="等线" w:cs="等线"/>
                <w:i w:val="0"/>
                <w:iCs w:val="0"/>
                <w:color w:val="000000"/>
                <w:sz w:val="22"/>
                <w:szCs w:val="22"/>
                <w:u w:val="none"/>
                <w:lang w:val="en-US" w:eastAsia="zh-CN" w:bidi="ar"/>
              </w:rPr>
              <w:t>7 、摄像机参数配置功能：曝光快门、AGC 控制、白平衡方式控制等</w:t>
            </w:r>
            <w:r>
              <w:rPr>
                <w:rFonts w:hint="eastAsia" w:ascii="等线" w:hAnsi="等线" w:eastAsia="等线" w:cs="等线"/>
                <w:i w:val="0"/>
                <w:iCs w:val="0"/>
                <w:color w:val="000000"/>
                <w:sz w:val="22"/>
                <w:szCs w:val="22"/>
                <w:u w:val="none"/>
                <w:lang w:val="en-US" w:eastAsia="zh-CN" w:bidi="ar"/>
              </w:rPr>
              <w:br w:type="textWrapping"/>
            </w:r>
            <w:r>
              <w:rPr>
                <w:rFonts w:hint="eastAsia" w:ascii="等线" w:hAnsi="等线" w:eastAsia="等线" w:cs="等线"/>
                <w:i w:val="0"/>
                <w:iCs w:val="0"/>
                <w:color w:val="000000"/>
                <w:sz w:val="22"/>
                <w:szCs w:val="22"/>
                <w:u w:val="none"/>
                <w:lang w:val="en-US" w:eastAsia="zh-CN" w:bidi="ar"/>
              </w:rPr>
              <w:t>8、 视频压缩标准 H.264/H.265</w:t>
            </w:r>
            <w:r>
              <w:rPr>
                <w:rFonts w:hint="eastAsia" w:ascii="等线" w:hAnsi="等线" w:eastAsia="等线" w:cs="等线"/>
                <w:i w:val="0"/>
                <w:iCs w:val="0"/>
                <w:color w:val="000000"/>
                <w:sz w:val="22"/>
                <w:szCs w:val="22"/>
                <w:u w:val="none"/>
                <w:lang w:val="en-US" w:eastAsia="zh-CN" w:bidi="ar"/>
              </w:rPr>
              <w:br w:type="textWrapping"/>
            </w:r>
            <w:r>
              <w:rPr>
                <w:rFonts w:hint="eastAsia" w:ascii="等线" w:hAnsi="等线" w:eastAsia="等线" w:cs="等线"/>
                <w:i w:val="0"/>
                <w:iCs w:val="0"/>
                <w:color w:val="000000"/>
                <w:sz w:val="22"/>
                <w:szCs w:val="22"/>
                <w:u w:val="none"/>
                <w:lang w:val="en-US" w:eastAsia="zh-CN" w:bidi="ar"/>
              </w:rPr>
              <w:t>9、 输出图片格式 JPEG</w:t>
            </w:r>
            <w:r>
              <w:rPr>
                <w:rFonts w:hint="eastAsia" w:ascii="等线" w:hAnsi="等线" w:eastAsia="等线" w:cs="等线"/>
                <w:i w:val="0"/>
                <w:iCs w:val="0"/>
                <w:color w:val="000000"/>
                <w:sz w:val="22"/>
                <w:szCs w:val="22"/>
                <w:u w:val="none"/>
                <w:lang w:val="en-US" w:eastAsia="zh-CN" w:bidi="ar"/>
              </w:rPr>
              <w:br w:type="textWrapping"/>
            </w:r>
            <w:r>
              <w:rPr>
                <w:rFonts w:hint="eastAsia" w:ascii="等线" w:hAnsi="等线" w:eastAsia="等线" w:cs="等线"/>
                <w:i w:val="0"/>
                <w:iCs w:val="0"/>
                <w:color w:val="000000"/>
                <w:sz w:val="22"/>
                <w:szCs w:val="22"/>
                <w:u w:val="none"/>
                <w:lang w:val="en-US" w:eastAsia="zh-CN" w:bidi="ar"/>
              </w:rPr>
              <w:t xml:space="preserve">10、 机动车违章检测 </w:t>
            </w:r>
            <w:r>
              <w:rPr>
                <w:rFonts w:hint="eastAsia" w:ascii="等线" w:hAnsi="等线" w:eastAsia="等线" w:cs="等线"/>
                <w:i w:val="0"/>
                <w:iCs w:val="0"/>
                <w:color w:val="000000"/>
                <w:sz w:val="22"/>
                <w:szCs w:val="22"/>
                <w:u w:val="none"/>
                <w:lang w:val="en-US" w:eastAsia="zh-CN" w:bidi="ar"/>
              </w:rPr>
              <w:br w:type="textWrapping"/>
            </w:r>
            <w:r>
              <w:rPr>
                <w:rFonts w:hint="eastAsia" w:ascii="等线" w:hAnsi="等线" w:eastAsia="等线" w:cs="等线"/>
                <w:i w:val="0"/>
                <w:iCs w:val="0"/>
                <w:color w:val="000000"/>
                <w:sz w:val="22"/>
                <w:szCs w:val="22"/>
                <w:u w:val="none"/>
                <w:lang w:val="en-US" w:eastAsia="zh-CN" w:bidi="ar"/>
              </w:rPr>
              <w:t>机动车超速、压线、逆行、禁止大货车等违法行为</w:t>
            </w:r>
            <w:r>
              <w:rPr>
                <w:rFonts w:hint="eastAsia" w:ascii="等线" w:hAnsi="等线" w:eastAsia="等线" w:cs="等线"/>
                <w:i w:val="0"/>
                <w:iCs w:val="0"/>
                <w:color w:val="000000"/>
                <w:sz w:val="22"/>
                <w:szCs w:val="22"/>
                <w:u w:val="none"/>
                <w:lang w:val="en-US" w:eastAsia="zh-CN" w:bidi="ar"/>
              </w:rPr>
              <w:br w:type="textWrapping"/>
            </w:r>
            <w:r>
              <w:rPr>
                <w:rFonts w:hint="eastAsia" w:ascii="等线" w:hAnsi="等线" w:eastAsia="等线" w:cs="等线"/>
                <w:i w:val="0"/>
                <w:iCs w:val="0"/>
                <w:color w:val="000000"/>
                <w:sz w:val="22"/>
                <w:szCs w:val="22"/>
                <w:u w:val="none"/>
                <w:lang w:val="en-US" w:eastAsia="zh-CN" w:bidi="ar"/>
              </w:rPr>
              <w:t>11、 存储支持TF卡，USB，云存储协议</w:t>
            </w:r>
            <w:r>
              <w:rPr>
                <w:rFonts w:hint="eastAsia" w:ascii="等线" w:hAnsi="等线" w:eastAsia="等线" w:cs="等线"/>
                <w:i w:val="0"/>
                <w:iCs w:val="0"/>
                <w:color w:val="000000"/>
                <w:sz w:val="22"/>
                <w:szCs w:val="22"/>
                <w:u w:val="none"/>
                <w:lang w:val="en-US" w:eastAsia="zh-CN" w:bidi="ar"/>
              </w:rPr>
              <w:br w:type="textWrapping"/>
            </w:r>
            <w:r>
              <w:rPr>
                <w:rFonts w:hint="eastAsia" w:ascii="等线" w:hAnsi="等线" w:eastAsia="等线" w:cs="等线"/>
                <w:i w:val="0"/>
                <w:iCs w:val="0"/>
                <w:color w:val="000000"/>
                <w:sz w:val="22"/>
                <w:szCs w:val="22"/>
                <w:u w:val="none"/>
                <w:lang w:val="en-US" w:eastAsia="zh-CN" w:bidi="ar"/>
              </w:rPr>
              <w:t>12、 终端接入支持接入终端服务器</w:t>
            </w:r>
            <w:r>
              <w:rPr>
                <w:rFonts w:hint="eastAsia" w:ascii="等线" w:hAnsi="等线" w:eastAsia="等线" w:cs="等线"/>
                <w:i w:val="0"/>
                <w:iCs w:val="0"/>
                <w:color w:val="000000"/>
                <w:sz w:val="22"/>
                <w:szCs w:val="22"/>
                <w:u w:val="none"/>
                <w:lang w:val="en-US" w:eastAsia="zh-CN" w:bidi="ar"/>
              </w:rPr>
              <w:br w:type="textWrapping"/>
            </w:r>
            <w:r>
              <w:rPr>
                <w:rFonts w:hint="eastAsia" w:ascii="等线" w:hAnsi="等线" w:eastAsia="等线" w:cs="等线"/>
                <w:i w:val="0"/>
                <w:iCs w:val="0"/>
                <w:color w:val="000000"/>
                <w:sz w:val="22"/>
                <w:szCs w:val="22"/>
                <w:u w:val="none"/>
                <w:lang w:val="en-US" w:eastAsia="zh-CN" w:bidi="ar"/>
              </w:rPr>
              <w:t>13、 电压 100VAC～240VAC；频率：48Hz～52Hz</w:t>
            </w:r>
            <w:r>
              <w:rPr>
                <w:rFonts w:hint="eastAsia" w:ascii="等线" w:hAnsi="等线" w:eastAsia="等线" w:cs="等线"/>
                <w:i w:val="0"/>
                <w:iCs w:val="0"/>
                <w:color w:val="000000"/>
                <w:sz w:val="22"/>
                <w:szCs w:val="22"/>
                <w:u w:val="none"/>
                <w:lang w:val="en-US" w:eastAsia="zh-CN" w:bidi="ar"/>
              </w:rPr>
              <w:br w:type="textWrapping"/>
            </w:r>
            <w:r>
              <w:rPr>
                <w:rFonts w:hint="eastAsia" w:ascii="等线" w:hAnsi="等线" w:eastAsia="等线" w:cs="等线"/>
                <w:i w:val="0"/>
                <w:iCs w:val="0"/>
                <w:color w:val="000000"/>
                <w:sz w:val="22"/>
                <w:szCs w:val="22"/>
                <w:u w:val="none"/>
                <w:lang w:val="en-US" w:eastAsia="zh-CN" w:bidi="ar"/>
              </w:rPr>
              <w:t>14 、防护等级：IP65</w:t>
            </w:r>
            <w:r>
              <w:rPr>
                <w:rFonts w:hint="eastAsia" w:ascii="等线" w:hAnsi="等线" w:eastAsia="等线" w:cs="等线"/>
                <w:i w:val="0"/>
                <w:iCs w:val="0"/>
                <w:color w:val="000000"/>
                <w:sz w:val="22"/>
                <w:szCs w:val="22"/>
                <w:u w:val="none"/>
                <w:lang w:val="en-US" w:eastAsia="zh-CN" w:bidi="ar"/>
              </w:rPr>
              <w:br w:type="textWrapping"/>
            </w:r>
            <w:r>
              <w:rPr>
                <w:rFonts w:hint="eastAsia" w:ascii="等线" w:hAnsi="等线" w:eastAsia="等线" w:cs="等线"/>
                <w:i w:val="0"/>
                <w:iCs w:val="0"/>
                <w:color w:val="000000"/>
                <w:sz w:val="22"/>
                <w:szCs w:val="22"/>
                <w:u w:val="none"/>
                <w:lang w:val="en-US" w:eastAsia="zh-CN" w:bidi="ar"/>
              </w:rPr>
              <w:t>▲15 、车型识别：支持识别不少于30种车型</w:t>
            </w:r>
            <w:r>
              <w:rPr>
                <w:rFonts w:hint="eastAsia" w:ascii="等线" w:hAnsi="等线" w:eastAsia="等线" w:cs="等线"/>
                <w:i w:val="0"/>
                <w:iCs w:val="0"/>
                <w:color w:val="000000"/>
                <w:sz w:val="22"/>
                <w:szCs w:val="22"/>
                <w:u w:val="none"/>
                <w:lang w:val="en-US" w:eastAsia="zh-CN" w:bidi="ar"/>
              </w:rPr>
              <w:br w:type="textWrapping"/>
            </w:r>
            <w:r>
              <w:rPr>
                <w:rFonts w:hint="eastAsia" w:ascii="等线" w:hAnsi="等线" w:eastAsia="等线" w:cs="等线"/>
                <w:i w:val="0"/>
                <w:iCs w:val="0"/>
                <w:color w:val="000000"/>
                <w:sz w:val="22"/>
                <w:szCs w:val="22"/>
                <w:u w:val="none"/>
                <w:lang w:val="en-US" w:eastAsia="zh-CN" w:bidi="ar"/>
              </w:rPr>
              <w:t>▲16、 驾驶室人脸抠图功能：支持驾驶室人脸抠图。</w:t>
            </w:r>
            <w:r>
              <w:rPr>
                <w:rFonts w:hint="eastAsia" w:ascii="等线" w:hAnsi="等线" w:eastAsia="等线" w:cs="等线"/>
                <w:i w:val="0"/>
                <w:iCs w:val="0"/>
                <w:color w:val="000000"/>
                <w:sz w:val="22"/>
                <w:szCs w:val="22"/>
                <w:u w:val="none"/>
                <w:lang w:val="en-US" w:eastAsia="zh-CN" w:bidi="ar"/>
              </w:rPr>
              <w:br w:type="textWrapping"/>
            </w:r>
            <w:r>
              <w:rPr>
                <w:rFonts w:hint="eastAsia" w:ascii="等线" w:hAnsi="等线" w:eastAsia="等线" w:cs="等线"/>
                <w:i w:val="0"/>
                <w:iCs w:val="0"/>
                <w:color w:val="000000"/>
                <w:sz w:val="22"/>
                <w:szCs w:val="22"/>
                <w:u w:val="none"/>
                <w:lang w:val="en-US" w:eastAsia="zh-CN" w:bidi="ar"/>
              </w:rPr>
              <w:t>17 、智能检测：在混合抓拍模式下，人体、非机动车和机动车目标捕获率≥99%；人脸检出率≥99%；人脸比对识别率≥ 99%；人体抓拍准确率≥99%。</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7B8C0">
            <w:pPr>
              <w:keepNext w:val="0"/>
              <w:keepLines w:val="0"/>
              <w:widowControl/>
              <w:suppressLineNumbers w:val="0"/>
              <w:jc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sz w:val="22"/>
                <w:szCs w:val="22"/>
                <w:u w:val="none"/>
                <w:lang w:val="en-US" w:eastAsia="zh-CN" w:bidi="ar"/>
              </w:rPr>
              <w:t>台</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AE5B7">
            <w:pPr>
              <w:keepNext w:val="0"/>
              <w:keepLines w:val="0"/>
              <w:widowControl/>
              <w:suppressLineNumbers w:val="0"/>
              <w:jc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sz w:val="22"/>
                <w:szCs w:val="22"/>
                <w:u w:val="none"/>
                <w:lang w:val="en-US" w:eastAsia="zh-CN" w:bidi="ar"/>
              </w:rPr>
              <w:t>37</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D8AB5">
            <w:pPr>
              <w:keepNext w:val="0"/>
              <w:keepLines w:val="0"/>
              <w:widowControl/>
              <w:suppressLineNumbers w:val="0"/>
              <w:jc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sz w:val="22"/>
                <w:szCs w:val="22"/>
                <w:u w:val="none"/>
                <w:lang w:val="en-US" w:eastAsia="zh-CN" w:bidi="ar"/>
              </w:rPr>
              <w:t xml:space="preserve"> </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B2BF0">
            <w:pPr>
              <w:keepNext w:val="0"/>
              <w:keepLines w:val="0"/>
              <w:widowControl/>
              <w:suppressLineNumbers w:val="0"/>
              <w:jc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sz w:val="22"/>
                <w:szCs w:val="22"/>
                <w:u w:val="none"/>
                <w:lang w:val="en-US" w:eastAsia="zh-CN" w:bidi="ar"/>
              </w:rPr>
              <w:t xml:space="preserve"> </w:t>
            </w:r>
          </w:p>
        </w:tc>
        <w:tc>
          <w:tcPr>
            <w:tcW w:w="612"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493CFC34">
            <w:pPr>
              <w:rPr>
                <w:rFonts w:hint="eastAsia" w:ascii="等线" w:hAnsi="等线" w:eastAsia="等线" w:cs="等线"/>
                <w:i w:val="0"/>
                <w:iCs w:val="0"/>
                <w:color w:val="000000"/>
                <w:sz w:val="22"/>
                <w:szCs w:val="22"/>
                <w:u w:val="none"/>
              </w:rPr>
            </w:pPr>
          </w:p>
        </w:tc>
      </w:tr>
      <w:tr w14:paraId="5D284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5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5702DD7">
            <w:pPr>
              <w:keepNext w:val="0"/>
              <w:keepLines w:val="0"/>
              <w:widowControl/>
              <w:suppressLineNumbers w:val="0"/>
              <w:jc w:val="center"/>
              <w:rPr>
                <w:rFonts w:hint="eastAsia"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563AC">
            <w:pPr>
              <w:keepNext w:val="0"/>
              <w:keepLines w:val="0"/>
              <w:widowControl/>
              <w:suppressLineNumbers w:val="0"/>
              <w:jc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sz w:val="22"/>
                <w:szCs w:val="22"/>
                <w:u w:val="none"/>
              </w:rPr>
              <w:t>全彩枪机</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36DFF4">
            <w:r>
              <w:t>400万像素全彩枪机</w:t>
            </w:r>
            <w:r>
              <w:tab/>
            </w:r>
          </w:p>
          <w:p w14:paraId="2099842B">
            <w:r>
              <w:t>1. 内置GB35114A级加密芯片</w:t>
            </w:r>
          </w:p>
          <w:p w14:paraId="3568FA7D">
            <w:r>
              <w:t>▲2.传感器类型：不小于1/1.8"  CMOS，</w:t>
            </w:r>
          </w:p>
          <w:p w14:paraId="18514AE7">
            <w:r>
              <w:t>▲3. 最大光圈：内置不低于F1.0大光圈全彩镜头</w:t>
            </w:r>
          </w:p>
          <w:p w14:paraId="6AE5AED1">
            <w:r>
              <w:t xml:space="preserve">4. 最低照度：彩色：0.0005 Lux </w:t>
            </w:r>
          </w:p>
          <w:p w14:paraId="624C947B">
            <w:r>
              <w:t xml:space="preserve">5. 宽动态：不小于120dB </w:t>
            </w:r>
          </w:p>
          <w:p w14:paraId="69079DE4">
            <w:r>
              <w:t>6. 焦距≥2.8mm</w:t>
            </w:r>
          </w:p>
          <w:p w14:paraId="4DBEFEA7">
            <w:r>
              <w:t>7. 内置或外置补光灯≥16颗，保证低照度场景下的成像效果和目标识别效果</w:t>
            </w:r>
          </w:p>
          <w:p w14:paraId="41E0BE9A">
            <w:r>
              <w:t>8. 视频压缩标准：H.265/H.264/MJPEG</w:t>
            </w:r>
          </w:p>
          <w:p w14:paraId="28ADC2ED">
            <w:r>
              <w:t xml:space="preserve">9. 最大图像尺寸：不小于2560 × 1440 </w:t>
            </w:r>
          </w:p>
          <w:p w14:paraId="1A17AF49">
            <w:r>
              <w:t>10. 网络：1个RJ45 10 M/100 M自适应以太网口</w:t>
            </w:r>
          </w:p>
          <w:p w14:paraId="1505A70E">
            <w:r>
              <w:t>11. 报警：1路输入，1路输出</w:t>
            </w:r>
          </w:p>
          <w:p w14:paraId="36C994D3">
            <w:r>
              <w:t>12. 音频不小于：1个内置麦克风，1个内置扬声器</w:t>
            </w:r>
          </w:p>
          <w:p w14:paraId="7B19E98E">
            <w:r>
              <w:t xml:space="preserve">13. SD卡扩展：内置Micro SD 插槽，支持不低于512GB </w:t>
            </w:r>
          </w:p>
          <w:p w14:paraId="1CE1846B">
            <w:r>
              <w:t xml:space="preserve">14. 供电方式：DC：12V±不小于20% </w:t>
            </w:r>
          </w:p>
          <w:p w14:paraId="255AF0AA">
            <w:r>
              <w:t>15. PoE：支持</w:t>
            </w:r>
          </w:p>
          <w:p w14:paraId="75866045">
            <w:r>
              <w:t>16. 防护：IP67</w:t>
            </w:r>
          </w:p>
          <w:p w14:paraId="1CC3DB01">
            <w:pPr>
              <w:keepNext w:val="0"/>
              <w:keepLines w:val="0"/>
              <w:widowControl/>
              <w:suppressLineNumbers w:val="0"/>
              <w:jc w:val="left"/>
              <w:rPr>
                <w:rFonts w:hint="eastAsia" w:ascii="等线" w:hAnsi="等线" w:eastAsia="等线" w:cs="等线"/>
                <w:i w:val="0"/>
                <w:iCs w:val="0"/>
                <w:color w:val="000000"/>
                <w:sz w:val="22"/>
                <w:szCs w:val="22"/>
                <w:u w:val="none"/>
              </w:rPr>
            </w:pPr>
            <w:r>
              <w:t>▲17.支持同时对检测区域内出现的人脸、人体、非机动车、车辆及车牌进行检测、框选、筛选抓拍，支持关联显示人脸和人体图片、车牌和车辆图片。</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21E78">
            <w:pPr>
              <w:keepNext w:val="0"/>
              <w:keepLines w:val="0"/>
              <w:widowControl/>
              <w:suppressLineNumbers w:val="0"/>
              <w:jc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sz w:val="22"/>
                <w:szCs w:val="22"/>
                <w:u w:val="none"/>
                <w:lang w:val="en-US" w:eastAsia="zh-CN" w:bidi="ar"/>
              </w:rPr>
              <w:t>台</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3F030">
            <w:pPr>
              <w:keepNext w:val="0"/>
              <w:keepLines w:val="0"/>
              <w:widowControl/>
              <w:suppressLineNumbers w:val="0"/>
              <w:jc w:val="center"/>
              <w:rPr>
                <w:rFonts w:hint="default"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71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B122C">
            <w:pPr>
              <w:keepNext w:val="0"/>
              <w:keepLines w:val="0"/>
              <w:widowControl/>
              <w:suppressLineNumbers w:val="0"/>
              <w:jc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sz w:val="22"/>
                <w:szCs w:val="22"/>
                <w:u w:val="none"/>
                <w:lang w:val="en-US" w:eastAsia="zh-CN" w:bidi="ar"/>
              </w:rPr>
              <w:t xml:space="preserve"> </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04F8F">
            <w:pPr>
              <w:keepNext w:val="0"/>
              <w:keepLines w:val="0"/>
              <w:widowControl/>
              <w:suppressLineNumbers w:val="0"/>
              <w:jc w:val="center"/>
              <w:rPr>
                <w:rFonts w:hint="default" w:ascii="等线" w:hAnsi="等线" w:eastAsia="等线" w:cs="等线"/>
                <w:i w:val="0"/>
                <w:iCs w:val="0"/>
                <w:color w:val="000000"/>
                <w:sz w:val="22"/>
                <w:szCs w:val="22"/>
                <w:u w:val="none"/>
                <w:lang w:val="en-US"/>
              </w:rPr>
            </w:pPr>
          </w:p>
        </w:tc>
        <w:tc>
          <w:tcPr>
            <w:tcW w:w="61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B235AB3">
            <w:pPr>
              <w:rPr>
                <w:rFonts w:hint="eastAsia" w:ascii="等线" w:hAnsi="等线" w:eastAsia="等线" w:cs="等线"/>
                <w:i w:val="0"/>
                <w:iCs w:val="0"/>
                <w:color w:val="000000"/>
                <w:sz w:val="22"/>
                <w:szCs w:val="22"/>
                <w:u w:val="none"/>
              </w:rPr>
            </w:pPr>
          </w:p>
        </w:tc>
      </w:tr>
      <w:tr w14:paraId="55A38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65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1A94C30">
            <w:pPr>
              <w:keepNext w:val="0"/>
              <w:keepLines w:val="0"/>
              <w:widowControl/>
              <w:suppressLineNumbers w:val="0"/>
              <w:jc w:val="center"/>
              <w:rPr>
                <w:rFonts w:hint="eastAsia" w:ascii="等线" w:hAnsi="等线" w:eastAsia="等线" w:cs="等线"/>
                <w:i w:val="0"/>
                <w:iCs w:val="0"/>
                <w:color w:val="000000"/>
                <w:sz w:val="22"/>
                <w:szCs w:val="22"/>
                <w:u w:val="none"/>
                <w:lang w:val="en-US" w:eastAsia="zh-CN" w:bidi="ar-SA"/>
              </w:rPr>
            </w:pPr>
            <w:r>
              <w:rPr>
                <w:rFonts w:hint="eastAsia" w:ascii="等线" w:hAnsi="等线" w:eastAsia="等线" w:cs="等线"/>
                <w:i w:val="0"/>
                <w:iCs w:val="0"/>
                <w:color w:val="000000"/>
                <w:sz w:val="22"/>
                <w:szCs w:val="22"/>
                <w:u w:val="none"/>
                <w:lang w:val="en-US" w:eastAsia="zh-CN"/>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2ADEC">
            <w:pPr>
              <w:keepNext w:val="0"/>
              <w:keepLines w:val="0"/>
              <w:widowControl/>
              <w:suppressLineNumbers w:val="0"/>
              <w:jc w:val="left"/>
              <w:textAlignment w:val="center"/>
              <w:rPr>
                <w:rFonts w:hint="eastAsia" w:ascii="等线" w:hAnsi="等线" w:eastAsia="等线" w:cs="等线"/>
                <w:i w:val="0"/>
                <w:iCs w:val="0"/>
                <w:color w:val="000000"/>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电源线</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B462C1">
            <w:pPr>
              <w:keepNext w:val="0"/>
              <w:keepLines w:val="0"/>
              <w:widowControl/>
              <w:suppressLineNumbers w:val="0"/>
              <w:jc w:val="left"/>
              <w:textAlignment w:val="center"/>
              <w:rPr>
                <w:rFonts w:hint="eastAsia" w:ascii="等线" w:hAnsi="等线" w:eastAsia="等线" w:cs="等线"/>
                <w:i w:val="0"/>
                <w:iCs w:val="0"/>
                <w:color w:val="000000"/>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RVV2*1.0</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E3E6A">
            <w:pPr>
              <w:keepNext w:val="0"/>
              <w:keepLines w:val="0"/>
              <w:widowControl/>
              <w:suppressLineNumbers w:val="0"/>
              <w:jc w:val="center"/>
              <w:textAlignment w:val="center"/>
              <w:rPr>
                <w:rFonts w:hint="eastAsia" w:ascii="等线" w:hAnsi="等线" w:eastAsia="等线" w:cs="等线"/>
                <w:i w:val="0"/>
                <w:iCs w:val="0"/>
                <w:color w:val="000000"/>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项</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FBD3D">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eastAsia="zh-CN" w:bidi="ar-SA"/>
              </w:rPr>
            </w:pPr>
            <w:r>
              <w:rPr>
                <w:rFonts w:hint="eastAsia" w:ascii="等线" w:hAnsi="等线" w:eastAsia="等线" w:cs="等线"/>
                <w:i w:val="0"/>
                <w:iCs w:val="0"/>
                <w:color w:val="000000"/>
                <w:sz w:val="22"/>
                <w:szCs w:val="22"/>
                <w:u w:val="none"/>
                <w:lang w:val="en-US" w:eastAsia="zh-CN" w:bidi="ar-SA"/>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224CB">
            <w:pPr>
              <w:keepNext w:val="0"/>
              <w:keepLines w:val="0"/>
              <w:widowControl/>
              <w:suppressLineNumbers w:val="0"/>
              <w:jc w:val="center"/>
              <w:rPr>
                <w:rFonts w:hint="eastAsia" w:ascii="等线" w:hAnsi="等线" w:eastAsia="等线" w:cs="等线"/>
                <w:i w:val="0"/>
                <w:iCs w:val="0"/>
                <w:color w:val="000000"/>
                <w:sz w:val="22"/>
                <w:szCs w:val="22"/>
                <w:u w:val="none"/>
                <w:lang w:val="en-US" w:eastAsia="zh-CN" w:bidi="ar"/>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14ACA">
            <w:pPr>
              <w:keepNext w:val="0"/>
              <w:keepLines w:val="0"/>
              <w:widowControl/>
              <w:suppressLineNumbers w:val="0"/>
              <w:jc w:val="center"/>
              <w:rPr>
                <w:rFonts w:hint="default" w:ascii="等线" w:hAnsi="等线" w:eastAsia="等线" w:cs="等线"/>
                <w:i w:val="0"/>
                <w:iCs w:val="0"/>
                <w:color w:val="000000"/>
                <w:sz w:val="22"/>
                <w:szCs w:val="22"/>
                <w:u w:val="none"/>
                <w:lang w:val="en-US"/>
              </w:rPr>
            </w:pPr>
          </w:p>
        </w:tc>
        <w:tc>
          <w:tcPr>
            <w:tcW w:w="61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E0572D7">
            <w:pPr>
              <w:rPr>
                <w:rFonts w:hint="eastAsia" w:ascii="等线" w:hAnsi="等线" w:eastAsia="等线" w:cs="等线"/>
                <w:i w:val="0"/>
                <w:iCs w:val="0"/>
                <w:color w:val="000000"/>
                <w:sz w:val="22"/>
                <w:szCs w:val="22"/>
                <w:u w:val="none"/>
              </w:rPr>
            </w:pPr>
          </w:p>
        </w:tc>
      </w:tr>
      <w:tr w14:paraId="311BB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5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82B1287">
            <w:pPr>
              <w:keepNext w:val="0"/>
              <w:keepLines w:val="0"/>
              <w:widowControl/>
              <w:suppressLineNumbers w:val="0"/>
              <w:jc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sz w:val="22"/>
                <w:szCs w:val="22"/>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1CCC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取电线</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745C3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RVV3*2.5</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5FD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352B5">
            <w:pPr>
              <w:keepNext w:val="0"/>
              <w:keepLines w:val="0"/>
              <w:widowControl/>
              <w:suppressLineNumbers w:val="0"/>
              <w:jc w:val="center"/>
              <w:textAlignment w:val="center"/>
              <w:rPr>
                <w:rFonts w:hint="eastAsia"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9A684">
            <w:pPr>
              <w:keepNext w:val="0"/>
              <w:keepLines w:val="0"/>
              <w:widowControl/>
              <w:suppressLineNumbers w:val="0"/>
              <w:jc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sz w:val="22"/>
                <w:szCs w:val="22"/>
                <w:u w:val="none"/>
                <w:lang w:val="en-US" w:eastAsia="zh-CN" w:bidi="ar"/>
              </w:rPr>
              <w:t xml:space="preserve"> </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9F614">
            <w:pPr>
              <w:keepNext w:val="0"/>
              <w:keepLines w:val="0"/>
              <w:widowControl/>
              <w:suppressLineNumbers w:val="0"/>
              <w:jc w:val="center"/>
              <w:rPr>
                <w:rFonts w:hint="default" w:ascii="等线" w:hAnsi="等线" w:eastAsia="等线" w:cs="等线"/>
                <w:i w:val="0"/>
                <w:iCs w:val="0"/>
                <w:color w:val="000000"/>
                <w:sz w:val="22"/>
                <w:szCs w:val="22"/>
                <w:u w:val="none"/>
                <w:lang w:val="en-US"/>
              </w:rPr>
            </w:pPr>
          </w:p>
        </w:tc>
        <w:tc>
          <w:tcPr>
            <w:tcW w:w="61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B074B9D">
            <w:pPr>
              <w:rPr>
                <w:rFonts w:hint="eastAsia" w:ascii="等线" w:hAnsi="等线" w:eastAsia="等线" w:cs="等线"/>
                <w:i w:val="0"/>
                <w:iCs w:val="0"/>
                <w:color w:val="000000"/>
                <w:sz w:val="22"/>
                <w:szCs w:val="22"/>
                <w:u w:val="none"/>
              </w:rPr>
            </w:pPr>
          </w:p>
        </w:tc>
      </w:tr>
      <w:tr w14:paraId="3A94E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5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A9D5AF8">
            <w:pPr>
              <w:keepNext w:val="0"/>
              <w:keepLines w:val="0"/>
              <w:widowControl/>
              <w:suppressLineNumbers w:val="0"/>
              <w:jc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sz w:val="22"/>
                <w:szCs w:val="22"/>
                <w:u w:val="none"/>
                <w:lang w:val="en-US" w:eastAsia="zh-CN" w:bidi="ar"/>
              </w:rPr>
              <w:t>6</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AA355">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网线</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67215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超五类</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E8F7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38FA4">
            <w:pPr>
              <w:keepNext w:val="0"/>
              <w:keepLines w:val="0"/>
              <w:widowControl/>
              <w:suppressLineNumbers w:val="0"/>
              <w:jc w:val="center"/>
              <w:textAlignment w:val="center"/>
              <w:rPr>
                <w:rFonts w:hint="eastAsia"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314C2">
            <w:pPr>
              <w:keepNext w:val="0"/>
              <w:keepLines w:val="0"/>
              <w:widowControl/>
              <w:suppressLineNumbers w:val="0"/>
              <w:jc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sz w:val="22"/>
                <w:szCs w:val="22"/>
                <w:u w:val="none"/>
                <w:lang w:val="en-US" w:eastAsia="zh-CN" w:bidi="ar"/>
              </w:rPr>
              <w:t xml:space="preserve"> </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1BCAA">
            <w:pPr>
              <w:keepNext w:val="0"/>
              <w:keepLines w:val="0"/>
              <w:widowControl/>
              <w:suppressLineNumbers w:val="0"/>
              <w:jc w:val="center"/>
              <w:rPr>
                <w:rFonts w:hint="default" w:ascii="等线" w:hAnsi="等线" w:eastAsia="等线" w:cs="等线"/>
                <w:i w:val="0"/>
                <w:iCs w:val="0"/>
                <w:color w:val="000000"/>
                <w:sz w:val="22"/>
                <w:szCs w:val="22"/>
                <w:u w:val="none"/>
                <w:lang w:val="en-US"/>
              </w:rPr>
            </w:pPr>
          </w:p>
        </w:tc>
        <w:tc>
          <w:tcPr>
            <w:tcW w:w="61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CBC9901">
            <w:pPr>
              <w:rPr>
                <w:rFonts w:hint="eastAsia" w:ascii="等线" w:hAnsi="等线" w:eastAsia="等线" w:cs="等线"/>
                <w:i w:val="0"/>
                <w:iCs w:val="0"/>
                <w:color w:val="000000"/>
                <w:sz w:val="22"/>
                <w:szCs w:val="22"/>
                <w:u w:val="none"/>
              </w:rPr>
            </w:pPr>
          </w:p>
        </w:tc>
      </w:tr>
      <w:tr w14:paraId="31830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5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456809E">
            <w:pPr>
              <w:keepNext w:val="0"/>
              <w:keepLines w:val="0"/>
              <w:widowControl/>
              <w:suppressLineNumbers w:val="0"/>
              <w:jc w:val="center"/>
              <w:rPr>
                <w:rFonts w:hint="default" w:ascii="等线" w:hAnsi="等线" w:eastAsia="等线" w:cs="等线"/>
                <w:i w:val="0"/>
                <w:iCs w:val="0"/>
                <w:color w:val="000000"/>
                <w:sz w:val="22"/>
                <w:szCs w:val="22"/>
                <w:u w:val="none"/>
                <w:lang w:val="en-US" w:eastAsia="zh-CN" w:bidi="ar"/>
              </w:rPr>
            </w:pPr>
            <w:r>
              <w:rPr>
                <w:rFonts w:hint="eastAsia" w:ascii="等线" w:hAnsi="等线" w:eastAsia="等线" w:cs="等线"/>
                <w:i w:val="0"/>
                <w:iCs w:val="0"/>
                <w:color w:val="000000"/>
                <w:sz w:val="22"/>
                <w:szCs w:val="22"/>
                <w:u w:val="none"/>
                <w:lang w:val="en-US" w:eastAsia="zh-CN" w:bidi="ar"/>
              </w:rPr>
              <w:t>7</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EF1E1">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视频监控机箱（定制）</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1C8D68">
            <w:pPr>
              <w:jc w:val="left"/>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sz w:val="22"/>
                <w:szCs w:val="22"/>
                <w:u w:val="none"/>
                <w:lang w:val="en-US" w:eastAsia="zh-CN" w:bidi="ar"/>
              </w:rPr>
              <w:t>箱体材质为Q235A，壁厚不小于1.2MM，内外表面为热镀锌处理后喷塑，喷塑颜色为白色，卡口监控机箱尺寸不小于长400MM、宽300MM、高500MM（具体尺寸以深化设计为准），社会面监控机箱尺寸由供应商自行根据现场勘查情况进行设计。焊接标准符合 GB/T12469，焊缝符合 GB/T11345-1989 钢质焊接标准；符合 GBJ17-88 钢结构设计规范。其他要求详见2、基础配套设施要求。</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94DF">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套</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B7964">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182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04013">
            <w:pPr>
              <w:keepNext w:val="0"/>
              <w:keepLines w:val="0"/>
              <w:widowControl/>
              <w:suppressLineNumbers w:val="0"/>
              <w:jc w:val="center"/>
              <w:rPr>
                <w:rFonts w:hint="eastAsia" w:ascii="等线" w:hAnsi="等线" w:eastAsia="等线" w:cs="等线"/>
                <w:i w:val="0"/>
                <w:iCs w:val="0"/>
                <w:color w:val="000000"/>
                <w:sz w:val="22"/>
                <w:szCs w:val="22"/>
                <w:u w:val="none"/>
                <w:lang w:val="en-US" w:eastAsia="zh-CN" w:bidi="ar"/>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E061F">
            <w:pPr>
              <w:keepNext w:val="0"/>
              <w:keepLines w:val="0"/>
              <w:widowControl/>
              <w:suppressLineNumbers w:val="0"/>
              <w:jc w:val="center"/>
              <w:rPr>
                <w:rFonts w:hint="default" w:ascii="等线" w:hAnsi="等线" w:eastAsia="等线" w:cs="等线"/>
                <w:i w:val="0"/>
                <w:iCs w:val="0"/>
                <w:color w:val="000000"/>
                <w:sz w:val="22"/>
                <w:szCs w:val="22"/>
                <w:u w:val="none"/>
                <w:lang w:val="en-US"/>
              </w:rPr>
            </w:pPr>
          </w:p>
        </w:tc>
        <w:tc>
          <w:tcPr>
            <w:tcW w:w="61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08B0AC9">
            <w:pPr>
              <w:rPr>
                <w:rFonts w:hint="eastAsia" w:ascii="等线" w:hAnsi="等线" w:eastAsia="等线" w:cs="等线"/>
                <w:i w:val="0"/>
                <w:iCs w:val="0"/>
                <w:color w:val="000000"/>
                <w:sz w:val="22"/>
                <w:szCs w:val="22"/>
                <w:u w:val="none"/>
              </w:rPr>
            </w:pPr>
          </w:p>
        </w:tc>
      </w:tr>
      <w:tr w14:paraId="63DC9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5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BC9845D">
            <w:pPr>
              <w:keepNext w:val="0"/>
              <w:keepLines w:val="0"/>
              <w:widowControl/>
              <w:suppressLineNumbers w:val="0"/>
              <w:jc w:val="center"/>
              <w:rPr>
                <w:rFonts w:hint="default" w:ascii="等线" w:hAnsi="等线" w:eastAsia="等线" w:cs="等线"/>
                <w:i w:val="0"/>
                <w:iCs w:val="0"/>
                <w:color w:val="000000"/>
                <w:sz w:val="22"/>
                <w:szCs w:val="22"/>
                <w:u w:val="none"/>
                <w:lang w:val="en-US" w:eastAsia="zh-CN" w:bidi="ar"/>
              </w:rPr>
            </w:pPr>
            <w:r>
              <w:rPr>
                <w:rFonts w:hint="eastAsia" w:ascii="等线" w:hAnsi="等线" w:eastAsia="等线" w:cs="等线"/>
                <w:i w:val="0"/>
                <w:iCs w:val="0"/>
                <w:color w:val="000000"/>
                <w:sz w:val="22"/>
                <w:szCs w:val="22"/>
                <w:u w:val="none"/>
                <w:lang w:val="en-US" w:eastAsia="zh-CN" w:bidi="ar"/>
              </w:rPr>
              <w:t>8</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7E485">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3.5米杆件</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E3FE2">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横臂根据道路宽度定制，高度不低于3.5米，包含施工。</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0A87D">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套</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32B9C">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182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39170">
            <w:pPr>
              <w:keepNext w:val="0"/>
              <w:keepLines w:val="0"/>
              <w:widowControl/>
              <w:suppressLineNumbers w:val="0"/>
              <w:jc w:val="center"/>
              <w:rPr>
                <w:rFonts w:hint="eastAsia" w:ascii="等线" w:hAnsi="等线" w:eastAsia="等线" w:cs="等线"/>
                <w:i w:val="0"/>
                <w:iCs w:val="0"/>
                <w:color w:val="000000"/>
                <w:sz w:val="22"/>
                <w:szCs w:val="22"/>
                <w:u w:val="none"/>
                <w:lang w:val="en-US" w:eastAsia="zh-CN" w:bidi="ar"/>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64EE6">
            <w:pPr>
              <w:keepNext w:val="0"/>
              <w:keepLines w:val="0"/>
              <w:widowControl/>
              <w:suppressLineNumbers w:val="0"/>
              <w:jc w:val="center"/>
              <w:rPr>
                <w:rFonts w:hint="default" w:ascii="等线" w:hAnsi="等线" w:eastAsia="等线" w:cs="等线"/>
                <w:i w:val="0"/>
                <w:iCs w:val="0"/>
                <w:color w:val="000000"/>
                <w:sz w:val="22"/>
                <w:szCs w:val="22"/>
                <w:u w:val="none"/>
                <w:lang w:val="en-US"/>
              </w:rPr>
            </w:pPr>
          </w:p>
        </w:tc>
        <w:tc>
          <w:tcPr>
            <w:tcW w:w="61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3D4764B">
            <w:pPr>
              <w:rPr>
                <w:rFonts w:hint="eastAsia" w:ascii="等线" w:hAnsi="等线" w:eastAsia="等线" w:cs="等线"/>
                <w:i w:val="0"/>
                <w:iCs w:val="0"/>
                <w:color w:val="000000"/>
                <w:sz w:val="22"/>
                <w:szCs w:val="22"/>
                <w:u w:val="none"/>
              </w:rPr>
            </w:pPr>
          </w:p>
        </w:tc>
      </w:tr>
      <w:tr w14:paraId="73729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84DC2F1">
            <w:pPr>
              <w:jc w:val="center"/>
              <w:rPr>
                <w:rFonts w:hint="eastAsia" w:ascii="等线" w:hAnsi="等线" w:eastAsia="等线" w:cs="等线"/>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DC350">
            <w:pPr>
              <w:keepNext w:val="0"/>
              <w:keepLines w:val="0"/>
              <w:widowControl/>
              <w:suppressLineNumbers w:val="0"/>
              <w:jc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sz w:val="22"/>
                <w:szCs w:val="22"/>
                <w:u w:val="none"/>
                <w:lang w:val="en-US" w:eastAsia="zh-CN" w:bidi="ar"/>
              </w:rPr>
              <w:t>小计</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697C96">
            <w:pPr>
              <w:jc w:val="left"/>
              <w:rPr>
                <w:rFonts w:hint="eastAsia" w:ascii="等线" w:hAnsi="等线" w:eastAsia="等线" w:cs="等线"/>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470FC">
            <w:pPr>
              <w:jc w:val="center"/>
              <w:rPr>
                <w:rFonts w:hint="eastAsia" w:ascii="等线" w:hAnsi="等线" w:eastAsia="等线" w:cs="等线"/>
                <w:i w:val="0"/>
                <w:iCs w:val="0"/>
                <w:color w:val="000000"/>
                <w:sz w:val="22"/>
                <w:szCs w:val="22"/>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D66FC">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D18EC">
            <w:pPr>
              <w:jc w:val="center"/>
              <w:rPr>
                <w:rFonts w:hint="eastAsia" w:ascii="等线" w:hAnsi="等线" w:eastAsia="等线" w:cs="等线"/>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0417D">
            <w:pPr>
              <w:keepNext w:val="0"/>
              <w:keepLines w:val="0"/>
              <w:widowControl/>
              <w:suppressLineNumbers w:val="0"/>
              <w:jc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sz w:val="22"/>
                <w:szCs w:val="22"/>
                <w:u w:val="none"/>
                <w:lang w:val="en-US" w:eastAsia="zh-CN" w:bidi="ar"/>
              </w:rPr>
              <w:t xml:space="preserve"> </w:t>
            </w:r>
          </w:p>
        </w:tc>
        <w:tc>
          <w:tcPr>
            <w:tcW w:w="61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7CAE511">
            <w:pPr>
              <w:jc w:val="left"/>
              <w:rPr>
                <w:rFonts w:hint="eastAsia" w:ascii="等线" w:hAnsi="等线" w:eastAsia="等线" w:cs="等线"/>
                <w:i w:val="0"/>
                <w:iCs w:val="0"/>
                <w:color w:val="000000"/>
                <w:sz w:val="22"/>
                <w:szCs w:val="22"/>
                <w:u w:val="none"/>
              </w:rPr>
            </w:pPr>
          </w:p>
        </w:tc>
      </w:tr>
      <w:tr w14:paraId="48E34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5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A36B3E6">
            <w:pPr>
              <w:keepNext w:val="0"/>
              <w:keepLines w:val="0"/>
              <w:widowControl/>
              <w:suppressLineNumbers w:val="0"/>
              <w:jc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sz w:val="22"/>
                <w:szCs w:val="22"/>
                <w:u w:val="none"/>
                <w:lang w:val="en-US" w:eastAsia="zh-CN" w:bidi="ar"/>
              </w:rPr>
              <w:t>二、</w:t>
            </w:r>
          </w:p>
        </w:tc>
        <w:tc>
          <w:tcPr>
            <w:tcW w:w="895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1476A">
            <w:pPr>
              <w:keepNext w:val="0"/>
              <w:keepLines w:val="0"/>
              <w:widowControl/>
              <w:suppressLineNumbers w:val="0"/>
              <w:jc w:val="left"/>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sz w:val="22"/>
                <w:szCs w:val="22"/>
                <w:u w:val="none"/>
                <w:lang w:val="en-US" w:eastAsia="zh-CN" w:bidi="ar"/>
              </w:rPr>
              <w:t>后端设备</w:t>
            </w:r>
          </w:p>
        </w:tc>
      </w:tr>
      <w:tr w14:paraId="71F0A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5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E2879A4">
            <w:pPr>
              <w:keepNext w:val="0"/>
              <w:keepLines w:val="0"/>
              <w:widowControl/>
              <w:suppressLineNumbers w:val="0"/>
              <w:jc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sz w:val="22"/>
                <w:szCs w:val="22"/>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0DA5F">
            <w:pPr>
              <w:keepNext w:val="0"/>
              <w:keepLines w:val="0"/>
              <w:widowControl/>
              <w:suppressLineNumbers w:val="0"/>
              <w:jc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sz w:val="22"/>
                <w:szCs w:val="22"/>
                <w:u w:val="none"/>
                <w:lang w:val="en-US" w:eastAsia="zh-CN" w:bidi="ar"/>
              </w:rPr>
              <w:t>云存储服务器</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28D82">
            <w:pPr>
              <w:pStyle w:val="37"/>
              <w:numPr>
                <w:ilvl w:val="0"/>
                <w:numId w:val="0"/>
              </w:numPr>
              <w:ind w:left="0" w:firstLine="0"/>
            </w:pPr>
            <w:r>
              <w:rPr>
                <w:rFonts w:hint="eastAsia" w:ascii="宋体" w:hAnsi="宋体" w:eastAsia="宋体" w:cs="宋体"/>
                <w:i w:val="0"/>
                <w:iCs w:val="0"/>
                <w:color w:val="auto"/>
                <w:sz w:val="24"/>
                <w:szCs w:val="24"/>
                <w:highlight w:val="none"/>
                <w:u w:val="none"/>
                <w:lang w:val="en-US" w:eastAsia="zh-CN" w:bidi="ar"/>
              </w:rPr>
              <w:t>1、48盘位,单盘位支持4t、8t、10t、12t、16t、20t、30t硬盘；</w:t>
            </w:r>
          </w:p>
          <w:p w14:paraId="70F8E7DA">
            <w:pPr>
              <w:pStyle w:val="37"/>
              <w:numPr>
                <w:ilvl w:val="0"/>
                <w:numId w:val="0"/>
              </w:numPr>
              <w:ind w:left="0" w:firstLine="0"/>
            </w:pPr>
            <w:r>
              <w:rPr>
                <w:rFonts w:hint="eastAsia" w:ascii="宋体" w:hAnsi="宋体" w:eastAsia="宋体" w:cs="宋体"/>
                <w:i w:val="0"/>
                <w:iCs w:val="0"/>
                <w:color w:val="auto"/>
                <w:sz w:val="24"/>
                <w:szCs w:val="24"/>
                <w:highlight w:val="none"/>
                <w:u w:val="none"/>
                <w:lang w:val="en-US" w:eastAsia="zh-CN" w:bidi="ar"/>
              </w:rPr>
              <w:t>2、视频云存储扩容设备，需无缝接入沭阳公安视频网现有主要云存储系统，实现设备统一管理运维、存储资源统一调度、存储计划统一下发；</w:t>
            </w:r>
          </w:p>
          <w:p w14:paraId="074B6B19">
            <w:pPr>
              <w:pStyle w:val="37"/>
              <w:numPr>
                <w:ilvl w:val="0"/>
                <w:numId w:val="0"/>
              </w:numPr>
              <w:ind w:left="0" w:firstLine="0"/>
            </w:pPr>
            <w:r>
              <w:rPr>
                <w:rFonts w:hint="eastAsia" w:ascii="宋体" w:hAnsi="宋体" w:eastAsia="宋体" w:cs="宋体"/>
                <w:i w:val="0"/>
                <w:iCs w:val="0"/>
                <w:color w:val="auto"/>
                <w:sz w:val="24"/>
                <w:szCs w:val="24"/>
                <w:highlight w:val="none"/>
                <w:u w:val="none"/>
                <w:lang w:val="en-US" w:eastAsia="zh-CN" w:bidi="ar"/>
              </w:rPr>
              <w:t>3、设备配置：≥2颗64位多核处理器，≥64GB内存，内存支持扩展到≥256GB；支持热插拔1+1AC220V；</w:t>
            </w:r>
          </w:p>
          <w:p w14:paraId="6261EE4B">
            <w:pPr>
              <w:pStyle w:val="37"/>
              <w:numPr>
                <w:ilvl w:val="0"/>
                <w:numId w:val="0"/>
              </w:numPr>
              <w:ind w:left="0" w:firstLine="0"/>
            </w:pPr>
            <w:r>
              <w:rPr>
                <w:rFonts w:hint="eastAsia" w:ascii="宋体" w:hAnsi="宋体" w:eastAsia="宋体" w:cs="宋体"/>
                <w:i w:val="0"/>
                <w:iCs w:val="0"/>
                <w:color w:val="auto"/>
                <w:sz w:val="24"/>
                <w:szCs w:val="24"/>
                <w:highlight w:val="none"/>
                <w:u w:val="none"/>
                <w:lang w:val="en-US" w:eastAsia="zh-CN" w:bidi="ar"/>
              </w:rPr>
              <w:t>4、标配：≥2个千兆数据网口，2个万兆光口，1个千兆管理口；</w:t>
            </w:r>
          </w:p>
          <w:p w14:paraId="6D5CC222">
            <w:pPr>
              <w:pStyle w:val="37"/>
              <w:numPr>
                <w:ilvl w:val="0"/>
                <w:numId w:val="0"/>
              </w:numPr>
              <w:ind w:left="0" w:firstLine="0"/>
            </w:pPr>
            <w:r>
              <w:rPr>
                <w:rFonts w:hint="eastAsia" w:ascii="宋体" w:hAnsi="宋体" w:eastAsia="宋体" w:cs="宋体"/>
                <w:i w:val="0"/>
                <w:iCs w:val="0"/>
                <w:color w:val="auto"/>
                <w:sz w:val="24"/>
                <w:szCs w:val="24"/>
                <w:highlight w:val="none"/>
                <w:u w:val="none"/>
                <w:lang w:val="en-US" w:eastAsia="zh-CN" w:bidi="ar"/>
              </w:rPr>
              <w:t>5、不少于48个硬盘热插拔插槽；</w:t>
            </w:r>
          </w:p>
          <w:p w14:paraId="3212FEF3">
            <w:pPr>
              <w:pStyle w:val="37"/>
              <w:numPr>
                <w:ilvl w:val="0"/>
                <w:numId w:val="0"/>
              </w:numPr>
              <w:ind w:left="0" w:firstLine="0"/>
            </w:pPr>
            <w:r>
              <w:rPr>
                <w:rFonts w:hint="eastAsia" w:ascii="宋体" w:hAnsi="宋体" w:eastAsia="宋体" w:cs="宋体"/>
                <w:i w:val="0"/>
                <w:iCs w:val="0"/>
                <w:color w:val="auto"/>
                <w:sz w:val="24"/>
                <w:szCs w:val="24"/>
                <w:highlight w:val="none"/>
                <w:u w:val="none"/>
                <w:lang w:val="en-US" w:eastAsia="zh-CN" w:bidi="ar"/>
              </w:rPr>
              <w:t>▲6、存储资源统一池化管理：供应商提供的存储节点应支持以资源池的方式统一管理采购人现有使用的视频网主要存储节点和存储容量，并支持新建、编辑资源池、配置资源池的冗余、设置资源池数据容量、覆盖方式等；</w:t>
            </w:r>
            <w:r>
              <w:rPr>
                <w:rStyle w:val="512"/>
                <w:rFonts w:hint="eastAsia"/>
                <w:color w:val="auto"/>
                <w:highlight w:val="none"/>
                <w:lang w:val="en-US" w:eastAsia="zh-CN" w:bidi="ar"/>
              </w:rPr>
              <w:t>（提供承诺函，格式自拟）</w:t>
            </w:r>
          </w:p>
          <w:p w14:paraId="3A3BF7A7">
            <w:pPr>
              <w:pStyle w:val="37"/>
              <w:numPr>
                <w:ilvl w:val="0"/>
                <w:numId w:val="0"/>
              </w:numPr>
              <w:ind w:left="0" w:firstLine="0"/>
            </w:pPr>
            <w:r>
              <w:rPr>
                <w:rFonts w:hint="eastAsia" w:ascii="宋体" w:hAnsi="宋体" w:eastAsia="宋体" w:cs="宋体"/>
                <w:i w:val="0"/>
                <w:iCs w:val="0"/>
                <w:color w:val="auto"/>
                <w:sz w:val="24"/>
                <w:szCs w:val="24"/>
                <w:highlight w:val="none"/>
                <w:u w:val="none"/>
                <w:lang w:val="en-US" w:eastAsia="zh-CN" w:bidi="ar"/>
              </w:rPr>
              <w:t>▲7、存储节点自动负载均衡：可以根据存储节点的业务运行负载情况，自动将正在运行的业务负载均衡的分配到存储集群其他节点。存储节点发生故障时，支持自动将故障节点上的录像存储计划调整到存储集群内其他正常节点进行管理；故障节点恢复后，所有业务可自动均衡的分配到平台内所有存储节点；</w:t>
            </w:r>
            <w:r>
              <w:rPr>
                <w:rStyle w:val="512"/>
                <w:rFonts w:hint="eastAsia"/>
                <w:color w:val="auto"/>
                <w:highlight w:val="none"/>
                <w:lang w:val="en-US" w:eastAsia="zh-CN" w:bidi="ar"/>
              </w:rPr>
              <w:t>（提供承诺函，格式自拟）</w:t>
            </w:r>
          </w:p>
          <w:p w14:paraId="7F0F78F6">
            <w:pPr>
              <w:pStyle w:val="37"/>
              <w:numPr>
                <w:ilvl w:val="0"/>
                <w:numId w:val="0"/>
              </w:numPr>
              <w:ind w:left="0" w:firstLine="0"/>
            </w:pPr>
            <w:r>
              <w:rPr>
                <w:rFonts w:hint="eastAsia" w:ascii="宋体" w:hAnsi="宋体" w:eastAsia="宋体" w:cs="宋体"/>
                <w:i w:val="0"/>
                <w:iCs w:val="0"/>
                <w:color w:val="auto"/>
                <w:sz w:val="24"/>
                <w:szCs w:val="24"/>
                <w:highlight w:val="none"/>
                <w:u w:val="none"/>
                <w:lang w:val="en-US" w:eastAsia="zh-CN" w:bidi="ar"/>
              </w:rPr>
              <w:t>8、系统以流直存模式进行录像、图片数据存储。系统中的实时视频流、抓拍图片无需经过任何转发服务器/虚拟机即可实现数据流直存；</w:t>
            </w:r>
          </w:p>
          <w:p w14:paraId="01F16135">
            <w:pPr>
              <w:pStyle w:val="37"/>
              <w:numPr>
                <w:ilvl w:val="0"/>
                <w:numId w:val="0"/>
              </w:numPr>
              <w:ind w:left="0" w:firstLine="0"/>
            </w:pPr>
            <w:r>
              <w:rPr>
                <w:rFonts w:hint="eastAsia" w:ascii="宋体" w:hAnsi="宋体" w:eastAsia="宋体" w:cs="宋体"/>
                <w:i w:val="0"/>
                <w:iCs w:val="0"/>
                <w:color w:val="auto"/>
                <w:sz w:val="24"/>
                <w:szCs w:val="24"/>
                <w:highlight w:val="none"/>
                <w:u w:val="none"/>
                <w:lang w:val="en-US" w:eastAsia="zh-CN" w:bidi="ar"/>
              </w:rPr>
              <w:t>9、支持GB/T 28181、RTSP等标准协议；</w:t>
            </w:r>
          </w:p>
          <w:p w14:paraId="1BCC52FC">
            <w:pPr>
              <w:pStyle w:val="37"/>
              <w:numPr>
                <w:ilvl w:val="0"/>
                <w:numId w:val="0"/>
              </w:numPr>
              <w:ind w:left="0" w:firstLine="0"/>
            </w:pPr>
            <w:r>
              <w:rPr>
                <w:rFonts w:hint="eastAsia" w:ascii="宋体" w:hAnsi="宋体" w:eastAsia="宋体" w:cs="宋体"/>
                <w:i w:val="0"/>
                <w:iCs w:val="0"/>
                <w:color w:val="auto"/>
                <w:sz w:val="24"/>
                <w:szCs w:val="24"/>
                <w:highlight w:val="none"/>
                <w:u w:val="none"/>
                <w:lang w:val="en-US" w:eastAsia="zh-CN" w:bidi="ar"/>
              </w:rPr>
              <w:t>10、视频性能：最大接入路数不小于1200路2Mbps；</w:t>
            </w:r>
          </w:p>
          <w:p w14:paraId="0A2C8FA6">
            <w:pPr>
              <w:pStyle w:val="37"/>
              <w:numPr>
                <w:ilvl w:val="0"/>
                <w:numId w:val="0"/>
              </w:numPr>
              <w:ind w:left="0" w:firstLine="0"/>
            </w:pPr>
            <w:r>
              <w:rPr>
                <w:rFonts w:hint="eastAsia" w:ascii="宋体" w:hAnsi="宋体" w:eastAsia="宋体" w:cs="宋体"/>
                <w:i w:val="0"/>
                <w:iCs w:val="0"/>
                <w:color w:val="auto"/>
                <w:sz w:val="24"/>
                <w:szCs w:val="24"/>
                <w:highlight w:val="none"/>
                <w:u w:val="none"/>
                <w:lang w:val="en-US" w:eastAsia="zh-CN" w:bidi="ar"/>
              </w:rPr>
              <w:t>本次招标采购的云存储系统（含云存储扩容节点、硬盘）须全部接入沭阳县公安局现有视频综合平台，实现与采购人现有的云存储无缝接入。所有接入改造费用由中标方承担。（采购人不承担后期任何云存储配套及授权等相关费用，投标人应自行考虑报价。）</w:t>
            </w:r>
          </w:p>
          <w:p w14:paraId="78E59BAA">
            <w:pPr>
              <w:keepNext w:val="0"/>
              <w:keepLines w:val="0"/>
              <w:widowControl/>
              <w:suppressLineNumbers w:val="0"/>
              <w:jc w:val="left"/>
              <w:rPr>
                <w:rFonts w:hint="eastAsia" w:ascii="等线" w:hAnsi="等线" w:eastAsia="等线" w:cs="等线"/>
                <w:i w:val="0"/>
                <w:iCs w:val="0"/>
                <w:color w:val="000000"/>
                <w:sz w:val="22"/>
                <w:szCs w:val="22"/>
                <w:u w:val="none"/>
                <w:lang w:val="en-US" w:eastAsia="zh-CN" w:bidi="ar"/>
              </w:rPr>
            </w:pPr>
            <w:r>
              <w:rPr>
                <w:rFonts w:hint="eastAsia" w:ascii="宋体" w:hAnsi="宋体" w:eastAsia="宋体" w:cs="宋体"/>
                <w:i w:val="0"/>
                <w:iCs w:val="0"/>
                <w:color w:val="auto"/>
                <w:sz w:val="24"/>
                <w:szCs w:val="24"/>
                <w:highlight w:val="none"/>
                <w:u w:val="none"/>
                <w:lang w:val="en-US" w:eastAsia="zh-CN" w:bidi="ar"/>
              </w:rPr>
              <w:t>11、结合目前视频存储系统技术发展的主要方向，本次视频存储系统的建设需要达成以下目标：采用目前技术领先的视频云存储方式，新建视频云存储系统，有效解决海量高清视频图像数据的存储和管理需求，实现分布式存储，虚拟化集中管理；为充分利旧，将原有的视频存储系统改造融入视频云存储系统，实现全县范围内可利用视频资源的统一存储、统一管理、统一调阅，避免重复投资；视频云存储系统提供高速数据接口，为应用平台提供视频数据高效检索、快速调取等服务功能，为公安业务应用提供有力支撑；视频云存储系统提供标准的运维接口，维护便捷，实现高效实用的管理及使用机制。</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E49B8">
            <w:pPr>
              <w:keepNext w:val="0"/>
              <w:keepLines w:val="0"/>
              <w:widowControl/>
              <w:suppressLineNumbers w:val="0"/>
              <w:jc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sz w:val="22"/>
                <w:szCs w:val="22"/>
                <w:u w:val="none"/>
                <w:lang w:val="en-US" w:eastAsia="zh-CN" w:bidi="ar"/>
              </w:rPr>
              <w:t>台</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4AC38">
            <w:pPr>
              <w:keepNext w:val="0"/>
              <w:keepLines w:val="0"/>
              <w:widowControl/>
              <w:suppressLineNumbers w:val="0"/>
              <w:jc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4C780">
            <w:pPr>
              <w:keepNext w:val="0"/>
              <w:keepLines w:val="0"/>
              <w:widowControl/>
              <w:suppressLineNumbers w:val="0"/>
              <w:jc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sz w:val="22"/>
                <w:szCs w:val="22"/>
                <w:u w:val="none"/>
                <w:lang w:val="en-US" w:eastAsia="zh-CN" w:bidi="ar"/>
              </w:rPr>
              <w:t xml:space="preserve"> </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0F2FF">
            <w:pPr>
              <w:keepNext w:val="0"/>
              <w:keepLines w:val="0"/>
              <w:widowControl/>
              <w:suppressLineNumbers w:val="0"/>
              <w:jc w:val="center"/>
              <w:rPr>
                <w:rFonts w:hint="default" w:ascii="等线" w:hAnsi="等线" w:eastAsia="等线" w:cs="等线"/>
                <w:i w:val="0"/>
                <w:iCs w:val="0"/>
                <w:color w:val="000000"/>
                <w:sz w:val="22"/>
                <w:szCs w:val="22"/>
                <w:u w:val="none"/>
                <w:lang w:val="en-US"/>
              </w:rPr>
            </w:pPr>
          </w:p>
        </w:tc>
        <w:tc>
          <w:tcPr>
            <w:tcW w:w="612"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068231E5">
            <w:pPr>
              <w:rPr>
                <w:rFonts w:hint="eastAsia" w:ascii="等线" w:hAnsi="等线" w:eastAsia="等线" w:cs="等线"/>
                <w:i w:val="0"/>
                <w:iCs w:val="0"/>
                <w:color w:val="000000"/>
                <w:sz w:val="22"/>
                <w:szCs w:val="22"/>
                <w:u w:val="none"/>
              </w:rPr>
            </w:pPr>
          </w:p>
        </w:tc>
      </w:tr>
      <w:tr w14:paraId="38ABE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3" w:hRule="atLeast"/>
        </w:trPr>
        <w:tc>
          <w:tcPr>
            <w:tcW w:w="65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FE7C4FE">
            <w:pPr>
              <w:keepNext w:val="0"/>
              <w:keepLines w:val="0"/>
              <w:widowControl/>
              <w:suppressLineNumbers w:val="0"/>
              <w:jc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sz w:val="22"/>
                <w:szCs w:val="22"/>
                <w:u w:val="none"/>
                <w:lang w:val="en-US" w:eastAsia="zh-CN" w:bidi="ar"/>
              </w:rPr>
              <w:t>11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B6A4A">
            <w:pPr>
              <w:keepNext w:val="0"/>
              <w:keepLines w:val="0"/>
              <w:widowControl/>
              <w:suppressLineNumbers w:val="0"/>
              <w:jc w:val="left"/>
              <w:rPr>
                <w:rFonts w:hint="eastAsia" w:ascii="等线" w:hAnsi="等线" w:eastAsia="等线" w:cs="等线"/>
                <w:i w:val="0"/>
                <w:iCs w:val="0"/>
                <w:color w:val="000000"/>
                <w:sz w:val="22"/>
                <w:szCs w:val="22"/>
                <w:u w:val="none"/>
                <w:lang w:val="en-US" w:eastAsia="zh-CN" w:bidi="ar"/>
              </w:rPr>
            </w:pPr>
            <w:r>
              <w:rPr>
                <w:rFonts w:hint="eastAsia" w:ascii="等线" w:hAnsi="等线" w:eastAsia="等线" w:cs="等线"/>
                <w:i w:val="0"/>
                <w:iCs w:val="0"/>
                <w:color w:val="000000"/>
                <w:sz w:val="22"/>
                <w:szCs w:val="22"/>
                <w:u w:val="none"/>
                <w:lang w:val="en-US" w:eastAsia="zh-CN" w:bidi="ar"/>
              </w:rPr>
              <w:t>云存储硬盘</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71194">
            <w:pPr>
              <w:keepNext w:val="0"/>
              <w:keepLines w:val="0"/>
              <w:widowControl/>
              <w:suppressLineNumbers w:val="0"/>
              <w:jc w:val="left"/>
              <w:rPr>
                <w:rFonts w:hint="eastAsia" w:ascii="等线" w:hAnsi="等线" w:eastAsia="等线" w:cs="等线"/>
                <w:i w:val="0"/>
                <w:iCs w:val="0"/>
                <w:color w:val="000000"/>
                <w:sz w:val="22"/>
                <w:szCs w:val="22"/>
                <w:u w:val="none"/>
                <w:lang w:val="en-US" w:eastAsia="zh-CN" w:bidi="ar"/>
              </w:rPr>
            </w:pPr>
            <w:r>
              <w:rPr>
                <w:rFonts w:hint="eastAsia" w:ascii="宋体" w:hAnsi="宋体" w:eastAsia="宋体" w:cs="宋体"/>
                <w:i w:val="0"/>
                <w:iCs w:val="0"/>
                <w:color w:val="auto"/>
                <w:sz w:val="24"/>
                <w:szCs w:val="24"/>
                <w:highlight w:val="none"/>
                <w:u w:val="none"/>
                <w:lang w:val="en-US" w:eastAsia="zh-CN" w:bidi="ar"/>
              </w:rPr>
              <w:t>★30t企业级硬盘（须与云存储扩容节点配套使用），硬盘须为合同签订日期一年内生产的全新企业级硬盘，严禁使用返修盘、监控级硬盘；运维期间硬盘损坏，由中标人提供全新硬盘更换，旧盘不予返还。（提供承诺函，格式自拟）</w:t>
            </w:r>
            <w:r>
              <w:rPr>
                <w:rFonts w:hint="eastAsia" w:ascii="宋体" w:hAnsi="宋体" w:cs="宋体"/>
                <w:i w:val="0"/>
                <w:iCs w:val="0"/>
                <w:color w:val="auto"/>
                <w:sz w:val="24"/>
                <w:szCs w:val="24"/>
                <w:highlight w:val="none"/>
                <w:u w:val="none"/>
                <w:lang w:val="en-US" w:eastAsia="zh-CN" w:bidi="ar"/>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52743">
            <w:pPr>
              <w:keepNext w:val="0"/>
              <w:keepLines w:val="0"/>
              <w:widowControl/>
              <w:suppressLineNumbers w:val="0"/>
              <w:jc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sz w:val="22"/>
                <w:szCs w:val="22"/>
                <w:u w:val="none"/>
                <w:lang w:val="en-US" w:eastAsia="zh-CN" w:bidi="ar"/>
              </w:rPr>
              <w:t>块</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DB543">
            <w:pPr>
              <w:keepNext w:val="0"/>
              <w:keepLines w:val="0"/>
              <w:widowControl/>
              <w:suppressLineNumbers w:val="0"/>
              <w:jc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sz w:val="22"/>
                <w:szCs w:val="22"/>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8AE66">
            <w:pPr>
              <w:keepNext w:val="0"/>
              <w:keepLines w:val="0"/>
              <w:widowControl/>
              <w:suppressLineNumbers w:val="0"/>
              <w:jc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sz w:val="22"/>
                <w:szCs w:val="22"/>
                <w:u w:val="none"/>
                <w:lang w:val="en-US" w:eastAsia="zh-CN" w:bidi="ar"/>
              </w:rPr>
              <w:t xml:space="preserve"> </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4A09F">
            <w:pPr>
              <w:keepNext w:val="0"/>
              <w:keepLines w:val="0"/>
              <w:widowControl/>
              <w:suppressLineNumbers w:val="0"/>
              <w:jc w:val="center"/>
              <w:rPr>
                <w:rFonts w:hint="default" w:ascii="等线" w:hAnsi="等线" w:eastAsia="等线" w:cs="等线"/>
                <w:i w:val="0"/>
                <w:iCs w:val="0"/>
                <w:color w:val="000000"/>
                <w:sz w:val="22"/>
                <w:szCs w:val="22"/>
                <w:u w:val="none"/>
                <w:lang w:val="en-US"/>
              </w:rPr>
            </w:pPr>
          </w:p>
        </w:tc>
        <w:tc>
          <w:tcPr>
            <w:tcW w:w="612"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7EEF5AF1">
            <w:pPr>
              <w:rPr>
                <w:rFonts w:hint="eastAsia" w:ascii="等线" w:hAnsi="等线" w:eastAsia="等线" w:cs="等线"/>
                <w:i w:val="0"/>
                <w:iCs w:val="0"/>
                <w:color w:val="000000"/>
                <w:sz w:val="22"/>
                <w:szCs w:val="22"/>
                <w:u w:val="none"/>
              </w:rPr>
            </w:pPr>
          </w:p>
        </w:tc>
      </w:tr>
      <w:tr w14:paraId="08CFB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5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5E307AF">
            <w:pPr>
              <w:keepNext w:val="0"/>
              <w:keepLines w:val="0"/>
              <w:widowControl/>
              <w:suppressLineNumbers w:val="0"/>
              <w:jc w:val="left"/>
              <w:rPr>
                <w:rFonts w:hint="default"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12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3457C">
            <w:pPr>
              <w:keepNext w:val="0"/>
              <w:keepLines w:val="0"/>
              <w:widowControl/>
              <w:suppressLineNumbers w:val="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人脸授权</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5B1DAF">
            <w:pPr>
              <w:keepNext w:val="0"/>
              <w:keepLines w:val="0"/>
              <w:widowControl/>
              <w:suppressLineNumbers w:val="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★1、供应商应在采购人指定地点部署人像/车辆平台，并满足以下要求。（提供承诺函，格式自拟）</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（1）系统支持单张GPU卡处理人脸图片速度：≥450张/s，人体图片速度：≥200张/s，车辆图片速度：≥200张/s。</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2）系统能够通过深度学习算法模型对检测到的人脸进行多种类型的属性识别，识别类别应包括性别、年龄段、眼镜、口罩、口罩颜色、帽子、帽子颜色、发色等。（需与市局人像平台数据对接，包括二次结构化数据和解析模型数据）</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3）系统应能够识别多种车辆类型识别，包括：号牌种类、车牌颜色、车牌号、车辆类型、行驶方向、特殊车辆类型、危险品车辆识别、车辆品牌、车辆型号、车身颜色、货车拖挂、车身装饰、遮阳板状态；支持识别主/副驾区域情况，例如是否有人、系安全带、打电话、吸烟、戴帽子、戴眼镜、戴口罩情况，以及人员上衣颜色等。（需与市局车辆平台数据对接，包括二次结构化数据和解析模型数据）</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4）系统能够识别多种非机动车类型属性，包括：车辆类型、车辆号码、车辆颜色、行驶方向、三轮车类型、二轮车是否带篷、车辆朝向、电动车车辆类型、前载物类型、后载物类型、挡风被、雨披。（需与市局车辆平台数据对接，包括二次结构化数据和解析模型数据）</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5）平台应具备人像建档、路人库检索、静态库等功能，支持定制模型开发，并接入采购人现用的所有人像/车辆前端，不影响现有人像平台功能使用。支持人脸/人体/非机动车/车辆图片流解析，解析后的数据汇聚到县局人像系统，并与市局人像系统无缝对接，可使用市局下发人像特征检索、布控等。支持人脸/人体/非机动车/车辆图片查询，查询结果分类展示，包含图片的各类结构化信息。支持人脸/人体/非机动车/车辆图片检索，上传图片后系统展示与查询目标比对的照片，结果按照比对相似度进行排序。支持上传侧脸人脸查询，可查看查询到的正向人脸结果，支持选择其中任一人脸结果回填到条件面板中，进行人脸查询。支持上传背影人体图发起查询，支持按相似度查看查询到的人体及关联人脸结果。支持自定义设置查询时间及区域的方式进行人脸/人体/非机动车/车辆图片查询。人脸、人体查询结果详情中展示推荐身份信息；人脸查询结果支持跳转身份确认应用。支持布控信息中布控有效期、关注级别、布控原因、处置类型（抓捕类、管控类、关注类）的配置。</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22237">
            <w:pPr>
              <w:keepNext w:val="0"/>
              <w:keepLines w:val="0"/>
              <w:widowControl/>
              <w:suppressLineNumbers w:val="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路</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362F1">
            <w:pPr>
              <w:keepNext w:val="0"/>
              <w:keepLines w:val="0"/>
              <w:widowControl/>
              <w:suppressLineNumbers w:val="0"/>
              <w:jc w:val="left"/>
              <w:rPr>
                <w:rFonts w:hint="default"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205</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3955D">
            <w:pPr>
              <w:keepNext w:val="0"/>
              <w:keepLines w:val="0"/>
              <w:widowControl/>
              <w:suppressLineNumbers w:val="0"/>
              <w:jc w:val="left"/>
              <w:rPr>
                <w:rFonts w:hint="default"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 xml:space="preserve"> </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47C2B">
            <w:pPr>
              <w:keepNext w:val="0"/>
              <w:keepLines w:val="0"/>
              <w:widowControl/>
              <w:suppressLineNumbers w:val="0"/>
              <w:jc w:val="left"/>
              <w:rPr>
                <w:rFonts w:hint="default" w:ascii="宋体" w:hAnsi="宋体" w:eastAsia="宋体" w:cs="宋体"/>
                <w:i w:val="0"/>
                <w:iCs w:val="0"/>
                <w:color w:val="auto"/>
                <w:sz w:val="24"/>
                <w:szCs w:val="24"/>
                <w:highlight w:val="none"/>
                <w:u w:val="none"/>
                <w:lang w:val="en-US" w:eastAsia="zh-CN" w:bidi="ar"/>
              </w:rPr>
            </w:pPr>
          </w:p>
        </w:tc>
        <w:tc>
          <w:tcPr>
            <w:tcW w:w="612"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7EE2A5A1">
            <w:pPr>
              <w:keepNext w:val="0"/>
              <w:keepLines w:val="0"/>
              <w:widowControl/>
              <w:suppressLineNumbers w:val="0"/>
              <w:jc w:val="left"/>
              <w:rPr>
                <w:rFonts w:hint="eastAsia" w:ascii="等线" w:hAnsi="等线" w:eastAsia="等线" w:cs="等线"/>
                <w:i w:val="0"/>
                <w:iCs w:val="0"/>
                <w:color w:val="0000FF"/>
                <w:sz w:val="22"/>
                <w:szCs w:val="22"/>
                <w:u w:val="none"/>
              </w:rPr>
            </w:pPr>
          </w:p>
        </w:tc>
      </w:tr>
      <w:tr w14:paraId="160CB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5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1733566">
            <w:pPr>
              <w:keepNext w:val="0"/>
              <w:keepLines w:val="0"/>
              <w:widowControl/>
              <w:suppressLineNumbers w:val="0"/>
              <w:jc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sz w:val="22"/>
                <w:szCs w:val="22"/>
                <w:u w:val="none"/>
                <w:lang w:val="en-US" w:eastAsia="zh-CN" w:bidi="ar"/>
              </w:rPr>
              <w:t>13</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9B924">
            <w:pPr>
              <w:keepNext w:val="0"/>
              <w:keepLines w:val="0"/>
              <w:widowControl/>
              <w:suppressLineNumbers w:val="0"/>
              <w:jc w:val="left"/>
              <w:textAlignment w:val="center"/>
              <w:rPr>
                <w:rFonts w:hint="eastAsia" w:ascii="等线" w:hAnsi="等线" w:eastAsia="等线" w:cs="等线"/>
                <w:i w:val="0"/>
                <w:iCs w:val="0"/>
                <w:color w:val="00000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线路费用</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AA436">
            <w:pPr>
              <w:keepNext w:val="0"/>
              <w:keepLines w:val="0"/>
              <w:widowControl/>
              <w:suppressLineNumbers w:val="0"/>
              <w:jc w:val="left"/>
              <w:rPr>
                <w:rFonts w:hint="default"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5年</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51DAE">
            <w:pPr>
              <w:keepNext w:val="0"/>
              <w:keepLines w:val="0"/>
              <w:widowControl/>
              <w:suppressLineNumbers w:val="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条</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7BC4A">
            <w:pPr>
              <w:keepNext w:val="0"/>
              <w:keepLines w:val="0"/>
              <w:widowControl/>
              <w:suppressLineNumbers w:val="0"/>
              <w:jc w:val="left"/>
              <w:rPr>
                <w:rFonts w:hint="default"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160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88EB8">
            <w:pPr>
              <w:keepNext w:val="0"/>
              <w:keepLines w:val="0"/>
              <w:widowControl/>
              <w:suppressLineNumbers w:val="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 xml:space="preserve"> </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41A60">
            <w:pPr>
              <w:keepNext w:val="0"/>
              <w:keepLines w:val="0"/>
              <w:widowControl/>
              <w:suppressLineNumbers w:val="0"/>
              <w:jc w:val="left"/>
              <w:rPr>
                <w:rFonts w:hint="eastAsia" w:ascii="宋体" w:hAnsi="宋体" w:eastAsia="宋体" w:cs="宋体"/>
                <w:i w:val="0"/>
                <w:iCs w:val="0"/>
                <w:color w:val="auto"/>
                <w:sz w:val="24"/>
                <w:szCs w:val="24"/>
                <w:highlight w:val="none"/>
                <w:u w:val="none"/>
                <w:lang w:val="en-US" w:eastAsia="zh-CN" w:bidi="ar"/>
              </w:rPr>
            </w:pPr>
          </w:p>
        </w:tc>
        <w:tc>
          <w:tcPr>
            <w:tcW w:w="61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91A07B4">
            <w:pP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sz w:val="22"/>
                <w:szCs w:val="22"/>
                <w:u w:val="none"/>
              </w:rPr>
              <w:t>线路租赁费用按5年算</w:t>
            </w:r>
          </w:p>
        </w:tc>
      </w:tr>
      <w:tr w14:paraId="5DE78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5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B8680D5">
            <w:pPr>
              <w:keepNext w:val="0"/>
              <w:keepLines w:val="0"/>
              <w:widowControl/>
              <w:suppressLineNumbers w:val="0"/>
              <w:jc w:val="center"/>
              <w:rPr>
                <w:rFonts w:hint="default" w:ascii="等线" w:hAnsi="等线" w:eastAsia="等线" w:cs="等线"/>
                <w:i w:val="0"/>
                <w:iCs w:val="0"/>
                <w:color w:val="000000"/>
                <w:sz w:val="22"/>
                <w:szCs w:val="22"/>
                <w:u w:val="none"/>
                <w:lang w:val="en-US" w:eastAsia="zh-CN" w:bidi="ar"/>
              </w:rPr>
            </w:pPr>
            <w:r>
              <w:rPr>
                <w:rFonts w:hint="eastAsia" w:ascii="等线" w:hAnsi="等线" w:eastAsia="等线" w:cs="等线"/>
                <w:i w:val="0"/>
                <w:iCs w:val="0"/>
                <w:color w:val="000000"/>
                <w:sz w:val="22"/>
                <w:szCs w:val="22"/>
                <w:u w:val="none"/>
                <w:lang w:val="en-US" w:eastAsia="zh-CN" w:bidi="ar"/>
              </w:rPr>
              <w:t>14</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14096">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辅材</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321AAA">
            <w:pPr>
              <w:keepNext w:val="0"/>
              <w:keepLines w:val="0"/>
              <w:widowControl/>
              <w:suppressLineNumbers w:val="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sz w:val="22"/>
                <w:szCs w:val="22"/>
                <w:u w:val="none"/>
                <w:lang w:val="en-US" w:eastAsia="zh-CN" w:bidi="ar"/>
              </w:rPr>
              <w:t>包含：支架、抱箍、波纹软管、螺丝、插排、水晶头、PVC管、标签等</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A482F">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项</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CD8F1">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8CF5B">
            <w:pPr>
              <w:keepNext w:val="0"/>
              <w:keepLines w:val="0"/>
              <w:widowControl/>
              <w:suppressLineNumbers w:val="0"/>
              <w:jc w:val="center"/>
              <w:rPr>
                <w:rFonts w:hint="eastAsia" w:ascii="等线" w:hAnsi="等线" w:eastAsia="等线" w:cs="等线"/>
                <w:i w:val="0"/>
                <w:iCs w:val="0"/>
                <w:color w:val="000000"/>
                <w:sz w:val="22"/>
                <w:szCs w:val="22"/>
                <w:u w:val="none"/>
                <w:lang w:val="en-US" w:eastAsia="zh-CN" w:bidi="ar"/>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89B79">
            <w:pPr>
              <w:keepNext w:val="0"/>
              <w:keepLines w:val="0"/>
              <w:widowControl/>
              <w:suppressLineNumbers w:val="0"/>
              <w:jc w:val="center"/>
              <w:rPr>
                <w:rFonts w:hint="eastAsia" w:ascii="等线" w:hAnsi="等线" w:eastAsia="等线" w:cs="等线"/>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2527A26">
            <w:pPr>
              <w:rPr>
                <w:rFonts w:hint="eastAsia" w:ascii="等线" w:hAnsi="等线" w:eastAsia="等线" w:cs="等线"/>
                <w:i w:val="0"/>
                <w:iCs w:val="0"/>
                <w:color w:val="000000"/>
                <w:sz w:val="22"/>
                <w:szCs w:val="22"/>
                <w:u w:val="none"/>
              </w:rPr>
            </w:pPr>
          </w:p>
        </w:tc>
      </w:tr>
      <w:tr w14:paraId="23BF6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65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9B9682D">
            <w:pPr>
              <w:keepNext w:val="0"/>
              <w:keepLines w:val="0"/>
              <w:widowControl/>
              <w:suppressLineNumbers w:val="0"/>
              <w:jc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sz w:val="22"/>
                <w:szCs w:val="22"/>
                <w:u w:val="none"/>
                <w:lang w:val="en-US" w:eastAsia="zh-CN" w:bidi="ar"/>
              </w:rPr>
              <w:t>15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6AA1D">
            <w:pPr>
              <w:keepNext w:val="0"/>
              <w:keepLines w:val="0"/>
              <w:widowControl/>
              <w:suppressLineNumbers w:val="0"/>
              <w:jc w:val="left"/>
              <w:textAlignment w:val="center"/>
              <w:rPr>
                <w:rFonts w:hint="default" w:ascii="等线" w:hAnsi="等线" w:eastAsia="等线" w:cs="等线"/>
                <w:i w:val="0"/>
                <w:iCs w:val="0"/>
                <w:color w:val="00000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施工调试费</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C55171">
            <w:pPr>
              <w:keepNext w:val="0"/>
              <w:keepLines w:val="0"/>
              <w:widowControl/>
              <w:suppressLineNumbers w:val="0"/>
              <w:jc w:val="left"/>
              <w:textAlignment w:val="center"/>
              <w:rPr>
                <w:rFonts w:hint="default" w:ascii="等线" w:hAnsi="等线" w:eastAsia="等线" w:cs="等线"/>
                <w:i w:val="0"/>
                <w:iCs w:val="0"/>
                <w:color w:val="00000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现场安装施工及调试（前端设备+后端设备）</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3C35F">
            <w:pPr>
              <w:keepNext w:val="0"/>
              <w:keepLines w:val="0"/>
              <w:widowControl/>
              <w:suppressLineNumbers w:val="0"/>
              <w:jc w:val="center"/>
              <w:textAlignment w:val="center"/>
              <w:rPr>
                <w:rFonts w:hint="eastAsia" w:ascii="等线" w:hAnsi="等线" w:eastAsia="等线" w:cs="等线"/>
                <w:i w:val="0"/>
                <w:iCs w:val="0"/>
                <w:color w:val="00000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项</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C7396">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098BE">
            <w:pPr>
              <w:keepNext w:val="0"/>
              <w:keepLines w:val="0"/>
              <w:widowControl/>
              <w:suppressLineNumbers w:val="0"/>
              <w:jc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sz w:val="22"/>
                <w:szCs w:val="22"/>
                <w:u w:val="none"/>
                <w:lang w:val="en-US" w:eastAsia="zh-CN" w:bidi="ar"/>
              </w:rPr>
              <w:t xml:space="preserve"> </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42AE8">
            <w:pPr>
              <w:keepNext w:val="0"/>
              <w:keepLines w:val="0"/>
              <w:widowControl/>
              <w:suppressLineNumbers w:val="0"/>
              <w:jc w:val="center"/>
              <w:rPr>
                <w:rFonts w:hint="default" w:ascii="等线" w:hAnsi="等线" w:eastAsia="等线" w:cs="等线"/>
                <w:i w:val="0"/>
                <w:iCs w:val="0"/>
                <w:color w:val="000000"/>
                <w:sz w:val="22"/>
                <w:szCs w:val="22"/>
                <w:u w:val="none"/>
                <w:lang w:val="en-US"/>
              </w:rPr>
            </w:pPr>
          </w:p>
        </w:tc>
        <w:tc>
          <w:tcPr>
            <w:tcW w:w="61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EDBED68">
            <w:pPr>
              <w:keepNext w:val="0"/>
              <w:keepLines w:val="0"/>
              <w:widowControl/>
              <w:suppressLineNumbers w:val="0"/>
              <w:jc w:val="left"/>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sz w:val="22"/>
                <w:szCs w:val="22"/>
                <w:u w:val="none"/>
              </w:rPr>
              <w:t>含五年维保</w:t>
            </w:r>
          </w:p>
        </w:tc>
      </w:tr>
      <w:tr w14:paraId="5100F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5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DFEC656">
            <w:pPr>
              <w:jc w:val="center"/>
              <w:rPr>
                <w:rFonts w:hint="eastAsia" w:ascii="等线" w:hAnsi="等线" w:eastAsia="等线" w:cs="等线"/>
                <w:i w:val="0"/>
                <w:iCs w:val="0"/>
                <w:color w:val="000000"/>
                <w:sz w:val="22"/>
                <w:szCs w:val="22"/>
                <w:u w:val="none"/>
              </w:rPr>
            </w:pPr>
          </w:p>
        </w:tc>
        <w:tc>
          <w:tcPr>
            <w:tcW w:w="780" w:type="dxa"/>
            <w:tcBorders>
              <w:top w:val="single" w:color="000000" w:sz="4" w:space="0"/>
              <w:left w:val="single" w:color="000000" w:sz="4" w:space="0"/>
              <w:bottom w:val="single" w:color="000000" w:sz="4" w:space="0"/>
              <w:right w:val="nil"/>
            </w:tcBorders>
            <w:shd w:val="clear" w:color="auto" w:fill="auto"/>
            <w:noWrap/>
            <w:vAlign w:val="center"/>
          </w:tcPr>
          <w:p w14:paraId="7E0E4C4F">
            <w:pPr>
              <w:keepNext w:val="0"/>
              <w:keepLines w:val="0"/>
              <w:widowControl/>
              <w:suppressLineNumbers w:val="0"/>
              <w:jc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sz w:val="22"/>
                <w:szCs w:val="22"/>
                <w:u w:val="none"/>
                <w:lang w:val="en-US" w:eastAsia="zh-CN" w:bidi="ar"/>
              </w:rPr>
              <w:t>小计</w:t>
            </w:r>
          </w:p>
        </w:tc>
        <w:tc>
          <w:tcPr>
            <w:tcW w:w="3750" w:type="dxa"/>
            <w:tcBorders>
              <w:top w:val="single" w:color="000000" w:sz="4" w:space="0"/>
              <w:left w:val="nil"/>
              <w:bottom w:val="single" w:color="000000" w:sz="4" w:space="0"/>
              <w:right w:val="nil"/>
            </w:tcBorders>
            <w:shd w:val="clear" w:color="auto" w:fill="auto"/>
            <w:noWrap w:val="0"/>
            <w:vAlign w:val="center"/>
          </w:tcPr>
          <w:p w14:paraId="7D38A107">
            <w:pPr>
              <w:rPr>
                <w:rFonts w:hint="eastAsia" w:ascii="等线" w:hAnsi="等线" w:eastAsia="等线" w:cs="等线"/>
                <w:i w:val="0"/>
                <w:iCs w:val="0"/>
                <w:color w:val="000000"/>
                <w:sz w:val="22"/>
                <w:szCs w:val="22"/>
                <w:u w:val="none"/>
              </w:rPr>
            </w:pPr>
          </w:p>
        </w:tc>
        <w:tc>
          <w:tcPr>
            <w:tcW w:w="875" w:type="dxa"/>
            <w:tcBorders>
              <w:top w:val="single" w:color="000000" w:sz="4" w:space="0"/>
              <w:left w:val="nil"/>
              <w:bottom w:val="single" w:color="000000" w:sz="4" w:space="0"/>
              <w:right w:val="nil"/>
            </w:tcBorders>
            <w:shd w:val="clear" w:color="auto" w:fill="auto"/>
            <w:noWrap/>
            <w:vAlign w:val="center"/>
          </w:tcPr>
          <w:p w14:paraId="3AA97191">
            <w:pPr>
              <w:jc w:val="center"/>
              <w:rPr>
                <w:rFonts w:hint="eastAsia" w:ascii="等线" w:hAnsi="等线" w:eastAsia="等线" w:cs="等线"/>
                <w:i w:val="0"/>
                <w:iCs w:val="0"/>
                <w:color w:val="000000"/>
                <w:sz w:val="22"/>
                <w:szCs w:val="22"/>
                <w:u w:val="none"/>
              </w:rPr>
            </w:pPr>
          </w:p>
        </w:tc>
        <w:tc>
          <w:tcPr>
            <w:tcW w:w="925" w:type="dxa"/>
            <w:tcBorders>
              <w:top w:val="single" w:color="000000" w:sz="4" w:space="0"/>
              <w:left w:val="nil"/>
              <w:bottom w:val="single" w:color="000000" w:sz="4" w:space="0"/>
              <w:right w:val="nil"/>
            </w:tcBorders>
            <w:shd w:val="clear" w:color="auto" w:fill="auto"/>
            <w:noWrap/>
            <w:vAlign w:val="center"/>
          </w:tcPr>
          <w:p w14:paraId="09F39E02">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nil"/>
              <w:bottom w:val="single" w:color="000000" w:sz="4" w:space="0"/>
              <w:right w:val="single" w:color="000000" w:sz="4" w:space="0"/>
            </w:tcBorders>
            <w:shd w:val="clear" w:color="auto" w:fill="auto"/>
            <w:noWrap/>
            <w:vAlign w:val="center"/>
          </w:tcPr>
          <w:p w14:paraId="3AEFB1FA">
            <w:pPr>
              <w:jc w:val="center"/>
              <w:rPr>
                <w:rFonts w:hint="eastAsia" w:ascii="等线" w:hAnsi="等线" w:eastAsia="等线" w:cs="等线"/>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F2C08">
            <w:pPr>
              <w:keepNext w:val="0"/>
              <w:keepLines w:val="0"/>
              <w:widowControl/>
              <w:suppressLineNumbers w:val="0"/>
              <w:jc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sz w:val="22"/>
                <w:szCs w:val="22"/>
                <w:u w:val="none"/>
                <w:lang w:val="en-US" w:eastAsia="zh-CN" w:bidi="ar"/>
              </w:rPr>
              <w:t xml:space="preserve"> </w:t>
            </w:r>
          </w:p>
        </w:tc>
        <w:tc>
          <w:tcPr>
            <w:tcW w:w="612" w:type="dxa"/>
            <w:tcBorders>
              <w:top w:val="single" w:color="000000" w:sz="4" w:space="0"/>
              <w:left w:val="nil"/>
              <w:bottom w:val="single" w:color="000000" w:sz="4" w:space="0"/>
              <w:right w:val="single" w:color="000000" w:sz="8" w:space="0"/>
            </w:tcBorders>
            <w:shd w:val="clear" w:color="auto" w:fill="auto"/>
            <w:noWrap/>
            <w:vAlign w:val="center"/>
          </w:tcPr>
          <w:p w14:paraId="4D11F239">
            <w:pPr>
              <w:rPr>
                <w:rFonts w:hint="eastAsia" w:ascii="等线" w:hAnsi="等线" w:eastAsia="等线" w:cs="等线"/>
                <w:i w:val="0"/>
                <w:iCs w:val="0"/>
                <w:color w:val="000000"/>
                <w:sz w:val="22"/>
                <w:szCs w:val="22"/>
                <w:u w:val="none"/>
              </w:rPr>
            </w:pPr>
          </w:p>
        </w:tc>
      </w:tr>
      <w:tr w14:paraId="03748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9F67E0F">
            <w:pPr>
              <w:jc w:val="center"/>
              <w:rPr>
                <w:rFonts w:hint="eastAsia" w:ascii="等线" w:hAnsi="等线" w:eastAsia="等线" w:cs="等线"/>
                <w:i w:val="0"/>
                <w:iCs w:val="0"/>
                <w:color w:val="000000"/>
                <w:sz w:val="22"/>
                <w:szCs w:val="22"/>
                <w:u w:val="none"/>
              </w:rPr>
            </w:pPr>
          </w:p>
        </w:tc>
        <w:tc>
          <w:tcPr>
            <w:tcW w:w="780" w:type="dxa"/>
            <w:tcBorders>
              <w:top w:val="single" w:color="000000" w:sz="4" w:space="0"/>
              <w:left w:val="single" w:color="000000" w:sz="4" w:space="0"/>
              <w:bottom w:val="single" w:color="000000" w:sz="4" w:space="0"/>
              <w:right w:val="nil"/>
            </w:tcBorders>
            <w:shd w:val="clear" w:color="auto" w:fill="auto"/>
            <w:noWrap/>
            <w:vAlign w:val="center"/>
          </w:tcPr>
          <w:p w14:paraId="46B13EF4">
            <w:pPr>
              <w:keepNext w:val="0"/>
              <w:keepLines w:val="0"/>
              <w:widowControl/>
              <w:suppressLineNumbers w:val="0"/>
              <w:jc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sz w:val="22"/>
                <w:szCs w:val="22"/>
                <w:u w:val="none"/>
                <w:lang w:val="en-US" w:eastAsia="zh-CN" w:bidi="ar"/>
              </w:rPr>
              <w:t>合计</w:t>
            </w:r>
          </w:p>
        </w:tc>
        <w:tc>
          <w:tcPr>
            <w:tcW w:w="3750" w:type="dxa"/>
            <w:tcBorders>
              <w:top w:val="single" w:color="000000" w:sz="4" w:space="0"/>
              <w:left w:val="nil"/>
              <w:bottom w:val="single" w:color="000000" w:sz="4" w:space="0"/>
              <w:right w:val="nil"/>
            </w:tcBorders>
            <w:shd w:val="clear" w:color="auto" w:fill="auto"/>
            <w:noWrap/>
            <w:vAlign w:val="center"/>
          </w:tcPr>
          <w:p w14:paraId="2661C0A0">
            <w:pPr>
              <w:rPr>
                <w:rFonts w:hint="eastAsia" w:ascii="等线" w:hAnsi="等线" w:eastAsia="等线" w:cs="等线"/>
                <w:i w:val="0"/>
                <w:iCs w:val="0"/>
                <w:color w:val="000000"/>
                <w:sz w:val="22"/>
                <w:szCs w:val="22"/>
                <w:u w:val="none"/>
              </w:rPr>
            </w:pPr>
          </w:p>
        </w:tc>
        <w:tc>
          <w:tcPr>
            <w:tcW w:w="875" w:type="dxa"/>
            <w:tcBorders>
              <w:top w:val="single" w:color="000000" w:sz="4" w:space="0"/>
              <w:left w:val="nil"/>
              <w:bottom w:val="single" w:color="000000" w:sz="4" w:space="0"/>
              <w:right w:val="nil"/>
            </w:tcBorders>
            <w:shd w:val="clear" w:color="auto" w:fill="auto"/>
            <w:noWrap/>
            <w:vAlign w:val="center"/>
          </w:tcPr>
          <w:p w14:paraId="6EFB7EB3">
            <w:pPr>
              <w:rPr>
                <w:rFonts w:hint="eastAsia" w:ascii="等线" w:hAnsi="等线" w:eastAsia="等线" w:cs="等线"/>
                <w:i w:val="0"/>
                <w:iCs w:val="0"/>
                <w:color w:val="000000"/>
                <w:sz w:val="22"/>
                <w:szCs w:val="22"/>
                <w:u w:val="none"/>
              </w:rPr>
            </w:pPr>
          </w:p>
        </w:tc>
        <w:tc>
          <w:tcPr>
            <w:tcW w:w="925" w:type="dxa"/>
            <w:tcBorders>
              <w:top w:val="single" w:color="000000" w:sz="4" w:space="0"/>
              <w:left w:val="nil"/>
              <w:bottom w:val="single" w:color="000000" w:sz="4" w:space="0"/>
              <w:right w:val="nil"/>
            </w:tcBorders>
            <w:shd w:val="clear" w:color="auto" w:fill="auto"/>
            <w:noWrap/>
            <w:vAlign w:val="center"/>
          </w:tcPr>
          <w:p w14:paraId="4A164B74">
            <w:pPr>
              <w:rPr>
                <w:rFonts w:hint="eastAsia" w:ascii="等线" w:hAnsi="等线" w:eastAsia="等线" w:cs="等线"/>
                <w:i w:val="0"/>
                <w:iCs w:val="0"/>
                <w:color w:val="000000"/>
                <w:sz w:val="22"/>
                <w:szCs w:val="22"/>
                <w:u w:val="none"/>
              </w:rPr>
            </w:pPr>
          </w:p>
        </w:tc>
        <w:tc>
          <w:tcPr>
            <w:tcW w:w="850" w:type="dxa"/>
            <w:tcBorders>
              <w:top w:val="single" w:color="000000" w:sz="4" w:space="0"/>
              <w:left w:val="nil"/>
              <w:bottom w:val="single" w:color="000000" w:sz="4" w:space="0"/>
              <w:right w:val="single" w:color="000000" w:sz="4" w:space="0"/>
            </w:tcBorders>
            <w:shd w:val="clear" w:color="auto" w:fill="auto"/>
            <w:noWrap/>
            <w:vAlign w:val="center"/>
          </w:tcPr>
          <w:p w14:paraId="5CB4C1B8">
            <w:pPr>
              <w:rPr>
                <w:rFonts w:hint="eastAsia" w:ascii="等线" w:hAnsi="等线" w:eastAsia="等线" w:cs="等线"/>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00FFC">
            <w:pPr>
              <w:keepNext w:val="0"/>
              <w:keepLines w:val="0"/>
              <w:widowControl/>
              <w:suppressLineNumbers w:val="0"/>
              <w:jc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sz w:val="22"/>
                <w:szCs w:val="22"/>
                <w:u w:val="none"/>
                <w:lang w:val="en-US" w:eastAsia="zh-CN" w:bidi="ar"/>
              </w:rPr>
              <w:t xml:space="preserve"> </w:t>
            </w:r>
          </w:p>
        </w:tc>
        <w:tc>
          <w:tcPr>
            <w:tcW w:w="612" w:type="dxa"/>
            <w:tcBorders>
              <w:top w:val="single" w:color="000000" w:sz="4" w:space="0"/>
              <w:left w:val="nil"/>
              <w:bottom w:val="single" w:color="000000" w:sz="4" w:space="0"/>
              <w:right w:val="single" w:color="000000" w:sz="8" w:space="0"/>
            </w:tcBorders>
            <w:shd w:val="clear" w:color="auto" w:fill="auto"/>
            <w:noWrap/>
            <w:vAlign w:val="center"/>
          </w:tcPr>
          <w:p w14:paraId="33CFCD09">
            <w:pPr>
              <w:jc w:val="center"/>
              <w:rPr>
                <w:rFonts w:hint="eastAsia" w:ascii="等线" w:hAnsi="等线" w:eastAsia="等线" w:cs="等线"/>
                <w:i w:val="0"/>
                <w:iCs w:val="0"/>
                <w:color w:val="000000"/>
                <w:sz w:val="22"/>
                <w:szCs w:val="22"/>
                <w:u w:val="none"/>
              </w:rPr>
            </w:pPr>
          </w:p>
        </w:tc>
      </w:tr>
      <w:tr w14:paraId="1779B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D33092C">
            <w:pPr>
              <w:jc w:val="center"/>
              <w:rPr>
                <w:rFonts w:hint="eastAsia" w:ascii="等线" w:hAnsi="等线" w:eastAsia="等线" w:cs="等线"/>
                <w:i w:val="0"/>
                <w:iCs w:val="0"/>
                <w:color w:val="000000"/>
                <w:sz w:val="22"/>
                <w:szCs w:val="22"/>
                <w:u w:val="none"/>
              </w:rPr>
            </w:pPr>
          </w:p>
        </w:tc>
        <w:tc>
          <w:tcPr>
            <w:tcW w:w="8955" w:type="dxa"/>
            <w:gridSpan w:val="7"/>
            <w:tcBorders>
              <w:top w:val="single" w:color="000000" w:sz="4" w:space="0"/>
              <w:left w:val="single" w:color="000000" w:sz="4" w:space="0"/>
              <w:bottom w:val="single" w:color="000000" w:sz="4" w:space="0"/>
              <w:right w:val="single" w:color="000000" w:sz="8" w:space="0"/>
            </w:tcBorders>
            <w:shd w:val="clear" w:color="auto" w:fill="auto"/>
            <w:noWrap/>
            <w:vAlign w:val="center"/>
          </w:tcPr>
          <w:p w14:paraId="2EA730D1">
            <w:pPr>
              <w:keepNext w:val="0"/>
              <w:keepLines w:val="0"/>
              <w:widowControl/>
              <w:suppressLineNumbers w:val="0"/>
              <w:jc w:val="left"/>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sz w:val="22"/>
                <w:szCs w:val="22"/>
                <w:u w:val="none"/>
                <w:lang w:val="en-US" w:eastAsia="zh-CN" w:bidi="ar"/>
              </w:rPr>
              <w:t>说明</w:t>
            </w:r>
          </w:p>
        </w:tc>
      </w:tr>
      <w:tr w14:paraId="3B668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8C52EF3">
            <w:pPr>
              <w:keepNext w:val="0"/>
              <w:keepLines w:val="0"/>
              <w:widowControl/>
              <w:suppressLineNumbers w:val="0"/>
              <w:jc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sz w:val="22"/>
                <w:szCs w:val="22"/>
                <w:u w:val="none"/>
                <w:lang w:val="en-US" w:eastAsia="zh-CN" w:bidi="ar"/>
              </w:rPr>
              <w:t>1</w:t>
            </w:r>
          </w:p>
        </w:tc>
        <w:tc>
          <w:tcPr>
            <w:tcW w:w="8955" w:type="dxa"/>
            <w:gridSpan w:val="7"/>
            <w:tcBorders>
              <w:top w:val="single" w:color="000000" w:sz="4" w:space="0"/>
              <w:left w:val="single" w:color="000000" w:sz="4" w:space="0"/>
              <w:bottom w:val="single" w:color="000000" w:sz="4" w:space="0"/>
              <w:right w:val="single" w:color="000000" w:sz="8" w:space="0"/>
            </w:tcBorders>
            <w:shd w:val="clear" w:color="auto" w:fill="auto"/>
            <w:noWrap/>
            <w:vAlign w:val="center"/>
          </w:tcPr>
          <w:p w14:paraId="1221C080">
            <w:pPr>
              <w:keepNext w:val="0"/>
              <w:keepLines w:val="0"/>
              <w:widowControl/>
              <w:suppressLineNumbers w:val="0"/>
              <w:jc w:val="left"/>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sz w:val="22"/>
                <w:szCs w:val="22"/>
                <w:u w:val="none"/>
                <w:lang w:val="en-US" w:eastAsia="zh-CN" w:bidi="ar"/>
              </w:rPr>
              <w:t>此项目维保期限为5年。</w:t>
            </w:r>
          </w:p>
        </w:tc>
      </w:tr>
      <w:tr w14:paraId="4F73A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5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9253A6C">
            <w:pPr>
              <w:keepNext w:val="0"/>
              <w:keepLines w:val="0"/>
              <w:widowControl/>
              <w:suppressLineNumbers w:val="0"/>
              <w:jc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sz w:val="22"/>
                <w:szCs w:val="22"/>
                <w:u w:val="none"/>
                <w:lang w:val="en-US" w:eastAsia="zh-CN" w:bidi="ar"/>
              </w:rPr>
              <w:t>2</w:t>
            </w:r>
          </w:p>
        </w:tc>
        <w:tc>
          <w:tcPr>
            <w:tcW w:w="8955"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BCE6E5">
            <w:pPr>
              <w:keepNext w:val="0"/>
              <w:keepLines w:val="0"/>
              <w:widowControl/>
              <w:suppressLineNumbers w:val="0"/>
              <w:jc w:val="left"/>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sz w:val="22"/>
                <w:szCs w:val="22"/>
                <w:u w:val="none"/>
                <w:lang w:val="en-US" w:eastAsia="zh-CN" w:bidi="ar"/>
              </w:rPr>
              <w:t>设备安装过程中，如出现借杆、借电、开户或高空借点安装等问题，中标人需自行解决；备品备件由中标人自行准备，要求与招标一致，招标人不再另行支出其它费用。</w:t>
            </w:r>
          </w:p>
        </w:tc>
      </w:tr>
      <w:tr w14:paraId="26B1B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5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1ABADAC">
            <w:pPr>
              <w:keepNext w:val="0"/>
              <w:keepLines w:val="0"/>
              <w:widowControl/>
              <w:suppressLineNumbers w:val="0"/>
              <w:jc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sz w:val="22"/>
                <w:szCs w:val="22"/>
                <w:u w:val="none"/>
                <w:lang w:val="en-US" w:eastAsia="zh-CN" w:bidi="ar"/>
              </w:rPr>
              <w:t>3</w:t>
            </w:r>
          </w:p>
        </w:tc>
        <w:tc>
          <w:tcPr>
            <w:tcW w:w="895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27572">
            <w:pPr>
              <w:keepNext w:val="0"/>
              <w:keepLines w:val="0"/>
              <w:widowControl/>
              <w:suppressLineNumbers w:val="0"/>
              <w:jc w:val="left"/>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sz w:val="22"/>
                <w:szCs w:val="22"/>
                <w:u w:val="none"/>
                <w:lang w:val="en-US" w:eastAsia="zh-CN" w:bidi="ar"/>
              </w:rPr>
              <w:t>中标人需负责设备数据无缝接入沭阳县公安局系统，具体内容中标后由招标人要求。</w:t>
            </w:r>
          </w:p>
        </w:tc>
      </w:tr>
      <w:tr w14:paraId="13AB5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5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BD384CB">
            <w:pPr>
              <w:keepNext w:val="0"/>
              <w:keepLines w:val="0"/>
              <w:widowControl/>
              <w:suppressLineNumbers w:val="0"/>
              <w:jc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sz w:val="22"/>
                <w:szCs w:val="22"/>
                <w:u w:val="none"/>
                <w:lang w:val="en-US" w:eastAsia="zh-CN" w:bidi="ar"/>
              </w:rPr>
              <w:t>4</w:t>
            </w:r>
          </w:p>
        </w:tc>
        <w:tc>
          <w:tcPr>
            <w:tcW w:w="8955" w:type="dxa"/>
            <w:gridSpan w:val="7"/>
            <w:tcBorders>
              <w:top w:val="single" w:color="000000" w:sz="4" w:space="0"/>
              <w:left w:val="single" w:color="000000" w:sz="4" w:space="0"/>
              <w:bottom w:val="single" w:color="000000" w:sz="4" w:space="0"/>
              <w:right w:val="single" w:color="000000" w:sz="8" w:space="0"/>
            </w:tcBorders>
            <w:shd w:val="clear" w:color="auto" w:fill="auto"/>
            <w:noWrap/>
            <w:vAlign w:val="center"/>
          </w:tcPr>
          <w:p w14:paraId="4E54B3D4">
            <w:pPr>
              <w:keepNext w:val="0"/>
              <w:keepLines w:val="0"/>
              <w:widowControl/>
              <w:suppressLineNumbers w:val="0"/>
              <w:jc w:val="left"/>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sz w:val="22"/>
                <w:szCs w:val="22"/>
                <w:u w:val="none"/>
                <w:lang w:val="en-US" w:eastAsia="zh-CN" w:bidi="ar"/>
              </w:rPr>
              <w:t>本报价为全费用报价，包含运费、检测费、技术培训、售后维护费、税金等所有费用。</w:t>
            </w:r>
          </w:p>
        </w:tc>
      </w:tr>
      <w:tr w14:paraId="038FC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5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8A03C53">
            <w:pPr>
              <w:keepNext w:val="0"/>
              <w:keepLines w:val="0"/>
              <w:widowControl/>
              <w:suppressLineNumbers w:val="0"/>
              <w:jc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sz w:val="22"/>
                <w:szCs w:val="22"/>
                <w:u w:val="none"/>
                <w:lang w:val="en-US" w:eastAsia="zh-CN" w:bidi="ar"/>
              </w:rPr>
              <w:t>5</w:t>
            </w:r>
          </w:p>
        </w:tc>
        <w:tc>
          <w:tcPr>
            <w:tcW w:w="8955"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29515">
            <w:pPr>
              <w:keepNext w:val="0"/>
              <w:keepLines w:val="0"/>
              <w:widowControl/>
              <w:suppressLineNumbers w:val="0"/>
              <w:jc w:val="left"/>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sz w:val="22"/>
                <w:szCs w:val="22"/>
                <w:u w:val="none"/>
                <w:lang w:val="en-US" w:eastAsia="zh-CN" w:bidi="ar"/>
              </w:rPr>
              <w:t>以上要求中投标人须满足，如存在任何偏离，必须在投标技术文件中注明（未注明的由投标单位承担一切责任），并提供有关材料以证明其合理性。同时，投标方的报价应建立在投标方已对现场自行进行充分勘查的基础上，并以实现招标文件功能需求为标准，清单如有数量不足（或缺项）时，投标人在投标前提出，若不提出施工时应自行补足。如未按此要求，投标方应承担缺、少、漏项所带来的一切责任，招标方则理解为系投标方让利行为。</w:t>
            </w:r>
          </w:p>
        </w:tc>
      </w:tr>
      <w:tr w14:paraId="6CC20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56" w:type="dxa"/>
            <w:tcBorders>
              <w:top w:val="single" w:color="000000" w:sz="4" w:space="0"/>
              <w:left w:val="single" w:color="000000" w:sz="8" w:space="0"/>
              <w:bottom w:val="single" w:color="000000" w:sz="8" w:space="0"/>
              <w:right w:val="single" w:color="000000" w:sz="4" w:space="0"/>
            </w:tcBorders>
            <w:shd w:val="clear" w:color="auto" w:fill="auto"/>
            <w:noWrap/>
            <w:vAlign w:val="center"/>
          </w:tcPr>
          <w:p w14:paraId="57EB6EC3">
            <w:pPr>
              <w:keepNext w:val="0"/>
              <w:keepLines w:val="0"/>
              <w:widowControl/>
              <w:suppressLineNumbers w:val="0"/>
              <w:jc w:val="center"/>
              <w:rPr>
                <w:rFonts w:hint="default" w:ascii="等线" w:hAnsi="等线" w:eastAsia="等线" w:cs="等线"/>
                <w:i w:val="0"/>
                <w:iCs w:val="0"/>
                <w:color w:val="000000"/>
                <w:sz w:val="22"/>
                <w:szCs w:val="22"/>
                <w:u w:val="none"/>
                <w:lang w:val="en-US" w:eastAsia="zh-CN" w:bidi="ar"/>
              </w:rPr>
            </w:pPr>
            <w:r>
              <w:rPr>
                <w:rFonts w:hint="eastAsia" w:ascii="等线" w:hAnsi="等线" w:eastAsia="等线" w:cs="等线"/>
                <w:i w:val="0"/>
                <w:iCs w:val="0"/>
                <w:color w:val="000000"/>
                <w:sz w:val="22"/>
                <w:szCs w:val="22"/>
                <w:u w:val="none"/>
                <w:lang w:val="en-US" w:eastAsia="zh-CN" w:bidi="ar"/>
              </w:rPr>
              <w:t>6</w:t>
            </w:r>
          </w:p>
        </w:tc>
        <w:tc>
          <w:tcPr>
            <w:tcW w:w="8955" w:type="dxa"/>
            <w:gridSpan w:val="7"/>
            <w:tcBorders>
              <w:top w:val="single" w:color="000000" w:sz="4" w:space="0"/>
              <w:left w:val="single" w:color="000000" w:sz="4" w:space="0"/>
              <w:bottom w:val="single" w:color="000000" w:sz="8" w:space="0"/>
              <w:right w:val="single" w:color="000000" w:sz="4" w:space="0"/>
            </w:tcBorders>
            <w:shd w:val="clear" w:color="auto" w:fill="auto"/>
            <w:noWrap w:val="0"/>
            <w:vAlign w:val="center"/>
          </w:tcPr>
          <w:p w14:paraId="44071F70">
            <w:pPr>
              <w:keepNext w:val="0"/>
              <w:keepLines w:val="0"/>
              <w:widowControl/>
              <w:suppressLineNumbers w:val="0"/>
              <w:jc w:val="left"/>
              <w:rPr>
                <w:rFonts w:hint="eastAsia" w:ascii="等线" w:hAnsi="等线" w:eastAsia="等线" w:cs="等线"/>
                <w:i w:val="0"/>
                <w:iCs w:val="0"/>
                <w:color w:val="000000"/>
                <w:sz w:val="22"/>
                <w:szCs w:val="22"/>
                <w:u w:val="none"/>
                <w:lang w:val="en-US" w:eastAsia="zh-CN" w:bidi="ar"/>
              </w:rPr>
            </w:pPr>
            <w:r>
              <w:rPr>
                <w:rFonts w:hint="eastAsia" w:ascii="等线" w:hAnsi="等线" w:eastAsia="等线" w:cs="等线"/>
                <w:i w:val="0"/>
                <w:iCs w:val="0"/>
                <w:color w:val="000000"/>
                <w:sz w:val="22"/>
                <w:szCs w:val="22"/>
                <w:u w:val="none"/>
                <w:lang w:val="en-US" w:eastAsia="zh-CN" w:bidi="ar"/>
              </w:rPr>
              <w:t>1.加“★”的要求为不允许偏离的实质性要求和条件，响应文件须提供有CMA认证的检测机构出具的检验报告或产品材料（彩页、功能截图或产品文档等），如有偏离，按照无效处理，要求提供承诺函的除外。</w:t>
            </w:r>
          </w:p>
          <w:p w14:paraId="2480543C">
            <w:pPr>
              <w:keepNext w:val="0"/>
              <w:keepLines w:val="0"/>
              <w:widowControl/>
              <w:suppressLineNumbers w:val="0"/>
              <w:jc w:val="left"/>
              <w:rPr>
                <w:rFonts w:hint="default" w:ascii="等线" w:hAnsi="等线" w:eastAsia="等线" w:cs="等线"/>
                <w:i w:val="0"/>
                <w:iCs w:val="0"/>
                <w:color w:val="000000"/>
                <w:sz w:val="22"/>
                <w:szCs w:val="22"/>
                <w:u w:val="none"/>
                <w:lang w:val="en-US" w:eastAsia="zh-CN" w:bidi="ar"/>
              </w:rPr>
            </w:pPr>
            <w:r>
              <w:rPr>
                <w:rFonts w:hint="eastAsia" w:ascii="等线" w:hAnsi="等线" w:eastAsia="等线" w:cs="等线"/>
                <w:i w:val="0"/>
                <w:iCs w:val="0"/>
                <w:color w:val="000000"/>
                <w:sz w:val="22"/>
                <w:szCs w:val="22"/>
                <w:u w:val="none"/>
                <w:lang w:val="en-US" w:eastAsia="zh-CN" w:bidi="ar"/>
              </w:rPr>
              <w:t>2.加“▲”项指标须提供需求中要求的证明材料，否则不得分。响应文件须提供有CMA认证的检测机构出具的检验报告或产品材料（彩页、功能截图或产品文档等），要求提供承诺函的除外。</w:t>
            </w:r>
          </w:p>
          <w:p w14:paraId="5298A7EC">
            <w:pPr>
              <w:keepNext w:val="0"/>
              <w:keepLines w:val="0"/>
              <w:widowControl/>
              <w:suppressLineNumbers w:val="0"/>
              <w:jc w:val="left"/>
              <w:rPr>
                <w:rFonts w:hint="eastAsia" w:ascii="等线" w:hAnsi="等线" w:eastAsia="等线" w:cs="等线"/>
                <w:i w:val="0"/>
                <w:iCs w:val="0"/>
                <w:color w:val="000000"/>
                <w:sz w:val="22"/>
                <w:szCs w:val="22"/>
                <w:u w:val="none"/>
                <w:lang w:val="en-US" w:eastAsia="zh-CN" w:bidi="ar"/>
              </w:rPr>
            </w:pPr>
            <w:r>
              <w:rPr>
                <w:rFonts w:hint="eastAsia" w:ascii="等线" w:hAnsi="等线" w:eastAsia="等线" w:cs="等线"/>
                <w:i w:val="0"/>
                <w:iCs w:val="0"/>
                <w:color w:val="000000"/>
                <w:sz w:val="22"/>
                <w:szCs w:val="22"/>
                <w:u w:val="none"/>
                <w:lang w:val="en-US" w:eastAsia="zh-CN" w:bidi="ar"/>
              </w:rPr>
              <w:t>注：</w:t>
            </w:r>
          </w:p>
          <w:p w14:paraId="7F9A3917">
            <w:pPr>
              <w:keepNext w:val="0"/>
              <w:keepLines w:val="0"/>
              <w:widowControl/>
              <w:suppressLineNumbers w:val="0"/>
              <w:jc w:val="left"/>
              <w:rPr>
                <w:rFonts w:hint="eastAsia" w:ascii="等线" w:hAnsi="等线" w:eastAsia="等线" w:cs="等线"/>
                <w:i w:val="0"/>
                <w:iCs w:val="0"/>
                <w:color w:val="000000"/>
                <w:sz w:val="22"/>
                <w:szCs w:val="22"/>
                <w:u w:val="none"/>
                <w:lang w:val="en-US" w:eastAsia="zh-CN" w:bidi="ar"/>
              </w:rPr>
            </w:pPr>
            <w:r>
              <w:rPr>
                <w:rFonts w:hint="eastAsia" w:ascii="等线" w:hAnsi="等线" w:eastAsia="等线" w:cs="等线"/>
                <w:i w:val="0"/>
                <w:iCs w:val="0"/>
                <w:color w:val="000000"/>
                <w:sz w:val="22"/>
                <w:szCs w:val="22"/>
                <w:u w:val="none"/>
                <w:lang w:val="en-US" w:eastAsia="zh-CN" w:bidi="ar"/>
              </w:rPr>
              <w:t>（1）针对评分标准中评分的每一条，供应商在响应文件中均应提供清晰明了的相关资料并做出相应说明供评委评判，不提供相关资料的视为不具备该项得分的条件。</w:t>
            </w:r>
          </w:p>
          <w:p w14:paraId="61321E25">
            <w:pPr>
              <w:keepNext w:val="0"/>
              <w:keepLines w:val="0"/>
              <w:widowControl/>
              <w:suppressLineNumbers w:val="0"/>
              <w:jc w:val="left"/>
              <w:rPr>
                <w:rFonts w:hint="eastAsia" w:ascii="等线" w:hAnsi="等线" w:eastAsia="等线" w:cs="等线"/>
                <w:i w:val="0"/>
                <w:iCs w:val="0"/>
                <w:color w:val="000000"/>
                <w:sz w:val="22"/>
                <w:szCs w:val="22"/>
                <w:u w:val="none"/>
                <w:lang w:val="en-US" w:eastAsia="zh-CN" w:bidi="ar"/>
              </w:rPr>
            </w:pPr>
            <w:r>
              <w:rPr>
                <w:rFonts w:hint="eastAsia" w:ascii="等线" w:hAnsi="等线" w:eastAsia="等线" w:cs="等线"/>
                <w:i w:val="0"/>
                <w:iCs w:val="0"/>
                <w:color w:val="000000"/>
                <w:sz w:val="22"/>
                <w:szCs w:val="22"/>
                <w:u w:val="none"/>
                <w:lang w:val="en-US" w:eastAsia="zh-CN" w:bidi="ar"/>
              </w:rPr>
              <w:t>（2）所有扫描件、证明采购须清晰可见，字迹不清晰、图片模糊的视为未提供，评委有权不给分。</w:t>
            </w:r>
          </w:p>
        </w:tc>
      </w:tr>
    </w:tbl>
    <w:p w14:paraId="4839DDDB">
      <w:pPr>
        <w:keepNext w:val="0"/>
        <w:keepLines w:val="0"/>
        <w:pageBreakBefore w:val="0"/>
        <w:widowControl/>
        <w:numPr>
          <w:ilvl w:val="0"/>
          <w:numId w:val="0"/>
        </w:numPr>
        <w:spacing w:line="440" w:lineRule="exact"/>
        <w:rPr>
          <w:rFonts w:ascii="宋体" w:hAnsi="宋体" w:eastAsia="宋体" w:cs="宋体"/>
          <w:b/>
          <w:bCs/>
          <w:color w:val="000000"/>
          <w:sz w:val="24"/>
          <w:szCs w:val="24"/>
          <w:highlight w:val="none"/>
        </w:rPr>
      </w:pPr>
    </w:p>
    <w:p w14:paraId="1F4258FC">
      <w:pPr>
        <w:keepNext w:val="0"/>
        <w:keepLines w:val="0"/>
        <w:pageBreakBefore w:val="0"/>
        <w:widowControl/>
        <w:numPr>
          <w:ilvl w:val="0"/>
          <w:numId w:val="0"/>
        </w:numPr>
        <w:spacing w:line="440" w:lineRule="exact"/>
        <w:jc w:val="center"/>
        <w:rPr>
          <w:rFonts w:hint="eastAsia" w:ascii="宋体" w:hAnsi="宋体" w:eastAsia="宋体" w:cs="宋体"/>
          <w:b/>
          <w:bCs/>
          <w:color w:val="000000"/>
          <w:sz w:val="24"/>
          <w:szCs w:val="24"/>
          <w:highlight w:val="none"/>
          <w:lang w:val="en-US" w:eastAsia="zh-CN"/>
        </w:rPr>
      </w:pPr>
    </w:p>
    <w:p w14:paraId="56E7AF8C">
      <w:pPr>
        <w:keepNext w:val="0"/>
        <w:keepLines w:val="0"/>
        <w:pageBreakBefore w:val="0"/>
        <w:widowControl/>
        <w:numPr>
          <w:ilvl w:val="0"/>
          <w:numId w:val="0"/>
        </w:numPr>
        <w:spacing w:line="440" w:lineRule="exact"/>
        <w:jc w:val="center"/>
        <w:rPr>
          <w:rFonts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第三部分      技术参数要求</w:t>
      </w:r>
    </w:p>
    <w:p w14:paraId="0E2FD503">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（一）建设依据及标准</w:t>
      </w:r>
    </w:p>
    <w:p w14:paraId="7CF2E236">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1）GA／T669.1—2008 城市监控报警联网系统通用技术标准；</w:t>
      </w:r>
    </w:p>
    <w:p w14:paraId="7F0D5747">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2）GB／T28181-2016 安全防范视频监控联网系统传输、交换、控制技术要求；</w:t>
      </w:r>
    </w:p>
    <w:p w14:paraId="5F649171">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3）《全国公安机关视频图像信息整合与共享工作任务书》（公科信〔2012〕11 号）；</w:t>
      </w:r>
    </w:p>
    <w:p w14:paraId="7C301F66">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4）《全国公安机关图像信息联网总体技术方案》；</w:t>
      </w:r>
    </w:p>
    <w:p w14:paraId="3AAD3335">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5）GB/T 27524-2010 安全防范监控数字视音频编解码技术要求；</w:t>
      </w:r>
    </w:p>
    <w:p w14:paraId="07C0897F">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6）GB50348 安全防范工程技术规范；</w:t>
      </w:r>
    </w:p>
    <w:p w14:paraId="2558CCAE">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7）GA308—2001 安全防范系统验收规则；</w:t>
      </w:r>
    </w:p>
    <w:p w14:paraId="08C7B50C">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8）GA／T75—94 安全防范工程程序与要求；</w:t>
      </w:r>
    </w:p>
    <w:p w14:paraId="6048B7C8">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9）GB50198—94 民用闭路监视电视系统工程技术规范；</w:t>
      </w:r>
    </w:p>
    <w:p w14:paraId="4ED6117F">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10）GA／T74—2000 安全防范系统通用图形符号；</w:t>
      </w:r>
    </w:p>
    <w:p w14:paraId="7D40FEB0">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11）GA／367—2001 视频安防监控系统技术要求；</w:t>
      </w:r>
    </w:p>
    <w:p w14:paraId="3707CB01">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12）GA/T832-2014 道路交通安全违法行为图像取证技术规范；</w:t>
      </w:r>
    </w:p>
    <w:p w14:paraId="3D4C1A70">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13）GA/T445 公安交通指挥系统建设技术规范；</w:t>
      </w:r>
    </w:p>
    <w:p w14:paraId="49BEEDD7">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14）GB 50057—94 建筑物防雷设计规范；</w:t>
      </w:r>
    </w:p>
    <w:p w14:paraId="7F02318C">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15）GB／T50314—2000 智能建筑设计标准；</w:t>
      </w:r>
    </w:p>
    <w:p w14:paraId="3C3153DD">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16）GA/T497-2016 公路车辆智能监测记录系统通用技术条件；</w:t>
      </w:r>
    </w:p>
    <w:p w14:paraId="7D39CF2C">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17）GA/T833-2009 机动车号牌图像自动识别技术规范；</w:t>
      </w:r>
    </w:p>
    <w:p w14:paraId="3E344074">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18）GB50395-2007 视频安防监控系统工程设计规范；</w:t>
      </w:r>
    </w:p>
    <w:p w14:paraId="6D2C7831">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19）YD／T926 中华人民共和国通信行业标准；</w:t>
      </w:r>
    </w:p>
    <w:p w14:paraId="6F3F7A8A">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20）CJJ／T1 06—2055 城市市政综合信息系统技术规范；</w:t>
      </w:r>
    </w:p>
    <w:p w14:paraId="56BFF62E">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21）GA/T 751-2008 《视频图像文字标注规范》；</w:t>
      </w:r>
    </w:p>
    <w:p w14:paraId="65E3B24E">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22）《公安视频图像分析系统》（GA/T 1399）；</w:t>
      </w:r>
    </w:p>
    <w:p w14:paraId="75E42E8C">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23）《公安视频图像信息应用系统》（GA/T 1400）；</w:t>
      </w:r>
    </w:p>
    <w:p w14:paraId="5FF16E90">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24）《公安视频图像智能化建设应用指南》</w:t>
      </w:r>
    </w:p>
    <w:p w14:paraId="525BDA89">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25）《公共安全视频监控联网信息安全技术要求》（GB 35114-2017）；</w:t>
      </w:r>
    </w:p>
    <w:p w14:paraId="79CAAD5B">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26）《公共安全重点区域视频图像信息采集规范》（GB37300-2018）；</w:t>
      </w:r>
    </w:p>
    <w:p w14:paraId="7DB78A4B">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27）江苏省公安厅《社会面治安监控系统建设优先选用的监控产品目录》；</w:t>
      </w:r>
    </w:p>
    <w:p w14:paraId="72F8E702">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28）江苏省公安厅《关于印发全省 3.20 工程基础网络建设规范指导意见试行的通知》；</w:t>
      </w:r>
    </w:p>
    <w:p w14:paraId="0245C248">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29）江苏省公安厅《全省 3.20 工程监控系统数据和图像采集标准和传输规范》；</w:t>
      </w:r>
    </w:p>
    <w:p w14:paraId="49683265">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30）江苏省公安厅《全省“3.20”工程市县道路监控信息管理系统建设指导意见》；</w:t>
      </w:r>
    </w:p>
    <w:p w14:paraId="32CCEADD">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31）江苏省公安厅《全省公安机关道路监控网“3.20”工程建设规划及技术指导意见》；</w:t>
      </w:r>
    </w:p>
    <w:p w14:paraId="28CC570E">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32）江苏省公安厅《关于加强全省公安视频图像专网建设应用和运行管理工作的意见》；</w:t>
      </w:r>
    </w:p>
    <w:p w14:paraId="01125337">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33）《关于加强全省社会治安监控联网调度和资源整合建设工作的规划指导意见》；</w:t>
      </w:r>
    </w:p>
    <w:p w14:paraId="72B2E0E8">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34）《江苏省道路治安卡口监控系统建设基本技术规划（试行）》《省级道路治安卡口信息化建设规范》《社会治安监控系统布建指导意见》；</w:t>
      </w:r>
    </w:p>
    <w:p w14:paraId="7EAD7428">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35）《关于推进全省公安巡逻车移动图像监控系统建设有关工作的通知》；</w:t>
      </w:r>
    </w:p>
    <w:p w14:paraId="058EFAC0">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36）九部委关于《关于加强公共安全视频监控建设联网应用工作的若干意见》发改高技〔2015〕996 号；</w:t>
      </w:r>
    </w:p>
    <w:p w14:paraId="5AC9A38F">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37）江苏省公安厅、宿迁市公安局相关的其他要求；</w:t>
      </w:r>
    </w:p>
    <w:p w14:paraId="2C1E65A2">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38）《 公共安全视频监控联网系统信息传输、交换、控制技术要求》</w:t>
      </w:r>
    </w:p>
    <w:p w14:paraId="408CEB6D">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（GB/T28181-2016);</w:t>
      </w:r>
    </w:p>
    <w:p w14:paraId="46972EDF">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39）《公安视频图像分析系统第 1 部分：通用技术要求》（GA/T 1399.1-2017）；</w:t>
      </w:r>
    </w:p>
    <w:p w14:paraId="31D2D0F1">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40）《公安视频图像分析系统第 2 部分：视频图像内容分析及描述技术要求》）</w:t>
      </w:r>
    </w:p>
    <w:p w14:paraId="64989D31">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（GA/T 1399.2-2017);</w:t>
      </w:r>
    </w:p>
    <w:p w14:paraId="6E9FCEE8">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41）《公安视频图像信息应用系统第 1 部分：通用技术要求》（GA/T 1400.1-2017）；</w:t>
      </w:r>
    </w:p>
    <w:p w14:paraId="727EFBEA">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42）《公安视频图像信息应用系统第 2 部分：应用平台技术要求》（ GA/T</w:t>
      </w:r>
    </w:p>
    <w:p w14:paraId="49B400AA">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1400.2-2017</w:t>
      </w:r>
      <w:r>
        <w:rPr>
          <w:rFonts w:hint="eastAsia" w:ascii="宋体" w:hAnsi="宋体" w:cs="宋体"/>
          <w:bCs/>
          <w:color w:val="000000"/>
          <w:sz w:val="24"/>
          <w:szCs w:val="24"/>
          <w:highlight w:val="none"/>
          <w:lang w:val="en-US" w:eastAsia="zh-CN"/>
        </w:rPr>
        <w:t>)；</w:t>
      </w:r>
    </w:p>
    <w:p w14:paraId="3DD8B7FD">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43 ）《公安视频图像信息应用系统第 3 部分：数据库技术要求》（ GA/T</w:t>
      </w:r>
    </w:p>
    <w:p w14:paraId="73AD3377">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1400.3-2017</w:t>
      </w:r>
      <w:r>
        <w:rPr>
          <w:rFonts w:hint="eastAsia" w:ascii="宋体" w:hAnsi="宋体" w:cs="宋体"/>
          <w:bCs/>
          <w:color w:val="000000"/>
          <w:sz w:val="24"/>
          <w:szCs w:val="24"/>
          <w:highlight w:val="none"/>
          <w:lang w:val="en-US" w:eastAsia="zh-CN"/>
        </w:rPr>
        <w:t>)；</w:t>
      </w:r>
    </w:p>
    <w:p w14:paraId="440170D4">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44）《公安视频图像信息应用系统第 4 部分：接口协议要求》（GA/T1400.4-2017）；</w:t>
      </w:r>
    </w:p>
    <w:p w14:paraId="22C0CE3B">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45）《安防人脸识别应用视频人脸图像提取技术要求》（GA/T1334-2016）；</w:t>
      </w:r>
    </w:p>
    <w:p w14:paraId="33A18A51">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46）《信息技术生物特征识别数据交换格式第五部分：人脸图像数据》（GB/T</w:t>
      </w:r>
    </w:p>
    <w:p w14:paraId="2B434635">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26237.5-2014</w:t>
      </w:r>
      <w:r>
        <w:rPr>
          <w:rFonts w:hint="eastAsia" w:ascii="宋体" w:hAnsi="宋体" w:cs="宋体"/>
          <w:bCs/>
          <w:color w:val="000000"/>
          <w:sz w:val="24"/>
          <w:szCs w:val="24"/>
          <w:highlight w:val="none"/>
          <w:lang w:val="en-US" w:eastAsia="zh-CN"/>
        </w:rPr>
        <w:t>)；</w:t>
      </w:r>
    </w:p>
    <w:p w14:paraId="5B086C01">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47）《居民身份证制证用数字相片技术要求》（GA461-2004）；</w:t>
      </w:r>
    </w:p>
    <w:p w14:paraId="74E1DF28">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48） 公安部《警用地理信息系统系列标准规范》；</w:t>
      </w:r>
    </w:p>
    <w:p w14:paraId="19F6E841">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49）公安部《公安信息通信网边界接入平台安全规范》。</w:t>
      </w:r>
    </w:p>
    <w:p w14:paraId="6BE6851D">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50）《全省智能泛在感知网建设规划指导意见》</w:t>
      </w:r>
    </w:p>
    <w:p w14:paraId="78C38D30">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51）《全国公安机关图像信息联网总体技术方案》</w:t>
      </w:r>
    </w:p>
    <w:p w14:paraId="20ACE9E1">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52）部科信局《公安视频传输网建设指南（征求意见稿）》</w:t>
      </w:r>
    </w:p>
    <w:p w14:paraId="30367A4F">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53）GA/T 1400-2017《公安视频图像信息应用系统》</w:t>
      </w:r>
    </w:p>
    <w:p w14:paraId="233DAC09">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54）公安部《企事业单位参与公安机关信息化建设安全管理办法》</w:t>
      </w:r>
    </w:p>
    <w:p w14:paraId="60299163">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55）《公安交通指挥系统工程建设通用程序和要求》（GA/T651-2014）</w:t>
      </w:r>
    </w:p>
    <w:p w14:paraId="5B6B3587">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56）《公安交通管理外场设备基础施工通用要求》（GA/T652-2017）</w:t>
      </w:r>
    </w:p>
    <w:p w14:paraId="405FD032">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57）《道路车辆智能监测记录系统通用技术条件》（GA/T497-2016）</w:t>
      </w:r>
    </w:p>
    <w:p w14:paraId="76FF5596">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58）《道路交通安全违法行为图像取证技术规范》（GA/T 832-2014）</w:t>
      </w:r>
    </w:p>
    <w:p w14:paraId="167CDA72">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59）《机动车号牌图像自动识别技术规范》（GA/833-2016）</w:t>
      </w:r>
    </w:p>
    <w:p w14:paraId="1D8627EA">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60）《中华人民共和国机动车号牌》（GA36-2018）</w:t>
      </w:r>
    </w:p>
    <w:p w14:paraId="28B57725">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62）《交通电视监视系统工程验收规范》（GA/T514-2004）</w:t>
      </w:r>
    </w:p>
    <w:p w14:paraId="47E0002A">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63）《公路交通安全设施设计技术规范》（JTJ074-2003）</w:t>
      </w:r>
    </w:p>
    <w:p w14:paraId="76C061E5">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64）《中华人民共和国公共安全行业标准》GA38-92</w:t>
      </w:r>
    </w:p>
    <w:p w14:paraId="37CA3D52">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65）《全国道路交通管理信息数据库规范》（GA329.3 第 3 部分）</w:t>
      </w:r>
    </w:p>
    <w:p w14:paraId="2A75E901">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66）《公安视频监控前端设备GB35114密码接口规范》</w:t>
      </w:r>
    </w:p>
    <w:p w14:paraId="258A80DF">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67）《公安视频监控前端设备GB35114密码接口规范》</w:t>
      </w:r>
    </w:p>
    <w:p w14:paraId="21C7FFFC">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68）《公安视频监控客户端GB35114密码接口规范》</w:t>
      </w:r>
    </w:p>
    <w:p w14:paraId="7E62FDBB">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69）《公安视频监控共享平台GB35114密码接口规范》</w:t>
      </w:r>
    </w:p>
    <w:p w14:paraId="2EA83B4C">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70）《公安视频监控安全管理平台GB35114密码（扩展）接口规范》。</w:t>
      </w:r>
    </w:p>
    <w:p w14:paraId="15CEF8A0">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以上文件对于本项目的应用是必不可少的，以上标准，如有最新版本或者替代标准（包括所有的修改）适用于本要求。投标方提供的方案必须满足以上最新相关国家标准和行业规范。否则后果自负。</w:t>
      </w:r>
    </w:p>
    <w:p w14:paraId="2C51C20C">
      <w:pPr>
        <w:keepNext w:val="0"/>
        <w:keepLines w:val="0"/>
        <w:pageBreakBefore w:val="0"/>
        <w:widowControl/>
        <w:numPr>
          <w:ilvl w:val="0"/>
          <w:numId w:val="0"/>
        </w:numPr>
        <w:spacing w:line="440" w:lineRule="exact"/>
        <w:ind w:firstLine="420"/>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八、线路服务（5年，数量以实际为准）</w:t>
      </w:r>
    </w:p>
    <w:p w14:paraId="43DFF251">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（一）投标人应根据本项目的特点提供一份详细的网络传输规划设计、建设施工及日常运维方案。</w:t>
      </w:r>
    </w:p>
    <w:p w14:paraId="2D790F54">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严格遵循相关标准和规范，所有前端建设点位均要采用与沭阳公安局现有视频监控专网一致的网络传输方式，建设物理隔离、接入网络带宽必须满足前端设备传输接入的实际应用需要，每个路口（每个单位或者场所）的传输费用以一条线路进行计算（线路的路径及走向由招标方确定），并与沭阳县公安局现有视频专网等项目整体网络进行无缝对接、一网运行，实现数据的互联互通，具有网络、数据、音视频同步传输等功能。光纤要求为专线，专网专用。[注：相关设备选用符合国家相关技术标准的设备，招标方不提供任何设备]。</w:t>
      </w:r>
    </w:p>
    <w:p w14:paraId="4CBFDBFD">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2）中标方必须提供满足实际使用需求且可按需扩充、提速升级，前端网络带宽必须满足实际应用要求，确保前端数据上传的带宽（500M）及延迟（3ms 以内）等相关技术要求的线路租赁给本项目（至少满足20个前端设备使用），并负责网络基础建设。凡是投标方提供的线路带宽等性能要求不能达到招标方实际使用要求的，中标方必须无条件整改。所需整改费用一律由中标方自行承担。</w:t>
      </w:r>
    </w:p>
    <w:p w14:paraId="31273E0D">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3）投标方必须有专门的维护团队，负责对传输线路进行全年 7x24 小时的监控。</w:t>
      </w:r>
    </w:p>
    <w:p w14:paraId="3A4307AC">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4）投标方须提供检测故障的技术手段和处理流程以及网管功能，确保第一时间发现前端网络故障，并通知用户，以快速有效的方式配合用户处理故障，故障排除之后向用户及时反馈结果。</w:t>
      </w:r>
    </w:p>
    <w:p w14:paraId="6E168C59">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5）投标方须对其施工的质量、网络的安全性、数据传输的稳定性、数据通讯质量等负责，保证采购人线路畅通及安全使用。</w:t>
      </w:r>
    </w:p>
    <w:p w14:paraId="3A83D7AE">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6）根据业主方要求，提供传输线路的新增开通、地址变更、传输线路撤销等服务。中标单位无条件承担所有线路的拆除、重建、迁移、升级等所有相关配套设备和施工费用，招标人只承担租赁线路的实际传输费用。每次线路的迁移时限原则上不超过 5日历天，确有困难的，中标人报经采购方同意后可适当延长。</w:t>
      </w:r>
    </w:p>
    <w:p w14:paraId="10586DBD">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7）因修路等客观原因，点位需要迁移的，中标单位需免费配合，并按采购人要求在规定时间内完成设备迁移、重建等所有相关配套设备和施工。</w:t>
      </w:r>
    </w:p>
    <w:p w14:paraId="5671BE5F">
      <w:pPr>
        <w:keepNext w:val="0"/>
        <w:keepLines w:val="0"/>
        <w:pageBreakBefore w:val="0"/>
        <w:widowControl/>
        <w:numPr>
          <w:ilvl w:val="0"/>
          <w:numId w:val="0"/>
        </w:numPr>
        <w:spacing w:line="440" w:lineRule="exact"/>
        <w:ind w:firstLine="420"/>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九、基础配套设施要求【包含但不限于：电源线、取电线、网线、定制视频监控机箱、3.5米立杆、6.5米立杆、地笼和一切相关辅材等】</w:t>
      </w:r>
    </w:p>
    <w:p w14:paraId="0AAD8EA4">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（一）定制视频监控机箱</w:t>
      </w:r>
    </w:p>
    <w:p w14:paraId="3FC6AB8D">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箱体材质为Q235A，壁厚不小于1.2MM，内外表面为热镀锌处理后喷塑，喷塑颜色为白色，卡口监控机箱尺寸不小于长400MM、宽300MM、高500MM（具体尺寸以深化设计为准），社会面监控机箱尺寸由投标方自行根据现场勘查情况进行设计。焊接标准符合 GB/T12469，焊缝符合 GB/T11345-1989 钢质焊接标准；符合 GBJ17-88 钢结构设计规范。尺寸应能放置前端配套设备，并留有空间余量。箱体防护等级应能达到IP54防护等级。机箱具体样式与已建的社会面监控的机箱相同。含自动重合闸、空开、插排、电源、2合1防雷器网络防雷、如存在一杆多摄像机的情况，则每台摄像机均需要配置防雷设备，电源三级防雷、锁等配套设备，抱箍采用镀锌防锈处理，机箱外壳要标注“沭阳公安”字样、按照招标人现有格式张贴相关二维码标签和定制显著的公安监控标识。</w:t>
      </w:r>
    </w:p>
    <w:p w14:paraId="7F6B00BC">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（二）杆件技术要求：</w:t>
      </w:r>
    </w:p>
    <w:p w14:paraId="4DC0377C">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1）横臂开 30*50mm 出线孔（根据卡口视频监控和人脸功能不同开孔大小进行定制），对应出线孔上方焊导轨。壁厚3MM（含）以上。</w:t>
      </w:r>
    </w:p>
    <w:p w14:paraId="1A5B1C36">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2）主杆底部法兰向上 6.5 米处开 50mm 出线孔（3.5米立杆则为3.5米）。（挂杆机箱用）</w:t>
      </w:r>
    </w:p>
    <w:p w14:paraId="0680E67B">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3）杆体焊接方式为自动埋弧焊和气体保护，焊接可靠，表面光滑，无明显的气孔，焊瘤、咬边等焊接缺陷。</w:t>
      </w:r>
    </w:p>
    <w:p w14:paraId="76FC4E38">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4）钢杆防腐处理采用热浸锌，镀锌工艺过程经过酸洗，热镀锌，水洗，磷化、钝化等过程，镀锌层表面光滑美观，光泽一致，无皱皮，流坠及锌瘤、起皮、斑点、阴阳面等缺陷存在。</w:t>
      </w:r>
    </w:p>
    <w:p w14:paraId="63D82F99">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 xml:space="preserve">5）杆体热镀锌后进行静电喷塑（颜色为上部白色，主杆下部1.5米以下蓝色），喷塑前先磨砂以增加附着力，喷塑过程中严格控制固化时间和温度，保证塑层均匀、光滑、无气孔。 </w:t>
      </w:r>
    </w:p>
    <w:p w14:paraId="13B4C456">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6）杆件设计符合国家及行业标准。</w:t>
      </w:r>
    </w:p>
    <w:p w14:paraId="01529E94">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7）立杆、挑臂及机箱的防腐处理热镀锌：锌层厚度应达65-90UM。镀锌件的锌层应均匀光滑、无毛刺、滴瘤和多余结块，锌层应与钢杆基体结合牢固，经锤击试验，锌层不剥离，不凸起。喷塑处理：热镀锌后再进行喷塑处理，喷塑粉末应选用室外专用粉末，涂层不得有剥落、龟裂现象，涂层和基体结合强度进行检查试验时，不得有剥落和开裂。抱箍采用镀锌防锈处理。投标人应提供杆件产品使用寿命20年以上，抱杆机箱10年以上不得出现生锈、脱落、变形等质量保障。杆件及横臂高度根据现场实际情况定制，由中标人深化设计后报至招标人审核，审核通过方可实行。</w:t>
      </w:r>
    </w:p>
    <w:p w14:paraId="38675C01">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8）根据现场实际情况定制，由中标人深化设计后报至招标人审核，审核通过方可进场实施。</w:t>
      </w:r>
    </w:p>
    <w:p w14:paraId="313093B0">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（三）基坑要求：</w:t>
      </w:r>
    </w:p>
    <w:p w14:paraId="63E17A17">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1）卡口点位基坑浇筑尺寸不小于 1.2 米*1.2 米*1.4 米，强度 C30。具体尺寸中标方应根据现场实际情况确定，必须达到相关标准规范和招标文件要求。</w:t>
      </w:r>
    </w:p>
    <w:p w14:paraId="405D2620">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2）视频监控点位基坑浇筑尺寸不小于 0.8米*0.8*1.0米，强度 C30。具体尺寸中标方应根据现场实际情况勘探确定，必须达到相关标准规范和招标文件要求。（确定基坑尺寸）</w:t>
      </w:r>
    </w:p>
    <w:p w14:paraId="13B4152D">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3）投标人提供的杆件应在施工前提供杆件生产厂家相关的杆件检测报告、质保承诺，否则不予验收。</w:t>
      </w:r>
    </w:p>
    <w:p w14:paraId="3BB832A0">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4）电源线：RVV2*1.0 ；</w:t>
      </w:r>
    </w:p>
    <w:p w14:paraId="4C60F4F7">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5）取电线：RVV3*2.5；</w:t>
      </w:r>
    </w:p>
    <w:p w14:paraId="1B37AFE3">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6）网线：室外超五类；</w:t>
      </w:r>
    </w:p>
    <w:p w14:paraId="1751ED56">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7）辅材：包含：支架、抱箍、波纹软管、螺丝、插排、水晶头、PVC管、标签以及未列明的一切所需辅材。</w:t>
      </w:r>
    </w:p>
    <w:p w14:paraId="600FF5A5">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8）其他：</w:t>
      </w:r>
    </w:p>
    <w:p w14:paraId="3A037CB5">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①设备安装过程中，如出现借杆、借电、开户或高空借点安装等问题，中标人需自行解决；为确保前端稳定运行，后续运行维保过程中所需备品备件由中标人自行准备，要求与招标一致，招标人不再另行支出其它费用。</w:t>
      </w:r>
    </w:p>
    <w:p w14:paraId="1B4A920A">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②中标人需负责设备数据无缝接入沭阳县公安局系统，具体内容中标后由招标人要求。</w:t>
      </w:r>
    </w:p>
    <w:p w14:paraId="3C6F311C">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③以上要求中投标人须满足，如存在任何偏离，必须在投标技术文件中注明（未注明的由投标单位承担一切责任），并提供有关材料以证明其合理性。同时，投标方的报价应建立在投标方已对现场自行进行充分勘查的基础上，并以实现招标文件功能需求为标准，清单如有数量不足（或缺项）时，投标人在投标前提出，若不提出施工时应自行补足。如未按此要求，投标方应承担缺、少、漏项所带来的一切责任，招标方则理解为系投标方让利行为。</w:t>
      </w:r>
    </w:p>
    <w:p w14:paraId="6F985853">
      <w:pPr>
        <w:keepNext w:val="0"/>
        <w:keepLines w:val="0"/>
        <w:pageBreakBefore w:val="0"/>
        <w:widowControl/>
        <w:numPr>
          <w:ilvl w:val="0"/>
          <w:numId w:val="0"/>
        </w:numPr>
        <w:spacing w:line="440" w:lineRule="exact"/>
        <w:ind w:firstLine="420"/>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十、项目建设及技术要求</w:t>
      </w:r>
    </w:p>
    <w:p w14:paraId="6C76E53B">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（一）本项目的材料、设备、施工必须达到现行中华人民共和国及省、市、行业的一切法规、规范的要求。</w:t>
      </w:r>
    </w:p>
    <w:p w14:paraId="41EB1908">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（一）对材料的质量和试验要求执行中华人民共和国及省、市、行业的一切法规、 规 范的要求。</w:t>
      </w:r>
    </w:p>
    <w:p w14:paraId="056C9F33">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（二）依据相关技术文件要求，本项目的材料、设备、施工必须达到现行中华人民共和国及省、市、行业的一切法规、规范的要求。</w:t>
      </w:r>
    </w:p>
    <w:p w14:paraId="7A7BD59A">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（三）施工具体包含清单中全部内容，中标后根据采购人要求提交具体施工方案，并经采购人审核同意后方可进行施工。</w:t>
      </w:r>
    </w:p>
    <w:p w14:paraId="1D0F0FB2">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四）成交人应保障采购人不承担因工程而发生的任何损害、赔偿和补偿，以及与此有关的一切索赔诉讼费或其他开支；如发生，都由成交人承担。在工程建设期间，应结合施工现场及周边的环境，在保证安全和不影响正常生活、工作的前提下，做好文明施工工作。</w:t>
      </w:r>
    </w:p>
    <w:p w14:paraId="1C243397">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（五）成交人在整个项目实施过程中，必须从技术、项目进度、技术人员保障、施工安全、文明施工、项目实施制度、质量把关等方面按照质量体系、国家（行业）相关标准和本合同要求执行。</w:t>
      </w:r>
    </w:p>
    <w:p w14:paraId="00894BCD">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（六）各系统未列出设备参数或者软件功能要求请参照设备清单，所有非甲方需求变更一律不予追加。</w:t>
      </w:r>
    </w:p>
    <w:p w14:paraId="1D9F2D5D">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七）以上技术要求中各项技术指标投标人须满足，如存在任何偏离，必须在投标技术文件中注明（未注明的由投标单位承担一切责任），并提供有关材料以证明其合理性。同时，投标方的报价应建立在投标方已对现场自行进行充分勘查的基础上，并以实现招标文件功能需求为标准，设备清单如有数量不足（或缺项）时，投标人在投标前提出，若不提出施工时应自行补足。如未按此要求，投标方应承担缺、少、漏项所带来的一切责任，招标方则理解为系投标方让利行为。</w:t>
      </w:r>
    </w:p>
    <w:p w14:paraId="4D43E823">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（八）投标人各单项报价应合理、不得采用不均衡报价，如某一单项产品评标委员会一致认为价格不合理，则投标现场投标人须提供明确的证据证明报价合理性。</w:t>
      </w:r>
    </w:p>
    <w:p w14:paraId="6E844AFE">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（九）投标人在施工中如遇无法提供投标时所提供的设备，甲方有权要求投标人无条件更换招标时清单要求的设备。甲方为此不承担任何额外费用。</w:t>
      </w:r>
    </w:p>
    <w:p w14:paraId="778C8D80">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（十）所有摄像机调试必须达到甲方使用条件，如无法达到甲方使用条件，则中标单位须无条件更改。</w:t>
      </w:r>
    </w:p>
    <w:p w14:paraId="25E3032A">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（十一）所有软硬件设备的镜头必须根据情况和甲方实战需求合理选择，如无法满足甲方需求，则中标方必须无条件更换。</w:t>
      </w:r>
    </w:p>
    <w:p w14:paraId="098FD30D">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（十二）因投标方的原因造成工期延误一律由中标方承担。（所有工期延误需要提供工期延误证明）</w:t>
      </w:r>
    </w:p>
    <w:p w14:paraId="1908125C">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（十三）因中标方不认真投标造成施工中设备产品的变更，招标方有权进行罚款。</w:t>
      </w:r>
    </w:p>
    <w:p w14:paraId="5AE92360">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（十四）本项目的分包工程（如有），分包单位应具有相应资质和能力，经建设单位批准后方可进场施工，否则不支付工程款。</w:t>
      </w:r>
    </w:p>
    <w:p w14:paraId="4EABAECF">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（十五）施工、维护有关要求</w:t>
      </w:r>
    </w:p>
    <w:p w14:paraId="47707598">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① 除了包括保证软硬件正常运行的维护保养维修外，还包括监控（含线路）拆除、迁移、重建所包含的基础、浇筑、线材、人工、车辆、设备等保证设备正常运行的所有费用。</w:t>
      </w:r>
    </w:p>
    <w:p w14:paraId="53512C4D">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②关于安装调试与维护。含室外防水电源线标准按需、室外防水网线（超五类）标准按需、硅芯管（￠40）、双绞屏蔽线、水晶头、插排、电表箱、电费及上述未列出的其他必备辅材，以及道路沟通、顶管、架空、恢复、接电、接网、熔纤、设备安装、调测、维护、杆件和设备搬运、杆件和设备保存等整套施工环节，以及维保、质保期内的设备维修/更换、线路重新铺设拉接等。内场部分还包括设备上架、安装调试、对接，以及所需的交换机（含模块）、线材、水晶头、熔纤等线材、辅材、配件等；所有点位需在杆件上重新铺放超五类网线和电源线。</w:t>
      </w:r>
    </w:p>
    <w:p w14:paraId="7F2EBEAC">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③关于立杆基础。含基础开挖、混凝土浇筑、手井、环境保护、接地、接地极焊接、接地电阻检测等</w:t>
      </w:r>
      <w:r>
        <w:rPr>
          <w:rFonts w:hint="eastAsia" w:ascii="宋体" w:hAnsi="宋体" w:cs="宋体"/>
          <w:bCs/>
          <w:color w:val="000000"/>
          <w:sz w:val="24"/>
          <w:szCs w:val="24"/>
          <w:highlight w:val="none"/>
          <w:lang w:val="en-US" w:eastAsia="zh-CN"/>
        </w:rPr>
        <w:t>与</w:t>
      </w:r>
      <w:r>
        <w:rPr>
          <w:rFonts w:hint="eastAsia" w:ascii="宋体" w:hAnsi="宋体" w:eastAsia="宋体" w:cs="宋体"/>
          <w:bCs/>
          <w:color w:val="000000"/>
          <w:sz w:val="24"/>
          <w:szCs w:val="24"/>
          <w:highlight w:val="none"/>
          <w:lang w:val="en-US" w:eastAsia="zh-CN"/>
        </w:rPr>
        <w:t>基础有关的所有内容。基坑大小根据杆件标准确定，混凝土强度不低于 C30，要逐点进行接地电阻检测，每个接地点的接地电阻小于 4 欧姆。</w:t>
      </w:r>
    </w:p>
    <w:p w14:paraId="7BE4A4ED">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④关于手井。每根杆子 1 个，含手井盖（水泥质地，含钢筋加固，带“公安监控” 字样），厚度不低于 6CM。</w:t>
      </w:r>
    </w:p>
    <w:p w14:paraId="360EF69F">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⑤关于环境保护。含线路梳理、渣土清理、垃圾清理、绿化迁移、绿化保管、土壤回填、绿化恢复均由中标人负责并承担相关费用。</w:t>
      </w:r>
    </w:p>
    <w:p w14:paraId="219BD34B">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⑥关于视频管家。含视频管家二维码打印、张贴、信息采集、数据对接等均由中标人负责并承担相关费用，同时按照采购人要求在杆件上定制显著的公安监控标识。</w:t>
      </w:r>
    </w:p>
    <w:p w14:paraId="7AC67D05">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⑦对于在原点位加装、更换设备的（含灯控路口电子警察杆件上加装非机动车道人脸识别的点位），中标人在加装、更换安装之前，必须仔细检查立杆、基础、线路、抱杆机箱、配套设施的安全情况，必须在确保安全的前提下进行更换加装、更换。招标人不承担本项目的一切安全风险及由此造成的一切损失。</w:t>
      </w:r>
    </w:p>
    <w:p w14:paraId="576FE651">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⑧所有被更换下来的设备（含摄像机、补光灯等）由中标人统一保管、做好标签、形成清单，待质保期满后（或进行报废资产处置时）进行移交至招标人指定地点、指定位置均由中标人负责并承担相关费用。（所需仓库、人力、车辆等由中标人提供）。</w:t>
      </w:r>
    </w:p>
    <w:p w14:paraId="3B6804D2">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⑨试运行期间，整体（含该项目新建内容和纳入该项目维保的既往项目）完好率保持在 95%（含）以上、重点部位监控完好率保持在 100%（不可抗力原因除外）连续15日的，视为符合验收条件，招标人可根据项目建设标准、质量的整体完成情况，视情开展验收工作。</w:t>
      </w:r>
    </w:p>
    <w:p w14:paraId="60F2A9F7">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⑩完好率是指监控系统前端图像清晰、视频画面传输稳定，抓拍画面清晰、特征完整、数据不丢失，摄像机角度合理、标注规范、摄像机周边无树枝等异物遮挡，录像完整、不丢帧，网络通畅，监控平台等监控系统整体运行稳定。</w:t>
      </w:r>
    </w:p>
    <w:p w14:paraId="1E1828B9">
      <w:pPr>
        <w:keepNext w:val="0"/>
        <w:keepLines w:val="0"/>
        <w:pageBreakBefore w:val="0"/>
        <w:widowControl/>
        <w:numPr>
          <w:ilvl w:val="0"/>
          <w:numId w:val="0"/>
        </w:numPr>
        <w:spacing w:line="440" w:lineRule="exact"/>
        <w:ind w:firstLine="420"/>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十一、平台对接及其它要求：</w:t>
      </w:r>
    </w:p>
    <w:p w14:paraId="5A2E257A">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一）本项目中涉及的所有公安端设备都需要无缝对接现有公安平台，所有的人像（含人体）车辆前端需要同时按照标准无缝接入人像识别平台（视图库），达到招标方实际使用要求，并能够实现前端视频资源、图片资源、数据资源、模型资源与平台的互联互通。否则中标人无条件整改。</w:t>
      </w:r>
    </w:p>
    <w:p w14:paraId="4ADB4AAA">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二）本项目涉及的所有含对接、授权、二次开发等在内的技术性和软硬件费用问题均由中标人自行解决，并永久免费使用，不得设置软件有效期、授权限制、平台接入数量设置或类似设置，且不得设置每月每年临时授权或类似设置，如果出现相关设置，每发现一次罚款10000元，同时，视为投标人虚假投标，采购人有权上报相关部门，对中标供应商纳入信用信息失信惩戒。投标人应充分考虑所需费用包含在投标总价内。（提供承诺函，格式自拟。）</w:t>
      </w:r>
    </w:p>
    <w:p w14:paraId="6BA69331">
      <w:pPr>
        <w:pStyle w:val="2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rFonts w:hint="eastAsia" w:ascii="宋体" w:hAnsi="宋体" w:eastAsia="宋体" w:cs="宋体"/>
          <w:color w:val="000000"/>
          <w:sz w:val="24"/>
          <w:szCs w:val="24"/>
        </w:rPr>
        <w:t>（三）运维维保要求：</w:t>
      </w:r>
    </w:p>
    <w:p w14:paraId="0B642527">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本项目5年运维期从通过验收合格之日起计算。</w:t>
      </w:r>
    </w:p>
    <w:p w14:paraId="226C57BF">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负责本项目所有前端涉及点位的摄像机、设备箱，以及供电线路【取电点、含新开户办理的相关事宜（含电表箱）至系统设备】电线电缆、辅助线路、管道等（含利旧、新建管道等）一切相关系统设备的定期检查、故障分析、排除和调试、修复、安全隐患排除，确保前端设备正常录像、人脸抓拍、车辆抓拍效果达标。所有故障均由中标单位负责修复，设备丢失、人为破坏、不可抗力等原因所引起的故障（问题），由中标单位修复。其他前端设备的拆除、被盗均属于维保范围内的工程（包含利旧设备安装调试及维护）。因借用利旧杆件、网络设备、电源、管线等发生故障的，中标人必须进行处理保证本项目设备正常运行并承担相关费用，不得拖延。</w:t>
      </w:r>
    </w:p>
    <w:p w14:paraId="615FEE81">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及时清洁摄像机防护罩、镜头（含绿化遮挡）和机箱，做好防雨、防震及防干扰功能检测，清理摄像机遮挡物、小广告，检查摄像机供电、控制线路和角度等，确保设备良好的透视性能、整洁性和正常的防干扰功能，确保视频画面、抓拍图片清晰完整。定期检查所有前端辅助设备（基础、立杆、设备箱、电源、接地、防雷及附属设备）、线路及管道的安全状况，对立杆基础的沉降，立杆的焊缝、安装牢固性和稳定性等，及时发现安全隐患并及时采取加固等措施。有脱落和腐蚀现象进行修补和防腐，确保基础螺栓、螺帽和连接螺栓、螺帽的除锈、防腐、涂油、防护，并且不能松动。夏季雷雨季节，检查发现接地故障，并及时修复。本项目自合同签订之 日起，在本项目验收之前，中标人需按招标文件要求负责前端系统中心与本项目已有的相关服务器、存储的日常巡检、故障维护和处理工作，确保系统运行稳定，满足甲方使用要求。</w:t>
      </w:r>
    </w:p>
    <w:p w14:paraId="0EC0CDCA">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3）严禁违反公安部《关于禁止公安业务用计算机“一机两用 ”的通知》规定， 将公安业务用计算机连接互联网或外单位网络，包括：将公安机关使用的计算机及网络设备既连接公安信息网，又连接国际互联网；将公安机关使用的计算机及网络设备 在未采取安全隔离措施的情况下既连接公安信息网，又连接外单位网络；将存有涉密 信息的计算机连接国际互联网或其他公共网络；将国际互联网信息直接下载粘贴到公 安信息网上。以上情况一经发现中标人应即刻切断其与外网的连接，并立即报告采购 人，发生违反上述情况的由乙方承担 5000 元/次罚款且甲方有权追究乙方相应的法律责任，罚款从合同款中扣除。</w:t>
      </w:r>
    </w:p>
    <w:p w14:paraId="56FE1E55">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4）严禁违反“保密协议”的相关规定：擅自保留或外传涉及本系统的所有合同、 文档、方案、图纸（包括复印件、电子文档）等资料；未经采购人书面许可，将涉及本系统的任何资料透露或以其他方式提供给协议以外的其他方或中标人内部与本协议无关的任何人员，不得对保密信息进行拷贝或抄写；未经采购人许可，不得使用、转让或处理系统中的声音、图像和数据等信息，且不得向除采购人以外的任何单位和个人（即第三方）提供设备和系统中保存的有关信息发生，违反上述情况的由乙方承担 5000元/次罚款且甲方有权追究乙方相应的法律责任，罚款可从合同款中扣除。</w:t>
      </w:r>
    </w:p>
    <w:p w14:paraId="410FD602">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5）中标单位组织力量不间断巡检，发现故障后要立即组织力量维修，同时自行提供足够的备品备件（包括摄像头等），确保 4 小时内修复上线，确保项目整体完好率保持在95%及以上。凡发现不及时、修复不及时、报备不及时导致低于完好率的，视为当日完好率不合格。</w:t>
      </w:r>
    </w:p>
    <w:p w14:paraId="204354C9">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6）投标人所提供服务涉及的产品为原厂全新正品，品牌、型号、参数与投标文件承诺一致，否则采购人有权拒绝服务并对中标人处以中标价30%的罚款，由此造成设备调整服务延误的，每逾1天按成交金额的0.5%进行罚款。</w:t>
      </w:r>
    </w:p>
    <w:p w14:paraId="0DFDD669">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7）管道、顶管维护要求：所有线路、管道、顶管修复标准不得低于相关建设标准；需要管道埋深的，挖管深度应不小于 400 ㎜；要求规范铺设管道，管与管接头处应使用套管固定。</w:t>
      </w:r>
    </w:p>
    <w:p w14:paraId="03BAA41C">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8）如因招标方原因造成的设备（含配套设施）损坏由招标方负责，除此之外其他诸如设备被盗、人为破坏、交通事故等因素造成的设备（含配套设施、杆件和基础）丢失或损坏的，由中标方负责处理。</w:t>
      </w:r>
    </w:p>
    <w:p w14:paraId="1657AB39">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9）维保力量、售后服务及装备保障要求</w:t>
      </w:r>
    </w:p>
    <w:p w14:paraId="5F590D27">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①中标方用于维护的线缆、辅材等规格型号不得低于招标方现有使用和投标的规格型号；</w:t>
      </w:r>
    </w:p>
    <w:p w14:paraId="5B863472">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②中标方应充分评估系统维保期间所需要的电源线、网线、信号线等线缆数量及辅材数量，在投标报价中予以考虑。维保期间招标方不再提供任何额外的有关以上材料费用。</w:t>
      </w:r>
    </w:p>
    <w:p w14:paraId="31B9B564">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10）维保人员要求：</w:t>
      </w:r>
    </w:p>
    <w:p w14:paraId="464EE2B9">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①本项目运维期间，投标人应提供不少于10名的专职运维服务人员（不含线路维护人员，不与现有项目人员重复使用）。安排6名专职维保巡检人员。其中，前端维保人员不少于5名且经过专门培训考核、具备完成维保任务的实际能力。所有维保人员随时接受公安局发出的维护指令，手机电话必须 24 小时畅通。遇有大型活动安保、重要任务保障等活动时，维护人员需全时在岗在位。上述人员只能服务于本项目，非招标方要求，不得变更。（注：维保服务包括但不限于以下内容：提供周报、月报、故障服务报告等； 现场响应支持，安排运维团队进行故障分析排查，快速解障等；负责视频考核工作保障，提高考核成绩等；每日监控巡检，季度深度巡检等。）</w:t>
      </w:r>
    </w:p>
    <w:p w14:paraId="4909C711">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11） 维保时限要求</w:t>
      </w:r>
    </w:p>
    <w:p w14:paraId="4BD1404E">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①投标人须提供 7*24 小时现场服务，在接到招标方或者沭阳县公安局维保通知后，必须于半小时内签收。专职维保人员必须于 2 小时内到达现场并初步反馈情况。各类故障（含线路传输）必须做到 24 小时内修复完成，自交办之日起，每延迟一天，按照每台 100 元罚款（上不封顶）。</w:t>
      </w:r>
    </w:p>
    <w:p w14:paraId="7B4E1262">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②遇到重要时期或重大事件活动期间，投标人必须按照招标人要求提供现场全程专业化维保服务。</w:t>
      </w:r>
    </w:p>
    <w:p w14:paraId="264AEB42">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③对于属于电源跳闸、摄像机死机、网络线路松动、设备线路接触不良等一般故障的，必须在到达现场后 1 小时内排除；对于属于摄像机、补光灯、智能终端、ONU等设备损坏故障的，必须在 24 小时内完成修复；对于线缆、管道损坏的必须在 7 日内修复，对于顶管损坏的必须在 15 日内修复。</w:t>
      </w:r>
    </w:p>
    <w:p w14:paraId="077B59F6">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④出现单条视频专网故障的，在接到网络故障维修通知后 8 小时内修复；如出现大面积视频专网故障的，在故障发生后 24 小时内修复。</w:t>
      </w:r>
    </w:p>
    <w:p w14:paraId="1E858173">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⑤中标方用于维护的线缆、辅材等规格型号不得低于招标方现有使用和投标的规格型号。</w:t>
      </w:r>
    </w:p>
    <w:p w14:paraId="24BC3440">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⑥中标方应充分评估系统建设及维保期间所需要的电源线、网线、信号线等线缆数量及辅材数量，在投标报价中予以考虑。维保期间招标方不再提供任何额外的有关以上材料费用。</w:t>
      </w:r>
    </w:p>
    <w:p w14:paraId="252EA839">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（四） 前端供电</w:t>
      </w:r>
    </w:p>
    <w:p w14:paraId="12BA4EE9">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本项目的前端监控点位部分为利旧杆位或者杆件（中标人自行运输到施工地点）和线路资源，可利用原有监控点供电系统进行供电，如原有监控点供电系统无电的，中标人进行重新布线开户取电等，保证所有设备在建设期间及维保期内正常供电。</w:t>
      </w:r>
    </w:p>
    <w:p w14:paraId="5DE735A6">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本项目的所有监控点位，原则上必须满足供电局公用电的供电方式，并按照相关规定进行报建，其次部分点位需提供备用接电链路和备用电源装置做应急保障。如监控点附近确实不具备接供电局公用电条件的，须在获得采购人同意的前提下，采用其他相对稳定的供电方式，并安装监控用电电表，均由中标人负责并承担相关费用。</w:t>
      </w:r>
    </w:p>
    <w:p w14:paraId="473CE782">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3）前端供电系统应安装自动重合闸漏电保护开关，在前端设备局部短时间的漏电或短时间工作电流过大、雷电感应电流过大、电源供电电压不稳等情况下可自动跳闸保护；故障消失后可自动重合闸，而不需要人工恢复，以缩短故障时间，降低维护工作量。</w:t>
      </w:r>
    </w:p>
    <w:p w14:paraId="161EEB4D">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4）本项目施工过程中，采购人不提供临建，中标人需自行解决工具和材料的堆放场地。本项目施工过程中的管道开挖、路面恢复、供电报建等不限于以上的全部费用均包含在投标报价中，采购人不再另外支付以上费用。</w:t>
      </w:r>
    </w:p>
    <w:p w14:paraId="10B0F116">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（五）前端供电实施要求</w:t>
      </w:r>
    </w:p>
    <w:p w14:paraId="5E37148B">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1）本项目前端各设备均采用 AC 220V 模式。本项目所有建设点位取电（含拆除、立杆、开户费、电表、电表箱、线缆及安装接电等，以及安装在招标方现有利旧杆件上所需取电及施工费用自理），即交钥匙工程均由中标单位负责。供电方式采用集中供电和就地供电相结合的方式。原则是稳定可靠，同时需做好防雷措施，所需设备数量包含在本次投标报价内。中标人中标时至维保期内，若涉及迁移、取电工作不再另行支付费用。</w:t>
      </w:r>
    </w:p>
    <w:p w14:paraId="6D4A14CA">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2）防雷接地系统</w:t>
      </w:r>
    </w:p>
    <w:p w14:paraId="498203D3">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投标人的防雷和接地设计必须完备，设计方案要满足以下要求：防雷设备必须符合国家防雷设备技术标准。前端监控点既需考虑防止雷电过电压对设备的侵害，同时要防止直击雷。防雷和接地方案要求对前端沿杆引上摄像机的电源线和信号线应穿管屏蔽，同时在设备前的每条线路上加装合适的避雷器，如电源线、视频线、信号线和云台控制线。</w:t>
      </w:r>
    </w:p>
    <w:p w14:paraId="6AFB4E08">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防雷系统必须达到以下要求：</w:t>
      </w:r>
    </w:p>
    <w:p w14:paraId="7D08F2C3">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①电涌防护器的标称放电电流不小于 10KA；</w:t>
      </w:r>
    </w:p>
    <w:p w14:paraId="3EE7183C">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②电涌防护器的接地连接线的截面积不得小于 10mm2；</w:t>
      </w:r>
    </w:p>
    <w:p w14:paraId="7C82E340">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③安防系统所有设备均应在避雷针保护区域内。</w:t>
      </w:r>
    </w:p>
    <w:p w14:paraId="12F091BB">
      <w:pPr>
        <w:keepNext w:val="0"/>
        <w:keepLines w:val="0"/>
        <w:pageBreakBefore w:val="0"/>
        <w:spacing w:line="440" w:lineRule="exact"/>
        <w:ind w:firstLine="480"/>
      </w:pPr>
      <w:r>
        <w:rPr>
          <w:rFonts w:hint="eastAsia" w:ascii="宋体" w:hAnsi="宋体" w:eastAsia="宋体" w:cs="宋体"/>
          <w:bCs/>
          <w:color w:val="000000"/>
          <w:sz w:val="24"/>
          <w:szCs w:val="24"/>
          <w:highlight w:val="none"/>
          <w:lang w:val="en-US" w:eastAsia="zh-CN"/>
        </w:rPr>
        <w:t>3）系统前端的接地需要采用一点接地方式，接地母线采用铜质线，接地线不得形成封闭回路，不得与强电的电网零线短接或混接；前端设备防雷接地网采用专用接地装置时，其接地电阻要小于 4 欧姆。接地体材料可考虑采用镀锌角钢或铜镀钢棒，规格需符合国家规范要求。焊接采用放热焊接。</w:t>
      </w:r>
    </w:p>
    <w:p w14:paraId="01AEDF89">
      <w:pPr>
        <w:keepNext w:val="0"/>
        <w:keepLines w:val="0"/>
        <w:pageBreakBefore w:val="0"/>
        <w:widowControl/>
        <w:numPr>
          <w:ilvl w:val="0"/>
          <w:numId w:val="0"/>
        </w:numPr>
        <w:spacing w:line="440" w:lineRule="exact"/>
        <w:ind w:firstLine="420"/>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十二、保密措施要求</w:t>
      </w:r>
    </w:p>
    <w:p w14:paraId="3D68CC13">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一）投标人在本项目招投标过程以及项目设施、维保过程中应严格保护公安网络和数据安全，严格遵守《中华人民共和国网络安全法》《中华人民共和国数据安全法》《中华人民共和国个人信息保护法》等法律法规，以及公安部《企事业单位参与公安  机关信息化建设安全管理办法》等。</w:t>
      </w:r>
    </w:p>
    <w:p w14:paraId="14366D72">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（二）严禁违反公安部《关于禁止公安业务用计算机“一机两用 ”的通知》规定， 将公安业务用计算机连接互联网或外单位网络，包括：将公安机关使用的计算机及网 络设备既连接公安信息网，又连接国际互联网；将公安机关使用的计算机及网络设备 在未采取安全隔离措施的情况下既连接公安信息网，又连接外单位网络；将存有涉密 信息的计算机连接国际互联网或其他公共网络；将国际互联网信息直接下载粘贴到公安信息网上。以上情况一经发现中标人应即刻切断其与外网的连接，并立即报告采购人发生违反上述情况的由乙方承担5000 元/次罚款且甲方有权追究乙方相应的法律责任，罚款可从合同款中扣除。</w:t>
      </w:r>
    </w:p>
    <w:p w14:paraId="356F6F41">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（三）严禁违反“保密协议 ”的相关规定：擅自保留或外传涉及本系统的所有合同、 文档、方案、图纸（包括复印件、电子文档）等资料；未经采购人书面许可，将涉及 本系统的任何资料透露或以其他方式提供给协议以外的其他方或中标人内部与本协 议无关的任何人员，不得对保密信息进行拷贝或抄写；未经采购人许可，不得使用、 转让或处理系统中的声音、图像和数据等信息，且不得向除采购人以外的任何单位和个人（即第三方）提供设备和系统中保存的有关信息发生，违反上述情况的由乙方承担5000 元/次罚款 且甲方有权追究乙方相应的法律责任，罚款可从合同款中扣除。</w:t>
      </w:r>
    </w:p>
    <w:p w14:paraId="6240261F">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（四）严禁发生其他违反法律法规、行政规章制度的行为。</w:t>
      </w:r>
    </w:p>
    <w:p w14:paraId="701C8F39">
      <w:pPr>
        <w:keepNext w:val="0"/>
        <w:keepLines w:val="0"/>
        <w:pageBreakBefore w:val="0"/>
        <w:widowControl/>
        <w:numPr>
          <w:ilvl w:val="0"/>
          <w:numId w:val="0"/>
        </w:numPr>
        <w:spacing w:line="440" w:lineRule="exact"/>
        <w:ind w:firstLine="420"/>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十三、供货要求及质量要求</w:t>
      </w:r>
    </w:p>
    <w:p w14:paraId="5D891FF2">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一）供方应严格按照标书的有关规定提供合格商品，保证货物为全新、未使用的原装正品，货物上均有合格证，包括品牌的有关标志；一旦发生质量问题，中标人需在2小时内响应，并保证在接到通知24小时内到现场进行更换或退货，费用由中标人负责。如中标人在接到通知工作日的24小时内没有答复或处理问题，则视为中标人承认质量问题并承担由此而发生的一切费用。</w:t>
      </w:r>
    </w:p>
    <w:p w14:paraId="1B1A584A">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（二）质量保证</w:t>
      </w:r>
    </w:p>
    <w:p w14:paraId="2FDCD767">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投标人应保证提供的货物与服务项目在经过正确安装、正常使用和保养条件下，在其使用寿命内应具有满意的性能。货物最终验收后，在质量保证期内，投标人应对由于设计、工艺或材料的缺陷以及其他由于生产厂家或投标人的原因而发生的任何不足或故障负责，费用由投标人负担。</w:t>
      </w:r>
    </w:p>
    <w:p w14:paraId="3D2CE85E">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根据当地法定检验机构的检验结果或者在质量保证期内，如果货物与服务项目的内在质量或规格型号与合同不符，或证明货物是有缺陷的，包括潜在的缺陷或使用不符合要求的材料等，采购人有权向投标人发出索赔通知。</w:t>
      </w:r>
    </w:p>
    <w:p w14:paraId="72BEA506">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3）投标人在收到通知后，应在合同所附服务承诺约定的时间内维修、更换有缺陷的货物或部件。</w:t>
      </w:r>
    </w:p>
    <w:p w14:paraId="48C44714">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4）如果投标人在收到通知后，在合同所附服务承诺约定的时间内没有弥补缺陷，采购人可采取必要的补救措施，但风险和费用将由投标人承担。</w:t>
      </w:r>
    </w:p>
    <w:p w14:paraId="3B324D0C">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5）产品的包装、发运及运输</w:t>
      </w:r>
    </w:p>
    <w:p w14:paraId="34939322">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①投标人应在产品发运前对其进行满足运输距离、防潮、防震、防锈和防破损装卸等要求包装，以保证产品安全运达采购人指定地点。</w:t>
      </w:r>
    </w:p>
    <w:p w14:paraId="2A3B1C86">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②使用说明书、质量检验证明书、随配附件和工具以及清单一并附于货物内。</w:t>
      </w:r>
    </w:p>
    <w:p w14:paraId="4CDE78E1">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③产品在交付采购人前发生的风险均由投标人负责。</w:t>
      </w:r>
    </w:p>
    <w:p w14:paraId="10A33700">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④产品在规定的交付期限内由投标人送达采购人指定的地点视为交付，投标人同时需通知采购人产品已送达。</w:t>
      </w:r>
    </w:p>
    <w:p w14:paraId="0E238945">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6）售后服务</w:t>
      </w:r>
    </w:p>
    <w:p w14:paraId="4E69CFC5">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①售后服务期内免费为采购人提供维修、保养、同质备件及替换等，采购人不承担任何费用，中标供应商保证设备在免费维保期内有效运行，售后服务期内免费为客户排除软硬件故障，使客户方系统得到更好的维护与支持。</w:t>
      </w:r>
    </w:p>
    <w:p w14:paraId="5AD18E97">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②技术支持响应时间。在售后服务期内，投标人服务时间应为 7×24小时，当投标产品或软件遭到损坏或出现故障时，中标供应商在接到采购人通知的 4 小时内快速响应服务，派人到达现场处理设备故障和问题，2小时内解决问题。</w:t>
      </w:r>
    </w:p>
    <w:p w14:paraId="69288B8F">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③售后服务期过后，投标人仍有义务提供优惠的技术服务（包括提供设备维护、备件等）。</w:t>
      </w:r>
    </w:p>
    <w:p w14:paraId="7DF1CF2C">
      <w:pPr>
        <w:keepNext w:val="0"/>
        <w:keepLines w:val="0"/>
        <w:pageBreakBefore w:val="0"/>
        <w:widowControl/>
        <w:numPr>
          <w:ilvl w:val="0"/>
          <w:numId w:val="0"/>
        </w:numPr>
        <w:spacing w:line="440" w:lineRule="exact"/>
        <w:ind w:firstLine="420"/>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十四、项目实施方案要求：</w:t>
      </w:r>
    </w:p>
    <w:p w14:paraId="14C20691">
      <w:pPr>
        <w:pStyle w:val="2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rFonts w:hint="eastAsia" w:eastAsia="宋体"/>
          <w:lang w:val="en-US" w:eastAsia="zh-CN"/>
        </w:rPr>
      </w:pPr>
      <w:r>
        <w:rPr>
          <w:rFonts w:hint="eastAsia" w:ascii="宋体" w:hAnsi="宋体" w:eastAsia="宋体" w:cs="宋体"/>
          <w:color w:val="000000"/>
          <w:sz w:val="24"/>
          <w:szCs w:val="24"/>
        </w:rPr>
        <w:t>（一）供应商针对本项目编写项目实施方案，包括但不限于：总体方案设计、实施方案、应急事件处置方案</w:t>
      </w:r>
      <w:r>
        <w:rPr>
          <w:rFonts w:hint="eastAsia" w:ascii="宋体" w:hAnsi="宋体" w:cs="宋体"/>
          <w:color w:val="000000"/>
          <w:sz w:val="24"/>
          <w:szCs w:val="24"/>
          <w:lang w:val="en-US" w:eastAsia="zh-CN"/>
        </w:rPr>
        <w:t>等。</w:t>
      </w:r>
    </w:p>
    <w:p w14:paraId="1FD16450">
      <w:pPr>
        <w:keepNext w:val="0"/>
        <w:keepLines w:val="0"/>
        <w:pageBreakBefore w:val="0"/>
        <w:widowControl/>
        <w:numPr>
          <w:ilvl w:val="0"/>
          <w:numId w:val="0"/>
        </w:numPr>
        <w:spacing w:line="440" w:lineRule="exact"/>
        <w:ind w:firstLine="420"/>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十五、验收标准</w:t>
      </w:r>
    </w:p>
    <w:p w14:paraId="5BC35743">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一）在发货前，乙方应对货物的质量、规格、性能、数量或重量等进行准确而全面的检验，并出具一份证明货物符合合同规定的证书。该证书将作为提交付款单据的一部分，但有关质量、规格、性能、数量或重量的检验不应视为最终检验。</w:t>
      </w:r>
    </w:p>
    <w:p w14:paraId="07D263F0">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（二）货物交付后，在安装前应仔细检查货物自身无缺陷后方可安装，如果存在货物破损、自身材质、规格等质量缺陷，甲方有权要求将货物退场，由此引起的一切后果由乙方承担。</w:t>
      </w:r>
    </w:p>
    <w:p w14:paraId="3B262911">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三）货物进场后乙方继续负责看管工作，如因看管不善所造成的一切损失均由乙方承担；设备进场后乙方应准备好相关初步验收资料，验收内容包括：产地、货号、规格、数量、外观质量，以及设备是否完好。甲方应按签订采购合同约定时间组织验收，并出具书面初步验收报告。</w:t>
      </w:r>
    </w:p>
    <w:p w14:paraId="45C4CBF2">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（四）乙方货物全部进场安装调试，并提供相关初步验收资料后 3 日内，甲方组织验收并出具验收报告。如果设备的质量、规格与合同规定不符，或在质量保证期内发现货物是有缺陷的（包括潜在缺陷或使用不符合要求的材料）。</w:t>
      </w:r>
    </w:p>
    <w:p w14:paraId="302AEBA0">
      <w:pPr>
        <w:keepNext w:val="0"/>
        <w:keepLines w:val="0"/>
        <w:pageBreakBefore w:val="0"/>
        <w:widowControl/>
        <w:numPr>
          <w:ilvl w:val="0"/>
          <w:numId w:val="0"/>
        </w:numPr>
        <w:spacing w:line="440" w:lineRule="exact"/>
        <w:ind w:firstLine="420"/>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十六、报价要求</w:t>
      </w:r>
    </w:p>
    <w:p w14:paraId="4CA45AE1">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（一）投标报价要求：投标人投标报价以人民币为单位。</w:t>
      </w:r>
    </w:p>
    <w:p w14:paraId="4847EA8A">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（二）投标人应对项目内所有内容进行投标，不允许只对其中部分内容进行投标，否则其投标无效。</w:t>
      </w:r>
    </w:p>
    <w:p w14:paraId="1A5F780F">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（三）中标人提供服务须与投标文件相符，否则视为虚假应标，投标人自行承担由此造成的损失及后果。</w:t>
      </w:r>
    </w:p>
    <w:p w14:paraId="4DC7580A">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四）供应商报价时应充分考虑所有可能影响到报价的因素，清单包含主材费、辅材费、安装费、调试费、措施项目费、规费、税金等一切费用，投标方自行考虑自主报价，投标报价内容包括：货物本身价格、配件、所有辅材、运输、装卸、人工、安装、产品损耗、验收评审、售后服务、税费及产品交付使用过程中涉及的其他一切费用。一旦最终中标，总价将包定，不予调整。如发生漏、缺、少项，都将被认为是成交人的报价让利行为，损失自负。投标人应充分勘察施工现场，充分考虑工程量及施工难度，确保中标后正常履约。招标人不组织现场踏勘，招标文件中所列的设备种类及数量，仅作为投标报价的依据。 </w:t>
      </w:r>
    </w:p>
    <w:p w14:paraId="323BE173">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（五）所有涉及杆件拆除、管道破坏、取电点拆除均由中标人负责，招标人不再另行支付费用。</w:t>
      </w:r>
    </w:p>
    <w:p w14:paraId="0ABC7BE5">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（六）系统集成应包括设备安装、调试及5年维保等相关项目所有费用。</w:t>
      </w:r>
    </w:p>
    <w:p w14:paraId="02819D9C">
      <w:pPr>
        <w:keepNext w:val="0"/>
        <w:keepLines w:val="0"/>
        <w:pageBreakBefore w:val="0"/>
        <w:widowControl/>
        <w:numPr>
          <w:ilvl w:val="0"/>
          <w:numId w:val="0"/>
        </w:numPr>
        <w:spacing w:line="440" w:lineRule="exact"/>
        <w:ind w:firstLine="420"/>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十七、落实政府采购需求标准</w:t>
      </w:r>
    </w:p>
    <w:p w14:paraId="0DBA345B">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一）落实节能、环保产品政策：对照财库〔2019〕9号、财库〔2019〕19号文件规定，供应商所投产品属于强制采购产品的，应提供国家市场监督管理总局确定的列入“参与实施政府采购节能产品认证机构名录”内的认证机构出具的、有效期内的该产品的节能产品认证证书，不满足以上要求的按无效标处理。</w:t>
      </w:r>
    </w:p>
    <w:p w14:paraId="6460177A">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二）落实商品包装、快递包装政府采购需求标准：供应商所投产品需进行商品包装和快递包装的，应不低于《关于印发〈商品包装政府采购需求标准（试行）〉、〈快递包装政府采购需求标准（试行）〉的通知》（财办库〔2020〕123号）文件规定的参考标准。在履约验收时按照本条款执行，违反本约定的对照合同违约条款追究违约责任。供应商一旦参与本项目投标，即完全响应本条款要求。</w:t>
      </w:r>
    </w:p>
    <w:p w14:paraId="77BED3CF">
      <w:pPr>
        <w:keepNext w:val="0"/>
        <w:keepLines w:val="0"/>
        <w:pageBreakBefore w:val="0"/>
        <w:spacing w:line="440" w:lineRule="exact"/>
        <w:ind w:firstLine="48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（三）落实政府采购领域数字人民币政策：在政府采购履约保证金、代理服务费和货款资金支付中，数字人民币作为支付方式之一。</w:t>
      </w:r>
    </w:p>
    <w:bookmarkEnd w:id="155"/>
    <w:p w14:paraId="71F89BAB">
      <w:pPr>
        <w:keepNext w:val="0"/>
        <w:keepLines w:val="0"/>
        <w:pageBreakBefore w:val="0"/>
        <w:widowControl w:val="0"/>
        <w:pBdr>
          <w:top w:val="none" w:color="000000" w:sz="0" w:space="0"/>
          <w:left w:val="none" w:color="000000" w:sz="0" w:space="0"/>
          <w:bottom w:val="none" w:color="000000" w:sz="0" w:space="0"/>
          <w:right w:val="none" w:color="000000" w:sz="0" w:space="0"/>
        </w:pBdr>
        <w:spacing w:line="440" w:lineRule="exact"/>
        <w:ind w:firstLine="480"/>
        <w:rPr>
          <w:rFonts w:ascii="宋体" w:hAnsi="宋体" w:eastAsia="宋体" w:cs="宋体"/>
          <w:color w:val="000000"/>
          <w:sz w:val="24"/>
          <w:szCs w:val="24"/>
          <w:highlight w:val="none"/>
        </w:rPr>
      </w:pPr>
    </w:p>
    <w:p w14:paraId="7FCD6161">
      <w:pPr>
        <w:widowControl w:val="0"/>
        <w:spacing w:before="0" w:beforeAutospacing="0" w:after="0" w:afterAutospacing="0" w:line="400" w:lineRule="exact"/>
        <w:ind w:firstLine="480"/>
        <w:jc w:val="both"/>
        <w:rPr>
          <w:rFonts w:ascii="Times New Roman" w:hAnsi="Times New Roman" w:eastAsia="等线" w:cs="仿宋"/>
          <w:color w:val="000000"/>
          <w:sz w:val="24"/>
          <w:szCs w:val="24"/>
          <w:highlight w:val="none"/>
          <w:lang w:val="en-US" w:eastAsia="zh-CN" w:bidi="ar-SA"/>
        </w:rPr>
      </w:pPr>
    </w:p>
    <w:p w14:paraId="3AF08B79">
      <w:pPr>
        <w:widowControl w:val="0"/>
        <w:spacing w:before="0" w:beforeAutospacing="0" w:after="0" w:afterAutospacing="0" w:line="500" w:lineRule="exact"/>
        <w:ind w:firstLine="480"/>
        <w:jc w:val="both"/>
        <w:rPr>
          <w:rFonts w:ascii="Times New Roman" w:hAnsi="Times New Roman" w:eastAsia="等线" w:cs="仿宋"/>
          <w:color w:val="000000"/>
          <w:sz w:val="24"/>
          <w:szCs w:val="24"/>
          <w:highlight w:val="none"/>
          <w:lang w:val="en-US" w:eastAsia="zh-CN" w:bidi="ar-SA"/>
        </w:rPr>
      </w:pPr>
    </w:p>
    <w:p w14:paraId="7F6647A6">
      <w:pPr>
        <w:pStyle w:val="42"/>
        <w:spacing w:before="200"/>
        <w:jc w:val="center"/>
        <w:rPr>
          <w:rFonts w:hint="eastAsia" w:ascii="Calibri" w:hAnsi="Calibri" w:eastAsia="宋体" w:cs="Times New Roman"/>
          <w:b/>
          <w:color w:val="000000"/>
          <w:sz w:val="44"/>
          <w:szCs w:val="44"/>
          <w:highlight w:val="none"/>
        </w:rPr>
      </w:pPr>
      <w:bookmarkStart w:id="159" w:name="_Toc22098"/>
      <w:bookmarkStart w:id="160" w:name="_Toc81575206"/>
      <w:bookmarkStart w:id="161" w:name="_Toc81575169"/>
      <w:bookmarkStart w:id="162" w:name="_Toc31499"/>
      <w:bookmarkStart w:id="163" w:name="_Toc2513"/>
      <w:r>
        <w:rPr>
          <w:rFonts w:hint="eastAsia" w:ascii="Calibri" w:hAnsi="Calibri" w:eastAsia="宋体" w:cs="Times New Roman"/>
          <w:b/>
          <w:color w:val="000000"/>
          <w:sz w:val="44"/>
          <w:szCs w:val="44"/>
          <w:highlight w:val="none"/>
        </w:rPr>
        <w:br w:type="page" w:clear="all"/>
      </w:r>
      <w:r>
        <w:rPr>
          <w:rFonts w:hint="eastAsia" w:ascii="Calibri" w:hAnsi="Calibri" w:eastAsia="宋体" w:cs="Times New Roman"/>
          <w:b/>
          <w:color w:val="000000"/>
          <w:sz w:val="44"/>
          <w:szCs w:val="44"/>
          <w:highlight w:val="none"/>
        </w:rPr>
        <w:t>第五章</w:t>
      </w:r>
      <w:r>
        <w:rPr>
          <w:rFonts w:ascii="Calibri" w:hAnsi="Calibri" w:eastAsia="宋体" w:cs="Times New Roman"/>
          <w:b/>
          <w:color w:val="000000"/>
          <w:sz w:val="44"/>
          <w:szCs w:val="44"/>
          <w:highlight w:val="none"/>
        </w:rPr>
        <w:t xml:space="preserve">  </w:t>
      </w:r>
      <w:r>
        <w:rPr>
          <w:rFonts w:hint="eastAsia" w:ascii="Calibri" w:hAnsi="Calibri" w:eastAsia="宋体" w:cs="Times New Roman"/>
          <w:b/>
          <w:color w:val="000000"/>
          <w:sz w:val="44"/>
          <w:szCs w:val="44"/>
          <w:highlight w:val="none"/>
        </w:rPr>
        <w:t>合同文本</w:t>
      </w:r>
      <w:bookmarkEnd w:id="159"/>
      <w:bookmarkEnd w:id="160"/>
      <w:bookmarkEnd w:id="161"/>
      <w:bookmarkEnd w:id="162"/>
      <w:bookmarkEnd w:id="163"/>
      <w:bookmarkStart w:id="164" w:name="_Toc20823315"/>
      <w:bookmarkStart w:id="165" w:name="_Toc513029243"/>
      <w:bookmarkStart w:id="166" w:name="_Toc16938559"/>
    </w:p>
    <w:p w14:paraId="1CBA1C5A">
      <w:pPr>
        <w:spacing w:line="400" w:lineRule="exact"/>
        <w:rPr>
          <w:rFonts w:hint="eastAsia" w:ascii="宋体" w:hAnsi="宋体"/>
          <w:bCs/>
          <w:color w:val="000000"/>
          <w:sz w:val="24"/>
          <w:szCs w:val="24"/>
          <w:highlight w:val="none"/>
        </w:rPr>
      </w:pPr>
    </w:p>
    <w:p w14:paraId="11165BDC">
      <w:pPr>
        <w:spacing w:line="500" w:lineRule="exact"/>
        <w:ind w:firstLine="480"/>
        <w:rPr>
          <w:rFonts w:hint="eastAsia" w:ascii="宋体" w:hAnsi="宋体" w:eastAsia="宋体" w:cs="宋体"/>
          <w:bCs/>
          <w:caps w:val="0"/>
          <w:color w:val="000000"/>
          <w:sz w:val="24"/>
          <w:highlight w:val="none"/>
        </w:rPr>
      </w:pPr>
      <w:r>
        <w:rPr>
          <w:rFonts w:hint="eastAsia" w:ascii="宋体" w:hAnsi="宋体" w:eastAsia="宋体" w:cs="宋体"/>
          <w:bCs/>
          <w:caps w:val="0"/>
          <w:color w:val="000000"/>
          <w:sz w:val="24"/>
          <w:highlight w:val="none"/>
        </w:rPr>
        <w:t>以下为中标后</w:t>
      </w:r>
      <w:r>
        <w:rPr>
          <w:rFonts w:hint="eastAsia" w:ascii="宋体" w:hAnsi="宋体" w:cs="宋体"/>
          <w:bCs/>
          <w:caps w:val="0"/>
          <w:color w:val="000000"/>
          <w:sz w:val="24"/>
          <w:highlight w:val="none"/>
          <w:lang w:eastAsia="zh-CN"/>
        </w:rPr>
        <w:t>签订</w:t>
      </w:r>
      <w:r>
        <w:rPr>
          <w:rFonts w:hint="eastAsia" w:ascii="宋体" w:hAnsi="宋体" w:eastAsia="宋体" w:cs="宋体"/>
          <w:bCs/>
          <w:caps w:val="0"/>
          <w:color w:val="000000"/>
          <w:sz w:val="24"/>
          <w:highlight w:val="none"/>
        </w:rPr>
        <w:t>本项目合同的通用条款，投标人不得提出实质性的修改。</w:t>
      </w:r>
    </w:p>
    <w:p w14:paraId="386D6454">
      <w:pPr>
        <w:spacing w:line="500" w:lineRule="exact"/>
        <w:ind w:firstLine="480"/>
        <w:rPr>
          <w:rFonts w:hint="eastAsia" w:ascii="宋体" w:hAnsi="宋体" w:eastAsia="宋体" w:cs="宋体"/>
          <w:bCs/>
          <w:caps w:val="0"/>
          <w:color w:val="000000"/>
          <w:sz w:val="24"/>
          <w:highlight w:val="none"/>
        </w:rPr>
      </w:pPr>
      <w:r>
        <w:rPr>
          <w:rFonts w:hint="eastAsia" w:ascii="宋体" w:hAnsi="宋体" w:eastAsia="宋体" w:cs="宋体"/>
          <w:bCs/>
          <w:caps w:val="0"/>
          <w:color w:val="000000"/>
          <w:sz w:val="24"/>
          <w:highlight w:val="none"/>
        </w:rPr>
        <w:t>关于专用条款将由采购人与投标人结合本项目具体情况协商后签订。</w:t>
      </w:r>
      <w:bookmarkEnd w:id="164"/>
      <w:bookmarkEnd w:id="165"/>
      <w:bookmarkEnd w:id="166"/>
    </w:p>
    <w:p w14:paraId="7875AB72">
      <w:pPr>
        <w:spacing w:line="400" w:lineRule="exact"/>
        <w:ind w:firstLine="643"/>
        <w:jc w:val="center"/>
        <w:rPr>
          <w:rFonts w:ascii="仿宋_GB2312" w:hAnsi="黑体" w:eastAsia="仿宋_GB2312" w:cs="黑体"/>
          <w:b/>
          <w:bCs/>
          <w:color w:val="000000"/>
          <w:sz w:val="32"/>
          <w:szCs w:val="32"/>
          <w:highlight w:val="none"/>
          <w:lang w:val="en-US" w:eastAsia="zh-CN" w:bidi="ar-SA"/>
        </w:rPr>
      </w:pPr>
      <w:bookmarkStart w:id="167" w:name="_Hlt16619369"/>
      <w:bookmarkEnd w:id="167"/>
      <w:bookmarkStart w:id="168" w:name="_Toc9003"/>
      <w:bookmarkStart w:id="169" w:name="_Toc81575207"/>
      <w:bookmarkStart w:id="170" w:name="_Toc81575170"/>
      <w:bookmarkStart w:id="171" w:name="_Toc12937"/>
      <w:bookmarkStart w:id="172" w:name="_Toc22853"/>
      <w:bookmarkStart w:id="173" w:name="_Toc19649"/>
      <w:r>
        <w:rPr>
          <w:rFonts w:hint="eastAsia" w:ascii="仿宋_GB2312" w:hAnsi="黑体" w:eastAsia="仿宋_GB2312" w:cs="黑体"/>
          <w:b/>
          <w:bCs/>
          <w:color w:val="000000"/>
          <w:sz w:val="32"/>
          <w:szCs w:val="32"/>
          <w:highlight w:val="none"/>
          <w:lang w:val="en-US" w:eastAsia="zh-CN" w:bidi="ar-SA"/>
        </w:rPr>
        <w:t>政府采购合同</w:t>
      </w:r>
    </w:p>
    <w:p w14:paraId="42976073">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采购单位：</w:t>
      </w:r>
      <w:r>
        <w:rPr>
          <w:rFonts w:hint="eastAsia" w:ascii="宋体" w:hAnsi="宋体" w:eastAsia="宋体" w:cs="宋体"/>
          <w:b w:val="0"/>
          <w:color w:val="000000"/>
          <w:sz w:val="24"/>
          <w:szCs w:val="24"/>
          <w:highlight w:val="none"/>
          <w:u w:val="single"/>
          <w:lang w:val="en-US" w:eastAsia="zh-CN" w:bidi="ar-SA"/>
        </w:rPr>
        <w:t xml:space="preserve">            </w:t>
      </w:r>
      <w:r>
        <w:rPr>
          <w:rFonts w:hint="eastAsia" w:ascii="宋体" w:hAnsi="宋体" w:eastAsia="宋体" w:cs="宋体"/>
          <w:b w:val="0"/>
          <w:color w:val="000000"/>
          <w:sz w:val="24"/>
          <w:szCs w:val="24"/>
          <w:highlight w:val="none"/>
          <w:lang w:val="en-US" w:eastAsia="zh-CN" w:bidi="ar-SA"/>
        </w:rPr>
        <w:t>（以下简称：甲方）</w:t>
      </w:r>
    </w:p>
    <w:p w14:paraId="2B6CB1E0">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中标单位：</w:t>
      </w:r>
      <w:r>
        <w:rPr>
          <w:rFonts w:hint="eastAsia" w:ascii="宋体" w:hAnsi="宋体" w:eastAsia="宋体" w:cs="宋体"/>
          <w:b w:val="0"/>
          <w:color w:val="000000"/>
          <w:sz w:val="24"/>
          <w:szCs w:val="24"/>
          <w:highlight w:val="none"/>
          <w:u w:val="single"/>
          <w:lang w:val="en-US" w:eastAsia="zh-CN" w:bidi="ar-SA"/>
        </w:rPr>
        <w:t xml:space="preserve">            </w:t>
      </w:r>
      <w:r>
        <w:rPr>
          <w:rFonts w:hint="eastAsia" w:ascii="宋体" w:hAnsi="宋体" w:eastAsia="宋体" w:cs="宋体"/>
          <w:b w:val="0"/>
          <w:color w:val="000000"/>
          <w:sz w:val="24"/>
          <w:szCs w:val="24"/>
          <w:highlight w:val="none"/>
          <w:lang w:val="en-US" w:eastAsia="zh-CN" w:bidi="ar-SA"/>
        </w:rPr>
        <w:t xml:space="preserve"> （以下简称：乙方）</w:t>
      </w:r>
    </w:p>
    <w:p w14:paraId="670B29A7">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依照《中华人民共和国政府采购法</w:t>
      </w:r>
      <w:r>
        <w:rPr>
          <w:rFonts w:hint="eastAsia" w:ascii="宋体" w:hAnsi="宋体" w:cs="宋体"/>
          <w:b w:val="0"/>
          <w:color w:val="000000"/>
          <w:sz w:val="24"/>
          <w:szCs w:val="24"/>
          <w:highlight w:val="none"/>
          <w:lang w:val="en-US" w:eastAsia="zh-CN" w:bidi="ar-SA"/>
        </w:rPr>
        <w:t>》《</w:t>
      </w:r>
      <w:r>
        <w:rPr>
          <w:rFonts w:hint="eastAsia" w:ascii="宋体" w:hAnsi="宋体" w:eastAsia="宋体" w:cs="宋体"/>
          <w:b w:val="0"/>
          <w:color w:val="000000"/>
          <w:sz w:val="24"/>
          <w:szCs w:val="24"/>
          <w:highlight w:val="none"/>
          <w:lang w:val="en-US" w:eastAsia="zh-CN" w:bidi="ar-SA"/>
        </w:rPr>
        <w:t>中华人民共和国民法典》及其他有关法律、行政法规，遵循平等、自愿、公平和诚实信用的原则，双方就相关事项协商一致，达成如下合同条款：</w:t>
      </w:r>
    </w:p>
    <w:p w14:paraId="7709DE25">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1、合同内容：</w:t>
      </w:r>
      <w:r>
        <w:rPr>
          <w:rFonts w:hint="eastAsia" w:ascii="宋体" w:hAnsi="宋体" w:eastAsia="宋体" w:cs="宋体"/>
          <w:b w:val="0"/>
          <w:color w:val="000000"/>
          <w:sz w:val="24"/>
          <w:szCs w:val="24"/>
          <w:highlight w:val="none"/>
          <w:u w:val="single"/>
          <w:lang w:val="en-US" w:eastAsia="zh-CN" w:bidi="ar-SA"/>
        </w:rPr>
        <w:t xml:space="preserve">            </w:t>
      </w:r>
      <w:r>
        <w:rPr>
          <w:rFonts w:hint="eastAsia" w:ascii="宋体" w:hAnsi="宋体" w:eastAsia="宋体" w:cs="宋体"/>
          <w:b w:val="0"/>
          <w:color w:val="000000"/>
          <w:sz w:val="24"/>
          <w:szCs w:val="24"/>
          <w:highlight w:val="none"/>
          <w:lang w:val="en-US" w:eastAsia="zh-CN" w:bidi="ar-SA"/>
        </w:rPr>
        <w:t>。</w:t>
      </w:r>
    </w:p>
    <w:p w14:paraId="24B01CAC">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cs="宋体"/>
          <w:b w:val="0"/>
          <w:color w:val="000000"/>
          <w:sz w:val="24"/>
          <w:szCs w:val="24"/>
          <w:highlight w:val="none"/>
          <w:lang w:val="en-US" w:eastAsia="zh-CN" w:bidi="ar-SA"/>
        </w:rPr>
        <w:t>2.</w:t>
      </w:r>
      <w:r>
        <w:rPr>
          <w:rFonts w:hint="eastAsia" w:ascii="宋体" w:hAnsi="宋体" w:eastAsia="宋体" w:cs="宋体"/>
          <w:b w:val="0"/>
          <w:color w:val="000000"/>
          <w:sz w:val="24"/>
          <w:szCs w:val="24"/>
          <w:highlight w:val="none"/>
          <w:lang w:val="en-US" w:eastAsia="zh-CN" w:bidi="ar-SA"/>
        </w:rPr>
        <w:t>合同金额：</w:t>
      </w:r>
      <w:r>
        <w:rPr>
          <w:rFonts w:hint="eastAsia" w:ascii="宋体" w:hAnsi="宋体" w:eastAsia="宋体" w:cs="宋体"/>
          <w:b w:val="0"/>
          <w:color w:val="000000"/>
          <w:sz w:val="24"/>
          <w:szCs w:val="24"/>
          <w:highlight w:val="none"/>
          <w:u w:val="single"/>
          <w:lang w:val="en-US" w:eastAsia="zh-CN" w:bidi="ar-SA"/>
        </w:rPr>
        <w:t xml:space="preserve">          </w:t>
      </w:r>
      <w:r>
        <w:rPr>
          <w:rFonts w:hint="eastAsia" w:ascii="宋体" w:hAnsi="宋体" w:eastAsia="宋体" w:cs="宋体"/>
          <w:b w:val="0"/>
          <w:color w:val="000000"/>
          <w:sz w:val="24"/>
          <w:szCs w:val="24"/>
          <w:highlight w:val="none"/>
          <w:lang w:val="en-US" w:eastAsia="zh-CN" w:bidi="ar-SA"/>
        </w:rPr>
        <w:t>人民币。</w:t>
      </w:r>
    </w:p>
    <w:p w14:paraId="37A80CC1">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3、工期要求：</w:t>
      </w:r>
      <w:r>
        <w:rPr>
          <w:rFonts w:hint="eastAsia" w:ascii="宋体" w:hAnsi="宋体" w:eastAsia="宋体" w:cs="宋体"/>
          <w:b w:val="0"/>
          <w:color w:val="000000"/>
          <w:sz w:val="24"/>
          <w:szCs w:val="24"/>
          <w:highlight w:val="none"/>
          <w:u w:val="single"/>
          <w:lang w:val="en-US" w:eastAsia="zh-CN" w:bidi="ar-SA"/>
        </w:rPr>
        <w:t xml:space="preserve">            </w:t>
      </w:r>
      <w:r>
        <w:rPr>
          <w:rFonts w:hint="eastAsia" w:ascii="宋体" w:hAnsi="宋体" w:eastAsia="宋体" w:cs="宋体"/>
          <w:b w:val="0"/>
          <w:color w:val="000000"/>
          <w:sz w:val="24"/>
          <w:szCs w:val="24"/>
          <w:highlight w:val="none"/>
          <w:lang w:val="en-US" w:eastAsia="zh-CN" w:bidi="ar-SA"/>
        </w:rPr>
        <w:t xml:space="preserve"> 。 </w:t>
      </w:r>
    </w:p>
    <w:p w14:paraId="0B1374D9">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安装地点：按招标人要求实施。</w:t>
      </w:r>
    </w:p>
    <w:p w14:paraId="025BDA30">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cs="宋体"/>
          <w:b w:val="0"/>
          <w:color w:val="000000"/>
          <w:sz w:val="24"/>
          <w:szCs w:val="24"/>
          <w:highlight w:val="none"/>
          <w:lang w:val="en-US" w:eastAsia="zh-CN" w:bidi="ar-SA"/>
        </w:rPr>
        <w:t>4.</w:t>
      </w:r>
      <w:r>
        <w:rPr>
          <w:rFonts w:hint="eastAsia" w:ascii="宋体" w:hAnsi="宋体" w:eastAsia="宋体" w:cs="宋体"/>
          <w:b w:val="0"/>
          <w:color w:val="000000"/>
          <w:sz w:val="24"/>
          <w:szCs w:val="24"/>
          <w:highlight w:val="none"/>
          <w:lang w:val="en-US" w:eastAsia="zh-CN" w:bidi="ar-SA"/>
        </w:rPr>
        <w:t>验收依据国家法律法规及标准、招标文件、投标文件及中标人的承诺：</w:t>
      </w:r>
    </w:p>
    <w:p w14:paraId="4A0F0A46">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（1）乙方所提供货物必须符合国家标准，并经过权威机构检测。</w:t>
      </w:r>
    </w:p>
    <w:p w14:paraId="65500C62">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（2）乙方所提供货物运抵指定地点，由双方对货物的种类、规格、型号、数量、 外观、包装设备及有关文件资料（如产品检验合格书、商检证书、装箱单、保修单等）进行到货验收，查看是否符合合同约定，并出具设备到货验收表。</w:t>
      </w:r>
    </w:p>
    <w:p w14:paraId="48E6A0BE">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（3）乙方完成全部工程并投入使用后，需提供产品说明书、产品检测报告、合 格证、产品质量认证证书等一系列文档资料，由甲方会同有关人员根据技术设计要求进行验收。</w:t>
      </w:r>
    </w:p>
    <w:p w14:paraId="52045851">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cs="宋体"/>
          <w:b w:val="0"/>
          <w:color w:val="000000"/>
          <w:sz w:val="24"/>
          <w:szCs w:val="24"/>
          <w:highlight w:val="none"/>
          <w:lang w:val="en-US" w:eastAsia="zh-CN" w:bidi="ar-SA"/>
        </w:rPr>
        <w:t>5.</w:t>
      </w:r>
      <w:r>
        <w:rPr>
          <w:rFonts w:hint="eastAsia" w:ascii="宋体" w:hAnsi="宋体" w:eastAsia="宋体" w:cs="宋体"/>
          <w:b w:val="0"/>
          <w:color w:val="000000"/>
          <w:sz w:val="24"/>
          <w:szCs w:val="24"/>
          <w:highlight w:val="none"/>
          <w:lang w:val="en-US" w:eastAsia="zh-CN" w:bidi="ar-SA"/>
        </w:rPr>
        <w:t>履约保证金</w:t>
      </w:r>
    </w:p>
    <w:p w14:paraId="2EB9B02E">
      <w:pPr>
        <w:spacing w:line="480" w:lineRule="exact"/>
        <w:ind w:firstLine="480"/>
        <w:rPr>
          <w:rFonts w:ascii="Times New Roman" w:hAnsi="Times New Roman" w:eastAsia="宋体" w:cs="仿宋"/>
          <w:color w:val="000000"/>
          <w:sz w:val="24"/>
          <w:highlight w:val="none"/>
        </w:rPr>
      </w:pPr>
      <w:r>
        <w:rPr>
          <w:rFonts w:hint="eastAsia" w:ascii="Times New Roman" w:hAnsi="Times New Roman" w:eastAsia="宋体" w:cs="仿宋"/>
          <w:color w:val="000000"/>
          <w:sz w:val="24"/>
          <w:highlight w:val="none"/>
        </w:rPr>
        <w:t>本项目不收取履约保证金。</w:t>
      </w:r>
    </w:p>
    <w:p w14:paraId="16D4C6D4">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cs="宋体"/>
          <w:b w:val="0"/>
          <w:color w:val="000000"/>
          <w:sz w:val="24"/>
          <w:szCs w:val="24"/>
          <w:highlight w:val="none"/>
          <w:lang w:val="en-US" w:eastAsia="zh-CN" w:bidi="ar-SA"/>
        </w:rPr>
        <w:t>6.</w:t>
      </w:r>
      <w:r>
        <w:rPr>
          <w:rFonts w:hint="eastAsia" w:ascii="宋体" w:hAnsi="宋体" w:eastAsia="宋体" w:cs="宋体"/>
          <w:b w:val="0"/>
          <w:color w:val="000000"/>
          <w:sz w:val="24"/>
          <w:szCs w:val="24"/>
          <w:highlight w:val="none"/>
          <w:lang w:val="en-US" w:eastAsia="zh-CN" w:bidi="ar-SA"/>
        </w:rPr>
        <w:t>付款方式：</w:t>
      </w:r>
    </w:p>
    <w:p w14:paraId="6D6821F1">
      <w:pPr>
        <w:spacing w:line="56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按照以下确定的付款方式，采购人及时办理付款手续。对于满足合同约定支付条件的，自收到发票后10个工作日内将资金支付到合同约定的供应商账户或供应商数字人民币账户。</w:t>
      </w:r>
    </w:p>
    <w:p w14:paraId="0B990B3A">
      <w:pPr>
        <w:spacing w:line="56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预付款</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 </w:t>
      </w:r>
    </w:p>
    <w:p w14:paraId="389A4EA7">
      <w:pPr>
        <w:spacing w:line="560" w:lineRule="exact"/>
        <w:ind w:firstLine="48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进度款：</w:t>
      </w:r>
      <w:r>
        <w:rPr>
          <w:rFonts w:hint="eastAsia" w:ascii="宋体" w:hAnsi="宋体" w:eastAsia="宋体" w:cs="宋体"/>
          <w:color w:val="000000"/>
          <w:sz w:val="24"/>
          <w:szCs w:val="24"/>
          <w:highlight w:val="none"/>
          <w:lang w:val="en-US" w:eastAsia="zh-CN"/>
        </w:rPr>
        <w:t>项目运维</w:t>
      </w:r>
      <w:r>
        <w:rPr>
          <w:rFonts w:hint="eastAsia" w:ascii="宋体" w:hAnsi="宋体" w:eastAsia="宋体" w:cs="宋体"/>
          <w:color w:val="000000"/>
          <w:sz w:val="24"/>
          <w:szCs w:val="24"/>
          <w:highlight w:val="none"/>
        </w:rPr>
        <w:t>期限5年。项目建设完成通过验收后支付至合同价款的</w:t>
      </w:r>
      <w:r>
        <w:rPr>
          <w:rFonts w:hint="eastAsia" w:ascii="宋体" w:hAnsi="宋体" w:eastAsia="宋体" w:cs="宋体"/>
          <w:color w:val="000000"/>
          <w:sz w:val="24"/>
          <w:szCs w:val="24"/>
          <w:highlight w:val="none"/>
          <w:lang w:val="en-US" w:eastAsia="zh-CN"/>
        </w:rPr>
        <w:t>60</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运维</w:t>
      </w:r>
      <w:r>
        <w:rPr>
          <w:rFonts w:hint="eastAsia" w:ascii="宋体" w:hAnsi="宋体" w:eastAsia="宋体" w:cs="宋体"/>
          <w:color w:val="000000"/>
          <w:sz w:val="24"/>
          <w:szCs w:val="24"/>
          <w:highlight w:val="none"/>
        </w:rPr>
        <w:t>期每满一年，招标人根据对中标人项目</w:t>
      </w:r>
      <w:r>
        <w:rPr>
          <w:rFonts w:hint="eastAsia" w:ascii="宋体" w:hAnsi="宋体" w:eastAsia="宋体" w:cs="宋体"/>
          <w:color w:val="000000"/>
          <w:sz w:val="24"/>
          <w:szCs w:val="24"/>
          <w:highlight w:val="none"/>
          <w:lang w:val="en-US" w:eastAsia="zh-CN"/>
        </w:rPr>
        <w:t>运维</w:t>
      </w:r>
      <w:r>
        <w:rPr>
          <w:rFonts w:hint="eastAsia" w:ascii="宋体" w:hAnsi="宋体" w:eastAsia="宋体" w:cs="宋体"/>
          <w:color w:val="000000"/>
          <w:sz w:val="24"/>
          <w:szCs w:val="24"/>
          <w:highlight w:val="none"/>
        </w:rPr>
        <w:t>考核结果支付</w:t>
      </w:r>
      <w:r>
        <w:rPr>
          <w:rFonts w:hint="eastAsia" w:ascii="宋体" w:hAnsi="宋体" w:eastAsia="宋体" w:cs="宋体"/>
          <w:color w:val="000000"/>
          <w:sz w:val="24"/>
          <w:szCs w:val="24"/>
          <w:highlight w:val="none"/>
          <w:lang w:val="en-US" w:eastAsia="zh-CN"/>
        </w:rPr>
        <w:t>运维</w:t>
      </w:r>
      <w:r>
        <w:rPr>
          <w:rFonts w:hint="eastAsia" w:ascii="宋体" w:hAnsi="宋体" w:eastAsia="宋体" w:cs="宋体"/>
          <w:color w:val="000000"/>
          <w:sz w:val="24"/>
          <w:szCs w:val="24"/>
          <w:highlight w:val="none"/>
        </w:rPr>
        <w:t>费用【每月在线率达到95%及以上，考核合格，每有一个自然月在线率不合格，本月不计入年度考核，顺延至下一个自然月，满12个月之</w:t>
      </w:r>
      <w:r>
        <w:rPr>
          <w:rFonts w:hint="eastAsia" w:ascii="宋体" w:hAnsi="宋体" w:eastAsia="宋体" w:cs="宋体"/>
          <w:color w:val="000000"/>
          <w:sz w:val="24"/>
          <w:szCs w:val="24"/>
          <w:highlight w:val="none"/>
          <w:lang w:eastAsia="zh-CN"/>
        </w:rPr>
        <w:t>后支</w:t>
      </w:r>
      <w:r>
        <w:rPr>
          <w:rFonts w:hint="eastAsia" w:ascii="宋体" w:hAnsi="宋体" w:eastAsia="宋体" w:cs="宋体"/>
          <w:color w:val="000000"/>
          <w:sz w:val="24"/>
          <w:szCs w:val="24"/>
          <w:highlight w:val="none"/>
        </w:rPr>
        <w:t>付年度</w:t>
      </w:r>
      <w:r>
        <w:rPr>
          <w:rFonts w:hint="eastAsia" w:ascii="宋体" w:hAnsi="宋体" w:eastAsia="宋体" w:cs="宋体"/>
          <w:color w:val="000000"/>
          <w:sz w:val="24"/>
          <w:szCs w:val="24"/>
          <w:highlight w:val="none"/>
          <w:lang w:val="en-US" w:eastAsia="zh-CN"/>
        </w:rPr>
        <w:t>运维</w:t>
      </w:r>
      <w:r>
        <w:rPr>
          <w:rFonts w:hint="eastAsia" w:ascii="宋体" w:hAnsi="宋体" w:eastAsia="宋体" w:cs="宋体"/>
          <w:color w:val="000000"/>
          <w:sz w:val="24"/>
          <w:szCs w:val="24"/>
          <w:highlight w:val="none"/>
        </w:rPr>
        <w:t>款。如果连续三个月不合格，则不支付当年</w:t>
      </w:r>
      <w:r>
        <w:rPr>
          <w:rFonts w:hint="eastAsia" w:ascii="宋体" w:hAnsi="宋体" w:eastAsia="宋体" w:cs="宋体"/>
          <w:color w:val="000000"/>
          <w:sz w:val="24"/>
          <w:szCs w:val="24"/>
          <w:highlight w:val="none"/>
          <w:lang w:val="en-US" w:eastAsia="zh-CN"/>
        </w:rPr>
        <w:t>运维</w:t>
      </w:r>
      <w:r>
        <w:rPr>
          <w:rFonts w:hint="eastAsia" w:ascii="宋体" w:hAnsi="宋体" w:eastAsia="宋体" w:cs="宋体"/>
          <w:color w:val="000000"/>
          <w:sz w:val="24"/>
          <w:szCs w:val="24"/>
          <w:highlight w:val="none"/>
        </w:rPr>
        <w:t>费】。每年</w:t>
      </w:r>
      <w:r>
        <w:rPr>
          <w:rFonts w:hint="eastAsia" w:ascii="宋体" w:hAnsi="宋体" w:eastAsia="宋体" w:cs="宋体"/>
          <w:color w:val="000000"/>
          <w:sz w:val="24"/>
          <w:szCs w:val="24"/>
          <w:highlight w:val="none"/>
          <w:lang w:val="en-US" w:eastAsia="zh-CN"/>
        </w:rPr>
        <w:t>运维费用</w:t>
      </w:r>
      <w:r>
        <w:rPr>
          <w:rFonts w:hint="eastAsia" w:ascii="宋体" w:hAnsi="宋体" w:eastAsia="宋体" w:cs="宋体"/>
          <w:color w:val="000000"/>
          <w:sz w:val="24"/>
          <w:szCs w:val="24"/>
          <w:highlight w:val="none"/>
        </w:rPr>
        <w:t>金额不高于中标人项目中标价的</w:t>
      </w: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%。最后一次付清尾款前，乙方必须保证该项目完整可靠运行、在线率合格并移交甲方。</w:t>
      </w:r>
    </w:p>
    <w:p w14:paraId="4E5641D1">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cs="宋体"/>
          <w:b w:val="0"/>
          <w:color w:val="000000"/>
          <w:sz w:val="24"/>
          <w:szCs w:val="24"/>
          <w:highlight w:val="none"/>
          <w:lang w:val="en-US" w:eastAsia="zh-CN" w:bidi="ar-SA"/>
        </w:rPr>
        <w:t>7.</w:t>
      </w:r>
      <w:r>
        <w:rPr>
          <w:rFonts w:hint="eastAsia" w:ascii="宋体" w:hAnsi="宋体" w:eastAsia="宋体" w:cs="宋体"/>
          <w:b w:val="0"/>
          <w:color w:val="000000"/>
          <w:sz w:val="24"/>
          <w:szCs w:val="24"/>
          <w:highlight w:val="none"/>
          <w:lang w:val="en-US" w:eastAsia="zh-CN" w:bidi="ar-SA"/>
        </w:rPr>
        <w:t>质量保证：</w:t>
      </w:r>
    </w:p>
    <w:p w14:paraId="79A4791A">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（1）工程项目建设完成后，乙方申请项目验收。验收通过后即进入项目</w:t>
      </w:r>
      <w:r>
        <w:rPr>
          <w:rFonts w:hint="eastAsia" w:ascii="宋体" w:hAnsi="宋体" w:eastAsia="黑体" w:cs="宋体"/>
          <w:b w:val="0"/>
          <w:color w:val="000000"/>
          <w:sz w:val="24"/>
          <w:szCs w:val="24"/>
          <w:highlight w:val="none"/>
          <w:lang w:val="en-US" w:eastAsia="zh-CN" w:bidi="ar-SA"/>
        </w:rPr>
        <w:t>质保</w:t>
      </w:r>
      <w:r>
        <w:rPr>
          <w:rFonts w:hint="eastAsia" w:ascii="宋体" w:hAnsi="宋体" w:eastAsia="宋体" w:cs="宋体"/>
          <w:b w:val="0"/>
          <w:color w:val="000000"/>
          <w:sz w:val="24"/>
          <w:szCs w:val="24"/>
          <w:highlight w:val="none"/>
          <w:lang w:val="en-US" w:eastAsia="zh-CN" w:bidi="ar-SA"/>
        </w:rPr>
        <w:t>期。</w:t>
      </w:r>
    </w:p>
    <w:p w14:paraId="267A6F4E">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（2）乙方应保证所供器材是全新、未使用过的原装合格正品（含配件），进口产品应保证通过正规合法渠道。</w:t>
      </w:r>
    </w:p>
    <w:p w14:paraId="09896F73">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（3）乙方应保证提供的产品不得侵犯第三方专利权、商标权和工业设计权、版权等</w:t>
      </w:r>
      <w:r>
        <w:rPr>
          <w:rFonts w:hint="eastAsia" w:ascii="宋体" w:hAnsi="宋体" w:cs="宋体"/>
          <w:b w:val="0"/>
          <w:color w:val="000000"/>
          <w:sz w:val="24"/>
          <w:szCs w:val="24"/>
          <w:highlight w:val="none"/>
          <w:lang w:val="en-US" w:eastAsia="zh-CN" w:bidi="ar-SA"/>
        </w:rPr>
        <w:t>。</w:t>
      </w:r>
      <w:r>
        <w:rPr>
          <w:rFonts w:hint="eastAsia" w:ascii="宋体" w:hAnsi="宋体" w:eastAsia="宋体" w:cs="宋体"/>
          <w:b w:val="0"/>
          <w:color w:val="000000"/>
          <w:sz w:val="24"/>
          <w:szCs w:val="24"/>
          <w:highlight w:val="none"/>
          <w:lang w:val="en-US" w:eastAsia="zh-CN" w:bidi="ar-SA"/>
        </w:rPr>
        <w:t>否则，乙方应负全部责任，并承担由此引起的一切后果。</w:t>
      </w:r>
    </w:p>
    <w:p w14:paraId="4E524530">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（4）乙方提供的货物必须符合国家有关质量技术标准及相关</w:t>
      </w:r>
      <w:r>
        <w:rPr>
          <w:rFonts w:hint="eastAsia" w:ascii="宋体" w:hAnsi="宋体" w:cs="宋体"/>
          <w:b w:val="0"/>
          <w:color w:val="000000"/>
          <w:sz w:val="24"/>
          <w:szCs w:val="24"/>
          <w:highlight w:val="none"/>
          <w:lang w:val="en-US" w:eastAsia="zh-CN" w:bidi="ar-SA"/>
        </w:rPr>
        <w:t>法律法规</w:t>
      </w:r>
      <w:r>
        <w:rPr>
          <w:rFonts w:hint="eastAsia" w:ascii="宋体" w:hAnsi="宋体" w:eastAsia="宋体" w:cs="宋体"/>
          <w:b w:val="0"/>
          <w:color w:val="000000"/>
          <w:sz w:val="24"/>
          <w:szCs w:val="24"/>
          <w:highlight w:val="none"/>
          <w:lang w:val="en-US" w:eastAsia="zh-CN" w:bidi="ar-SA"/>
        </w:rPr>
        <w:t>规定的要求。</w:t>
      </w:r>
    </w:p>
    <w:p w14:paraId="6E7019C7">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（5）本项目的主要产品一经确定后，不允许擅自更改；项目验收时，提供的产品品牌、型号、参数等必须与招标文</w:t>
      </w:r>
      <w:r>
        <w:rPr>
          <w:rFonts w:hint="eastAsia" w:ascii="宋体" w:hAnsi="宋体" w:cs="宋体"/>
          <w:b w:val="0"/>
          <w:color w:val="000000"/>
          <w:sz w:val="24"/>
          <w:szCs w:val="24"/>
          <w:highlight w:val="none"/>
          <w:lang w:val="en-US" w:eastAsia="zh-CN" w:bidi="ar-SA"/>
        </w:rPr>
        <w:t>件和</w:t>
      </w:r>
      <w:r>
        <w:rPr>
          <w:rFonts w:hint="eastAsia" w:ascii="宋体" w:hAnsi="宋体" w:eastAsia="宋体" w:cs="宋体"/>
          <w:b w:val="0"/>
          <w:color w:val="000000"/>
          <w:sz w:val="24"/>
          <w:szCs w:val="24"/>
          <w:highlight w:val="none"/>
          <w:lang w:val="en-US" w:eastAsia="zh-CN" w:bidi="ar-SA"/>
        </w:rPr>
        <w:t>技术响应文件产品相符；如因特殊情况需要更改的，须报甲方书面同意，并且更改后的品牌、型号、质量等不得低于原来的要求。否则，所有损失由乙方承担。</w:t>
      </w:r>
    </w:p>
    <w:p w14:paraId="297733FC">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（6）本项目的施工质量严格按照相关国家、地方标准进行施工，要求项目施工质量达到合格以上。</w:t>
      </w:r>
    </w:p>
    <w:p w14:paraId="30F852DE">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cs="宋体"/>
          <w:b w:val="0"/>
          <w:color w:val="000000"/>
          <w:sz w:val="24"/>
          <w:szCs w:val="24"/>
          <w:highlight w:val="none"/>
          <w:lang w:val="en-US" w:eastAsia="zh-CN" w:bidi="ar-SA"/>
        </w:rPr>
        <w:t>（7）</w:t>
      </w:r>
      <w:r>
        <w:rPr>
          <w:rFonts w:hint="eastAsia" w:ascii="宋体" w:hAnsi="宋体" w:eastAsia="宋体" w:cs="宋体"/>
          <w:b w:val="0"/>
          <w:color w:val="000000"/>
          <w:sz w:val="24"/>
          <w:szCs w:val="24"/>
          <w:highlight w:val="none"/>
          <w:lang w:val="en-US" w:eastAsia="zh-CN" w:bidi="ar-SA"/>
        </w:rPr>
        <w:t>乙方应保证其货物在正确安装、正常使用和保养条件下，符合招标文件技术参数相关要求。在施工工期内以及</w:t>
      </w:r>
      <w:r>
        <w:rPr>
          <w:rFonts w:hint="eastAsia" w:ascii="宋体" w:hAnsi="宋体" w:eastAsia="黑体" w:cs="宋体"/>
          <w:b w:val="0"/>
          <w:color w:val="000000"/>
          <w:sz w:val="24"/>
          <w:szCs w:val="24"/>
          <w:highlight w:val="none"/>
          <w:lang w:val="en-US" w:eastAsia="zh-CN" w:bidi="ar-SA"/>
        </w:rPr>
        <w:t>质保</w:t>
      </w:r>
      <w:r>
        <w:rPr>
          <w:rFonts w:hint="eastAsia" w:ascii="宋体" w:hAnsi="宋体" w:eastAsia="宋体" w:cs="宋体"/>
          <w:b w:val="0"/>
          <w:color w:val="000000"/>
          <w:sz w:val="24"/>
          <w:szCs w:val="24"/>
          <w:highlight w:val="none"/>
          <w:lang w:val="en-US" w:eastAsia="zh-CN" w:bidi="ar-SA"/>
        </w:rPr>
        <w:t>期内乙方应对由于设计、工艺、材料或安装施工的缺陷而发生的任何不足或故障负责，并承担由此引起的一切后果。</w:t>
      </w:r>
    </w:p>
    <w:p w14:paraId="538E8EB3">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cs="宋体"/>
          <w:b w:val="0"/>
          <w:color w:val="000000"/>
          <w:sz w:val="24"/>
          <w:szCs w:val="24"/>
          <w:highlight w:val="none"/>
          <w:lang w:val="en-US" w:eastAsia="zh-CN" w:bidi="ar-SA"/>
        </w:rPr>
        <w:t>（8）</w:t>
      </w:r>
      <w:r>
        <w:rPr>
          <w:rFonts w:hint="eastAsia" w:ascii="宋体" w:hAnsi="宋体" w:eastAsia="宋体" w:cs="宋体"/>
          <w:b w:val="0"/>
          <w:color w:val="000000"/>
          <w:sz w:val="24"/>
          <w:szCs w:val="24"/>
          <w:highlight w:val="none"/>
          <w:lang w:val="en-US" w:eastAsia="zh-CN" w:bidi="ar-SA"/>
        </w:rPr>
        <w:t>在</w:t>
      </w:r>
      <w:r>
        <w:rPr>
          <w:rFonts w:hint="eastAsia" w:ascii="宋体" w:hAnsi="宋体" w:eastAsia="黑体" w:cs="宋体"/>
          <w:b w:val="0"/>
          <w:color w:val="000000"/>
          <w:sz w:val="24"/>
          <w:szCs w:val="24"/>
          <w:highlight w:val="none"/>
          <w:lang w:val="en-US" w:eastAsia="zh-CN" w:bidi="ar-SA"/>
        </w:rPr>
        <w:t>质保</w:t>
      </w:r>
      <w:r>
        <w:rPr>
          <w:rFonts w:hint="eastAsia" w:ascii="宋体" w:hAnsi="宋体" w:eastAsia="宋体" w:cs="宋体"/>
          <w:b w:val="0"/>
          <w:color w:val="000000"/>
          <w:sz w:val="24"/>
          <w:szCs w:val="24"/>
          <w:highlight w:val="none"/>
          <w:lang w:val="en-US" w:eastAsia="zh-CN" w:bidi="ar-SA"/>
        </w:rPr>
        <w:t>期内出现故障抵达现场不能现场修复的，必须用同类、同型号产品或功能性能效果高于原产品进行替换，保证信息畅通。在</w:t>
      </w:r>
      <w:r>
        <w:rPr>
          <w:rFonts w:hint="eastAsia" w:ascii="宋体" w:hAnsi="宋体" w:eastAsia="黑体" w:cs="宋体"/>
          <w:b w:val="0"/>
          <w:color w:val="000000"/>
          <w:sz w:val="24"/>
          <w:szCs w:val="24"/>
          <w:highlight w:val="none"/>
          <w:lang w:val="en-US" w:eastAsia="zh-CN" w:bidi="ar-SA"/>
        </w:rPr>
        <w:t>质保</w:t>
      </w:r>
      <w:r>
        <w:rPr>
          <w:rFonts w:hint="eastAsia" w:ascii="宋体" w:hAnsi="宋体" w:eastAsia="宋体" w:cs="宋体"/>
          <w:b w:val="0"/>
          <w:color w:val="000000"/>
          <w:sz w:val="24"/>
          <w:szCs w:val="24"/>
          <w:highlight w:val="none"/>
          <w:lang w:val="en-US" w:eastAsia="zh-CN" w:bidi="ar-SA"/>
        </w:rPr>
        <w:t>期内，若发生重大质量故障，则</w:t>
      </w:r>
      <w:r>
        <w:rPr>
          <w:rFonts w:hint="eastAsia" w:ascii="宋体" w:hAnsi="宋体" w:eastAsia="黑体" w:cs="宋体"/>
          <w:b w:val="0"/>
          <w:color w:val="000000"/>
          <w:sz w:val="24"/>
          <w:szCs w:val="24"/>
          <w:highlight w:val="none"/>
          <w:lang w:val="en-US" w:eastAsia="zh-CN" w:bidi="ar-SA"/>
        </w:rPr>
        <w:t>质保</w:t>
      </w:r>
      <w:r>
        <w:rPr>
          <w:rFonts w:hint="eastAsia" w:ascii="宋体" w:hAnsi="宋体" w:eastAsia="宋体" w:cs="宋体"/>
          <w:b w:val="0"/>
          <w:color w:val="000000"/>
          <w:sz w:val="24"/>
          <w:szCs w:val="24"/>
          <w:highlight w:val="none"/>
          <w:lang w:val="en-US" w:eastAsia="zh-CN" w:bidi="ar-SA"/>
        </w:rPr>
        <w:t>期重新开始计算，同时甲方有权解除合同并追究相关责任。</w:t>
      </w:r>
    </w:p>
    <w:p w14:paraId="3D7EDEB7">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（9）质保期间，乙方所提供的人员、装备、时限必须符合招标文件、投标文件要求，乙方设立并提供 7*24 小时售后服务。</w:t>
      </w:r>
    </w:p>
    <w:p w14:paraId="6E6A58E0">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（10） 自合同签订之日起，至质保期结束并移交甲方前，乙方需负责本合同</w:t>
      </w:r>
      <w:r>
        <w:rPr>
          <w:rFonts w:hint="eastAsia" w:ascii="宋体" w:hAnsi="宋体" w:cs="宋体"/>
          <w:b w:val="0"/>
          <w:color w:val="000000"/>
          <w:sz w:val="24"/>
          <w:szCs w:val="24"/>
          <w:highlight w:val="none"/>
          <w:lang w:val="en-US" w:eastAsia="zh-CN" w:bidi="ar-SA"/>
        </w:rPr>
        <w:t>涉及</w:t>
      </w:r>
      <w:r>
        <w:rPr>
          <w:rFonts w:hint="eastAsia" w:ascii="宋体" w:hAnsi="宋体" w:eastAsia="宋体" w:cs="宋体"/>
          <w:b w:val="0"/>
          <w:color w:val="000000"/>
          <w:sz w:val="24"/>
          <w:szCs w:val="24"/>
          <w:highlight w:val="none"/>
          <w:lang w:val="en-US" w:eastAsia="zh-CN" w:bidi="ar-SA"/>
        </w:rPr>
        <w:t>的所有设备（含配套管线）的保管维护保养等工作，甲方不提供任何配件，一切设备（含系统中心设备）均要由乙方自行负责保管维护。由乙方保管维护不当造成的损失由乙方自行负责。</w:t>
      </w:r>
    </w:p>
    <w:p w14:paraId="20B23BA1">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11）甲方根据国家有关规定、招标文件、中标方的投标文件以及合同约定的内容和验收标准进行验收。验收情况作为支付货款的依据。如有质疑，以相关质量技术检验检测机构的检验结果为准，如产生检验费用，则该费用由过失方承担。</w:t>
      </w:r>
    </w:p>
    <w:p w14:paraId="32972DEE">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（12）需方不得擅自变更招投标文件约定的性能、指标等相关内容，如有变更应按《中华人民共和国政府采购法》、财政部《政府采购货物和服务招标投标管理办法》的相关程序执行。</w:t>
      </w:r>
    </w:p>
    <w:p w14:paraId="4E689E30">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（13）安装调试及售后服务：</w:t>
      </w:r>
    </w:p>
    <w:p w14:paraId="05A2B748">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1）乙方负责本项目的安装和调试，并保证其提供的货物符合国家、行业、地方、招投标文件及合同规定的质量、性能和标准，并正确且安全地安装。</w:t>
      </w:r>
    </w:p>
    <w:p w14:paraId="077601F8">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2）乙方提供的服务全部按照国家有关法律法规规章和“三包”规定以及按招标文件要求和乙方投标文件中的承诺执行。</w:t>
      </w:r>
    </w:p>
    <w:p w14:paraId="14B4E65D">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3）质保期后的货物维护由双方协商再定。</w:t>
      </w:r>
    </w:p>
    <w:p w14:paraId="7DD8615B">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4）甲方应向乙方现场调试的技术人员及维修人员提供方便条件，有关费用由乙方负责。</w:t>
      </w:r>
    </w:p>
    <w:p w14:paraId="003A36D3">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5）甲方如要求供方提供招标文件及乙方投标文件以外的</w:t>
      </w:r>
      <w:r>
        <w:rPr>
          <w:rFonts w:hint="eastAsia" w:ascii="宋体" w:hAnsi="宋体" w:cs="宋体"/>
          <w:b w:val="0"/>
          <w:color w:val="000000"/>
          <w:sz w:val="24"/>
          <w:szCs w:val="24"/>
          <w:highlight w:val="none"/>
          <w:lang w:val="en-US" w:eastAsia="zh-CN" w:bidi="ar-SA"/>
        </w:rPr>
        <w:t>其他</w:t>
      </w:r>
      <w:r>
        <w:rPr>
          <w:rFonts w:hint="eastAsia" w:ascii="宋体" w:hAnsi="宋体" w:eastAsia="宋体" w:cs="宋体"/>
          <w:b w:val="0"/>
          <w:color w:val="000000"/>
          <w:sz w:val="24"/>
          <w:szCs w:val="24"/>
          <w:highlight w:val="none"/>
          <w:lang w:val="en-US" w:eastAsia="zh-CN" w:bidi="ar-SA"/>
        </w:rPr>
        <w:t>服务，其费用另定。</w:t>
      </w:r>
    </w:p>
    <w:p w14:paraId="0E3CA15B">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cs="宋体"/>
          <w:b w:val="0"/>
          <w:color w:val="000000"/>
          <w:sz w:val="24"/>
          <w:szCs w:val="24"/>
          <w:highlight w:val="none"/>
          <w:lang w:val="en-US" w:eastAsia="zh-CN" w:bidi="ar-SA"/>
        </w:rPr>
        <w:t>8.</w:t>
      </w:r>
      <w:r>
        <w:rPr>
          <w:rFonts w:hint="eastAsia" w:ascii="宋体" w:hAnsi="宋体" w:eastAsia="宋体" w:cs="宋体"/>
          <w:b w:val="0"/>
          <w:color w:val="000000"/>
          <w:sz w:val="24"/>
          <w:szCs w:val="24"/>
          <w:highlight w:val="none"/>
          <w:lang w:val="en-US" w:eastAsia="zh-CN" w:bidi="ar-SA"/>
        </w:rPr>
        <w:t>违约条款：</w:t>
      </w:r>
    </w:p>
    <w:p w14:paraId="2A299270">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（1）乙方不能在施工工期内完成合同约定的内容， 应向甲方支付违约金， 除不可抗力因素或甲方造成原因外，如乙方发生延期交付，每迟交一天，按合同总金额的0.5%支付违约金，甲方可直接从工程进度支付款中扣除。</w:t>
      </w:r>
    </w:p>
    <w:p w14:paraId="67DD224F">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（2）乙方没有提供合同约定的设备，或提供的设备型号、规格和性能与合同约 定的不符，或设备性能不能满足甲方规定的要求，经甲方书面催告仍不能按时履行或 提供的替代设备或设备性能达不到甲方要求，导致合同无法履行的，甲方有权解除合同，并要求乙方赔偿全部损失。</w:t>
      </w:r>
    </w:p>
    <w:p w14:paraId="0A3FC2CC">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（3）非因甲方原因，乙方不履行本合同规定的义务，致使工作延误，甲方有权要求其强制履行或解除合同，并要求乙方等额赔偿由此造成的一切损失。</w:t>
      </w:r>
    </w:p>
    <w:p w14:paraId="08D1601D">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（4）在</w:t>
      </w:r>
      <w:r>
        <w:rPr>
          <w:rFonts w:hint="eastAsia" w:ascii="宋体" w:hAnsi="宋体" w:eastAsia="黑体" w:cs="宋体"/>
          <w:b w:val="0"/>
          <w:color w:val="000000"/>
          <w:sz w:val="24"/>
          <w:szCs w:val="24"/>
          <w:highlight w:val="none"/>
          <w:lang w:val="en-US" w:eastAsia="zh-CN" w:bidi="ar-SA"/>
        </w:rPr>
        <w:t>质保</w:t>
      </w:r>
      <w:r>
        <w:rPr>
          <w:rFonts w:hint="eastAsia" w:ascii="宋体" w:hAnsi="宋体" w:eastAsia="宋体" w:cs="宋体"/>
          <w:b w:val="0"/>
          <w:color w:val="000000"/>
          <w:sz w:val="24"/>
          <w:szCs w:val="24"/>
          <w:highlight w:val="none"/>
          <w:lang w:val="en-US" w:eastAsia="zh-CN" w:bidi="ar-SA"/>
        </w:rPr>
        <w:t>期内，本合同范围内涉及的各类故障未在合同规定的时间内完成修复的，因乙方的其他维护服务不能满足招标文件及合同要求，给甲方造成一般损失或影响的罚款1000元/次，造成较大损失或影响的罚款5000元/次，造成严重损失或影响的罚款50000元/次。</w:t>
      </w:r>
    </w:p>
    <w:p w14:paraId="57CBA473">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（5）施工和</w:t>
      </w:r>
      <w:r>
        <w:rPr>
          <w:rFonts w:hint="eastAsia" w:ascii="宋体" w:hAnsi="宋体" w:eastAsia="黑体" w:cs="宋体"/>
          <w:b w:val="0"/>
          <w:color w:val="000000"/>
          <w:sz w:val="24"/>
          <w:szCs w:val="24"/>
          <w:highlight w:val="none"/>
          <w:lang w:val="en-US" w:eastAsia="zh-CN" w:bidi="ar-SA"/>
        </w:rPr>
        <w:t>质保以及维护</w:t>
      </w:r>
      <w:r>
        <w:rPr>
          <w:rFonts w:hint="eastAsia" w:ascii="宋体" w:hAnsi="宋体" w:eastAsia="宋体" w:cs="宋体"/>
          <w:b w:val="0"/>
          <w:color w:val="000000"/>
          <w:sz w:val="24"/>
          <w:szCs w:val="24"/>
          <w:highlight w:val="none"/>
          <w:lang w:val="en-US" w:eastAsia="zh-CN" w:bidi="ar-SA"/>
        </w:rPr>
        <w:t>期间，乙方应保障施工和维护过程中的网络安全，凡</w:t>
      </w:r>
      <w:r>
        <w:rPr>
          <w:rFonts w:hint="eastAsia" w:ascii="宋体" w:hAnsi="宋体" w:cs="宋体"/>
          <w:b w:val="0"/>
          <w:color w:val="000000"/>
          <w:sz w:val="24"/>
          <w:szCs w:val="24"/>
          <w:highlight w:val="none"/>
          <w:lang w:val="en-US" w:eastAsia="zh-CN" w:bidi="ar-SA"/>
        </w:rPr>
        <w:t>是由于乙方原因</w:t>
      </w:r>
      <w:r>
        <w:rPr>
          <w:rFonts w:hint="eastAsia" w:ascii="宋体" w:hAnsi="宋体" w:eastAsia="宋体" w:cs="宋体"/>
          <w:b w:val="0"/>
          <w:color w:val="000000"/>
          <w:sz w:val="24"/>
          <w:szCs w:val="24"/>
          <w:highlight w:val="none"/>
          <w:lang w:val="en-US" w:eastAsia="zh-CN" w:bidi="ar-SA"/>
        </w:rPr>
        <w:t>“一机两用</w:t>
      </w:r>
      <w:r>
        <w:rPr>
          <w:rFonts w:hint="eastAsia" w:ascii="宋体" w:hAnsi="宋体" w:cs="宋体"/>
          <w:b w:val="0"/>
          <w:color w:val="000000"/>
          <w:sz w:val="24"/>
          <w:szCs w:val="24"/>
          <w:highlight w:val="none"/>
          <w:lang w:val="en-US" w:eastAsia="zh-CN" w:bidi="ar-SA"/>
        </w:rPr>
        <w:t>”“</w:t>
      </w:r>
      <w:r>
        <w:rPr>
          <w:rFonts w:hint="eastAsia" w:ascii="宋体" w:hAnsi="宋体" w:eastAsia="宋体" w:cs="宋体"/>
          <w:b w:val="0"/>
          <w:color w:val="000000"/>
          <w:sz w:val="24"/>
          <w:szCs w:val="24"/>
          <w:highlight w:val="none"/>
          <w:lang w:val="en-US" w:eastAsia="zh-CN" w:bidi="ar-SA"/>
        </w:rPr>
        <w:t>两网互通”等网络安全案事件发生的，由乙方承担5000元/次罚款。</w:t>
      </w:r>
    </w:p>
    <w:p w14:paraId="28FA035D">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（6）甲方未按约定期限付款的（在走退还流程的除外），双方协商或仲裁处理。</w:t>
      </w:r>
    </w:p>
    <w:p w14:paraId="0B82A1B7">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cs="宋体"/>
          <w:b w:val="0"/>
          <w:color w:val="000000"/>
          <w:sz w:val="24"/>
          <w:szCs w:val="24"/>
          <w:highlight w:val="none"/>
          <w:lang w:val="en-US" w:eastAsia="zh-CN" w:bidi="ar-SA"/>
        </w:rPr>
        <w:t>9.</w:t>
      </w:r>
      <w:r>
        <w:rPr>
          <w:rFonts w:hint="eastAsia" w:ascii="宋体" w:hAnsi="宋体" w:eastAsia="宋体" w:cs="宋体"/>
          <w:b w:val="0"/>
          <w:color w:val="000000"/>
          <w:sz w:val="24"/>
          <w:szCs w:val="24"/>
          <w:highlight w:val="none"/>
          <w:lang w:val="en-US" w:eastAsia="zh-CN" w:bidi="ar-SA"/>
        </w:rPr>
        <w:t>项目所有权：</w:t>
      </w:r>
    </w:p>
    <w:p w14:paraId="12B7052B">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（1）</w:t>
      </w:r>
      <w:r>
        <w:rPr>
          <w:rFonts w:hint="eastAsia" w:ascii="宋体" w:hAnsi="宋体" w:eastAsia="黑体" w:cs="宋体"/>
          <w:b w:val="0"/>
          <w:color w:val="000000"/>
          <w:sz w:val="24"/>
          <w:szCs w:val="24"/>
          <w:highlight w:val="none"/>
          <w:lang w:val="en-US" w:eastAsia="zh-CN" w:bidi="ar-SA"/>
        </w:rPr>
        <w:t>质保</w:t>
      </w:r>
      <w:r>
        <w:rPr>
          <w:rFonts w:hint="eastAsia" w:ascii="宋体" w:hAnsi="宋体" w:eastAsia="宋体" w:cs="宋体"/>
          <w:b w:val="0"/>
          <w:color w:val="000000"/>
          <w:sz w:val="24"/>
          <w:szCs w:val="24"/>
          <w:highlight w:val="none"/>
          <w:lang w:val="en-US" w:eastAsia="zh-CN" w:bidi="ar-SA"/>
        </w:rPr>
        <w:t>期内，本项目的所有权归属甲方。未经甲方同意，乙方不得私自泄露、转让、抵押给第三方使用；</w:t>
      </w:r>
    </w:p>
    <w:p w14:paraId="47E57E79">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（2）乙方承担</w:t>
      </w:r>
      <w:r>
        <w:rPr>
          <w:rFonts w:hint="eastAsia" w:ascii="宋体" w:hAnsi="宋体" w:eastAsia="黑体" w:cs="宋体"/>
          <w:b w:val="0"/>
          <w:color w:val="000000"/>
          <w:sz w:val="24"/>
          <w:szCs w:val="24"/>
          <w:highlight w:val="none"/>
          <w:lang w:val="en-US" w:eastAsia="zh-CN" w:bidi="ar-SA"/>
        </w:rPr>
        <w:t>质保</w:t>
      </w:r>
      <w:r>
        <w:rPr>
          <w:rFonts w:hint="eastAsia" w:ascii="宋体" w:hAnsi="宋体" w:eastAsia="宋体" w:cs="宋体"/>
          <w:b w:val="0"/>
          <w:color w:val="000000"/>
          <w:sz w:val="24"/>
          <w:szCs w:val="24"/>
          <w:highlight w:val="none"/>
          <w:lang w:val="en-US" w:eastAsia="zh-CN" w:bidi="ar-SA"/>
        </w:rPr>
        <w:t>的运营维护责任，需自行完成系统故障排除、系统设备维护，确保系统长期稳定运行，满足</w:t>
      </w:r>
      <w:r>
        <w:rPr>
          <w:rFonts w:hint="eastAsia" w:ascii="宋体" w:hAnsi="宋体" w:eastAsia="黑体" w:cs="宋体"/>
          <w:b w:val="0"/>
          <w:color w:val="000000"/>
          <w:sz w:val="24"/>
          <w:szCs w:val="24"/>
          <w:highlight w:val="none"/>
          <w:lang w:val="en-US" w:eastAsia="zh-CN" w:bidi="ar-SA"/>
        </w:rPr>
        <w:t>采购人实际</w:t>
      </w:r>
      <w:r>
        <w:rPr>
          <w:rFonts w:hint="eastAsia" w:ascii="宋体" w:hAnsi="宋体" w:eastAsia="宋体" w:cs="宋体"/>
          <w:b w:val="0"/>
          <w:color w:val="000000"/>
          <w:sz w:val="24"/>
          <w:szCs w:val="24"/>
          <w:highlight w:val="none"/>
          <w:lang w:val="en-US" w:eastAsia="zh-CN" w:bidi="ar-SA"/>
        </w:rPr>
        <w:t>需要。</w:t>
      </w:r>
    </w:p>
    <w:p w14:paraId="552BF38D">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（3）</w:t>
      </w:r>
      <w:r>
        <w:rPr>
          <w:rFonts w:hint="eastAsia" w:ascii="宋体" w:hAnsi="宋体" w:eastAsia="黑体" w:cs="宋体"/>
          <w:b w:val="0"/>
          <w:color w:val="000000"/>
          <w:sz w:val="24"/>
          <w:szCs w:val="24"/>
          <w:highlight w:val="none"/>
          <w:lang w:val="en-US" w:eastAsia="zh-CN" w:bidi="ar-SA"/>
        </w:rPr>
        <w:t>质保</w:t>
      </w:r>
      <w:r>
        <w:rPr>
          <w:rFonts w:hint="eastAsia" w:ascii="宋体" w:hAnsi="宋体" w:eastAsia="宋体" w:cs="宋体"/>
          <w:b w:val="0"/>
          <w:color w:val="000000"/>
          <w:sz w:val="24"/>
          <w:szCs w:val="24"/>
          <w:highlight w:val="none"/>
          <w:lang w:val="en-US" w:eastAsia="zh-CN" w:bidi="ar-SA"/>
        </w:rPr>
        <w:t>期满，乙方必须对整个系统进行一次全面维修、保养，并必须保证所有设备完好、整个系统能正常运行后，按甲方要求无偿移交给甲方。</w:t>
      </w:r>
    </w:p>
    <w:p w14:paraId="1AE5B4BD">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cs="宋体"/>
          <w:b w:val="0"/>
          <w:color w:val="000000"/>
          <w:sz w:val="24"/>
          <w:szCs w:val="24"/>
          <w:highlight w:val="none"/>
          <w:lang w:val="en-US" w:eastAsia="zh-CN" w:bidi="ar-SA"/>
        </w:rPr>
        <w:t>10.</w:t>
      </w:r>
      <w:r>
        <w:rPr>
          <w:rFonts w:hint="eastAsia" w:ascii="宋体" w:hAnsi="宋体" w:eastAsia="宋体" w:cs="宋体"/>
          <w:b w:val="0"/>
          <w:color w:val="000000"/>
          <w:sz w:val="24"/>
          <w:szCs w:val="24"/>
          <w:highlight w:val="none"/>
          <w:lang w:val="en-US" w:eastAsia="zh-CN" w:bidi="ar-SA"/>
        </w:rPr>
        <w:t>知识产权：乙方应保证甲方免除并承担由于甲方在其本国使用该项目时而引 起第三方提出的侵犯专利权、知识产权或设计权的起诉、行动、行政程序索赔、请求 等以及甲方为此而产生的损失和损害、费用和支出（包括律师费）。</w:t>
      </w:r>
    </w:p>
    <w:p w14:paraId="5FE79798">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cs="宋体"/>
          <w:b w:val="0"/>
          <w:color w:val="000000"/>
          <w:sz w:val="24"/>
          <w:szCs w:val="24"/>
          <w:highlight w:val="none"/>
          <w:lang w:val="en-US" w:eastAsia="zh-CN" w:bidi="ar-SA"/>
        </w:rPr>
        <w:t>11.</w:t>
      </w:r>
      <w:r>
        <w:rPr>
          <w:rFonts w:hint="eastAsia" w:ascii="宋体" w:hAnsi="宋体" w:eastAsia="宋体" w:cs="宋体"/>
          <w:b w:val="0"/>
          <w:color w:val="000000"/>
          <w:sz w:val="24"/>
          <w:szCs w:val="24"/>
          <w:highlight w:val="none"/>
          <w:lang w:val="en-US" w:eastAsia="zh-CN" w:bidi="ar-SA"/>
        </w:rPr>
        <w:t>合同生效：本合同经甲方、乙方签字盖章后生效。合同签订的内容不能超出招标文件和投标文件的实质性内容。</w:t>
      </w:r>
    </w:p>
    <w:p w14:paraId="29D4DB35">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cs="宋体"/>
          <w:b w:val="0"/>
          <w:color w:val="000000"/>
          <w:sz w:val="24"/>
          <w:szCs w:val="24"/>
          <w:highlight w:val="none"/>
          <w:lang w:val="en-US" w:eastAsia="zh-CN" w:bidi="ar-SA"/>
        </w:rPr>
        <w:t>12.</w:t>
      </w:r>
      <w:r>
        <w:rPr>
          <w:rFonts w:hint="eastAsia" w:ascii="宋体" w:hAnsi="宋体" w:eastAsia="宋体" w:cs="宋体"/>
          <w:b w:val="0"/>
          <w:color w:val="000000"/>
          <w:sz w:val="24"/>
          <w:szCs w:val="24"/>
          <w:highlight w:val="none"/>
          <w:lang w:val="en-US" w:eastAsia="zh-CN" w:bidi="ar-SA"/>
        </w:rPr>
        <w:t>争议：双方约定，在履行合同过程中产生争议时，由双方当事人协商解决，协商不成时依法向沭阳县</w:t>
      </w:r>
      <w:r>
        <w:rPr>
          <w:rFonts w:hint="eastAsia" w:ascii="宋体" w:hAnsi="宋体" w:cs="宋体"/>
          <w:b w:val="0"/>
          <w:color w:val="000000"/>
          <w:sz w:val="24"/>
          <w:szCs w:val="24"/>
          <w:highlight w:val="none"/>
          <w:lang w:val="en-US" w:eastAsia="zh-CN" w:bidi="ar-SA"/>
        </w:rPr>
        <w:t>人民法院提起诉讼</w:t>
      </w:r>
      <w:r>
        <w:rPr>
          <w:rFonts w:hint="eastAsia" w:ascii="宋体" w:hAnsi="宋体" w:eastAsia="宋体" w:cs="宋体"/>
          <w:b w:val="0"/>
          <w:color w:val="000000"/>
          <w:sz w:val="24"/>
          <w:szCs w:val="24"/>
          <w:highlight w:val="none"/>
          <w:lang w:val="en-US" w:eastAsia="zh-CN" w:bidi="ar-SA"/>
        </w:rPr>
        <w:t>。</w:t>
      </w:r>
    </w:p>
    <w:p w14:paraId="2681853D">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cs="宋体"/>
          <w:b w:val="0"/>
          <w:color w:val="000000"/>
          <w:sz w:val="24"/>
          <w:szCs w:val="24"/>
          <w:highlight w:val="none"/>
          <w:lang w:val="en-US" w:eastAsia="zh-CN" w:bidi="ar-SA"/>
        </w:rPr>
        <w:t>13.</w:t>
      </w:r>
      <w:r>
        <w:rPr>
          <w:rFonts w:hint="eastAsia" w:ascii="宋体" w:hAnsi="宋体" w:eastAsia="宋体" w:cs="宋体"/>
          <w:b w:val="0"/>
          <w:color w:val="000000"/>
          <w:sz w:val="24"/>
          <w:szCs w:val="24"/>
          <w:highlight w:val="none"/>
          <w:lang w:val="en-US" w:eastAsia="zh-CN" w:bidi="ar-SA"/>
        </w:rPr>
        <w:t>合同的组成部分</w:t>
      </w:r>
    </w:p>
    <w:p w14:paraId="7C5B6F59">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本合同条款、中标通知书、招标文件、投标文件及投标人在开标时的书面承诺、 合同附件</w:t>
      </w:r>
      <w:r>
        <w:rPr>
          <w:rFonts w:hint="eastAsia" w:ascii="宋体" w:hAnsi="宋体" w:cs="宋体"/>
          <w:b w:val="0"/>
          <w:color w:val="000000"/>
          <w:sz w:val="24"/>
          <w:szCs w:val="24"/>
          <w:highlight w:val="none"/>
          <w:lang w:val="en-US" w:eastAsia="zh-CN" w:bidi="ar-SA"/>
        </w:rPr>
        <w:t>（</w:t>
      </w:r>
      <w:r>
        <w:rPr>
          <w:rFonts w:hint="eastAsia" w:ascii="宋体" w:hAnsi="宋体" w:eastAsia="宋体" w:cs="宋体"/>
          <w:b w:val="0"/>
          <w:color w:val="000000"/>
          <w:sz w:val="24"/>
          <w:szCs w:val="24"/>
          <w:highlight w:val="none"/>
          <w:lang w:val="en-US" w:eastAsia="zh-CN" w:bidi="ar-SA"/>
        </w:rPr>
        <w:t>附件 1：设备清单明细及报价表</w:t>
      </w:r>
      <w:r>
        <w:rPr>
          <w:rFonts w:hint="eastAsia" w:ascii="宋体" w:hAnsi="宋体" w:cs="宋体"/>
          <w:b w:val="0"/>
          <w:color w:val="000000"/>
          <w:sz w:val="24"/>
          <w:szCs w:val="24"/>
          <w:highlight w:val="none"/>
          <w:lang w:val="en-US" w:eastAsia="zh-CN" w:bidi="ar-SA"/>
        </w:rPr>
        <w:t>）</w:t>
      </w:r>
      <w:r>
        <w:rPr>
          <w:rFonts w:hint="eastAsia" w:ascii="宋体" w:hAnsi="宋体" w:eastAsia="宋体" w:cs="宋体"/>
          <w:b w:val="0"/>
          <w:color w:val="000000"/>
          <w:sz w:val="24"/>
          <w:szCs w:val="24"/>
          <w:highlight w:val="none"/>
          <w:lang w:val="en-US" w:eastAsia="zh-CN" w:bidi="ar-SA"/>
        </w:rPr>
        <w:t>等都是构成合同的组成部分。</w:t>
      </w:r>
    </w:p>
    <w:p w14:paraId="02155FD0">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甲方： （盖章）                 乙方： （盖章）</w:t>
      </w:r>
    </w:p>
    <w:p w14:paraId="36145880">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地址：                          地址：</w:t>
      </w:r>
    </w:p>
    <w:p w14:paraId="41D60E2E">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 xml:space="preserve">法定（授权）代表人：            法定（授权）代表人：            </w:t>
      </w:r>
    </w:p>
    <w:p w14:paraId="20FC2849">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年       月      日             年       月      日</w:t>
      </w:r>
    </w:p>
    <w:p w14:paraId="5A475B13">
      <w:pPr>
        <w:spacing w:after="120"/>
        <w:ind w:firstLine="240"/>
        <w:rPr>
          <w:rFonts w:ascii="宋体" w:hAnsi="宋体" w:eastAsia="宋体" w:cs="宋体"/>
          <w:color w:val="000000"/>
          <w:sz w:val="24"/>
          <w:szCs w:val="24"/>
          <w:highlight w:val="none"/>
          <w:lang w:val="en-US" w:eastAsia="zh-CN" w:bidi="ar-SA"/>
        </w:rPr>
      </w:pPr>
    </w:p>
    <w:p w14:paraId="46BB51A4">
      <w:pPr>
        <w:widowControl w:val="0"/>
        <w:spacing w:line="560" w:lineRule="exact"/>
        <w:jc w:val="center"/>
        <w:rPr>
          <w:rFonts w:hint="eastAsia" w:ascii="宋体" w:hAnsi="宋体" w:eastAsia="宋体" w:cs="宋体"/>
          <w:b w:val="0"/>
          <w:color w:val="000000"/>
          <w:sz w:val="30"/>
          <w:szCs w:val="30"/>
          <w:highlight w:val="none"/>
          <w:lang w:val="en-US" w:eastAsia="zh-CN" w:bidi="ar-SA"/>
        </w:rPr>
      </w:pPr>
    </w:p>
    <w:p w14:paraId="29EBB2CB">
      <w:pPr>
        <w:widowControl w:val="0"/>
        <w:spacing w:line="560" w:lineRule="exact"/>
        <w:jc w:val="center"/>
        <w:rPr>
          <w:rFonts w:ascii="宋体" w:hAnsi="宋体" w:eastAsia="宋体" w:cs="宋体"/>
          <w:b w:val="0"/>
          <w:color w:val="000000"/>
          <w:sz w:val="30"/>
          <w:szCs w:val="30"/>
          <w:highlight w:val="none"/>
          <w:lang w:val="en-US" w:eastAsia="zh-CN" w:bidi="ar-SA"/>
        </w:rPr>
      </w:pPr>
      <w:r>
        <w:rPr>
          <w:rFonts w:hint="eastAsia" w:ascii="宋体" w:hAnsi="宋体" w:eastAsia="宋体" w:cs="宋体"/>
          <w:b w:val="0"/>
          <w:color w:val="000000"/>
          <w:sz w:val="30"/>
          <w:szCs w:val="30"/>
          <w:highlight w:val="none"/>
          <w:lang w:val="en-US" w:eastAsia="zh-CN" w:bidi="ar-SA"/>
        </w:rPr>
        <w:t>通用条款</w:t>
      </w:r>
    </w:p>
    <w:p w14:paraId="3ADD3388">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本合同通用条款，执行中华人民共和国商务部机电和科技产业司发布的1508版《机电产品采购国际竞争性招标文件》中的标准条款和GF-2013-0201 《建设工程施工合同（示范文本）》中的“第二部分：通用条款”。</w:t>
      </w:r>
    </w:p>
    <w:p w14:paraId="673D1048">
      <w:pPr>
        <w:widowControl w:val="0"/>
        <w:spacing w:line="560" w:lineRule="exact"/>
        <w:ind w:firstLine="480"/>
        <w:jc w:val="center"/>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专用条款</w:t>
      </w:r>
    </w:p>
    <w:p w14:paraId="63F23DB1">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一、词语定义及合同文件</w:t>
      </w:r>
    </w:p>
    <w:p w14:paraId="2C354A6F">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cs="宋体"/>
          <w:b w:val="0"/>
          <w:color w:val="000000"/>
          <w:sz w:val="24"/>
          <w:szCs w:val="24"/>
          <w:highlight w:val="none"/>
          <w:lang w:val="en-US" w:eastAsia="zh-CN" w:bidi="ar-SA"/>
        </w:rPr>
        <w:t>1.</w:t>
      </w:r>
      <w:r>
        <w:rPr>
          <w:rFonts w:hint="eastAsia" w:ascii="宋体" w:hAnsi="宋体" w:eastAsia="宋体" w:cs="宋体"/>
          <w:b w:val="0"/>
          <w:color w:val="000000"/>
          <w:sz w:val="24"/>
          <w:szCs w:val="24"/>
          <w:highlight w:val="none"/>
          <w:lang w:val="en-US" w:eastAsia="zh-CN" w:bidi="ar-SA"/>
        </w:rPr>
        <w:t>合同文件组成及解释顺序：合同文件的优先顺序</w:t>
      </w:r>
    </w:p>
    <w:p w14:paraId="5F55B334">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组成合同的各项文件应互相解释，互为说明。除专用合同条款另有约定外，解释合同文件的优先顺序如下：</w:t>
      </w:r>
    </w:p>
    <w:p w14:paraId="6538C147">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（1）招标文件及其澄清文件、附件；</w:t>
      </w:r>
    </w:p>
    <w:p w14:paraId="11F1B474">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（2）中标通知书；</w:t>
      </w:r>
    </w:p>
    <w:p w14:paraId="1CAA80D7">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（3）投标文件及其附录；</w:t>
      </w:r>
    </w:p>
    <w:p w14:paraId="2496523C">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（4）合同协议书；</w:t>
      </w:r>
    </w:p>
    <w:p w14:paraId="318D7A62">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（5）专用合同条款及其附件；</w:t>
      </w:r>
    </w:p>
    <w:p w14:paraId="5A2FEB98">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（6）通用合同条款；</w:t>
      </w:r>
    </w:p>
    <w:p w14:paraId="21CDCC86">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（7）技术标准和要求；</w:t>
      </w:r>
    </w:p>
    <w:p w14:paraId="15E785D4">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（8）图纸；</w:t>
      </w:r>
    </w:p>
    <w:p w14:paraId="0C7FD08D">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（9）已标价工程量清单或预算书；</w:t>
      </w:r>
    </w:p>
    <w:p w14:paraId="0FAA3E9C">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（10）其他合同文件。</w:t>
      </w:r>
    </w:p>
    <w:p w14:paraId="232E9F0D">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上述各项合同文件包括合同当事人就该项合同文件所作出的补充和修改， 属于同一类内容的文件，应以最新签署的为准。</w:t>
      </w:r>
    </w:p>
    <w:p w14:paraId="109D4124">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cs="宋体"/>
          <w:b w:val="0"/>
          <w:color w:val="000000"/>
          <w:sz w:val="24"/>
          <w:szCs w:val="24"/>
          <w:highlight w:val="none"/>
          <w:lang w:val="en-US" w:eastAsia="zh-CN" w:bidi="ar-SA"/>
        </w:rPr>
        <w:t>2.</w:t>
      </w:r>
      <w:r>
        <w:rPr>
          <w:rFonts w:hint="eastAsia" w:ascii="宋体" w:hAnsi="宋体" w:eastAsia="宋体" w:cs="宋体"/>
          <w:b w:val="0"/>
          <w:color w:val="000000"/>
          <w:sz w:val="24"/>
          <w:szCs w:val="24"/>
          <w:highlight w:val="none"/>
          <w:lang w:val="en-US" w:eastAsia="zh-CN" w:bidi="ar-SA"/>
        </w:rPr>
        <w:t>在合同订立及履行过程中形成的与合同有关的文件均构成合同文件组成部分，并根据其性质确定优先解释顺序。</w:t>
      </w:r>
    </w:p>
    <w:p w14:paraId="5C6E2924">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cs="宋体"/>
          <w:b w:val="0"/>
          <w:color w:val="000000"/>
          <w:sz w:val="24"/>
          <w:szCs w:val="24"/>
          <w:highlight w:val="none"/>
          <w:lang w:val="en-US" w:eastAsia="zh-CN" w:bidi="ar-SA"/>
        </w:rPr>
        <w:t>3.</w:t>
      </w:r>
      <w:r>
        <w:rPr>
          <w:rFonts w:hint="eastAsia" w:ascii="宋体" w:hAnsi="宋体" w:eastAsia="宋体" w:cs="宋体"/>
          <w:b w:val="0"/>
          <w:color w:val="000000"/>
          <w:sz w:val="24"/>
          <w:szCs w:val="24"/>
          <w:highlight w:val="none"/>
          <w:lang w:val="en-US" w:eastAsia="zh-CN" w:bidi="ar-SA"/>
        </w:rPr>
        <w:t>语言文字和适用法律、标准及规范</w:t>
      </w:r>
    </w:p>
    <w:p w14:paraId="746291DB">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3.1本合同除使用汉语外，还使用无语言文字。</w:t>
      </w:r>
    </w:p>
    <w:p w14:paraId="72B34D8F">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3.2适用的法律和法规</w:t>
      </w:r>
    </w:p>
    <w:p w14:paraId="4BE6F576">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需要明示的法律、行政法规：本工程适用中华人民共和国现行的法律、行政法规。</w:t>
      </w:r>
    </w:p>
    <w:p w14:paraId="5B4ABCC2">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3.3适用标准、规范</w:t>
      </w:r>
    </w:p>
    <w:p w14:paraId="6281608D">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适用标准、规范的名称：中华人民共和国颁发的现行的有关标准、规范，省、市公安机关有关规定。</w:t>
      </w:r>
    </w:p>
    <w:p w14:paraId="34CF9EA4">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二、双方一般权利和义务</w:t>
      </w:r>
    </w:p>
    <w:p w14:paraId="0E23E68F">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cs="宋体"/>
          <w:b w:val="0"/>
          <w:color w:val="000000"/>
          <w:sz w:val="24"/>
          <w:szCs w:val="24"/>
          <w:highlight w:val="none"/>
          <w:lang w:val="en-US" w:eastAsia="zh-CN" w:bidi="ar-SA"/>
        </w:rPr>
        <w:t>4.</w:t>
      </w:r>
      <w:r>
        <w:rPr>
          <w:rFonts w:hint="eastAsia" w:ascii="宋体" w:hAnsi="宋体" w:eastAsia="宋体" w:cs="宋体"/>
          <w:b w:val="0"/>
          <w:color w:val="000000"/>
          <w:sz w:val="24"/>
          <w:szCs w:val="24"/>
          <w:highlight w:val="none"/>
          <w:lang w:val="en-US" w:eastAsia="zh-CN" w:bidi="ar-SA"/>
        </w:rPr>
        <w:t>甲方职权：工程质量的监督权；工程上使用的材料和施工质量检验权、确认权；工程施工进度、安全的检查、监督权；工程款支付的审核权；向乙方提出施工组 织设计和技术方案的建议权；甲方和乙方间的组织协调的主持权；撤换不合格的项目 经理及有关人员的建议权；工程变更的确认权；发布开工令、停工令、复工令权等。</w:t>
      </w:r>
    </w:p>
    <w:p w14:paraId="76CF07E3">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cs="宋体"/>
          <w:b w:val="0"/>
          <w:color w:val="000000"/>
          <w:sz w:val="24"/>
          <w:szCs w:val="24"/>
          <w:highlight w:val="none"/>
          <w:lang w:val="en-US" w:eastAsia="zh-CN" w:bidi="ar-SA"/>
        </w:rPr>
        <w:t>5.</w:t>
      </w:r>
      <w:r>
        <w:rPr>
          <w:rFonts w:hint="eastAsia" w:ascii="宋体" w:hAnsi="宋体" w:eastAsia="宋体" w:cs="宋体"/>
          <w:b w:val="0"/>
          <w:color w:val="000000"/>
          <w:sz w:val="24"/>
          <w:szCs w:val="24"/>
          <w:highlight w:val="none"/>
          <w:lang w:val="en-US" w:eastAsia="zh-CN" w:bidi="ar-SA"/>
        </w:rPr>
        <w:t>项目负责人</w:t>
      </w:r>
    </w:p>
    <w:p w14:paraId="40C0C652">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投标文件中明确的项目负责人及主要技术人员不得变更，开工时或施工过程中如 有变更，甲方有权解除合同，并追究由此带来的甲方的一切损失。项目组成人员必须 保证每周在工地工作时间不低于5个工作日（特殊情况下需离开时必须事先征得甲方 同意后方可离开）。如发现项目组人员未经甲方同意擅自缺勤，每发现一次罚款500 元，发现上述情况三次的甲方有权解除合同，将其清退出场，并追究由此带来的甲方 的一切损失，报招标办备案。项目组人员到甲方指定地点打卡签到。每缺一次扣500元。</w:t>
      </w:r>
    </w:p>
    <w:p w14:paraId="05DF0A6C">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cs="宋体"/>
          <w:b w:val="0"/>
          <w:color w:val="000000"/>
          <w:sz w:val="24"/>
          <w:szCs w:val="24"/>
          <w:highlight w:val="none"/>
          <w:lang w:val="en-US" w:eastAsia="zh-CN" w:bidi="ar-SA"/>
        </w:rPr>
        <w:t>其他</w:t>
      </w:r>
      <w:r>
        <w:rPr>
          <w:rFonts w:hint="eastAsia" w:ascii="宋体" w:hAnsi="宋体" w:eastAsia="宋体" w:cs="宋体"/>
          <w:b w:val="0"/>
          <w:color w:val="000000"/>
          <w:sz w:val="24"/>
          <w:szCs w:val="24"/>
          <w:highlight w:val="none"/>
          <w:lang w:val="en-US" w:eastAsia="zh-CN" w:bidi="ar-SA"/>
        </w:rPr>
        <w:t>管理人员、技术负责人、技术工人必须持证上岗，请假必须提前报甲方备案，甲方有权对其出勤情况进行随机抽查，凡未经备案不在现场的，每人/次罚款100元， 如频繁出现上述情况达5人/次以上的，甲方有权要求将该人员清退，要求施工单位重 新指派负责人或者将施工单位清退出场，并解除施工合同。</w:t>
      </w:r>
    </w:p>
    <w:p w14:paraId="61251391">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cs="宋体"/>
          <w:b w:val="0"/>
          <w:color w:val="000000"/>
          <w:sz w:val="24"/>
          <w:szCs w:val="24"/>
          <w:highlight w:val="none"/>
          <w:lang w:val="en-US" w:eastAsia="zh-CN" w:bidi="ar-SA"/>
        </w:rPr>
        <w:t>6.</w:t>
      </w:r>
      <w:r>
        <w:rPr>
          <w:rFonts w:hint="eastAsia" w:ascii="宋体" w:hAnsi="宋体" w:eastAsia="宋体" w:cs="宋体"/>
          <w:b w:val="0"/>
          <w:color w:val="000000"/>
          <w:sz w:val="24"/>
          <w:szCs w:val="24"/>
          <w:highlight w:val="none"/>
          <w:lang w:val="en-US" w:eastAsia="zh-CN" w:bidi="ar-SA"/>
        </w:rPr>
        <w:t>甲方工作</w:t>
      </w:r>
    </w:p>
    <w:p w14:paraId="5D5316FD">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甲方应按约定的时间和要求完成以下工作。</w:t>
      </w:r>
    </w:p>
    <w:p w14:paraId="2FE373B9">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 xml:space="preserve">施工现场具备施工条件的要求及完成时间。      </w:t>
      </w:r>
    </w:p>
    <w:p w14:paraId="0AADE3D0">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 xml:space="preserve">方案会审和设计交底时间。                </w:t>
      </w:r>
    </w:p>
    <w:p w14:paraId="1E64C28B">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 xml:space="preserve">双方约定甲方应做的其他工作。           </w:t>
      </w:r>
    </w:p>
    <w:p w14:paraId="20C2523B">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cs="宋体"/>
          <w:b w:val="0"/>
          <w:color w:val="000000"/>
          <w:sz w:val="24"/>
          <w:szCs w:val="24"/>
          <w:highlight w:val="none"/>
          <w:lang w:val="en-US" w:eastAsia="zh-CN" w:bidi="ar-SA"/>
        </w:rPr>
        <w:t>7.</w:t>
      </w:r>
      <w:r>
        <w:rPr>
          <w:rFonts w:hint="eastAsia" w:ascii="宋体" w:hAnsi="宋体" w:eastAsia="宋体" w:cs="宋体"/>
          <w:b w:val="0"/>
          <w:color w:val="000000"/>
          <w:sz w:val="24"/>
          <w:szCs w:val="24"/>
          <w:highlight w:val="none"/>
          <w:lang w:val="en-US" w:eastAsia="zh-CN" w:bidi="ar-SA"/>
        </w:rPr>
        <w:t>乙方工作</w:t>
      </w:r>
    </w:p>
    <w:p w14:paraId="1E1527EE">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乙方应按约定的时间和要求完成以下工作：</w:t>
      </w:r>
    </w:p>
    <w:p w14:paraId="5ED3BCBA">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应提供计划、报表的名称及完成时间：签订合同5日内提供施工方案和材料计划， 每周向甲方提供详细的施工进度计划、已</w:t>
      </w:r>
      <w:r>
        <w:rPr>
          <w:rFonts w:hint="eastAsia" w:ascii="宋体" w:hAnsi="宋体" w:cs="宋体"/>
          <w:b w:val="0"/>
          <w:color w:val="000000"/>
          <w:sz w:val="24"/>
          <w:szCs w:val="24"/>
          <w:highlight w:val="none"/>
          <w:lang w:val="en-US" w:eastAsia="zh-CN" w:bidi="ar-SA"/>
        </w:rPr>
        <w:t>完成</w:t>
      </w:r>
      <w:r>
        <w:rPr>
          <w:rFonts w:hint="eastAsia" w:ascii="宋体" w:hAnsi="宋体" w:eastAsia="宋体" w:cs="宋体"/>
          <w:b w:val="0"/>
          <w:color w:val="000000"/>
          <w:sz w:val="24"/>
          <w:szCs w:val="24"/>
          <w:highlight w:val="none"/>
          <w:lang w:val="en-US" w:eastAsia="zh-CN" w:bidi="ar-SA"/>
        </w:rPr>
        <w:t>工程量报表（含工程变更及签证预算）、 甲供材料清单、乙购材料清单、材料进场计划、劳动力及用款计划等资料，分项的施工组织设计开工前向甲方提供。</w:t>
      </w:r>
    </w:p>
    <w:p w14:paraId="25AA02C8">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承担施工安全保卫工作及非夜间施工照明的责任和要求：由乙方负责，甲方不承担任何责任。</w:t>
      </w:r>
    </w:p>
    <w:p w14:paraId="612DA7E0">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将所需的线路接至施工现场的时间、地点和供应要求：计算工期前将电、线路接至施工现场。</w:t>
      </w:r>
    </w:p>
    <w:p w14:paraId="4CDD90EF">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已完工程成品保护的特殊要求及费用承担：已竣工工程未交付甲方验收之前的成 品保护由乙方负责，费用由乙方承担。由于公安通信的特殊性，乙方必须严格按照国 家相关标准及招标人要求进行建设、保密和完成新旧系统割接工作，不得给甲方正常通信造成超出约定对接时限的其他影响，否则乙方将承担相应的赔偿责任。</w:t>
      </w:r>
    </w:p>
    <w:p w14:paraId="5C5F4CB9">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施工现场周围环境的保护要求及费用承担：做好车辆、邻近物品的保护和观测工 作，因乙方的责任造成的财产和人身损失，由乙方承担相关费用。</w:t>
      </w:r>
    </w:p>
    <w:p w14:paraId="5A8AA9E2">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施工现场清洁卫生的要求：乙方所有人员进入工地后必须遵守相关管理规定，做 到文明施工、规范施工。</w:t>
      </w:r>
    </w:p>
    <w:p w14:paraId="45B2FFCD">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双方约定乙方应做的其他工作：另订协议</w:t>
      </w:r>
    </w:p>
    <w:p w14:paraId="5C36A720">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三、施工组织设计和工期</w:t>
      </w:r>
    </w:p>
    <w:p w14:paraId="2B8DF1FC">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cs="宋体"/>
          <w:b w:val="0"/>
          <w:color w:val="000000"/>
          <w:sz w:val="24"/>
          <w:szCs w:val="24"/>
          <w:highlight w:val="none"/>
          <w:lang w:val="en-US" w:eastAsia="zh-CN" w:bidi="ar-SA"/>
        </w:rPr>
        <w:t>8.</w:t>
      </w:r>
      <w:r>
        <w:rPr>
          <w:rFonts w:hint="eastAsia" w:ascii="宋体" w:hAnsi="宋体" w:eastAsia="宋体" w:cs="宋体"/>
          <w:b w:val="0"/>
          <w:color w:val="000000"/>
          <w:sz w:val="24"/>
          <w:szCs w:val="24"/>
          <w:highlight w:val="none"/>
          <w:lang w:val="en-US" w:eastAsia="zh-CN" w:bidi="ar-SA"/>
        </w:rPr>
        <w:t>进度计划</w:t>
      </w:r>
    </w:p>
    <w:p w14:paraId="7CFE1948">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8.1乙方提供施工组织设计（施工方案）和进度计划的时间：方案会审及设计交底后二日内组织施工，每周五之前报下周进度计划。</w:t>
      </w:r>
    </w:p>
    <w:p w14:paraId="5E0ED16C">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工程师确认的时间：甲方代表应于收到乙方资料三天内予以确认，逾期不批复， 可视为该施工组织设计（施工方案） 和进度计划已经批准。乙方必须按照批准的进度 计划组织施工， 接受甲方代表对进度的检查、监督， 工程实际进展与进度计划不符时，应提供修改，调整后的进度计划及相应的措施报甲方代表批准后执行。</w:t>
      </w:r>
    </w:p>
    <w:p w14:paraId="0290AE9C">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cs="宋体"/>
          <w:b w:val="0"/>
          <w:color w:val="000000"/>
          <w:sz w:val="24"/>
          <w:szCs w:val="24"/>
          <w:highlight w:val="none"/>
          <w:lang w:val="en-US" w:eastAsia="zh-CN" w:bidi="ar-SA"/>
        </w:rPr>
        <w:t>9.</w:t>
      </w:r>
      <w:r>
        <w:rPr>
          <w:rFonts w:hint="eastAsia" w:ascii="宋体" w:hAnsi="宋体" w:eastAsia="宋体" w:cs="宋体"/>
          <w:b w:val="0"/>
          <w:color w:val="000000"/>
          <w:sz w:val="24"/>
          <w:szCs w:val="24"/>
          <w:highlight w:val="none"/>
          <w:lang w:val="en-US" w:eastAsia="zh-CN" w:bidi="ar-SA"/>
        </w:rPr>
        <w:t>工期延误</w:t>
      </w:r>
    </w:p>
    <w:p w14:paraId="7F7D2B89">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9.1双方约定工期顺延的其他情况：由于甲方的原因和非乙方的责任停工的， 工 期顺延。当乙方施工进度或工程质量明显无法达到原定计划标准时，甲方有权提出更 换项目经理直至终止合同，并要求乙方赔偿损失。</w:t>
      </w:r>
    </w:p>
    <w:p w14:paraId="3D284DB3">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四、质量与验收</w:t>
      </w:r>
    </w:p>
    <w:p w14:paraId="71FC4802">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cs="宋体"/>
          <w:b w:val="0"/>
          <w:color w:val="000000"/>
          <w:sz w:val="24"/>
          <w:szCs w:val="24"/>
          <w:highlight w:val="none"/>
          <w:lang w:val="en-US" w:eastAsia="zh-CN" w:bidi="ar-SA"/>
        </w:rPr>
        <w:t>10.</w:t>
      </w:r>
      <w:r>
        <w:rPr>
          <w:rFonts w:hint="eastAsia" w:ascii="宋体" w:hAnsi="宋体" w:eastAsia="宋体" w:cs="宋体"/>
          <w:b w:val="0"/>
          <w:color w:val="000000"/>
          <w:sz w:val="24"/>
          <w:szCs w:val="24"/>
          <w:highlight w:val="none"/>
          <w:lang w:val="en-US" w:eastAsia="zh-CN" w:bidi="ar-SA"/>
        </w:rPr>
        <w:t>隐蔽工程和中间验收</w:t>
      </w:r>
    </w:p>
    <w:p w14:paraId="6188EBFF">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双方约定中间验收部位：工程具备隐蔽条件或达到中间验收部位时，乙方自检合格后，在隐蔽和中间验收48小时前书面通知甲方代表参加。通知应包含乙方自检记录、隐蔽和中间验收的内容、时间和地点。乙方准备验收记录，验收合格，甲方代表 在验收记录上签字后，方可进行隐蔽和继续施工。验收不合格，乙方在限定时间内重新验收。</w:t>
      </w:r>
    </w:p>
    <w:p w14:paraId="4C40FA9B">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五、安全施工</w:t>
      </w:r>
    </w:p>
    <w:p w14:paraId="6D7588D2">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cs="宋体"/>
          <w:b w:val="0"/>
          <w:color w:val="000000"/>
          <w:sz w:val="24"/>
          <w:szCs w:val="24"/>
          <w:highlight w:val="none"/>
          <w:lang w:val="en-US" w:eastAsia="zh-CN" w:bidi="ar-SA"/>
        </w:rPr>
        <w:t>11.</w:t>
      </w:r>
      <w:r>
        <w:rPr>
          <w:rFonts w:hint="eastAsia" w:ascii="宋体" w:hAnsi="宋体" w:eastAsia="宋体" w:cs="宋体"/>
          <w:b w:val="0"/>
          <w:color w:val="000000"/>
          <w:sz w:val="24"/>
          <w:szCs w:val="24"/>
          <w:highlight w:val="none"/>
          <w:lang w:val="en-US" w:eastAsia="zh-CN" w:bidi="ar-SA"/>
        </w:rPr>
        <w:t>项目实施过程中的设备运输、安装、调试和维护等所涉及的设备安全和人身安全 的一切责任全部由乙方承担。乙方在施工现场的安全管理、教育和安全事故责任由乙方承担。</w:t>
      </w:r>
    </w:p>
    <w:p w14:paraId="6225E2EA">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黑体" w:cs="宋体"/>
          <w:b w:val="0"/>
          <w:color w:val="000000"/>
          <w:sz w:val="24"/>
          <w:szCs w:val="24"/>
          <w:highlight w:val="none"/>
          <w:lang w:val="en-US" w:eastAsia="zh-CN" w:bidi="ar-SA"/>
        </w:rPr>
        <w:t>质保</w:t>
      </w:r>
      <w:r>
        <w:rPr>
          <w:rFonts w:hint="eastAsia" w:ascii="宋体" w:hAnsi="宋体" w:eastAsia="宋体" w:cs="宋体"/>
          <w:b w:val="0"/>
          <w:color w:val="000000"/>
          <w:sz w:val="24"/>
          <w:szCs w:val="24"/>
          <w:highlight w:val="none"/>
          <w:lang w:val="en-US" w:eastAsia="zh-CN" w:bidi="ar-SA"/>
        </w:rPr>
        <w:t>期内产生的人身安全和其他风险等一切责任全部由乙方承担。</w:t>
      </w:r>
    </w:p>
    <w:p w14:paraId="6F3633FA">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六、合同价款与支付</w:t>
      </w:r>
    </w:p>
    <w:p w14:paraId="7F215B7B">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cs="宋体"/>
          <w:b w:val="0"/>
          <w:color w:val="000000"/>
          <w:sz w:val="24"/>
          <w:szCs w:val="24"/>
          <w:highlight w:val="none"/>
          <w:lang w:val="en-US" w:eastAsia="zh-CN" w:bidi="ar-SA"/>
        </w:rPr>
        <w:t>12.</w:t>
      </w:r>
      <w:r>
        <w:rPr>
          <w:rFonts w:hint="eastAsia" w:ascii="宋体" w:hAnsi="宋体" w:eastAsia="宋体" w:cs="宋体"/>
          <w:b w:val="0"/>
          <w:color w:val="000000"/>
          <w:sz w:val="24"/>
          <w:szCs w:val="24"/>
          <w:highlight w:val="none"/>
          <w:lang w:val="en-US" w:eastAsia="zh-CN" w:bidi="ar-SA"/>
        </w:rPr>
        <w:t>合同价款及调整</w:t>
      </w:r>
    </w:p>
    <w:p w14:paraId="17F66A57">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12.1本合同价款采用固定价格合同方式确定。合同价款中</w:t>
      </w:r>
      <w:r>
        <w:rPr>
          <w:rFonts w:hint="eastAsia" w:ascii="宋体" w:hAnsi="宋体" w:cs="宋体"/>
          <w:b w:val="0"/>
          <w:color w:val="000000"/>
          <w:sz w:val="24"/>
          <w:szCs w:val="24"/>
          <w:highlight w:val="none"/>
          <w:lang w:val="en-US" w:eastAsia="zh-CN" w:bidi="ar-SA"/>
        </w:rPr>
        <w:t>包括</w:t>
      </w:r>
      <w:r>
        <w:rPr>
          <w:rFonts w:hint="eastAsia" w:ascii="宋体" w:hAnsi="宋体" w:eastAsia="宋体" w:cs="宋体"/>
          <w:b w:val="0"/>
          <w:color w:val="000000"/>
          <w:sz w:val="24"/>
          <w:szCs w:val="24"/>
          <w:highlight w:val="none"/>
          <w:lang w:val="en-US" w:eastAsia="zh-CN" w:bidi="ar-SA"/>
        </w:rPr>
        <w:t>施工期间的政策性调整及市场风险等一切风险范围。</w:t>
      </w:r>
    </w:p>
    <w:p w14:paraId="2121B611">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12.2 如果甲方需求变更导致合同价款调整的，调整项目经甲方确认后，调整内容的费用按审计部门审计为准，并计入合同总价。</w:t>
      </w:r>
    </w:p>
    <w:p w14:paraId="1268FBDC">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七、材料设备供应</w:t>
      </w:r>
    </w:p>
    <w:p w14:paraId="7A0F6261">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cs="宋体"/>
          <w:b w:val="0"/>
          <w:color w:val="000000"/>
          <w:sz w:val="24"/>
          <w:szCs w:val="24"/>
          <w:highlight w:val="none"/>
          <w:lang w:val="en-US" w:eastAsia="zh-CN" w:bidi="ar-SA"/>
        </w:rPr>
        <w:t>13.</w:t>
      </w:r>
      <w:r>
        <w:rPr>
          <w:rFonts w:hint="eastAsia" w:ascii="宋体" w:hAnsi="宋体" w:eastAsia="宋体" w:cs="宋体"/>
          <w:b w:val="0"/>
          <w:color w:val="000000"/>
          <w:sz w:val="24"/>
          <w:szCs w:val="24"/>
          <w:highlight w:val="none"/>
          <w:lang w:val="en-US" w:eastAsia="zh-CN" w:bidi="ar-SA"/>
        </w:rPr>
        <w:t>乙方采购材料设备。双方约定乙方采购的材料设备必须符合有关规范、设计图纸规定的质量要求，且需经甲方验收合格后方可进场。</w:t>
      </w:r>
    </w:p>
    <w:p w14:paraId="4F0EF3CA">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八、竣工验收与结算</w:t>
      </w:r>
    </w:p>
    <w:p w14:paraId="6844407E">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cs="宋体"/>
          <w:b w:val="0"/>
          <w:color w:val="000000"/>
          <w:sz w:val="24"/>
          <w:szCs w:val="24"/>
          <w:highlight w:val="none"/>
          <w:lang w:val="en-US" w:eastAsia="zh-CN" w:bidi="ar-SA"/>
        </w:rPr>
        <w:t>14.</w:t>
      </w:r>
      <w:r>
        <w:rPr>
          <w:rFonts w:hint="eastAsia" w:ascii="宋体" w:hAnsi="宋体" w:eastAsia="宋体" w:cs="宋体"/>
          <w:b w:val="0"/>
          <w:color w:val="000000"/>
          <w:sz w:val="24"/>
          <w:szCs w:val="24"/>
          <w:highlight w:val="none"/>
          <w:lang w:val="en-US" w:eastAsia="zh-CN" w:bidi="ar-SA"/>
        </w:rPr>
        <w:t>竣工验收</w:t>
      </w:r>
    </w:p>
    <w:p w14:paraId="11624FAA">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14.1 乙方应在规定时限内竣工，乙方不按期完成合同约定的内容，应向甲方支 付违约金，除不可抗力因素或甲方造成原因外，如乙方发生延期交付，每迟交一天， 按合同总金额的0.5%支付违约金。</w:t>
      </w:r>
    </w:p>
    <w:p w14:paraId="7CE0649E">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14.2 乙方提供竣工图的约定：乙方应在工程竣工后一个月内免费提供</w:t>
      </w:r>
      <w:r>
        <w:rPr>
          <w:rFonts w:hint="eastAsia" w:ascii="宋体" w:hAnsi="宋体" w:cs="宋体"/>
          <w:b w:val="0"/>
          <w:color w:val="000000"/>
          <w:sz w:val="24"/>
          <w:szCs w:val="24"/>
          <w:highlight w:val="none"/>
          <w:lang w:val="en-US" w:eastAsia="zh-CN" w:bidi="ar-SA"/>
        </w:rPr>
        <w:t>两套</w:t>
      </w:r>
      <w:r>
        <w:rPr>
          <w:rFonts w:hint="eastAsia" w:ascii="宋体" w:hAnsi="宋体" w:eastAsia="宋体" w:cs="宋体"/>
          <w:b w:val="0"/>
          <w:color w:val="000000"/>
          <w:sz w:val="24"/>
          <w:szCs w:val="24"/>
          <w:highlight w:val="none"/>
          <w:lang w:val="en-US" w:eastAsia="zh-CN" w:bidi="ar-SA"/>
        </w:rPr>
        <w:t>完整 的竣工图和竣工结算及其资料，否则每延迟一天向甲方支付合同价款万分之五的违约 金。</w:t>
      </w:r>
    </w:p>
    <w:p w14:paraId="228D4552">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14.3 中间交工工程的范围和竣工时间：按通用条款执行。</w:t>
      </w:r>
    </w:p>
    <w:p w14:paraId="11E4E262">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九、违约、索赔和争议</w:t>
      </w:r>
    </w:p>
    <w:p w14:paraId="562FCF0C">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cs="宋体"/>
          <w:b w:val="0"/>
          <w:color w:val="000000"/>
          <w:sz w:val="24"/>
          <w:szCs w:val="24"/>
          <w:highlight w:val="none"/>
          <w:lang w:val="en-US" w:eastAsia="zh-CN" w:bidi="ar-SA"/>
        </w:rPr>
        <w:t>15.</w:t>
      </w:r>
      <w:r>
        <w:rPr>
          <w:rFonts w:hint="eastAsia" w:ascii="宋体" w:hAnsi="宋体" w:eastAsia="宋体" w:cs="宋体"/>
          <w:b w:val="0"/>
          <w:color w:val="000000"/>
          <w:sz w:val="24"/>
          <w:szCs w:val="24"/>
          <w:highlight w:val="none"/>
          <w:lang w:val="en-US" w:eastAsia="zh-CN" w:bidi="ar-SA"/>
        </w:rPr>
        <w:t>违约</w:t>
      </w:r>
    </w:p>
    <w:p w14:paraId="19F431A2">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本合同约定乙方违约应承担的违约责任： 合同工期按本合同相关条款约定的工期， 如工期延误，应承担违约责任，并向甲方支付赔偿费，此赔偿费的支付不能解除乙方应完成工程的责任和合同规定的其他责任。</w:t>
      </w:r>
    </w:p>
    <w:p w14:paraId="2FC501A8">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本工程应达到甲方要求的质量标准，乙方应按照现行的国家施工验收规范和资料 评定标准施工； 如工程竣工验收时第一次验收不合格的，乙方要负责工程整改，并自行承担相应整改费用；如进行第三次验收仍不合格时，甲方将终止施工合同并不再支付任何费用，</w:t>
      </w:r>
      <w:r>
        <w:rPr>
          <w:rFonts w:hint="eastAsia" w:ascii="宋体" w:hAnsi="宋体" w:cs="宋体"/>
          <w:b w:val="0"/>
          <w:color w:val="000000"/>
          <w:sz w:val="24"/>
          <w:szCs w:val="24"/>
          <w:highlight w:val="none"/>
          <w:lang w:val="en-US" w:eastAsia="zh-CN" w:bidi="ar-SA"/>
        </w:rPr>
        <w:t>乙方</w:t>
      </w:r>
      <w:r>
        <w:rPr>
          <w:rFonts w:hint="eastAsia" w:ascii="宋体" w:hAnsi="宋体" w:eastAsia="宋体" w:cs="宋体"/>
          <w:b w:val="0"/>
          <w:color w:val="000000"/>
          <w:sz w:val="24"/>
          <w:szCs w:val="24"/>
          <w:highlight w:val="none"/>
          <w:lang w:val="en-US" w:eastAsia="zh-CN" w:bidi="ar-SA"/>
        </w:rPr>
        <w:t>应当另行承担因此给甲方造成的全部损失。</w:t>
      </w:r>
    </w:p>
    <w:p w14:paraId="44B33AB0">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cs="宋体"/>
          <w:b w:val="0"/>
          <w:color w:val="000000"/>
          <w:sz w:val="24"/>
          <w:szCs w:val="24"/>
          <w:highlight w:val="none"/>
          <w:lang w:val="en-US" w:eastAsia="zh-CN" w:bidi="ar-SA"/>
        </w:rPr>
        <w:t>16.</w:t>
      </w:r>
      <w:r>
        <w:rPr>
          <w:rFonts w:hint="eastAsia" w:ascii="宋体" w:hAnsi="宋体" w:eastAsia="宋体" w:cs="宋体"/>
          <w:b w:val="0"/>
          <w:color w:val="000000"/>
          <w:sz w:val="24"/>
          <w:szCs w:val="24"/>
          <w:highlight w:val="none"/>
          <w:lang w:val="en-US" w:eastAsia="zh-CN" w:bidi="ar-SA"/>
        </w:rPr>
        <w:t>争议</w:t>
      </w:r>
    </w:p>
    <w:p w14:paraId="65AB72EF">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16.1双方约定，在履行合同过程中产生争议时，由双方当事人协商解决，协商不 成时依法向沭阳县</w:t>
      </w:r>
      <w:r>
        <w:rPr>
          <w:rFonts w:hint="eastAsia" w:ascii="宋体" w:hAnsi="宋体" w:cs="宋体"/>
          <w:b w:val="0"/>
          <w:color w:val="000000"/>
          <w:sz w:val="24"/>
          <w:szCs w:val="24"/>
          <w:highlight w:val="none"/>
          <w:lang w:val="en-US" w:eastAsia="zh-CN" w:bidi="ar-SA"/>
        </w:rPr>
        <w:t>人民法院提起诉讼</w:t>
      </w:r>
      <w:r>
        <w:rPr>
          <w:rFonts w:hint="eastAsia" w:ascii="宋体" w:hAnsi="宋体" w:eastAsia="宋体" w:cs="宋体"/>
          <w:b w:val="0"/>
          <w:color w:val="000000"/>
          <w:sz w:val="24"/>
          <w:szCs w:val="24"/>
          <w:highlight w:val="none"/>
          <w:lang w:val="en-US" w:eastAsia="zh-CN" w:bidi="ar-SA"/>
        </w:rPr>
        <w:t>。</w:t>
      </w:r>
    </w:p>
    <w:p w14:paraId="0BB26DEF">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十、其他</w:t>
      </w:r>
    </w:p>
    <w:p w14:paraId="00B57A55">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cs="宋体"/>
          <w:b w:val="0"/>
          <w:color w:val="000000"/>
          <w:sz w:val="24"/>
          <w:szCs w:val="24"/>
          <w:highlight w:val="none"/>
          <w:lang w:val="en-US" w:eastAsia="zh-CN" w:bidi="ar-SA"/>
        </w:rPr>
        <w:t>17.</w:t>
      </w:r>
      <w:r>
        <w:rPr>
          <w:rFonts w:hint="eastAsia" w:ascii="宋体" w:hAnsi="宋体" w:eastAsia="宋体" w:cs="宋体"/>
          <w:b w:val="0"/>
          <w:color w:val="000000"/>
          <w:sz w:val="24"/>
          <w:szCs w:val="24"/>
          <w:highlight w:val="none"/>
          <w:lang w:val="en-US" w:eastAsia="zh-CN" w:bidi="ar-SA"/>
        </w:rPr>
        <w:t>不可抗力</w:t>
      </w:r>
    </w:p>
    <w:p w14:paraId="6614725C">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17.1双方关于不可抗力的约定：按本合同通用条款执行。</w:t>
      </w:r>
    </w:p>
    <w:p w14:paraId="1D5883AD">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cs="宋体"/>
          <w:b w:val="0"/>
          <w:color w:val="000000"/>
          <w:sz w:val="24"/>
          <w:szCs w:val="24"/>
          <w:highlight w:val="none"/>
          <w:lang w:val="en-US" w:eastAsia="zh-CN" w:bidi="ar-SA"/>
        </w:rPr>
        <w:t>18.</w:t>
      </w:r>
      <w:r>
        <w:rPr>
          <w:rFonts w:hint="eastAsia" w:ascii="宋体" w:hAnsi="宋体" w:eastAsia="宋体" w:cs="宋体"/>
          <w:b w:val="0"/>
          <w:color w:val="000000"/>
          <w:sz w:val="24"/>
          <w:szCs w:val="24"/>
          <w:highlight w:val="none"/>
          <w:lang w:val="en-US" w:eastAsia="zh-CN" w:bidi="ar-SA"/>
        </w:rPr>
        <w:t>保险</w:t>
      </w:r>
    </w:p>
    <w:p w14:paraId="7A9D771E">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18.1 本工程双方约定投保内容如下：</w:t>
      </w:r>
    </w:p>
    <w:p w14:paraId="77E3D975">
      <w:pPr>
        <w:widowControl w:val="0"/>
        <w:spacing w:line="560" w:lineRule="exact"/>
        <w:ind w:firstLine="480"/>
        <w:jc w:val="both"/>
        <w:rPr>
          <w:rFonts w:ascii="宋体" w:hAnsi="宋体" w:eastAsia="宋体" w:cs="宋体"/>
          <w:b w:val="0"/>
          <w:color w:val="000000"/>
          <w:sz w:val="24"/>
          <w:szCs w:val="24"/>
          <w:highlight w:val="none"/>
          <w:lang w:val="en-US" w:eastAsia="zh-CN" w:bidi="ar-SA"/>
        </w:rPr>
      </w:pPr>
      <w:r>
        <w:rPr>
          <w:rFonts w:hint="eastAsia" w:ascii="宋体" w:hAnsi="宋体" w:eastAsia="宋体" w:cs="宋体"/>
          <w:b w:val="0"/>
          <w:color w:val="000000"/>
          <w:sz w:val="24"/>
          <w:szCs w:val="24"/>
          <w:highlight w:val="none"/>
          <w:lang w:val="en-US" w:eastAsia="zh-CN" w:bidi="ar-SA"/>
        </w:rPr>
        <w:t>⑴甲方投保内容：无</w:t>
      </w:r>
    </w:p>
    <w:p w14:paraId="75304B50">
      <w:pPr>
        <w:widowControl w:val="0"/>
        <w:spacing w:line="560" w:lineRule="exact"/>
        <w:ind w:firstLine="480"/>
        <w:jc w:val="both"/>
        <w:rPr>
          <w:rFonts w:ascii="宋体" w:hAnsi="宋体" w:eastAsia="宋体" w:cs="宋体"/>
          <w:bCs/>
          <w:color w:val="000000"/>
          <w:sz w:val="44"/>
          <w:szCs w:val="21"/>
          <w:highlight w:val="none"/>
          <w:lang w:val="en-US" w:eastAsia="zh-CN" w:bidi="ar-SA"/>
        </w:rPr>
      </w:pPr>
      <w:r>
        <w:rPr>
          <w:rFonts w:hint="eastAsia" w:ascii="宋体" w:hAnsi="宋体" w:eastAsia="宋体" w:cs="宋体"/>
          <w:b w:val="0"/>
          <w:color w:val="000000"/>
          <w:sz w:val="24"/>
          <w:szCs w:val="24"/>
          <w:highlight w:val="none"/>
          <w:lang w:val="en-US" w:eastAsia="zh-CN" w:bidi="ar-SA"/>
        </w:rPr>
        <w:t>⑵乙</w:t>
      </w:r>
      <w:r>
        <w:rPr>
          <w:rFonts w:hint="eastAsia" w:ascii="宋体" w:hAnsi="宋体" w:eastAsia="宋体" w:cs="宋体"/>
          <w:color w:val="000000"/>
          <w:sz w:val="24"/>
          <w:szCs w:val="24"/>
          <w:highlight w:val="none"/>
          <w:lang w:val="en-US" w:eastAsia="zh-CN" w:bidi="ar-SA"/>
        </w:rPr>
        <w:t>方投保内容：承担合同履行期间所有按规定由甲乙双方投保的内容。</w:t>
      </w:r>
    </w:p>
    <w:p w14:paraId="0360B9F7">
      <w:pPr>
        <w:keepNext/>
        <w:keepLines/>
        <w:pageBreakBefore/>
        <w:jc w:val="center"/>
        <w:outlineLvl w:val="0"/>
        <w:rPr>
          <w:b/>
          <w:color w:val="000000"/>
          <w:sz w:val="44"/>
          <w:szCs w:val="44"/>
          <w:highlight w:val="none"/>
        </w:rPr>
      </w:pPr>
      <w:r>
        <w:rPr>
          <w:rFonts w:hint="eastAsia"/>
          <w:b/>
          <w:color w:val="000000"/>
          <w:sz w:val="44"/>
          <w:szCs w:val="44"/>
          <w:highlight w:val="none"/>
        </w:rPr>
        <w:t>第六章  投标文件格式</w:t>
      </w:r>
      <w:bookmarkEnd w:id="168"/>
      <w:bookmarkEnd w:id="169"/>
      <w:bookmarkEnd w:id="170"/>
      <w:bookmarkEnd w:id="171"/>
      <w:bookmarkEnd w:id="172"/>
      <w:bookmarkEnd w:id="173"/>
    </w:p>
    <w:p w14:paraId="0D3B9D56">
      <w:pPr>
        <w:rPr>
          <w:color w:val="000000"/>
          <w:highlight w:val="none"/>
        </w:rPr>
      </w:pPr>
      <w:bookmarkStart w:id="174" w:name="EB819316f773b24a75aef829f9b72900c0"/>
    </w:p>
    <w:p w14:paraId="7982AF1A">
      <w:pPr>
        <w:rPr>
          <w:rFonts w:ascii="Times New Roman" w:hAnsi="Times New Roman"/>
          <w:b/>
          <w:color w:val="000000"/>
          <w:sz w:val="72"/>
          <w:highlight w:val="none"/>
        </w:rPr>
      </w:pPr>
      <w:bookmarkStart w:id="175" w:name="_Toc15716"/>
    </w:p>
    <w:p w14:paraId="69096472">
      <w:pPr>
        <w:rPr>
          <w:rFonts w:ascii="Times New Roman" w:hAnsi="Times New Roman"/>
          <w:b/>
          <w:color w:val="000000"/>
          <w:sz w:val="72"/>
          <w:highlight w:val="none"/>
        </w:rPr>
      </w:pPr>
    </w:p>
    <w:p w14:paraId="23E4C18A">
      <w:pPr>
        <w:rPr>
          <w:rFonts w:ascii="Times New Roman" w:hAnsi="Times New Roman"/>
          <w:b/>
          <w:color w:val="000000"/>
          <w:sz w:val="72"/>
          <w:highlight w:val="none"/>
        </w:rPr>
      </w:pPr>
    </w:p>
    <w:p w14:paraId="3B0FA54D">
      <w:pPr>
        <w:jc w:val="center"/>
        <w:rPr>
          <w:rFonts w:ascii="Times New Roman" w:hAnsi="Times New Roman"/>
          <w:b/>
          <w:color w:val="000000"/>
          <w:sz w:val="72"/>
          <w:highlight w:val="none"/>
        </w:rPr>
      </w:pPr>
      <w:r>
        <w:rPr>
          <w:rFonts w:hint="eastAsia" w:ascii="Times New Roman" w:hAnsi="Times New Roman"/>
          <w:b/>
          <w:color w:val="000000"/>
          <w:sz w:val="72"/>
          <w:highlight w:val="none"/>
        </w:rPr>
        <w:t>投  标  文  件</w:t>
      </w:r>
    </w:p>
    <w:p w14:paraId="01546034">
      <w:pPr>
        <w:jc w:val="center"/>
        <w:rPr>
          <w:rFonts w:ascii="Times New Roman" w:hAnsi="Times New Roman"/>
          <w:b/>
          <w:color w:val="000000"/>
          <w:sz w:val="72"/>
          <w:highlight w:val="none"/>
        </w:rPr>
      </w:pPr>
    </w:p>
    <w:p w14:paraId="5BE4C72C">
      <w:pPr>
        <w:jc w:val="center"/>
        <w:rPr>
          <w:rFonts w:ascii="Times New Roman" w:hAnsi="Times New Roman"/>
          <w:b/>
          <w:color w:val="000000"/>
          <w:sz w:val="72"/>
          <w:highlight w:val="none"/>
        </w:rPr>
      </w:pPr>
    </w:p>
    <w:p w14:paraId="2CEDEF5A">
      <w:pPr>
        <w:jc w:val="center"/>
        <w:rPr>
          <w:rFonts w:ascii="Times New Roman" w:hAnsi="Times New Roman"/>
          <w:b/>
          <w:color w:val="000000"/>
          <w:sz w:val="72"/>
          <w:highlight w:val="none"/>
        </w:rPr>
      </w:pPr>
    </w:p>
    <w:p w14:paraId="35C37C21">
      <w:pPr>
        <w:jc w:val="center"/>
        <w:rPr>
          <w:rFonts w:ascii="Times New Roman" w:hAnsi="Times New Roman"/>
          <w:b/>
          <w:color w:val="000000"/>
          <w:sz w:val="72"/>
          <w:highlight w:val="none"/>
        </w:rPr>
      </w:pPr>
    </w:p>
    <w:p w14:paraId="0EA96946">
      <w:pPr>
        <w:jc w:val="center"/>
        <w:rPr>
          <w:rFonts w:ascii="Times New Roman" w:hAnsi="Times New Roman"/>
          <w:b/>
          <w:color w:val="000000"/>
          <w:sz w:val="72"/>
          <w:highlight w:val="none"/>
        </w:rPr>
      </w:pPr>
    </w:p>
    <w:p w14:paraId="24DA22A0">
      <w:pPr>
        <w:jc w:val="center"/>
        <w:rPr>
          <w:rFonts w:ascii="Times New Roman" w:hAnsi="Times New Roman"/>
          <w:b/>
          <w:color w:val="000000"/>
          <w:sz w:val="36"/>
          <w:highlight w:val="none"/>
        </w:rPr>
      </w:pPr>
    </w:p>
    <w:p w14:paraId="731AAEBC">
      <w:pPr>
        <w:jc w:val="center"/>
        <w:rPr>
          <w:rFonts w:ascii="Times New Roman" w:hAnsi="Times New Roman"/>
          <w:b/>
          <w:color w:val="000000"/>
          <w:sz w:val="36"/>
          <w:highlight w:val="none"/>
        </w:rPr>
      </w:pPr>
    </w:p>
    <w:p w14:paraId="7A374661">
      <w:pPr>
        <w:jc w:val="center"/>
        <w:rPr>
          <w:rFonts w:ascii="Times New Roman" w:hAnsi="Times New Roman"/>
          <w:b/>
          <w:color w:val="000000"/>
          <w:sz w:val="36"/>
          <w:highlight w:val="none"/>
        </w:rPr>
      </w:pPr>
    </w:p>
    <w:p w14:paraId="2A29AA6F">
      <w:pPr>
        <w:ind w:firstLine="1084"/>
        <w:rPr>
          <w:rFonts w:ascii="Times New Roman" w:hAnsi="Times New Roman"/>
          <w:b/>
          <w:color w:val="000000"/>
          <w:sz w:val="36"/>
          <w:highlight w:val="none"/>
        </w:rPr>
      </w:pPr>
      <w:r>
        <w:rPr>
          <w:rFonts w:hint="eastAsia" w:ascii="Times New Roman" w:hAnsi="Times New Roman"/>
          <w:b/>
          <w:color w:val="000000"/>
          <w:sz w:val="36"/>
          <w:highlight w:val="none"/>
        </w:rPr>
        <w:t>项 目 名 称：</w:t>
      </w:r>
      <w:r>
        <w:rPr>
          <w:rFonts w:hint="eastAsia" w:ascii="Times New Roman" w:hAnsi="Times New Roman"/>
          <w:b/>
          <w:color w:val="000000"/>
          <w:sz w:val="36"/>
          <w:highlight w:val="none"/>
          <w:u w:val="single"/>
        </w:rPr>
        <w:t xml:space="preserve">               </w:t>
      </w:r>
    </w:p>
    <w:p w14:paraId="416FC4D2">
      <w:pPr>
        <w:ind w:firstLine="1084"/>
        <w:rPr>
          <w:rFonts w:ascii="Times New Roman" w:hAnsi="Times New Roman"/>
          <w:b/>
          <w:color w:val="000000"/>
          <w:sz w:val="36"/>
          <w:highlight w:val="none"/>
          <w:u w:val="single"/>
        </w:rPr>
      </w:pPr>
      <w:r>
        <w:rPr>
          <w:rFonts w:hint="eastAsia" w:ascii="Times New Roman" w:hAnsi="Times New Roman"/>
          <w:b/>
          <w:color w:val="000000"/>
          <w:sz w:val="36"/>
          <w:highlight w:val="none"/>
        </w:rPr>
        <w:t>项 目 编 号：</w:t>
      </w:r>
      <w:r>
        <w:rPr>
          <w:rFonts w:hint="eastAsia" w:ascii="Times New Roman" w:hAnsi="Times New Roman"/>
          <w:b/>
          <w:color w:val="000000"/>
          <w:sz w:val="36"/>
          <w:highlight w:val="none"/>
          <w:u w:val="single"/>
        </w:rPr>
        <w:t xml:space="preserve">               </w:t>
      </w:r>
    </w:p>
    <w:p w14:paraId="23E63CA5">
      <w:pPr>
        <w:rPr>
          <w:rFonts w:ascii="Times New Roman" w:hAnsi="Times New Roman"/>
          <w:b/>
          <w:color w:val="000000"/>
          <w:sz w:val="36"/>
          <w:highlight w:val="none"/>
          <w:u w:val="single"/>
        </w:rPr>
      </w:pPr>
      <w:r>
        <w:rPr>
          <w:rFonts w:hint="eastAsia" w:ascii="Times New Roman" w:hAnsi="Times New Roman"/>
          <w:b/>
          <w:color w:val="000000"/>
          <w:sz w:val="36"/>
          <w:highlight w:val="none"/>
        </w:rPr>
        <w:t xml:space="preserve">      投标人名称 ：</w:t>
      </w:r>
      <w:r>
        <w:rPr>
          <w:rFonts w:hint="eastAsia" w:ascii="Times New Roman" w:hAnsi="Times New Roman"/>
          <w:b/>
          <w:color w:val="000000"/>
          <w:sz w:val="36"/>
          <w:highlight w:val="none"/>
          <w:u w:val="single"/>
        </w:rPr>
        <w:t>（盖CA电子公章）</w:t>
      </w:r>
    </w:p>
    <w:p w14:paraId="747D39AC">
      <w:pPr>
        <w:rPr>
          <w:rFonts w:ascii="Times New Roman" w:hAnsi="Times New Roman"/>
          <w:b/>
          <w:color w:val="000000"/>
          <w:sz w:val="36"/>
          <w:highlight w:val="none"/>
          <w:u w:val="single"/>
        </w:rPr>
      </w:pPr>
      <w:r>
        <w:rPr>
          <w:rFonts w:hint="eastAsia" w:ascii="Times New Roman" w:hAnsi="Times New Roman"/>
          <w:b/>
          <w:color w:val="000000"/>
          <w:sz w:val="36"/>
          <w:highlight w:val="none"/>
        </w:rPr>
        <w:t xml:space="preserve">      日      期 ：</w:t>
      </w:r>
      <w:r>
        <w:rPr>
          <w:rFonts w:hint="eastAsia" w:ascii="Times New Roman" w:hAnsi="Times New Roman"/>
          <w:b/>
          <w:color w:val="000000"/>
          <w:sz w:val="36"/>
          <w:highlight w:val="none"/>
          <w:u w:val="single"/>
        </w:rPr>
        <w:t xml:space="preserve">               </w:t>
      </w:r>
      <w:bookmarkEnd w:id="175"/>
    </w:p>
    <w:p w14:paraId="6FC0285F">
      <w:pPr>
        <w:pStyle w:val="326"/>
        <w:rPr>
          <w:rFonts w:ascii="宋体" w:hAnsi="宋体" w:eastAsia="宋体" w:cs="宋体"/>
          <w:color w:val="000000"/>
          <w:highlight w:val="none"/>
        </w:rPr>
      </w:pPr>
    </w:p>
    <w:p w14:paraId="487ABD61">
      <w:pPr>
        <w:pStyle w:val="326"/>
        <w:rPr>
          <w:rFonts w:ascii="宋体" w:hAnsi="宋体" w:eastAsia="宋体" w:cs="宋体"/>
          <w:color w:val="000000"/>
          <w:highlight w:val="none"/>
        </w:rPr>
      </w:pPr>
    </w:p>
    <w:p w14:paraId="413EDC4F">
      <w:pPr>
        <w:pStyle w:val="326"/>
        <w:rPr>
          <w:rFonts w:ascii="宋体" w:hAnsi="宋体" w:eastAsia="宋体" w:cs="宋体"/>
          <w:color w:val="000000"/>
          <w:highlight w:val="none"/>
        </w:rPr>
      </w:pPr>
    </w:p>
    <w:p w14:paraId="1A7992F6">
      <w:pPr>
        <w:pStyle w:val="326"/>
        <w:rPr>
          <w:rFonts w:ascii="宋体" w:hAnsi="宋体" w:eastAsia="宋体" w:cs="宋体"/>
          <w:color w:val="000000"/>
          <w:highlight w:val="none"/>
        </w:rPr>
      </w:pPr>
    </w:p>
    <w:p w14:paraId="05626F70">
      <w:pPr>
        <w:pStyle w:val="326"/>
        <w:rPr>
          <w:rFonts w:ascii="宋体" w:hAnsi="宋体" w:eastAsia="宋体" w:cs="宋体"/>
          <w:color w:val="000000"/>
          <w:highlight w:val="none"/>
        </w:rPr>
      </w:pPr>
    </w:p>
    <w:bookmarkEnd w:id="174"/>
    <w:p w14:paraId="7DB48008">
      <w:pPr>
        <w:pStyle w:val="326"/>
        <w:rPr>
          <w:rFonts w:ascii="宋体" w:hAnsi="宋体" w:eastAsia="宋体" w:cs="宋体"/>
          <w:color w:val="000000"/>
          <w:highlight w:val="none"/>
        </w:rPr>
      </w:pPr>
    </w:p>
    <w:p w14:paraId="51F09E8D">
      <w:pPr>
        <w:pStyle w:val="326"/>
        <w:rPr>
          <w:rFonts w:ascii="宋体" w:hAnsi="宋体" w:eastAsia="宋体" w:cs="宋体"/>
          <w:color w:val="000000"/>
          <w:highlight w:val="none"/>
        </w:rPr>
      </w:pPr>
    </w:p>
    <w:p w14:paraId="5046DCA3">
      <w:pPr>
        <w:pStyle w:val="326"/>
        <w:spacing w:line="360" w:lineRule="auto"/>
        <w:jc w:val="center"/>
        <w:rPr>
          <w:rFonts w:ascii="宋体" w:hAnsi="宋体" w:eastAsia="宋体" w:cs="宋体"/>
          <w:b/>
          <w:bCs/>
          <w:color w:val="000000"/>
          <w:sz w:val="32"/>
          <w:szCs w:val="32"/>
          <w:highlight w:val="none"/>
        </w:rPr>
      </w:pPr>
    </w:p>
    <w:p w14:paraId="7B1DFAF4">
      <w:pPr>
        <w:pStyle w:val="326"/>
        <w:spacing w:line="360" w:lineRule="auto"/>
        <w:jc w:val="center"/>
        <w:rPr>
          <w:rFonts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投标文件目录</w:t>
      </w:r>
    </w:p>
    <w:p w14:paraId="342E063F">
      <w:pPr>
        <w:pStyle w:val="326"/>
        <w:spacing w:line="360" w:lineRule="auto"/>
        <w:rPr>
          <w:rFonts w:ascii="宋体" w:hAnsi="宋体" w:eastAsia="宋体" w:cs="宋体"/>
          <w:color w:val="000000"/>
          <w:sz w:val="28"/>
          <w:szCs w:val="28"/>
          <w:highlight w:val="none"/>
        </w:rPr>
      </w:pPr>
    </w:p>
    <w:p w14:paraId="0CA2D969">
      <w:pPr>
        <w:spacing w:line="360" w:lineRule="auto"/>
        <w:rPr>
          <w:rFonts w:hint="eastAsia" w:ascii="Times New Roman" w:hAnsi="Times New Roman"/>
          <w:color w:val="000000"/>
          <w:sz w:val="28"/>
          <w:szCs w:val="28"/>
          <w:highlight w:val="none"/>
        </w:rPr>
      </w:pPr>
      <w:r>
        <w:rPr>
          <w:rFonts w:hint="eastAsia" w:ascii="Times New Roman" w:hAnsi="Times New Roman"/>
          <w:color w:val="000000"/>
          <w:sz w:val="28"/>
          <w:szCs w:val="28"/>
          <w:highlight w:val="none"/>
        </w:rPr>
        <w:t>一、投标函</w:t>
      </w:r>
    </w:p>
    <w:p w14:paraId="621494B1">
      <w:pPr>
        <w:spacing w:line="360" w:lineRule="auto"/>
        <w:rPr>
          <w:rFonts w:hint="eastAsia" w:ascii="Times New Roman" w:hAnsi="Times New Roman"/>
          <w:color w:val="000000"/>
          <w:sz w:val="28"/>
          <w:szCs w:val="28"/>
          <w:highlight w:val="none"/>
        </w:rPr>
      </w:pPr>
      <w:r>
        <w:rPr>
          <w:rFonts w:hint="eastAsia" w:ascii="Times New Roman" w:hAnsi="Times New Roman"/>
          <w:color w:val="000000"/>
          <w:sz w:val="28"/>
          <w:szCs w:val="28"/>
          <w:highlight w:val="none"/>
        </w:rPr>
        <w:t>二、法人授权书</w:t>
      </w:r>
    </w:p>
    <w:p w14:paraId="77D77BAC">
      <w:pPr>
        <w:spacing w:line="360" w:lineRule="auto"/>
        <w:rPr>
          <w:rFonts w:hint="eastAsia" w:ascii="Times New Roman" w:hAnsi="Times New Roman"/>
          <w:color w:val="000000"/>
          <w:sz w:val="28"/>
          <w:szCs w:val="28"/>
          <w:highlight w:val="none"/>
        </w:rPr>
      </w:pPr>
      <w:r>
        <w:rPr>
          <w:rFonts w:hint="eastAsia" w:ascii="Times New Roman" w:hAnsi="Times New Roman"/>
          <w:color w:val="000000"/>
          <w:sz w:val="28"/>
          <w:szCs w:val="28"/>
          <w:highlight w:val="none"/>
        </w:rPr>
        <w:t>三、开标一览表</w:t>
      </w:r>
    </w:p>
    <w:p w14:paraId="174311BA">
      <w:pPr>
        <w:spacing w:line="360" w:lineRule="auto"/>
        <w:rPr>
          <w:rFonts w:ascii="Times New Roman" w:hAnsi="Times New Roman"/>
          <w:color w:val="000000"/>
          <w:sz w:val="28"/>
          <w:szCs w:val="28"/>
          <w:highlight w:val="none"/>
        </w:rPr>
      </w:pPr>
      <w:r>
        <w:rPr>
          <w:rFonts w:hint="eastAsia" w:ascii="Times New Roman" w:hAnsi="Times New Roman"/>
          <w:color w:val="000000"/>
          <w:sz w:val="28"/>
          <w:szCs w:val="28"/>
          <w:highlight w:val="none"/>
        </w:rPr>
        <w:t>四、分项报价表</w:t>
      </w:r>
    </w:p>
    <w:p w14:paraId="3350256D">
      <w:pPr>
        <w:spacing w:line="360" w:lineRule="auto"/>
        <w:rPr>
          <w:rFonts w:hint="eastAsia" w:ascii="Times New Roman" w:hAnsi="Times New Roman"/>
          <w:color w:val="000000"/>
          <w:sz w:val="28"/>
          <w:szCs w:val="28"/>
          <w:highlight w:val="none"/>
        </w:rPr>
      </w:pPr>
      <w:r>
        <w:rPr>
          <w:rFonts w:hint="eastAsia" w:ascii="Times New Roman" w:hAnsi="Times New Roman"/>
          <w:color w:val="000000"/>
          <w:sz w:val="28"/>
          <w:szCs w:val="28"/>
          <w:highlight w:val="none"/>
        </w:rPr>
        <w:t>五、中小企业或残疾人福利性单位声明函</w:t>
      </w:r>
    </w:p>
    <w:p w14:paraId="678C2BF8">
      <w:pPr>
        <w:spacing w:line="360" w:lineRule="auto"/>
        <w:rPr>
          <w:rFonts w:ascii="Times New Roman" w:hAnsi="Times New Roman"/>
          <w:color w:val="000000"/>
          <w:sz w:val="28"/>
          <w:szCs w:val="28"/>
          <w:highlight w:val="none"/>
        </w:rPr>
      </w:pPr>
      <w:r>
        <w:rPr>
          <w:rFonts w:hint="eastAsia" w:ascii="Times New Roman" w:hAnsi="Times New Roman"/>
          <w:color w:val="000000"/>
          <w:sz w:val="28"/>
          <w:szCs w:val="28"/>
          <w:highlight w:val="none"/>
        </w:rPr>
        <w:t>六、项目组人员</w:t>
      </w:r>
    </w:p>
    <w:p w14:paraId="28AD6469">
      <w:pPr>
        <w:spacing w:line="360" w:lineRule="auto"/>
        <w:rPr>
          <w:rFonts w:hint="eastAsia" w:ascii="Times New Roman" w:hAnsi="Times New Roman"/>
          <w:color w:val="000000"/>
          <w:sz w:val="28"/>
          <w:szCs w:val="28"/>
          <w:highlight w:val="none"/>
        </w:rPr>
      </w:pPr>
      <w:r>
        <w:rPr>
          <w:rFonts w:hint="eastAsia" w:ascii="Times New Roman" w:hAnsi="Times New Roman"/>
          <w:color w:val="000000"/>
          <w:sz w:val="28"/>
          <w:szCs w:val="28"/>
          <w:highlight w:val="none"/>
        </w:rPr>
        <w:t>七、企业业绩</w:t>
      </w:r>
    </w:p>
    <w:p w14:paraId="6CD3F2F1">
      <w:pPr>
        <w:spacing w:line="360" w:lineRule="auto"/>
        <w:rPr>
          <w:rFonts w:ascii="宋体" w:hAnsi="宋体" w:cs="宋体"/>
          <w:color w:val="000000"/>
          <w:sz w:val="28"/>
          <w:szCs w:val="28"/>
          <w:highlight w:val="none"/>
        </w:rPr>
      </w:pPr>
      <w:r>
        <w:rPr>
          <w:rFonts w:hint="eastAsia" w:ascii="Times New Roman" w:hAnsi="Times New Roman"/>
          <w:color w:val="000000"/>
          <w:sz w:val="28"/>
          <w:szCs w:val="28"/>
          <w:highlight w:val="none"/>
        </w:rPr>
        <w:t>八、投标所需其他材料</w:t>
      </w:r>
    </w:p>
    <w:p w14:paraId="6229EBEC">
      <w:pPr>
        <w:rPr>
          <w:color w:val="000000"/>
          <w:highlight w:val="none"/>
        </w:rPr>
      </w:pPr>
      <w:bookmarkStart w:id="176" w:name="_Toc26005"/>
      <w:bookmarkStart w:id="177" w:name="_Toc20577"/>
    </w:p>
    <w:p w14:paraId="799347EF">
      <w:pPr>
        <w:rPr>
          <w:color w:val="000000"/>
          <w:highlight w:val="none"/>
        </w:rPr>
      </w:pPr>
    </w:p>
    <w:p w14:paraId="5E179754">
      <w:pPr>
        <w:rPr>
          <w:color w:val="000000"/>
          <w:highlight w:val="none"/>
        </w:rPr>
      </w:pPr>
    </w:p>
    <w:p w14:paraId="5527CB5F">
      <w:pPr>
        <w:rPr>
          <w:color w:val="000000"/>
          <w:highlight w:val="none"/>
        </w:rPr>
      </w:pPr>
    </w:p>
    <w:p w14:paraId="5CEFBC33">
      <w:pPr>
        <w:rPr>
          <w:color w:val="000000"/>
          <w:highlight w:val="none"/>
        </w:rPr>
      </w:pPr>
    </w:p>
    <w:p w14:paraId="714B59E6">
      <w:pPr>
        <w:rPr>
          <w:color w:val="000000"/>
          <w:highlight w:val="none"/>
        </w:rPr>
      </w:pPr>
    </w:p>
    <w:p w14:paraId="43C736EE">
      <w:pPr>
        <w:rPr>
          <w:color w:val="000000"/>
          <w:highlight w:val="none"/>
        </w:rPr>
      </w:pPr>
    </w:p>
    <w:p w14:paraId="556F64E4">
      <w:pPr>
        <w:rPr>
          <w:color w:val="000000"/>
          <w:highlight w:val="none"/>
        </w:rPr>
      </w:pPr>
    </w:p>
    <w:p w14:paraId="7A89EA4F">
      <w:pPr>
        <w:rPr>
          <w:color w:val="000000"/>
          <w:highlight w:val="none"/>
        </w:rPr>
      </w:pPr>
    </w:p>
    <w:p w14:paraId="3F480A94">
      <w:pPr>
        <w:rPr>
          <w:color w:val="000000"/>
          <w:highlight w:val="none"/>
        </w:rPr>
      </w:pPr>
    </w:p>
    <w:p w14:paraId="007A2E0E">
      <w:pPr>
        <w:rPr>
          <w:color w:val="000000"/>
          <w:highlight w:val="none"/>
        </w:rPr>
      </w:pPr>
    </w:p>
    <w:p w14:paraId="1A13D373">
      <w:pPr>
        <w:rPr>
          <w:color w:val="000000"/>
          <w:highlight w:val="none"/>
        </w:rPr>
      </w:pPr>
    </w:p>
    <w:p w14:paraId="69807D7B">
      <w:pPr>
        <w:rPr>
          <w:color w:val="000000"/>
          <w:highlight w:val="none"/>
        </w:rPr>
      </w:pPr>
    </w:p>
    <w:p w14:paraId="4BB851F8">
      <w:pPr>
        <w:rPr>
          <w:color w:val="000000"/>
          <w:highlight w:val="none"/>
        </w:rPr>
      </w:pPr>
    </w:p>
    <w:p w14:paraId="611B287A">
      <w:pPr>
        <w:rPr>
          <w:color w:val="000000"/>
          <w:highlight w:val="none"/>
        </w:rPr>
      </w:pPr>
    </w:p>
    <w:p w14:paraId="5B162925">
      <w:pPr>
        <w:rPr>
          <w:color w:val="000000"/>
          <w:highlight w:val="none"/>
        </w:rPr>
      </w:pPr>
    </w:p>
    <w:p w14:paraId="7AACD38A">
      <w:pPr>
        <w:rPr>
          <w:color w:val="000000"/>
          <w:highlight w:val="none"/>
        </w:rPr>
      </w:pPr>
    </w:p>
    <w:p w14:paraId="1CAB552F">
      <w:pPr>
        <w:rPr>
          <w:color w:val="000000"/>
          <w:highlight w:val="none"/>
        </w:rPr>
      </w:pPr>
    </w:p>
    <w:p w14:paraId="3F4700F8">
      <w:pPr>
        <w:rPr>
          <w:color w:val="000000"/>
          <w:highlight w:val="none"/>
        </w:rPr>
      </w:pPr>
    </w:p>
    <w:p w14:paraId="5DE0147F">
      <w:pPr>
        <w:rPr>
          <w:color w:val="000000"/>
          <w:highlight w:val="none"/>
        </w:rPr>
      </w:pPr>
    </w:p>
    <w:p w14:paraId="75694E4E">
      <w:pPr>
        <w:rPr>
          <w:color w:val="000000"/>
          <w:highlight w:val="none"/>
        </w:rPr>
      </w:pPr>
    </w:p>
    <w:p w14:paraId="45776EF5">
      <w:pPr>
        <w:rPr>
          <w:color w:val="000000"/>
          <w:highlight w:val="none"/>
        </w:rPr>
      </w:pPr>
    </w:p>
    <w:p w14:paraId="7EA8D86A">
      <w:pPr>
        <w:rPr>
          <w:color w:val="000000"/>
          <w:highlight w:val="none"/>
        </w:rPr>
      </w:pPr>
    </w:p>
    <w:p w14:paraId="018E640F">
      <w:pPr>
        <w:rPr>
          <w:color w:val="000000"/>
          <w:highlight w:val="none"/>
        </w:rPr>
      </w:pPr>
    </w:p>
    <w:p w14:paraId="385B8F25">
      <w:pPr>
        <w:rPr>
          <w:color w:val="000000"/>
          <w:highlight w:val="none"/>
        </w:rPr>
      </w:pPr>
    </w:p>
    <w:p w14:paraId="1BBF0ED6">
      <w:pPr>
        <w:rPr>
          <w:color w:val="000000"/>
          <w:highlight w:val="none"/>
        </w:rPr>
      </w:pPr>
    </w:p>
    <w:p w14:paraId="5CB615FC">
      <w:pPr>
        <w:rPr>
          <w:color w:val="000000"/>
          <w:highlight w:val="none"/>
        </w:rPr>
      </w:pPr>
    </w:p>
    <w:p w14:paraId="259349F1">
      <w:pPr>
        <w:rPr>
          <w:color w:val="000000"/>
          <w:highlight w:val="none"/>
        </w:rPr>
      </w:pPr>
    </w:p>
    <w:p w14:paraId="633E1F85">
      <w:pPr>
        <w:rPr>
          <w:rFonts w:hint="eastAsia"/>
          <w:color w:val="000000"/>
          <w:highlight w:val="none"/>
        </w:rPr>
      </w:pPr>
    </w:p>
    <w:p w14:paraId="20648086">
      <w:pPr>
        <w:pStyle w:val="336"/>
        <w:outlineLvl w:val="1"/>
        <w:rPr>
          <w:b w:val="0"/>
          <w:bCs/>
          <w:color w:val="000000"/>
          <w:highlight w:val="none"/>
        </w:rPr>
      </w:pPr>
      <w:bookmarkStart w:id="178" w:name="_Toc8978"/>
      <w:r>
        <w:rPr>
          <w:rFonts w:hint="eastAsia"/>
          <w:b w:val="0"/>
          <w:bCs/>
          <w:color w:val="000000"/>
          <w:highlight w:val="none"/>
        </w:rPr>
        <w:br w:type="page" w:clear="all"/>
      </w:r>
      <w:r>
        <w:rPr>
          <w:rFonts w:hint="eastAsia"/>
          <w:b w:val="0"/>
          <w:bCs/>
          <w:color w:val="000000"/>
          <w:highlight w:val="none"/>
        </w:rPr>
        <w:t>一</w:t>
      </w:r>
      <w:r>
        <w:rPr>
          <w:b w:val="0"/>
          <w:bCs/>
          <w:color w:val="000000"/>
          <w:highlight w:val="none"/>
        </w:rPr>
        <w:t>、投标函</w:t>
      </w:r>
      <w:bookmarkEnd w:id="176"/>
      <w:bookmarkEnd w:id="177"/>
      <w:bookmarkEnd w:id="178"/>
    </w:p>
    <w:p w14:paraId="230964F7">
      <w:pPr>
        <w:pStyle w:val="337"/>
        <w:jc w:val="center"/>
        <w:rPr>
          <w:rFonts w:ascii="方正小标宋_GBK" w:eastAsia="方正小标宋_GBK"/>
          <w:bCs/>
          <w:color w:val="000000"/>
          <w:sz w:val="32"/>
          <w:szCs w:val="32"/>
          <w:highlight w:val="none"/>
        </w:rPr>
      </w:pPr>
    </w:p>
    <w:p w14:paraId="6A8A6FD1">
      <w:pPr>
        <w:pStyle w:val="337"/>
        <w:jc w:val="center"/>
        <w:rPr>
          <w:rFonts w:hint="eastAsia" w:ascii="方正小标宋_GBK" w:eastAsia="方正小标宋_GBK"/>
          <w:bCs/>
          <w:color w:val="000000"/>
          <w:sz w:val="32"/>
          <w:szCs w:val="32"/>
          <w:highlight w:val="none"/>
        </w:rPr>
      </w:pPr>
      <w:r>
        <w:rPr>
          <w:rFonts w:hint="eastAsia" w:ascii="方正小标宋_GBK" w:eastAsia="方正小标宋_GBK"/>
          <w:bCs/>
          <w:color w:val="000000"/>
          <w:sz w:val="32"/>
          <w:szCs w:val="32"/>
          <w:highlight w:val="none"/>
        </w:rPr>
        <w:t>投标函</w:t>
      </w:r>
    </w:p>
    <w:p w14:paraId="6429DBB0">
      <w:pPr>
        <w:pStyle w:val="337"/>
        <w:spacing w:line="500" w:lineRule="exact"/>
        <w:jc w:val="left"/>
        <w:rPr>
          <w:rFonts w:ascii="宋体" w:hAnsi="宋体"/>
          <w:color w:val="000000"/>
          <w:sz w:val="24"/>
          <w:szCs w:val="24"/>
          <w:highlight w:val="none"/>
          <w:u w:val="single"/>
        </w:rPr>
      </w:pPr>
      <w:r>
        <w:rPr>
          <w:rFonts w:hint="eastAsia" w:ascii="宋体" w:hAnsi="宋体"/>
          <w:color w:val="000000"/>
          <w:sz w:val="24"/>
          <w:szCs w:val="24"/>
          <w:highlight w:val="none"/>
          <w:u w:val="single"/>
        </w:rPr>
        <w:t>（采购单位名称）：</w:t>
      </w:r>
    </w:p>
    <w:p w14:paraId="7802C704">
      <w:pPr>
        <w:pStyle w:val="337"/>
        <w:spacing w:line="500" w:lineRule="exact"/>
        <w:ind w:firstLine="480"/>
        <w:jc w:val="left"/>
        <w:rPr>
          <w:rFonts w:ascii="宋体" w:hAnsi="宋体"/>
          <w:color w:val="000000"/>
          <w:sz w:val="24"/>
          <w:szCs w:val="24"/>
          <w:highlight w:val="none"/>
        </w:rPr>
      </w:pPr>
      <w:r>
        <w:rPr>
          <w:rFonts w:hint="eastAsia" w:ascii="宋体" w:hAnsi="宋体"/>
          <w:color w:val="000000"/>
          <w:sz w:val="24"/>
          <w:szCs w:val="24"/>
          <w:highlight w:val="none"/>
        </w:rPr>
        <w:t>根据已收到的项目编号为</w:t>
      </w:r>
      <w:r>
        <w:rPr>
          <w:rFonts w:hint="eastAsia" w:ascii="宋体" w:hAnsi="宋体"/>
          <w:color w:val="000000"/>
          <w:sz w:val="24"/>
          <w:szCs w:val="24"/>
          <w:highlight w:val="none"/>
          <w:u w:val="single"/>
        </w:rPr>
        <w:t>（项目编号）</w:t>
      </w:r>
      <w:r>
        <w:rPr>
          <w:rFonts w:hint="eastAsia" w:ascii="宋体" w:hAnsi="宋体"/>
          <w:color w:val="000000"/>
          <w:sz w:val="24"/>
          <w:szCs w:val="24"/>
          <w:highlight w:val="none"/>
        </w:rPr>
        <w:t>的</w:t>
      </w:r>
      <w:r>
        <w:rPr>
          <w:rFonts w:hint="eastAsia" w:ascii="宋体" w:hAnsi="宋体"/>
          <w:color w:val="000000"/>
          <w:sz w:val="24"/>
          <w:szCs w:val="24"/>
          <w:highlight w:val="none"/>
          <w:u w:val="single"/>
        </w:rPr>
        <w:t>（项目名称）</w:t>
      </w:r>
      <w:r>
        <w:rPr>
          <w:rFonts w:hint="eastAsia" w:ascii="宋体" w:hAnsi="宋体"/>
          <w:color w:val="000000"/>
          <w:sz w:val="24"/>
          <w:szCs w:val="24"/>
          <w:highlight w:val="none"/>
        </w:rPr>
        <w:t>的招标文件，我方在参加本项目招投标活动中，特作出如下承诺：</w:t>
      </w:r>
    </w:p>
    <w:p w14:paraId="584E8EF8">
      <w:pPr>
        <w:pStyle w:val="337"/>
        <w:spacing w:line="500" w:lineRule="exact"/>
        <w:ind w:firstLine="480"/>
        <w:jc w:val="left"/>
        <w:rPr>
          <w:rFonts w:ascii="宋体" w:hAnsi="宋体"/>
          <w:color w:val="000000"/>
          <w:sz w:val="24"/>
          <w:highlight w:val="none"/>
        </w:rPr>
      </w:pPr>
      <w:r>
        <w:rPr>
          <w:rFonts w:hint="eastAsia" w:ascii="宋体" w:hAnsi="宋体"/>
          <w:color w:val="000000"/>
          <w:sz w:val="24"/>
          <w:szCs w:val="24"/>
          <w:highlight w:val="none"/>
        </w:rPr>
        <w:t>一、我方</w:t>
      </w:r>
      <w:r>
        <w:rPr>
          <w:rFonts w:ascii="宋体" w:hAnsi="宋体"/>
          <w:color w:val="000000"/>
          <w:sz w:val="24"/>
          <w:highlight w:val="none"/>
        </w:rPr>
        <w:t>具备《中华人民共和国政府采购法》第二十二条第一款规定的6项条件；</w:t>
      </w:r>
    </w:p>
    <w:p w14:paraId="63EE07BB">
      <w:pPr>
        <w:pStyle w:val="337"/>
        <w:spacing w:line="500" w:lineRule="exact"/>
        <w:ind w:firstLine="480"/>
        <w:jc w:val="left"/>
        <w:rPr>
          <w:rFonts w:ascii="宋体" w:hAnsi="宋体"/>
          <w:color w:val="000000"/>
          <w:sz w:val="24"/>
          <w:szCs w:val="24"/>
          <w:highlight w:val="none"/>
        </w:rPr>
      </w:pPr>
      <w:r>
        <w:rPr>
          <w:rFonts w:hint="eastAsia" w:ascii="宋体" w:hAnsi="宋体"/>
          <w:color w:val="000000"/>
          <w:sz w:val="24"/>
          <w:szCs w:val="24"/>
          <w:highlight w:val="none"/>
        </w:rPr>
        <w:t>二、我方在参加政府采购活动前三年内（自本项目开标时间之日起计算），在经营活动中没有重大违法记录（指因违法经营受到刑事处罚或者责令停产停业、吊销许可证或者执照、较大数额罚款等行政处罚）。</w:t>
      </w:r>
    </w:p>
    <w:p w14:paraId="52D1AA2F">
      <w:pPr>
        <w:pStyle w:val="337"/>
        <w:spacing w:line="500" w:lineRule="exact"/>
        <w:ind w:firstLine="480"/>
        <w:jc w:val="left"/>
        <w:rPr>
          <w:rFonts w:ascii="宋体" w:hAnsi="宋体"/>
          <w:color w:val="000000"/>
          <w:sz w:val="24"/>
          <w:szCs w:val="24"/>
          <w:highlight w:val="none"/>
        </w:rPr>
      </w:pPr>
      <w:r>
        <w:rPr>
          <w:rFonts w:hint="eastAsia" w:ascii="宋体" w:hAnsi="宋体"/>
          <w:color w:val="000000"/>
          <w:sz w:val="24"/>
          <w:szCs w:val="24"/>
          <w:highlight w:val="none"/>
        </w:rPr>
        <w:t>三、我方按招标文件要求提交投标文件，响应招标文件规定的投标有效期；</w:t>
      </w:r>
    </w:p>
    <w:p w14:paraId="24B4E90B">
      <w:pPr>
        <w:pStyle w:val="337"/>
        <w:spacing w:line="500" w:lineRule="exact"/>
        <w:ind w:firstLine="480"/>
        <w:jc w:val="left"/>
        <w:rPr>
          <w:rFonts w:ascii="宋体" w:hAnsi="宋体"/>
          <w:color w:val="000000"/>
          <w:sz w:val="24"/>
          <w:szCs w:val="24"/>
          <w:highlight w:val="none"/>
        </w:rPr>
      </w:pPr>
      <w:r>
        <w:rPr>
          <w:rFonts w:hint="eastAsia" w:ascii="宋体" w:hAnsi="宋体"/>
          <w:color w:val="000000"/>
          <w:sz w:val="24"/>
          <w:szCs w:val="24"/>
          <w:highlight w:val="none"/>
        </w:rPr>
        <w:t>四、如果我方的投标文件被接受，我方将</w:t>
      </w:r>
      <w:r>
        <w:rPr>
          <w:rFonts w:hint="eastAsia" w:ascii="宋体" w:hAnsi="宋体"/>
          <w:color w:val="000000"/>
          <w:sz w:val="24"/>
          <w:szCs w:val="24"/>
          <w:highlight w:val="none"/>
          <w:lang w:eastAsia="zh-CN"/>
        </w:rPr>
        <w:t>按照《中华人民共和国</w:t>
      </w:r>
      <w:r>
        <w:rPr>
          <w:rFonts w:hint="eastAsia" w:ascii="宋体" w:hAnsi="宋体"/>
          <w:color w:val="000000"/>
          <w:sz w:val="24"/>
          <w:szCs w:val="24"/>
          <w:highlight w:val="none"/>
        </w:rPr>
        <w:t>民法典（第三编合同）》及其他有关</w:t>
      </w:r>
      <w:r>
        <w:rPr>
          <w:rFonts w:hint="eastAsia" w:ascii="宋体" w:hAnsi="宋体"/>
          <w:color w:val="000000"/>
          <w:sz w:val="24"/>
          <w:szCs w:val="24"/>
          <w:highlight w:val="none"/>
          <w:lang w:eastAsia="zh-CN"/>
        </w:rPr>
        <w:t>法律法规</w:t>
      </w:r>
      <w:r>
        <w:rPr>
          <w:rFonts w:hint="eastAsia" w:ascii="宋体" w:hAnsi="宋体"/>
          <w:color w:val="000000"/>
          <w:sz w:val="24"/>
          <w:szCs w:val="24"/>
          <w:highlight w:val="none"/>
        </w:rPr>
        <w:t>的规定，按期、按质、按量交付采购单位，全面做到履约守信；</w:t>
      </w:r>
    </w:p>
    <w:p w14:paraId="215D63DA">
      <w:pPr>
        <w:pStyle w:val="337"/>
        <w:spacing w:line="500" w:lineRule="exact"/>
        <w:ind w:firstLine="480"/>
        <w:jc w:val="left"/>
        <w:rPr>
          <w:rFonts w:ascii="宋体" w:hAnsi="宋体"/>
          <w:color w:val="000000"/>
          <w:sz w:val="24"/>
          <w:szCs w:val="24"/>
          <w:highlight w:val="none"/>
        </w:rPr>
      </w:pPr>
      <w:r>
        <w:rPr>
          <w:rFonts w:hint="eastAsia" w:ascii="宋体" w:hAnsi="宋体"/>
          <w:color w:val="000000"/>
          <w:sz w:val="24"/>
          <w:szCs w:val="24"/>
          <w:highlight w:val="none"/>
        </w:rPr>
        <w:t>五、我方若违背本声明及承诺约定，经查实，自愿接受采购人及相关主管部门相应的规定处理，并依法承担相应的法律责任。</w:t>
      </w:r>
    </w:p>
    <w:p w14:paraId="160DE734">
      <w:pPr>
        <w:pStyle w:val="337"/>
        <w:spacing w:line="500" w:lineRule="exact"/>
        <w:ind w:firstLine="480"/>
        <w:jc w:val="left"/>
        <w:rPr>
          <w:rFonts w:ascii="宋体" w:hAnsi="宋体"/>
          <w:color w:val="000000"/>
          <w:sz w:val="24"/>
          <w:szCs w:val="24"/>
          <w:highlight w:val="none"/>
        </w:rPr>
      </w:pPr>
      <w:r>
        <w:rPr>
          <w:rFonts w:hint="eastAsia" w:ascii="宋体" w:hAnsi="宋体"/>
          <w:color w:val="000000"/>
          <w:sz w:val="24"/>
          <w:szCs w:val="24"/>
          <w:highlight w:val="none"/>
        </w:rPr>
        <w:t>六、我方同意采购人、采购代理机构将本</w:t>
      </w:r>
      <w:r>
        <w:rPr>
          <w:rFonts w:hint="eastAsia" w:ascii="宋体" w:hAnsi="宋体"/>
          <w:color w:val="000000"/>
          <w:sz w:val="24"/>
          <w:szCs w:val="24"/>
          <w:highlight w:val="none"/>
          <w:lang w:val="en-US" w:eastAsia="zh-CN"/>
        </w:rPr>
        <w:t>函</w:t>
      </w:r>
      <w:r>
        <w:rPr>
          <w:rFonts w:hint="eastAsia" w:ascii="宋体" w:hAnsi="宋体"/>
          <w:color w:val="000000"/>
          <w:sz w:val="24"/>
          <w:szCs w:val="24"/>
          <w:highlight w:val="none"/>
        </w:rPr>
        <w:t>上网公开。</w:t>
      </w:r>
    </w:p>
    <w:p w14:paraId="42CFC874">
      <w:pPr>
        <w:pStyle w:val="337"/>
        <w:spacing w:line="500" w:lineRule="exact"/>
        <w:ind w:firstLine="480"/>
        <w:jc w:val="left"/>
        <w:rPr>
          <w:rFonts w:ascii="方正仿宋_GBK" w:eastAsia="方正仿宋_GBK"/>
          <w:color w:val="000000"/>
          <w:sz w:val="24"/>
          <w:szCs w:val="24"/>
          <w:highlight w:val="none"/>
        </w:rPr>
      </w:pPr>
    </w:p>
    <w:p w14:paraId="4262D416">
      <w:pPr>
        <w:pStyle w:val="337"/>
        <w:spacing w:line="500" w:lineRule="exact"/>
        <w:jc w:val="left"/>
        <w:rPr>
          <w:rFonts w:ascii="宋体" w:hAnsi="宋体"/>
          <w:color w:val="000000"/>
          <w:sz w:val="24"/>
          <w:szCs w:val="24"/>
          <w:highlight w:val="none"/>
        </w:rPr>
      </w:pPr>
    </w:p>
    <w:p w14:paraId="29B9A23E">
      <w:pPr>
        <w:pStyle w:val="337"/>
        <w:spacing w:line="500" w:lineRule="exact"/>
        <w:ind w:firstLine="480"/>
        <w:jc w:val="left"/>
        <w:rPr>
          <w:rFonts w:ascii="宋体" w:hAnsi="宋体"/>
          <w:color w:val="000000"/>
          <w:sz w:val="24"/>
          <w:szCs w:val="24"/>
          <w:highlight w:val="none"/>
        </w:rPr>
      </w:pPr>
      <w:r>
        <w:rPr>
          <w:rFonts w:hint="eastAsia" w:ascii="宋体" w:hAnsi="宋体"/>
          <w:color w:val="000000"/>
          <w:sz w:val="24"/>
          <w:szCs w:val="24"/>
          <w:highlight w:val="none"/>
        </w:rPr>
        <w:t xml:space="preserve">投标人名称： </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（盖CA电子公章）</w:t>
      </w:r>
    </w:p>
    <w:p w14:paraId="64EDB3BF">
      <w:pPr>
        <w:pStyle w:val="337"/>
        <w:ind w:firstLine="480"/>
        <w:rPr>
          <w:rFonts w:ascii="宋体" w:hAnsi="宋体"/>
          <w:color w:val="000000"/>
          <w:sz w:val="24"/>
          <w:szCs w:val="24"/>
          <w:highlight w:val="none"/>
        </w:rPr>
      </w:pPr>
    </w:p>
    <w:p w14:paraId="4FB64428">
      <w:pPr>
        <w:pStyle w:val="337"/>
        <w:ind w:firstLine="480"/>
        <w:rPr>
          <w:rFonts w:ascii="宋体" w:hAnsi="宋体"/>
          <w:color w:val="000000"/>
          <w:highlight w:val="none"/>
        </w:rPr>
      </w:pPr>
      <w:r>
        <w:rPr>
          <w:rFonts w:hint="eastAsia" w:ascii="宋体" w:hAnsi="宋体"/>
          <w:color w:val="000000"/>
          <w:sz w:val="24"/>
          <w:szCs w:val="24"/>
          <w:highlight w:val="none"/>
        </w:rPr>
        <w:t>日期：    年    月   日</w:t>
      </w:r>
    </w:p>
    <w:p w14:paraId="3A923BCE">
      <w:pPr>
        <w:rPr>
          <w:color w:val="000000"/>
          <w:highlight w:val="none"/>
        </w:rPr>
      </w:pPr>
    </w:p>
    <w:p w14:paraId="1A0AFABB">
      <w:pPr>
        <w:rPr>
          <w:color w:val="000000"/>
          <w:highlight w:val="none"/>
        </w:rPr>
      </w:pPr>
    </w:p>
    <w:p w14:paraId="3DBEB18A">
      <w:pPr>
        <w:rPr>
          <w:color w:val="000000"/>
          <w:highlight w:val="none"/>
        </w:rPr>
      </w:pPr>
    </w:p>
    <w:p w14:paraId="313710B6">
      <w:pPr>
        <w:rPr>
          <w:color w:val="000000"/>
          <w:highlight w:val="none"/>
        </w:rPr>
      </w:pPr>
    </w:p>
    <w:p w14:paraId="56BBF7E5">
      <w:pPr>
        <w:rPr>
          <w:color w:val="000000"/>
          <w:highlight w:val="none"/>
        </w:rPr>
      </w:pPr>
    </w:p>
    <w:p w14:paraId="4E6F53B2">
      <w:pPr>
        <w:rPr>
          <w:color w:val="000000"/>
          <w:highlight w:val="none"/>
        </w:rPr>
      </w:pPr>
    </w:p>
    <w:p w14:paraId="5DDD96CA">
      <w:pPr>
        <w:rPr>
          <w:color w:val="000000"/>
          <w:highlight w:val="none"/>
        </w:rPr>
      </w:pPr>
    </w:p>
    <w:p w14:paraId="20B0C50E">
      <w:pPr>
        <w:rPr>
          <w:color w:val="000000"/>
          <w:highlight w:val="none"/>
        </w:rPr>
      </w:pPr>
    </w:p>
    <w:p w14:paraId="6E7088B3">
      <w:pPr>
        <w:rPr>
          <w:color w:val="000000"/>
          <w:highlight w:val="none"/>
        </w:rPr>
      </w:pPr>
    </w:p>
    <w:p w14:paraId="3270AB85">
      <w:pPr>
        <w:rPr>
          <w:color w:val="000000"/>
          <w:highlight w:val="none"/>
        </w:rPr>
      </w:pPr>
    </w:p>
    <w:p w14:paraId="53D0C130">
      <w:pPr>
        <w:rPr>
          <w:color w:val="000000"/>
          <w:highlight w:val="none"/>
        </w:rPr>
      </w:pPr>
    </w:p>
    <w:p w14:paraId="27B28D35">
      <w:pPr>
        <w:rPr>
          <w:color w:val="000000"/>
          <w:highlight w:val="none"/>
        </w:rPr>
      </w:pPr>
    </w:p>
    <w:p w14:paraId="6076FB1B">
      <w:pPr>
        <w:rPr>
          <w:color w:val="000000"/>
          <w:highlight w:val="none"/>
        </w:rPr>
      </w:pPr>
    </w:p>
    <w:p w14:paraId="0AD835B8">
      <w:pPr>
        <w:rPr>
          <w:rFonts w:hint="eastAsia"/>
          <w:color w:val="000000"/>
          <w:highlight w:val="none"/>
        </w:rPr>
      </w:pPr>
    </w:p>
    <w:p w14:paraId="6425AE85">
      <w:pPr>
        <w:rPr>
          <w:rFonts w:hint="eastAsia"/>
          <w:color w:val="000000"/>
          <w:highlight w:val="none"/>
        </w:rPr>
      </w:pPr>
    </w:p>
    <w:p w14:paraId="2DE84635">
      <w:pPr>
        <w:pStyle w:val="336"/>
        <w:outlineLvl w:val="1"/>
        <w:rPr>
          <w:rFonts w:hint="eastAsia"/>
          <w:b w:val="0"/>
          <w:bCs/>
          <w:color w:val="000000"/>
          <w:highlight w:val="none"/>
        </w:rPr>
      </w:pPr>
      <w:bookmarkStart w:id="179" w:name="_Toc15099"/>
      <w:r>
        <w:rPr>
          <w:rFonts w:hint="eastAsia"/>
          <w:b w:val="0"/>
          <w:bCs/>
          <w:color w:val="000000"/>
          <w:highlight w:val="none"/>
        </w:rPr>
        <w:t>二、投标人资质</w:t>
      </w:r>
      <w:bookmarkEnd w:id="179"/>
    </w:p>
    <w:p w14:paraId="4296DBDF">
      <w:pPr>
        <w:rPr>
          <w:rFonts w:hint="eastAsia"/>
          <w:color w:val="000000"/>
          <w:highlight w:val="none"/>
        </w:rPr>
      </w:pPr>
      <w:r>
        <w:rPr>
          <w:rFonts w:hint="eastAsia"/>
          <w:color w:val="000000"/>
          <w:highlight w:val="none"/>
        </w:rPr>
        <w:t>按招标文件要求提供相应资质证书</w:t>
      </w:r>
    </w:p>
    <w:p w14:paraId="0273D7E7">
      <w:pPr>
        <w:outlineLvl w:val="1"/>
        <w:rPr>
          <w:color w:val="000000"/>
          <w:highlight w:val="none"/>
        </w:rPr>
      </w:pPr>
      <w:r>
        <w:rPr>
          <w:rFonts w:hint="eastAsia"/>
          <w:color w:val="000000"/>
          <w:highlight w:val="none"/>
        </w:rPr>
        <w:br w:type="page" w:clear="all"/>
      </w:r>
      <w:bookmarkStart w:id="180" w:name="_Toc3680"/>
      <w:bookmarkStart w:id="181" w:name="_Toc29506"/>
      <w:bookmarkStart w:id="182" w:name="_Toc27409"/>
      <w:r>
        <w:rPr>
          <w:rFonts w:hint="eastAsia" w:ascii="黑体" w:hAnsi="黑体" w:eastAsia="黑体" w:cs="黑体"/>
          <w:bCs/>
          <w:color w:val="000000"/>
          <w:sz w:val="32"/>
          <w:szCs w:val="24"/>
          <w:highlight w:val="none"/>
        </w:rPr>
        <w:t>三、</w:t>
      </w:r>
      <w:bookmarkEnd w:id="180"/>
      <w:bookmarkEnd w:id="181"/>
      <w:r>
        <w:rPr>
          <w:rFonts w:hint="eastAsia" w:ascii="黑体" w:hAnsi="黑体" w:eastAsia="黑体" w:cs="黑体"/>
          <w:bCs/>
          <w:color w:val="000000"/>
          <w:sz w:val="32"/>
          <w:szCs w:val="24"/>
          <w:highlight w:val="none"/>
        </w:rPr>
        <w:t>法人授权书</w:t>
      </w:r>
      <w:bookmarkEnd w:id="182"/>
    </w:p>
    <w:p w14:paraId="7523C406">
      <w:pPr>
        <w:pStyle w:val="337"/>
        <w:jc w:val="center"/>
        <w:rPr>
          <w:rFonts w:ascii="方正小标宋_GBK" w:eastAsia="方正小标宋_GBK"/>
          <w:bCs/>
          <w:color w:val="000000"/>
          <w:sz w:val="32"/>
          <w:szCs w:val="32"/>
          <w:highlight w:val="none"/>
        </w:rPr>
      </w:pPr>
      <w:bookmarkStart w:id="183" w:name="OLE_LINK6"/>
      <w:r>
        <w:rPr>
          <w:rFonts w:hint="eastAsia" w:ascii="方正小标宋_GBK" w:eastAsia="方正小标宋_GBK"/>
          <w:bCs/>
          <w:color w:val="000000"/>
          <w:sz w:val="32"/>
          <w:szCs w:val="32"/>
          <w:highlight w:val="none"/>
        </w:rPr>
        <w:t>法人授权书</w:t>
      </w:r>
      <w:bookmarkEnd w:id="183"/>
    </w:p>
    <w:p w14:paraId="5A231076">
      <w:pPr>
        <w:pStyle w:val="455"/>
        <w:spacing w:line="480" w:lineRule="exact"/>
        <w:ind w:firstLine="482"/>
        <w:rPr>
          <w:rFonts w:hint="eastAsia" w:ascii="宋体" w:hAnsi="宋体"/>
          <w:color w:val="000000"/>
          <w:sz w:val="24"/>
          <w:szCs w:val="24"/>
          <w:highlight w:val="none"/>
        </w:rPr>
      </w:pPr>
      <w:r>
        <w:rPr>
          <w:rFonts w:hint="eastAsia" w:ascii="宋体" w:hAnsi="宋体"/>
          <w:color w:val="000000"/>
          <w:sz w:val="24"/>
          <w:szCs w:val="24"/>
          <w:highlight w:val="none"/>
        </w:rPr>
        <w:t>本授权书声明：____________（投标人名称）授权________________（被授权人的姓名）为我方就</w:t>
      </w:r>
      <w:r>
        <w:rPr>
          <w:rFonts w:hint="eastAsia" w:ascii="宋体" w:hAnsi="宋体"/>
          <w:color w:val="000000"/>
          <w:sz w:val="24"/>
          <w:szCs w:val="24"/>
          <w:highlight w:val="none"/>
          <w:u w:val="single"/>
        </w:rPr>
        <w:t>（项目编号）</w:t>
      </w:r>
      <w:r>
        <w:rPr>
          <w:rFonts w:hint="eastAsia" w:ascii="宋体" w:hAnsi="宋体"/>
          <w:color w:val="000000"/>
          <w:sz w:val="24"/>
          <w:szCs w:val="24"/>
          <w:highlight w:val="none"/>
        </w:rPr>
        <w:t>号</w:t>
      </w:r>
      <w:r>
        <w:rPr>
          <w:rFonts w:hint="eastAsia" w:ascii="宋体" w:hAnsi="宋体"/>
          <w:color w:val="000000"/>
          <w:sz w:val="24"/>
          <w:szCs w:val="24"/>
          <w:highlight w:val="none"/>
          <w:u w:val="single"/>
        </w:rPr>
        <w:t xml:space="preserve">          （项目名称）           项目</w:t>
      </w:r>
      <w:r>
        <w:rPr>
          <w:rFonts w:hint="eastAsia" w:ascii="宋体" w:hAnsi="宋体"/>
          <w:color w:val="000000"/>
          <w:sz w:val="24"/>
          <w:szCs w:val="24"/>
          <w:highlight w:val="none"/>
        </w:rPr>
        <w:t>采购活动的合法代理人，以本单位名义全权处理一切与该项目采购有关的事务。</w:t>
      </w:r>
    </w:p>
    <w:p w14:paraId="1BE97D86">
      <w:pPr>
        <w:pStyle w:val="455"/>
        <w:spacing w:line="480" w:lineRule="exact"/>
        <w:ind w:firstLine="482"/>
        <w:rPr>
          <w:rFonts w:ascii="宋体" w:hAnsi="宋体"/>
          <w:color w:val="000000"/>
          <w:sz w:val="24"/>
          <w:szCs w:val="24"/>
          <w:highlight w:val="none"/>
        </w:rPr>
      </w:pPr>
      <w:r>
        <w:rPr>
          <w:rFonts w:hint="eastAsia" w:ascii="宋体" w:hAnsi="宋体"/>
          <w:color w:val="000000"/>
          <w:sz w:val="24"/>
          <w:szCs w:val="24"/>
          <w:highlight w:val="none"/>
        </w:rPr>
        <w:t>本授权书于______年____月____日起生效，特此声明。</w:t>
      </w:r>
    </w:p>
    <w:p w14:paraId="7E039C7D">
      <w:pPr>
        <w:pStyle w:val="455"/>
        <w:spacing w:line="480" w:lineRule="exact"/>
        <w:ind w:firstLine="482"/>
        <w:rPr>
          <w:color w:val="000000"/>
          <w:sz w:val="24"/>
          <w:szCs w:val="24"/>
          <w:highlight w:val="none"/>
          <w:u w:val="single"/>
        </w:rPr>
      </w:pPr>
      <w:r>
        <w:rPr>
          <w:rFonts w:hint="eastAsia"/>
          <w:color w:val="000000"/>
          <w:sz w:val="24"/>
          <w:szCs w:val="24"/>
          <w:highlight w:val="none"/>
        </w:rPr>
        <w:t>被授权人身份证号码：</w:t>
      </w:r>
      <w:r>
        <w:rPr>
          <w:rFonts w:hint="eastAsia"/>
          <w:color w:val="000000"/>
          <w:sz w:val="24"/>
          <w:szCs w:val="24"/>
          <w:highlight w:val="none"/>
          <w:u w:val="single"/>
        </w:rPr>
        <w:t xml:space="preserve">                             </w:t>
      </w:r>
    </w:p>
    <w:p w14:paraId="07465E41">
      <w:pPr>
        <w:pStyle w:val="455"/>
        <w:spacing w:line="480" w:lineRule="exact"/>
        <w:ind w:firstLine="482"/>
        <w:rPr>
          <w:rFonts w:ascii="宋体" w:hAnsi="宋体"/>
          <w:color w:val="000000"/>
          <w:sz w:val="24"/>
          <w:szCs w:val="24"/>
          <w:highlight w:val="none"/>
        </w:rPr>
      </w:pPr>
      <w:r>
        <w:rPr>
          <w:rFonts w:hint="eastAsia"/>
          <w:color w:val="000000"/>
          <w:sz w:val="24"/>
          <w:szCs w:val="24"/>
          <w:highlight w:val="none"/>
        </w:rPr>
        <w:t>被授权人联系电话：（手机）</w:t>
      </w:r>
      <w:r>
        <w:rPr>
          <w:rFonts w:hint="eastAsia"/>
          <w:color w:val="000000"/>
          <w:sz w:val="24"/>
          <w:szCs w:val="24"/>
          <w:highlight w:val="none"/>
          <w:u w:val="single"/>
        </w:rPr>
        <w:t xml:space="preserve">                          </w:t>
      </w:r>
    </w:p>
    <w:p w14:paraId="5FAAC76B">
      <w:pPr>
        <w:pStyle w:val="455"/>
        <w:spacing w:line="480" w:lineRule="exact"/>
        <w:ind w:firstLine="482"/>
        <w:rPr>
          <w:rFonts w:ascii="宋体" w:hAnsi="宋体"/>
          <w:color w:val="000000"/>
          <w:sz w:val="24"/>
          <w:szCs w:val="24"/>
          <w:highlight w:val="none"/>
        </w:rPr>
      </w:pPr>
      <w:r>
        <w:rPr>
          <w:rFonts w:hint="eastAsia"/>
          <w:color w:val="000000"/>
          <w:sz w:val="24"/>
          <w:szCs w:val="24"/>
          <w:highlight w:val="none"/>
        </w:rPr>
        <w:t>授权单位名称：</w:t>
      </w:r>
      <w:r>
        <w:rPr>
          <w:rFonts w:hint="eastAsia"/>
          <w:color w:val="000000"/>
          <w:sz w:val="24"/>
          <w:szCs w:val="24"/>
          <w:highlight w:val="none"/>
          <w:u w:val="single"/>
        </w:rPr>
        <w:t>（盖CA电子公章）</w:t>
      </w:r>
    </w:p>
    <w:p w14:paraId="2F6D6B8A">
      <w:pPr>
        <w:pStyle w:val="455"/>
        <w:spacing w:line="480" w:lineRule="exact"/>
        <w:ind w:firstLine="482"/>
        <w:rPr>
          <w:rFonts w:ascii="宋体" w:hAnsi="宋体"/>
          <w:color w:val="000000"/>
          <w:sz w:val="24"/>
          <w:szCs w:val="24"/>
          <w:highlight w:val="none"/>
        </w:rPr>
      </w:pPr>
      <w:r>
        <w:rPr>
          <w:rFonts w:hint="eastAsia"/>
          <w:color w:val="000000"/>
          <w:sz w:val="24"/>
          <w:szCs w:val="24"/>
          <w:highlight w:val="none"/>
        </w:rPr>
        <w:t>单位地址：</w:t>
      </w:r>
      <w:r>
        <w:rPr>
          <w:rFonts w:hint="eastAsia"/>
          <w:color w:val="000000"/>
          <w:sz w:val="24"/>
          <w:szCs w:val="24"/>
          <w:highlight w:val="none"/>
          <w:u w:val="single"/>
        </w:rPr>
        <w:t xml:space="preserve">                                         </w:t>
      </w:r>
    </w:p>
    <w:p w14:paraId="62B435B5">
      <w:pPr>
        <w:pStyle w:val="455"/>
        <w:spacing w:line="480" w:lineRule="exact"/>
        <w:ind w:firstLine="482"/>
        <w:rPr>
          <w:rFonts w:hint="eastAsia" w:ascii="宋体" w:hAnsi="宋体"/>
          <w:color w:val="000000"/>
          <w:sz w:val="24"/>
          <w:szCs w:val="24"/>
          <w:highlight w:val="none"/>
        </w:rPr>
      </w:pPr>
      <w:r>
        <w:rPr>
          <w:rFonts w:hint="eastAsia"/>
          <w:color w:val="000000"/>
          <w:sz w:val="24"/>
          <w:szCs w:val="24"/>
          <w:highlight w:val="none"/>
        </w:rPr>
        <w:t>日期：</w:t>
      </w:r>
      <w:bookmarkStart w:id="184" w:name="_Hlt26671380"/>
      <w:bookmarkEnd w:id="184"/>
      <w:bookmarkStart w:id="185" w:name="_格式3__银行出具的资信证明"/>
      <w:bookmarkEnd w:id="185"/>
      <w:bookmarkStart w:id="186" w:name="_Hlt26955070"/>
      <w:bookmarkEnd w:id="186"/>
      <w:r>
        <w:rPr>
          <w:rFonts w:hint="eastAsia"/>
          <w:color w:val="000000"/>
          <w:sz w:val="24"/>
          <w:szCs w:val="24"/>
          <w:highlight w:val="none"/>
          <w:u w:val="single"/>
        </w:rPr>
        <w:t xml:space="preserve">                                         </w:t>
      </w:r>
    </w:p>
    <w:p w14:paraId="0209BFA2">
      <w:pPr>
        <w:pStyle w:val="339"/>
        <w:spacing w:line="700" w:lineRule="exact"/>
        <w:ind w:firstLine="629"/>
        <w:rPr>
          <w:rFonts w:ascii="方正仿宋_GBK" w:eastAsia="方正仿宋_GBK"/>
          <w:color w:val="000000"/>
          <w:sz w:val="24"/>
          <w:highlight w:val="none"/>
        </w:rPr>
      </w:pPr>
    </w:p>
    <w:p w14:paraId="60B55F0F">
      <w:pPr>
        <w:pStyle w:val="342"/>
        <w:outlineLvl w:val="1"/>
        <w:rPr>
          <w:color w:val="000000"/>
          <w:highlight w:val="none"/>
        </w:rPr>
      </w:pPr>
      <w:r>
        <w:rPr>
          <w:color w:val="000000"/>
          <w:highlight w:val="none"/>
        </w:rPr>
        <w:br w:type="page" w:clear="all"/>
      </w:r>
      <w:bookmarkStart w:id="187" w:name="_Toc27199"/>
      <w:bookmarkStart w:id="188" w:name="_Toc13550"/>
      <w:bookmarkStart w:id="189" w:name="_Toc30543"/>
      <w:r>
        <w:rPr>
          <w:rFonts w:hint="eastAsia"/>
          <w:b w:val="0"/>
          <w:bCs/>
          <w:color w:val="000000"/>
          <w:highlight w:val="none"/>
        </w:rPr>
        <w:t>四</w:t>
      </w:r>
      <w:r>
        <w:rPr>
          <w:b w:val="0"/>
          <w:bCs/>
          <w:color w:val="000000"/>
          <w:highlight w:val="none"/>
        </w:rPr>
        <w:t>、开标一览表</w:t>
      </w:r>
      <w:bookmarkEnd w:id="187"/>
      <w:bookmarkEnd w:id="188"/>
      <w:bookmarkEnd w:id="189"/>
    </w:p>
    <w:p w14:paraId="233066DC">
      <w:pPr>
        <w:pStyle w:val="343"/>
        <w:rPr>
          <w:rFonts w:hint="eastAsia" w:ascii="宋体" w:hAnsi="宋体" w:eastAsia="宋体" w:cs="宋体"/>
          <w:color w:val="000000"/>
          <w:highlight w:val="none"/>
        </w:rPr>
      </w:pPr>
    </w:p>
    <w:p w14:paraId="7867AA76">
      <w:pPr>
        <w:pStyle w:val="343"/>
        <w:rPr>
          <w:color w:val="000000"/>
          <w:highlight w:val="none"/>
        </w:rPr>
      </w:pPr>
      <w:r>
        <w:rPr>
          <w:rFonts w:hint="eastAsia" w:ascii="宋体" w:hAnsi="宋体" w:eastAsia="宋体" w:cs="宋体"/>
          <w:color w:val="000000"/>
          <w:highlight w:val="none"/>
        </w:rPr>
        <w:t>投标人全称</w:t>
      </w:r>
      <w:r>
        <w:rPr>
          <w:rFonts w:hint="eastAsia" w:ascii="宋体" w:hAnsi="宋体" w:eastAsia="宋体" w:cs="宋体"/>
          <w:color w:val="000000"/>
          <w:highlight w:val="none"/>
          <w:lang w:eastAsia="zh-CN"/>
        </w:rPr>
        <w:t>（</w:t>
      </w:r>
      <w:r>
        <w:rPr>
          <w:rFonts w:hint="eastAsia"/>
          <w:color w:val="000000"/>
          <w:highlight w:val="none"/>
        </w:rPr>
        <w:t>CA</w:t>
      </w:r>
      <w:r>
        <w:rPr>
          <w:rFonts w:hint="eastAsia" w:ascii="宋体" w:hAnsi="宋体" w:eastAsia="宋体" w:cs="宋体"/>
          <w:color w:val="000000"/>
          <w:highlight w:val="none"/>
        </w:rPr>
        <w:t>公章</w:t>
      </w:r>
      <w:r>
        <w:rPr>
          <w:rFonts w:hint="eastAsia" w:ascii="宋体" w:hAnsi="宋体" w:eastAsia="宋体" w:cs="宋体"/>
          <w:color w:val="000000"/>
          <w:highlight w:val="none"/>
          <w:lang w:eastAsia="zh-CN"/>
        </w:rPr>
        <w:t>）</w:t>
      </w:r>
      <w:r>
        <w:rPr>
          <w:rFonts w:hint="eastAsia"/>
          <w:color w:val="000000"/>
          <w:highlight w:val="none"/>
        </w:rPr>
        <w:t xml:space="preserve"> </w:t>
      </w:r>
      <w:r>
        <w:rPr>
          <w:rFonts w:hint="eastAsia" w:eastAsia="宋体"/>
          <w:color w:val="000000"/>
          <w:highlight w:val="none"/>
        </w:rPr>
        <w:t>：</w:t>
      </w:r>
      <w:r>
        <w:rPr>
          <w:rFonts w:hint="eastAsia" w:ascii="宋体" w:hAnsi="宋体" w:eastAsia="宋体" w:cs="宋体"/>
          <w:color w:val="000000"/>
          <w:highlight w:val="none"/>
        </w:rPr>
        <w:t>供应商名称</w:t>
      </w:r>
    </w:p>
    <w:p w14:paraId="4D8EBF85">
      <w:pPr>
        <w:spacing w:line="500" w:lineRule="exact"/>
        <w:rPr>
          <w:rFonts w:hint="eastAsia" w:ascii="宋体" w:hAnsi="宋体" w:cs="宋体"/>
          <w:color w:val="000000"/>
          <w:sz w:val="24"/>
          <w:szCs w:val="24"/>
          <w:highlight w:val="none"/>
        </w:rPr>
      </w:pPr>
      <w:r>
        <w:rPr>
          <w:rFonts w:hint="eastAsia" w:ascii="宋体" w:hAnsi="宋体" w:cs="宋体"/>
          <w:color w:val="000000"/>
          <w:sz w:val="24"/>
          <w:szCs w:val="24"/>
          <w:highlight w:val="none"/>
        </w:rPr>
        <w:t>采购项目名称：</w:t>
      </w:r>
    </w:p>
    <w:p w14:paraId="22D5B7EE">
      <w:pPr>
        <w:spacing w:line="500" w:lineRule="exact"/>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采购项目编号： </w:t>
      </w:r>
    </w:p>
    <w:p w14:paraId="2AD3CCCD">
      <w:pPr>
        <w:spacing w:line="500" w:lineRule="exact"/>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 采购包</w:t>
      </w:r>
      <w:r>
        <w:rPr>
          <w:rFonts w:hint="eastAsia" w:ascii="宋体" w:hAnsi="宋体" w:cs="宋体"/>
          <w:color w:val="000000"/>
          <w:sz w:val="24"/>
          <w:szCs w:val="24"/>
          <w:highlight w:val="none"/>
          <w:lang w:eastAsia="zh-CN"/>
        </w:rPr>
        <w:t>号</w:t>
      </w:r>
      <w:r>
        <w:rPr>
          <w:rFonts w:hint="eastAsia" w:ascii="宋体" w:hAnsi="宋体" w:cs="宋体"/>
          <w:color w:val="000000"/>
          <w:sz w:val="24"/>
          <w:szCs w:val="24"/>
          <w:highlight w:val="none"/>
        </w:rPr>
        <w:t>：</w:t>
      </w:r>
      <w:r>
        <w:rPr>
          <w:rStyle w:val="407"/>
          <w:rFonts w:ascii="宋体" w:hAnsi="宋体" w:eastAsia="宋体" w:cs="宋体"/>
          <w:color w:val="000000"/>
          <w:sz w:val="24"/>
          <w:szCs w:val="24"/>
          <w:highlight w:val="none"/>
        </w:rPr>
        <w:t>分包号</w:t>
      </w:r>
      <w:r>
        <w:rPr>
          <w:rFonts w:ascii="宋体" w:hAnsi="宋体" w:eastAsia="宋体" w:cs="宋体"/>
          <w:color w:val="000000"/>
          <w:sz w:val="24"/>
          <w:szCs w:val="24"/>
          <w:highlight w:val="none"/>
        </w:rPr>
        <w:t> </w:t>
      </w:r>
    </w:p>
    <w:tbl>
      <w:tblPr>
        <w:tblStyle w:val="12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0"/>
      </w:tblGrid>
      <w:tr w14:paraId="7D6C2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00" w:type="dxa"/>
            <w:noWrap w:val="0"/>
            <w:vAlign w:val="top"/>
          </w:tcPr>
          <w:p w14:paraId="04561C15">
            <w:pPr>
              <w:spacing w:line="500" w:lineRule="exact"/>
              <w:jc w:val="center"/>
              <w:rPr>
                <w:rFonts w:ascii="宋体" w:hAnsi="宋体" w:eastAsia="宋体" w:cs="宋体"/>
                <w:color w:val="000000"/>
                <w:sz w:val="24"/>
                <w:szCs w:val="24"/>
                <w:highlight w:val="none"/>
                <w:vertAlign w:val="baseline"/>
                <w:lang w:val="en-US" w:eastAsia="zh-CN"/>
              </w:rPr>
            </w:pPr>
            <w:r>
              <w:rPr>
                <w:rFonts w:hint="eastAsia" w:ascii="宋体" w:hAnsi="宋体" w:cs="宋体"/>
                <w:color w:val="000000"/>
                <w:sz w:val="24"/>
                <w:szCs w:val="24"/>
                <w:highlight w:val="none"/>
                <w:vertAlign w:val="baseline"/>
                <w:lang w:val="en-US" w:eastAsia="zh-CN"/>
              </w:rPr>
              <w:t>投标总报价</w:t>
            </w:r>
          </w:p>
        </w:tc>
      </w:tr>
      <w:tr w14:paraId="43767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00" w:type="dxa"/>
            <w:noWrap w:val="0"/>
            <w:vAlign w:val="top"/>
          </w:tcPr>
          <w:p w14:paraId="25F3A945">
            <w:pPr>
              <w:spacing w:line="500" w:lineRule="exact"/>
              <w:rPr>
                <w:rFonts w:ascii="宋体" w:hAnsi="宋体" w:eastAsia="宋体" w:cs="宋体"/>
                <w:color w:val="000000"/>
                <w:sz w:val="24"/>
                <w:szCs w:val="24"/>
                <w:highlight w:val="none"/>
                <w:vertAlign w:val="baseline"/>
                <w:lang w:val="en-US" w:eastAsia="zh-CN"/>
              </w:rPr>
            </w:pPr>
            <w:r>
              <w:rPr>
                <w:rFonts w:hint="eastAsia" w:ascii="宋体" w:hAnsi="宋体" w:cs="宋体"/>
                <w:color w:val="000000"/>
                <w:sz w:val="24"/>
                <w:szCs w:val="24"/>
                <w:highlight w:val="none"/>
                <w:vertAlign w:val="baseline"/>
                <w:lang w:val="en-US" w:eastAsia="zh-CN"/>
              </w:rPr>
              <w:t xml:space="preserve">总价（小写）：          </w:t>
            </w:r>
            <w:r>
              <w:rPr>
                <w:rFonts w:ascii="宋体" w:hAnsi="宋体" w:eastAsia="宋体" w:cs="宋体"/>
                <w:color w:val="000000"/>
                <w:sz w:val="24"/>
                <w:szCs w:val="24"/>
                <w:highlight w:val="none"/>
              </w:rPr>
              <w:t>（人民币：元）</w:t>
            </w:r>
          </w:p>
        </w:tc>
      </w:tr>
      <w:tr w14:paraId="51E86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00" w:type="dxa"/>
            <w:noWrap w:val="0"/>
            <w:vAlign w:val="top"/>
          </w:tcPr>
          <w:p w14:paraId="2E649803">
            <w:pPr>
              <w:spacing w:line="500" w:lineRule="exact"/>
              <w:rPr>
                <w:rFonts w:hint="eastAsia" w:ascii="宋体" w:hAnsi="宋体" w:cs="宋体"/>
                <w:color w:val="000000"/>
                <w:sz w:val="24"/>
                <w:szCs w:val="24"/>
                <w:highlight w:val="none"/>
                <w:vertAlign w:val="baseline"/>
              </w:rPr>
            </w:pPr>
            <w:r>
              <w:rPr>
                <w:rFonts w:ascii="宋体" w:hAnsi="宋体" w:eastAsia="宋体" w:cs="宋体"/>
                <w:color w:val="000000"/>
                <w:sz w:val="24"/>
                <w:szCs w:val="24"/>
                <w:highlight w:val="none"/>
              </w:rPr>
              <w:t>总价（大写）：</w:t>
            </w:r>
            <w:r>
              <w:rPr>
                <w:rStyle w:val="407"/>
                <w:rFonts w:ascii="宋体" w:hAnsi="宋体" w:eastAsia="宋体" w:cs="宋体"/>
                <w:color w:val="000000"/>
                <w:sz w:val="24"/>
                <w:szCs w:val="24"/>
                <w:highlight w:val="none"/>
              </w:rPr>
              <w:t>金额大写</w:t>
            </w:r>
            <w:r>
              <w:rPr>
                <w:rFonts w:ascii="宋体" w:hAnsi="宋体" w:eastAsia="宋体" w:cs="宋体"/>
                <w:color w:val="000000"/>
                <w:sz w:val="24"/>
                <w:szCs w:val="24"/>
                <w:highlight w:val="none"/>
              </w:rPr>
              <w:t xml:space="preserve"> （人民币：元）</w:t>
            </w:r>
          </w:p>
        </w:tc>
      </w:tr>
    </w:tbl>
    <w:p w14:paraId="624840D8">
      <w:pPr>
        <w:spacing w:line="500" w:lineRule="exact"/>
        <w:rPr>
          <w:rFonts w:hint="eastAsia" w:ascii="宋体" w:hAnsi="宋体" w:cs="宋体"/>
          <w:color w:val="000000"/>
          <w:sz w:val="24"/>
          <w:szCs w:val="24"/>
          <w:highlight w:val="none"/>
        </w:rPr>
      </w:pPr>
    </w:p>
    <w:p w14:paraId="735758A6">
      <w:pPr>
        <w:rPr>
          <w:rFonts w:hint="eastAsia"/>
          <w:color w:val="000000"/>
          <w:highlight w:val="none"/>
        </w:rPr>
      </w:pPr>
    </w:p>
    <w:p w14:paraId="712E9B34">
      <w:pPr>
        <w:rPr>
          <w:rFonts w:hint="eastAsia"/>
          <w:color w:val="000000"/>
          <w:highlight w:val="none"/>
        </w:rPr>
      </w:pPr>
    </w:p>
    <w:p w14:paraId="7597923D">
      <w:pPr>
        <w:rPr>
          <w:rFonts w:hint="eastAsia"/>
          <w:color w:val="000000"/>
          <w:highlight w:val="none"/>
        </w:rPr>
      </w:pPr>
    </w:p>
    <w:p w14:paraId="702CE6B1">
      <w:pPr>
        <w:rPr>
          <w:rFonts w:ascii="宋体" w:hAnsi="宋体" w:cs="宋体"/>
          <w:color w:val="000000"/>
          <w:sz w:val="24"/>
          <w:highlight w:val="none"/>
        </w:rPr>
      </w:pPr>
      <w:r>
        <w:rPr>
          <w:rFonts w:hint="eastAsia"/>
          <w:color w:val="000000"/>
          <w:highlight w:val="none"/>
        </w:rPr>
        <w:t xml:space="preserve"> </w:t>
      </w:r>
      <w:r>
        <w:rPr>
          <w:color w:val="000000"/>
          <w:highlight w:val="none"/>
        </w:rPr>
        <w:t xml:space="preserve">                   </w:t>
      </w:r>
      <w:r>
        <w:rPr>
          <w:rFonts w:hint="eastAsia"/>
          <w:color w:val="000000"/>
          <w:highlight w:val="none"/>
        </w:rPr>
        <w:t xml:space="preserve">                   </w:t>
      </w:r>
      <w:r>
        <w:rPr>
          <w:color w:val="000000"/>
          <w:highlight w:val="none"/>
        </w:rPr>
        <w:t xml:space="preserve">     </w:t>
      </w:r>
      <w:bookmarkStart w:id="190" w:name="_Toc12113"/>
      <w:r>
        <w:rPr>
          <w:rFonts w:hint="eastAsia" w:ascii="宋体" w:hAnsi="宋体" w:cs="宋体"/>
          <w:color w:val="000000"/>
          <w:sz w:val="24"/>
          <w:highlight w:val="none"/>
        </w:rPr>
        <w:t xml:space="preserve">日期： </w:t>
      </w:r>
      <w:r>
        <w:rPr>
          <w:rFonts w:ascii="宋体" w:hAnsi="宋体" w:cs="宋体"/>
          <w:color w:val="000000"/>
          <w:sz w:val="24"/>
          <w:highlight w:val="none"/>
        </w:rPr>
        <w:t xml:space="preserve">    </w:t>
      </w:r>
      <w:r>
        <w:rPr>
          <w:rFonts w:hint="eastAsia" w:ascii="宋体" w:hAnsi="宋体" w:cs="宋体"/>
          <w:color w:val="000000"/>
          <w:sz w:val="24"/>
          <w:highlight w:val="none"/>
        </w:rPr>
        <w:t xml:space="preserve">年 </w:t>
      </w:r>
      <w:r>
        <w:rPr>
          <w:rFonts w:ascii="宋体" w:hAnsi="宋体" w:cs="宋体"/>
          <w:color w:val="000000"/>
          <w:sz w:val="24"/>
          <w:highlight w:val="none"/>
        </w:rPr>
        <w:t xml:space="preserve">    </w:t>
      </w:r>
      <w:r>
        <w:rPr>
          <w:rFonts w:hint="eastAsia" w:ascii="宋体" w:hAnsi="宋体" w:cs="宋体"/>
          <w:color w:val="000000"/>
          <w:sz w:val="24"/>
          <w:highlight w:val="none"/>
        </w:rPr>
        <w:t xml:space="preserve">月 </w:t>
      </w:r>
      <w:r>
        <w:rPr>
          <w:rFonts w:ascii="宋体" w:hAnsi="宋体" w:cs="宋体"/>
          <w:color w:val="000000"/>
          <w:sz w:val="24"/>
          <w:highlight w:val="none"/>
        </w:rPr>
        <w:t xml:space="preserve">    </w:t>
      </w:r>
      <w:r>
        <w:rPr>
          <w:rFonts w:hint="eastAsia" w:ascii="宋体" w:hAnsi="宋体" w:cs="宋体"/>
          <w:color w:val="000000"/>
          <w:sz w:val="24"/>
          <w:highlight w:val="none"/>
        </w:rPr>
        <w:t>日</w:t>
      </w:r>
      <w:bookmarkEnd w:id="190"/>
    </w:p>
    <w:p w14:paraId="29AFBCA6">
      <w:pPr>
        <w:pStyle w:val="345"/>
        <w:outlineLvl w:val="1"/>
        <w:rPr>
          <w:rFonts w:hint="eastAsia"/>
          <w:color w:val="000000"/>
          <w:highlight w:val="none"/>
        </w:rPr>
      </w:pPr>
      <w:r>
        <w:rPr>
          <w:color w:val="000000"/>
          <w:highlight w:val="none"/>
        </w:rPr>
        <w:br w:type="page" w:clear="all"/>
      </w:r>
      <w:bookmarkStart w:id="191" w:name="_Toc956"/>
      <w:bookmarkStart w:id="192" w:name="_Toc26543"/>
      <w:bookmarkStart w:id="193" w:name="_Toc12614"/>
      <w:r>
        <w:rPr>
          <w:rFonts w:hint="eastAsia"/>
          <w:b w:val="0"/>
          <w:bCs/>
          <w:color w:val="000000"/>
          <w:highlight w:val="none"/>
        </w:rPr>
        <w:t>五</w:t>
      </w:r>
      <w:r>
        <w:rPr>
          <w:b w:val="0"/>
          <w:bCs/>
          <w:color w:val="000000"/>
          <w:highlight w:val="none"/>
        </w:rPr>
        <w:t>、</w:t>
      </w:r>
      <w:bookmarkEnd w:id="191"/>
      <w:bookmarkEnd w:id="192"/>
      <w:r>
        <w:rPr>
          <w:rFonts w:hint="eastAsia"/>
          <w:b w:val="0"/>
          <w:bCs/>
          <w:color w:val="000000"/>
          <w:highlight w:val="none"/>
        </w:rPr>
        <w:t>分项报价表</w:t>
      </w:r>
      <w:bookmarkEnd w:id="193"/>
    </w:p>
    <w:p w14:paraId="28092D09">
      <w:pPr>
        <w:ind w:firstLine="480"/>
        <w:rPr>
          <w:rFonts w:hint="eastAsia" w:ascii="Times New Roman" w:hAnsi="Times New Roman" w:eastAsia="宋体" w:cs="Times New Roman"/>
          <w:b/>
          <w:caps w:val="0"/>
          <w:color w:val="000000"/>
          <w:sz w:val="32"/>
          <w:szCs w:val="32"/>
          <w:highlight w:val="none"/>
          <w:lang w:val="en-US" w:eastAsia="zh-CN" w:bidi="ar-SA"/>
        </w:rPr>
      </w:pPr>
    </w:p>
    <w:tbl>
      <w:tblPr>
        <w:tblStyle w:val="31"/>
        <w:tblW w:w="905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8"/>
        <w:gridCol w:w="1274"/>
        <w:gridCol w:w="1288"/>
        <w:gridCol w:w="924"/>
        <w:gridCol w:w="1203"/>
        <w:gridCol w:w="1618"/>
        <w:gridCol w:w="1798"/>
      </w:tblGrid>
      <w:tr w14:paraId="1706A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4" w:hRule="atLeast"/>
        </w:trPr>
        <w:tc>
          <w:tcPr>
            <w:tcW w:w="948" w:type="dxa"/>
            <w:vMerge w:val="restart"/>
            <w:noWrap w:val="0"/>
            <w:vAlign w:val="center"/>
          </w:tcPr>
          <w:p w14:paraId="1B8D2373">
            <w:pPr>
              <w:spacing w:line="0" w:lineRule="atLeast"/>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序号</w:t>
            </w:r>
          </w:p>
        </w:tc>
        <w:tc>
          <w:tcPr>
            <w:tcW w:w="1274" w:type="dxa"/>
            <w:noWrap w:val="0"/>
            <w:vAlign w:val="center"/>
          </w:tcPr>
          <w:p w14:paraId="7B7288E0">
            <w:pPr>
              <w:spacing w:line="0" w:lineRule="atLeast"/>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1</w:t>
            </w:r>
          </w:p>
        </w:tc>
        <w:tc>
          <w:tcPr>
            <w:tcW w:w="1288" w:type="dxa"/>
            <w:noWrap w:val="0"/>
            <w:vAlign w:val="center"/>
          </w:tcPr>
          <w:p w14:paraId="7DACB09E">
            <w:pPr>
              <w:spacing w:line="0" w:lineRule="atLeast"/>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2</w:t>
            </w:r>
          </w:p>
        </w:tc>
        <w:tc>
          <w:tcPr>
            <w:tcW w:w="924" w:type="dxa"/>
            <w:noWrap w:val="0"/>
            <w:vAlign w:val="center"/>
          </w:tcPr>
          <w:p w14:paraId="0C9F3603">
            <w:pPr>
              <w:spacing w:line="0" w:lineRule="atLeast"/>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3</w:t>
            </w:r>
          </w:p>
        </w:tc>
        <w:tc>
          <w:tcPr>
            <w:tcW w:w="1203" w:type="dxa"/>
            <w:noWrap w:val="0"/>
            <w:vAlign w:val="center"/>
          </w:tcPr>
          <w:p w14:paraId="30D574E0">
            <w:pPr>
              <w:spacing w:line="0" w:lineRule="atLeast"/>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4</w:t>
            </w:r>
          </w:p>
        </w:tc>
        <w:tc>
          <w:tcPr>
            <w:tcW w:w="1618" w:type="dxa"/>
            <w:noWrap w:val="0"/>
            <w:vAlign w:val="center"/>
          </w:tcPr>
          <w:p w14:paraId="4DAF40A1">
            <w:pPr>
              <w:spacing w:line="0" w:lineRule="atLeast"/>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5</w:t>
            </w:r>
          </w:p>
        </w:tc>
        <w:tc>
          <w:tcPr>
            <w:tcW w:w="1798" w:type="dxa"/>
            <w:noWrap w:val="0"/>
            <w:vAlign w:val="center"/>
          </w:tcPr>
          <w:p w14:paraId="37311558">
            <w:pPr>
              <w:spacing w:line="0" w:lineRule="atLeast"/>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6</w:t>
            </w:r>
          </w:p>
        </w:tc>
      </w:tr>
      <w:tr w14:paraId="6696D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4" w:hRule="atLeast"/>
        </w:trPr>
        <w:tc>
          <w:tcPr>
            <w:tcW w:w="948" w:type="dxa"/>
            <w:vMerge w:val="continue"/>
            <w:noWrap w:val="0"/>
            <w:vAlign w:val="center"/>
          </w:tcPr>
          <w:p w14:paraId="64A7A0FD">
            <w:pPr>
              <w:spacing w:line="0" w:lineRule="atLeast"/>
              <w:jc w:val="center"/>
              <w:rPr>
                <w:rFonts w:hint="eastAsia" w:ascii="宋体" w:hAnsi="宋体" w:eastAsia="宋体" w:cs="Times New Roman"/>
                <w:color w:val="000000"/>
                <w:sz w:val="24"/>
                <w:szCs w:val="24"/>
                <w:highlight w:val="none"/>
              </w:rPr>
            </w:pPr>
          </w:p>
        </w:tc>
        <w:tc>
          <w:tcPr>
            <w:tcW w:w="1274" w:type="dxa"/>
            <w:noWrap w:val="0"/>
            <w:vAlign w:val="center"/>
          </w:tcPr>
          <w:p w14:paraId="19395F49">
            <w:pPr>
              <w:spacing w:line="0" w:lineRule="atLeast"/>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分项服务名称</w:t>
            </w:r>
          </w:p>
        </w:tc>
        <w:tc>
          <w:tcPr>
            <w:tcW w:w="1288" w:type="dxa"/>
            <w:noWrap w:val="0"/>
            <w:vAlign w:val="center"/>
          </w:tcPr>
          <w:p w14:paraId="4E09A6FD">
            <w:pPr>
              <w:spacing w:line="0" w:lineRule="atLeast"/>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交付期</w:t>
            </w:r>
          </w:p>
        </w:tc>
        <w:tc>
          <w:tcPr>
            <w:tcW w:w="924" w:type="dxa"/>
            <w:noWrap w:val="0"/>
            <w:vAlign w:val="center"/>
          </w:tcPr>
          <w:p w14:paraId="59F3929D">
            <w:pPr>
              <w:spacing w:line="0" w:lineRule="atLeast"/>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分项单位</w:t>
            </w:r>
          </w:p>
        </w:tc>
        <w:tc>
          <w:tcPr>
            <w:tcW w:w="1203" w:type="dxa"/>
            <w:noWrap w:val="0"/>
            <w:vAlign w:val="center"/>
          </w:tcPr>
          <w:p w14:paraId="16FED3FB">
            <w:pPr>
              <w:spacing w:line="0" w:lineRule="atLeast"/>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数量</w:t>
            </w:r>
          </w:p>
        </w:tc>
        <w:tc>
          <w:tcPr>
            <w:tcW w:w="1618" w:type="dxa"/>
            <w:noWrap w:val="0"/>
            <w:vAlign w:val="center"/>
          </w:tcPr>
          <w:p w14:paraId="7D730596">
            <w:pPr>
              <w:spacing w:line="0" w:lineRule="atLeast"/>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分项</w:t>
            </w:r>
          </w:p>
          <w:p w14:paraId="1118F99D">
            <w:pPr>
              <w:spacing w:line="0" w:lineRule="atLeast"/>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单价</w:t>
            </w:r>
          </w:p>
        </w:tc>
        <w:tc>
          <w:tcPr>
            <w:tcW w:w="1798" w:type="dxa"/>
            <w:noWrap w:val="0"/>
            <w:vAlign w:val="center"/>
          </w:tcPr>
          <w:p w14:paraId="63E23DAA">
            <w:pPr>
              <w:spacing w:line="0" w:lineRule="atLeast"/>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分项</w:t>
            </w:r>
          </w:p>
          <w:p w14:paraId="1356FD9E">
            <w:pPr>
              <w:spacing w:line="0" w:lineRule="atLeast"/>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总价</w:t>
            </w:r>
          </w:p>
        </w:tc>
      </w:tr>
      <w:tr w14:paraId="19B01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4" w:hRule="atLeast"/>
        </w:trPr>
        <w:tc>
          <w:tcPr>
            <w:tcW w:w="948" w:type="dxa"/>
            <w:noWrap w:val="0"/>
            <w:vAlign w:val="center"/>
          </w:tcPr>
          <w:p w14:paraId="6795C250">
            <w:pPr>
              <w:spacing w:line="0" w:lineRule="atLeast"/>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1</w:t>
            </w:r>
          </w:p>
        </w:tc>
        <w:tc>
          <w:tcPr>
            <w:tcW w:w="1274" w:type="dxa"/>
            <w:noWrap w:val="0"/>
            <w:vAlign w:val="center"/>
          </w:tcPr>
          <w:p w14:paraId="3973BD3D">
            <w:pPr>
              <w:spacing w:line="0" w:lineRule="atLeast"/>
              <w:jc w:val="center"/>
              <w:rPr>
                <w:rFonts w:hint="eastAsia" w:ascii="宋体" w:hAnsi="宋体" w:eastAsia="宋体" w:cs="Times New Roman"/>
                <w:color w:val="000000"/>
                <w:sz w:val="24"/>
                <w:szCs w:val="24"/>
                <w:highlight w:val="none"/>
              </w:rPr>
            </w:pPr>
          </w:p>
        </w:tc>
        <w:tc>
          <w:tcPr>
            <w:tcW w:w="1288" w:type="dxa"/>
            <w:noWrap w:val="0"/>
            <w:vAlign w:val="center"/>
          </w:tcPr>
          <w:p w14:paraId="478FB622">
            <w:pPr>
              <w:spacing w:line="0" w:lineRule="atLeast"/>
              <w:jc w:val="center"/>
              <w:rPr>
                <w:rFonts w:hint="eastAsia" w:ascii="宋体" w:hAnsi="宋体" w:eastAsia="宋体" w:cs="Times New Roman"/>
                <w:color w:val="000000"/>
                <w:sz w:val="24"/>
                <w:szCs w:val="24"/>
                <w:highlight w:val="none"/>
              </w:rPr>
            </w:pPr>
          </w:p>
        </w:tc>
        <w:tc>
          <w:tcPr>
            <w:tcW w:w="924" w:type="dxa"/>
            <w:noWrap w:val="0"/>
            <w:vAlign w:val="center"/>
          </w:tcPr>
          <w:p w14:paraId="2DDB72A8">
            <w:pPr>
              <w:spacing w:line="0" w:lineRule="atLeast"/>
              <w:jc w:val="center"/>
              <w:rPr>
                <w:rFonts w:hint="eastAsia" w:ascii="宋体" w:hAnsi="宋体" w:eastAsia="宋体" w:cs="Times New Roman"/>
                <w:color w:val="000000"/>
                <w:sz w:val="24"/>
                <w:szCs w:val="24"/>
                <w:highlight w:val="none"/>
              </w:rPr>
            </w:pPr>
          </w:p>
        </w:tc>
        <w:tc>
          <w:tcPr>
            <w:tcW w:w="1203" w:type="dxa"/>
            <w:noWrap w:val="0"/>
            <w:vAlign w:val="center"/>
          </w:tcPr>
          <w:p w14:paraId="40EADF50">
            <w:pPr>
              <w:spacing w:line="0" w:lineRule="atLeast"/>
              <w:jc w:val="center"/>
              <w:rPr>
                <w:rFonts w:hint="eastAsia" w:ascii="宋体" w:hAnsi="宋体" w:eastAsia="宋体" w:cs="Times New Roman"/>
                <w:color w:val="000000"/>
                <w:sz w:val="24"/>
                <w:szCs w:val="24"/>
                <w:highlight w:val="none"/>
              </w:rPr>
            </w:pPr>
          </w:p>
        </w:tc>
        <w:tc>
          <w:tcPr>
            <w:tcW w:w="1618" w:type="dxa"/>
            <w:noWrap w:val="0"/>
            <w:vAlign w:val="center"/>
          </w:tcPr>
          <w:p w14:paraId="2ABE2DA4">
            <w:pPr>
              <w:spacing w:line="0" w:lineRule="atLeast"/>
              <w:jc w:val="center"/>
              <w:rPr>
                <w:rFonts w:hint="eastAsia" w:ascii="宋体" w:hAnsi="宋体" w:eastAsia="宋体" w:cs="Times New Roman"/>
                <w:color w:val="000000"/>
                <w:sz w:val="24"/>
                <w:szCs w:val="24"/>
                <w:highlight w:val="none"/>
              </w:rPr>
            </w:pPr>
          </w:p>
        </w:tc>
        <w:tc>
          <w:tcPr>
            <w:tcW w:w="1798" w:type="dxa"/>
            <w:noWrap w:val="0"/>
            <w:vAlign w:val="center"/>
          </w:tcPr>
          <w:p w14:paraId="30B8BED3">
            <w:pPr>
              <w:spacing w:line="0" w:lineRule="atLeast"/>
              <w:jc w:val="center"/>
              <w:rPr>
                <w:rFonts w:hint="eastAsia" w:ascii="宋体" w:hAnsi="宋体" w:eastAsia="宋体" w:cs="Times New Roman"/>
                <w:color w:val="000000"/>
                <w:sz w:val="24"/>
                <w:szCs w:val="24"/>
                <w:highlight w:val="none"/>
              </w:rPr>
            </w:pPr>
          </w:p>
        </w:tc>
      </w:tr>
      <w:tr w14:paraId="4C3BC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4" w:hRule="atLeast"/>
        </w:trPr>
        <w:tc>
          <w:tcPr>
            <w:tcW w:w="948" w:type="dxa"/>
            <w:noWrap w:val="0"/>
            <w:vAlign w:val="center"/>
          </w:tcPr>
          <w:p w14:paraId="0649BC1C">
            <w:pPr>
              <w:spacing w:line="0" w:lineRule="atLeast"/>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2</w:t>
            </w:r>
          </w:p>
        </w:tc>
        <w:tc>
          <w:tcPr>
            <w:tcW w:w="1274" w:type="dxa"/>
            <w:noWrap w:val="0"/>
            <w:vAlign w:val="center"/>
          </w:tcPr>
          <w:p w14:paraId="60D5D656">
            <w:pPr>
              <w:spacing w:line="0" w:lineRule="atLeast"/>
              <w:jc w:val="center"/>
              <w:rPr>
                <w:rFonts w:hint="eastAsia" w:ascii="宋体" w:hAnsi="宋体" w:eastAsia="宋体" w:cs="Times New Roman"/>
                <w:color w:val="000000"/>
                <w:sz w:val="24"/>
                <w:szCs w:val="24"/>
                <w:highlight w:val="none"/>
              </w:rPr>
            </w:pPr>
          </w:p>
        </w:tc>
        <w:tc>
          <w:tcPr>
            <w:tcW w:w="1288" w:type="dxa"/>
            <w:noWrap w:val="0"/>
            <w:vAlign w:val="center"/>
          </w:tcPr>
          <w:p w14:paraId="0A3B31C5">
            <w:pPr>
              <w:spacing w:line="0" w:lineRule="atLeast"/>
              <w:jc w:val="center"/>
              <w:rPr>
                <w:rFonts w:hint="eastAsia" w:ascii="宋体" w:hAnsi="宋体" w:eastAsia="宋体" w:cs="Times New Roman"/>
                <w:color w:val="000000"/>
                <w:sz w:val="24"/>
                <w:szCs w:val="24"/>
                <w:highlight w:val="none"/>
              </w:rPr>
            </w:pPr>
          </w:p>
        </w:tc>
        <w:tc>
          <w:tcPr>
            <w:tcW w:w="924" w:type="dxa"/>
            <w:noWrap w:val="0"/>
            <w:vAlign w:val="center"/>
          </w:tcPr>
          <w:p w14:paraId="342AFD24">
            <w:pPr>
              <w:spacing w:line="0" w:lineRule="atLeast"/>
              <w:jc w:val="center"/>
              <w:rPr>
                <w:rFonts w:hint="eastAsia" w:ascii="宋体" w:hAnsi="宋体" w:eastAsia="宋体" w:cs="Times New Roman"/>
                <w:color w:val="000000"/>
                <w:sz w:val="24"/>
                <w:szCs w:val="24"/>
                <w:highlight w:val="none"/>
              </w:rPr>
            </w:pPr>
          </w:p>
        </w:tc>
        <w:tc>
          <w:tcPr>
            <w:tcW w:w="1203" w:type="dxa"/>
            <w:noWrap w:val="0"/>
            <w:vAlign w:val="center"/>
          </w:tcPr>
          <w:p w14:paraId="75803F91">
            <w:pPr>
              <w:spacing w:line="0" w:lineRule="atLeast"/>
              <w:jc w:val="center"/>
              <w:rPr>
                <w:rFonts w:hint="eastAsia" w:ascii="宋体" w:hAnsi="宋体" w:eastAsia="宋体" w:cs="Times New Roman"/>
                <w:color w:val="000000"/>
                <w:sz w:val="24"/>
                <w:szCs w:val="24"/>
                <w:highlight w:val="none"/>
              </w:rPr>
            </w:pPr>
          </w:p>
        </w:tc>
        <w:tc>
          <w:tcPr>
            <w:tcW w:w="1618" w:type="dxa"/>
            <w:noWrap w:val="0"/>
            <w:vAlign w:val="center"/>
          </w:tcPr>
          <w:p w14:paraId="62DAB37D">
            <w:pPr>
              <w:spacing w:line="0" w:lineRule="atLeast"/>
              <w:jc w:val="center"/>
              <w:rPr>
                <w:rFonts w:hint="eastAsia" w:ascii="宋体" w:hAnsi="宋体" w:eastAsia="宋体" w:cs="Times New Roman"/>
                <w:color w:val="000000"/>
                <w:sz w:val="24"/>
                <w:szCs w:val="24"/>
                <w:highlight w:val="none"/>
              </w:rPr>
            </w:pPr>
          </w:p>
        </w:tc>
        <w:tc>
          <w:tcPr>
            <w:tcW w:w="1798" w:type="dxa"/>
            <w:noWrap w:val="0"/>
            <w:vAlign w:val="center"/>
          </w:tcPr>
          <w:p w14:paraId="69A02522">
            <w:pPr>
              <w:spacing w:line="0" w:lineRule="atLeast"/>
              <w:jc w:val="center"/>
              <w:rPr>
                <w:rFonts w:hint="eastAsia" w:ascii="宋体" w:hAnsi="宋体" w:eastAsia="宋体" w:cs="Times New Roman"/>
                <w:color w:val="000000"/>
                <w:sz w:val="24"/>
                <w:szCs w:val="24"/>
                <w:highlight w:val="none"/>
              </w:rPr>
            </w:pPr>
          </w:p>
        </w:tc>
      </w:tr>
      <w:tr w14:paraId="21FCE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4" w:hRule="atLeast"/>
        </w:trPr>
        <w:tc>
          <w:tcPr>
            <w:tcW w:w="948" w:type="dxa"/>
            <w:noWrap w:val="0"/>
            <w:vAlign w:val="center"/>
          </w:tcPr>
          <w:p w14:paraId="3DA2697E">
            <w:pPr>
              <w:spacing w:line="0" w:lineRule="atLeast"/>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3</w:t>
            </w:r>
          </w:p>
        </w:tc>
        <w:tc>
          <w:tcPr>
            <w:tcW w:w="1274" w:type="dxa"/>
            <w:noWrap w:val="0"/>
            <w:vAlign w:val="center"/>
          </w:tcPr>
          <w:p w14:paraId="0BF26D11">
            <w:pPr>
              <w:spacing w:line="0" w:lineRule="atLeast"/>
              <w:jc w:val="center"/>
              <w:rPr>
                <w:rFonts w:hint="eastAsia" w:ascii="宋体" w:hAnsi="宋体" w:eastAsia="宋体" w:cs="Times New Roman"/>
                <w:color w:val="000000"/>
                <w:sz w:val="24"/>
                <w:szCs w:val="24"/>
                <w:highlight w:val="none"/>
              </w:rPr>
            </w:pPr>
          </w:p>
        </w:tc>
        <w:tc>
          <w:tcPr>
            <w:tcW w:w="1288" w:type="dxa"/>
            <w:noWrap w:val="0"/>
            <w:vAlign w:val="center"/>
          </w:tcPr>
          <w:p w14:paraId="3E58320A">
            <w:pPr>
              <w:spacing w:line="0" w:lineRule="atLeast"/>
              <w:jc w:val="center"/>
              <w:rPr>
                <w:rFonts w:hint="eastAsia" w:ascii="宋体" w:hAnsi="宋体" w:eastAsia="宋体" w:cs="Times New Roman"/>
                <w:color w:val="000000"/>
                <w:sz w:val="24"/>
                <w:szCs w:val="24"/>
                <w:highlight w:val="none"/>
              </w:rPr>
            </w:pPr>
          </w:p>
        </w:tc>
        <w:tc>
          <w:tcPr>
            <w:tcW w:w="924" w:type="dxa"/>
            <w:noWrap w:val="0"/>
            <w:vAlign w:val="center"/>
          </w:tcPr>
          <w:p w14:paraId="3582368F">
            <w:pPr>
              <w:spacing w:line="0" w:lineRule="atLeast"/>
              <w:jc w:val="center"/>
              <w:rPr>
                <w:rFonts w:hint="eastAsia" w:ascii="宋体" w:hAnsi="宋体" w:eastAsia="宋体" w:cs="Times New Roman"/>
                <w:color w:val="000000"/>
                <w:sz w:val="24"/>
                <w:szCs w:val="24"/>
                <w:highlight w:val="none"/>
              </w:rPr>
            </w:pPr>
          </w:p>
        </w:tc>
        <w:tc>
          <w:tcPr>
            <w:tcW w:w="1203" w:type="dxa"/>
            <w:noWrap w:val="0"/>
            <w:vAlign w:val="center"/>
          </w:tcPr>
          <w:p w14:paraId="114D0C8B">
            <w:pPr>
              <w:spacing w:line="0" w:lineRule="atLeast"/>
              <w:jc w:val="center"/>
              <w:rPr>
                <w:rFonts w:hint="eastAsia" w:ascii="宋体" w:hAnsi="宋体" w:eastAsia="宋体" w:cs="Times New Roman"/>
                <w:color w:val="000000"/>
                <w:sz w:val="24"/>
                <w:szCs w:val="24"/>
                <w:highlight w:val="none"/>
              </w:rPr>
            </w:pPr>
          </w:p>
        </w:tc>
        <w:tc>
          <w:tcPr>
            <w:tcW w:w="1618" w:type="dxa"/>
            <w:noWrap w:val="0"/>
            <w:vAlign w:val="center"/>
          </w:tcPr>
          <w:p w14:paraId="3B4978C8">
            <w:pPr>
              <w:spacing w:line="0" w:lineRule="atLeast"/>
              <w:jc w:val="center"/>
              <w:rPr>
                <w:rFonts w:hint="eastAsia" w:ascii="宋体" w:hAnsi="宋体" w:eastAsia="宋体" w:cs="Times New Roman"/>
                <w:color w:val="000000"/>
                <w:sz w:val="24"/>
                <w:szCs w:val="24"/>
                <w:highlight w:val="none"/>
              </w:rPr>
            </w:pPr>
          </w:p>
        </w:tc>
        <w:tc>
          <w:tcPr>
            <w:tcW w:w="1798" w:type="dxa"/>
            <w:noWrap w:val="0"/>
            <w:vAlign w:val="center"/>
          </w:tcPr>
          <w:p w14:paraId="31898D10">
            <w:pPr>
              <w:spacing w:line="0" w:lineRule="atLeast"/>
              <w:jc w:val="center"/>
              <w:rPr>
                <w:rFonts w:hint="eastAsia" w:ascii="宋体" w:hAnsi="宋体" w:eastAsia="宋体" w:cs="Times New Roman"/>
                <w:color w:val="000000"/>
                <w:sz w:val="24"/>
                <w:szCs w:val="24"/>
                <w:highlight w:val="none"/>
              </w:rPr>
            </w:pPr>
          </w:p>
        </w:tc>
      </w:tr>
      <w:tr w14:paraId="098ED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4" w:hRule="atLeast"/>
        </w:trPr>
        <w:tc>
          <w:tcPr>
            <w:tcW w:w="948" w:type="dxa"/>
            <w:noWrap w:val="0"/>
            <w:vAlign w:val="center"/>
          </w:tcPr>
          <w:p w14:paraId="40650D63">
            <w:pPr>
              <w:spacing w:line="0" w:lineRule="atLeast"/>
              <w:jc w:val="center"/>
              <w:rPr>
                <w:rFonts w:hint="eastAsia"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w:t>
            </w:r>
          </w:p>
        </w:tc>
        <w:tc>
          <w:tcPr>
            <w:tcW w:w="1274" w:type="dxa"/>
            <w:noWrap w:val="0"/>
            <w:vAlign w:val="center"/>
          </w:tcPr>
          <w:p w14:paraId="30C092DE">
            <w:pPr>
              <w:spacing w:line="0" w:lineRule="atLeast"/>
              <w:jc w:val="center"/>
              <w:rPr>
                <w:rFonts w:hint="eastAsia"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w:t>
            </w:r>
          </w:p>
        </w:tc>
        <w:tc>
          <w:tcPr>
            <w:tcW w:w="1288" w:type="dxa"/>
            <w:noWrap w:val="0"/>
            <w:vAlign w:val="center"/>
          </w:tcPr>
          <w:p w14:paraId="6D57F777">
            <w:pPr>
              <w:spacing w:line="0" w:lineRule="atLeast"/>
              <w:jc w:val="center"/>
              <w:rPr>
                <w:rFonts w:hint="eastAsia" w:ascii="宋体" w:hAnsi="宋体" w:eastAsia="宋体" w:cs="Times New Roman"/>
                <w:color w:val="000000"/>
                <w:sz w:val="24"/>
                <w:szCs w:val="24"/>
                <w:highlight w:val="none"/>
              </w:rPr>
            </w:pPr>
          </w:p>
        </w:tc>
        <w:tc>
          <w:tcPr>
            <w:tcW w:w="924" w:type="dxa"/>
            <w:noWrap w:val="0"/>
            <w:vAlign w:val="center"/>
          </w:tcPr>
          <w:p w14:paraId="1DE23E64">
            <w:pPr>
              <w:spacing w:line="0" w:lineRule="atLeast"/>
              <w:jc w:val="center"/>
              <w:rPr>
                <w:rFonts w:hint="eastAsia" w:ascii="宋体" w:hAnsi="宋体" w:eastAsia="宋体" w:cs="Times New Roman"/>
                <w:color w:val="000000"/>
                <w:sz w:val="24"/>
                <w:szCs w:val="24"/>
                <w:highlight w:val="none"/>
              </w:rPr>
            </w:pPr>
          </w:p>
        </w:tc>
        <w:tc>
          <w:tcPr>
            <w:tcW w:w="1203" w:type="dxa"/>
            <w:noWrap w:val="0"/>
            <w:vAlign w:val="center"/>
          </w:tcPr>
          <w:p w14:paraId="6E1668C8">
            <w:pPr>
              <w:spacing w:line="0" w:lineRule="atLeast"/>
              <w:jc w:val="center"/>
              <w:rPr>
                <w:rFonts w:hint="eastAsia" w:ascii="宋体" w:hAnsi="宋体" w:eastAsia="宋体" w:cs="Times New Roman"/>
                <w:color w:val="000000"/>
                <w:sz w:val="24"/>
                <w:szCs w:val="24"/>
                <w:highlight w:val="none"/>
              </w:rPr>
            </w:pPr>
          </w:p>
        </w:tc>
        <w:tc>
          <w:tcPr>
            <w:tcW w:w="1618" w:type="dxa"/>
            <w:noWrap w:val="0"/>
            <w:vAlign w:val="center"/>
          </w:tcPr>
          <w:p w14:paraId="181EBAB2">
            <w:pPr>
              <w:spacing w:line="0" w:lineRule="atLeast"/>
              <w:jc w:val="center"/>
              <w:rPr>
                <w:rFonts w:hint="eastAsia" w:ascii="宋体" w:hAnsi="宋体" w:eastAsia="宋体" w:cs="Times New Roman"/>
                <w:color w:val="000000"/>
                <w:sz w:val="24"/>
                <w:szCs w:val="24"/>
                <w:highlight w:val="none"/>
              </w:rPr>
            </w:pPr>
          </w:p>
        </w:tc>
        <w:tc>
          <w:tcPr>
            <w:tcW w:w="1798" w:type="dxa"/>
            <w:noWrap w:val="0"/>
            <w:vAlign w:val="center"/>
          </w:tcPr>
          <w:p w14:paraId="585D0EDC">
            <w:pPr>
              <w:spacing w:line="0" w:lineRule="atLeast"/>
              <w:jc w:val="center"/>
              <w:rPr>
                <w:rFonts w:hint="eastAsia" w:ascii="宋体" w:hAnsi="宋体" w:eastAsia="宋体" w:cs="Times New Roman"/>
                <w:color w:val="000000"/>
                <w:sz w:val="24"/>
                <w:szCs w:val="24"/>
                <w:highlight w:val="none"/>
              </w:rPr>
            </w:pPr>
          </w:p>
        </w:tc>
      </w:tr>
      <w:tr w14:paraId="2F1A2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7" w:hRule="atLeast"/>
        </w:trPr>
        <w:tc>
          <w:tcPr>
            <w:tcW w:w="7255" w:type="dxa"/>
            <w:gridSpan w:val="6"/>
            <w:noWrap w:val="0"/>
            <w:vAlign w:val="center"/>
          </w:tcPr>
          <w:p w14:paraId="286BC78D">
            <w:pPr>
              <w:spacing w:line="0" w:lineRule="atLeast"/>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投标总报价（人民币：元）</w:t>
            </w:r>
          </w:p>
        </w:tc>
        <w:tc>
          <w:tcPr>
            <w:tcW w:w="1798" w:type="dxa"/>
            <w:noWrap w:val="0"/>
            <w:vAlign w:val="top"/>
          </w:tcPr>
          <w:p w14:paraId="4E6010CD">
            <w:pPr>
              <w:spacing w:line="0" w:lineRule="atLeast"/>
              <w:rPr>
                <w:rFonts w:hint="eastAsia" w:ascii="宋体" w:hAnsi="宋体" w:eastAsia="宋体" w:cs="Times New Roman"/>
                <w:color w:val="000000"/>
                <w:sz w:val="24"/>
                <w:szCs w:val="24"/>
                <w:highlight w:val="none"/>
              </w:rPr>
            </w:pPr>
          </w:p>
        </w:tc>
      </w:tr>
    </w:tbl>
    <w:p w14:paraId="7A4C1202">
      <w:pPr>
        <w:rPr>
          <w:rFonts w:hint="eastAsia" w:ascii="Times New Roman" w:hAnsi="Times New Roman" w:eastAsia="宋体" w:cs="Times New Roman"/>
          <w:caps w:val="0"/>
          <w:color w:val="000000"/>
          <w:sz w:val="24"/>
          <w:szCs w:val="24"/>
          <w:highlight w:val="none"/>
        </w:rPr>
      </w:pPr>
      <w:r>
        <w:rPr>
          <w:rFonts w:hint="eastAsia" w:ascii="Times New Roman" w:hAnsi="Times New Roman" w:eastAsia="宋体" w:cs="Times New Roman"/>
          <w:caps w:val="0"/>
          <w:color w:val="000000"/>
          <w:sz w:val="24"/>
          <w:szCs w:val="24"/>
          <w:highlight w:val="none"/>
        </w:rPr>
        <w:t>备注：1.“投标总报价”应包括采购人需求的服务（包含与服务相关的货物）价格、质量保证费用、培训费用等，项目在指定地点、环境交付、安装、调试、验收所需费用和所有相关税金费用及为完成整个项目所产生的</w:t>
      </w:r>
      <w:r>
        <w:rPr>
          <w:rFonts w:hint="eastAsia" w:ascii="Times New Roman" w:hAnsi="Times New Roman" w:cs="Times New Roman"/>
          <w:caps w:val="0"/>
          <w:color w:val="000000"/>
          <w:sz w:val="24"/>
          <w:szCs w:val="24"/>
          <w:highlight w:val="none"/>
          <w:lang w:eastAsia="zh-CN"/>
        </w:rPr>
        <w:t>其他所有</w:t>
      </w:r>
      <w:r>
        <w:rPr>
          <w:rFonts w:hint="eastAsia" w:ascii="Times New Roman" w:hAnsi="Times New Roman" w:eastAsia="宋体" w:cs="Times New Roman"/>
          <w:caps w:val="0"/>
          <w:color w:val="000000"/>
          <w:sz w:val="24"/>
          <w:szCs w:val="24"/>
          <w:highlight w:val="none"/>
        </w:rPr>
        <w:t>费用，招标文件另有规定的除外。</w:t>
      </w:r>
    </w:p>
    <w:p w14:paraId="5CCE43FC">
      <w:pPr>
        <w:rPr>
          <w:rFonts w:hint="eastAsia" w:ascii="Times New Roman" w:hAnsi="Times New Roman" w:eastAsia="宋体" w:cs="Times New Roman"/>
          <w:caps w:val="0"/>
          <w:color w:val="000000"/>
          <w:sz w:val="24"/>
          <w:szCs w:val="24"/>
          <w:highlight w:val="none"/>
        </w:rPr>
      </w:pPr>
      <w:r>
        <w:rPr>
          <w:rFonts w:hint="eastAsia" w:ascii="Times New Roman" w:hAnsi="Times New Roman" w:eastAsia="宋体" w:cs="Times New Roman"/>
          <w:caps w:val="0"/>
          <w:color w:val="000000"/>
          <w:sz w:val="24"/>
          <w:szCs w:val="24"/>
          <w:highlight w:val="none"/>
          <w:lang w:val="en-US" w:eastAsia="zh-CN"/>
        </w:rPr>
        <w:t>2</w:t>
      </w:r>
      <w:r>
        <w:rPr>
          <w:rFonts w:hint="eastAsia" w:ascii="Times New Roman" w:hAnsi="Times New Roman" w:eastAsia="宋体" w:cs="Times New Roman"/>
          <w:caps w:val="0"/>
          <w:color w:val="000000"/>
          <w:sz w:val="24"/>
          <w:szCs w:val="24"/>
          <w:highlight w:val="none"/>
        </w:rPr>
        <w:t>. “投标分项报价表”中“投标总报价”数额应当与“开标一览表”中“投标总报价”数额一致。</w:t>
      </w:r>
    </w:p>
    <w:p w14:paraId="6724E79E">
      <w:pPr>
        <w:pStyle w:val="337"/>
        <w:jc w:val="center"/>
        <w:rPr>
          <w:rFonts w:ascii="Times New Roman" w:hAnsi="Times New Roman" w:eastAsia="宋体" w:cs="宋体"/>
          <w:b/>
          <w:bCs/>
          <w:caps w:val="0"/>
          <w:strike/>
          <w:color w:val="000000"/>
          <w:sz w:val="32"/>
          <w:szCs w:val="32"/>
          <w:highlight w:val="none"/>
          <w:lang w:val="en-US" w:eastAsia="zh-CN" w:bidi="ar-SA"/>
        </w:rPr>
      </w:pPr>
    </w:p>
    <w:p w14:paraId="3A1B4358">
      <w:pPr>
        <w:pStyle w:val="337"/>
        <w:jc w:val="center"/>
        <w:rPr>
          <w:rFonts w:ascii="Times New Roman" w:hAnsi="Times New Roman" w:eastAsia="宋体" w:cs="宋体"/>
          <w:b/>
          <w:bCs/>
          <w:caps w:val="0"/>
          <w:strike/>
          <w:color w:val="000000"/>
          <w:sz w:val="32"/>
          <w:szCs w:val="32"/>
          <w:highlight w:val="none"/>
          <w:lang w:val="en-US" w:eastAsia="zh-CN" w:bidi="ar-SA"/>
        </w:rPr>
      </w:pPr>
    </w:p>
    <w:p w14:paraId="24D36207">
      <w:pPr>
        <w:pStyle w:val="337"/>
        <w:jc w:val="center"/>
        <w:rPr>
          <w:rFonts w:ascii="Times New Roman" w:hAnsi="Times New Roman" w:eastAsia="宋体" w:cs="宋体"/>
          <w:b/>
          <w:bCs/>
          <w:caps w:val="0"/>
          <w:strike/>
          <w:color w:val="000000"/>
          <w:sz w:val="32"/>
          <w:szCs w:val="32"/>
          <w:highlight w:val="none"/>
          <w:lang w:val="en-US" w:eastAsia="zh-CN" w:bidi="ar-SA"/>
        </w:rPr>
      </w:pPr>
    </w:p>
    <w:p w14:paraId="7077FA08">
      <w:pPr>
        <w:pStyle w:val="337"/>
        <w:jc w:val="center"/>
        <w:rPr>
          <w:rFonts w:ascii="Times New Roman" w:hAnsi="Times New Roman" w:eastAsia="宋体" w:cs="宋体"/>
          <w:b/>
          <w:bCs/>
          <w:caps w:val="0"/>
          <w:strike/>
          <w:color w:val="000000"/>
          <w:sz w:val="32"/>
          <w:szCs w:val="32"/>
          <w:highlight w:val="none"/>
          <w:lang w:val="en-US" w:eastAsia="zh-CN" w:bidi="ar-SA"/>
        </w:rPr>
      </w:pPr>
    </w:p>
    <w:p w14:paraId="0B3C80B5">
      <w:pPr>
        <w:pStyle w:val="337"/>
        <w:jc w:val="center"/>
        <w:rPr>
          <w:rFonts w:ascii="Times New Roman" w:hAnsi="Times New Roman" w:eastAsia="宋体" w:cs="宋体"/>
          <w:b/>
          <w:bCs/>
          <w:caps w:val="0"/>
          <w:strike/>
          <w:color w:val="000000"/>
          <w:sz w:val="32"/>
          <w:szCs w:val="32"/>
          <w:highlight w:val="none"/>
          <w:lang w:val="en-US" w:eastAsia="zh-CN" w:bidi="ar-SA"/>
        </w:rPr>
      </w:pPr>
    </w:p>
    <w:p w14:paraId="29904E38">
      <w:pPr>
        <w:pStyle w:val="337"/>
        <w:jc w:val="center"/>
        <w:rPr>
          <w:rFonts w:ascii="Times New Roman" w:hAnsi="Times New Roman" w:eastAsia="宋体" w:cs="宋体"/>
          <w:b/>
          <w:bCs/>
          <w:caps w:val="0"/>
          <w:strike/>
          <w:color w:val="000000"/>
          <w:sz w:val="32"/>
          <w:szCs w:val="32"/>
          <w:highlight w:val="none"/>
          <w:lang w:val="en-US" w:eastAsia="zh-CN" w:bidi="ar-SA"/>
        </w:rPr>
      </w:pPr>
    </w:p>
    <w:p w14:paraId="0A1DC666">
      <w:pPr>
        <w:pStyle w:val="337"/>
        <w:jc w:val="center"/>
        <w:rPr>
          <w:rFonts w:ascii="Times New Roman" w:hAnsi="Times New Roman" w:eastAsia="宋体" w:cs="宋体"/>
          <w:b/>
          <w:bCs/>
          <w:caps w:val="0"/>
          <w:strike/>
          <w:color w:val="000000"/>
          <w:sz w:val="32"/>
          <w:szCs w:val="32"/>
          <w:highlight w:val="none"/>
          <w:lang w:val="en-US" w:eastAsia="zh-CN" w:bidi="ar-SA"/>
        </w:rPr>
      </w:pPr>
    </w:p>
    <w:p w14:paraId="2E67C5C5">
      <w:pPr>
        <w:pStyle w:val="337"/>
        <w:jc w:val="center"/>
        <w:rPr>
          <w:rFonts w:ascii="Times New Roman" w:hAnsi="Times New Roman" w:eastAsia="宋体" w:cs="宋体"/>
          <w:b/>
          <w:bCs/>
          <w:caps w:val="0"/>
          <w:strike/>
          <w:color w:val="000000"/>
          <w:sz w:val="32"/>
          <w:szCs w:val="32"/>
          <w:highlight w:val="none"/>
          <w:lang w:val="en-US" w:eastAsia="zh-CN" w:bidi="ar-SA"/>
        </w:rPr>
      </w:pPr>
    </w:p>
    <w:p w14:paraId="5A3F09D2">
      <w:pPr>
        <w:pStyle w:val="337"/>
        <w:jc w:val="center"/>
        <w:rPr>
          <w:rFonts w:ascii="Times New Roman" w:hAnsi="Times New Roman" w:eastAsia="宋体" w:cs="宋体"/>
          <w:b/>
          <w:bCs/>
          <w:caps w:val="0"/>
          <w:strike/>
          <w:color w:val="000000"/>
          <w:sz w:val="32"/>
          <w:szCs w:val="32"/>
          <w:highlight w:val="none"/>
          <w:lang w:val="en-US" w:eastAsia="zh-CN" w:bidi="ar-SA"/>
        </w:rPr>
      </w:pPr>
    </w:p>
    <w:p w14:paraId="1041E15A">
      <w:pPr>
        <w:pStyle w:val="337"/>
        <w:jc w:val="center"/>
        <w:rPr>
          <w:rFonts w:ascii="Times New Roman" w:hAnsi="Times New Roman" w:eastAsia="宋体" w:cs="宋体"/>
          <w:b/>
          <w:bCs/>
          <w:caps w:val="0"/>
          <w:strike/>
          <w:color w:val="000000"/>
          <w:sz w:val="32"/>
          <w:szCs w:val="32"/>
          <w:highlight w:val="none"/>
          <w:lang w:val="en-US" w:eastAsia="zh-CN" w:bidi="ar-SA"/>
        </w:rPr>
      </w:pPr>
    </w:p>
    <w:p w14:paraId="47ACE0D0">
      <w:pPr>
        <w:pStyle w:val="337"/>
        <w:jc w:val="center"/>
        <w:rPr>
          <w:rFonts w:ascii="Times New Roman" w:hAnsi="Times New Roman" w:eastAsia="宋体" w:cs="宋体"/>
          <w:b/>
          <w:bCs/>
          <w:caps w:val="0"/>
          <w:strike/>
          <w:color w:val="000000"/>
          <w:sz w:val="32"/>
          <w:szCs w:val="32"/>
          <w:highlight w:val="none"/>
          <w:lang w:val="en-US" w:eastAsia="zh-CN" w:bidi="ar-SA"/>
        </w:rPr>
      </w:pPr>
    </w:p>
    <w:p w14:paraId="7D444411">
      <w:pPr>
        <w:pStyle w:val="337"/>
        <w:jc w:val="center"/>
        <w:rPr>
          <w:rFonts w:ascii="Times New Roman" w:hAnsi="Times New Roman" w:eastAsia="宋体" w:cs="宋体"/>
          <w:b/>
          <w:bCs/>
          <w:caps w:val="0"/>
          <w:strike/>
          <w:color w:val="000000"/>
          <w:sz w:val="32"/>
          <w:szCs w:val="32"/>
          <w:highlight w:val="none"/>
          <w:lang w:val="en-US" w:eastAsia="zh-CN" w:bidi="ar-SA"/>
        </w:rPr>
      </w:pPr>
    </w:p>
    <w:p w14:paraId="17FD21B9">
      <w:pPr>
        <w:pStyle w:val="337"/>
        <w:jc w:val="center"/>
        <w:rPr>
          <w:rFonts w:ascii="Times New Roman" w:hAnsi="Times New Roman" w:eastAsia="宋体" w:cs="宋体"/>
          <w:b/>
          <w:bCs/>
          <w:caps w:val="0"/>
          <w:strike/>
          <w:color w:val="000000"/>
          <w:sz w:val="32"/>
          <w:szCs w:val="32"/>
          <w:highlight w:val="none"/>
          <w:lang w:val="en-US" w:eastAsia="zh-CN" w:bidi="ar-SA"/>
        </w:rPr>
      </w:pPr>
    </w:p>
    <w:p w14:paraId="26196571">
      <w:pPr>
        <w:pStyle w:val="337"/>
        <w:jc w:val="center"/>
        <w:rPr>
          <w:rFonts w:ascii="Times New Roman" w:hAnsi="Times New Roman" w:eastAsia="宋体" w:cs="宋体"/>
          <w:b/>
          <w:bCs/>
          <w:caps w:val="0"/>
          <w:strike/>
          <w:color w:val="000000"/>
          <w:sz w:val="32"/>
          <w:szCs w:val="32"/>
          <w:highlight w:val="none"/>
          <w:lang w:val="en-US" w:eastAsia="zh-CN" w:bidi="ar-SA"/>
        </w:rPr>
      </w:pPr>
    </w:p>
    <w:p w14:paraId="2E792345">
      <w:pPr>
        <w:pStyle w:val="337"/>
        <w:jc w:val="center"/>
        <w:rPr>
          <w:rFonts w:ascii="Times New Roman" w:hAnsi="Times New Roman" w:eastAsia="宋体" w:cs="宋体"/>
          <w:b/>
          <w:bCs/>
          <w:caps w:val="0"/>
          <w:strike/>
          <w:color w:val="000000"/>
          <w:sz w:val="32"/>
          <w:szCs w:val="32"/>
          <w:highlight w:val="none"/>
          <w:lang w:val="en-US" w:eastAsia="zh-CN" w:bidi="ar-SA"/>
        </w:rPr>
      </w:pPr>
    </w:p>
    <w:p w14:paraId="5C62D892">
      <w:pPr>
        <w:pStyle w:val="337"/>
        <w:jc w:val="center"/>
        <w:rPr>
          <w:rFonts w:ascii="Times New Roman" w:hAnsi="Times New Roman" w:eastAsia="宋体" w:cs="宋体"/>
          <w:b/>
          <w:bCs/>
          <w:caps w:val="0"/>
          <w:strike/>
          <w:color w:val="000000"/>
          <w:sz w:val="32"/>
          <w:szCs w:val="32"/>
          <w:highlight w:val="none"/>
          <w:lang w:val="en-US" w:eastAsia="zh-CN" w:bidi="ar-SA"/>
        </w:rPr>
      </w:pPr>
    </w:p>
    <w:p w14:paraId="387E40CD">
      <w:pPr>
        <w:pStyle w:val="337"/>
        <w:jc w:val="center"/>
        <w:rPr>
          <w:rFonts w:ascii="Times New Roman" w:hAnsi="Times New Roman" w:eastAsia="宋体" w:cs="宋体"/>
          <w:b/>
          <w:bCs/>
          <w:caps w:val="0"/>
          <w:strike/>
          <w:color w:val="000000"/>
          <w:sz w:val="32"/>
          <w:szCs w:val="32"/>
          <w:highlight w:val="none"/>
          <w:lang w:val="en-US" w:eastAsia="zh-CN" w:bidi="ar-SA"/>
        </w:rPr>
      </w:pPr>
    </w:p>
    <w:p w14:paraId="23AFC073">
      <w:pPr>
        <w:pStyle w:val="337"/>
        <w:jc w:val="center"/>
        <w:rPr>
          <w:rFonts w:ascii="Times New Roman" w:hAnsi="Times New Roman" w:eastAsia="宋体" w:cs="宋体"/>
          <w:b/>
          <w:bCs/>
          <w:caps w:val="0"/>
          <w:strike/>
          <w:color w:val="000000"/>
          <w:sz w:val="32"/>
          <w:szCs w:val="32"/>
          <w:highlight w:val="none"/>
          <w:lang w:val="en-US" w:eastAsia="zh-CN" w:bidi="ar-SA"/>
        </w:rPr>
      </w:pPr>
    </w:p>
    <w:p w14:paraId="6AEE235C">
      <w:pPr>
        <w:pStyle w:val="337"/>
        <w:jc w:val="center"/>
        <w:rPr>
          <w:rFonts w:ascii="Times New Roman" w:hAnsi="Times New Roman" w:eastAsia="宋体" w:cs="宋体"/>
          <w:b/>
          <w:bCs/>
          <w:caps w:val="0"/>
          <w:strike/>
          <w:color w:val="000000"/>
          <w:sz w:val="32"/>
          <w:szCs w:val="32"/>
          <w:highlight w:val="none"/>
          <w:lang w:val="en-US" w:eastAsia="zh-CN" w:bidi="ar-SA"/>
        </w:rPr>
      </w:pPr>
    </w:p>
    <w:p w14:paraId="5D52F595">
      <w:pPr>
        <w:pStyle w:val="337"/>
        <w:jc w:val="center"/>
        <w:rPr>
          <w:rFonts w:ascii="方正小标宋_GBK" w:eastAsia="方正小标宋_GBK" w:cs="Times New Roman"/>
          <w:bCs/>
          <w:color w:val="000000"/>
          <w:sz w:val="32"/>
          <w:szCs w:val="32"/>
          <w:highlight w:val="none"/>
        </w:rPr>
      </w:pPr>
      <w:r>
        <w:rPr>
          <w:rFonts w:hint="eastAsia" w:ascii="方正小标宋_GBK" w:eastAsia="方正小标宋_GBK" w:cs="Times New Roman"/>
          <w:bCs/>
          <w:color w:val="000000"/>
          <w:sz w:val="32"/>
          <w:szCs w:val="32"/>
          <w:highlight w:val="none"/>
        </w:rPr>
        <w:t>分项报价表</w:t>
      </w:r>
    </w:p>
    <w:p w14:paraId="675FE6AE">
      <w:pPr>
        <w:pStyle w:val="337"/>
        <w:jc w:val="center"/>
        <w:rPr>
          <w:rFonts w:hint="eastAsia" w:eastAsia="宋体" w:cs="Times New Roman"/>
          <w:b/>
          <w:bCs/>
          <w:color w:val="000000"/>
          <w:highlight w:val="none"/>
        </w:rPr>
      </w:pPr>
      <w:r>
        <w:rPr>
          <w:rFonts w:hint="eastAsia" w:ascii="方正小标宋_GBK" w:eastAsia="方正小标宋_GBK" w:cs="Times New Roman"/>
          <w:bCs/>
          <w:color w:val="000000"/>
          <w:sz w:val="32"/>
          <w:szCs w:val="32"/>
          <w:highlight w:val="none"/>
        </w:rPr>
        <w:t>（货物类）</w:t>
      </w:r>
    </w:p>
    <w:tbl>
      <w:tblPr>
        <w:tblStyle w:val="31"/>
        <w:tblW w:w="963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2"/>
        <w:gridCol w:w="993"/>
        <w:gridCol w:w="768"/>
        <w:gridCol w:w="880"/>
        <w:gridCol w:w="132"/>
        <w:gridCol w:w="1526"/>
        <w:gridCol w:w="1164"/>
        <w:gridCol w:w="771"/>
        <w:gridCol w:w="978"/>
        <w:gridCol w:w="880"/>
        <w:gridCol w:w="1072"/>
      </w:tblGrid>
      <w:tr w14:paraId="05E23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98" w:hRule="atLeast"/>
        </w:trPr>
        <w:tc>
          <w:tcPr>
            <w:tcW w:w="472" w:type="dxa"/>
            <w:noWrap w:val="0"/>
            <w:vAlign w:val="top"/>
          </w:tcPr>
          <w:p w14:paraId="40BFC5A7">
            <w:pPr>
              <w:spacing w:line="0" w:lineRule="atLeast"/>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序号</w:t>
            </w:r>
          </w:p>
        </w:tc>
        <w:tc>
          <w:tcPr>
            <w:tcW w:w="993" w:type="dxa"/>
            <w:noWrap w:val="0"/>
            <w:vAlign w:val="center"/>
          </w:tcPr>
          <w:p w14:paraId="4989AA65">
            <w:pPr>
              <w:spacing w:line="0" w:lineRule="atLeast"/>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产品</w:t>
            </w:r>
          </w:p>
          <w:p w14:paraId="477BBAC9">
            <w:pPr>
              <w:spacing w:line="0" w:lineRule="atLeast"/>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名称</w:t>
            </w:r>
          </w:p>
        </w:tc>
        <w:tc>
          <w:tcPr>
            <w:tcW w:w="768" w:type="dxa"/>
            <w:noWrap w:val="0"/>
            <w:vAlign w:val="center"/>
          </w:tcPr>
          <w:p w14:paraId="5C92EDAF">
            <w:pPr>
              <w:spacing w:line="0" w:lineRule="atLeast"/>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品牌</w:t>
            </w:r>
          </w:p>
        </w:tc>
        <w:tc>
          <w:tcPr>
            <w:tcW w:w="1012" w:type="dxa"/>
            <w:gridSpan w:val="2"/>
            <w:noWrap w:val="0"/>
            <w:vAlign w:val="center"/>
          </w:tcPr>
          <w:p w14:paraId="16C6B2DC">
            <w:pPr>
              <w:spacing w:line="0" w:lineRule="atLeast"/>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规格</w:t>
            </w:r>
          </w:p>
          <w:p w14:paraId="1110950F">
            <w:pPr>
              <w:spacing w:line="0" w:lineRule="atLeast"/>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型号</w:t>
            </w:r>
          </w:p>
        </w:tc>
        <w:tc>
          <w:tcPr>
            <w:tcW w:w="1526" w:type="dxa"/>
            <w:noWrap w:val="0"/>
            <w:vAlign w:val="center"/>
          </w:tcPr>
          <w:p w14:paraId="580A5CF2">
            <w:pPr>
              <w:spacing w:line="0" w:lineRule="atLeast"/>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制造商名称</w:t>
            </w:r>
          </w:p>
        </w:tc>
        <w:tc>
          <w:tcPr>
            <w:tcW w:w="1164" w:type="dxa"/>
            <w:noWrap w:val="0"/>
            <w:vAlign w:val="center"/>
          </w:tcPr>
          <w:p w14:paraId="552A9289">
            <w:pPr>
              <w:spacing w:line="0" w:lineRule="atLeast"/>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产地</w:t>
            </w:r>
          </w:p>
        </w:tc>
        <w:tc>
          <w:tcPr>
            <w:tcW w:w="771" w:type="dxa"/>
            <w:noWrap w:val="0"/>
            <w:vAlign w:val="center"/>
          </w:tcPr>
          <w:p w14:paraId="27129B1D">
            <w:pPr>
              <w:spacing w:line="0" w:lineRule="atLeast"/>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数量</w:t>
            </w:r>
          </w:p>
        </w:tc>
        <w:tc>
          <w:tcPr>
            <w:tcW w:w="978" w:type="dxa"/>
            <w:noWrap w:val="0"/>
            <w:vAlign w:val="center"/>
          </w:tcPr>
          <w:p w14:paraId="1B373FD6">
            <w:pPr>
              <w:spacing w:line="0" w:lineRule="atLeast"/>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8"/>
                <w:szCs w:val="28"/>
                <w:highlight w:val="none"/>
                <w:lang w:eastAsia="zh-CN"/>
              </w:rPr>
              <w:t>单位</w:t>
            </w:r>
          </w:p>
        </w:tc>
        <w:tc>
          <w:tcPr>
            <w:tcW w:w="880" w:type="dxa"/>
            <w:noWrap w:val="0"/>
            <w:vAlign w:val="center"/>
          </w:tcPr>
          <w:p w14:paraId="50E9ECCD">
            <w:pPr>
              <w:spacing w:line="0" w:lineRule="atLeast"/>
              <w:jc w:val="center"/>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分项</w:t>
            </w:r>
          </w:p>
          <w:p w14:paraId="139244B5">
            <w:pPr>
              <w:spacing w:line="0" w:lineRule="atLeast"/>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单价</w:t>
            </w:r>
          </w:p>
        </w:tc>
        <w:tc>
          <w:tcPr>
            <w:tcW w:w="1072" w:type="dxa"/>
            <w:noWrap w:val="0"/>
            <w:vAlign w:val="center"/>
          </w:tcPr>
          <w:p w14:paraId="41CEAFBB">
            <w:pPr>
              <w:spacing w:line="0" w:lineRule="atLeast"/>
              <w:jc w:val="center"/>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分项</w:t>
            </w:r>
          </w:p>
          <w:p w14:paraId="7EAB04C0">
            <w:pPr>
              <w:spacing w:line="0" w:lineRule="atLeast"/>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总价</w:t>
            </w:r>
          </w:p>
        </w:tc>
      </w:tr>
      <w:tr w14:paraId="21D02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1" w:hRule="atLeast"/>
        </w:trPr>
        <w:tc>
          <w:tcPr>
            <w:tcW w:w="472" w:type="dxa"/>
            <w:noWrap w:val="0"/>
            <w:vAlign w:val="center"/>
          </w:tcPr>
          <w:p w14:paraId="4E991251">
            <w:pPr>
              <w:spacing w:line="0" w:lineRule="atLeast"/>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1</w:t>
            </w:r>
          </w:p>
        </w:tc>
        <w:tc>
          <w:tcPr>
            <w:tcW w:w="993" w:type="dxa"/>
            <w:noWrap w:val="0"/>
            <w:vAlign w:val="center"/>
          </w:tcPr>
          <w:p w14:paraId="2C4C2603">
            <w:pPr>
              <w:spacing w:line="0" w:lineRule="atLeast"/>
              <w:jc w:val="center"/>
              <w:rPr>
                <w:rFonts w:hint="eastAsia" w:ascii="宋体" w:hAnsi="宋体" w:eastAsia="宋体" w:cs="Times New Roman"/>
                <w:color w:val="000000"/>
                <w:sz w:val="24"/>
                <w:szCs w:val="24"/>
                <w:highlight w:val="none"/>
              </w:rPr>
            </w:pPr>
          </w:p>
        </w:tc>
        <w:tc>
          <w:tcPr>
            <w:tcW w:w="768" w:type="dxa"/>
            <w:noWrap w:val="0"/>
            <w:vAlign w:val="center"/>
          </w:tcPr>
          <w:p w14:paraId="3A908071">
            <w:pPr>
              <w:spacing w:line="0" w:lineRule="atLeast"/>
              <w:jc w:val="center"/>
              <w:rPr>
                <w:rFonts w:hint="eastAsia" w:ascii="宋体" w:hAnsi="宋体" w:eastAsia="宋体" w:cs="Times New Roman"/>
                <w:color w:val="000000"/>
                <w:sz w:val="24"/>
                <w:szCs w:val="24"/>
                <w:highlight w:val="none"/>
              </w:rPr>
            </w:pPr>
          </w:p>
        </w:tc>
        <w:tc>
          <w:tcPr>
            <w:tcW w:w="1012" w:type="dxa"/>
            <w:gridSpan w:val="2"/>
            <w:noWrap w:val="0"/>
            <w:vAlign w:val="center"/>
          </w:tcPr>
          <w:p w14:paraId="7509AD0D">
            <w:pPr>
              <w:spacing w:line="0" w:lineRule="atLeast"/>
              <w:jc w:val="center"/>
              <w:rPr>
                <w:rFonts w:hint="eastAsia" w:ascii="宋体" w:hAnsi="宋体" w:eastAsia="宋体" w:cs="Times New Roman"/>
                <w:color w:val="000000"/>
                <w:sz w:val="24"/>
                <w:szCs w:val="24"/>
                <w:highlight w:val="none"/>
              </w:rPr>
            </w:pPr>
          </w:p>
        </w:tc>
        <w:tc>
          <w:tcPr>
            <w:tcW w:w="1526" w:type="dxa"/>
            <w:noWrap w:val="0"/>
            <w:vAlign w:val="center"/>
          </w:tcPr>
          <w:p w14:paraId="4AF260ED">
            <w:pPr>
              <w:spacing w:line="0" w:lineRule="atLeast"/>
              <w:jc w:val="center"/>
              <w:rPr>
                <w:rFonts w:hint="eastAsia" w:ascii="宋体" w:hAnsi="宋体" w:eastAsia="宋体" w:cs="Times New Roman"/>
                <w:color w:val="000000"/>
                <w:sz w:val="24"/>
                <w:szCs w:val="24"/>
                <w:highlight w:val="none"/>
              </w:rPr>
            </w:pPr>
          </w:p>
        </w:tc>
        <w:tc>
          <w:tcPr>
            <w:tcW w:w="1164" w:type="dxa"/>
            <w:noWrap w:val="0"/>
            <w:vAlign w:val="center"/>
          </w:tcPr>
          <w:p w14:paraId="79AC6B2D">
            <w:pPr>
              <w:spacing w:line="0" w:lineRule="atLeast"/>
              <w:jc w:val="center"/>
              <w:rPr>
                <w:rFonts w:hint="eastAsia" w:ascii="宋体" w:hAnsi="宋体" w:eastAsia="宋体" w:cs="Times New Roman"/>
                <w:color w:val="000000"/>
                <w:sz w:val="24"/>
                <w:szCs w:val="24"/>
                <w:highlight w:val="none"/>
              </w:rPr>
            </w:pPr>
          </w:p>
        </w:tc>
        <w:tc>
          <w:tcPr>
            <w:tcW w:w="771" w:type="dxa"/>
            <w:noWrap w:val="0"/>
            <w:vAlign w:val="center"/>
          </w:tcPr>
          <w:p w14:paraId="0E4101EF">
            <w:pPr>
              <w:spacing w:line="0" w:lineRule="atLeast"/>
              <w:jc w:val="center"/>
              <w:rPr>
                <w:rFonts w:hint="eastAsia" w:ascii="宋体" w:hAnsi="宋体" w:eastAsia="宋体" w:cs="Times New Roman"/>
                <w:color w:val="000000"/>
                <w:sz w:val="24"/>
                <w:szCs w:val="24"/>
                <w:highlight w:val="none"/>
              </w:rPr>
            </w:pPr>
          </w:p>
        </w:tc>
        <w:tc>
          <w:tcPr>
            <w:tcW w:w="978" w:type="dxa"/>
            <w:noWrap w:val="0"/>
            <w:vAlign w:val="center"/>
          </w:tcPr>
          <w:p w14:paraId="392321A9">
            <w:pPr>
              <w:spacing w:line="0" w:lineRule="atLeast"/>
              <w:jc w:val="center"/>
              <w:rPr>
                <w:rFonts w:hint="eastAsia" w:ascii="宋体" w:hAnsi="宋体" w:eastAsia="宋体" w:cs="Times New Roman"/>
                <w:color w:val="000000"/>
                <w:sz w:val="24"/>
                <w:szCs w:val="24"/>
                <w:highlight w:val="none"/>
              </w:rPr>
            </w:pPr>
          </w:p>
        </w:tc>
        <w:tc>
          <w:tcPr>
            <w:tcW w:w="880" w:type="dxa"/>
            <w:noWrap w:val="0"/>
            <w:vAlign w:val="center"/>
          </w:tcPr>
          <w:p w14:paraId="3BBF4E2A">
            <w:pPr>
              <w:spacing w:line="0" w:lineRule="atLeast"/>
              <w:jc w:val="center"/>
              <w:rPr>
                <w:rFonts w:hint="eastAsia" w:ascii="宋体" w:hAnsi="宋体" w:eastAsia="宋体" w:cs="Times New Roman"/>
                <w:color w:val="000000"/>
                <w:sz w:val="24"/>
                <w:szCs w:val="24"/>
                <w:highlight w:val="none"/>
              </w:rPr>
            </w:pPr>
          </w:p>
        </w:tc>
        <w:tc>
          <w:tcPr>
            <w:tcW w:w="1072" w:type="dxa"/>
            <w:noWrap w:val="0"/>
            <w:vAlign w:val="center"/>
          </w:tcPr>
          <w:p w14:paraId="401B3584">
            <w:pPr>
              <w:spacing w:line="0" w:lineRule="atLeast"/>
              <w:jc w:val="center"/>
              <w:rPr>
                <w:rFonts w:hint="eastAsia" w:ascii="宋体" w:hAnsi="宋体" w:eastAsia="宋体" w:cs="Times New Roman"/>
                <w:color w:val="000000"/>
                <w:sz w:val="24"/>
                <w:szCs w:val="24"/>
                <w:highlight w:val="none"/>
              </w:rPr>
            </w:pPr>
          </w:p>
        </w:tc>
      </w:tr>
      <w:tr w14:paraId="3F528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8" w:hRule="atLeast"/>
        </w:trPr>
        <w:tc>
          <w:tcPr>
            <w:tcW w:w="472" w:type="dxa"/>
            <w:noWrap w:val="0"/>
            <w:vAlign w:val="center"/>
          </w:tcPr>
          <w:p w14:paraId="09AB74CB">
            <w:pPr>
              <w:spacing w:line="0" w:lineRule="atLeast"/>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2</w:t>
            </w:r>
          </w:p>
        </w:tc>
        <w:tc>
          <w:tcPr>
            <w:tcW w:w="993" w:type="dxa"/>
            <w:noWrap w:val="0"/>
            <w:vAlign w:val="center"/>
          </w:tcPr>
          <w:p w14:paraId="370E2B2C">
            <w:pPr>
              <w:spacing w:line="0" w:lineRule="atLeast"/>
              <w:jc w:val="center"/>
              <w:rPr>
                <w:rFonts w:hint="eastAsia" w:ascii="宋体" w:hAnsi="宋体" w:eastAsia="宋体" w:cs="Times New Roman"/>
                <w:color w:val="000000"/>
                <w:sz w:val="24"/>
                <w:szCs w:val="24"/>
                <w:highlight w:val="none"/>
              </w:rPr>
            </w:pPr>
          </w:p>
        </w:tc>
        <w:tc>
          <w:tcPr>
            <w:tcW w:w="768" w:type="dxa"/>
            <w:noWrap w:val="0"/>
            <w:vAlign w:val="center"/>
          </w:tcPr>
          <w:p w14:paraId="3EBBDB37">
            <w:pPr>
              <w:spacing w:line="0" w:lineRule="atLeast"/>
              <w:jc w:val="center"/>
              <w:rPr>
                <w:rFonts w:hint="eastAsia" w:ascii="宋体" w:hAnsi="宋体" w:eastAsia="宋体" w:cs="Times New Roman"/>
                <w:color w:val="000000"/>
                <w:sz w:val="24"/>
                <w:szCs w:val="24"/>
                <w:highlight w:val="none"/>
              </w:rPr>
            </w:pPr>
          </w:p>
        </w:tc>
        <w:tc>
          <w:tcPr>
            <w:tcW w:w="1012" w:type="dxa"/>
            <w:gridSpan w:val="2"/>
            <w:noWrap w:val="0"/>
            <w:vAlign w:val="center"/>
          </w:tcPr>
          <w:p w14:paraId="2291BB40">
            <w:pPr>
              <w:spacing w:line="0" w:lineRule="atLeast"/>
              <w:jc w:val="center"/>
              <w:rPr>
                <w:rFonts w:hint="eastAsia" w:ascii="宋体" w:hAnsi="宋体" w:eastAsia="宋体" w:cs="Times New Roman"/>
                <w:color w:val="000000"/>
                <w:sz w:val="24"/>
                <w:szCs w:val="24"/>
                <w:highlight w:val="none"/>
              </w:rPr>
            </w:pPr>
          </w:p>
        </w:tc>
        <w:tc>
          <w:tcPr>
            <w:tcW w:w="1526" w:type="dxa"/>
            <w:noWrap w:val="0"/>
            <w:vAlign w:val="center"/>
          </w:tcPr>
          <w:p w14:paraId="4A8B6AC1">
            <w:pPr>
              <w:spacing w:line="0" w:lineRule="atLeast"/>
              <w:jc w:val="center"/>
              <w:rPr>
                <w:rFonts w:hint="eastAsia" w:ascii="宋体" w:hAnsi="宋体" w:eastAsia="宋体" w:cs="Times New Roman"/>
                <w:color w:val="000000"/>
                <w:sz w:val="24"/>
                <w:szCs w:val="24"/>
                <w:highlight w:val="none"/>
              </w:rPr>
            </w:pPr>
          </w:p>
        </w:tc>
        <w:tc>
          <w:tcPr>
            <w:tcW w:w="1164" w:type="dxa"/>
            <w:noWrap w:val="0"/>
            <w:vAlign w:val="top"/>
          </w:tcPr>
          <w:p w14:paraId="4A9FEC97">
            <w:pPr>
              <w:spacing w:line="0" w:lineRule="atLeast"/>
              <w:jc w:val="center"/>
              <w:rPr>
                <w:rFonts w:hint="eastAsia" w:ascii="宋体" w:hAnsi="宋体" w:eastAsia="宋体" w:cs="Times New Roman"/>
                <w:color w:val="000000"/>
                <w:sz w:val="24"/>
                <w:szCs w:val="24"/>
                <w:highlight w:val="none"/>
              </w:rPr>
            </w:pPr>
          </w:p>
        </w:tc>
        <w:tc>
          <w:tcPr>
            <w:tcW w:w="771" w:type="dxa"/>
            <w:noWrap w:val="0"/>
            <w:vAlign w:val="center"/>
          </w:tcPr>
          <w:p w14:paraId="28D66DA0">
            <w:pPr>
              <w:spacing w:line="0" w:lineRule="atLeast"/>
              <w:jc w:val="center"/>
              <w:rPr>
                <w:rFonts w:hint="eastAsia" w:ascii="宋体" w:hAnsi="宋体" w:eastAsia="宋体" w:cs="Times New Roman"/>
                <w:color w:val="000000"/>
                <w:sz w:val="24"/>
                <w:szCs w:val="24"/>
                <w:highlight w:val="none"/>
                <w:u w:val="single"/>
              </w:rPr>
            </w:pPr>
          </w:p>
        </w:tc>
        <w:tc>
          <w:tcPr>
            <w:tcW w:w="978" w:type="dxa"/>
            <w:noWrap w:val="0"/>
            <w:vAlign w:val="center"/>
          </w:tcPr>
          <w:p w14:paraId="4D8420B9">
            <w:pPr>
              <w:spacing w:line="0" w:lineRule="atLeast"/>
              <w:jc w:val="center"/>
              <w:rPr>
                <w:rFonts w:hint="eastAsia" w:ascii="宋体" w:hAnsi="宋体" w:eastAsia="宋体" w:cs="Times New Roman"/>
                <w:color w:val="000000"/>
                <w:sz w:val="24"/>
                <w:szCs w:val="24"/>
                <w:highlight w:val="none"/>
              </w:rPr>
            </w:pPr>
          </w:p>
        </w:tc>
        <w:tc>
          <w:tcPr>
            <w:tcW w:w="880" w:type="dxa"/>
            <w:noWrap w:val="0"/>
            <w:vAlign w:val="center"/>
          </w:tcPr>
          <w:p w14:paraId="5DD0454A">
            <w:pPr>
              <w:spacing w:line="0" w:lineRule="atLeast"/>
              <w:jc w:val="center"/>
              <w:rPr>
                <w:rFonts w:hint="eastAsia" w:ascii="宋体" w:hAnsi="宋体" w:eastAsia="宋体" w:cs="Times New Roman"/>
                <w:color w:val="000000"/>
                <w:sz w:val="24"/>
                <w:szCs w:val="24"/>
                <w:highlight w:val="none"/>
              </w:rPr>
            </w:pPr>
          </w:p>
        </w:tc>
        <w:tc>
          <w:tcPr>
            <w:tcW w:w="1072" w:type="dxa"/>
            <w:noWrap w:val="0"/>
            <w:vAlign w:val="center"/>
          </w:tcPr>
          <w:p w14:paraId="3A52F266">
            <w:pPr>
              <w:spacing w:line="0" w:lineRule="atLeast"/>
              <w:jc w:val="center"/>
              <w:rPr>
                <w:rFonts w:hint="eastAsia" w:ascii="宋体" w:hAnsi="宋体" w:eastAsia="宋体" w:cs="Times New Roman"/>
                <w:color w:val="000000"/>
                <w:sz w:val="24"/>
                <w:szCs w:val="24"/>
                <w:highlight w:val="none"/>
              </w:rPr>
            </w:pPr>
          </w:p>
        </w:tc>
      </w:tr>
      <w:tr w14:paraId="74EC0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5" w:hRule="atLeast"/>
        </w:trPr>
        <w:tc>
          <w:tcPr>
            <w:tcW w:w="472" w:type="dxa"/>
            <w:noWrap w:val="0"/>
            <w:vAlign w:val="center"/>
          </w:tcPr>
          <w:p w14:paraId="4C94798C">
            <w:pPr>
              <w:spacing w:line="0" w:lineRule="atLeast"/>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3</w:t>
            </w:r>
          </w:p>
        </w:tc>
        <w:tc>
          <w:tcPr>
            <w:tcW w:w="993" w:type="dxa"/>
            <w:noWrap w:val="0"/>
            <w:vAlign w:val="center"/>
          </w:tcPr>
          <w:p w14:paraId="37EF53B1">
            <w:pPr>
              <w:spacing w:line="0" w:lineRule="atLeast"/>
              <w:jc w:val="center"/>
              <w:rPr>
                <w:rFonts w:hint="eastAsia" w:ascii="宋体" w:hAnsi="宋体" w:eastAsia="宋体" w:cs="Times New Roman"/>
                <w:color w:val="000000"/>
                <w:sz w:val="24"/>
                <w:szCs w:val="24"/>
                <w:highlight w:val="none"/>
              </w:rPr>
            </w:pPr>
          </w:p>
        </w:tc>
        <w:tc>
          <w:tcPr>
            <w:tcW w:w="768" w:type="dxa"/>
            <w:noWrap w:val="0"/>
            <w:vAlign w:val="center"/>
          </w:tcPr>
          <w:p w14:paraId="5FDABB03">
            <w:pPr>
              <w:spacing w:line="0" w:lineRule="atLeast"/>
              <w:jc w:val="center"/>
              <w:rPr>
                <w:rFonts w:hint="eastAsia" w:ascii="宋体" w:hAnsi="宋体" w:eastAsia="宋体" w:cs="Times New Roman"/>
                <w:color w:val="000000"/>
                <w:sz w:val="24"/>
                <w:szCs w:val="24"/>
                <w:highlight w:val="none"/>
              </w:rPr>
            </w:pPr>
          </w:p>
        </w:tc>
        <w:tc>
          <w:tcPr>
            <w:tcW w:w="1012" w:type="dxa"/>
            <w:gridSpan w:val="2"/>
            <w:noWrap w:val="0"/>
            <w:vAlign w:val="center"/>
          </w:tcPr>
          <w:p w14:paraId="42501CD6">
            <w:pPr>
              <w:spacing w:line="0" w:lineRule="atLeast"/>
              <w:jc w:val="center"/>
              <w:rPr>
                <w:rFonts w:hint="eastAsia" w:ascii="宋体" w:hAnsi="宋体" w:eastAsia="宋体" w:cs="Times New Roman"/>
                <w:color w:val="000000"/>
                <w:sz w:val="24"/>
                <w:szCs w:val="24"/>
                <w:highlight w:val="none"/>
              </w:rPr>
            </w:pPr>
          </w:p>
        </w:tc>
        <w:tc>
          <w:tcPr>
            <w:tcW w:w="1526" w:type="dxa"/>
            <w:noWrap w:val="0"/>
            <w:vAlign w:val="center"/>
          </w:tcPr>
          <w:p w14:paraId="2E33D774">
            <w:pPr>
              <w:spacing w:line="0" w:lineRule="atLeast"/>
              <w:jc w:val="center"/>
              <w:rPr>
                <w:rFonts w:hint="eastAsia" w:ascii="宋体" w:hAnsi="宋体" w:eastAsia="宋体" w:cs="Times New Roman"/>
                <w:color w:val="000000"/>
                <w:sz w:val="24"/>
                <w:szCs w:val="24"/>
                <w:highlight w:val="none"/>
              </w:rPr>
            </w:pPr>
          </w:p>
        </w:tc>
        <w:tc>
          <w:tcPr>
            <w:tcW w:w="1164" w:type="dxa"/>
            <w:noWrap w:val="0"/>
            <w:vAlign w:val="top"/>
          </w:tcPr>
          <w:p w14:paraId="107487BB">
            <w:pPr>
              <w:spacing w:line="0" w:lineRule="atLeast"/>
              <w:jc w:val="center"/>
              <w:rPr>
                <w:rFonts w:hint="eastAsia" w:ascii="宋体" w:hAnsi="宋体" w:eastAsia="宋体" w:cs="Times New Roman"/>
                <w:color w:val="000000"/>
                <w:sz w:val="24"/>
                <w:szCs w:val="24"/>
                <w:highlight w:val="none"/>
              </w:rPr>
            </w:pPr>
          </w:p>
        </w:tc>
        <w:tc>
          <w:tcPr>
            <w:tcW w:w="771" w:type="dxa"/>
            <w:noWrap w:val="0"/>
            <w:vAlign w:val="center"/>
          </w:tcPr>
          <w:p w14:paraId="71F96FC3">
            <w:pPr>
              <w:spacing w:line="0" w:lineRule="atLeast"/>
              <w:jc w:val="center"/>
              <w:rPr>
                <w:rFonts w:hint="eastAsia" w:ascii="宋体" w:hAnsi="宋体" w:eastAsia="宋体" w:cs="Times New Roman"/>
                <w:color w:val="000000"/>
                <w:sz w:val="24"/>
                <w:szCs w:val="24"/>
                <w:highlight w:val="none"/>
              </w:rPr>
            </w:pPr>
          </w:p>
        </w:tc>
        <w:tc>
          <w:tcPr>
            <w:tcW w:w="978" w:type="dxa"/>
            <w:noWrap w:val="0"/>
            <w:vAlign w:val="center"/>
          </w:tcPr>
          <w:p w14:paraId="5AA4523E">
            <w:pPr>
              <w:spacing w:line="0" w:lineRule="atLeast"/>
              <w:jc w:val="center"/>
              <w:rPr>
                <w:rFonts w:hint="eastAsia" w:ascii="宋体" w:hAnsi="宋体" w:eastAsia="宋体" w:cs="Times New Roman"/>
                <w:color w:val="000000"/>
                <w:sz w:val="24"/>
                <w:szCs w:val="24"/>
                <w:highlight w:val="none"/>
              </w:rPr>
            </w:pPr>
          </w:p>
        </w:tc>
        <w:tc>
          <w:tcPr>
            <w:tcW w:w="880" w:type="dxa"/>
            <w:noWrap w:val="0"/>
            <w:vAlign w:val="center"/>
          </w:tcPr>
          <w:p w14:paraId="2AB7BB3E">
            <w:pPr>
              <w:spacing w:line="0" w:lineRule="atLeast"/>
              <w:jc w:val="center"/>
              <w:rPr>
                <w:rFonts w:hint="eastAsia" w:ascii="宋体" w:hAnsi="宋体" w:eastAsia="宋体" w:cs="Times New Roman"/>
                <w:color w:val="000000"/>
                <w:sz w:val="24"/>
                <w:szCs w:val="24"/>
                <w:highlight w:val="none"/>
              </w:rPr>
            </w:pPr>
          </w:p>
        </w:tc>
        <w:tc>
          <w:tcPr>
            <w:tcW w:w="1072" w:type="dxa"/>
            <w:noWrap w:val="0"/>
            <w:vAlign w:val="center"/>
          </w:tcPr>
          <w:p w14:paraId="2194BCF4">
            <w:pPr>
              <w:spacing w:line="0" w:lineRule="atLeast"/>
              <w:jc w:val="center"/>
              <w:rPr>
                <w:rFonts w:hint="eastAsia" w:ascii="宋体" w:hAnsi="宋体" w:eastAsia="宋体" w:cs="Times New Roman"/>
                <w:color w:val="000000"/>
                <w:sz w:val="24"/>
                <w:szCs w:val="24"/>
                <w:highlight w:val="none"/>
              </w:rPr>
            </w:pPr>
          </w:p>
        </w:tc>
      </w:tr>
      <w:tr w14:paraId="4DB71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5" w:hRule="atLeast"/>
        </w:trPr>
        <w:tc>
          <w:tcPr>
            <w:tcW w:w="472" w:type="dxa"/>
            <w:noWrap w:val="0"/>
            <w:vAlign w:val="center"/>
          </w:tcPr>
          <w:p w14:paraId="0AA1FC3F">
            <w:pPr>
              <w:spacing w:line="0" w:lineRule="atLeast"/>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4</w:t>
            </w:r>
          </w:p>
        </w:tc>
        <w:tc>
          <w:tcPr>
            <w:tcW w:w="993" w:type="dxa"/>
            <w:noWrap w:val="0"/>
            <w:vAlign w:val="center"/>
          </w:tcPr>
          <w:p w14:paraId="249657A3">
            <w:pPr>
              <w:spacing w:line="0" w:lineRule="atLeast"/>
              <w:jc w:val="center"/>
              <w:rPr>
                <w:rFonts w:hint="eastAsia" w:ascii="宋体" w:hAnsi="宋体" w:eastAsia="宋体" w:cs="Times New Roman"/>
                <w:color w:val="000000"/>
                <w:sz w:val="24"/>
                <w:szCs w:val="24"/>
                <w:highlight w:val="none"/>
              </w:rPr>
            </w:pPr>
          </w:p>
        </w:tc>
        <w:tc>
          <w:tcPr>
            <w:tcW w:w="768" w:type="dxa"/>
            <w:noWrap w:val="0"/>
            <w:vAlign w:val="center"/>
          </w:tcPr>
          <w:p w14:paraId="1E28DEDD">
            <w:pPr>
              <w:spacing w:line="0" w:lineRule="atLeast"/>
              <w:jc w:val="center"/>
              <w:rPr>
                <w:rFonts w:hint="eastAsia" w:ascii="宋体" w:hAnsi="宋体" w:eastAsia="宋体" w:cs="Times New Roman"/>
                <w:color w:val="000000"/>
                <w:sz w:val="24"/>
                <w:szCs w:val="24"/>
                <w:highlight w:val="none"/>
              </w:rPr>
            </w:pPr>
          </w:p>
        </w:tc>
        <w:tc>
          <w:tcPr>
            <w:tcW w:w="1012" w:type="dxa"/>
            <w:gridSpan w:val="2"/>
            <w:noWrap w:val="0"/>
            <w:vAlign w:val="center"/>
          </w:tcPr>
          <w:p w14:paraId="0BEE375F">
            <w:pPr>
              <w:spacing w:line="0" w:lineRule="atLeast"/>
              <w:jc w:val="center"/>
              <w:rPr>
                <w:rFonts w:hint="eastAsia" w:ascii="宋体" w:hAnsi="宋体" w:eastAsia="宋体" w:cs="Times New Roman"/>
                <w:color w:val="000000"/>
                <w:sz w:val="24"/>
                <w:szCs w:val="24"/>
                <w:highlight w:val="none"/>
              </w:rPr>
            </w:pPr>
          </w:p>
        </w:tc>
        <w:tc>
          <w:tcPr>
            <w:tcW w:w="1526" w:type="dxa"/>
            <w:noWrap w:val="0"/>
            <w:vAlign w:val="center"/>
          </w:tcPr>
          <w:p w14:paraId="7D878816">
            <w:pPr>
              <w:spacing w:line="0" w:lineRule="atLeast"/>
              <w:jc w:val="center"/>
              <w:rPr>
                <w:rFonts w:hint="eastAsia" w:ascii="宋体" w:hAnsi="宋体" w:eastAsia="宋体" w:cs="Times New Roman"/>
                <w:color w:val="000000"/>
                <w:sz w:val="24"/>
                <w:szCs w:val="24"/>
                <w:highlight w:val="none"/>
              </w:rPr>
            </w:pPr>
          </w:p>
        </w:tc>
        <w:tc>
          <w:tcPr>
            <w:tcW w:w="1164" w:type="dxa"/>
            <w:noWrap w:val="0"/>
            <w:vAlign w:val="top"/>
          </w:tcPr>
          <w:p w14:paraId="2FEE95E4">
            <w:pPr>
              <w:spacing w:line="0" w:lineRule="atLeast"/>
              <w:jc w:val="center"/>
              <w:rPr>
                <w:rFonts w:hint="eastAsia" w:ascii="宋体" w:hAnsi="宋体" w:eastAsia="宋体" w:cs="Times New Roman"/>
                <w:color w:val="000000"/>
                <w:sz w:val="24"/>
                <w:szCs w:val="24"/>
                <w:highlight w:val="none"/>
              </w:rPr>
            </w:pPr>
          </w:p>
        </w:tc>
        <w:tc>
          <w:tcPr>
            <w:tcW w:w="771" w:type="dxa"/>
            <w:noWrap w:val="0"/>
            <w:vAlign w:val="center"/>
          </w:tcPr>
          <w:p w14:paraId="427C2331">
            <w:pPr>
              <w:spacing w:line="0" w:lineRule="atLeast"/>
              <w:jc w:val="center"/>
              <w:rPr>
                <w:rFonts w:hint="eastAsia" w:ascii="宋体" w:hAnsi="宋体" w:eastAsia="宋体" w:cs="Times New Roman"/>
                <w:color w:val="000000"/>
                <w:sz w:val="24"/>
                <w:szCs w:val="24"/>
                <w:highlight w:val="none"/>
              </w:rPr>
            </w:pPr>
          </w:p>
        </w:tc>
        <w:tc>
          <w:tcPr>
            <w:tcW w:w="978" w:type="dxa"/>
            <w:noWrap w:val="0"/>
            <w:vAlign w:val="center"/>
          </w:tcPr>
          <w:p w14:paraId="57EA54EE">
            <w:pPr>
              <w:spacing w:line="0" w:lineRule="atLeast"/>
              <w:jc w:val="center"/>
              <w:rPr>
                <w:rFonts w:hint="eastAsia" w:ascii="宋体" w:hAnsi="宋体" w:eastAsia="宋体" w:cs="Times New Roman"/>
                <w:color w:val="000000"/>
                <w:sz w:val="24"/>
                <w:szCs w:val="24"/>
                <w:highlight w:val="none"/>
              </w:rPr>
            </w:pPr>
          </w:p>
        </w:tc>
        <w:tc>
          <w:tcPr>
            <w:tcW w:w="880" w:type="dxa"/>
            <w:noWrap w:val="0"/>
            <w:vAlign w:val="center"/>
          </w:tcPr>
          <w:p w14:paraId="0C2CB5B9">
            <w:pPr>
              <w:spacing w:line="0" w:lineRule="atLeast"/>
              <w:jc w:val="center"/>
              <w:rPr>
                <w:rFonts w:hint="eastAsia" w:ascii="宋体" w:hAnsi="宋体" w:eastAsia="宋体" w:cs="Times New Roman"/>
                <w:color w:val="000000"/>
                <w:sz w:val="24"/>
                <w:szCs w:val="24"/>
                <w:highlight w:val="none"/>
              </w:rPr>
            </w:pPr>
          </w:p>
        </w:tc>
        <w:tc>
          <w:tcPr>
            <w:tcW w:w="1072" w:type="dxa"/>
            <w:noWrap w:val="0"/>
            <w:vAlign w:val="center"/>
          </w:tcPr>
          <w:p w14:paraId="1FBB868A">
            <w:pPr>
              <w:spacing w:line="0" w:lineRule="atLeast"/>
              <w:jc w:val="center"/>
              <w:rPr>
                <w:rFonts w:hint="eastAsia" w:ascii="宋体" w:hAnsi="宋体" w:eastAsia="宋体" w:cs="Times New Roman"/>
                <w:color w:val="000000"/>
                <w:sz w:val="24"/>
                <w:szCs w:val="24"/>
                <w:highlight w:val="none"/>
              </w:rPr>
            </w:pPr>
          </w:p>
        </w:tc>
      </w:tr>
      <w:tr w14:paraId="048CA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0" w:hRule="atLeast"/>
        </w:trPr>
        <w:tc>
          <w:tcPr>
            <w:tcW w:w="472" w:type="dxa"/>
            <w:noWrap w:val="0"/>
            <w:vAlign w:val="center"/>
          </w:tcPr>
          <w:p w14:paraId="06953D03">
            <w:pPr>
              <w:spacing w:line="0" w:lineRule="atLeast"/>
              <w:jc w:val="center"/>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w:t>
            </w:r>
          </w:p>
        </w:tc>
        <w:tc>
          <w:tcPr>
            <w:tcW w:w="993" w:type="dxa"/>
            <w:noWrap w:val="0"/>
            <w:vAlign w:val="center"/>
          </w:tcPr>
          <w:p w14:paraId="518716E3">
            <w:pPr>
              <w:spacing w:line="0" w:lineRule="atLeast"/>
              <w:jc w:val="center"/>
              <w:rPr>
                <w:rFonts w:hint="eastAsia"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w:t>
            </w:r>
          </w:p>
        </w:tc>
        <w:tc>
          <w:tcPr>
            <w:tcW w:w="768" w:type="dxa"/>
            <w:noWrap w:val="0"/>
            <w:vAlign w:val="center"/>
          </w:tcPr>
          <w:p w14:paraId="192DCD3B">
            <w:pPr>
              <w:spacing w:line="0" w:lineRule="atLeast"/>
              <w:jc w:val="center"/>
              <w:rPr>
                <w:rFonts w:hint="eastAsia" w:ascii="宋体" w:hAnsi="宋体" w:eastAsia="宋体" w:cs="Times New Roman"/>
                <w:color w:val="000000"/>
                <w:sz w:val="24"/>
                <w:szCs w:val="24"/>
                <w:highlight w:val="none"/>
              </w:rPr>
            </w:pPr>
          </w:p>
        </w:tc>
        <w:tc>
          <w:tcPr>
            <w:tcW w:w="1012" w:type="dxa"/>
            <w:gridSpan w:val="2"/>
            <w:noWrap w:val="0"/>
            <w:vAlign w:val="center"/>
          </w:tcPr>
          <w:p w14:paraId="21679F25">
            <w:pPr>
              <w:spacing w:line="0" w:lineRule="atLeast"/>
              <w:jc w:val="center"/>
              <w:rPr>
                <w:rFonts w:hint="eastAsia" w:ascii="宋体" w:hAnsi="宋体" w:eastAsia="宋体" w:cs="Times New Roman"/>
                <w:color w:val="000000"/>
                <w:sz w:val="24"/>
                <w:szCs w:val="24"/>
                <w:highlight w:val="none"/>
              </w:rPr>
            </w:pPr>
          </w:p>
        </w:tc>
        <w:tc>
          <w:tcPr>
            <w:tcW w:w="1526" w:type="dxa"/>
            <w:noWrap w:val="0"/>
            <w:vAlign w:val="center"/>
          </w:tcPr>
          <w:p w14:paraId="5C41482C">
            <w:pPr>
              <w:spacing w:line="0" w:lineRule="atLeast"/>
              <w:jc w:val="center"/>
              <w:rPr>
                <w:rFonts w:hint="eastAsia" w:ascii="宋体" w:hAnsi="宋体" w:eastAsia="宋体" w:cs="Times New Roman"/>
                <w:color w:val="000000"/>
                <w:sz w:val="24"/>
                <w:szCs w:val="24"/>
                <w:highlight w:val="none"/>
              </w:rPr>
            </w:pPr>
          </w:p>
        </w:tc>
        <w:tc>
          <w:tcPr>
            <w:tcW w:w="1164" w:type="dxa"/>
            <w:noWrap w:val="0"/>
            <w:vAlign w:val="top"/>
          </w:tcPr>
          <w:p w14:paraId="38471E94">
            <w:pPr>
              <w:spacing w:line="0" w:lineRule="atLeast"/>
              <w:jc w:val="center"/>
              <w:rPr>
                <w:rFonts w:hint="eastAsia" w:ascii="宋体" w:hAnsi="宋体" w:eastAsia="宋体" w:cs="Times New Roman"/>
                <w:color w:val="000000"/>
                <w:sz w:val="24"/>
                <w:szCs w:val="24"/>
                <w:highlight w:val="none"/>
              </w:rPr>
            </w:pPr>
          </w:p>
        </w:tc>
        <w:tc>
          <w:tcPr>
            <w:tcW w:w="771" w:type="dxa"/>
            <w:noWrap w:val="0"/>
            <w:vAlign w:val="center"/>
          </w:tcPr>
          <w:p w14:paraId="357FA456">
            <w:pPr>
              <w:spacing w:line="0" w:lineRule="atLeast"/>
              <w:jc w:val="center"/>
              <w:rPr>
                <w:rFonts w:hint="eastAsia" w:ascii="宋体" w:hAnsi="宋体" w:eastAsia="宋体" w:cs="Times New Roman"/>
                <w:color w:val="000000"/>
                <w:sz w:val="24"/>
                <w:szCs w:val="24"/>
                <w:highlight w:val="none"/>
              </w:rPr>
            </w:pPr>
          </w:p>
        </w:tc>
        <w:tc>
          <w:tcPr>
            <w:tcW w:w="978" w:type="dxa"/>
            <w:noWrap w:val="0"/>
            <w:vAlign w:val="center"/>
          </w:tcPr>
          <w:p w14:paraId="0F2DD257">
            <w:pPr>
              <w:spacing w:line="0" w:lineRule="atLeast"/>
              <w:jc w:val="center"/>
              <w:rPr>
                <w:rFonts w:hint="eastAsia" w:ascii="宋体" w:hAnsi="宋体" w:eastAsia="宋体" w:cs="Times New Roman"/>
                <w:color w:val="000000"/>
                <w:sz w:val="24"/>
                <w:szCs w:val="24"/>
                <w:highlight w:val="none"/>
              </w:rPr>
            </w:pPr>
          </w:p>
        </w:tc>
        <w:tc>
          <w:tcPr>
            <w:tcW w:w="880" w:type="dxa"/>
            <w:noWrap w:val="0"/>
            <w:vAlign w:val="center"/>
          </w:tcPr>
          <w:p w14:paraId="716B9986">
            <w:pPr>
              <w:spacing w:line="0" w:lineRule="atLeast"/>
              <w:jc w:val="center"/>
              <w:rPr>
                <w:rFonts w:hint="eastAsia" w:ascii="宋体" w:hAnsi="宋体" w:eastAsia="宋体" w:cs="Times New Roman"/>
                <w:color w:val="000000"/>
                <w:sz w:val="24"/>
                <w:szCs w:val="24"/>
                <w:highlight w:val="none"/>
              </w:rPr>
            </w:pPr>
          </w:p>
        </w:tc>
        <w:tc>
          <w:tcPr>
            <w:tcW w:w="1072" w:type="dxa"/>
            <w:noWrap w:val="0"/>
            <w:vAlign w:val="center"/>
          </w:tcPr>
          <w:p w14:paraId="0DFDE45D">
            <w:pPr>
              <w:spacing w:line="0" w:lineRule="atLeast"/>
              <w:jc w:val="center"/>
              <w:rPr>
                <w:rFonts w:hint="eastAsia" w:ascii="宋体" w:hAnsi="宋体" w:eastAsia="宋体" w:cs="Times New Roman"/>
                <w:color w:val="000000"/>
                <w:sz w:val="24"/>
                <w:szCs w:val="24"/>
                <w:highlight w:val="none"/>
              </w:rPr>
            </w:pPr>
          </w:p>
        </w:tc>
      </w:tr>
      <w:tr w14:paraId="1D175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0" w:hRule="atLeast"/>
        </w:trPr>
        <w:tc>
          <w:tcPr>
            <w:tcW w:w="472" w:type="dxa"/>
            <w:noWrap w:val="0"/>
            <w:vAlign w:val="center"/>
          </w:tcPr>
          <w:p w14:paraId="3F8A5371">
            <w:pPr>
              <w:spacing w:line="0" w:lineRule="atLeast"/>
              <w:jc w:val="center"/>
              <w:rPr>
                <w:rFonts w:ascii="宋体" w:hAnsi="宋体" w:eastAsia="宋体" w:cs="Times New Roman"/>
                <w:color w:val="000000"/>
                <w:sz w:val="24"/>
                <w:szCs w:val="24"/>
                <w:highlight w:val="none"/>
              </w:rPr>
            </w:pPr>
          </w:p>
        </w:tc>
        <w:tc>
          <w:tcPr>
            <w:tcW w:w="993" w:type="dxa"/>
            <w:noWrap w:val="0"/>
            <w:vAlign w:val="center"/>
          </w:tcPr>
          <w:p w14:paraId="02BE21AC">
            <w:pPr>
              <w:spacing w:line="0" w:lineRule="atLeast"/>
              <w:jc w:val="center"/>
              <w:rPr>
                <w:rFonts w:ascii="宋体" w:hAnsi="宋体" w:eastAsia="宋体" w:cs="Times New Roman"/>
                <w:color w:val="000000"/>
                <w:sz w:val="24"/>
                <w:szCs w:val="24"/>
                <w:highlight w:val="none"/>
              </w:rPr>
            </w:pPr>
          </w:p>
        </w:tc>
        <w:tc>
          <w:tcPr>
            <w:tcW w:w="768" w:type="dxa"/>
            <w:noWrap w:val="0"/>
            <w:vAlign w:val="center"/>
          </w:tcPr>
          <w:p w14:paraId="355679C8">
            <w:pPr>
              <w:spacing w:line="0" w:lineRule="atLeast"/>
              <w:jc w:val="center"/>
              <w:rPr>
                <w:rFonts w:hint="eastAsia" w:ascii="宋体" w:hAnsi="宋体" w:eastAsia="宋体" w:cs="Times New Roman"/>
                <w:color w:val="000000"/>
                <w:sz w:val="24"/>
                <w:szCs w:val="24"/>
                <w:highlight w:val="none"/>
              </w:rPr>
            </w:pPr>
          </w:p>
        </w:tc>
        <w:tc>
          <w:tcPr>
            <w:tcW w:w="1012" w:type="dxa"/>
            <w:gridSpan w:val="2"/>
            <w:noWrap w:val="0"/>
            <w:vAlign w:val="center"/>
          </w:tcPr>
          <w:p w14:paraId="74CC7EBA">
            <w:pPr>
              <w:spacing w:line="0" w:lineRule="atLeast"/>
              <w:jc w:val="center"/>
              <w:rPr>
                <w:rFonts w:hint="eastAsia" w:ascii="宋体" w:hAnsi="宋体" w:eastAsia="宋体" w:cs="Times New Roman"/>
                <w:color w:val="000000"/>
                <w:sz w:val="24"/>
                <w:szCs w:val="24"/>
                <w:highlight w:val="none"/>
              </w:rPr>
            </w:pPr>
          </w:p>
        </w:tc>
        <w:tc>
          <w:tcPr>
            <w:tcW w:w="1526" w:type="dxa"/>
            <w:noWrap w:val="0"/>
            <w:vAlign w:val="center"/>
          </w:tcPr>
          <w:p w14:paraId="32112D95">
            <w:pPr>
              <w:spacing w:line="0" w:lineRule="atLeast"/>
              <w:jc w:val="center"/>
              <w:rPr>
                <w:rFonts w:hint="eastAsia" w:ascii="宋体" w:hAnsi="宋体" w:eastAsia="宋体" w:cs="Times New Roman"/>
                <w:color w:val="000000"/>
                <w:sz w:val="24"/>
                <w:szCs w:val="24"/>
                <w:highlight w:val="none"/>
              </w:rPr>
            </w:pPr>
          </w:p>
        </w:tc>
        <w:tc>
          <w:tcPr>
            <w:tcW w:w="1164" w:type="dxa"/>
            <w:noWrap w:val="0"/>
            <w:vAlign w:val="top"/>
          </w:tcPr>
          <w:p w14:paraId="19E6E0F6">
            <w:pPr>
              <w:spacing w:line="0" w:lineRule="atLeast"/>
              <w:jc w:val="center"/>
              <w:rPr>
                <w:rFonts w:hint="eastAsia" w:ascii="宋体" w:hAnsi="宋体" w:eastAsia="宋体" w:cs="Times New Roman"/>
                <w:color w:val="000000"/>
                <w:sz w:val="24"/>
                <w:szCs w:val="24"/>
                <w:highlight w:val="none"/>
              </w:rPr>
            </w:pPr>
          </w:p>
        </w:tc>
        <w:tc>
          <w:tcPr>
            <w:tcW w:w="771" w:type="dxa"/>
            <w:noWrap w:val="0"/>
            <w:vAlign w:val="center"/>
          </w:tcPr>
          <w:p w14:paraId="134E06F6">
            <w:pPr>
              <w:spacing w:line="0" w:lineRule="atLeast"/>
              <w:jc w:val="center"/>
              <w:rPr>
                <w:rFonts w:hint="eastAsia" w:ascii="宋体" w:hAnsi="宋体" w:eastAsia="宋体" w:cs="Times New Roman"/>
                <w:color w:val="000000"/>
                <w:sz w:val="24"/>
                <w:szCs w:val="24"/>
                <w:highlight w:val="none"/>
              </w:rPr>
            </w:pPr>
          </w:p>
        </w:tc>
        <w:tc>
          <w:tcPr>
            <w:tcW w:w="978" w:type="dxa"/>
            <w:noWrap w:val="0"/>
            <w:vAlign w:val="center"/>
          </w:tcPr>
          <w:p w14:paraId="298BF61D">
            <w:pPr>
              <w:spacing w:line="0" w:lineRule="atLeast"/>
              <w:jc w:val="center"/>
              <w:rPr>
                <w:rFonts w:hint="eastAsia" w:ascii="宋体" w:hAnsi="宋体" w:eastAsia="宋体" w:cs="Times New Roman"/>
                <w:color w:val="000000"/>
                <w:sz w:val="24"/>
                <w:szCs w:val="24"/>
                <w:highlight w:val="none"/>
              </w:rPr>
            </w:pPr>
          </w:p>
        </w:tc>
        <w:tc>
          <w:tcPr>
            <w:tcW w:w="880" w:type="dxa"/>
            <w:noWrap w:val="0"/>
            <w:vAlign w:val="center"/>
          </w:tcPr>
          <w:p w14:paraId="1439F3C2">
            <w:pPr>
              <w:spacing w:line="0" w:lineRule="atLeast"/>
              <w:jc w:val="center"/>
              <w:rPr>
                <w:rFonts w:hint="eastAsia" w:ascii="宋体" w:hAnsi="宋体" w:eastAsia="宋体" w:cs="Times New Roman"/>
                <w:color w:val="000000"/>
                <w:sz w:val="24"/>
                <w:szCs w:val="24"/>
                <w:highlight w:val="none"/>
              </w:rPr>
            </w:pPr>
          </w:p>
        </w:tc>
        <w:tc>
          <w:tcPr>
            <w:tcW w:w="1072" w:type="dxa"/>
            <w:noWrap w:val="0"/>
            <w:vAlign w:val="center"/>
          </w:tcPr>
          <w:p w14:paraId="0F688C68">
            <w:pPr>
              <w:spacing w:line="0" w:lineRule="atLeast"/>
              <w:jc w:val="center"/>
              <w:rPr>
                <w:rFonts w:hint="eastAsia" w:ascii="宋体" w:hAnsi="宋体" w:eastAsia="宋体" w:cs="Times New Roman"/>
                <w:color w:val="000000"/>
                <w:sz w:val="24"/>
                <w:szCs w:val="24"/>
                <w:highlight w:val="none"/>
              </w:rPr>
            </w:pPr>
          </w:p>
        </w:tc>
      </w:tr>
      <w:tr w14:paraId="641EB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38" w:hRule="atLeast"/>
        </w:trPr>
        <w:tc>
          <w:tcPr>
            <w:tcW w:w="2233" w:type="dxa"/>
            <w:gridSpan w:val="3"/>
            <w:noWrap w:val="0"/>
            <w:vAlign w:val="center"/>
          </w:tcPr>
          <w:p w14:paraId="68726B95">
            <w:pPr>
              <w:pStyle w:val="433"/>
              <w:spacing w:line="500" w:lineRule="exact"/>
              <w:jc w:val="center"/>
              <w:rPr>
                <w:rFonts w:hint="eastAsia" w:ascii="宋体" w:hAnsi="宋体" w:eastAsia="宋体" w:cs="Times New Roman"/>
                <w:b/>
                <w:bCs/>
                <w:color w:val="000000"/>
                <w:sz w:val="24"/>
                <w:highlight w:val="none"/>
              </w:rPr>
            </w:pPr>
            <w:r>
              <w:rPr>
                <w:rFonts w:hint="eastAsia" w:ascii="宋体" w:hAnsi="宋体" w:eastAsia="宋体" w:cs="Times New Roman"/>
                <w:b/>
                <w:bCs/>
                <w:color w:val="000000"/>
                <w:sz w:val="28"/>
                <w:szCs w:val="28"/>
                <w:highlight w:val="none"/>
              </w:rPr>
              <w:t>投标总报价</w:t>
            </w:r>
          </w:p>
        </w:tc>
        <w:tc>
          <w:tcPr>
            <w:tcW w:w="880" w:type="dxa"/>
            <w:noWrap w:val="0"/>
            <w:vAlign w:val="center"/>
          </w:tcPr>
          <w:p w14:paraId="130F4BDC">
            <w:pPr>
              <w:pStyle w:val="433"/>
              <w:spacing w:line="500" w:lineRule="exact"/>
              <w:rPr>
                <w:rFonts w:hint="eastAsia" w:ascii="宋体" w:hAnsi="宋体" w:eastAsia="宋体" w:cs="Times New Roman"/>
                <w:b/>
                <w:bCs/>
                <w:color w:val="000000"/>
                <w:sz w:val="24"/>
                <w:highlight w:val="none"/>
              </w:rPr>
            </w:pPr>
          </w:p>
        </w:tc>
        <w:tc>
          <w:tcPr>
            <w:tcW w:w="6523" w:type="dxa"/>
            <w:gridSpan w:val="7"/>
            <w:noWrap w:val="0"/>
            <w:vAlign w:val="center"/>
          </w:tcPr>
          <w:p w14:paraId="5FF2D686">
            <w:pPr>
              <w:pStyle w:val="433"/>
              <w:spacing w:line="500" w:lineRule="exact"/>
              <w:rPr>
                <w:rFonts w:hint="eastAsia" w:ascii="宋体" w:hAnsi="宋体" w:eastAsia="宋体" w:cs="Times New Roman"/>
                <w:b/>
                <w:bCs/>
                <w:color w:val="000000"/>
                <w:sz w:val="24"/>
                <w:highlight w:val="none"/>
              </w:rPr>
            </w:pPr>
            <w:r>
              <w:rPr>
                <w:rFonts w:hint="eastAsia" w:ascii="宋体" w:hAnsi="宋体" w:eastAsia="宋体" w:cs="Times New Roman"/>
                <w:b/>
                <w:bCs/>
                <w:color w:val="000000"/>
                <w:sz w:val="24"/>
                <w:highlight w:val="none"/>
              </w:rPr>
              <w:t>￥</w:t>
            </w:r>
            <w:r>
              <w:rPr>
                <w:rFonts w:hint="eastAsia" w:ascii="宋体" w:hAnsi="宋体" w:eastAsia="宋体" w:cs="Times New Roman"/>
                <w:color w:val="000000"/>
                <w:sz w:val="24"/>
                <w:highlight w:val="none"/>
              </w:rPr>
              <w:t xml:space="preserve">  </w:t>
            </w:r>
            <w:r>
              <w:rPr>
                <w:rFonts w:hint="eastAsia" w:ascii="宋体" w:hAnsi="宋体" w:eastAsia="宋体" w:cs="Times New Roman"/>
                <w:color w:val="000000"/>
                <w:sz w:val="24"/>
                <w:highlight w:val="none"/>
                <w:u w:val="single"/>
              </w:rPr>
              <w:t xml:space="preserve">              </w:t>
            </w:r>
            <w:r>
              <w:rPr>
                <w:rFonts w:hint="eastAsia" w:ascii="宋体" w:hAnsi="宋体" w:eastAsia="宋体" w:cs="Times New Roman"/>
                <w:color w:val="000000"/>
                <w:sz w:val="24"/>
                <w:highlight w:val="none"/>
              </w:rPr>
              <w:t xml:space="preserve">                 </w:t>
            </w:r>
          </w:p>
          <w:p w14:paraId="3E75833F">
            <w:pPr>
              <w:pStyle w:val="433"/>
              <w:spacing w:line="500" w:lineRule="exact"/>
              <w:rPr>
                <w:rFonts w:hint="eastAsia" w:ascii="宋体" w:hAnsi="宋体" w:eastAsia="宋体" w:cs="Times New Roman"/>
                <w:b/>
                <w:bCs/>
                <w:color w:val="000000"/>
                <w:sz w:val="24"/>
                <w:highlight w:val="none"/>
              </w:rPr>
            </w:pPr>
            <w:r>
              <w:rPr>
                <w:rFonts w:hint="eastAsia" w:ascii="宋体" w:hAnsi="宋体" w:eastAsia="宋体" w:cs="Times New Roman"/>
                <w:b/>
                <w:bCs/>
                <w:color w:val="000000"/>
                <w:sz w:val="24"/>
                <w:highlight w:val="none"/>
              </w:rPr>
              <w:t>人民币（大写）：</w:t>
            </w:r>
            <w:r>
              <w:rPr>
                <w:rFonts w:hint="eastAsia" w:ascii="宋体" w:hAnsi="宋体" w:eastAsia="宋体" w:cs="Times New Roman"/>
                <w:b/>
                <w:bCs/>
                <w:color w:val="000000"/>
                <w:sz w:val="24"/>
                <w:highlight w:val="none"/>
                <w:u w:val="single"/>
              </w:rPr>
              <w:t xml:space="preserve"> </w:t>
            </w:r>
            <w:r>
              <w:rPr>
                <w:rFonts w:ascii="宋体" w:hAnsi="宋体" w:eastAsia="宋体" w:cs="Times New Roman"/>
                <w:b/>
                <w:bCs/>
                <w:color w:val="000000"/>
                <w:sz w:val="24"/>
                <w:highlight w:val="none"/>
                <w:u w:val="single"/>
              </w:rPr>
              <w:t xml:space="preserve">    </w:t>
            </w:r>
            <w:r>
              <w:rPr>
                <w:rFonts w:ascii="宋体" w:hAnsi="宋体" w:eastAsia="宋体" w:cs="Times New Roman"/>
                <w:color w:val="000000"/>
                <w:sz w:val="24"/>
                <w:highlight w:val="none"/>
                <w:u w:val="single"/>
              </w:rPr>
              <w:t xml:space="preserve"> </w:t>
            </w:r>
            <w:r>
              <w:rPr>
                <w:rFonts w:hint="eastAsia" w:ascii="宋体" w:hAnsi="宋体" w:eastAsia="宋体" w:cs="Times New Roman"/>
                <w:color w:val="000000"/>
                <w:sz w:val="24"/>
                <w:highlight w:val="none"/>
                <w:u w:val="single"/>
              </w:rPr>
              <w:t xml:space="preserve">仟     </w:t>
            </w:r>
            <w:r>
              <w:rPr>
                <w:rFonts w:hint="eastAsia" w:ascii="宋体" w:hAnsi="宋体" w:eastAsia="宋体" w:cs="Times New Roman"/>
                <w:bCs/>
                <w:color w:val="000000"/>
                <w:sz w:val="24"/>
                <w:highlight w:val="none"/>
              </w:rPr>
              <w:t>佰</w:t>
            </w:r>
            <w:r>
              <w:rPr>
                <w:rFonts w:hint="eastAsia" w:ascii="宋体" w:hAnsi="宋体" w:eastAsia="宋体" w:cs="Times New Roman"/>
                <w:color w:val="000000"/>
                <w:sz w:val="24"/>
                <w:highlight w:val="none"/>
                <w:u w:val="single"/>
              </w:rPr>
              <w:t xml:space="preserve">    </w:t>
            </w:r>
            <w:r>
              <w:rPr>
                <w:rFonts w:hint="eastAsia" w:ascii="宋体" w:hAnsi="宋体" w:eastAsia="宋体" w:cs="Times New Roman"/>
                <w:bCs/>
                <w:color w:val="000000"/>
                <w:sz w:val="24"/>
                <w:highlight w:val="none"/>
              </w:rPr>
              <w:t>拾</w:t>
            </w:r>
            <w:r>
              <w:rPr>
                <w:rFonts w:hint="eastAsia" w:ascii="宋体" w:hAnsi="宋体" w:eastAsia="宋体" w:cs="Times New Roman"/>
                <w:color w:val="000000"/>
                <w:sz w:val="24"/>
                <w:highlight w:val="none"/>
                <w:u w:val="single"/>
              </w:rPr>
              <w:t xml:space="preserve">    </w:t>
            </w:r>
            <w:r>
              <w:rPr>
                <w:rFonts w:hint="eastAsia" w:ascii="宋体" w:hAnsi="宋体" w:eastAsia="宋体" w:cs="Times New Roman"/>
                <w:bCs/>
                <w:color w:val="000000"/>
                <w:sz w:val="24"/>
                <w:highlight w:val="none"/>
              </w:rPr>
              <w:t xml:space="preserve"> 万</w:t>
            </w:r>
            <w:r>
              <w:rPr>
                <w:rFonts w:hint="eastAsia" w:ascii="宋体" w:hAnsi="宋体" w:eastAsia="宋体" w:cs="Times New Roman"/>
                <w:bCs/>
                <w:color w:val="000000"/>
                <w:sz w:val="24"/>
                <w:highlight w:val="none"/>
                <w:u w:val="single"/>
              </w:rPr>
              <w:t xml:space="preserve">    </w:t>
            </w:r>
            <w:r>
              <w:rPr>
                <w:rFonts w:hint="eastAsia" w:ascii="宋体" w:hAnsi="宋体" w:eastAsia="宋体" w:cs="Times New Roman"/>
                <w:bCs/>
                <w:color w:val="000000"/>
                <w:sz w:val="24"/>
                <w:highlight w:val="none"/>
              </w:rPr>
              <w:t>仟</w:t>
            </w:r>
            <w:r>
              <w:rPr>
                <w:rFonts w:hint="eastAsia" w:ascii="宋体" w:hAnsi="宋体" w:eastAsia="宋体" w:cs="Times New Roman"/>
                <w:color w:val="000000"/>
                <w:sz w:val="24"/>
                <w:highlight w:val="none"/>
                <w:u w:val="single"/>
              </w:rPr>
              <w:t xml:space="preserve">      </w:t>
            </w:r>
            <w:r>
              <w:rPr>
                <w:rFonts w:hint="eastAsia" w:ascii="宋体" w:hAnsi="宋体" w:eastAsia="宋体" w:cs="Times New Roman"/>
                <w:bCs/>
                <w:color w:val="000000"/>
                <w:sz w:val="24"/>
                <w:highlight w:val="none"/>
              </w:rPr>
              <w:t>佰</w:t>
            </w:r>
            <w:r>
              <w:rPr>
                <w:rFonts w:hint="eastAsia" w:ascii="宋体" w:hAnsi="宋体" w:eastAsia="宋体" w:cs="Times New Roman"/>
                <w:color w:val="000000"/>
                <w:sz w:val="24"/>
                <w:highlight w:val="none"/>
                <w:u w:val="single"/>
              </w:rPr>
              <w:t xml:space="preserve">      </w:t>
            </w:r>
            <w:r>
              <w:rPr>
                <w:rFonts w:hint="eastAsia" w:ascii="宋体" w:hAnsi="宋体" w:eastAsia="宋体" w:cs="Times New Roman"/>
                <w:bCs/>
                <w:color w:val="000000"/>
                <w:sz w:val="24"/>
                <w:highlight w:val="none"/>
              </w:rPr>
              <w:t>拾</w:t>
            </w:r>
            <w:r>
              <w:rPr>
                <w:rFonts w:hint="eastAsia" w:ascii="宋体" w:hAnsi="宋体" w:eastAsia="宋体" w:cs="Times New Roman"/>
                <w:color w:val="000000"/>
                <w:sz w:val="24"/>
                <w:highlight w:val="none"/>
                <w:u w:val="single"/>
              </w:rPr>
              <w:t xml:space="preserve">     </w:t>
            </w:r>
            <w:r>
              <w:rPr>
                <w:rFonts w:hint="eastAsia" w:ascii="宋体" w:hAnsi="宋体" w:eastAsia="宋体" w:cs="Times New Roman"/>
                <w:bCs/>
                <w:color w:val="000000"/>
                <w:sz w:val="24"/>
                <w:highlight w:val="none"/>
              </w:rPr>
              <w:t>元</w:t>
            </w:r>
            <w:r>
              <w:rPr>
                <w:rFonts w:hint="eastAsia" w:ascii="宋体" w:hAnsi="宋体" w:eastAsia="宋体" w:cs="Times New Roman"/>
                <w:color w:val="000000"/>
                <w:sz w:val="24"/>
                <w:highlight w:val="none"/>
                <w:u w:val="single"/>
              </w:rPr>
              <w:t xml:space="preserve">      </w:t>
            </w:r>
            <w:r>
              <w:rPr>
                <w:rFonts w:hint="eastAsia" w:ascii="宋体" w:hAnsi="宋体" w:eastAsia="宋体" w:cs="Times New Roman"/>
                <w:bCs/>
                <w:color w:val="000000"/>
                <w:sz w:val="24"/>
                <w:highlight w:val="none"/>
              </w:rPr>
              <w:t>角</w:t>
            </w:r>
            <w:r>
              <w:rPr>
                <w:rFonts w:hint="eastAsia" w:ascii="宋体" w:hAnsi="宋体" w:eastAsia="宋体" w:cs="Times New Roman"/>
                <w:color w:val="000000"/>
                <w:sz w:val="24"/>
                <w:highlight w:val="none"/>
                <w:u w:val="single"/>
              </w:rPr>
              <w:t xml:space="preserve">      </w:t>
            </w:r>
            <w:r>
              <w:rPr>
                <w:rFonts w:hint="eastAsia" w:ascii="宋体" w:hAnsi="宋体" w:eastAsia="宋体" w:cs="Times New Roman"/>
                <w:bCs/>
                <w:color w:val="000000"/>
                <w:sz w:val="24"/>
                <w:highlight w:val="none"/>
              </w:rPr>
              <w:t>分</w:t>
            </w:r>
          </w:p>
        </w:tc>
      </w:tr>
    </w:tbl>
    <w:p w14:paraId="79C48B2C">
      <w:pPr>
        <w:spacing w:line="480" w:lineRule="exact"/>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备注：“投标总报价”数额应当与“开标一览表”中“投标总报价”数额一致。</w:t>
      </w:r>
    </w:p>
    <w:p w14:paraId="3EACAE28">
      <w:pPr>
        <w:spacing w:line="480" w:lineRule="exact"/>
        <w:rPr>
          <w:rFonts w:eastAsia="宋体" w:cs="Times New Roman"/>
          <w:color w:val="000000"/>
          <w:highlight w:val="none"/>
        </w:rPr>
      </w:pPr>
    </w:p>
    <w:p w14:paraId="060A9B66">
      <w:pPr>
        <w:pStyle w:val="337"/>
        <w:jc w:val="center"/>
        <w:rPr>
          <w:rFonts w:hint="eastAsia"/>
          <w:color w:val="000000"/>
          <w:highlight w:val="none"/>
        </w:rPr>
      </w:pPr>
      <w:r>
        <w:rPr>
          <w:rFonts w:ascii="Times New Roman" w:hAnsi="Times New Roman" w:eastAsia="宋体" w:cs="宋体"/>
          <w:b/>
          <w:bCs/>
          <w:caps w:val="0"/>
          <w:strike/>
          <w:color w:val="000000"/>
          <w:sz w:val="32"/>
          <w:szCs w:val="32"/>
          <w:highlight w:val="none"/>
          <w:lang w:val="en-US" w:eastAsia="zh-CN" w:bidi="ar-SA"/>
        </w:rPr>
        <w:br w:type="page" w:clear="all"/>
      </w:r>
      <w:bookmarkStart w:id="194" w:name="_Toc17418"/>
    </w:p>
    <w:p w14:paraId="7A5BCE36">
      <w:pPr>
        <w:pStyle w:val="371"/>
        <w:outlineLvl w:val="1"/>
        <w:rPr>
          <w:rFonts w:hint="eastAsia"/>
          <w:b w:val="0"/>
          <w:bCs/>
          <w:color w:val="000000"/>
          <w:highlight w:val="none"/>
        </w:rPr>
      </w:pPr>
      <w:bookmarkStart w:id="195" w:name="_Toc2747"/>
      <w:bookmarkStart w:id="196" w:name="_Toc21129"/>
      <w:r>
        <w:rPr>
          <w:rFonts w:hint="eastAsia"/>
          <w:b w:val="0"/>
          <w:bCs/>
          <w:color w:val="000000"/>
          <w:highlight w:val="none"/>
        </w:rPr>
        <w:t>六、中小企业或残疾人福利性单位声明函</w:t>
      </w:r>
      <w:bookmarkEnd w:id="194"/>
      <w:bookmarkEnd w:id="195"/>
      <w:bookmarkEnd w:id="196"/>
    </w:p>
    <w:p w14:paraId="1F4D7BC2">
      <w:pPr>
        <w:pStyle w:val="337"/>
        <w:jc w:val="center"/>
        <w:rPr>
          <w:rFonts w:ascii="方正小标宋_GBK" w:eastAsia="方正小标宋_GBK"/>
          <w:bCs/>
          <w:color w:val="000000"/>
          <w:sz w:val="32"/>
          <w:szCs w:val="32"/>
          <w:highlight w:val="none"/>
        </w:rPr>
      </w:pPr>
    </w:p>
    <w:p w14:paraId="25F64C05">
      <w:pPr>
        <w:pStyle w:val="337"/>
        <w:jc w:val="center"/>
        <w:rPr>
          <w:rFonts w:ascii="方正小标宋_GBK" w:eastAsia="方正小标宋_GBK"/>
          <w:bCs/>
          <w:color w:val="000000"/>
          <w:sz w:val="32"/>
          <w:szCs w:val="32"/>
          <w:highlight w:val="none"/>
        </w:rPr>
      </w:pPr>
      <w:r>
        <w:rPr>
          <w:rFonts w:hint="eastAsia" w:ascii="方正小标宋_GBK" w:eastAsia="方正小标宋_GBK"/>
          <w:bCs/>
          <w:color w:val="000000"/>
          <w:sz w:val="32"/>
          <w:szCs w:val="32"/>
          <w:highlight w:val="none"/>
        </w:rPr>
        <w:t>中小微企业声明函</w:t>
      </w:r>
    </w:p>
    <w:p w14:paraId="33B61473">
      <w:pPr>
        <w:spacing w:line="560" w:lineRule="exact"/>
        <w:ind w:firstLine="360"/>
        <w:rPr>
          <w:rFonts w:hint="eastAsia" w:ascii="Times New Roman" w:hAnsi="Times New Roman" w:eastAsia="宋体" w:cs="Times New Roman"/>
          <w:caps w:val="0"/>
          <w:color w:val="000000"/>
          <w:sz w:val="24"/>
          <w:szCs w:val="24"/>
          <w:highlight w:val="none"/>
        </w:rPr>
      </w:pPr>
      <w:r>
        <w:rPr>
          <w:rFonts w:hint="eastAsia" w:ascii="Times New Roman" w:hAnsi="Times New Roman" w:eastAsia="宋体" w:cs="Times New Roman"/>
          <w:caps w:val="0"/>
          <w:color w:val="000000"/>
          <w:sz w:val="24"/>
          <w:szCs w:val="24"/>
          <w:highlight w:val="none"/>
        </w:rPr>
        <w:t>本公司（联合体）郑重声明，根据《政府采购促进中小企业发展管理办法》</w:t>
      </w:r>
      <w:r>
        <w:rPr>
          <w:rFonts w:hint="eastAsia" w:ascii="Times New Roman" w:hAnsi="Times New Roman" w:cs="Times New Roman"/>
          <w:caps w:val="0"/>
          <w:color w:val="000000"/>
          <w:sz w:val="24"/>
          <w:szCs w:val="24"/>
          <w:highlight w:val="none"/>
          <w:lang w:eastAsia="zh-CN"/>
        </w:rPr>
        <w:t>（</w:t>
      </w:r>
      <w:r>
        <w:rPr>
          <w:rFonts w:hint="eastAsia" w:ascii="Times New Roman" w:hAnsi="Times New Roman" w:eastAsia="宋体" w:cs="Times New Roman"/>
          <w:caps w:val="0"/>
          <w:color w:val="000000"/>
          <w:sz w:val="24"/>
          <w:szCs w:val="24"/>
          <w:highlight w:val="none"/>
        </w:rPr>
        <w:t>财库</w:t>
      </w:r>
      <w:r>
        <w:rPr>
          <w:rFonts w:hint="eastAsia" w:ascii="Times New Roman" w:hAnsi="Times New Roman" w:cs="Times New Roman"/>
          <w:caps w:val="0"/>
          <w:color w:val="000000"/>
          <w:sz w:val="24"/>
          <w:szCs w:val="24"/>
          <w:highlight w:val="none"/>
          <w:lang w:eastAsia="zh-CN"/>
        </w:rPr>
        <w:t>〔2020〕46号）</w:t>
      </w:r>
      <w:r>
        <w:rPr>
          <w:rFonts w:hint="eastAsia" w:ascii="Times New Roman" w:hAnsi="Times New Roman" w:eastAsia="宋体" w:cs="Times New Roman"/>
          <w:caps w:val="0"/>
          <w:color w:val="000000"/>
          <w:sz w:val="24"/>
          <w:szCs w:val="24"/>
          <w:highlight w:val="none"/>
        </w:rPr>
        <w:t>的规定，本公司（联合体）参加江苏省政府</w:t>
      </w:r>
      <w:r>
        <w:rPr>
          <w:rFonts w:hint="eastAsia" w:ascii="Times New Roman" w:hAnsi="Times New Roman" w:eastAsia="宋体" w:cs="Times New Roman"/>
          <w:caps w:val="0"/>
          <w:color w:val="000000"/>
          <w:sz w:val="24"/>
          <w:szCs w:val="24"/>
          <w:highlight w:val="none"/>
          <w:lang w:eastAsia="zh-CN"/>
        </w:rPr>
        <w:t>采购代理机构</w:t>
      </w:r>
      <w:r>
        <w:rPr>
          <w:rFonts w:hint="eastAsia" w:ascii="Times New Roman" w:hAnsi="Times New Roman" w:eastAsia="宋体" w:cs="Times New Roman"/>
          <w:caps w:val="0"/>
          <w:color w:val="000000"/>
          <w:sz w:val="24"/>
          <w:szCs w:val="24"/>
          <w:highlight w:val="none"/>
        </w:rPr>
        <w:t>组织的</w:t>
      </w:r>
      <w:r>
        <w:rPr>
          <w:rFonts w:hint="eastAsia" w:ascii="Times New Roman" w:hAnsi="Times New Roman" w:eastAsia="宋体" w:cs="Times New Roman"/>
          <w:caps w:val="0"/>
          <w:color w:val="000000"/>
          <w:sz w:val="24"/>
          <w:szCs w:val="24"/>
          <w:highlight w:val="none"/>
          <w:u w:val="single"/>
        </w:rPr>
        <w:t>（单位名称）</w:t>
      </w:r>
      <w:r>
        <w:rPr>
          <w:rFonts w:hint="eastAsia" w:ascii="Times New Roman" w:hAnsi="Times New Roman" w:eastAsia="宋体" w:cs="Times New Roman"/>
          <w:caps w:val="0"/>
          <w:color w:val="000000"/>
          <w:sz w:val="24"/>
          <w:szCs w:val="24"/>
          <w:highlight w:val="none"/>
        </w:rPr>
        <w:t>采购编号为</w:t>
      </w:r>
      <w:r>
        <w:rPr>
          <w:rFonts w:hint="eastAsia" w:ascii="Times New Roman" w:hAnsi="Times New Roman" w:eastAsia="宋体" w:cs="Times New Roman"/>
          <w:caps w:val="0"/>
          <w:color w:val="000000"/>
          <w:sz w:val="24"/>
          <w:szCs w:val="24"/>
          <w:highlight w:val="none"/>
          <w:u w:val="single"/>
        </w:rPr>
        <w:t>***</w:t>
      </w:r>
      <w:r>
        <w:rPr>
          <w:rFonts w:hint="eastAsia" w:ascii="Times New Roman" w:hAnsi="Times New Roman" w:eastAsia="宋体" w:cs="Times New Roman"/>
          <w:caps w:val="0"/>
          <w:color w:val="000000"/>
          <w:sz w:val="24"/>
          <w:szCs w:val="24"/>
          <w:highlight w:val="none"/>
        </w:rPr>
        <w:t>，</w:t>
      </w:r>
      <w:r>
        <w:rPr>
          <w:rFonts w:hint="eastAsia" w:ascii="Times New Roman" w:hAnsi="Times New Roman" w:eastAsia="宋体" w:cs="Times New Roman"/>
          <w:caps w:val="0"/>
          <w:color w:val="000000"/>
          <w:sz w:val="24"/>
          <w:szCs w:val="24"/>
          <w:highlight w:val="none"/>
          <w:u w:val="single"/>
        </w:rPr>
        <w:t>（项目名称）（分包号：**）</w:t>
      </w:r>
      <w:r>
        <w:rPr>
          <w:rFonts w:hint="eastAsia" w:ascii="Times New Roman" w:hAnsi="Times New Roman" w:eastAsia="宋体" w:cs="Times New Roman"/>
          <w:caps w:val="0"/>
          <w:color w:val="000000"/>
          <w:sz w:val="24"/>
          <w:szCs w:val="24"/>
          <w:highlight w:val="none"/>
        </w:rPr>
        <w:t>的采购活动，服务全部由符合政策的</w:t>
      </w:r>
      <w:r>
        <w:rPr>
          <w:rFonts w:hint="eastAsia" w:ascii="Times New Roman" w:hAnsi="Times New Roman" w:eastAsia="宋体" w:cs="Times New Roman"/>
          <w:caps w:val="0"/>
          <w:color w:val="000000"/>
          <w:sz w:val="24"/>
          <w:szCs w:val="24"/>
          <w:highlight w:val="none"/>
          <w:lang w:val="en-US" w:eastAsia="zh-CN"/>
        </w:rPr>
        <w:t>中</w:t>
      </w:r>
      <w:r>
        <w:rPr>
          <w:rFonts w:hint="eastAsia" w:ascii="Times New Roman" w:hAnsi="Times New Roman" w:eastAsia="宋体" w:cs="Times New Roman"/>
          <w:caps w:val="0"/>
          <w:color w:val="000000"/>
          <w:sz w:val="24"/>
          <w:szCs w:val="24"/>
          <w:highlight w:val="none"/>
        </w:rPr>
        <w:t>小微企业承接。根据《工业和信息化部、国家统计局、国家发展和改革委员会、财政部关于印发中小企业划型标准规定的通知》</w:t>
      </w:r>
      <w:r>
        <w:rPr>
          <w:rFonts w:hint="eastAsia" w:ascii="Times New Roman" w:hAnsi="Times New Roman" w:cs="Times New Roman"/>
          <w:caps w:val="0"/>
          <w:color w:val="000000"/>
          <w:sz w:val="24"/>
          <w:szCs w:val="24"/>
          <w:highlight w:val="none"/>
          <w:lang w:eastAsia="zh-CN"/>
        </w:rPr>
        <w:t>（</w:t>
      </w:r>
      <w:r>
        <w:rPr>
          <w:rFonts w:hint="eastAsia" w:ascii="Times New Roman" w:hAnsi="Times New Roman" w:eastAsia="宋体" w:cs="Times New Roman"/>
          <w:caps w:val="0"/>
          <w:color w:val="000000"/>
          <w:sz w:val="24"/>
          <w:szCs w:val="24"/>
          <w:highlight w:val="none"/>
        </w:rPr>
        <w:t>工信部联企业</w:t>
      </w:r>
      <w:r>
        <w:rPr>
          <w:rFonts w:hint="eastAsia" w:ascii="Times New Roman" w:hAnsi="Times New Roman" w:cs="Times New Roman"/>
          <w:caps w:val="0"/>
          <w:color w:val="000000"/>
          <w:sz w:val="24"/>
          <w:szCs w:val="24"/>
          <w:highlight w:val="none"/>
          <w:lang w:eastAsia="zh-CN"/>
        </w:rPr>
        <w:t>〔2011〕300号）</w:t>
      </w:r>
      <w:r>
        <w:rPr>
          <w:rFonts w:hint="eastAsia" w:ascii="Times New Roman" w:hAnsi="Times New Roman" w:eastAsia="宋体" w:cs="Times New Roman"/>
          <w:caps w:val="0"/>
          <w:color w:val="000000"/>
          <w:sz w:val="24"/>
          <w:szCs w:val="24"/>
          <w:highlight w:val="none"/>
        </w:rPr>
        <w:t>的规定，相关企业（含联合体中的小微企业、签订分包意向协议的小微企业）的具体情况如下：</w:t>
      </w:r>
    </w:p>
    <w:p w14:paraId="7CBBDE71">
      <w:pPr>
        <w:keepNext w:val="0"/>
        <w:keepLines w:val="0"/>
        <w:pageBreakBefore w:val="0"/>
        <w:widowControl w:val="0"/>
        <w:spacing w:line="360" w:lineRule="auto"/>
        <w:ind w:firstLine="360"/>
        <w:rPr>
          <w:rFonts w:hint="eastAsia" w:ascii="Times New Roman" w:hAnsi="Times New Roman" w:eastAsia="宋体" w:cs="Times New Roman"/>
          <w:i/>
          <w:caps w:val="0"/>
          <w:color w:val="000000"/>
          <w:sz w:val="24"/>
          <w:szCs w:val="24"/>
          <w:highlight w:val="none"/>
          <w:u w:val="single"/>
        </w:rPr>
      </w:pPr>
      <w:r>
        <w:rPr>
          <w:rFonts w:hint="eastAsia" w:ascii="Times New Roman" w:hAnsi="Times New Roman" w:eastAsia="宋体" w:cs="Times New Roman"/>
          <w:caps w:val="0"/>
          <w:color w:val="000000"/>
          <w:sz w:val="24"/>
          <w:szCs w:val="24"/>
          <w:highlight w:val="none"/>
        </w:rPr>
        <w:t>1.</w:t>
      </w:r>
      <w:r>
        <w:rPr>
          <w:rFonts w:hint="eastAsia" w:ascii="Times New Roman" w:hAnsi="Times New Roman" w:eastAsia="宋体" w:cs="Times New Roman"/>
          <w:caps w:val="0"/>
          <w:color w:val="000000"/>
          <w:sz w:val="24"/>
          <w:szCs w:val="24"/>
          <w:highlight w:val="none"/>
          <w:u w:val="single"/>
        </w:rPr>
        <w:t>（标的名称）</w:t>
      </w:r>
      <w:r>
        <w:rPr>
          <w:rFonts w:hint="eastAsia" w:ascii="Times New Roman" w:hAnsi="Times New Roman" w:eastAsia="宋体" w:cs="Times New Roman"/>
          <w:i/>
          <w:caps w:val="0"/>
          <w:color w:val="000000"/>
          <w:sz w:val="24"/>
          <w:szCs w:val="24"/>
          <w:highlight w:val="none"/>
        </w:rPr>
        <w:t>，</w:t>
      </w:r>
      <w:r>
        <w:rPr>
          <w:rFonts w:hint="eastAsia" w:ascii="Times New Roman" w:hAnsi="Times New Roman" w:eastAsia="宋体" w:cs="Times New Roman"/>
          <w:caps w:val="0"/>
          <w:color w:val="000000"/>
          <w:sz w:val="24"/>
          <w:szCs w:val="24"/>
          <w:highlight w:val="none"/>
        </w:rPr>
        <w:t>属于</w:t>
      </w:r>
      <w:r>
        <w:rPr>
          <w:rFonts w:hint="eastAsia" w:ascii="Times New Roman" w:hAnsi="Times New Roman" w:eastAsia="宋体" w:cs="Times New Roman"/>
          <w:caps w:val="0"/>
          <w:color w:val="000000"/>
          <w:sz w:val="24"/>
          <w:szCs w:val="24"/>
          <w:highlight w:val="none"/>
          <w:u w:val="single"/>
        </w:rPr>
        <w:t xml:space="preserve">       </w:t>
      </w:r>
      <w:r>
        <w:rPr>
          <w:rFonts w:hint="eastAsia" w:ascii="Times New Roman" w:hAnsi="Times New Roman" w:eastAsia="宋体" w:cs="Times New Roman"/>
          <w:caps w:val="0"/>
          <w:color w:val="000000"/>
          <w:sz w:val="24"/>
          <w:szCs w:val="24"/>
          <w:highlight w:val="none"/>
        </w:rPr>
        <w:t>行业；承接企业为</w:t>
      </w:r>
      <w:r>
        <w:rPr>
          <w:rFonts w:hint="eastAsia" w:ascii="Times New Roman" w:hAnsi="Times New Roman" w:eastAsia="宋体" w:cs="Times New Roman"/>
          <w:caps w:val="0"/>
          <w:color w:val="000000"/>
          <w:sz w:val="24"/>
          <w:szCs w:val="24"/>
          <w:highlight w:val="none"/>
          <w:u w:val="single"/>
        </w:rPr>
        <w:t>（企业名称）</w:t>
      </w:r>
      <w:r>
        <w:rPr>
          <w:rFonts w:hint="eastAsia" w:ascii="Times New Roman" w:hAnsi="Times New Roman" w:eastAsia="宋体" w:cs="Times New Roman"/>
          <w:caps w:val="0"/>
          <w:color w:val="000000"/>
          <w:sz w:val="24"/>
          <w:szCs w:val="24"/>
          <w:highlight w:val="none"/>
        </w:rPr>
        <w:t>，从业人员</w:t>
      </w:r>
      <w:r>
        <w:rPr>
          <w:rFonts w:hint="eastAsia" w:ascii="Times New Roman" w:hAnsi="Times New Roman" w:eastAsia="宋体" w:cs="Times New Roman"/>
          <w:caps w:val="0"/>
          <w:color w:val="000000"/>
          <w:sz w:val="24"/>
          <w:szCs w:val="24"/>
          <w:highlight w:val="none"/>
          <w:u w:val="single"/>
        </w:rPr>
        <w:t xml:space="preserve">      </w:t>
      </w:r>
      <w:r>
        <w:rPr>
          <w:rFonts w:hint="eastAsia" w:ascii="Times New Roman" w:hAnsi="Times New Roman" w:eastAsia="宋体" w:cs="Times New Roman"/>
          <w:caps w:val="0"/>
          <w:color w:val="000000"/>
          <w:sz w:val="24"/>
          <w:szCs w:val="24"/>
          <w:highlight w:val="none"/>
        </w:rPr>
        <w:t>人，营业收入为</w:t>
      </w:r>
      <w:r>
        <w:rPr>
          <w:rFonts w:hint="eastAsia" w:ascii="Times New Roman" w:hAnsi="Times New Roman" w:eastAsia="宋体" w:cs="Times New Roman"/>
          <w:caps w:val="0"/>
          <w:color w:val="000000"/>
          <w:sz w:val="24"/>
          <w:szCs w:val="24"/>
          <w:highlight w:val="none"/>
          <w:u w:val="single"/>
        </w:rPr>
        <w:t xml:space="preserve">     </w:t>
      </w:r>
      <w:r>
        <w:rPr>
          <w:rFonts w:hint="eastAsia" w:ascii="Times New Roman" w:hAnsi="Times New Roman" w:eastAsia="宋体" w:cs="Times New Roman"/>
          <w:caps w:val="0"/>
          <w:color w:val="000000"/>
          <w:sz w:val="24"/>
          <w:szCs w:val="24"/>
          <w:highlight w:val="none"/>
        </w:rPr>
        <w:t>万元，资产总额为</w:t>
      </w:r>
      <w:r>
        <w:rPr>
          <w:rFonts w:hint="eastAsia" w:ascii="Times New Roman" w:hAnsi="Times New Roman" w:eastAsia="宋体" w:cs="Times New Roman"/>
          <w:caps w:val="0"/>
          <w:color w:val="000000"/>
          <w:sz w:val="24"/>
          <w:szCs w:val="24"/>
          <w:highlight w:val="none"/>
          <w:u w:val="single"/>
        </w:rPr>
        <w:t xml:space="preserve">      </w:t>
      </w:r>
      <w:r>
        <w:rPr>
          <w:rFonts w:hint="eastAsia" w:ascii="Times New Roman" w:hAnsi="Times New Roman" w:eastAsia="宋体" w:cs="Times New Roman"/>
          <w:caps w:val="0"/>
          <w:color w:val="000000"/>
          <w:sz w:val="24"/>
          <w:szCs w:val="24"/>
          <w:highlight w:val="none"/>
        </w:rPr>
        <w:t>万元</w:t>
      </w:r>
      <w:r>
        <w:rPr>
          <w:rFonts w:hint="eastAsia" w:ascii="Times New Roman" w:hAnsi="Times New Roman" w:eastAsia="宋体" w:cs="Times New Roman"/>
          <w:caps w:val="0"/>
          <w:color w:val="000000"/>
          <w:sz w:val="24"/>
          <w:szCs w:val="24"/>
          <w:highlight w:val="none"/>
          <w:vertAlign w:val="superscript"/>
        </w:rPr>
        <w:t>1</w:t>
      </w:r>
      <w:r>
        <w:rPr>
          <w:rFonts w:hint="eastAsia" w:ascii="Times New Roman" w:hAnsi="Times New Roman" w:eastAsia="宋体" w:cs="Times New Roman"/>
          <w:caps w:val="0"/>
          <w:color w:val="000000"/>
          <w:sz w:val="24"/>
          <w:szCs w:val="24"/>
          <w:highlight w:val="none"/>
        </w:rPr>
        <w:t>，属于</w:t>
      </w:r>
      <w:r>
        <w:rPr>
          <w:rFonts w:hint="eastAsia" w:ascii="Times New Roman" w:hAnsi="Times New Roman" w:eastAsia="宋体" w:cs="Times New Roman"/>
          <w:caps w:val="0"/>
          <w:color w:val="000000"/>
          <w:sz w:val="24"/>
          <w:szCs w:val="24"/>
          <w:highlight w:val="none"/>
          <w:u w:val="single"/>
        </w:rPr>
        <w:t>（</w:t>
      </w:r>
      <w:r>
        <w:rPr>
          <w:rFonts w:hint="eastAsia" w:ascii="Times New Roman" w:hAnsi="Times New Roman" w:eastAsia="宋体" w:cs="Times New Roman"/>
          <w:caps w:val="0"/>
          <w:color w:val="000000"/>
          <w:sz w:val="24"/>
          <w:szCs w:val="24"/>
          <w:highlight w:val="none"/>
          <w:u w:val="single"/>
          <w:lang w:val="en-US" w:eastAsia="zh-CN"/>
        </w:rPr>
        <w:t>中型企业、</w:t>
      </w:r>
      <w:r>
        <w:rPr>
          <w:rFonts w:hint="eastAsia" w:ascii="Times New Roman" w:hAnsi="Times New Roman" w:eastAsia="宋体" w:cs="Times New Roman"/>
          <w:caps w:val="0"/>
          <w:color w:val="000000"/>
          <w:sz w:val="24"/>
          <w:szCs w:val="24"/>
          <w:highlight w:val="none"/>
          <w:u w:val="single"/>
        </w:rPr>
        <w:t>小型企业、微型企业）；</w:t>
      </w:r>
    </w:p>
    <w:p w14:paraId="3D3883CF">
      <w:pPr>
        <w:keepNext w:val="0"/>
        <w:keepLines w:val="0"/>
        <w:pageBreakBefore w:val="0"/>
        <w:widowControl w:val="0"/>
        <w:spacing w:line="360" w:lineRule="auto"/>
        <w:ind w:firstLine="360"/>
        <w:rPr>
          <w:rFonts w:hint="eastAsia" w:ascii="Times New Roman" w:hAnsi="Times New Roman" w:eastAsia="宋体" w:cs="Times New Roman"/>
          <w:i/>
          <w:caps w:val="0"/>
          <w:color w:val="000000"/>
          <w:sz w:val="24"/>
          <w:szCs w:val="24"/>
          <w:highlight w:val="none"/>
          <w:u w:val="single"/>
        </w:rPr>
      </w:pPr>
      <w:r>
        <w:rPr>
          <w:rFonts w:hint="eastAsia" w:ascii="Times New Roman" w:hAnsi="Times New Roman" w:eastAsia="宋体" w:cs="Times New Roman"/>
          <w:caps w:val="0"/>
          <w:color w:val="000000"/>
          <w:sz w:val="24"/>
          <w:szCs w:val="24"/>
          <w:highlight w:val="none"/>
        </w:rPr>
        <w:t>2.</w:t>
      </w:r>
      <w:r>
        <w:rPr>
          <w:rFonts w:hint="eastAsia" w:ascii="Times New Roman" w:hAnsi="Times New Roman" w:eastAsia="宋体" w:cs="Times New Roman"/>
          <w:caps w:val="0"/>
          <w:color w:val="000000"/>
          <w:sz w:val="24"/>
          <w:szCs w:val="24"/>
          <w:highlight w:val="none"/>
          <w:u w:val="single"/>
        </w:rPr>
        <w:t>（标的名称）</w:t>
      </w:r>
      <w:r>
        <w:rPr>
          <w:rFonts w:hint="eastAsia" w:ascii="Times New Roman" w:hAnsi="Times New Roman" w:eastAsia="宋体" w:cs="Times New Roman"/>
          <w:i/>
          <w:caps w:val="0"/>
          <w:color w:val="000000"/>
          <w:sz w:val="24"/>
          <w:szCs w:val="24"/>
          <w:highlight w:val="none"/>
        </w:rPr>
        <w:t>，</w:t>
      </w:r>
      <w:r>
        <w:rPr>
          <w:rFonts w:hint="eastAsia" w:ascii="Times New Roman" w:hAnsi="Times New Roman" w:eastAsia="宋体" w:cs="Times New Roman"/>
          <w:caps w:val="0"/>
          <w:color w:val="000000"/>
          <w:sz w:val="24"/>
          <w:szCs w:val="24"/>
          <w:highlight w:val="none"/>
        </w:rPr>
        <w:t>属于</w:t>
      </w:r>
      <w:r>
        <w:rPr>
          <w:rFonts w:hint="eastAsia" w:ascii="Times New Roman" w:hAnsi="Times New Roman" w:eastAsia="宋体" w:cs="Times New Roman"/>
          <w:caps w:val="0"/>
          <w:color w:val="000000"/>
          <w:sz w:val="24"/>
          <w:szCs w:val="24"/>
          <w:highlight w:val="none"/>
          <w:u w:val="single"/>
        </w:rPr>
        <w:t xml:space="preserve">       </w:t>
      </w:r>
      <w:r>
        <w:rPr>
          <w:rFonts w:hint="eastAsia" w:ascii="Times New Roman" w:hAnsi="Times New Roman" w:eastAsia="宋体" w:cs="Times New Roman"/>
          <w:caps w:val="0"/>
          <w:color w:val="000000"/>
          <w:sz w:val="24"/>
          <w:szCs w:val="24"/>
          <w:highlight w:val="none"/>
        </w:rPr>
        <w:t>行业；承接企业为</w:t>
      </w:r>
      <w:r>
        <w:rPr>
          <w:rFonts w:hint="eastAsia" w:ascii="Times New Roman" w:hAnsi="Times New Roman" w:eastAsia="宋体" w:cs="Times New Roman"/>
          <w:caps w:val="0"/>
          <w:color w:val="000000"/>
          <w:sz w:val="24"/>
          <w:szCs w:val="24"/>
          <w:highlight w:val="none"/>
          <w:u w:val="single"/>
        </w:rPr>
        <w:t>（企业名称）</w:t>
      </w:r>
      <w:r>
        <w:rPr>
          <w:rFonts w:hint="eastAsia" w:ascii="Times New Roman" w:hAnsi="Times New Roman" w:eastAsia="宋体" w:cs="Times New Roman"/>
          <w:caps w:val="0"/>
          <w:color w:val="000000"/>
          <w:sz w:val="24"/>
          <w:szCs w:val="24"/>
          <w:highlight w:val="none"/>
        </w:rPr>
        <w:t>，从业人员</w:t>
      </w:r>
      <w:r>
        <w:rPr>
          <w:rFonts w:hint="eastAsia" w:ascii="Times New Roman" w:hAnsi="Times New Roman" w:eastAsia="宋体" w:cs="Times New Roman"/>
          <w:caps w:val="0"/>
          <w:color w:val="000000"/>
          <w:sz w:val="24"/>
          <w:szCs w:val="24"/>
          <w:highlight w:val="none"/>
          <w:u w:val="single"/>
        </w:rPr>
        <w:t xml:space="preserve">      </w:t>
      </w:r>
      <w:r>
        <w:rPr>
          <w:rFonts w:hint="eastAsia" w:ascii="Times New Roman" w:hAnsi="Times New Roman" w:eastAsia="宋体" w:cs="Times New Roman"/>
          <w:caps w:val="0"/>
          <w:color w:val="000000"/>
          <w:sz w:val="24"/>
          <w:szCs w:val="24"/>
          <w:highlight w:val="none"/>
        </w:rPr>
        <w:t>人，营业收入为</w:t>
      </w:r>
      <w:r>
        <w:rPr>
          <w:rFonts w:hint="eastAsia" w:ascii="Times New Roman" w:hAnsi="Times New Roman" w:eastAsia="宋体" w:cs="Times New Roman"/>
          <w:caps w:val="0"/>
          <w:color w:val="000000"/>
          <w:sz w:val="24"/>
          <w:szCs w:val="24"/>
          <w:highlight w:val="none"/>
          <w:u w:val="single"/>
        </w:rPr>
        <w:t xml:space="preserve">     </w:t>
      </w:r>
      <w:r>
        <w:rPr>
          <w:rFonts w:hint="eastAsia" w:ascii="Times New Roman" w:hAnsi="Times New Roman" w:eastAsia="宋体" w:cs="Times New Roman"/>
          <w:caps w:val="0"/>
          <w:color w:val="000000"/>
          <w:sz w:val="24"/>
          <w:szCs w:val="24"/>
          <w:highlight w:val="none"/>
        </w:rPr>
        <w:t>万元，资产总额为</w:t>
      </w:r>
      <w:r>
        <w:rPr>
          <w:rFonts w:hint="eastAsia" w:ascii="Times New Roman" w:hAnsi="Times New Roman" w:eastAsia="宋体" w:cs="Times New Roman"/>
          <w:caps w:val="0"/>
          <w:color w:val="000000"/>
          <w:sz w:val="24"/>
          <w:szCs w:val="24"/>
          <w:highlight w:val="none"/>
          <w:u w:val="single"/>
        </w:rPr>
        <w:t xml:space="preserve">      </w:t>
      </w:r>
      <w:r>
        <w:rPr>
          <w:rFonts w:hint="eastAsia" w:ascii="Times New Roman" w:hAnsi="Times New Roman" w:eastAsia="宋体" w:cs="Times New Roman"/>
          <w:caps w:val="0"/>
          <w:color w:val="000000"/>
          <w:sz w:val="24"/>
          <w:szCs w:val="24"/>
          <w:highlight w:val="none"/>
        </w:rPr>
        <w:t>万元</w:t>
      </w:r>
      <w:r>
        <w:rPr>
          <w:rFonts w:hint="eastAsia" w:ascii="Times New Roman" w:hAnsi="Times New Roman" w:eastAsia="宋体" w:cs="Times New Roman"/>
          <w:caps w:val="0"/>
          <w:color w:val="000000"/>
          <w:sz w:val="24"/>
          <w:szCs w:val="24"/>
          <w:highlight w:val="none"/>
          <w:vertAlign w:val="superscript"/>
        </w:rPr>
        <w:t>1</w:t>
      </w:r>
      <w:r>
        <w:rPr>
          <w:rFonts w:hint="eastAsia" w:ascii="Times New Roman" w:hAnsi="Times New Roman" w:eastAsia="宋体" w:cs="Times New Roman"/>
          <w:caps w:val="0"/>
          <w:color w:val="000000"/>
          <w:sz w:val="24"/>
          <w:szCs w:val="24"/>
          <w:highlight w:val="none"/>
        </w:rPr>
        <w:t>，属于</w:t>
      </w:r>
      <w:r>
        <w:rPr>
          <w:rFonts w:hint="eastAsia" w:ascii="Times New Roman" w:hAnsi="Times New Roman" w:eastAsia="宋体" w:cs="Times New Roman"/>
          <w:caps w:val="0"/>
          <w:color w:val="000000"/>
          <w:sz w:val="24"/>
          <w:szCs w:val="24"/>
          <w:highlight w:val="none"/>
          <w:u w:val="single"/>
        </w:rPr>
        <w:t>（</w:t>
      </w:r>
      <w:r>
        <w:rPr>
          <w:rFonts w:hint="eastAsia" w:ascii="Times New Roman" w:hAnsi="Times New Roman" w:eastAsia="宋体" w:cs="Times New Roman"/>
          <w:caps w:val="0"/>
          <w:color w:val="000000"/>
          <w:sz w:val="24"/>
          <w:szCs w:val="24"/>
          <w:highlight w:val="none"/>
          <w:u w:val="single"/>
          <w:lang w:val="en-US" w:eastAsia="zh-CN"/>
        </w:rPr>
        <w:t>中型企业、</w:t>
      </w:r>
      <w:r>
        <w:rPr>
          <w:rFonts w:hint="eastAsia" w:ascii="Times New Roman" w:hAnsi="Times New Roman" w:eastAsia="宋体" w:cs="Times New Roman"/>
          <w:caps w:val="0"/>
          <w:color w:val="000000"/>
          <w:sz w:val="24"/>
          <w:szCs w:val="24"/>
          <w:highlight w:val="none"/>
          <w:u w:val="single"/>
        </w:rPr>
        <w:t>小型企业、微型企业）；</w:t>
      </w:r>
    </w:p>
    <w:p w14:paraId="72A25415">
      <w:pPr>
        <w:keepNext w:val="0"/>
        <w:keepLines w:val="0"/>
        <w:pageBreakBefore w:val="0"/>
        <w:widowControl w:val="0"/>
        <w:spacing w:line="360" w:lineRule="auto"/>
        <w:ind w:firstLine="360"/>
        <w:rPr>
          <w:rFonts w:hint="eastAsia" w:ascii="Times New Roman" w:hAnsi="Times New Roman" w:eastAsia="宋体" w:cs="Times New Roman"/>
          <w:caps w:val="0"/>
          <w:color w:val="000000"/>
          <w:sz w:val="24"/>
          <w:szCs w:val="24"/>
          <w:highlight w:val="none"/>
        </w:rPr>
      </w:pPr>
      <w:r>
        <w:rPr>
          <w:rFonts w:hint="eastAsia" w:ascii="Times New Roman" w:hAnsi="Times New Roman" w:eastAsia="宋体" w:cs="Times New Roman"/>
          <w:caps w:val="0"/>
          <w:color w:val="000000"/>
          <w:sz w:val="24"/>
          <w:szCs w:val="24"/>
          <w:highlight w:val="none"/>
        </w:rPr>
        <w:t>……</w:t>
      </w:r>
    </w:p>
    <w:p w14:paraId="51378600">
      <w:pPr>
        <w:keepNext w:val="0"/>
        <w:keepLines w:val="0"/>
        <w:pageBreakBefore w:val="0"/>
        <w:widowControl w:val="0"/>
        <w:spacing w:line="360" w:lineRule="auto"/>
        <w:ind w:firstLine="360"/>
        <w:rPr>
          <w:rFonts w:hint="eastAsia" w:ascii="Times New Roman" w:hAnsi="Times New Roman" w:eastAsia="宋体" w:cs="Times New Roman"/>
          <w:caps w:val="0"/>
          <w:color w:val="000000"/>
          <w:sz w:val="24"/>
          <w:szCs w:val="24"/>
          <w:highlight w:val="none"/>
        </w:rPr>
      </w:pPr>
      <w:r>
        <w:rPr>
          <w:rFonts w:hint="eastAsia" w:ascii="Times New Roman" w:hAnsi="Times New Roman" w:eastAsia="宋体" w:cs="Times New Roman"/>
          <w:caps w:val="0"/>
          <w:color w:val="000000"/>
          <w:sz w:val="24"/>
          <w:szCs w:val="24"/>
          <w:highlight w:val="none"/>
        </w:rPr>
        <w:t>以上企业，不属于大企业的分支机构，不存在控股股东为大企业的情形，也不存在与大企业的负责人为同一人的情形。</w:t>
      </w:r>
    </w:p>
    <w:p w14:paraId="359AED19">
      <w:pPr>
        <w:keepNext w:val="0"/>
        <w:keepLines w:val="0"/>
        <w:pageBreakBefore w:val="0"/>
        <w:widowControl w:val="0"/>
        <w:spacing w:line="360" w:lineRule="auto"/>
        <w:ind w:firstLine="360"/>
        <w:rPr>
          <w:rFonts w:hint="eastAsia" w:ascii="Times New Roman" w:hAnsi="Times New Roman" w:eastAsia="宋体" w:cs="Times New Roman"/>
          <w:caps w:val="0"/>
          <w:color w:val="000000"/>
          <w:sz w:val="24"/>
          <w:szCs w:val="24"/>
          <w:highlight w:val="none"/>
          <w:lang w:eastAsia="zh-CN"/>
        </w:rPr>
      </w:pPr>
      <w:r>
        <w:rPr>
          <w:rFonts w:hint="eastAsia" w:ascii="Times New Roman" w:hAnsi="Times New Roman" w:eastAsia="宋体" w:cs="Times New Roman"/>
          <w:caps w:val="0"/>
          <w:color w:val="000000"/>
          <w:sz w:val="24"/>
          <w:szCs w:val="24"/>
          <w:highlight w:val="none"/>
        </w:rPr>
        <w:t>本企业对上述声明内容的真实性负责。如有虚假，将依法承担相应责任</w:t>
      </w:r>
      <w:r>
        <w:rPr>
          <w:rFonts w:hint="eastAsia" w:ascii="Times New Roman" w:hAnsi="Times New Roman" w:eastAsia="宋体" w:cs="Times New Roman"/>
          <w:caps w:val="0"/>
          <w:color w:val="000000"/>
          <w:sz w:val="24"/>
          <w:szCs w:val="24"/>
          <w:highlight w:val="none"/>
          <w:lang w:eastAsia="zh-CN"/>
        </w:rPr>
        <w:t>。</w:t>
      </w:r>
    </w:p>
    <w:p w14:paraId="33BE2891">
      <w:pPr>
        <w:keepNext w:val="0"/>
        <w:keepLines w:val="0"/>
        <w:pageBreakBefore w:val="0"/>
        <w:widowControl w:val="0"/>
        <w:spacing w:line="360" w:lineRule="auto"/>
        <w:ind w:firstLine="360"/>
        <w:rPr>
          <w:rFonts w:hint="eastAsia" w:ascii="Times New Roman" w:hAnsi="Times New Roman" w:eastAsia="宋体" w:cs="Times New Roman"/>
          <w:caps w:val="0"/>
          <w:color w:val="000000"/>
          <w:sz w:val="24"/>
          <w:szCs w:val="24"/>
          <w:highlight w:val="none"/>
          <w:lang w:eastAsia="zh-CN"/>
        </w:rPr>
      </w:pPr>
    </w:p>
    <w:p w14:paraId="3954C4D8">
      <w:pPr>
        <w:keepNext w:val="0"/>
        <w:keepLines w:val="0"/>
        <w:pageBreakBefore w:val="0"/>
        <w:widowControl w:val="0"/>
        <w:spacing w:line="360" w:lineRule="auto"/>
        <w:ind w:firstLine="360"/>
        <w:rPr>
          <w:rFonts w:hint="eastAsia" w:ascii="Times New Roman" w:hAnsi="Times New Roman" w:eastAsia="宋体" w:cs="Times New Roman"/>
          <w:caps w:val="0"/>
          <w:color w:val="000000"/>
          <w:sz w:val="24"/>
          <w:szCs w:val="24"/>
          <w:highlight w:val="none"/>
        </w:rPr>
      </w:pPr>
      <w:r>
        <w:rPr>
          <w:rFonts w:hint="eastAsia" w:ascii="Times New Roman" w:hAnsi="Times New Roman" w:eastAsia="宋体" w:cs="Times New Roman"/>
          <w:caps w:val="0"/>
          <w:color w:val="000000"/>
          <w:sz w:val="24"/>
          <w:szCs w:val="24"/>
          <w:highlight w:val="none"/>
          <w:lang w:eastAsia="zh-CN"/>
        </w:rPr>
        <w:t>（</w:t>
      </w:r>
      <w:r>
        <w:rPr>
          <w:rFonts w:hint="eastAsia" w:ascii="Times New Roman" w:hAnsi="Times New Roman" w:eastAsia="宋体" w:cs="Times New Roman"/>
          <w:caps w:val="0"/>
          <w:color w:val="000000"/>
          <w:sz w:val="24"/>
          <w:szCs w:val="24"/>
          <w:highlight w:val="none"/>
        </w:rPr>
        <w:t>备注</w:t>
      </w:r>
      <w:r>
        <w:rPr>
          <w:rFonts w:hint="eastAsia" w:ascii="Times New Roman" w:hAnsi="Times New Roman" w:eastAsia="宋体" w:cs="Times New Roman"/>
          <w:caps w:val="0"/>
          <w:color w:val="000000"/>
          <w:sz w:val="24"/>
          <w:szCs w:val="24"/>
          <w:highlight w:val="none"/>
          <w:lang w:eastAsia="zh-CN"/>
        </w:rPr>
        <w:t>：</w:t>
      </w:r>
      <w:r>
        <w:rPr>
          <w:rFonts w:hint="eastAsia" w:ascii="Times New Roman" w:hAnsi="Times New Roman" w:eastAsia="宋体" w:cs="Times New Roman"/>
          <w:caps w:val="0"/>
          <w:color w:val="000000"/>
          <w:sz w:val="24"/>
          <w:szCs w:val="24"/>
          <w:highlight w:val="none"/>
          <w:lang w:val="en-US" w:eastAsia="zh-CN"/>
        </w:rPr>
        <w:t>1、</w:t>
      </w:r>
      <w:r>
        <w:rPr>
          <w:rFonts w:hint="eastAsia" w:ascii="Times New Roman" w:hAnsi="Times New Roman" w:eastAsia="宋体" w:cs="Times New Roman"/>
          <w:caps w:val="0"/>
          <w:color w:val="000000"/>
          <w:sz w:val="24"/>
          <w:szCs w:val="24"/>
          <w:highlight w:val="none"/>
          <w:lang w:eastAsia="zh-CN"/>
        </w:rPr>
        <w:t>从业人员、营业收入、资产总额填报上一年度数据，无上一年度数据的新成立企业可不填报。</w:t>
      </w:r>
      <w:r>
        <w:rPr>
          <w:rFonts w:hint="eastAsia" w:ascii="Times New Roman" w:hAnsi="Times New Roman" w:eastAsia="宋体" w:cs="Times New Roman"/>
          <w:caps w:val="0"/>
          <w:color w:val="000000"/>
          <w:sz w:val="24"/>
          <w:szCs w:val="24"/>
          <w:highlight w:val="none"/>
          <w:lang w:val="en-US" w:eastAsia="zh-CN"/>
        </w:rPr>
        <w:t>2、</w:t>
      </w:r>
      <w:r>
        <w:rPr>
          <w:rFonts w:hint="eastAsia" w:ascii="Times New Roman" w:hAnsi="Times New Roman" w:eastAsia="宋体" w:cs="Times New Roman"/>
          <w:caps w:val="0"/>
          <w:color w:val="000000"/>
          <w:sz w:val="24"/>
          <w:szCs w:val="24"/>
          <w:highlight w:val="none"/>
          <w:lang w:eastAsia="zh-CN"/>
        </w:rPr>
        <w:t>投标人如不提供此声明函，不得参加专门面向中小企业采购项目或者</w:t>
      </w:r>
      <w:r>
        <w:rPr>
          <w:rFonts w:hint="eastAsia" w:ascii="Times New Roman" w:hAnsi="Times New Roman" w:eastAsia="宋体" w:cs="Times New Roman"/>
          <w:caps w:val="0"/>
          <w:color w:val="000000"/>
          <w:sz w:val="24"/>
          <w:szCs w:val="24"/>
          <w:highlight w:val="none"/>
          <w:lang w:val="en-US" w:eastAsia="zh-CN"/>
        </w:rPr>
        <w:t>不得享受小微企业价格扣除政策</w:t>
      </w:r>
      <w:r>
        <w:rPr>
          <w:rFonts w:hint="eastAsia" w:ascii="Times New Roman" w:hAnsi="Times New Roman" w:eastAsia="宋体" w:cs="Times New Roman"/>
          <w:caps w:val="0"/>
          <w:color w:val="000000"/>
          <w:sz w:val="24"/>
          <w:szCs w:val="24"/>
          <w:highlight w:val="none"/>
          <w:lang w:eastAsia="zh-CN"/>
        </w:rPr>
        <w:t>。此声明函将随成交结果同时公告，接受社会监督。</w:t>
      </w:r>
      <w:r>
        <w:rPr>
          <w:rFonts w:hint="eastAsia" w:ascii="Times New Roman" w:hAnsi="Times New Roman" w:eastAsia="宋体" w:cs="Times New Roman"/>
          <w:caps w:val="0"/>
          <w:color w:val="000000"/>
          <w:sz w:val="24"/>
          <w:szCs w:val="24"/>
          <w:highlight w:val="none"/>
          <w:lang w:val="en-US" w:eastAsia="zh-CN"/>
        </w:rPr>
        <w:t>3、</w:t>
      </w:r>
      <w:r>
        <w:rPr>
          <w:rFonts w:hint="eastAsia" w:ascii="Times New Roman" w:hAnsi="Times New Roman" w:eastAsia="宋体" w:cs="Times New Roman"/>
          <w:caps w:val="0"/>
          <w:color w:val="000000"/>
          <w:sz w:val="24"/>
          <w:szCs w:val="24"/>
          <w:highlight w:val="none"/>
          <w:lang w:eastAsia="zh-CN"/>
        </w:rPr>
        <w:t>服务采购项目中，服务的承接商应当为中小企业，不对其中涉及的货物的制造商、工程的承建商作出要求。）</w:t>
      </w:r>
    </w:p>
    <w:p w14:paraId="61C5C9F8">
      <w:pPr>
        <w:keepNext w:val="0"/>
        <w:keepLines w:val="0"/>
        <w:pageBreakBefore w:val="0"/>
        <w:widowControl w:val="0"/>
        <w:spacing w:line="360" w:lineRule="auto"/>
        <w:ind w:right="720"/>
        <w:rPr>
          <w:rFonts w:hint="eastAsia" w:ascii="Times New Roman" w:hAnsi="Times New Roman" w:eastAsia="宋体" w:cs="Times New Roman"/>
          <w:caps w:val="0"/>
          <w:color w:val="000000"/>
          <w:sz w:val="24"/>
          <w:szCs w:val="24"/>
          <w:highlight w:val="none"/>
        </w:rPr>
      </w:pPr>
    </w:p>
    <w:p w14:paraId="69EBE270">
      <w:pPr>
        <w:keepNext w:val="0"/>
        <w:keepLines w:val="0"/>
        <w:pageBreakBefore w:val="0"/>
        <w:widowControl w:val="0"/>
        <w:spacing w:line="360" w:lineRule="auto"/>
        <w:ind w:right="180" w:firstLine="360"/>
        <w:jc w:val="right"/>
        <w:rPr>
          <w:rFonts w:hint="eastAsia" w:ascii="Times New Roman" w:hAnsi="Times New Roman" w:eastAsia="宋体" w:cs="Times New Roman"/>
          <w:caps w:val="0"/>
          <w:color w:val="000000"/>
          <w:sz w:val="24"/>
          <w:szCs w:val="24"/>
          <w:highlight w:val="none"/>
        </w:rPr>
      </w:pPr>
      <w:r>
        <w:rPr>
          <w:rFonts w:hint="eastAsia" w:ascii="Times New Roman" w:hAnsi="Times New Roman" w:eastAsia="宋体" w:cs="Times New Roman"/>
          <w:caps w:val="0"/>
          <w:color w:val="000000"/>
          <w:sz w:val="24"/>
          <w:szCs w:val="24"/>
          <w:highlight w:val="none"/>
        </w:rPr>
        <w:t>企业名称</w:t>
      </w:r>
      <w:r>
        <w:rPr>
          <w:rFonts w:hint="eastAsia" w:ascii="Times New Roman" w:hAnsi="Times New Roman" w:eastAsia="宋体" w:cs="Times New Roman"/>
          <w:caps w:val="0"/>
          <w:color w:val="000000"/>
          <w:sz w:val="24"/>
          <w:szCs w:val="24"/>
          <w:highlight w:val="none"/>
          <w:lang w:eastAsia="zh-CN"/>
        </w:rPr>
        <w:t>：</w:t>
      </w:r>
      <w:r>
        <w:rPr>
          <w:rFonts w:hint="eastAsia" w:ascii="Times New Roman" w:hAnsi="Times New Roman" w:eastAsia="宋体" w:cs="Times New Roman"/>
          <w:caps w:val="0"/>
          <w:color w:val="000000"/>
          <w:sz w:val="24"/>
          <w:szCs w:val="24"/>
          <w:highlight w:val="none"/>
        </w:rPr>
        <w:t>（加盖CA电子公章）</w:t>
      </w:r>
    </w:p>
    <w:p w14:paraId="664A2C22">
      <w:pPr>
        <w:spacing w:line="400" w:lineRule="exact"/>
        <w:ind w:firstLine="480"/>
        <w:jc w:val="right"/>
        <w:rPr>
          <w:rFonts w:hint="eastAsia" w:ascii="宋体" w:hAnsi="宋体"/>
          <w:color w:val="000000"/>
          <w:sz w:val="24"/>
          <w:szCs w:val="24"/>
          <w:highlight w:val="none"/>
        </w:rPr>
      </w:pPr>
      <w:r>
        <w:rPr>
          <w:rFonts w:hint="eastAsia" w:ascii="Times New Roman" w:hAnsi="Times New Roman" w:eastAsia="宋体" w:cs="Times New Roman"/>
          <w:caps w:val="0"/>
          <w:color w:val="000000"/>
          <w:sz w:val="24"/>
          <w:szCs w:val="24"/>
          <w:highlight w:val="none"/>
        </w:rPr>
        <w:t>日  期：</w:t>
      </w:r>
      <w:r>
        <w:rPr>
          <w:rFonts w:hint="eastAsia" w:ascii="Times New Roman" w:hAnsi="Times New Roman" w:eastAsia="宋体" w:cs="Times New Roman"/>
          <w:caps w:val="0"/>
          <w:color w:val="000000"/>
          <w:sz w:val="24"/>
          <w:szCs w:val="24"/>
          <w:highlight w:val="none"/>
          <w:u w:val="single"/>
        </w:rPr>
        <w:t xml:space="preserve">       </w:t>
      </w:r>
      <w:r>
        <w:rPr>
          <w:rFonts w:hint="eastAsia" w:ascii="Times New Roman" w:hAnsi="Times New Roman" w:eastAsia="宋体" w:cs="Times New Roman"/>
          <w:caps w:val="0"/>
          <w:color w:val="000000"/>
          <w:sz w:val="24"/>
          <w:szCs w:val="24"/>
          <w:highlight w:val="none"/>
        </w:rPr>
        <w:t>年___月___</w:t>
      </w:r>
    </w:p>
    <w:p w14:paraId="5868909D">
      <w:pPr>
        <w:pStyle w:val="337"/>
        <w:jc w:val="center"/>
        <w:rPr>
          <w:rFonts w:ascii="方正小标宋_GBK" w:eastAsia="方正小标宋_GBK"/>
          <w:bCs/>
          <w:color w:val="000000"/>
          <w:sz w:val="32"/>
          <w:szCs w:val="32"/>
          <w:highlight w:val="none"/>
        </w:rPr>
      </w:pPr>
      <w:r>
        <w:rPr>
          <w:rFonts w:ascii="宋体" w:hAnsi="宋体"/>
          <w:color w:val="000000"/>
          <w:sz w:val="24"/>
          <w:szCs w:val="24"/>
          <w:highlight w:val="none"/>
        </w:rPr>
        <w:br w:type="page" w:clear="all"/>
      </w:r>
      <w:r>
        <w:rPr>
          <w:rFonts w:hint="eastAsia" w:ascii="方正小标宋_GBK" w:eastAsia="方正小标宋_GBK"/>
          <w:bCs/>
          <w:color w:val="000000"/>
          <w:sz w:val="32"/>
          <w:szCs w:val="32"/>
          <w:highlight w:val="none"/>
        </w:rPr>
        <w:t>残疾人福利性单位声明函</w:t>
      </w:r>
    </w:p>
    <w:p w14:paraId="287F816F">
      <w:pPr>
        <w:pStyle w:val="355"/>
        <w:spacing w:line="588" w:lineRule="exact"/>
        <w:rPr>
          <w:rFonts w:ascii="仿宋_GB2312" w:eastAsia="仿宋_GB2312"/>
          <w:b/>
          <w:color w:val="000000"/>
          <w:spacing w:val="6"/>
          <w:sz w:val="30"/>
          <w:szCs w:val="30"/>
          <w:highlight w:val="none"/>
        </w:rPr>
      </w:pPr>
    </w:p>
    <w:p w14:paraId="4C64F529">
      <w:pPr>
        <w:pStyle w:val="354"/>
        <w:spacing w:line="500" w:lineRule="exact"/>
        <w:ind w:firstLine="480"/>
        <w:rPr>
          <w:rFonts w:ascii="Times New Roman" w:hAnsi="Times New Roman"/>
          <w:color w:val="000000"/>
          <w:sz w:val="24"/>
          <w:highlight w:val="none"/>
        </w:rPr>
      </w:pPr>
      <w:r>
        <w:rPr>
          <w:rFonts w:hint="eastAsia" w:ascii="Times New Roman" w:hAnsi="Times New Roman"/>
          <w:color w:val="000000"/>
          <w:sz w:val="24"/>
          <w:highlight w:val="none"/>
        </w:rPr>
        <w:t>本单位郑重声明，根据《财政部 民政部 中国残疾人联合会关于促进残疾人就业政府采购政策的通知》（财库〔</w:t>
      </w:r>
      <w:r>
        <w:rPr>
          <w:rFonts w:ascii="Times New Roman" w:hAnsi="Times New Roman"/>
          <w:color w:val="000000"/>
          <w:sz w:val="24"/>
          <w:highlight w:val="none"/>
        </w:rPr>
        <w:t>2017</w:t>
      </w:r>
      <w:r>
        <w:rPr>
          <w:rFonts w:hint="eastAsia" w:ascii="Times New Roman" w:hAnsi="Times New Roman"/>
          <w:color w:val="000000"/>
          <w:sz w:val="24"/>
          <w:highlight w:val="none"/>
        </w:rPr>
        <w:t>〕</w:t>
      </w:r>
      <w:r>
        <w:rPr>
          <w:rFonts w:ascii="Times New Roman" w:hAnsi="Times New Roman"/>
          <w:color w:val="000000"/>
          <w:sz w:val="24"/>
          <w:highlight w:val="none"/>
        </w:rPr>
        <w:t>141</w:t>
      </w:r>
      <w:r>
        <w:rPr>
          <w:rFonts w:hint="eastAsia" w:ascii="Times New Roman" w:hAnsi="Times New Roman"/>
          <w:color w:val="000000"/>
          <w:sz w:val="24"/>
          <w:highlight w:val="none"/>
        </w:rPr>
        <w:t>号）的规定，本单位为符合条件的残疾人福利性单位，且本单位参加</w:t>
      </w:r>
      <w:r>
        <w:rPr>
          <w:rFonts w:hint="eastAsia" w:ascii="Times New Roman" w:hAnsi="Times New Roman"/>
          <w:color w:val="000000"/>
          <w:sz w:val="24"/>
          <w:highlight w:val="none"/>
          <w:u w:val="single"/>
        </w:rPr>
        <w:t>（</w:t>
      </w:r>
      <w:r>
        <w:rPr>
          <w:rFonts w:hint="eastAsia" w:ascii="Times New Roman" w:hAnsi="Times New Roman"/>
          <w:color w:val="000000"/>
          <w:sz w:val="24"/>
          <w:szCs w:val="24"/>
          <w:highlight w:val="none"/>
          <w:u w:val="single"/>
        </w:rPr>
        <w:t>单位名称）</w:t>
      </w:r>
      <w:r>
        <w:rPr>
          <w:rFonts w:hint="eastAsia" w:ascii="Times New Roman" w:hAnsi="Times New Roman"/>
          <w:color w:val="000000"/>
          <w:sz w:val="24"/>
          <w:highlight w:val="none"/>
        </w:rPr>
        <w:t>的</w:t>
      </w:r>
      <w:r>
        <w:rPr>
          <w:rFonts w:hint="eastAsia" w:ascii="Times New Roman" w:hAnsi="Times New Roman"/>
          <w:color w:val="000000"/>
          <w:sz w:val="24"/>
          <w:highlight w:val="none"/>
          <w:u w:val="single"/>
        </w:rPr>
        <w:t xml:space="preserve">（项目名称） </w:t>
      </w:r>
      <w:r>
        <w:rPr>
          <w:rFonts w:hint="eastAsia" w:ascii="Times New Roman" w:hAnsi="Times New Roman"/>
          <w:color w:val="000000"/>
          <w:sz w:val="24"/>
          <w:highlight w:val="none"/>
        </w:rPr>
        <w:t>采购活动提供本单位制造的货物（由本单位承担工程/提供服务），或者提供其他残疾人福利性单位制造的货物（不包括使用非残疾人福利性单位注册商标的货物）。</w:t>
      </w:r>
    </w:p>
    <w:p w14:paraId="73EC16E7">
      <w:pPr>
        <w:pStyle w:val="354"/>
        <w:spacing w:line="500" w:lineRule="exact"/>
        <w:ind w:firstLine="480"/>
        <w:rPr>
          <w:rFonts w:ascii="Times New Roman" w:hAnsi="Times New Roman"/>
          <w:color w:val="000000"/>
          <w:sz w:val="24"/>
          <w:highlight w:val="none"/>
        </w:rPr>
      </w:pPr>
      <w:r>
        <w:rPr>
          <w:rFonts w:hint="eastAsia" w:ascii="Times New Roman" w:hAnsi="Times New Roman"/>
          <w:color w:val="000000"/>
          <w:sz w:val="24"/>
          <w:highlight w:val="none"/>
        </w:rPr>
        <w:t>本单位对上述声明的真实性负责。如有虚假，将依法承担相应责任。</w:t>
      </w:r>
    </w:p>
    <w:p w14:paraId="30075C76">
      <w:pPr>
        <w:pStyle w:val="356"/>
        <w:spacing w:line="500" w:lineRule="exact"/>
        <w:ind w:firstLine="3810"/>
        <w:rPr>
          <w:color w:val="000000"/>
          <w:spacing w:val="6"/>
          <w:sz w:val="24"/>
          <w:szCs w:val="24"/>
          <w:highlight w:val="none"/>
        </w:rPr>
      </w:pPr>
    </w:p>
    <w:p w14:paraId="507F7CD7">
      <w:pPr>
        <w:pStyle w:val="356"/>
        <w:spacing w:line="500" w:lineRule="exact"/>
        <w:ind w:firstLine="3629"/>
        <w:jc w:val="left"/>
        <w:rPr>
          <w:color w:val="000000"/>
          <w:sz w:val="24"/>
          <w:highlight w:val="none"/>
        </w:rPr>
      </w:pPr>
    </w:p>
    <w:p w14:paraId="27586887">
      <w:pPr>
        <w:pStyle w:val="356"/>
        <w:spacing w:line="500" w:lineRule="exact"/>
        <w:ind w:firstLine="480"/>
        <w:jc w:val="left"/>
        <w:rPr>
          <w:color w:val="000000"/>
          <w:sz w:val="24"/>
          <w:highlight w:val="none"/>
        </w:rPr>
      </w:pPr>
      <w:r>
        <w:rPr>
          <w:rFonts w:hint="eastAsia"/>
          <w:color w:val="000000"/>
          <w:sz w:val="24"/>
          <w:highlight w:val="none"/>
        </w:rPr>
        <w:t>单位名称：</w:t>
      </w:r>
      <w:r>
        <w:rPr>
          <w:rFonts w:hint="eastAsia"/>
          <w:color w:val="000000"/>
          <w:sz w:val="24"/>
          <w:highlight w:val="none"/>
          <w:u w:val="single"/>
        </w:rPr>
        <w:t xml:space="preserve">              </w:t>
      </w:r>
      <w:r>
        <w:rPr>
          <w:rFonts w:hint="eastAsia"/>
          <w:color w:val="000000"/>
          <w:sz w:val="24"/>
          <w:highlight w:val="none"/>
        </w:rPr>
        <w:t>（</w:t>
      </w:r>
      <w:r>
        <w:rPr>
          <w:rFonts w:hint="eastAsia"/>
          <w:color w:val="000000"/>
          <w:sz w:val="24"/>
          <w:szCs w:val="24"/>
          <w:highlight w:val="none"/>
        </w:rPr>
        <w:t>盖CA电子公章</w:t>
      </w:r>
      <w:r>
        <w:rPr>
          <w:rFonts w:hint="eastAsia"/>
          <w:color w:val="000000"/>
          <w:sz w:val="24"/>
          <w:highlight w:val="none"/>
        </w:rPr>
        <w:t>）</w:t>
      </w:r>
    </w:p>
    <w:p w14:paraId="559434B0">
      <w:pPr>
        <w:pStyle w:val="353"/>
        <w:spacing w:line="500" w:lineRule="exact"/>
        <w:ind w:firstLine="480"/>
        <w:jc w:val="left"/>
        <w:rPr>
          <w:rFonts w:ascii="Times New Roman" w:hAnsi="Times New Roman"/>
          <w:color w:val="000000"/>
          <w:sz w:val="24"/>
          <w:szCs w:val="20"/>
          <w:highlight w:val="none"/>
        </w:rPr>
      </w:pPr>
      <w:r>
        <w:rPr>
          <w:rFonts w:hint="eastAsia" w:ascii="Times New Roman" w:hAnsi="Times New Roman"/>
          <w:color w:val="000000"/>
          <w:sz w:val="24"/>
          <w:szCs w:val="20"/>
          <w:highlight w:val="none"/>
        </w:rPr>
        <w:t>日期：  年  月  日</w:t>
      </w:r>
    </w:p>
    <w:p w14:paraId="49F349C6">
      <w:pPr>
        <w:pStyle w:val="355"/>
        <w:tabs>
          <w:tab w:val="left" w:pos="4860"/>
        </w:tabs>
        <w:spacing w:line="588" w:lineRule="exact"/>
        <w:ind w:right="1560" w:firstLine="480"/>
        <w:jc w:val="center"/>
        <w:rPr>
          <w:rFonts w:ascii="Times New Roman" w:hAnsi="Times New Roman" w:cs="Arial"/>
          <w:color w:val="000000"/>
          <w:sz w:val="24"/>
          <w:szCs w:val="24"/>
          <w:highlight w:val="none"/>
        </w:rPr>
      </w:pPr>
    </w:p>
    <w:p w14:paraId="63AFFE5B">
      <w:pPr>
        <w:pStyle w:val="357"/>
        <w:spacing w:line="500" w:lineRule="exact"/>
        <w:ind w:left="357" w:firstLine="0"/>
        <w:rPr>
          <w:rFonts w:ascii="Times New Roman" w:hAnsi="Times New Roman" w:cs="Arial"/>
          <w:color w:val="000000"/>
          <w:sz w:val="24"/>
          <w:szCs w:val="24"/>
          <w:highlight w:val="none"/>
        </w:rPr>
      </w:pPr>
    </w:p>
    <w:p w14:paraId="69D4629B">
      <w:pPr>
        <w:pStyle w:val="354"/>
        <w:spacing w:line="480" w:lineRule="exact"/>
        <w:ind w:firstLine="442"/>
        <w:rPr>
          <w:rFonts w:ascii="Times New Roman" w:hAnsi="Times New Roman"/>
          <w:color w:val="000000"/>
          <w:sz w:val="24"/>
          <w:szCs w:val="24"/>
          <w:highlight w:val="none"/>
        </w:rPr>
      </w:pPr>
      <w:r>
        <w:rPr>
          <w:rFonts w:hint="eastAsia" w:ascii="Times New Roman" w:hAnsi="Times New Roman"/>
          <w:color w:val="000000"/>
          <w:sz w:val="24"/>
          <w:szCs w:val="24"/>
          <w:highlight w:val="none"/>
        </w:rPr>
        <w:t>备注：1.非残疾人福利性单位不需提供此函。</w:t>
      </w:r>
    </w:p>
    <w:p w14:paraId="1EE6AE7C">
      <w:pPr>
        <w:pStyle w:val="354"/>
        <w:spacing w:line="480" w:lineRule="exact"/>
        <w:ind w:firstLine="442"/>
        <w:rPr>
          <w:rFonts w:hint="eastAsia" w:ascii="Times New Roman" w:hAnsi="Times New Roman"/>
          <w:color w:val="000000"/>
          <w:sz w:val="24"/>
          <w:szCs w:val="24"/>
          <w:highlight w:val="none"/>
        </w:rPr>
      </w:pPr>
      <w:r>
        <w:rPr>
          <w:rFonts w:hint="eastAsia" w:ascii="Times New Roman" w:hAnsi="Times New Roman"/>
          <w:color w:val="000000"/>
          <w:sz w:val="24"/>
          <w:szCs w:val="24"/>
          <w:highlight w:val="none"/>
        </w:rPr>
        <w:t>2.符合报价折扣情形的请将此函填报上传至“企业报价折扣证明”一栏中。</w:t>
      </w:r>
    </w:p>
    <w:p w14:paraId="150E291E">
      <w:pPr>
        <w:pStyle w:val="354"/>
        <w:spacing w:line="480" w:lineRule="exact"/>
        <w:ind w:firstLine="442"/>
        <w:rPr>
          <w:rFonts w:hint="eastAsia" w:ascii="Times New Roman" w:hAnsi="Times New Roman"/>
          <w:color w:val="000000"/>
          <w:sz w:val="24"/>
          <w:szCs w:val="24"/>
          <w:highlight w:val="none"/>
        </w:rPr>
      </w:pPr>
    </w:p>
    <w:p w14:paraId="49930E2E">
      <w:pPr>
        <w:pStyle w:val="354"/>
        <w:spacing w:line="480" w:lineRule="exact"/>
        <w:ind w:firstLine="442"/>
        <w:rPr>
          <w:rFonts w:ascii="Times New Roman" w:hAnsi="Times New Roman"/>
          <w:color w:val="000000"/>
          <w:sz w:val="24"/>
          <w:szCs w:val="24"/>
          <w:highlight w:val="none"/>
        </w:rPr>
      </w:pPr>
    </w:p>
    <w:p w14:paraId="108EFA0E">
      <w:pPr>
        <w:pStyle w:val="354"/>
        <w:spacing w:line="480" w:lineRule="exact"/>
        <w:ind w:firstLine="442"/>
        <w:rPr>
          <w:rFonts w:ascii="Times New Roman" w:hAnsi="Times New Roman"/>
          <w:color w:val="000000"/>
          <w:sz w:val="24"/>
          <w:szCs w:val="24"/>
          <w:highlight w:val="none"/>
        </w:rPr>
      </w:pPr>
    </w:p>
    <w:p w14:paraId="3B16D518">
      <w:pPr>
        <w:pStyle w:val="354"/>
        <w:spacing w:line="480" w:lineRule="exact"/>
        <w:ind w:firstLine="442"/>
        <w:rPr>
          <w:rFonts w:ascii="Times New Roman" w:hAnsi="Times New Roman"/>
          <w:color w:val="000000"/>
          <w:sz w:val="24"/>
          <w:szCs w:val="24"/>
          <w:highlight w:val="none"/>
        </w:rPr>
      </w:pPr>
    </w:p>
    <w:p w14:paraId="575BE0ED">
      <w:pPr>
        <w:pStyle w:val="354"/>
        <w:spacing w:line="480" w:lineRule="exact"/>
        <w:ind w:firstLine="442"/>
        <w:rPr>
          <w:rFonts w:ascii="Times New Roman" w:hAnsi="Times New Roman"/>
          <w:color w:val="000000"/>
          <w:sz w:val="24"/>
          <w:szCs w:val="24"/>
          <w:highlight w:val="none"/>
        </w:rPr>
      </w:pPr>
    </w:p>
    <w:p w14:paraId="353D20DB">
      <w:pPr>
        <w:pStyle w:val="354"/>
        <w:spacing w:line="480" w:lineRule="exact"/>
        <w:rPr>
          <w:rFonts w:hint="eastAsia" w:ascii="Times New Roman" w:hAnsi="Times New Roman"/>
          <w:color w:val="000000"/>
          <w:sz w:val="24"/>
          <w:szCs w:val="24"/>
          <w:highlight w:val="none"/>
        </w:rPr>
      </w:pPr>
    </w:p>
    <w:p w14:paraId="26CF7AA6">
      <w:pPr>
        <w:pStyle w:val="354"/>
        <w:spacing w:line="480" w:lineRule="exact"/>
        <w:ind w:firstLine="442"/>
        <w:rPr>
          <w:rFonts w:ascii="Times New Roman" w:hAnsi="Times New Roman"/>
          <w:color w:val="000000"/>
          <w:sz w:val="24"/>
          <w:szCs w:val="24"/>
          <w:highlight w:val="none"/>
        </w:rPr>
      </w:pPr>
    </w:p>
    <w:p w14:paraId="4A57AD61">
      <w:pPr>
        <w:pStyle w:val="354"/>
        <w:spacing w:line="480" w:lineRule="exact"/>
        <w:ind w:firstLine="442"/>
        <w:rPr>
          <w:rFonts w:ascii="Times New Roman" w:hAnsi="Times New Roman"/>
          <w:color w:val="000000"/>
          <w:sz w:val="24"/>
          <w:szCs w:val="24"/>
          <w:highlight w:val="none"/>
        </w:rPr>
      </w:pPr>
    </w:p>
    <w:p w14:paraId="3FE3BACB">
      <w:pPr>
        <w:pStyle w:val="354"/>
        <w:spacing w:line="480" w:lineRule="exact"/>
        <w:ind w:firstLine="442"/>
        <w:rPr>
          <w:rFonts w:ascii="Times New Roman" w:hAnsi="Times New Roman"/>
          <w:color w:val="000000"/>
          <w:sz w:val="24"/>
          <w:szCs w:val="24"/>
          <w:highlight w:val="none"/>
        </w:rPr>
      </w:pPr>
    </w:p>
    <w:p w14:paraId="5AE107EF">
      <w:pPr>
        <w:pStyle w:val="354"/>
        <w:spacing w:line="480" w:lineRule="exact"/>
        <w:rPr>
          <w:rFonts w:ascii="Times New Roman" w:hAnsi="Times New Roman"/>
          <w:color w:val="000000"/>
          <w:sz w:val="24"/>
          <w:szCs w:val="24"/>
          <w:highlight w:val="none"/>
        </w:rPr>
      </w:pPr>
    </w:p>
    <w:p w14:paraId="3DE19CEB">
      <w:pPr>
        <w:pStyle w:val="354"/>
        <w:spacing w:line="480" w:lineRule="exact"/>
        <w:rPr>
          <w:rFonts w:ascii="Times New Roman" w:hAnsi="Times New Roman"/>
          <w:color w:val="000000"/>
          <w:sz w:val="24"/>
          <w:szCs w:val="24"/>
          <w:highlight w:val="none"/>
        </w:rPr>
      </w:pPr>
    </w:p>
    <w:p w14:paraId="130F71D1">
      <w:pPr>
        <w:pStyle w:val="354"/>
        <w:spacing w:line="480" w:lineRule="exact"/>
        <w:rPr>
          <w:rFonts w:hint="eastAsia" w:ascii="Times New Roman" w:hAnsi="Times New Roman"/>
          <w:color w:val="000000"/>
          <w:sz w:val="24"/>
          <w:szCs w:val="24"/>
          <w:highlight w:val="none"/>
        </w:rPr>
      </w:pPr>
    </w:p>
    <w:p w14:paraId="1A6990FE">
      <w:pPr>
        <w:pStyle w:val="43"/>
        <w:spacing w:before="0" w:after="0" w:line="520" w:lineRule="exact"/>
        <w:rPr>
          <w:rFonts w:hint="eastAsia" w:ascii="宋体" w:hAnsi="宋体" w:eastAsia="宋体" w:cs="宋体"/>
          <w:bCs/>
          <w:color w:val="000000"/>
          <w:szCs w:val="32"/>
          <w:highlight w:val="none"/>
        </w:rPr>
      </w:pPr>
      <w:r>
        <w:rPr>
          <w:rFonts w:hint="eastAsia" w:ascii="宋体" w:hAnsi="宋体" w:eastAsia="宋体" w:cs="宋体"/>
          <w:bCs/>
          <w:color w:val="000000"/>
          <w:szCs w:val="32"/>
          <w:highlight w:val="none"/>
        </w:rPr>
        <w:t>七、技术响应偏离表（技术参数响应）</w:t>
      </w:r>
    </w:p>
    <w:tbl>
      <w:tblPr>
        <w:tblStyle w:val="31"/>
        <w:tblW w:w="0" w:type="auto"/>
        <w:tblInd w:w="-225" w:type="dxa"/>
        <w:tblLayout w:type="autofit"/>
        <w:tblCellMar>
          <w:top w:w="0" w:type="dxa"/>
          <w:left w:w="108" w:type="dxa"/>
          <w:bottom w:w="0" w:type="dxa"/>
          <w:right w:w="108" w:type="dxa"/>
        </w:tblCellMar>
      </w:tblPr>
      <w:tblGrid>
        <w:gridCol w:w="2791"/>
        <w:gridCol w:w="2386"/>
        <w:gridCol w:w="1994"/>
        <w:gridCol w:w="2223"/>
      </w:tblGrid>
      <w:tr w14:paraId="07B1FF3E">
        <w:tblPrEx>
          <w:tblCellMar>
            <w:top w:w="0" w:type="dxa"/>
            <w:left w:w="108" w:type="dxa"/>
            <w:bottom w:w="0" w:type="dxa"/>
            <w:right w:w="108" w:type="dxa"/>
          </w:tblCellMar>
        </w:tblPrEx>
        <w:trPr>
          <w:trHeight w:val="665" w:hRule="atLeast"/>
        </w:trPr>
        <w:tc>
          <w:tcPr>
            <w:tcW w:w="2791" w:type="dxa"/>
            <w:tcBorders>
              <w:top w:val="single" w:color="000000" w:sz="8" w:space="0"/>
              <w:left w:val="single" w:color="000000" w:sz="8" w:space="0"/>
              <w:bottom w:val="single" w:color="000000" w:sz="8" w:space="0"/>
              <w:right w:val="single" w:color="000000" w:sz="8" w:space="0"/>
            </w:tcBorders>
            <w:noWrap w:val="0"/>
            <w:vAlign w:val="center"/>
          </w:tcPr>
          <w:p w14:paraId="25EB2930">
            <w:pPr>
              <w:spacing w:before="100" w:line="559" w:lineRule="atLeast"/>
              <w:jc w:val="center"/>
              <w:rPr>
                <w:rFonts w:ascii="宋体" w:hAnsi="宋体" w:cs="仿宋"/>
                <w:color w:val="000000"/>
                <w:highlight w:val="none"/>
              </w:rPr>
            </w:pPr>
            <w:r>
              <w:rPr>
                <w:rFonts w:hint="eastAsia" w:ascii="宋体" w:hAnsi="宋体" w:cs="仿宋"/>
                <w:color w:val="000000"/>
                <w:sz w:val="28"/>
                <w:highlight w:val="none"/>
              </w:rPr>
              <w:t>招标文件内容</w:t>
            </w:r>
          </w:p>
        </w:tc>
        <w:tc>
          <w:tcPr>
            <w:tcW w:w="2386" w:type="dxa"/>
            <w:tcBorders>
              <w:top w:val="single" w:color="000000" w:sz="8" w:space="0"/>
              <w:left w:val="nil"/>
              <w:bottom w:val="single" w:color="000000" w:sz="8" w:space="0"/>
              <w:right w:val="single" w:color="000000" w:sz="8" w:space="0"/>
            </w:tcBorders>
            <w:noWrap w:val="0"/>
            <w:vAlign w:val="center"/>
          </w:tcPr>
          <w:p w14:paraId="02D121E2">
            <w:pPr>
              <w:spacing w:before="100" w:line="559" w:lineRule="atLeast"/>
              <w:jc w:val="center"/>
              <w:rPr>
                <w:rFonts w:ascii="宋体" w:hAnsi="宋体" w:cs="仿宋"/>
                <w:color w:val="000000"/>
                <w:highlight w:val="none"/>
              </w:rPr>
            </w:pPr>
            <w:r>
              <w:rPr>
                <w:rFonts w:hint="eastAsia" w:ascii="宋体" w:hAnsi="宋体" w:cs="仿宋"/>
                <w:color w:val="000000"/>
                <w:sz w:val="28"/>
                <w:highlight w:val="none"/>
              </w:rPr>
              <w:t>投标文件内容</w:t>
            </w:r>
          </w:p>
        </w:tc>
        <w:tc>
          <w:tcPr>
            <w:tcW w:w="1994" w:type="dxa"/>
            <w:tcBorders>
              <w:top w:val="single" w:color="000000" w:sz="8" w:space="0"/>
              <w:left w:val="nil"/>
              <w:bottom w:val="single" w:color="000000" w:sz="8" w:space="0"/>
              <w:right w:val="single" w:color="000000" w:sz="8" w:space="0"/>
            </w:tcBorders>
            <w:noWrap w:val="0"/>
            <w:vAlign w:val="center"/>
          </w:tcPr>
          <w:p w14:paraId="6359CE81">
            <w:pPr>
              <w:spacing w:before="100" w:line="400" w:lineRule="exact"/>
              <w:jc w:val="center"/>
              <w:rPr>
                <w:rFonts w:ascii="宋体" w:hAnsi="宋体" w:cs="仿宋"/>
                <w:color w:val="000000"/>
                <w:sz w:val="28"/>
                <w:highlight w:val="none"/>
              </w:rPr>
            </w:pPr>
            <w:r>
              <w:rPr>
                <w:rFonts w:hint="eastAsia" w:ascii="宋体" w:hAnsi="宋体" w:cs="仿宋"/>
                <w:color w:val="000000"/>
                <w:sz w:val="28"/>
                <w:highlight w:val="none"/>
              </w:rPr>
              <w:t>偏离情况</w:t>
            </w:r>
          </w:p>
          <w:p w14:paraId="1E352F4D">
            <w:pPr>
              <w:spacing w:before="100" w:line="400" w:lineRule="exact"/>
              <w:jc w:val="center"/>
              <w:rPr>
                <w:rFonts w:hint="eastAsia" w:ascii="宋体" w:hAnsi="宋体" w:cs="仿宋"/>
                <w:color w:val="000000"/>
                <w:sz w:val="28"/>
                <w:highlight w:val="none"/>
              </w:rPr>
            </w:pPr>
            <w:r>
              <w:rPr>
                <w:rFonts w:hint="eastAsia" w:ascii="宋体" w:hAnsi="宋体" w:cs="仿宋"/>
                <w:color w:val="000000"/>
                <w:sz w:val="28"/>
                <w:highlight w:val="none"/>
              </w:rPr>
              <w:t>（</w:t>
            </w:r>
            <w:r>
              <w:rPr>
                <w:rFonts w:ascii="宋体" w:hAnsi="宋体" w:cs="仿宋"/>
                <w:b/>
                <w:color w:val="000000"/>
                <w:sz w:val="24"/>
                <w:highlight w:val="none"/>
              </w:rPr>
              <w:t>正偏离、负偏离、无偏离</w:t>
            </w:r>
            <w:r>
              <w:rPr>
                <w:rFonts w:hint="eastAsia" w:ascii="宋体" w:hAnsi="宋体" w:cs="仿宋"/>
                <w:color w:val="000000"/>
                <w:sz w:val="28"/>
                <w:highlight w:val="none"/>
              </w:rPr>
              <w:t>）</w:t>
            </w:r>
          </w:p>
        </w:tc>
        <w:tc>
          <w:tcPr>
            <w:tcW w:w="2223" w:type="dxa"/>
            <w:tcBorders>
              <w:top w:val="single" w:color="000000" w:sz="8" w:space="0"/>
              <w:left w:val="nil"/>
              <w:bottom w:val="single" w:color="000000" w:sz="8" w:space="0"/>
              <w:right w:val="single" w:color="000000" w:sz="8" w:space="0"/>
            </w:tcBorders>
            <w:noWrap w:val="0"/>
            <w:vAlign w:val="center"/>
          </w:tcPr>
          <w:p w14:paraId="4C225095">
            <w:pPr>
              <w:spacing w:before="100" w:line="559" w:lineRule="atLeast"/>
              <w:jc w:val="center"/>
              <w:rPr>
                <w:rFonts w:hint="eastAsia" w:ascii="宋体" w:hAnsi="宋体" w:cs="仿宋"/>
                <w:color w:val="000000"/>
                <w:sz w:val="28"/>
                <w:szCs w:val="28"/>
                <w:highlight w:val="none"/>
              </w:rPr>
            </w:pPr>
            <w:r>
              <w:rPr>
                <w:rFonts w:hint="eastAsia" w:ascii="宋体" w:hAnsi="宋体" w:cs="仿宋"/>
                <w:color w:val="000000"/>
                <w:sz w:val="28"/>
                <w:highlight w:val="none"/>
              </w:rPr>
              <w:t>偏离内容及说明</w:t>
            </w:r>
          </w:p>
        </w:tc>
      </w:tr>
      <w:tr w14:paraId="59185F26">
        <w:tblPrEx>
          <w:tblCellMar>
            <w:top w:w="0" w:type="dxa"/>
            <w:left w:w="108" w:type="dxa"/>
            <w:bottom w:w="0" w:type="dxa"/>
            <w:right w:w="108" w:type="dxa"/>
          </w:tblCellMar>
        </w:tblPrEx>
        <w:trPr>
          <w:trHeight w:val="665" w:hRule="atLeast"/>
        </w:trPr>
        <w:tc>
          <w:tcPr>
            <w:tcW w:w="2791" w:type="dxa"/>
            <w:tcBorders>
              <w:top w:val="nil"/>
              <w:left w:val="single" w:color="000000" w:sz="8" w:space="0"/>
              <w:bottom w:val="single" w:color="000000" w:sz="8" w:space="0"/>
              <w:right w:val="single" w:color="000000" w:sz="8" w:space="0"/>
            </w:tcBorders>
            <w:noWrap w:val="0"/>
            <w:vAlign w:val="center"/>
          </w:tcPr>
          <w:p w14:paraId="2E1F88DE">
            <w:pPr>
              <w:spacing w:line="559" w:lineRule="atLeast"/>
              <w:jc w:val="center"/>
              <w:rPr>
                <w:rFonts w:ascii="仿宋" w:hAnsi="仿宋" w:eastAsia="仿宋" w:cs="仿宋"/>
                <w:color w:val="000000"/>
                <w:highlight w:val="none"/>
              </w:rPr>
            </w:pPr>
            <w:r>
              <w:rPr>
                <w:rFonts w:hint="eastAsia" w:ascii="仿宋" w:hAnsi="仿宋" w:eastAsia="仿宋" w:cs="仿宋"/>
                <w:color w:val="000000"/>
                <w:sz w:val="24"/>
                <w:highlight w:val="none"/>
              </w:rPr>
              <w:t> </w:t>
            </w:r>
          </w:p>
        </w:tc>
        <w:tc>
          <w:tcPr>
            <w:tcW w:w="2386" w:type="dxa"/>
            <w:tcBorders>
              <w:top w:val="nil"/>
              <w:left w:val="nil"/>
              <w:bottom w:val="single" w:color="000000" w:sz="8" w:space="0"/>
              <w:right w:val="single" w:color="000000" w:sz="8" w:space="0"/>
            </w:tcBorders>
            <w:noWrap w:val="0"/>
            <w:vAlign w:val="center"/>
          </w:tcPr>
          <w:p w14:paraId="34079E20">
            <w:pPr>
              <w:spacing w:line="559" w:lineRule="atLeast"/>
              <w:jc w:val="center"/>
              <w:rPr>
                <w:rFonts w:ascii="仿宋" w:hAnsi="仿宋" w:eastAsia="仿宋" w:cs="仿宋"/>
                <w:color w:val="000000"/>
                <w:highlight w:val="none"/>
              </w:rPr>
            </w:pPr>
            <w:r>
              <w:rPr>
                <w:rFonts w:hint="eastAsia" w:ascii="仿宋" w:hAnsi="仿宋" w:eastAsia="仿宋" w:cs="仿宋"/>
                <w:color w:val="000000"/>
                <w:sz w:val="24"/>
                <w:highlight w:val="none"/>
              </w:rPr>
              <w:t> </w:t>
            </w:r>
          </w:p>
        </w:tc>
        <w:tc>
          <w:tcPr>
            <w:tcW w:w="1994" w:type="dxa"/>
            <w:tcBorders>
              <w:top w:val="nil"/>
              <w:left w:val="nil"/>
              <w:bottom w:val="single" w:color="000000" w:sz="8" w:space="0"/>
              <w:right w:val="single" w:color="000000" w:sz="8" w:space="0"/>
            </w:tcBorders>
            <w:noWrap w:val="0"/>
            <w:vAlign w:val="center"/>
          </w:tcPr>
          <w:p w14:paraId="416CD5C4">
            <w:pPr>
              <w:spacing w:line="559" w:lineRule="atLeast"/>
              <w:jc w:val="center"/>
              <w:rPr>
                <w:rFonts w:hint="eastAsia" w:ascii="仿宋" w:hAnsi="仿宋" w:eastAsia="仿宋" w:cs="仿宋"/>
                <w:color w:val="000000"/>
                <w:sz w:val="24"/>
                <w:highlight w:val="none"/>
              </w:rPr>
            </w:pPr>
          </w:p>
        </w:tc>
        <w:tc>
          <w:tcPr>
            <w:tcW w:w="2223" w:type="dxa"/>
            <w:tcBorders>
              <w:top w:val="nil"/>
              <w:left w:val="nil"/>
              <w:bottom w:val="single" w:color="000000" w:sz="8" w:space="0"/>
              <w:right w:val="single" w:color="000000" w:sz="8" w:space="0"/>
            </w:tcBorders>
            <w:noWrap w:val="0"/>
            <w:vAlign w:val="center"/>
          </w:tcPr>
          <w:p w14:paraId="238CAF34">
            <w:pPr>
              <w:spacing w:line="559" w:lineRule="atLeast"/>
              <w:jc w:val="center"/>
              <w:rPr>
                <w:rFonts w:ascii="仿宋" w:hAnsi="仿宋" w:eastAsia="仿宋" w:cs="仿宋"/>
                <w:color w:val="000000"/>
                <w:highlight w:val="none"/>
              </w:rPr>
            </w:pPr>
            <w:r>
              <w:rPr>
                <w:rFonts w:hint="eastAsia" w:ascii="仿宋" w:hAnsi="仿宋" w:eastAsia="仿宋" w:cs="仿宋"/>
                <w:color w:val="000000"/>
                <w:sz w:val="24"/>
                <w:highlight w:val="none"/>
              </w:rPr>
              <w:t> </w:t>
            </w:r>
          </w:p>
        </w:tc>
      </w:tr>
      <w:tr w14:paraId="500BA9B0">
        <w:tblPrEx>
          <w:tblCellMar>
            <w:top w:w="0" w:type="dxa"/>
            <w:left w:w="108" w:type="dxa"/>
            <w:bottom w:w="0" w:type="dxa"/>
            <w:right w:w="108" w:type="dxa"/>
          </w:tblCellMar>
        </w:tblPrEx>
        <w:trPr>
          <w:trHeight w:val="665" w:hRule="atLeast"/>
        </w:trPr>
        <w:tc>
          <w:tcPr>
            <w:tcW w:w="2791" w:type="dxa"/>
            <w:tcBorders>
              <w:top w:val="nil"/>
              <w:left w:val="single" w:color="000000" w:sz="8" w:space="0"/>
              <w:bottom w:val="single" w:color="000000" w:sz="8" w:space="0"/>
              <w:right w:val="single" w:color="000000" w:sz="8" w:space="0"/>
            </w:tcBorders>
            <w:noWrap w:val="0"/>
            <w:vAlign w:val="center"/>
          </w:tcPr>
          <w:p w14:paraId="316102F5">
            <w:pPr>
              <w:spacing w:line="559" w:lineRule="atLeast"/>
              <w:jc w:val="center"/>
              <w:rPr>
                <w:rFonts w:ascii="仿宋" w:hAnsi="仿宋" w:eastAsia="仿宋" w:cs="仿宋"/>
                <w:color w:val="000000"/>
                <w:highlight w:val="none"/>
              </w:rPr>
            </w:pPr>
            <w:r>
              <w:rPr>
                <w:rFonts w:hint="eastAsia" w:ascii="仿宋" w:hAnsi="仿宋" w:eastAsia="仿宋" w:cs="仿宋"/>
                <w:color w:val="000000"/>
                <w:sz w:val="24"/>
                <w:highlight w:val="none"/>
              </w:rPr>
              <w:t> </w:t>
            </w:r>
          </w:p>
        </w:tc>
        <w:tc>
          <w:tcPr>
            <w:tcW w:w="2386" w:type="dxa"/>
            <w:tcBorders>
              <w:top w:val="nil"/>
              <w:left w:val="nil"/>
              <w:bottom w:val="single" w:color="000000" w:sz="8" w:space="0"/>
              <w:right w:val="single" w:color="000000" w:sz="8" w:space="0"/>
            </w:tcBorders>
            <w:noWrap w:val="0"/>
            <w:vAlign w:val="center"/>
          </w:tcPr>
          <w:p w14:paraId="47401823">
            <w:pPr>
              <w:spacing w:line="559" w:lineRule="atLeast"/>
              <w:jc w:val="center"/>
              <w:rPr>
                <w:rFonts w:ascii="仿宋" w:hAnsi="仿宋" w:eastAsia="仿宋" w:cs="仿宋"/>
                <w:color w:val="000000"/>
                <w:highlight w:val="none"/>
              </w:rPr>
            </w:pPr>
            <w:r>
              <w:rPr>
                <w:rFonts w:hint="eastAsia" w:ascii="仿宋" w:hAnsi="仿宋" w:eastAsia="仿宋" w:cs="仿宋"/>
                <w:color w:val="000000"/>
                <w:sz w:val="24"/>
                <w:highlight w:val="none"/>
              </w:rPr>
              <w:t> </w:t>
            </w:r>
          </w:p>
        </w:tc>
        <w:tc>
          <w:tcPr>
            <w:tcW w:w="1994" w:type="dxa"/>
            <w:tcBorders>
              <w:top w:val="nil"/>
              <w:left w:val="nil"/>
              <w:bottom w:val="single" w:color="000000" w:sz="8" w:space="0"/>
              <w:right w:val="single" w:color="000000" w:sz="8" w:space="0"/>
            </w:tcBorders>
            <w:noWrap w:val="0"/>
            <w:vAlign w:val="center"/>
          </w:tcPr>
          <w:p w14:paraId="330F7ED8">
            <w:pPr>
              <w:spacing w:line="559" w:lineRule="atLeast"/>
              <w:jc w:val="center"/>
              <w:rPr>
                <w:rFonts w:hint="eastAsia" w:ascii="仿宋" w:hAnsi="仿宋" w:eastAsia="仿宋" w:cs="仿宋"/>
                <w:color w:val="000000"/>
                <w:sz w:val="24"/>
                <w:highlight w:val="none"/>
              </w:rPr>
            </w:pPr>
          </w:p>
        </w:tc>
        <w:tc>
          <w:tcPr>
            <w:tcW w:w="2223" w:type="dxa"/>
            <w:tcBorders>
              <w:top w:val="nil"/>
              <w:left w:val="nil"/>
              <w:bottom w:val="single" w:color="000000" w:sz="8" w:space="0"/>
              <w:right w:val="single" w:color="000000" w:sz="8" w:space="0"/>
            </w:tcBorders>
            <w:noWrap w:val="0"/>
            <w:vAlign w:val="center"/>
          </w:tcPr>
          <w:p w14:paraId="49365152">
            <w:pPr>
              <w:spacing w:line="559" w:lineRule="atLeast"/>
              <w:jc w:val="center"/>
              <w:rPr>
                <w:rFonts w:ascii="仿宋" w:hAnsi="仿宋" w:eastAsia="仿宋" w:cs="仿宋"/>
                <w:color w:val="000000"/>
                <w:highlight w:val="none"/>
              </w:rPr>
            </w:pPr>
            <w:r>
              <w:rPr>
                <w:rFonts w:hint="eastAsia" w:ascii="仿宋" w:hAnsi="仿宋" w:eastAsia="仿宋" w:cs="仿宋"/>
                <w:color w:val="000000"/>
                <w:sz w:val="24"/>
                <w:highlight w:val="none"/>
              </w:rPr>
              <w:t> </w:t>
            </w:r>
          </w:p>
        </w:tc>
      </w:tr>
      <w:tr w14:paraId="76BAAE55">
        <w:tblPrEx>
          <w:tblCellMar>
            <w:top w:w="0" w:type="dxa"/>
            <w:left w:w="108" w:type="dxa"/>
            <w:bottom w:w="0" w:type="dxa"/>
            <w:right w:w="108" w:type="dxa"/>
          </w:tblCellMar>
        </w:tblPrEx>
        <w:trPr>
          <w:trHeight w:val="665" w:hRule="atLeast"/>
        </w:trPr>
        <w:tc>
          <w:tcPr>
            <w:tcW w:w="2791" w:type="dxa"/>
            <w:tcBorders>
              <w:top w:val="nil"/>
              <w:left w:val="single" w:color="000000" w:sz="8" w:space="0"/>
              <w:bottom w:val="single" w:color="000000" w:sz="8" w:space="0"/>
              <w:right w:val="single" w:color="000000" w:sz="8" w:space="0"/>
            </w:tcBorders>
            <w:noWrap w:val="0"/>
            <w:vAlign w:val="center"/>
          </w:tcPr>
          <w:p w14:paraId="4F61118F">
            <w:pPr>
              <w:spacing w:line="559" w:lineRule="atLeast"/>
              <w:jc w:val="center"/>
              <w:rPr>
                <w:rFonts w:ascii="仿宋" w:hAnsi="仿宋" w:eastAsia="仿宋" w:cs="仿宋"/>
                <w:color w:val="000000"/>
                <w:highlight w:val="none"/>
              </w:rPr>
            </w:pPr>
            <w:r>
              <w:rPr>
                <w:rFonts w:hint="eastAsia" w:ascii="仿宋" w:hAnsi="仿宋" w:eastAsia="仿宋" w:cs="仿宋"/>
                <w:color w:val="000000"/>
                <w:sz w:val="24"/>
                <w:highlight w:val="none"/>
              </w:rPr>
              <w:t> </w:t>
            </w:r>
          </w:p>
        </w:tc>
        <w:tc>
          <w:tcPr>
            <w:tcW w:w="2386" w:type="dxa"/>
            <w:tcBorders>
              <w:top w:val="nil"/>
              <w:left w:val="nil"/>
              <w:bottom w:val="single" w:color="000000" w:sz="8" w:space="0"/>
              <w:right w:val="single" w:color="000000" w:sz="8" w:space="0"/>
            </w:tcBorders>
            <w:noWrap w:val="0"/>
            <w:vAlign w:val="center"/>
          </w:tcPr>
          <w:p w14:paraId="121607E4">
            <w:pPr>
              <w:spacing w:line="559" w:lineRule="atLeast"/>
              <w:jc w:val="center"/>
              <w:rPr>
                <w:rFonts w:ascii="仿宋" w:hAnsi="仿宋" w:eastAsia="仿宋" w:cs="仿宋"/>
                <w:color w:val="000000"/>
                <w:highlight w:val="none"/>
              </w:rPr>
            </w:pPr>
            <w:r>
              <w:rPr>
                <w:rFonts w:hint="eastAsia" w:ascii="仿宋" w:hAnsi="仿宋" w:eastAsia="仿宋" w:cs="仿宋"/>
                <w:color w:val="000000"/>
                <w:sz w:val="24"/>
                <w:highlight w:val="none"/>
              </w:rPr>
              <w:t> </w:t>
            </w:r>
          </w:p>
        </w:tc>
        <w:tc>
          <w:tcPr>
            <w:tcW w:w="1994" w:type="dxa"/>
            <w:tcBorders>
              <w:top w:val="nil"/>
              <w:left w:val="nil"/>
              <w:bottom w:val="single" w:color="000000" w:sz="8" w:space="0"/>
              <w:right w:val="single" w:color="000000" w:sz="8" w:space="0"/>
            </w:tcBorders>
            <w:noWrap w:val="0"/>
            <w:vAlign w:val="center"/>
          </w:tcPr>
          <w:p w14:paraId="14F0CE6A">
            <w:pPr>
              <w:spacing w:line="559" w:lineRule="atLeast"/>
              <w:jc w:val="center"/>
              <w:rPr>
                <w:rFonts w:hint="eastAsia" w:ascii="仿宋" w:hAnsi="仿宋" w:eastAsia="仿宋" w:cs="仿宋"/>
                <w:color w:val="000000"/>
                <w:sz w:val="24"/>
                <w:highlight w:val="none"/>
              </w:rPr>
            </w:pPr>
          </w:p>
        </w:tc>
        <w:tc>
          <w:tcPr>
            <w:tcW w:w="2223" w:type="dxa"/>
            <w:tcBorders>
              <w:top w:val="nil"/>
              <w:left w:val="nil"/>
              <w:bottom w:val="single" w:color="000000" w:sz="8" w:space="0"/>
              <w:right w:val="single" w:color="000000" w:sz="8" w:space="0"/>
            </w:tcBorders>
            <w:noWrap w:val="0"/>
            <w:vAlign w:val="center"/>
          </w:tcPr>
          <w:p w14:paraId="65C007AF">
            <w:pPr>
              <w:spacing w:line="559" w:lineRule="atLeast"/>
              <w:jc w:val="center"/>
              <w:rPr>
                <w:rFonts w:ascii="仿宋" w:hAnsi="仿宋" w:eastAsia="仿宋" w:cs="仿宋"/>
                <w:color w:val="000000"/>
                <w:highlight w:val="none"/>
              </w:rPr>
            </w:pPr>
            <w:r>
              <w:rPr>
                <w:rFonts w:hint="eastAsia" w:ascii="仿宋" w:hAnsi="仿宋" w:eastAsia="仿宋" w:cs="仿宋"/>
                <w:color w:val="000000"/>
                <w:sz w:val="24"/>
                <w:highlight w:val="none"/>
              </w:rPr>
              <w:t> </w:t>
            </w:r>
          </w:p>
        </w:tc>
      </w:tr>
      <w:tr w14:paraId="74B90EE5">
        <w:tblPrEx>
          <w:tblCellMar>
            <w:top w:w="0" w:type="dxa"/>
            <w:left w:w="108" w:type="dxa"/>
            <w:bottom w:w="0" w:type="dxa"/>
            <w:right w:w="108" w:type="dxa"/>
          </w:tblCellMar>
        </w:tblPrEx>
        <w:trPr>
          <w:trHeight w:val="665" w:hRule="atLeast"/>
        </w:trPr>
        <w:tc>
          <w:tcPr>
            <w:tcW w:w="2791" w:type="dxa"/>
            <w:tcBorders>
              <w:top w:val="nil"/>
              <w:left w:val="single" w:color="000000" w:sz="8" w:space="0"/>
              <w:bottom w:val="single" w:color="000000" w:sz="8" w:space="0"/>
              <w:right w:val="single" w:color="000000" w:sz="8" w:space="0"/>
            </w:tcBorders>
            <w:noWrap w:val="0"/>
            <w:vAlign w:val="center"/>
          </w:tcPr>
          <w:p w14:paraId="690A06AF">
            <w:pPr>
              <w:spacing w:line="559" w:lineRule="atLeast"/>
              <w:jc w:val="center"/>
              <w:rPr>
                <w:rFonts w:ascii="仿宋" w:hAnsi="仿宋" w:eastAsia="仿宋" w:cs="仿宋"/>
                <w:color w:val="000000"/>
                <w:highlight w:val="none"/>
              </w:rPr>
            </w:pPr>
            <w:r>
              <w:rPr>
                <w:rFonts w:hint="eastAsia" w:ascii="仿宋" w:hAnsi="仿宋" w:eastAsia="仿宋" w:cs="仿宋"/>
                <w:color w:val="000000"/>
                <w:sz w:val="24"/>
                <w:highlight w:val="none"/>
              </w:rPr>
              <w:t> </w:t>
            </w:r>
          </w:p>
        </w:tc>
        <w:tc>
          <w:tcPr>
            <w:tcW w:w="2386" w:type="dxa"/>
            <w:tcBorders>
              <w:top w:val="nil"/>
              <w:left w:val="nil"/>
              <w:bottom w:val="single" w:color="000000" w:sz="8" w:space="0"/>
              <w:right w:val="single" w:color="000000" w:sz="8" w:space="0"/>
            </w:tcBorders>
            <w:noWrap w:val="0"/>
            <w:vAlign w:val="center"/>
          </w:tcPr>
          <w:p w14:paraId="6334E283">
            <w:pPr>
              <w:spacing w:line="559" w:lineRule="atLeast"/>
              <w:jc w:val="center"/>
              <w:rPr>
                <w:rFonts w:ascii="仿宋" w:hAnsi="仿宋" w:eastAsia="仿宋" w:cs="仿宋"/>
                <w:color w:val="000000"/>
                <w:highlight w:val="none"/>
              </w:rPr>
            </w:pPr>
            <w:r>
              <w:rPr>
                <w:rFonts w:hint="eastAsia" w:ascii="仿宋" w:hAnsi="仿宋" w:eastAsia="仿宋" w:cs="仿宋"/>
                <w:color w:val="000000"/>
                <w:sz w:val="24"/>
                <w:highlight w:val="none"/>
              </w:rPr>
              <w:t> </w:t>
            </w:r>
          </w:p>
        </w:tc>
        <w:tc>
          <w:tcPr>
            <w:tcW w:w="1994" w:type="dxa"/>
            <w:tcBorders>
              <w:top w:val="nil"/>
              <w:left w:val="nil"/>
              <w:bottom w:val="single" w:color="000000" w:sz="8" w:space="0"/>
              <w:right w:val="single" w:color="000000" w:sz="8" w:space="0"/>
            </w:tcBorders>
            <w:noWrap w:val="0"/>
            <w:vAlign w:val="center"/>
          </w:tcPr>
          <w:p w14:paraId="527B3813">
            <w:pPr>
              <w:spacing w:line="559" w:lineRule="atLeast"/>
              <w:jc w:val="center"/>
              <w:rPr>
                <w:rFonts w:hint="eastAsia" w:ascii="仿宋" w:hAnsi="仿宋" w:eastAsia="仿宋" w:cs="仿宋"/>
                <w:color w:val="000000"/>
                <w:sz w:val="24"/>
                <w:highlight w:val="none"/>
              </w:rPr>
            </w:pPr>
          </w:p>
        </w:tc>
        <w:tc>
          <w:tcPr>
            <w:tcW w:w="2223" w:type="dxa"/>
            <w:tcBorders>
              <w:top w:val="nil"/>
              <w:left w:val="nil"/>
              <w:bottom w:val="single" w:color="000000" w:sz="8" w:space="0"/>
              <w:right w:val="single" w:color="000000" w:sz="8" w:space="0"/>
            </w:tcBorders>
            <w:noWrap w:val="0"/>
            <w:vAlign w:val="center"/>
          </w:tcPr>
          <w:p w14:paraId="12DACC56">
            <w:pPr>
              <w:spacing w:line="559" w:lineRule="atLeast"/>
              <w:jc w:val="center"/>
              <w:rPr>
                <w:rFonts w:ascii="仿宋" w:hAnsi="仿宋" w:eastAsia="仿宋" w:cs="仿宋"/>
                <w:color w:val="000000"/>
                <w:highlight w:val="none"/>
              </w:rPr>
            </w:pPr>
            <w:r>
              <w:rPr>
                <w:rFonts w:hint="eastAsia" w:ascii="仿宋" w:hAnsi="仿宋" w:eastAsia="仿宋" w:cs="仿宋"/>
                <w:color w:val="000000"/>
                <w:sz w:val="24"/>
                <w:highlight w:val="none"/>
              </w:rPr>
              <w:t> </w:t>
            </w:r>
          </w:p>
        </w:tc>
      </w:tr>
      <w:tr w14:paraId="6C2CFA29">
        <w:tblPrEx>
          <w:tblCellMar>
            <w:top w:w="0" w:type="dxa"/>
            <w:left w:w="108" w:type="dxa"/>
            <w:bottom w:w="0" w:type="dxa"/>
            <w:right w:w="108" w:type="dxa"/>
          </w:tblCellMar>
        </w:tblPrEx>
        <w:trPr>
          <w:trHeight w:val="665" w:hRule="atLeast"/>
        </w:trPr>
        <w:tc>
          <w:tcPr>
            <w:tcW w:w="2791" w:type="dxa"/>
            <w:tcBorders>
              <w:top w:val="nil"/>
              <w:left w:val="single" w:color="000000" w:sz="8" w:space="0"/>
              <w:bottom w:val="single" w:color="000000" w:sz="8" w:space="0"/>
              <w:right w:val="single" w:color="000000" w:sz="8" w:space="0"/>
            </w:tcBorders>
            <w:noWrap w:val="0"/>
            <w:vAlign w:val="center"/>
          </w:tcPr>
          <w:p w14:paraId="59D05626">
            <w:pPr>
              <w:spacing w:line="559" w:lineRule="atLeast"/>
              <w:jc w:val="center"/>
              <w:rPr>
                <w:rFonts w:ascii="仿宋" w:hAnsi="仿宋" w:eastAsia="仿宋" w:cs="仿宋"/>
                <w:color w:val="000000"/>
                <w:highlight w:val="none"/>
              </w:rPr>
            </w:pPr>
            <w:r>
              <w:rPr>
                <w:rFonts w:hint="eastAsia" w:ascii="仿宋" w:hAnsi="仿宋" w:eastAsia="仿宋" w:cs="仿宋"/>
                <w:color w:val="000000"/>
                <w:sz w:val="24"/>
                <w:highlight w:val="none"/>
              </w:rPr>
              <w:t> </w:t>
            </w:r>
          </w:p>
        </w:tc>
        <w:tc>
          <w:tcPr>
            <w:tcW w:w="2386" w:type="dxa"/>
            <w:tcBorders>
              <w:top w:val="nil"/>
              <w:left w:val="nil"/>
              <w:bottom w:val="single" w:color="000000" w:sz="8" w:space="0"/>
              <w:right w:val="single" w:color="000000" w:sz="8" w:space="0"/>
            </w:tcBorders>
            <w:noWrap w:val="0"/>
            <w:vAlign w:val="center"/>
          </w:tcPr>
          <w:p w14:paraId="399F45E5">
            <w:pPr>
              <w:spacing w:line="559" w:lineRule="atLeast"/>
              <w:jc w:val="center"/>
              <w:rPr>
                <w:rFonts w:ascii="仿宋" w:hAnsi="仿宋" w:eastAsia="仿宋" w:cs="仿宋"/>
                <w:color w:val="000000"/>
                <w:highlight w:val="none"/>
              </w:rPr>
            </w:pPr>
            <w:r>
              <w:rPr>
                <w:rFonts w:hint="eastAsia" w:ascii="仿宋" w:hAnsi="仿宋" w:eastAsia="仿宋" w:cs="仿宋"/>
                <w:color w:val="000000"/>
                <w:sz w:val="24"/>
                <w:highlight w:val="none"/>
              </w:rPr>
              <w:t> </w:t>
            </w:r>
          </w:p>
        </w:tc>
        <w:tc>
          <w:tcPr>
            <w:tcW w:w="1994" w:type="dxa"/>
            <w:tcBorders>
              <w:top w:val="nil"/>
              <w:left w:val="nil"/>
              <w:bottom w:val="single" w:color="000000" w:sz="8" w:space="0"/>
              <w:right w:val="single" w:color="000000" w:sz="8" w:space="0"/>
            </w:tcBorders>
            <w:noWrap w:val="0"/>
            <w:vAlign w:val="center"/>
          </w:tcPr>
          <w:p w14:paraId="4D17D56F">
            <w:pPr>
              <w:spacing w:line="559" w:lineRule="atLeast"/>
              <w:jc w:val="center"/>
              <w:rPr>
                <w:rFonts w:hint="eastAsia" w:ascii="仿宋" w:hAnsi="仿宋" w:eastAsia="仿宋" w:cs="仿宋"/>
                <w:color w:val="000000"/>
                <w:sz w:val="24"/>
                <w:highlight w:val="none"/>
              </w:rPr>
            </w:pPr>
          </w:p>
        </w:tc>
        <w:tc>
          <w:tcPr>
            <w:tcW w:w="2223" w:type="dxa"/>
            <w:tcBorders>
              <w:top w:val="nil"/>
              <w:left w:val="nil"/>
              <w:bottom w:val="single" w:color="000000" w:sz="8" w:space="0"/>
              <w:right w:val="single" w:color="000000" w:sz="8" w:space="0"/>
            </w:tcBorders>
            <w:noWrap w:val="0"/>
            <w:vAlign w:val="center"/>
          </w:tcPr>
          <w:p w14:paraId="40E690D2">
            <w:pPr>
              <w:spacing w:line="559" w:lineRule="atLeast"/>
              <w:jc w:val="center"/>
              <w:rPr>
                <w:rFonts w:ascii="仿宋" w:hAnsi="仿宋" w:eastAsia="仿宋" w:cs="仿宋"/>
                <w:color w:val="000000"/>
                <w:highlight w:val="none"/>
              </w:rPr>
            </w:pPr>
            <w:r>
              <w:rPr>
                <w:rFonts w:hint="eastAsia" w:ascii="仿宋" w:hAnsi="仿宋" w:eastAsia="仿宋" w:cs="仿宋"/>
                <w:color w:val="000000"/>
                <w:sz w:val="24"/>
                <w:highlight w:val="none"/>
              </w:rPr>
              <w:t> </w:t>
            </w:r>
          </w:p>
        </w:tc>
      </w:tr>
      <w:tr w14:paraId="1D78E37F">
        <w:tblPrEx>
          <w:tblCellMar>
            <w:top w:w="0" w:type="dxa"/>
            <w:left w:w="108" w:type="dxa"/>
            <w:bottom w:w="0" w:type="dxa"/>
            <w:right w:w="108" w:type="dxa"/>
          </w:tblCellMar>
        </w:tblPrEx>
        <w:trPr>
          <w:trHeight w:val="665" w:hRule="atLeast"/>
        </w:trPr>
        <w:tc>
          <w:tcPr>
            <w:tcW w:w="2791" w:type="dxa"/>
            <w:tcBorders>
              <w:top w:val="nil"/>
              <w:left w:val="single" w:color="000000" w:sz="8" w:space="0"/>
              <w:bottom w:val="single" w:color="000000" w:sz="8" w:space="0"/>
              <w:right w:val="single" w:color="000000" w:sz="8" w:space="0"/>
            </w:tcBorders>
            <w:noWrap w:val="0"/>
            <w:vAlign w:val="center"/>
          </w:tcPr>
          <w:p w14:paraId="747F4F1E">
            <w:pPr>
              <w:spacing w:line="559" w:lineRule="atLeast"/>
              <w:jc w:val="center"/>
              <w:rPr>
                <w:rFonts w:ascii="仿宋" w:hAnsi="仿宋" w:eastAsia="仿宋" w:cs="仿宋"/>
                <w:color w:val="000000"/>
                <w:highlight w:val="none"/>
              </w:rPr>
            </w:pPr>
            <w:r>
              <w:rPr>
                <w:rFonts w:hint="eastAsia" w:ascii="仿宋" w:hAnsi="仿宋" w:eastAsia="仿宋" w:cs="仿宋"/>
                <w:color w:val="000000"/>
                <w:sz w:val="24"/>
                <w:highlight w:val="none"/>
              </w:rPr>
              <w:t> </w:t>
            </w:r>
          </w:p>
        </w:tc>
        <w:tc>
          <w:tcPr>
            <w:tcW w:w="2386" w:type="dxa"/>
            <w:tcBorders>
              <w:top w:val="nil"/>
              <w:left w:val="nil"/>
              <w:bottom w:val="single" w:color="000000" w:sz="8" w:space="0"/>
              <w:right w:val="single" w:color="000000" w:sz="8" w:space="0"/>
            </w:tcBorders>
            <w:noWrap w:val="0"/>
            <w:vAlign w:val="center"/>
          </w:tcPr>
          <w:p w14:paraId="22571C29">
            <w:pPr>
              <w:spacing w:line="559" w:lineRule="atLeast"/>
              <w:jc w:val="center"/>
              <w:rPr>
                <w:rFonts w:ascii="仿宋" w:hAnsi="仿宋" w:eastAsia="仿宋" w:cs="仿宋"/>
                <w:color w:val="000000"/>
                <w:highlight w:val="none"/>
              </w:rPr>
            </w:pPr>
            <w:r>
              <w:rPr>
                <w:rFonts w:hint="eastAsia" w:ascii="仿宋" w:hAnsi="仿宋" w:eastAsia="仿宋" w:cs="仿宋"/>
                <w:color w:val="000000"/>
                <w:sz w:val="24"/>
                <w:highlight w:val="none"/>
              </w:rPr>
              <w:t> </w:t>
            </w:r>
          </w:p>
        </w:tc>
        <w:tc>
          <w:tcPr>
            <w:tcW w:w="1994" w:type="dxa"/>
            <w:tcBorders>
              <w:top w:val="nil"/>
              <w:left w:val="nil"/>
              <w:bottom w:val="single" w:color="000000" w:sz="8" w:space="0"/>
              <w:right w:val="single" w:color="000000" w:sz="8" w:space="0"/>
            </w:tcBorders>
            <w:noWrap w:val="0"/>
            <w:vAlign w:val="center"/>
          </w:tcPr>
          <w:p w14:paraId="1AE41AE3">
            <w:pPr>
              <w:spacing w:line="559" w:lineRule="atLeast"/>
              <w:jc w:val="center"/>
              <w:rPr>
                <w:rFonts w:hint="eastAsia" w:ascii="仿宋" w:hAnsi="仿宋" w:eastAsia="仿宋" w:cs="仿宋"/>
                <w:color w:val="000000"/>
                <w:sz w:val="24"/>
                <w:highlight w:val="none"/>
              </w:rPr>
            </w:pPr>
          </w:p>
        </w:tc>
        <w:tc>
          <w:tcPr>
            <w:tcW w:w="2223" w:type="dxa"/>
            <w:tcBorders>
              <w:top w:val="nil"/>
              <w:left w:val="nil"/>
              <w:bottom w:val="single" w:color="000000" w:sz="8" w:space="0"/>
              <w:right w:val="single" w:color="000000" w:sz="8" w:space="0"/>
            </w:tcBorders>
            <w:noWrap w:val="0"/>
            <w:vAlign w:val="center"/>
          </w:tcPr>
          <w:p w14:paraId="420C95A0">
            <w:pPr>
              <w:spacing w:line="559" w:lineRule="atLeast"/>
              <w:jc w:val="center"/>
              <w:rPr>
                <w:rFonts w:ascii="仿宋" w:hAnsi="仿宋" w:eastAsia="仿宋" w:cs="仿宋"/>
                <w:color w:val="000000"/>
                <w:highlight w:val="none"/>
              </w:rPr>
            </w:pPr>
            <w:r>
              <w:rPr>
                <w:rFonts w:hint="eastAsia" w:ascii="仿宋" w:hAnsi="仿宋" w:eastAsia="仿宋" w:cs="仿宋"/>
                <w:color w:val="000000"/>
                <w:sz w:val="24"/>
                <w:highlight w:val="none"/>
              </w:rPr>
              <w:t> </w:t>
            </w:r>
          </w:p>
        </w:tc>
      </w:tr>
      <w:tr w14:paraId="00057041">
        <w:tblPrEx>
          <w:tblCellMar>
            <w:top w:w="0" w:type="dxa"/>
            <w:left w:w="108" w:type="dxa"/>
            <w:bottom w:w="0" w:type="dxa"/>
            <w:right w:w="108" w:type="dxa"/>
          </w:tblCellMar>
        </w:tblPrEx>
        <w:trPr>
          <w:trHeight w:val="665" w:hRule="atLeast"/>
        </w:trPr>
        <w:tc>
          <w:tcPr>
            <w:tcW w:w="2791" w:type="dxa"/>
            <w:tcBorders>
              <w:top w:val="nil"/>
              <w:left w:val="single" w:color="000000" w:sz="8" w:space="0"/>
              <w:bottom w:val="single" w:color="000000" w:sz="8" w:space="0"/>
              <w:right w:val="single" w:color="000000" w:sz="8" w:space="0"/>
            </w:tcBorders>
            <w:noWrap w:val="0"/>
            <w:vAlign w:val="center"/>
          </w:tcPr>
          <w:p w14:paraId="70DA098C">
            <w:pPr>
              <w:spacing w:line="559" w:lineRule="atLeast"/>
              <w:jc w:val="center"/>
              <w:rPr>
                <w:rFonts w:ascii="仿宋" w:hAnsi="仿宋" w:eastAsia="仿宋" w:cs="仿宋"/>
                <w:color w:val="000000"/>
                <w:highlight w:val="none"/>
              </w:rPr>
            </w:pPr>
            <w:r>
              <w:rPr>
                <w:rFonts w:hint="eastAsia" w:ascii="仿宋" w:hAnsi="仿宋" w:eastAsia="仿宋" w:cs="仿宋"/>
                <w:color w:val="000000"/>
                <w:sz w:val="24"/>
                <w:highlight w:val="none"/>
              </w:rPr>
              <w:t> </w:t>
            </w:r>
          </w:p>
        </w:tc>
        <w:tc>
          <w:tcPr>
            <w:tcW w:w="2386" w:type="dxa"/>
            <w:tcBorders>
              <w:top w:val="nil"/>
              <w:left w:val="nil"/>
              <w:bottom w:val="single" w:color="000000" w:sz="8" w:space="0"/>
              <w:right w:val="single" w:color="000000" w:sz="8" w:space="0"/>
            </w:tcBorders>
            <w:noWrap w:val="0"/>
            <w:vAlign w:val="center"/>
          </w:tcPr>
          <w:p w14:paraId="5A0C234E">
            <w:pPr>
              <w:spacing w:line="559" w:lineRule="atLeast"/>
              <w:jc w:val="center"/>
              <w:rPr>
                <w:rFonts w:ascii="仿宋" w:hAnsi="仿宋" w:eastAsia="仿宋" w:cs="仿宋"/>
                <w:color w:val="000000"/>
                <w:highlight w:val="none"/>
              </w:rPr>
            </w:pPr>
            <w:r>
              <w:rPr>
                <w:rFonts w:hint="eastAsia" w:ascii="仿宋" w:hAnsi="仿宋" w:eastAsia="仿宋" w:cs="仿宋"/>
                <w:color w:val="000000"/>
                <w:sz w:val="24"/>
                <w:highlight w:val="none"/>
              </w:rPr>
              <w:t> </w:t>
            </w:r>
          </w:p>
        </w:tc>
        <w:tc>
          <w:tcPr>
            <w:tcW w:w="1994" w:type="dxa"/>
            <w:tcBorders>
              <w:top w:val="nil"/>
              <w:left w:val="nil"/>
              <w:bottom w:val="single" w:color="000000" w:sz="8" w:space="0"/>
              <w:right w:val="single" w:color="000000" w:sz="8" w:space="0"/>
            </w:tcBorders>
            <w:noWrap w:val="0"/>
            <w:vAlign w:val="center"/>
          </w:tcPr>
          <w:p w14:paraId="4DC0F867">
            <w:pPr>
              <w:spacing w:line="559" w:lineRule="atLeast"/>
              <w:jc w:val="center"/>
              <w:rPr>
                <w:rFonts w:hint="eastAsia" w:ascii="仿宋" w:hAnsi="仿宋" w:eastAsia="仿宋" w:cs="仿宋"/>
                <w:color w:val="000000"/>
                <w:sz w:val="24"/>
                <w:highlight w:val="none"/>
              </w:rPr>
            </w:pPr>
          </w:p>
        </w:tc>
        <w:tc>
          <w:tcPr>
            <w:tcW w:w="2223" w:type="dxa"/>
            <w:tcBorders>
              <w:top w:val="nil"/>
              <w:left w:val="nil"/>
              <w:bottom w:val="single" w:color="000000" w:sz="8" w:space="0"/>
              <w:right w:val="single" w:color="000000" w:sz="8" w:space="0"/>
            </w:tcBorders>
            <w:noWrap w:val="0"/>
            <w:vAlign w:val="center"/>
          </w:tcPr>
          <w:p w14:paraId="6D674BFE">
            <w:pPr>
              <w:spacing w:line="559" w:lineRule="atLeast"/>
              <w:jc w:val="center"/>
              <w:rPr>
                <w:rFonts w:ascii="仿宋" w:hAnsi="仿宋" w:eastAsia="仿宋" w:cs="仿宋"/>
                <w:color w:val="000000"/>
                <w:highlight w:val="none"/>
              </w:rPr>
            </w:pPr>
            <w:r>
              <w:rPr>
                <w:rFonts w:hint="eastAsia" w:ascii="仿宋" w:hAnsi="仿宋" w:eastAsia="仿宋" w:cs="仿宋"/>
                <w:color w:val="000000"/>
                <w:sz w:val="24"/>
                <w:highlight w:val="none"/>
              </w:rPr>
              <w:t> </w:t>
            </w:r>
          </w:p>
        </w:tc>
      </w:tr>
      <w:tr w14:paraId="19701A9C">
        <w:tblPrEx>
          <w:tblCellMar>
            <w:top w:w="0" w:type="dxa"/>
            <w:left w:w="108" w:type="dxa"/>
            <w:bottom w:w="0" w:type="dxa"/>
            <w:right w:w="108" w:type="dxa"/>
          </w:tblCellMar>
        </w:tblPrEx>
        <w:trPr>
          <w:trHeight w:val="665" w:hRule="atLeast"/>
        </w:trPr>
        <w:tc>
          <w:tcPr>
            <w:tcW w:w="2791" w:type="dxa"/>
            <w:tcBorders>
              <w:top w:val="nil"/>
              <w:left w:val="single" w:color="000000" w:sz="8" w:space="0"/>
              <w:bottom w:val="single" w:color="000000" w:sz="8" w:space="0"/>
              <w:right w:val="single" w:color="000000" w:sz="8" w:space="0"/>
            </w:tcBorders>
            <w:noWrap w:val="0"/>
            <w:vAlign w:val="center"/>
          </w:tcPr>
          <w:p w14:paraId="69B9D25A">
            <w:pPr>
              <w:spacing w:line="559" w:lineRule="atLeast"/>
              <w:jc w:val="center"/>
              <w:rPr>
                <w:rFonts w:ascii="仿宋" w:hAnsi="仿宋" w:eastAsia="仿宋" w:cs="仿宋"/>
                <w:color w:val="000000"/>
                <w:highlight w:val="none"/>
              </w:rPr>
            </w:pPr>
            <w:r>
              <w:rPr>
                <w:rFonts w:hint="eastAsia" w:ascii="仿宋" w:hAnsi="仿宋" w:eastAsia="仿宋" w:cs="仿宋"/>
                <w:color w:val="000000"/>
                <w:sz w:val="24"/>
                <w:highlight w:val="none"/>
              </w:rPr>
              <w:t> </w:t>
            </w:r>
          </w:p>
        </w:tc>
        <w:tc>
          <w:tcPr>
            <w:tcW w:w="2386" w:type="dxa"/>
            <w:tcBorders>
              <w:top w:val="nil"/>
              <w:left w:val="nil"/>
              <w:bottom w:val="single" w:color="000000" w:sz="8" w:space="0"/>
              <w:right w:val="single" w:color="000000" w:sz="8" w:space="0"/>
            </w:tcBorders>
            <w:noWrap w:val="0"/>
            <w:vAlign w:val="center"/>
          </w:tcPr>
          <w:p w14:paraId="029616A4">
            <w:pPr>
              <w:spacing w:line="559" w:lineRule="atLeast"/>
              <w:jc w:val="center"/>
              <w:rPr>
                <w:rFonts w:ascii="仿宋" w:hAnsi="仿宋" w:eastAsia="仿宋" w:cs="仿宋"/>
                <w:color w:val="000000"/>
                <w:highlight w:val="none"/>
              </w:rPr>
            </w:pPr>
            <w:r>
              <w:rPr>
                <w:rFonts w:hint="eastAsia" w:ascii="仿宋" w:hAnsi="仿宋" w:eastAsia="仿宋" w:cs="仿宋"/>
                <w:color w:val="000000"/>
                <w:sz w:val="24"/>
                <w:highlight w:val="none"/>
              </w:rPr>
              <w:t> </w:t>
            </w:r>
          </w:p>
        </w:tc>
        <w:tc>
          <w:tcPr>
            <w:tcW w:w="1994" w:type="dxa"/>
            <w:tcBorders>
              <w:top w:val="nil"/>
              <w:left w:val="nil"/>
              <w:bottom w:val="single" w:color="000000" w:sz="8" w:space="0"/>
              <w:right w:val="single" w:color="000000" w:sz="8" w:space="0"/>
            </w:tcBorders>
            <w:noWrap w:val="0"/>
            <w:vAlign w:val="center"/>
          </w:tcPr>
          <w:p w14:paraId="1F41456A">
            <w:pPr>
              <w:spacing w:line="559" w:lineRule="atLeast"/>
              <w:jc w:val="center"/>
              <w:rPr>
                <w:rFonts w:hint="eastAsia" w:ascii="仿宋" w:hAnsi="仿宋" w:eastAsia="仿宋" w:cs="仿宋"/>
                <w:color w:val="000000"/>
                <w:sz w:val="24"/>
                <w:highlight w:val="none"/>
              </w:rPr>
            </w:pPr>
          </w:p>
        </w:tc>
        <w:tc>
          <w:tcPr>
            <w:tcW w:w="2223" w:type="dxa"/>
            <w:tcBorders>
              <w:top w:val="nil"/>
              <w:left w:val="nil"/>
              <w:bottom w:val="single" w:color="000000" w:sz="8" w:space="0"/>
              <w:right w:val="single" w:color="000000" w:sz="8" w:space="0"/>
            </w:tcBorders>
            <w:noWrap w:val="0"/>
            <w:vAlign w:val="center"/>
          </w:tcPr>
          <w:p w14:paraId="48EC9C5D">
            <w:pPr>
              <w:spacing w:line="559" w:lineRule="atLeast"/>
              <w:jc w:val="center"/>
              <w:rPr>
                <w:rFonts w:ascii="仿宋" w:hAnsi="仿宋" w:eastAsia="仿宋" w:cs="仿宋"/>
                <w:color w:val="000000"/>
                <w:highlight w:val="none"/>
              </w:rPr>
            </w:pPr>
            <w:r>
              <w:rPr>
                <w:rFonts w:hint="eastAsia" w:ascii="仿宋" w:hAnsi="仿宋" w:eastAsia="仿宋" w:cs="仿宋"/>
                <w:color w:val="000000"/>
                <w:sz w:val="24"/>
                <w:highlight w:val="none"/>
              </w:rPr>
              <w:t> </w:t>
            </w:r>
          </w:p>
        </w:tc>
      </w:tr>
      <w:tr w14:paraId="3FEED272">
        <w:tblPrEx>
          <w:tblCellMar>
            <w:top w:w="0" w:type="dxa"/>
            <w:left w:w="108" w:type="dxa"/>
            <w:bottom w:w="0" w:type="dxa"/>
            <w:right w:w="108" w:type="dxa"/>
          </w:tblCellMar>
        </w:tblPrEx>
        <w:trPr>
          <w:trHeight w:val="665" w:hRule="atLeast"/>
        </w:trPr>
        <w:tc>
          <w:tcPr>
            <w:tcW w:w="2791" w:type="dxa"/>
            <w:tcBorders>
              <w:top w:val="nil"/>
              <w:left w:val="single" w:color="000000" w:sz="8" w:space="0"/>
              <w:bottom w:val="single" w:color="000000" w:sz="8" w:space="0"/>
              <w:right w:val="single" w:color="000000" w:sz="8" w:space="0"/>
            </w:tcBorders>
            <w:noWrap w:val="0"/>
            <w:vAlign w:val="center"/>
          </w:tcPr>
          <w:p w14:paraId="3AB2CE91">
            <w:pPr>
              <w:spacing w:line="559" w:lineRule="atLeast"/>
              <w:jc w:val="center"/>
              <w:rPr>
                <w:rFonts w:ascii="仿宋" w:hAnsi="仿宋" w:eastAsia="仿宋" w:cs="仿宋"/>
                <w:color w:val="000000"/>
                <w:highlight w:val="none"/>
              </w:rPr>
            </w:pPr>
            <w:r>
              <w:rPr>
                <w:rFonts w:hint="eastAsia" w:ascii="仿宋" w:hAnsi="仿宋" w:eastAsia="仿宋" w:cs="仿宋"/>
                <w:color w:val="000000"/>
                <w:sz w:val="24"/>
                <w:highlight w:val="none"/>
              </w:rPr>
              <w:t> </w:t>
            </w:r>
          </w:p>
        </w:tc>
        <w:tc>
          <w:tcPr>
            <w:tcW w:w="2386" w:type="dxa"/>
            <w:tcBorders>
              <w:top w:val="nil"/>
              <w:left w:val="nil"/>
              <w:bottom w:val="single" w:color="000000" w:sz="8" w:space="0"/>
              <w:right w:val="single" w:color="000000" w:sz="8" w:space="0"/>
            </w:tcBorders>
            <w:noWrap w:val="0"/>
            <w:vAlign w:val="center"/>
          </w:tcPr>
          <w:p w14:paraId="3C6D271A">
            <w:pPr>
              <w:spacing w:line="559" w:lineRule="atLeast"/>
              <w:jc w:val="center"/>
              <w:rPr>
                <w:rFonts w:ascii="仿宋" w:hAnsi="仿宋" w:eastAsia="仿宋" w:cs="仿宋"/>
                <w:color w:val="000000"/>
                <w:highlight w:val="none"/>
              </w:rPr>
            </w:pPr>
            <w:r>
              <w:rPr>
                <w:rFonts w:hint="eastAsia" w:ascii="仿宋" w:hAnsi="仿宋" w:eastAsia="仿宋" w:cs="仿宋"/>
                <w:color w:val="000000"/>
                <w:sz w:val="24"/>
                <w:highlight w:val="none"/>
              </w:rPr>
              <w:t> </w:t>
            </w:r>
          </w:p>
        </w:tc>
        <w:tc>
          <w:tcPr>
            <w:tcW w:w="1994" w:type="dxa"/>
            <w:tcBorders>
              <w:top w:val="nil"/>
              <w:left w:val="nil"/>
              <w:bottom w:val="single" w:color="000000" w:sz="8" w:space="0"/>
              <w:right w:val="single" w:color="000000" w:sz="8" w:space="0"/>
            </w:tcBorders>
            <w:noWrap w:val="0"/>
            <w:vAlign w:val="center"/>
          </w:tcPr>
          <w:p w14:paraId="7177415E">
            <w:pPr>
              <w:spacing w:line="559" w:lineRule="atLeast"/>
              <w:jc w:val="center"/>
              <w:rPr>
                <w:rFonts w:hint="eastAsia" w:ascii="仿宋" w:hAnsi="仿宋" w:eastAsia="仿宋" w:cs="仿宋"/>
                <w:color w:val="000000"/>
                <w:sz w:val="24"/>
                <w:highlight w:val="none"/>
              </w:rPr>
            </w:pPr>
          </w:p>
        </w:tc>
        <w:tc>
          <w:tcPr>
            <w:tcW w:w="2223" w:type="dxa"/>
            <w:tcBorders>
              <w:top w:val="nil"/>
              <w:left w:val="nil"/>
              <w:bottom w:val="single" w:color="000000" w:sz="8" w:space="0"/>
              <w:right w:val="single" w:color="000000" w:sz="8" w:space="0"/>
            </w:tcBorders>
            <w:noWrap w:val="0"/>
            <w:vAlign w:val="center"/>
          </w:tcPr>
          <w:p w14:paraId="4DC223C2">
            <w:pPr>
              <w:spacing w:line="559" w:lineRule="atLeast"/>
              <w:jc w:val="center"/>
              <w:rPr>
                <w:rFonts w:ascii="仿宋" w:hAnsi="仿宋" w:eastAsia="仿宋" w:cs="仿宋"/>
                <w:color w:val="000000"/>
                <w:highlight w:val="none"/>
              </w:rPr>
            </w:pPr>
            <w:r>
              <w:rPr>
                <w:rFonts w:hint="eastAsia" w:ascii="仿宋" w:hAnsi="仿宋" w:eastAsia="仿宋" w:cs="仿宋"/>
                <w:color w:val="000000"/>
                <w:sz w:val="24"/>
                <w:highlight w:val="none"/>
              </w:rPr>
              <w:t> </w:t>
            </w:r>
          </w:p>
        </w:tc>
      </w:tr>
      <w:tr w14:paraId="05322014">
        <w:tblPrEx>
          <w:tblCellMar>
            <w:top w:w="0" w:type="dxa"/>
            <w:left w:w="108" w:type="dxa"/>
            <w:bottom w:w="0" w:type="dxa"/>
            <w:right w:w="108" w:type="dxa"/>
          </w:tblCellMar>
        </w:tblPrEx>
        <w:trPr>
          <w:trHeight w:val="665" w:hRule="atLeast"/>
        </w:trPr>
        <w:tc>
          <w:tcPr>
            <w:tcW w:w="2791" w:type="dxa"/>
            <w:tcBorders>
              <w:top w:val="nil"/>
              <w:left w:val="single" w:color="000000" w:sz="8" w:space="0"/>
              <w:bottom w:val="single" w:color="000000" w:sz="8" w:space="0"/>
              <w:right w:val="single" w:color="000000" w:sz="8" w:space="0"/>
            </w:tcBorders>
            <w:noWrap w:val="0"/>
            <w:vAlign w:val="center"/>
          </w:tcPr>
          <w:p w14:paraId="6E97EE99">
            <w:pPr>
              <w:spacing w:line="559" w:lineRule="atLeast"/>
              <w:jc w:val="center"/>
              <w:rPr>
                <w:rFonts w:ascii="仿宋" w:hAnsi="仿宋" w:eastAsia="仿宋" w:cs="仿宋"/>
                <w:color w:val="000000"/>
                <w:highlight w:val="none"/>
              </w:rPr>
            </w:pPr>
            <w:r>
              <w:rPr>
                <w:rFonts w:hint="eastAsia" w:ascii="仿宋" w:hAnsi="仿宋" w:eastAsia="仿宋" w:cs="仿宋"/>
                <w:color w:val="000000"/>
                <w:sz w:val="24"/>
                <w:highlight w:val="none"/>
              </w:rPr>
              <w:t> </w:t>
            </w:r>
          </w:p>
        </w:tc>
        <w:tc>
          <w:tcPr>
            <w:tcW w:w="2386" w:type="dxa"/>
            <w:tcBorders>
              <w:top w:val="nil"/>
              <w:left w:val="nil"/>
              <w:bottom w:val="single" w:color="000000" w:sz="8" w:space="0"/>
              <w:right w:val="single" w:color="000000" w:sz="8" w:space="0"/>
            </w:tcBorders>
            <w:noWrap w:val="0"/>
            <w:vAlign w:val="center"/>
          </w:tcPr>
          <w:p w14:paraId="48C46B10">
            <w:pPr>
              <w:spacing w:line="559" w:lineRule="atLeast"/>
              <w:jc w:val="center"/>
              <w:rPr>
                <w:rFonts w:ascii="仿宋" w:hAnsi="仿宋" w:eastAsia="仿宋" w:cs="仿宋"/>
                <w:color w:val="000000"/>
                <w:highlight w:val="none"/>
              </w:rPr>
            </w:pPr>
            <w:r>
              <w:rPr>
                <w:rFonts w:hint="eastAsia" w:ascii="仿宋" w:hAnsi="仿宋" w:eastAsia="仿宋" w:cs="仿宋"/>
                <w:color w:val="000000"/>
                <w:sz w:val="24"/>
                <w:highlight w:val="none"/>
              </w:rPr>
              <w:t> </w:t>
            </w:r>
          </w:p>
        </w:tc>
        <w:tc>
          <w:tcPr>
            <w:tcW w:w="1994" w:type="dxa"/>
            <w:tcBorders>
              <w:top w:val="nil"/>
              <w:left w:val="nil"/>
              <w:bottom w:val="single" w:color="000000" w:sz="8" w:space="0"/>
              <w:right w:val="single" w:color="000000" w:sz="8" w:space="0"/>
            </w:tcBorders>
            <w:noWrap w:val="0"/>
            <w:vAlign w:val="center"/>
          </w:tcPr>
          <w:p w14:paraId="4A86D075">
            <w:pPr>
              <w:spacing w:line="559" w:lineRule="atLeast"/>
              <w:jc w:val="center"/>
              <w:rPr>
                <w:rFonts w:hint="eastAsia" w:ascii="仿宋" w:hAnsi="仿宋" w:eastAsia="仿宋" w:cs="仿宋"/>
                <w:color w:val="000000"/>
                <w:sz w:val="24"/>
                <w:highlight w:val="none"/>
              </w:rPr>
            </w:pPr>
          </w:p>
        </w:tc>
        <w:tc>
          <w:tcPr>
            <w:tcW w:w="2223" w:type="dxa"/>
            <w:tcBorders>
              <w:top w:val="nil"/>
              <w:left w:val="nil"/>
              <w:bottom w:val="single" w:color="000000" w:sz="8" w:space="0"/>
              <w:right w:val="single" w:color="000000" w:sz="8" w:space="0"/>
            </w:tcBorders>
            <w:noWrap w:val="0"/>
            <w:vAlign w:val="center"/>
          </w:tcPr>
          <w:p w14:paraId="4F8AB466">
            <w:pPr>
              <w:spacing w:line="559" w:lineRule="atLeast"/>
              <w:jc w:val="center"/>
              <w:rPr>
                <w:rFonts w:ascii="仿宋" w:hAnsi="仿宋" w:eastAsia="仿宋" w:cs="仿宋"/>
                <w:color w:val="000000"/>
                <w:highlight w:val="none"/>
              </w:rPr>
            </w:pPr>
            <w:r>
              <w:rPr>
                <w:rFonts w:hint="eastAsia" w:ascii="仿宋" w:hAnsi="仿宋" w:eastAsia="仿宋" w:cs="仿宋"/>
                <w:color w:val="000000"/>
                <w:sz w:val="24"/>
                <w:highlight w:val="none"/>
              </w:rPr>
              <w:t> </w:t>
            </w:r>
          </w:p>
        </w:tc>
      </w:tr>
    </w:tbl>
    <w:p w14:paraId="3734EF7F">
      <w:pPr>
        <w:spacing w:line="559" w:lineRule="atLeast"/>
        <w:jc w:val="right"/>
        <w:rPr>
          <w:rFonts w:ascii="宋体" w:hAnsi="宋体" w:cs="仿宋"/>
          <w:color w:val="000000"/>
          <w:highlight w:val="none"/>
        </w:rPr>
      </w:pPr>
      <w:r>
        <w:rPr>
          <w:rFonts w:hint="eastAsia" w:ascii="宋体" w:hAnsi="宋体" w:cs="仿宋"/>
          <w:color w:val="000000"/>
          <w:sz w:val="24"/>
          <w:highlight w:val="none"/>
        </w:rPr>
        <w:t>单位名称：</w:t>
      </w:r>
      <w:r>
        <w:rPr>
          <w:rFonts w:hint="eastAsia" w:ascii="宋体" w:hAnsi="宋体" w:cs="仿宋"/>
          <w:color w:val="000000"/>
          <w:sz w:val="24"/>
          <w:highlight w:val="none"/>
          <w:u w:val="single"/>
        </w:rPr>
        <w:t>             </w:t>
      </w:r>
      <w:r>
        <w:rPr>
          <w:rFonts w:hint="eastAsia" w:ascii="宋体" w:hAnsi="宋体" w:cs="仿宋"/>
          <w:color w:val="000000"/>
          <w:sz w:val="24"/>
          <w:highlight w:val="none"/>
        </w:rPr>
        <w:t>（</w:t>
      </w:r>
      <w:r>
        <w:rPr>
          <w:rFonts w:ascii="宋体" w:hAnsi="宋体" w:cs="仿宋"/>
          <w:color w:val="000000"/>
          <w:sz w:val="24"/>
          <w:highlight w:val="none"/>
        </w:rPr>
        <w:t>盖</w:t>
      </w:r>
      <w:r>
        <w:rPr>
          <w:rFonts w:hint="eastAsia" w:ascii="宋体" w:hAnsi="宋体" w:cs="仿宋"/>
          <w:color w:val="000000"/>
          <w:sz w:val="24"/>
          <w:highlight w:val="none"/>
        </w:rPr>
        <w:t>CA</w:t>
      </w:r>
      <w:r>
        <w:rPr>
          <w:rFonts w:ascii="宋体" w:hAnsi="宋体" w:cs="仿宋"/>
          <w:color w:val="000000"/>
          <w:sz w:val="24"/>
          <w:highlight w:val="none"/>
        </w:rPr>
        <w:t>电子公章）</w:t>
      </w:r>
    </w:p>
    <w:p w14:paraId="73462BEF">
      <w:pPr>
        <w:pStyle w:val="115"/>
        <w:widowControl w:val="0"/>
        <w:spacing w:before="0" w:beforeAutospacing="0" w:after="0" w:afterAutospacing="0" w:line="400" w:lineRule="exact"/>
        <w:ind w:firstLine="482"/>
        <w:jc w:val="both"/>
        <w:rPr>
          <w:rFonts w:cs="仿宋"/>
          <w:b/>
          <w:bCs/>
          <w:color w:val="000000"/>
          <w:szCs w:val="28"/>
          <w:highlight w:val="none"/>
        </w:rPr>
      </w:pPr>
    </w:p>
    <w:p w14:paraId="66FD35DA">
      <w:pPr>
        <w:pStyle w:val="115"/>
        <w:widowControl w:val="0"/>
        <w:spacing w:before="0" w:beforeAutospacing="0" w:after="0" w:afterAutospacing="0" w:line="400" w:lineRule="exact"/>
        <w:ind w:firstLine="482"/>
        <w:jc w:val="both"/>
        <w:rPr>
          <w:rFonts w:ascii="Times New Roman" w:hAnsi="Times New Roman"/>
          <w:b/>
          <w:bCs/>
          <w:color w:val="000000"/>
          <w:szCs w:val="20"/>
          <w:highlight w:val="none"/>
        </w:rPr>
      </w:pPr>
      <w:r>
        <w:rPr>
          <w:rFonts w:hint="eastAsia" w:ascii="Times New Roman" w:hAnsi="Times New Roman" w:cs="仿宋"/>
          <w:b/>
          <w:bCs/>
          <w:color w:val="000000"/>
          <w:szCs w:val="28"/>
          <w:highlight w:val="none"/>
        </w:rPr>
        <w:t>备注：</w:t>
      </w:r>
      <w:r>
        <w:rPr>
          <w:rFonts w:hint="eastAsia" w:ascii="Times New Roman" w:hAnsi="Times New Roman" w:cs="仿宋"/>
          <w:color w:val="000000"/>
          <w:szCs w:val="28"/>
          <w:highlight w:val="none"/>
        </w:rPr>
        <w:t>1</w:t>
      </w:r>
      <w:bookmarkStart w:id="197" w:name="_Hlk187934629"/>
      <w:r>
        <w:rPr>
          <w:rFonts w:hint="eastAsia" w:ascii="Times New Roman" w:hAnsi="Times New Roman" w:cs="仿宋"/>
          <w:color w:val="000000"/>
          <w:szCs w:val="28"/>
          <w:highlight w:val="none"/>
        </w:rPr>
        <w:t>.</w:t>
      </w:r>
      <w:r>
        <w:rPr>
          <w:rFonts w:hint="eastAsia" w:ascii="Times New Roman" w:hAnsi="Times New Roman"/>
          <w:color w:val="000000"/>
          <w:szCs w:val="20"/>
          <w:highlight w:val="none"/>
        </w:rPr>
        <w:t>针对采购需求中的实质性要求（“★”内容），投标人须做出明确响应。采购需求中要求提供证明材料的，以证明材料为准；若《技术响应偏离表》填写情况与提供证明材料的内容不一致，以证明材料为准；采购需求中未要求提供证明材料的，以《技术响应偏离表》为准，《技术响应偏离表》中未列明的，</w:t>
      </w:r>
      <w:r>
        <w:rPr>
          <w:rFonts w:hint="eastAsia" w:ascii="Times New Roman" w:hAnsi="Times New Roman"/>
          <w:b/>
          <w:bCs/>
          <w:color w:val="000000"/>
          <w:szCs w:val="20"/>
          <w:highlight w:val="none"/>
        </w:rPr>
        <w:t>作无效响应处理。</w:t>
      </w:r>
    </w:p>
    <w:p w14:paraId="546447DE">
      <w:pPr>
        <w:pStyle w:val="115"/>
        <w:widowControl w:val="0"/>
        <w:spacing w:before="0" w:beforeAutospacing="0" w:after="0" w:afterAutospacing="0" w:line="400" w:lineRule="exact"/>
        <w:ind w:firstLine="480"/>
        <w:jc w:val="both"/>
        <w:rPr>
          <w:rFonts w:ascii="Times New Roman" w:hAnsi="Times New Roman"/>
          <w:color w:val="000000"/>
          <w:szCs w:val="20"/>
          <w:highlight w:val="none"/>
        </w:rPr>
      </w:pPr>
      <w:r>
        <w:rPr>
          <w:rFonts w:hint="eastAsia" w:ascii="Times New Roman" w:hAnsi="Times New Roman" w:cs="仿宋"/>
          <w:color w:val="000000"/>
          <w:szCs w:val="28"/>
          <w:highlight w:val="none"/>
        </w:rPr>
        <w:t>2.对采购需求的</w:t>
      </w:r>
      <w:r>
        <w:rPr>
          <w:rFonts w:hint="eastAsia" w:ascii="Times New Roman" w:hAnsi="Times New Roman" w:cs="仿宋"/>
          <w:color w:val="000000"/>
          <w:szCs w:val="28"/>
          <w:highlight w:val="none"/>
          <w:lang w:eastAsia="zh-CN"/>
        </w:rPr>
        <w:t>其他</w:t>
      </w:r>
      <w:r>
        <w:rPr>
          <w:rFonts w:hint="eastAsia" w:ascii="Times New Roman" w:hAnsi="Times New Roman" w:cs="仿宋"/>
          <w:color w:val="000000"/>
          <w:szCs w:val="28"/>
          <w:highlight w:val="none"/>
        </w:rPr>
        <w:t>非实质性要求，投标人按所投产品情况</w:t>
      </w:r>
      <w:r>
        <w:rPr>
          <w:rFonts w:ascii="Times New Roman" w:hAnsi="Times New Roman" w:cs="仿宋"/>
          <w:color w:val="000000"/>
          <w:szCs w:val="28"/>
          <w:highlight w:val="none"/>
        </w:rPr>
        <w:t>在此表中详细列出偏离情况（包括正偏离、负偏离、无偏离）并说明理由</w:t>
      </w:r>
      <w:r>
        <w:rPr>
          <w:rFonts w:hint="eastAsia" w:ascii="Times New Roman" w:hAnsi="Times New Roman" w:cs="仿宋"/>
          <w:color w:val="000000"/>
          <w:szCs w:val="28"/>
          <w:highlight w:val="none"/>
        </w:rPr>
        <w:t>；未列明的均视为未响应招标文件要求</w:t>
      </w:r>
      <w:r>
        <w:rPr>
          <w:rFonts w:ascii="Times New Roman" w:hAnsi="Times New Roman" w:cs="仿宋"/>
          <w:color w:val="000000"/>
          <w:szCs w:val="28"/>
          <w:highlight w:val="none"/>
        </w:rPr>
        <w:t>。</w:t>
      </w:r>
    </w:p>
    <w:bookmarkEnd w:id="197"/>
    <w:p w14:paraId="19A2CB76">
      <w:pPr>
        <w:pBdr>
          <w:top w:val="none" w:color="000000" w:sz="0" w:space="0"/>
          <w:left w:val="none" w:color="000000" w:sz="0" w:space="0"/>
          <w:bottom w:val="none" w:color="000000" w:sz="0" w:space="0"/>
          <w:right w:val="none" w:color="000000" w:sz="0" w:space="0"/>
        </w:pBdr>
        <w:spacing w:line="400" w:lineRule="exact"/>
        <w:rPr>
          <w:rFonts w:hint="eastAsia" w:ascii="Times New Roman" w:hAnsi="Times New Roman"/>
          <w:color w:val="000000"/>
          <w:sz w:val="24"/>
          <w:szCs w:val="21"/>
          <w:highlight w:val="none"/>
        </w:rPr>
      </w:pPr>
    </w:p>
    <w:p w14:paraId="26F4EB21">
      <w:pPr>
        <w:pStyle w:val="43"/>
        <w:rPr>
          <w:rFonts w:hint="eastAsia" w:ascii="宋体" w:hAnsi="宋体" w:eastAsia="宋体" w:cs="宋体"/>
          <w:bCs/>
          <w:color w:val="000000"/>
          <w:highlight w:val="none"/>
        </w:rPr>
      </w:pPr>
      <w:bookmarkStart w:id="198" w:name="_Toc25337"/>
      <w:bookmarkStart w:id="199" w:name="_Toc15871"/>
      <w:r>
        <w:rPr>
          <w:rFonts w:hint="eastAsia" w:ascii="宋体" w:hAnsi="宋体" w:eastAsia="宋体" w:cs="宋体"/>
          <w:bCs/>
          <w:color w:val="000000"/>
          <w:highlight w:val="none"/>
        </w:rPr>
        <w:t>八、项目组人员</w:t>
      </w:r>
    </w:p>
    <w:tbl>
      <w:tblPr>
        <w:tblStyle w:val="31"/>
        <w:tblpPr w:leftFromText="180" w:rightFromText="180" w:vertAnchor="text" w:horzAnchor="margin" w:tblpXSpec="center" w:tblpY="74"/>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1843"/>
        <w:gridCol w:w="992"/>
        <w:gridCol w:w="1984"/>
        <w:gridCol w:w="1702"/>
        <w:gridCol w:w="962"/>
      </w:tblGrid>
      <w:tr w14:paraId="347A6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959" w:type="dxa"/>
            <w:noWrap w:val="0"/>
            <w:vAlign w:val="center"/>
          </w:tcPr>
          <w:p w14:paraId="7832E213">
            <w:pPr>
              <w:pStyle w:val="441"/>
              <w:widowControl/>
              <w:spacing w:beforeAutospacing="1" w:line="560" w:lineRule="exact"/>
              <w:jc w:val="center"/>
              <w:rPr>
                <w:rFonts w:hint="eastAsia" w:ascii="宋体" w:hAnsi="宋体" w:cs="仿宋"/>
                <w:color w:val="000000"/>
                <w:sz w:val="28"/>
                <w:szCs w:val="28"/>
                <w:highlight w:val="none"/>
              </w:rPr>
            </w:pPr>
            <w:r>
              <w:rPr>
                <w:rFonts w:hint="eastAsia" w:ascii="宋体" w:hAnsi="宋体" w:cs="仿宋"/>
                <w:color w:val="000000"/>
                <w:sz w:val="28"/>
                <w:szCs w:val="28"/>
                <w:highlight w:val="none"/>
              </w:rPr>
              <w:t>姓名</w:t>
            </w:r>
          </w:p>
        </w:tc>
        <w:tc>
          <w:tcPr>
            <w:tcW w:w="1843" w:type="dxa"/>
            <w:noWrap w:val="0"/>
            <w:vAlign w:val="center"/>
          </w:tcPr>
          <w:p w14:paraId="6AF191E5">
            <w:pPr>
              <w:pStyle w:val="441"/>
              <w:widowControl/>
              <w:spacing w:beforeAutospacing="1" w:line="560" w:lineRule="exact"/>
              <w:jc w:val="center"/>
              <w:rPr>
                <w:rFonts w:hint="eastAsia" w:ascii="宋体" w:hAnsi="宋体" w:cs="仿宋"/>
                <w:color w:val="000000"/>
                <w:sz w:val="28"/>
                <w:szCs w:val="28"/>
                <w:highlight w:val="none"/>
              </w:rPr>
            </w:pPr>
            <w:r>
              <w:rPr>
                <w:rFonts w:hint="eastAsia" w:ascii="宋体" w:hAnsi="宋体" w:cs="仿宋"/>
                <w:color w:val="000000"/>
                <w:sz w:val="28"/>
                <w:szCs w:val="28"/>
                <w:highlight w:val="none"/>
              </w:rPr>
              <w:t>职务</w:t>
            </w:r>
          </w:p>
        </w:tc>
        <w:tc>
          <w:tcPr>
            <w:tcW w:w="992" w:type="dxa"/>
            <w:noWrap w:val="0"/>
            <w:vAlign w:val="center"/>
          </w:tcPr>
          <w:p w14:paraId="624F466C">
            <w:pPr>
              <w:pStyle w:val="441"/>
              <w:widowControl/>
              <w:spacing w:beforeAutospacing="1" w:line="560" w:lineRule="exact"/>
              <w:jc w:val="center"/>
              <w:rPr>
                <w:rFonts w:hint="eastAsia" w:ascii="宋体" w:hAnsi="宋体" w:cs="仿宋"/>
                <w:color w:val="000000"/>
                <w:sz w:val="28"/>
                <w:szCs w:val="28"/>
                <w:highlight w:val="none"/>
              </w:rPr>
            </w:pPr>
            <w:r>
              <w:rPr>
                <w:rFonts w:hint="eastAsia" w:ascii="宋体" w:hAnsi="宋体" w:cs="仿宋"/>
                <w:color w:val="000000"/>
                <w:sz w:val="28"/>
                <w:szCs w:val="28"/>
                <w:highlight w:val="none"/>
              </w:rPr>
              <w:t>学历</w:t>
            </w:r>
          </w:p>
        </w:tc>
        <w:tc>
          <w:tcPr>
            <w:tcW w:w="1984" w:type="dxa"/>
            <w:noWrap w:val="0"/>
            <w:vAlign w:val="center"/>
          </w:tcPr>
          <w:p w14:paraId="636425B6">
            <w:pPr>
              <w:pStyle w:val="441"/>
              <w:widowControl/>
              <w:spacing w:beforeAutospacing="1" w:line="560" w:lineRule="exact"/>
              <w:ind w:firstLine="280"/>
              <w:rPr>
                <w:rFonts w:hint="eastAsia" w:ascii="宋体" w:hAnsi="宋体" w:cs="仿宋"/>
                <w:color w:val="000000"/>
                <w:sz w:val="28"/>
                <w:szCs w:val="28"/>
                <w:highlight w:val="none"/>
              </w:rPr>
            </w:pPr>
            <w:r>
              <w:rPr>
                <w:rFonts w:hint="eastAsia" w:ascii="宋体" w:hAnsi="宋体" w:cs="仿宋"/>
                <w:color w:val="000000"/>
                <w:sz w:val="28"/>
                <w:szCs w:val="28"/>
                <w:highlight w:val="none"/>
              </w:rPr>
              <w:t>身份证号</w:t>
            </w:r>
          </w:p>
        </w:tc>
        <w:tc>
          <w:tcPr>
            <w:tcW w:w="1702" w:type="dxa"/>
            <w:noWrap w:val="0"/>
            <w:vAlign w:val="center"/>
          </w:tcPr>
          <w:p w14:paraId="36ABEC56">
            <w:pPr>
              <w:pStyle w:val="441"/>
              <w:widowControl/>
              <w:spacing w:beforeAutospacing="1" w:line="560" w:lineRule="exact"/>
              <w:jc w:val="center"/>
              <w:rPr>
                <w:rFonts w:hint="eastAsia" w:ascii="宋体" w:hAnsi="宋体" w:cs="仿宋"/>
                <w:color w:val="000000"/>
                <w:sz w:val="28"/>
                <w:szCs w:val="28"/>
                <w:highlight w:val="none"/>
              </w:rPr>
            </w:pPr>
            <w:r>
              <w:rPr>
                <w:rFonts w:hint="eastAsia" w:ascii="宋体" w:hAnsi="宋体" w:cs="仿宋"/>
                <w:color w:val="000000"/>
                <w:sz w:val="28"/>
                <w:szCs w:val="28"/>
                <w:highlight w:val="none"/>
              </w:rPr>
              <w:t>相关证书</w:t>
            </w:r>
          </w:p>
        </w:tc>
        <w:tc>
          <w:tcPr>
            <w:tcW w:w="962" w:type="dxa"/>
            <w:noWrap w:val="0"/>
            <w:vAlign w:val="center"/>
          </w:tcPr>
          <w:p w14:paraId="649F46CA">
            <w:pPr>
              <w:pStyle w:val="441"/>
              <w:widowControl/>
              <w:spacing w:beforeAutospacing="1" w:line="560" w:lineRule="exact"/>
              <w:rPr>
                <w:rFonts w:hint="eastAsia" w:ascii="宋体" w:hAnsi="宋体" w:cs="仿宋"/>
                <w:color w:val="000000"/>
                <w:sz w:val="28"/>
                <w:szCs w:val="28"/>
                <w:highlight w:val="none"/>
              </w:rPr>
            </w:pPr>
            <w:r>
              <w:rPr>
                <w:rFonts w:hint="eastAsia" w:ascii="宋体" w:hAnsi="宋体" w:cs="仿宋"/>
                <w:color w:val="000000"/>
                <w:sz w:val="28"/>
                <w:szCs w:val="28"/>
                <w:highlight w:val="none"/>
              </w:rPr>
              <w:t>备注</w:t>
            </w:r>
          </w:p>
        </w:tc>
      </w:tr>
      <w:tr w14:paraId="11432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noWrap w:val="0"/>
            <w:vAlign w:val="center"/>
          </w:tcPr>
          <w:p w14:paraId="6BE84F15">
            <w:pPr>
              <w:pStyle w:val="441"/>
              <w:widowControl/>
              <w:spacing w:line="560" w:lineRule="exact"/>
              <w:ind w:firstLine="560"/>
              <w:jc w:val="center"/>
              <w:rPr>
                <w:rFonts w:hint="eastAsia" w:ascii="仿宋" w:hAnsi="仿宋" w:eastAsia="仿宋" w:cs="仿宋"/>
                <w:color w:val="000000"/>
                <w:sz w:val="28"/>
                <w:szCs w:val="28"/>
                <w:highlight w:val="none"/>
              </w:rPr>
            </w:pPr>
          </w:p>
        </w:tc>
        <w:tc>
          <w:tcPr>
            <w:tcW w:w="1843" w:type="dxa"/>
            <w:noWrap w:val="0"/>
            <w:vAlign w:val="center"/>
          </w:tcPr>
          <w:p w14:paraId="41C86A82">
            <w:pPr>
              <w:pStyle w:val="501"/>
              <w:jc w:val="center"/>
              <w:rPr>
                <w:rFonts w:hint="eastAsia" w:ascii="仿宋" w:hAnsi="仿宋" w:eastAsia="仿宋" w:cs="仿宋"/>
                <w:color w:val="000000"/>
                <w:sz w:val="20"/>
                <w:szCs w:val="20"/>
                <w:highlight w:val="none"/>
              </w:rPr>
            </w:pPr>
          </w:p>
        </w:tc>
        <w:tc>
          <w:tcPr>
            <w:tcW w:w="992" w:type="dxa"/>
            <w:noWrap w:val="0"/>
            <w:vAlign w:val="center"/>
          </w:tcPr>
          <w:p w14:paraId="0C45C415">
            <w:pPr>
              <w:pStyle w:val="441"/>
              <w:widowControl/>
              <w:spacing w:line="560" w:lineRule="exact"/>
              <w:ind w:firstLine="560"/>
              <w:jc w:val="center"/>
              <w:rPr>
                <w:rFonts w:hint="eastAsia" w:ascii="仿宋" w:hAnsi="仿宋" w:eastAsia="仿宋" w:cs="仿宋"/>
                <w:color w:val="000000"/>
                <w:sz w:val="28"/>
                <w:szCs w:val="28"/>
                <w:highlight w:val="none"/>
              </w:rPr>
            </w:pPr>
          </w:p>
        </w:tc>
        <w:tc>
          <w:tcPr>
            <w:tcW w:w="1984" w:type="dxa"/>
            <w:noWrap w:val="0"/>
            <w:vAlign w:val="center"/>
          </w:tcPr>
          <w:p w14:paraId="690E3B9F">
            <w:pPr>
              <w:pStyle w:val="441"/>
              <w:widowControl/>
              <w:spacing w:line="560" w:lineRule="exact"/>
              <w:ind w:firstLine="560"/>
              <w:jc w:val="center"/>
              <w:rPr>
                <w:rFonts w:hint="eastAsia" w:ascii="仿宋" w:hAnsi="仿宋" w:eastAsia="仿宋" w:cs="仿宋"/>
                <w:color w:val="000000"/>
                <w:sz w:val="28"/>
                <w:szCs w:val="28"/>
                <w:highlight w:val="none"/>
              </w:rPr>
            </w:pPr>
          </w:p>
        </w:tc>
        <w:tc>
          <w:tcPr>
            <w:tcW w:w="1702" w:type="dxa"/>
            <w:noWrap w:val="0"/>
            <w:vAlign w:val="center"/>
          </w:tcPr>
          <w:p w14:paraId="705B145C">
            <w:pPr>
              <w:pStyle w:val="441"/>
              <w:widowControl/>
              <w:spacing w:line="560" w:lineRule="exact"/>
              <w:ind w:firstLine="560"/>
              <w:jc w:val="center"/>
              <w:rPr>
                <w:rFonts w:hint="eastAsia" w:ascii="仿宋" w:hAnsi="仿宋" w:eastAsia="仿宋" w:cs="仿宋"/>
                <w:color w:val="000000"/>
                <w:sz w:val="28"/>
                <w:szCs w:val="28"/>
                <w:highlight w:val="none"/>
              </w:rPr>
            </w:pPr>
          </w:p>
        </w:tc>
        <w:tc>
          <w:tcPr>
            <w:tcW w:w="962" w:type="dxa"/>
            <w:noWrap w:val="0"/>
            <w:vAlign w:val="center"/>
          </w:tcPr>
          <w:p w14:paraId="75A95DDF">
            <w:pPr>
              <w:pStyle w:val="441"/>
              <w:widowControl/>
              <w:spacing w:line="560" w:lineRule="exact"/>
              <w:ind w:firstLine="560"/>
              <w:jc w:val="center"/>
              <w:rPr>
                <w:rFonts w:hint="eastAsia" w:ascii="仿宋" w:hAnsi="仿宋" w:eastAsia="仿宋" w:cs="仿宋"/>
                <w:color w:val="000000"/>
                <w:sz w:val="28"/>
                <w:szCs w:val="28"/>
                <w:highlight w:val="none"/>
              </w:rPr>
            </w:pPr>
          </w:p>
        </w:tc>
      </w:tr>
      <w:tr w14:paraId="53C6C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noWrap w:val="0"/>
            <w:vAlign w:val="center"/>
          </w:tcPr>
          <w:p w14:paraId="31648B73">
            <w:pPr>
              <w:pStyle w:val="441"/>
              <w:widowControl/>
              <w:spacing w:line="560" w:lineRule="exact"/>
              <w:ind w:firstLine="560"/>
              <w:jc w:val="center"/>
              <w:rPr>
                <w:rFonts w:hint="eastAsia" w:ascii="仿宋" w:hAnsi="仿宋" w:eastAsia="仿宋" w:cs="仿宋"/>
                <w:color w:val="000000"/>
                <w:sz w:val="28"/>
                <w:szCs w:val="28"/>
                <w:highlight w:val="none"/>
              </w:rPr>
            </w:pPr>
          </w:p>
        </w:tc>
        <w:tc>
          <w:tcPr>
            <w:tcW w:w="1843" w:type="dxa"/>
            <w:noWrap w:val="0"/>
            <w:vAlign w:val="center"/>
          </w:tcPr>
          <w:p w14:paraId="0C244E2B">
            <w:pPr>
              <w:pStyle w:val="501"/>
              <w:jc w:val="center"/>
              <w:rPr>
                <w:rFonts w:hint="eastAsia" w:ascii="仿宋" w:hAnsi="仿宋" w:eastAsia="仿宋" w:cs="仿宋"/>
                <w:color w:val="000000"/>
                <w:sz w:val="20"/>
                <w:szCs w:val="20"/>
                <w:highlight w:val="none"/>
              </w:rPr>
            </w:pPr>
          </w:p>
        </w:tc>
        <w:tc>
          <w:tcPr>
            <w:tcW w:w="992" w:type="dxa"/>
            <w:noWrap w:val="0"/>
            <w:vAlign w:val="center"/>
          </w:tcPr>
          <w:p w14:paraId="1CD6AD58">
            <w:pPr>
              <w:pStyle w:val="441"/>
              <w:widowControl/>
              <w:spacing w:line="560" w:lineRule="exact"/>
              <w:ind w:firstLine="560"/>
              <w:jc w:val="center"/>
              <w:rPr>
                <w:rFonts w:hint="eastAsia" w:ascii="仿宋" w:hAnsi="仿宋" w:eastAsia="仿宋" w:cs="仿宋"/>
                <w:color w:val="000000"/>
                <w:sz w:val="28"/>
                <w:szCs w:val="28"/>
                <w:highlight w:val="none"/>
              </w:rPr>
            </w:pPr>
          </w:p>
        </w:tc>
        <w:tc>
          <w:tcPr>
            <w:tcW w:w="1984" w:type="dxa"/>
            <w:noWrap w:val="0"/>
            <w:vAlign w:val="center"/>
          </w:tcPr>
          <w:p w14:paraId="747721A8">
            <w:pPr>
              <w:pStyle w:val="441"/>
              <w:widowControl/>
              <w:spacing w:line="560" w:lineRule="exact"/>
              <w:ind w:firstLine="560"/>
              <w:jc w:val="center"/>
              <w:rPr>
                <w:rFonts w:hint="eastAsia" w:ascii="仿宋" w:hAnsi="仿宋" w:eastAsia="仿宋" w:cs="仿宋"/>
                <w:color w:val="000000"/>
                <w:sz w:val="28"/>
                <w:szCs w:val="28"/>
                <w:highlight w:val="none"/>
              </w:rPr>
            </w:pPr>
          </w:p>
        </w:tc>
        <w:tc>
          <w:tcPr>
            <w:tcW w:w="1702" w:type="dxa"/>
            <w:noWrap w:val="0"/>
            <w:vAlign w:val="center"/>
          </w:tcPr>
          <w:p w14:paraId="03ED4064">
            <w:pPr>
              <w:pStyle w:val="441"/>
              <w:widowControl/>
              <w:spacing w:line="560" w:lineRule="exact"/>
              <w:ind w:firstLine="560"/>
              <w:jc w:val="center"/>
              <w:rPr>
                <w:rFonts w:hint="eastAsia" w:ascii="仿宋" w:hAnsi="仿宋" w:eastAsia="仿宋" w:cs="仿宋"/>
                <w:color w:val="000000"/>
                <w:sz w:val="28"/>
                <w:szCs w:val="28"/>
                <w:highlight w:val="none"/>
              </w:rPr>
            </w:pPr>
          </w:p>
        </w:tc>
        <w:tc>
          <w:tcPr>
            <w:tcW w:w="962" w:type="dxa"/>
            <w:noWrap w:val="0"/>
            <w:vAlign w:val="center"/>
          </w:tcPr>
          <w:p w14:paraId="5E5CFB76">
            <w:pPr>
              <w:pStyle w:val="441"/>
              <w:widowControl/>
              <w:spacing w:line="560" w:lineRule="exact"/>
              <w:ind w:firstLine="560"/>
              <w:jc w:val="center"/>
              <w:rPr>
                <w:rFonts w:hint="eastAsia" w:ascii="仿宋" w:hAnsi="仿宋" w:eastAsia="仿宋" w:cs="仿宋"/>
                <w:color w:val="000000"/>
                <w:sz w:val="28"/>
                <w:szCs w:val="28"/>
                <w:highlight w:val="none"/>
              </w:rPr>
            </w:pPr>
          </w:p>
        </w:tc>
      </w:tr>
      <w:tr w14:paraId="08E13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noWrap w:val="0"/>
            <w:vAlign w:val="center"/>
          </w:tcPr>
          <w:p w14:paraId="2DA4EAAC">
            <w:pPr>
              <w:pStyle w:val="441"/>
              <w:widowControl/>
              <w:spacing w:line="560" w:lineRule="exact"/>
              <w:ind w:firstLine="560"/>
              <w:jc w:val="center"/>
              <w:rPr>
                <w:rFonts w:hint="eastAsia" w:ascii="仿宋" w:hAnsi="仿宋" w:eastAsia="仿宋" w:cs="仿宋"/>
                <w:color w:val="000000"/>
                <w:sz w:val="28"/>
                <w:szCs w:val="28"/>
                <w:highlight w:val="none"/>
              </w:rPr>
            </w:pPr>
          </w:p>
        </w:tc>
        <w:tc>
          <w:tcPr>
            <w:tcW w:w="1843" w:type="dxa"/>
            <w:noWrap w:val="0"/>
            <w:vAlign w:val="center"/>
          </w:tcPr>
          <w:p w14:paraId="1BD917CA">
            <w:pPr>
              <w:pStyle w:val="501"/>
              <w:jc w:val="center"/>
              <w:rPr>
                <w:rFonts w:hint="eastAsia" w:ascii="仿宋" w:hAnsi="仿宋" w:eastAsia="仿宋" w:cs="仿宋"/>
                <w:color w:val="000000"/>
                <w:sz w:val="20"/>
                <w:szCs w:val="20"/>
                <w:highlight w:val="none"/>
              </w:rPr>
            </w:pPr>
          </w:p>
        </w:tc>
        <w:tc>
          <w:tcPr>
            <w:tcW w:w="992" w:type="dxa"/>
            <w:noWrap w:val="0"/>
            <w:vAlign w:val="center"/>
          </w:tcPr>
          <w:p w14:paraId="2B8BCE75">
            <w:pPr>
              <w:pStyle w:val="441"/>
              <w:widowControl/>
              <w:spacing w:line="560" w:lineRule="exact"/>
              <w:ind w:firstLine="560"/>
              <w:jc w:val="center"/>
              <w:rPr>
                <w:rFonts w:hint="eastAsia" w:ascii="仿宋" w:hAnsi="仿宋" w:eastAsia="仿宋" w:cs="仿宋"/>
                <w:color w:val="000000"/>
                <w:sz w:val="28"/>
                <w:szCs w:val="28"/>
                <w:highlight w:val="none"/>
              </w:rPr>
            </w:pPr>
          </w:p>
        </w:tc>
        <w:tc>
          <w:tcPr>
            <w:tcW w:w="1984" w:type="dxa"/>
            <w:noWrap w:val="0"/>
            <w:vAlign w:val="center"/>
          </w:tcPr>
          <w:p w14:paraId="45314DD4">
            <w:pPr>
              <w:pStyle w:val="441"/>
              <w:widowControl/>
              <w:spacing w:line="560" w:lineRule="exact"/>
              <w:ind w:firstLine="560"/>
              <w:jc w:val="center"/>
              <w:rPr>
                <w:rFonts w:hint="eastAsia" w:ascii="仿宋" w:hAnsi="仿宋" w:eastAsia="仿宋" w:cs="仿宋"/>
                <w:color w:val="000000"/>
                <w:sz w:val="28"/>
                <w:szCs w:val="28"/>
                <w:highlight w:val="none"/>
              </w:rPr>
            </w:pPr>
          </w:p>
        </w:tc>
        <w:tc>
          <w:tcPr>
            <w:tcW w:w="1702" w:type="dxa"/>
            <w:noWrap w:val="0"/>
            <w:vAlign w:val="center"/>
          </w:tcPr>
          <w:p w14:paraId="7FEADE9F">
            <w:pPr>
              <w:pStyle w:val="441"/>
              <w:widowControl/>
              <w:spacing w:line="560" w:lineRule="exact"/>
              <w:ind w:firstLine="560"/>
              <w:jc w:val="center"/>
              <w:rPr>
                <w:rFonts w:hint="eastAsia" w:ascii="仿宋" w:hAnsi="仿宋" w:eastAsia="仿宋" w:cs="仿宋"/>
                <w:color w:val="000000"/>
                <w:sz w:val="28"/>
                <w:szCs w:val="28"/>
                <w:highlight w:val="none"/>
              </w:rPr>
            </w:pPr>
          </w:p>
        </w:tc>
        <w:tc>
          <w:tcPr>
            <w:tcW w:w="962" w:type="dxa"/>
            <w:noWrap w:val="0"/>
            <w:vAlign w:val="center"/>
          </w:tcPr>
          <w:p w14:paraId="647C047A">
            <w:pPr>
              <w:pStyle w:val="441"/>
              <w:widowControl/>
              <w:spacing w:line="560" w:lineRule="exact"/>
              <w:ind w:firstLine="560"/>
              <w:jc w:val="center"/>
              <w:rPr>
                <w:rFonts w:hint="eastAsia" w:ascii="仿宋" w:hAnsi="仿宋" w:eastAsia="仿宋" w:cs="仿宋"/>
                <w:color w:val="000000"/>
                <w:sz w:val="28"/>
                <w:szCs w:val="28"/>
                <w:highlight w:val="none"/>
              </w:rPr>
            </w:pPr>
          </w:p>
        </w:tc>
      </w:tr>
      <w:tr w14:paraId="7F92A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noWrap w:val="0"/>
            <w:vAlign w:val="center"/>
          </w:tcPr>
          <w:p w14:paraId="4CEC0F44">
            <w:pPr>
              <w:pStyle w:val="441"/>
              <w:widowControl/>
              <w:spacing w:line="560" w:lineRule="exact"/>
              <w:ind w:firstLine="560"/>
              <w:jc w:val="center"/>
              <w:rPr>
                <w:rFonts w:hint="eastAsia" w:ascii="仿宋" w:hAnsi="仿宋" w:eastAsia="仿宋" w:cs="仿宋"/>
                <w:color w:val="000000"/>
                <w:sz w:val="28"/>
                <w:szCs w:val="28"/>
                <w:highlight w:val="none"/>
              </w:rPr>
            </w:pPr>
          </w:p>
        </w:tc>
        <w:tc>
          <w:tcPr>
            <w:tcW w:w="1843" w:type="dxa"/>
            <w:noWrap w:val="0"/>
            <w:vAlign w:val="center"/>
          </w:tcPr>
          <w:p w14:paraId="795A4D24">
            <w:pPr>
              <w:pStyle w:val="501"/>
              <w:jc w:val="center"/>
              <w:rPr>
                <w:rFonts w:hint="eastAsia" w:ascii="仿宋" w:hAnsi="仿宋" w:eastAsia="仿宋" w:cs="仿宋"/>
                <w:color w:val="000000"/>
                <w:sz w:val="20"/>
                <w:szCs w:val="20"/>
                <w:highlight w:val="none"/>
              </w:rPr>
            </w:pPr>
          </w:p>
        </w:tc>
        <w:tc>
          <w:tcPr>
            <w:tcW w:w="992" w:type="dxa"/>
            <w:noWrap w:val="0"/>
            <w:vAlign w:val="center"/>
          </w:tcPr>
          <w:p w14:paraId="6047245C">
            <w:pPr>
              <w:pStyle w:val="441"/>
              <w:widowControl/>
              <w:spacing w:line="560" w:lineRule="exact"/>
              <w:ind w:firstLine="560"/>
              <w:jc w:val="center"/>
              <w:rPr>
                <w:rFonts w:hint="eastAsia" w:ascii="仿宋" w:hAnsi="仿宋" w:eastAsia="仿宋" w:cs="仿宋"/>
                <w:color w:val="000000"/>
                <w:sz w:val="28"/>
                <w:szCs w:val="28"/>
                <w:highlight w:val="none"/>
              </w:rPr>
            </w:pPr>
          </w:p>
        </w:tc>
        <w:tc>
          <w:tcPr>
            <w:tcW w:w="1984" w:type="dxa"/>
            <w:noWrap w:val="0"/>
            <w:vAlign w:val="center"/>
          </w:tcPr>
          <w:p w14:paraId="2A46B0BE">
            <w:pPr>
              <w:pStyle w:val="441"/>
              <w:widowControl/>
              <w:spacing w:line="560" w:lineRule="exact"/>
              <w:ind w:firstLine="560"/>
              <w:jc w:val="center"/>
              <w:rPr>
                <w:rFonts w:hint="eastAsia" w:ascii="仿宋" w:hAnsi="仿宋" w:eastAsia="仿宋" w:cs="仿宋"/>
                <w:color w:val="000000"/>
                <w:sz w:val="28"/>
                <w:szCs w:val="28"/>
                <w:highlight w:val="none"/>
              </w:rPr>
            </w:pPr>
          </w:p>
        </w:tc>
        <w:tc>
          <w:tcPr>
            <w:tcW w:w="1702" w:type="dxa"/>
            <w:noWrap w:val="0"/>
            <w:vAlign w:val="center"/>
          </w:tcPr>
          <w:p w14:paraId="07F71794">
            <w:pPr>
              <w:pStyle w:val="441"/>
              <w:widowControl/>
              <w:spacing w:line="560" w:lineRule="exact"/>
              <w:ind w:firstLine="560"/>
              <w:jc w:val="center"/>
              <w:rPr>
                <w:rFonts w:hint="eastAsia" w:ascii="仿宋" w:hAnsi="仿宋" w:eastAsia="仿宋" w:cs="仿宋"/>
                <w:color w:val="000000"/>
                <w:sz w:val="28"/>
                <w:szCs w:val="28"/>
                <w:highlight w:val="none"/>
              </w:rPr>
            </w:pPr>
          </w:p>
        </w:tc>
        <w:tc>
          <w:tcPr>
            <w:tcW w:w="962" w:type="dxa"/>
            <w:noWrap w:val="0"/>
            <w:vAlign w:val="center"/>
          </w:tcPr>
          <w:p w14:paraId="5DA85998">
            <w:pPr>
              <w:pStyle w:val="441"/>
              <w:widowControl/>
              <w:spacing w:line="560" w:lineRule="exact"/>
              <w:ind w:firstLine="560"/>
              <w:jc w:val="center"/>
              <w:rPr>
                <w:rFonts w:hint="eastAsia" w:ascii="仿宋" w:hAnsi="仿宋" w:eastAsia="仿宋" w:cs="仿宋"/>
                <w:color w:val="000000"/>
                <w:sz w:val="28"/>
                <w:szCs w:val="28"/>
                <w:highlight w:val="none"/>
              </w:rPr>
            </w:pPr>
          </w:p>
        </w:tc>
      </w:tr>
      <w:tr w14:paraId="7C1FA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noWrap w:val="0"/>
            <w:vAlign w:val="center"/>
          </w:tcPr>
          <w:p w14:paraId="59F34696">
            <w:pPr>
              <w:pStyle w:val="441"/>
              <w:widowControl/>
              <w:spacing w:line="560" w:lineRule="exact"/>
              <w:ind w:firstLine="560"/>
              <w:jc w:val="center"/>
              <w:rPr>
                <w:rFonts w:hint="eastAsia" w:ascii="仿宋" w:hAnsi="仿宋" w:eastAsia="仿宋" w:cs="仿宋"/>
                <w:color w:val="000000"/>
                <w:sz w:val="28"/>
                <w:szCs w:val="28"/>
                <w:highlight w:val="none"/>
              </w:rPr>
            </w:pPr>
          </w:p>
        </w:tc>
        <w:tc>
          <w:tcPr>
            <w:tcW w:w="1843" w:type="dxa"/>
            <w:noWrap w:val="0"/>
            <w:vAlign w:val="center"/>
          </w:tcPr>
          <w:p w14:paraId="04B824B4">
            <w:pPr>
              <w:pStyle w:val="501"/>
              <w:jc w:val="center"/>
              <w:rPr>
                <w:rFonts w:hint="eastAsia" w:ascii="仿宋" w:hAnsi="仿宋" w:eastAsia="仿宋" w:cs="仿宋"/>
                <w:color w:val="000000"/>
                <w:sz w:val="20"/>
                <w:szCs w:val="20"/>
                <w:highlight w:val="none"/>
              </w:rPr>
            </w:pPr>
          </w:p>
        </w:tc>
        <w:tc>
          <w:tcPr>
            <w:tcW w:w="992" w:type="dxa"/>
            <w:noWrap w:val="0"/>
            <w:vAlign w:val="center"/>
          </w:tcPr>
          <w:p w14:paraId="47A9E4C2">
            <w:pPr>
              <w:pStyle w:val="441"/>
              <w:widowControl/>
              <w:spacing w:line="560" w:lineRule="exact"/>
              <w:ind w:firstLine="560"/>
              <w:jc w:val="center"/>
              <w:rPr>
                <w:rFonts w:hint="eastAsia" w:ascii="仿宋" w:hAnsi="仿宋" w:eastAsia="仿宋" w:cs="仿宋"/>
                <w:color w:val="000000"/>
                <w:sz w:val="28"/>
                <w:szCs w:val="28"/>
                <w:highlight w:val="none"/>
              </w:rPr>
            </w:pPr>
          </w:p>
        </w:tc>
        <w:tc>
          <w:tcPr>
            <w:tcW w:w="1984" w:type="dxa"/>
            <w:noWrap w:val="0"/>
            <w:vAlign w:val="center"/>
          </w:tcPr>
          <w:p w14:paraId="2CAAEE14">
            <w:pPr>
              <w:pStyle w:val="441"/>
              <w:widowControl/>
              <w:spacing w:line="560" w:lineRule="exact"/>
              <w:ind w:firstLine="560"/>
              <w:jc w:val="center"/>
              <w:rPr>
                <w:rFonts w:hint="eastAsia" w:ascii="仿宋" w:hAnsi="仿宋" w:eastAsia="仿宋" w:cs="仿宋"/>
                <w:color w:val="000000"/>
                <w:sz w:val="28"/>
                <w:szCs w:val="28"/>
                <w:highlight w:val="none"/>
              </w:rPr>
            </w:pPr>
          </w:p>
        </w:tc>
        <w:tc>
          <w:tcPr>
            <w:tcW w:w="1702" w:type="dxa"/>
            <w:noWrap w:val="0"/>
            <w:vAlign w:val="center"/>
          </w:tcPr>
          <w:p w14:paraId="623289B0">
            <w:pPr>
              <w:pStyle w:val="441"/>
              <w:widowControl/>
              <w:spacing w:line="560" w:lineRule="exact"/>
              <w:ind w:firstLine="560"/>
              <w:jc w:val="center"/>
              <w:rPr>
                <w:rFonts w:hint="eastAsia" w:ascii="仿宋" w:hAnsi="仿宋" w:eastAsia="仿宋" w:cs="仿宋"/>
                <w:color w:val="000000"/>
                <w:sz w:val="28"/>
                <w:szCs w:val="28"/>
                <w:highlight w:val="none"/>
              </w:rPr>
            </w:pPr>
          </w:p>
        </w:tc>
        <w:tc>
          <w:tcPr>
            <w:tcW w:w="962" w:type="dxa"/>
            <w:noWrap w:val="0"/>
            <w:vAlign w:val="center"/>
          </w:tcPr>
          <w:p w14:paraId="6683D0C7">
            <w:pPr>
              <w:pStyle w:val="441"/>
              <w:widowControl/>
              <w:spacing w:line="560" w:lineRule="exact"/>
              <w:ind w:firstLine="560"/>
              <w:jc w:val="center"/>
              <w:rPr>
                <w:rFonts w:hint="eastAsia" w:ascii="仿宋" w:hAnsi="仿宋" w:eastAsia="仿宋" w:cs="仿宋"/>
                <w:color w:val="000000"/>
                <w:sz w:val="28"/>
                <w:szCs w:val="28"/>
                <w:highlight w:val="none"/>
              </w:rPr>
            </w:pPr>
          </w:p>
        </w:tc>
      </w:tr>
      <w:tr w14:paraId="53D6E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noWrap w:val="0"/>
            <w:vAlign w:val="center"/>
          </w:tcPr>
          <w:p w14:paraId="74689E8A">
            <w:pPr>
              <w:pStyle w:val="441"/>
              <w:widowControl/>
              <w:spacing w:line="560" w:lineRule="exact"/>
              <w:ind w:firstLine="560"/>
              <w:jc w:val="center"/>
              <w:rPr>
                <w:rFonts w:hint="eastAsia" w:ascii="仿宋" w:hAnsi="仿宋" w:eastAsia="仿宋" w:cs="仿宋"/>
                <w:color w:val="000000"/>
                <w:sz w:val="28"/>
                <w:szCs w:val="28"/>
                <w:highlight w:val="none"/>
              </w:rPr>
            </w:pPr>
          </w:p>
        </w:tc>
        <w:tc>
          <w:tcPr>
            <w:tcW w:w="1843" w:type="dxa"/>
            <w:noWrap w:val="0"/>
            <w:vAlign w:val="center"/>
          </w:tcPr>
          <w:p w14:paraId="423FA15C">
            <w:pPr>
              <w:pStyle w:val="501"/>
              <w:jc w:val="center"/>
              <w:rPr>
                <w:rFonts w:hint="eastAsia" w:ascii="仿宋" w:hAnsi="仿宋" w:eastAsia="仿宋" w:cs="仿宋"/>
                <w:color w:val="000000"/>
                <w:sz w:val="20"/>
                <w:szCs w:val="20"/>
                <w:highlight w:val="none"/>
              </w:rPr>
            </w:pPr>
          </w:p>
        </w:tc>
        <w:tc>
          <w:tcPr>
            <w:tcW w:w="992" w:type="dxa"/>
            <w:noWrap w:val="0"/>
            <w:vAlign w:val="center"/>
          </w:tcPr>
          <w:p w14:paraId="368121A5">
            <w:pPr>
              <w:pStyle w:val="441"/>
              <w:widowControl/>
              <w:spacing w:line="560" w:lineRule="exact"/>
              <w:ind w:firstLine="560"/>
              <w:jc w:val="center"/>
              <w:rPr>
                <w:rFonts w:hint="eastAsia" w:ascii="仿宋" w:hAnsi="仿宋" w:eastAsia="仿宋" w:cs="仿宋"/>
                <w:color w:val="000000"/>
                <w:sz w:val="28"/>
                <w:szCs w:val="28"/>
                <w:highlight w:val="none"/>
              </w:rPr>
            </w:pPr>
          </w:p>
        </w:tc>
        <w:tc>
          <w:tcPr>
            <w:tcW w:w="1984" w:type="dxa"/>
            <w:noWrap w:val="0"/>
            <w:vAlign w:val="center"/>
          </w:tcPr>
          <w:p w14:paraId="4C3B568F">
            <w:pPr>
              <w:pStyle w:val="441"/>
              <w:widowControl/>
              <w:spacing w:line="560" w:lineRule="exact"/>
              <w:ind w:firstLine="560"/>
              <w:jc w:val="center"/>
              <w:rPr>
                <w:rFonts w:hint="eastAsia" w:ascii="仿宋" w:hAnsi="仿宋" w:eastAsia="仿宋" w:cs="仿宋"/>
                <w:color w:val="000000"/>
                <w:sz w:val="28"/>
                <w:szCs w:val="28"/>
                <w:highlight w:val="none"/>
              </w:rPr>
            </w:pPr>
          </w:p>
        </w:tc>
        <w:tc>
          <w:tcPr>
            <w:tcW w:w="1702" w:type="dxa"/>
            <w:noWrap w:val="0"/>
            <w:vAlign w:val="center"/>
          </w:tcPr>
          <w:p w14:paraId="5E5283DE">
            <w:pPr>
              <w:pStyle w:val="441"/>
              <w:widowControl/>
              <w:spacing w:line="560" w:lineRule="exact"/>
              <w:ind w:firstLine="560"/>
              <w:jc w:val="center"/>
              <w:rPr>
                <w:rFonts w:hint="eastAsia" w:ascii="仿宋" w:hAnsi="仿宋" w:eastAsia="仿宋" w:cs="仿宋"/>
                <w:color w:val="000000"/>
                <w:sz w:val="28"/>
                <w:szCs w:val="28"/>
                <w:highlight w:val="none"/>
              </w:rPr>
            </w:pPr>
          </w:p>
        </w:tc>
        <w:tc>
          <w:tcPr>
            <w:tcW w:w="962" w:type="dxa"/>
            <w:noWrap w:val="0"/>
            <w:vAlign w:val="center"/>
          </w:tcPr>
          <w:p w14:paraId="42748731">
            <w:pPr>
              <w:pStyle w:val="441"/>
              <w:widowControl/>
              <w:spacing w:line="560" w:lineRule="exact"/>
              <w:ind w:firstLine="560"/>
              <w:jc w:val="center"/>
              <w:rPr>
                <w:rFonts w:hint="eastAsia" w:ascii="仿宋" w:hAnsi="仿宋" w:eastAsia="仿宋" w:cs="仿宋"/>
                <w:color w:val="000000"/>
                <w:sz w:val="28"/>
                <w:szCs w:val="28"/>
                <w:highlight w:val="none"/>
              </w:rPr>
            </w:pPr>
          </w:p>
        </w:tc>
      </w:tr>
      <w:tr w14:paraId="77AAD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noWrap w:val="0"/>
            <w:vAlign w:val="center"/>
          </w:tcPr>
          <w:p w14:paraId="0D0DF65A">
            <w:pPr>
              <w:pStyle w:val="441"/>
              <w:widowControl/>
              <w:spacing w:line="560" w:lineRule="exact"/>
              <w:ind w:firstLine="560"/>
              <w:jc w:val="center"/>
              <w:rPr>
                <w:rFonts w:hint="eastAsia" w:ascii="仿宋" w:hAnsi="仿宋" w:eastAsia="仿宋" w:cs="仿宋"/>
                <w:color w:val="000000"/>
                <w:sz w:val="28"/>
                <w:szCs w:val="28"/>
                <w:highlight w:val="none"/>
              </w:rPr>
            </w:pPr>
          </w:p>
        </w:tc>
        <w:tc>
          <w:tcPr>
            <w:tcW w:w="1843" w:type="dxa"/>
            <w:noWrap w:val="0"/>
            <w:vAlign w:val="center"/>
          </w:tcPr>
          <w:p w14:paraId="151277F1">
            <w:pPr>
              <w:pStyle w:val="501"/>
              <w:jc w:val="center"/>
              <w:rPr>
                <w:rFonts w:hint="eastAsia" w:ascii="仿宋" w:hAnsi="仿宋" w:eastAsia="仿宋" w:cs="仿宋"/>
                <w:color w:val="000000"/>
                <w:sz w:val="20"/>
                <w:szCs w:val="20"/>
                <w:highlight w:val="none"/>
              </w:rPr>
            </w:pPr>
          </w:p>
        </w:tc>
        <w:tc>
          <w:tcPr>
            <w:tcW w:w="992" w:type="dxa"/>
            <w:noWrap w:val="0"/>
            <w:vAlign w:val="center"/>
          </w:tcPr>
          <w:p w14:paraId="32365848">
            <w:pPr>
              <w:pStyle w:val="441"/>
              <w:widowControl/>
              <w:spacing w:line="560" w:lineRule="exact"/>
              <w:ind w:firstLine="560"/>
              <w:jc w:val="center"/>
              <w:rPr>
                <w:rFonts w:hint="eastAsia" w:ascii="仿宋" w:hAnsi="仿宋" w:eastAsia="仿宋" w:cs="仿宋"/>
                <w:color w:val="000000"/>
                <w:sz w:val="28"/>
                <w:szCs w:val="28"/>
                <w:highlight w:val="none"/>
              </w:rPr>
            </w:pPr>
          </w:p>
        </w:tc>
        <w:tc>
          <w:tcPr>
            <w:tcW w:w="1984" w:type="dxa"/>
            <w:noWrap w:val="0"/>
            <w:vAlign w:val="center"/>
          </w:tcPr>
          <w:p w14:paraId="0332EF2B">
            <w:pPr>
              <w:pStyle w:val="441"/>
              <w:widowControl/>
              <w:spacing w:line="560" w:lineRule="exact"/>
              <w:ind w:firstLine="560"/>
              <w:jc w:val="center"/>
              <w:rPr>
                <w:rFonts w:hint="eastAsia" w:ascii="仿宋" w:hAnsi="仿宋" w:eastAsia="仿宋" w:cs="仿宋"/>
                <w:color w:val="000000"/>
                <w:sz w:val="28"/>
                <w:szCs w:val="28"/>
                <w:highlight w:val="none"/>
              </w:rPr>
            </w:pPr>
          </w:p>
        </w:tc>
        <w:tc>
          <w:tcPr>
            <w:tcW w:w="1702" w:type="dxa"/>
            <w:noWrap w:val="0"/>
            <w:vAlign w:val="center"/>
          </w:tcPr>
          <w:p w14:paraId="0ED6A5D4">
            <w:pPr>
              <w:pStyle w:val="441"/>
              <w:widowControl/>
              <w:spacing w:line="560" w:lineRule="exact"/>
              <w:ind w:firstLine="560"/>
              <w:jc w:val="center"/>
              <w:rPr>
                <w:rFonts w:hint="eastAsia" w:ascii="仿宋" w:hAnsi="仿宋" w:eastAsia="仿宋" w:cs="仿宋"/>
                <w:color w:val="000000"/>
                <w:sz w:val="28"/>
                <w:szCs w:val="28"/>
                <w:highlight w:val="none"/>
              </w:rPr>
            </w:pPr>
          </w:p>
        </w:tc>
        <w:tc>
          <w:tcPr>
            <w:tcW w:w="962" w:type="dxa"/>
            <w:noWrap w:val="0"/>
            <w:vAlign w:val="center"/>
          </w:tcPr>
          <w:p w14:paraId="15D2B64B">
            <w:pPr>
              <w:pStyle w:val="441"/>
              <w:widowControl/>
              <w:spacing w:line="560" w:lineRule="exact"/>
              <w:ind w:firstLine="560"/>
              <w:jc w:val="center"/>
              <w:rPr>
                <w:rFonts w:hint="eastAsia" w:ascii="仿宋" w:hAnsi="仿宋" w:eastAsia="仿宋" w:cs="仿宋"/>
                <w:color w:val="000000"/>
                <w:sz w:val="28"/>
                <w:szCs w:val="28"/>
                <w:highlight w:val="none"/>
              </w:rPr>
            </w:pPr>
          </w:p>
        </w:tc>
      </w:tr>
      <w:tr w14:paraId="687BC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noWrap w:val="0"/>
            <w:vAlign w:val="center"/>
          </w:tcPr>
          <w:p w14:paraId="531EDD34">
            <w:pPr>
              <w:pStyle w:val="441"/>
              <w:widowControl/>
              <w:spacing w:line="560" w:lineRule="exact"/>
              <w:ind w:firstLine="560"/>
              <w:jc w:val="center"/>
              <w:rPr>
                <w:rFonts w:hint="eastAsia" w:ascii="仿宋" w:hAnsi="仿宋" w:eastAsia="仿宋" w:cs="仿宋"/>
                <w:color w:val="000000"/>
                <w:sz w:val="28"/>
                <w:szCs w:val="28"/>
                <w:highlight w:val="none"/>
              </w:rPr>
            </w:pPr>
          </w:p>
        </w:tc>
        <w:tc>
          <w:tcPr>
            <w:tcW w:w="1843" w:type="dxa"/>
            <w:noWrap w:val="0"/>
            <w:vAlign w:val="center"/>
          </w:tcPr>
          <w:p w14:paraId="42ABD980">
            <w:pPr>
              <w:pStyle w:val="501"/>
              <w:jc w:val="center"/>
              <w:rPr>
                <w:rFonts w:hint="eastAsia" w:ascii="仿宋" w:hAnsi="仿宋" w:eastAsia="仿宋" w:cs="仿宋"/>
                <w:color w:val="000000"/>
                <w:sz w:val="20"/>
                <w:szCs w:val="20"/>
                <w:highlight w:val="none"/>
              </w:rPr>
            </w:pPr>
          </w:p>
        </w:tc>
        <w:tc>
          <w:tcPr>
            <w:tcW w:w="992" w:type="dxa"/>
            <w:noWrap w:val="0"/>
            <w:vAlign w:val="center"/>
          </w:tcPr>
          <w:p w14:paraId="7F79F4A2">
            <w:pPr>
              <w:pStyle w:val="441"/>
              <w:widowControl/>
              <w:spacing w:line="560" w:lineRule="exact"/>
              <w:ind w:firstLine="560"/>
              <w:jc w:val="center"/>
              <w:rPr>
                <w:rFonts w:hint="eastAsia" w:ascii="仿宋" w:hAnsi="仿宋" w:eastAsia="仿宋" w:cs="仿宋"/>
                <w:color w:val="000000"/>
                <w:sz w:val="28"/>
                <w:szCs w:val="28"/>
                <w:highlight w:val="none"/>
              </w:rPr>
            </w:pPr>
          </w:p>
        </w:tc>
        <w:tc>
          <w:tcPr>
            <w:tcW w:w="1984" w:type="dxa"/>
            <w:noWrap w:val="0"/>
            <w:vAlign w:val="center"/>
          </w:tcPr>
          <w:p w14:paraId="101870D5">
            <w:pPr>
              <w:pStyle w:val="441"/>
              <w:widowControl/>
              <w:spacing w:line="560" w:lineRule="exact"/>
              <w:ind w:firstLine="560"/>
              <w:jc w:val="center"/>
              <w:rPr>
                <w:rFonts w:hint="eastAsia" w:ascii="仿宋" w:hAnsi="仿宋" w:eastAsia="仿宋" w:cs="仿宋"/>
                <w:color w:val="000000"/>
                <w:sz w:val="28"/>
                <w:szCs w:val="28"/>
                <w:highlight w:val="none"/>
              </w:rPr>
            </w:pPr>
          </w:p>
        </w:tc>
        <w:tc>
          <w:tcPr>
            <w:tcW w:w="1702" w:type="dxa"/>
            <w:noWrap w:val="0"/>
            <w:vAlign w:val="center"/>
          </w:tcPr>
          <w:p w14:paraId="0C38444D">
            <w:pPr>
              <w:pStyle w:val="441"/>
              <w:widowControl/>
              <w:spacing w:line="560" w:lineRule="exact"/>
              <w:ind w:firstLine="560"/>
              <w:jc w:val="center"/>
              <w:rPr>
                <w:rFonts w:hint="eastAsia" w:ascii="仿宋" w:hAnsi="仿宋" w:eastAsia="仿宋" w:cs="仿宋"/>
                <w:color w:val="000000"/>
                <w:sz w:val="28"/>
                <w:szCs w:val="28"/>
                <w:highlight w:val="none"/>
              </w:rPr>
            </w:pPr>
          </w:p>
        </w:tc>
        <w:tc>
          <w:tcPr>
            <w:tcW w:w="962" w:type="dxa"/>
            <w:noWrap w:val="0"/>
            <w:vAlign w:val="center"/>
          </w:tcPr>
          <w:p w14:paraId="66D7EA8D">
            <w:pPr>
              <w:pStyle w:val="441"/>
              <w:widowControl/>
              <w:spacing w:line="560" w:lineRule="exact"/>
              <w:ind w:firstLine="560"/>
              <w:jc w:val="center"/>
              <w:rPr>
                <w:rFonts w:hint="eastAsia" w:ascii="仿宋" w:hAnsi="仿宋" w:eastAsia="仿宋" w:cs="仿宋"/>
                <w:color w:val="000000"/>
                <w:sz w:val="28"/>
                <w:szCs w:val="28"/>
                <w:highlight w:val="none"/>
              </w:rPr>
            </w:pPr>
          </w:p>
        </w:tc>
      </w:tr>
    </w:tbl>
    <w:p w14:paraId="22250BE3">
      <w:pPr>
        <w:spacing w:line="480" w:lineRule="exact"/>
        <w:ind w:firstLine="210"/>
        <w:rPr>
          <w:rFonts w:hint="eastAsia" w:ascii="Times New Roman" w:hAnsi="Times New Roman" w:cs="宋体"/>
          <w:color w:val="000000"/>
          <w:sz w:val="24"/>
          <w:szCs w:val="20"/>
          <w:highlight w:val="none"/>
        </w:rPr>
      </w:pPr>
      <w:r>
        <w:rPr>
          <w:rFonts w:hint="eastAsia" w:ascii="Times New Roman" w:hAnsi="Times New Roman" w:cs="宋体"/>
          <w:color w:val="000000"/>
          <w:sz w:val="24"/>
          <w:szCs w:val="20"/>
          <w:highlight w:val="none"/>
        </w:rPr>
        <w:t>注：如投标人中标，项目组成员按本表承诺人员操作，不得随意更换。按采购文件要求附相关人员证书。</w:t>
      </w:r>
      <w:bookmarkStart w:id="200" w:name="_格式2__法定代表人授权书"/>
      <w:bookmarkEnd w:id="200"/>
    </w:p>
    <w:p w14:paraId="1B2E1833">
      <w:pPr>
        <w:ind w:firstLine="210"/>
        <w:rPr>
          <w:rFonts w:hint="eastAsia" w:ascii="仿宋" w:hAnsi="仿宋" w:eastAsia="仿宋" w:cs="仿宋"/>
          <w:color w:val="000000"/>
          <w:szCs w:val="21"/>
          <w:highlight w:val="none"/>
        </w:rPr>
      </w:pPr>
    </w:p>
    <w:p w14:paraId="7F98AAA8">
      <w:pPr>
        <w:ind w:firstLine="210"/>
        <w:rPr>
          <w:rFonts w:hint="eastAsia" w:ascii="仿宋" w:hAnsi="仿宋" w:eastAsia="仿宋" w:cs="仿宋"/>
          <w:color w:val="000000"/>
          <w:szCs w:val="21"/>
          <w:highlight w:val="none"/>
        </w:rPr>
      </w:pPr>
    </w:p>
    <w:p w14:paraId="4455C2B3">
      <w:pPr>
        <w:pStyle w:val="371"/>
        <w:ind w:left="210"/>
        <w:outlineLvl w:val="1"/>
        <w:rPr>
          <w:rFonts w:hint="eastAsia" w:ascii="宋体"/>
          <w:b w:val="0"/>
          <w:color w:val="000000"/>
          <w:szCs w:val="32"/>
          <w:highlight w:val="none"/>
        </w:rPr>
      </w:pPr>
      <w:r>
        <w:rPr>
          <w:rFonts w:hint="eastAsia" w:ascii="宋体"/>
          <w:b w:val="0"/>
          <w:color w:val="000000"/>
          <w:szCs w:val="32"/>
          <w:highlight w:val="none"/>
        </w:rPr>
        <w:br w:type="page" w:clear="all"/>
      </w:r>
      <w:r>
        <w:rPr>
          <w:rFonts w:hint="eastAsia" w:ascii="宋体"/>
          <w:b w:val="0"/>
          <w:color w:val="000000"/>
          <w:szCs w:val="32"/>
          <w:highlight w:val="none"/>
        </w:rPr>
        <w:t>九、企业业绩</w:t>
      </w:r>
      <w:bookmarkEnd w:id="198"/>
      <w:bookmarkEnd w:id="199"/>
    </w:p>
    <w:p w14:paraId="2A9531E5">
      <w:pPr>
        <w:pStyle w:val="379"/>
        <w:jc w:val="center"/>
        <w:rPr>
          <w:rFonts w:ascii="方正小标宋_GBK" w:eastAsia="方正小标宋_GBK"/>
          <w:bCs/>
          <w:color w:val="000000"/>
          <w:sz w:val="32"/>
          <w:szCs w:val="32"/>
          <w:highlight w:val="none"/>
        </w:rPr>
      </w:pPr>
      <w:r>
        <w:rPr>
          <w:rFonts w:hint="eastAsia" w:ascii="方正小标宋_GBK" w:eastAsia="方正小标宋_GBK"/>
          <w:bCs/>
          <w:color w:val="000000"/>
          <w:sz w:val="32"/>
          <w:szCs w:val="32"/>
          <w:highlight w:val="none"/>
        </w:rPr>
        <w:t>投标人</w:t>
      </w:r>
      <w:bookmarkStart w:id="201" w:name="_Hlk187935031"/>
      <w:r>
        <w:rPr>
          <w:rFonts w:hint="eastAsia" w:ascii="方正小标宋_GBK" w:eastAsia="方正小标宋_GBK"/>
          <w:bCs/>
          <w:color w:val="000000"/>
          <w:sz w:val="32"/>
          <w:szCs w:val="32"/>
          <w:highlight w:val="none"/>
        </w:rPr>
        <w:t>自</w:t>
      </w:r>
      <w:r>
        <w:rPr>
          <w:rFonts w:hint="eastAsia" w:ascii="方正小标宋_GBK" w:eastAsia="方正小标宋_GBK"/>
          <w:bCs/>
          <w:color w:val="000000"/>
          <w:sz w:val="32"/>
          <w:szCs w:val="32"/>
          <w:highlight w:val="none"/>
          <w:u w:val="single"/>
          <w:lang w:val="en-US" w:eastAsia="zh-CN"/>
        </w:rPr>
        <w:t xml:space="preserve">   </w:t>
      </w:r>
      <w:r>
        <w:rPr>
          <w:rFonts w:hint="eastAsia" w:ascii="方正小标宋_GBK" w:eastAsia="方正小标宋_GBK"/>
          <w:bCs/>
          <w:color w:val="000000"/>
          <w:sz w:val="32"/>
          <w:szCs w:val="32"/>
          <w:highlight w:val="none"/>
        </w:rPr>
        <w:t>年</w:t>
      </w:r>
      <w:r>
        <w:rPr>
          <w:rFonts w:hint="eastAsia" w:ascii="方正小标宋_GBK" w:eastAsia="方正小标宋_GBK"/>
          <w:bCs/>
          <w:color w:val="000000"/>
          <w:sz w:val="32"/>
          <w:szCs w:val="32"/>
          <w:highlight w:val="none"/>
          <w:u w:val="single"/>
          <w:lang w:val="en-US" w:eastAsia="zh-CN"/>
        </w:rPr>
        <w:t xml:space="preserve">   </w:t>
      </w:r>
      <w:r>
        <w:rPr>
          <w:rFonts w:hint="eastAsia" w:ascii="方正小标宋_GBK" w:eastAsia="方正小标宋_GBK"/>
          <w:bCs/>
          <w:color w:val="000000"/>
          <w:sz w:val="32"/>
          <w:szCs w:val="32"/>
          <w:highlight w:val="none"/>
          <w:u w:val="none"/>
          <w:lang w:val="en-US" w:eastAsia="zh-CN"/>
        </w:rPr>
        <w:t>月</w:t>
      </w:r>
      <w:r>
        <w:rPr>
          <w:rFonts w:hint="eastAsia" w:ascii="方正小标宋_GBK" w:eastAsia="方正小标宋_GBK"/>
          <w:bCs/>
          <w:color w:val="000000"/>
          <w:sz w:val="32"/>
          <w:szCs w:val="32"/>
          <w:highlight w:val="none"/>
          <w:u w:val="single"/>
          <w:lang w:val="en-US" w:eastAsia="zh-CN"/>
        </w:rPr>
        <w:t xml:space="preserve">   </w:t>
      </w:r>
      <w:r>
        <w:rPr>
          <w:rFonts w:hint="eastAsia" w:ascii="方正小标宋_GBK" w:eastAsia="方正小标宋_GBK"/>
          <w:bCs/>
          <w:color w:val="000000"/>
          <w:sz w:val="32"/>
          <w:szCs w:val="32"/>
          <w:highlight w:val="none"/>
        </w:rPr>
        <w:t>日以来承担</w:t>
      </w:r>
    </w:p>
    <w:p w14:paraId="4CC5E0CD">
      <w:pPr>
        <w:pStyle w:val="379"/>
        <w:jc w:val="center"/>
        <w:rPr>
          <w:rFonts w:hint="eastAsia" w:ascii="方正小标宋_GBK" w:eastAsia="方正小标宋_GBK"/>
          <w:bCs/>
          <w:color w:val="000000"/>
          <w:sz w:val="32"/>
          <w:szCs w:val="32"/>
          <w:highlight w:val="none"/>
        </w:rPr>
      </w:pPr>
      <w:r>
        <w:rPr>
          <w:rFonts w:hint="eastAsia" w:ascii="方正小标宋_GBK" w:eastAsia="方正小标宋_GBK"/>
          <w:bCs/>
          <w:color w:val="000000"/>
          <w:sz w:val="32"/>
          <w:szCs w:val="32"/>
          <w:highlight w:val="none"/>
        </w:rPr>
        <w:t>类似项目业绩一览表</w:t>
      </w:r>
      <w:bookmarkEnd w:id="201"/>
    </w:p>
    <w:tbl>
      <w:tblPr>
        <w:tblStyle w:val="31"/>
        <w:tblW w:w="88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9"/>
        <w:gridCol w:w="3827"/>
        <w:gridCol w:w="2433"/>
        <w:gridCol w:w="1395"/>
      </w:tblGrid>
      <w:tr w14:paraId="7694B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jc w:val="center"/>
        </w:trPr>
        <w:tc>
          <w:tcPr>
            <w:tcW w:w="1229" w:type="dxa"/>
            <w:noWrap w:val="0"/>
            <w:vAlign w:val="top"/>
          </w:tcPr>
          <w:p w14:paraId="66D7E753">
            <w:pPr>
              <w:pStyle w:val="380"/>
              <w:spacing w:line="560" w:lineRule="exact"/>
              <w:jc w:val="center"/>
              <w:rPr>
                <w:rFonts w:ascii="仿宋_GB2312" w:eastAsia="仿宋_GB2312"/>
                <w:color w:val="000000"/>
                <w:sz w:val="28"/>
                <w:szCs w:val="28"/>
                <w:highlight w:val="none"/>
              </w:rPr>
            </w:pPr>
            <w:r>
              <w:rPr>
                <w:rFonts w:hint="eastAsia" w:ascii="仿宋_GB2312" w:eastAsia="仿宋_GB2312"/>
                <w:color w:val="000000"/>
                <w:sz w:val="28"/>
                <w:szCs w:val="28"/>
                <w:highlight w:val="none"/>
              </w:rPr>
              <w:t>序号</w:t>
            </w:r>
          </w:p>
        </w:tc>
        <w:tc>
          <w:tcPr>
            <w:tcW w:w="3827" w:type="dxa"/>
            <w:noWrap w:val="0"/>
            <w:vAlign w:val="center"/>
          </w:tcPr>
          <w:p w14:paraId="3793C4A1">
            <w:pPr>
              <w:pStyle w:val="380"/>
              <w:spacing w:line="560" w:lineRule="exact"/>
              <w:jc w:val="center"/>
              <w:rPr>
                <w:rFonts w:ascii="仿宋_GB2312" w:eastAsia="仿宋_GB2312"/>
                <w:color w:val="000000"/>
                <w:sz w:val="28"/>
                <w:szCs w:val="28"/>
                <w:highlight w:val="none"/>
              </w:rPr>
            </w:pPr>
            <w:r>
              <w:rPr>
                <w:rFonts w:hint="eastAsia" w:ascii="仿宋_GB2312" w:eastAsia="仿宋_GB2312"/>
                <w:color w:val="000000"/>
                <w:sz w:val="28"/>
                <w:szCs w:val="28"/>
                <w:highlight w:val="none"/>
              </w:rPr>
              <w:t>项目名称</w:t>
            </w:r>
          </w:p>
        </w:tc>
        <w:tc>
          <w:tcPr>
            <w:tcW w:w="2433" w:type="dxa"/>
            <w:noWrap w:val="0"/>
            <w:vAlign w:val="center"/>
          </w:tcPr>
          <w:p w14:paraId="1212127D">
            <w:pPr>
              <w:pStyle w:val="380"/>
              <w:spacing w:line="560" w:lineRule="exact"/>
              <w:jc w:val="center"/>
              <w:rPr>
                <w:rFonts w:ascii="仿宋_GB2312" w:eastAsia="仿宋_GB2312"/>
                <w:color w:val="000000"/>
                <w:sz w:val="28"/>
                <w:szCs w:val="28"/>
                <w:highlight w:val="none"/>
              </w:rPr>
            </w:pPr>
            <w:r>
              <w:rPr>
                <w:rFonts w:hint="eastAsia" w:ascii="仿宋_GB2312" w:eastAsia="仿宋_GB2312"/>
                <w:color w:val="000000"/>
                <w:sz w:val="28"/>
                <w:szCs w:val="28"/>
                <w:highlight w:val="none"/>
              </w:rPr>
              <w:t>采购单位</w:t>
            </w:r>
          </w:p>
        </w:tc>
        <w:tc>
          <w:tcPr>
            <w:tcW w:w="1395" w:type="dxa"/>
            <w:noWrap w:val="0"/>
            <w:vAlign w:val="center"/>
          </w:tcPr>
          <w:p w14:paraId="527BD4A4">
            <w:pPr>
              <w:pStyle w:val="380"/>
              <w:spacing w:line="560" w:lineRule="exact"/>
              <w:jc w:val="center"/>
              <w:rPr>
                <w:rFonts w:ascii="仿宋_GB2312" w:eastAsia="仿宋_GB2312"/>
                <w:color w:val="000000"/>
                <w:sz w:val="28"/>
                <w:szCs w:val="28"/>
                <w:highlight w:val="none"/>
              </w:rPr>
            </w:pPr>
            <w:r>
              <w:rPr>
                <w:rFonts w:hint="eastAsia" w:ascii="仿宋_GB2312" w:eastAsia="仿宋_GB2312"/>
                <w:color w:val="000000"/>
                <w:sz w:val="28"/>
                <w:szCs w:val="28"/>
                <w:highlight w:val="none"/>
              </w:rPr>
              <w:t>服务主要内容</w:t>
            </w:r>
          </w:p>
        </w:tc>
      </w:tr>
      <w:tr w14:paraId="5227B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0" w:hRule="atLeast"/>
          <w:jc w:val="center"/>
        </w:trPr>
        <w:tc>
          <w:tcPr>
            <w:tcW w:w="1229" w:type="dxa"/>
            <w:noWrap w:val="0"/>
            <w:vAlign w:val="top"/>
          </w:tcPr>
          <w:p w14:paraId="5A55F37D">
            <w:pPr>
              <w:pStyle w:val="380"/>
              <w:spacing w:line="560" w:lineRule="exact"/>
              <w:jc w:val="center"/>
              <w:rPr>
                <w:rFonts w:ascii="仿宋_GB2312" w:eastAsia="仿宋_GB2312"/>
                <w:color w:val="000000"/>
                <w:sz w:val="28"/>
                <w:highlight w:val="none"/>
              </w:rPr>
            </w:pPr>
          </w:p>
        </w:tc>
        <w:tc>
          <w:tcPr>
            <w:tcW w:w="3827" w:type="dxa"/>
            <w:noWrap w:val="0"/>
            <w:vAlign w:val="center"/>
          </w:tcPr>
          <w:p w14:paraId="2AFB6828">
            <w:pPr>
              <w:pStyle w:val="380"/>
              <w:spacing w:line="560" w:lineRule="exact"/>
              <w:jc w:val="center"/>
              <w:rPr>
                <w:rFonts w:ascii="仿宋_GB2312" w:eastAsia="仿宋_GB2312"/>
                <w:color w:val="000000"/>
                <w:sz w:val="28"/>
                <w:highlight w:val="none"/>
              </w:rPr>
            </w:pPr>
          </w:p>
        </w:tc>
        <w:tc>
          <w:tcPr>
            <w:tcW w:w="2433" w:type="dxa"/>
            <w:noWrap w:val="0"/>
            <w:vAlign w:val="center"/>
          </w:tcPr>
          <w:p w14:paraId="1524A14F">
            <w:pPr>
              <w:pStyle w:val="380"/>
              <w:spacing w:line="560" w:lineRule="exact"/>
              <w:jc w:val="center"/>
              <w:rPr>
                <w:rFonts w:ascii="仿宋_GB2312" w:eastAsia="仿宋_GB2312"/>
                <w:color w:val="000000"/>
                <w:sz w:val="28"/>
                <w:highlight w:val="none"/>
              </w:rPr>
            </w:pPr>
          </w:p>
        </w:tc>
        <w:tc>
          <w:tcPr>
            <w:tcW w:w="1395" w:type="dxa"/>
            <w:noWrap w:val="0"/>
            <w:vAlign w:val="center"/>
          </w:tcPr>
          <w:p w14:paraId="52429421">
            <w:pPr>
              <w:pStyle w:val="380"/>
              <w:spacing w:line="560" w:lineRule="exact"/>
              <w:jc w:val="center"/>
              <w:rPr>
                <w:rFonts w:ascii="仿宋_GB2312" w:eastAsia="仿宋_GB2312"/>
                <w:color w:val="000000"/>
                <w:sz w:val="28"/>
                <w:highlight w:val="none"/>
              </w:rPr>
            </w:pPr>
          </w:p>
        </w:tc>
      </w:tr>
      <w:tr w14:paraId="154D2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0" w:hRule="atLeast"/>
          <w:jc w:val="center"/>
        </w:trPr>
        <w:tc>
          <w:tcPr>
            <w:tcW w:w="1229" w:type="dxa"/>
            <w:noWrap w:val="0"/>
            <w:vAlign w:val="top"/>
          </w:tcPr>
          <w:p w14:paraId="67DE8057">
            <w:pPr>
              <w:pStyle w:val="380"/>
              <w:spacing w:line="560" w:lineRule="exact"/>
              <w:jc w:val="center"/>
              <w:rPr>
                <w:rFonts w:ascii="仿宋_GB2312" w:eastAsia="仿宋_GB2312"/>
                <w:color w:val="000000"/>
                <w:sz w:val="28"/>
                <w:highlight w:val="none"/>
              </w:rPr>
            </w:pPr>
          </w:p>
        </w:tc>
        <w:tc>
          <w:tcPr>
            <w:tcW w:w="3827" w:type="dxa"/>
            <w:noWrap w:val="0"/>
            <w:vAlign w:val="center"/>
          </w:tcPr>
          <w:p w14:paraId="420540A6">
            <w:pPr>
              <w:pStyle w:val="380"/>
              <w:spacing w:line="560" w:lineRule="exact"/>
              <w:jc w:val="center"/>
              <w:rPr>
                <w:rFonts w:ascii="仿宋_GB2312" w:eastAsia="仿宋_GB2312"/>
                <w:color w:val="000000"/>
                <w:sz w:val="28"/>
                <w:highlight w:val="none"/>
              </w:rPr>
            </w:pPr>
          </w:p>
        </w:tc>
        <w:tc>
          <w:tcPr>
            <w:tcW w:w="2433" w:type="dxa"/>
            <w:noWrap w:val="0"/>
            <w:vAlign w:val="center"/>
          </w:tcPr>
          <w:p w14:paraId="3AE11AC7">
            <w:pPr>
              <w:pStyle w:val="380"/>
              <w:spacing w:line="560" w:lineRule="exact"/>
              <w:jc w:val="center"/>
              <w:rPr>
                <w:rFonts w:ascii="仿宋_GB2312" w:eastAsia="仿宋_GB2312"/>
                <w:color w:val="000000"/>
                <w:sz w:val="28"/>
                <w:highlight w:val="none"/>
              </w:rPr>
            </w:pPr>
          </w:p>
        </w:tc>
        <w:tc>
          <w:tcPr>
            <w:tcW w:w="1395" w:type="dxa"/>
            <w:noWrap w:val="0"/>
            <w:vAlign w:val="center"/>
          </w:tcPr>
          <w:p w14:paraId="2C231809">
            <w:pPr>
              <w:pStyle w:val="380"/>
              <w:spacing w:line="560" w:lineRule="exact"/>
              <w:jc w:val="center"/>
              <w:rPr>
                <w:rFonts w:ascii="仿宋_GB2312" w:eastAsia="仿宋_GB2312"/>
                <w:color w:val="000000"/>
                <w:sz w:val="28"/>
                <w:highlight w:val="none"/>
              </w:rPr>
            </w:pPr>
          </w:p>
        </w:tc>
      </w:tr>
      <w:tr w14:paraId="696C1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0" w:hRule="atLeast"/>
          <w:jc w:val="center"/>
        </w:trPr>
        <w:tc>
          <w:tcPr>
            <w:tcW w:w="1229" w:type="dxa"/>
            <w:noWrap w:val="0"/>
            <w:vAlign w:val="top"/>
          </w:tcPr>
          <w:p w14:paraId="753AF2A4">
            <w:pPr>
              <w:pStyle w:val="380"/>
              <w:spacing w:line="560" w:lineRule="exact"/>
              <w:jc w:val="center"/>
              <w:rPr>
                <w:rFonts w:ascii="仿宋_GB2312" w:eastAsia="仿宋_GB2312"/>
                <w:color w:val="000000"/>
                <w:sz w:val="28"/>
                <w:highlight w:val="none"/>
              </w:rPr>
            </w:pPr>
          </w:p>
        </w:tc>
        <w:tc>
          <w:tcPr>
            <w:tcW w:w="3827" w:type="dxa"/>
            <w:noWrap w:val="0"/>
            <w:vAlign w:val="center"/>
          </w:tcPr>
          <w:p w14:paraId="7E63FD51">
            <w:pPr>
              <w:pStyle w:val="380"/>
              <w:spacing w:line="560" w:lineRule="exact"/>
              <w:jc w:val="center"/>
              <w:rPr>
                <w:rFonts w:ascii="仿宋_GB2312" w:eastAsia="仿宋_GB2312"/>
                <w:color w:val="000000"/>
                <w:sz w:val="28"/>
                <w:highlight w:val="none"/>
              </w:rPr>
            </w:pPr>
          </w:p>
        </w:tc>
        <w:tc>
          <w:tcPr>
            <w:tcW w:w="2433" w:type="dxa"/>
            <w:noWrap w:val="0"/>
            <w:vAlign w:val="center"/>
          </w:tcPr>
          <w:p w14:paraId="07A59247">
            <w:pPr>
              <w:pStyle w:val="380"/>
              <w:spacing w:line="560" w:lineRule="exact"/>
              <w:jc w:val="center"/>
              <w:rPr>
                <w:rFonts w:ascii="仿宋_GB2312" w:eastAsia="仿宋_GB2312"/>
                <w:color w:val="000000"/>
                <w:sz w:val="28"/>
                <w:highlight w:val="none"/>
              </w:rPr>
            </w:pPr>
          </w:p>
        </w:tc>
        <w:tc>
          <w:tcPr>
            <w:tcW w:w="1395" w:type="dxa"/>
            <w:noWrap w:val="0"/>
            <w:vAlign w:val="center"/>
          </w:tcPr>
          <w:p w14:paraId="5A0EDB83">
            <w:pPr>
              <w:pStyle w:val="380"/>
              <w:spacing w:line="560" w:lineRule="exact"/>
              <w:jc w:val="center"/>
              <w:rPr>
                <w:rFonts w:ascii="仿宋_GB2312" w:eastAsia="仿宋_GB2312"/>
                <w:color w:val="000000"/>
                <w:sz w:val="28"/>
                <w:highlight w:val="none"/>
              </w:rPr>
            </w:pPr>
          </w:p>
        </w:tc>
      </w:tr>
      <w:tr w14:paraId="74387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5" w:hRule="atLeast"/>
          <w:jc w:val="center"/>
        </w:trPr>
        <w:tc>
          <w:tcPr>
            <w:tcW w:w="1229" w:type="dxa"/>
            <w:noWrap w:val="0"/>
            <w:vAlign w:val="top"/>
          </w:tcPr>
          <w:p w14:paraId="1802BAC9">
            <w:pPr>
              <w:pStyle w:val="380"/>
              <w:spacing w:line="560" w:lineRule="exact"/>
              <w:jc w:val="center"/>
              <w:rPr>
                <w:rFonts w:ascii="仿宋_GB2312" w:eastAsia="仿宋_GB2312"/>
                <w:color w:val="000000"/>
                <w:sz w:val="28"/>
                <w:highlight w:val="none"/>
              </w:rPr>
            </w:pPr>
          </w:p>
        </w:tc>
        <w:tc>
          <w:tcPr>
            <w:tcW w:w="3827" w:type="dxa"/>
            <w:noWrap w:val="0"/>
            <w:vAlign w:val="center"/>
          </w:tcPr>
          <w:p w14:paraId="134F0F3D">
            <w:pPr>
              <w:pStyle w:val="380"/>
              <w:spacing w:line="560" w:lineRule="exact"/>
              <w:jc w:val="center"/>
              <w:rPr>
                <w:rFonts w:ascii="仿宋_GB2312" w:eastAsia="仿宋_GB2312"/>
                <w:color w:val="000000"/>
                <w:sz w:val="28"/>
                <w:highlight w:val="none"/>
              </w:rPr>
            </w:pPr>
          </w:p>
        </w:tc>
        <w:tc>
          <w:tcPr>
            <w:tcW w:w="2433" w:type="dxa"/>
            <w:noWrap w:val="0"/>
            <w:vAlign w:val="center"/>
          </w:tcPr>
          <w:p w14:paraId="1EE1DD45">
            <w:pPr>
              <w:pStyle w:val="380"/>
              <w:spacing w:line="560" w:lineRule="exact"/>
              <w:jc w:val="center"/>
              <w:rPr>
                <w:rFonts w:ascii="仿宋_GB2312" w:eastAsia="仿宋_GB2312"/>
                <w:color w:val="000000"/>
                <w:sz w:val="28"/>
                <w:highlight w:val="none"/>
              </w:rPr>
            </w:pPr>
          </w:p>
        </w:tc>
        <w:tc>
          <w:tcPr>
            <w:tcW w:w="1395" w:type="dxa"/>
            <w:noWrap w:val="0"/>
            <w:vAlign w:val="center"/>
          </w:tcPr>
          <w:p w14:paraId="0974D4E4">
            <w:pPr>
              <w:pStyle w:val="380"/>
              <w:spacing w:line="560" w:lineRule="exact"/>
              <w:jc w:val="center"/>
              <w:rPr>
                <w:rFonts w:ascii="仿宋_GB2312" w:eastAsia="仿宋_GB2312"/>
                <w:color w:val="000000"/>
                <w:sz w:val="28"/>
                <w:highlight w:val="none"/>
              </w:rPr>
            </w:pPr>
          </w:p>
        </w:tc>
      </w:tr>
    </w:tbl>
    <w:p w14:paraId="33011B7F">
      <w:pPr>
        <w:pStyle w:val="379"/>
        <w:rPr>
          <w:rFonts w:ascii="宋体" w:hAnsi="宋体"/>
          <w:bCs/>
          <w:color w:val="000000"/>
          <w:highlight w:val="none"/>
        </w:rPr>
      </w:pPr>
      <w:r>
        <w:rPr>
          <w:rFonts w:hint="eastAsia" w:ascii="宋体" w:hAnsi="宋体"/>
          <w:bCs/>
          <w:color w:val="000000"/>
          <w:sz w:val="24"/>
          <w:highlight w:val="none"/>
        </w:rPr>
        <w:t>注：请填写此表，并按要求上传业绩资料电子件。</w:t>
      </w:r>
    </w:p>
    <w:p w14:paraId="4D22997D">
      <w:pPr>
        <w:spacing w:line="480" w:lineRule="exact"/>
        <w:outlineLvl w:val="1"/>
        <w:rPr>
          <w:rFonts w:hint="eastAsia" w:ascii="宋体"/>
          <w:color w:val="000000"/>
          <w:szCs w:val="32"/>
          <w:highlight w:val="none"/>
        </w:rPr>
      </w:pPr>
      <w:r>
        <w:rPr>
          <w:rFonts w:ascii="宋体" w:hAnsi="宋体"/>
          <w:bCs/>
          <w:color w:val="000000"/>
          <w:highlight w:val="none"/>
        </w:rPr>
        <w:br w:type="page" w:clear="all"/>
      </w:r>
      <w:bookmarkStart w:id="202" w:name="_Toc26048"/>
      <w:bookmarkStart w:id="203" w:name="_Toc9275"/>
      <w:r>
        <w:rPr>
          <w:rFonts w:hint="eastAsia" w:ascii="宋体" w:hAnsi="黑体" w:eastAsia="黑体" w:cs="黑体"/>
          <w:color w:val="000000"/>
          <w:sz w:val="32"/>
          <w:szCs w:val="32"/>
          <w:highlight w:val="none"/>
        </w:rPr>
        <w:t>十、投标所需其他材料</w:t>
      </w:r>
      <w:bookmarkEnd w:id="202"/>
      <w:bookmarkEnd w:id="203"/>
    </w:p>
    <w:p w14:paraId="6D9B12E2">
      <w:pPr>
        <w:pStyle w:val="383"/>
        <w:spacing w:line="480" w:lineRule="exact"/>
        <w:ind w:firstLine="420"/>
        <w:rPr>
          <w:rFonts w:hint="eastAsia"/>
          <w:color w:val="000000"/>
          <w:sz w:val="24"/>
          <w:szCs w:val="24"/>
          <w:highlight w:val="none"/>
        </w:rPr>
      </w:pPr>
      <w:r>
        <w:rPr>
          <w:rFonts w:hint="eastAsia"/>
          <w:color w:val="000000"/>
          <w:sz w:val="24"/>
          <w:szCs w:val="24"/>
          <w:highlight w:val="none"/>
        </w:rPr>
        <w:t>请在此文档中增加投标所需其他相关内容（包括评分办法、采购需求中涉及的证件证明及其它投标人认为有必要提供的资料），如没有请将此空文档上传。</w:t>
      </w:r>
    </w:p>
    <w:p w14:paraId="53EED4A8">
      <w:pPr>
        <w:pStyle w:val="383"/>
        <w:spacing w:line="480" w:lineRule="exact"/>
        <w:ind w:firstLine="420"/>
        <w:rPr>
          <w:rFonts w:hint="eastAsia"/>
          <w:color w:val="000000"/>
          <w:sz w:val="24"/>
          <w:szCs w:val="24"/>
          <w:highlight w:val="none"/>
        </w:rPr>
      </w:pPr>
    </w:p>
    <w:p w14:paraId="676C428F">
      <w:pPr>
        <w:pStyle w:val="383"/>
        <w:spacing w:line="480" w:lineRule="exact"/>
        <w:ind w:firstLine="420"/>
        <w:rPr>
          <w:rFonts w:hint="eastAsia"/>
          <w:color w:val="000000"/>
          <w:sz w:val="24"/>
          <w:szCs w:val="24"/>
          <w:highlight w:val="none"/>
        </w:rPr>
      </w:pPr>
    </w:p>
    <w:p w14:paraId="66671139">
      <w:pPr>
        <w:pStyle w:val="29"/>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both"/>
      </w:pPr>
      <w:r>
        <w:rPr>
          <w:rFonts w:hint="eastAsia" w:ascii="宋体" w:hAnsi="宋体" w:eastAsia="宋体" w:cs="宋体"/>
          <w:b/>
          <w:bCs/>
          <w:color w:val="000000"/>
          <w:sz w:val="32"/>
          <w:szCs w:val="32"/>
        </w:rPr>
        <w:t>关于符合本国产品标准的声明函</w:t>
      </w:r>
    </w:p>
    <w:p w14:paraId="1A2B2E24">
      <w:pPr>
        <w:pStyle w:val="2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45" w:lineRule="auto"/>
      </w:pPr>
      <w:r>
        <w:t> </w:t>
      </w:r>
    </w:p>
    <w:p w14:paraId="05471E25">
      <w:pPr>
        <w:pStyle w:val="2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751"/>
        <w:jc w:val="center"/>
      </w:pPr>
      <w:r>
        <w:t> </w:t>
      </w:r>
    </w:p>
    <w:p w14:paraId="536E8DFC">
      <w:pPr>
        <w:pStyle w:val="2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751"/>
        <w:jc w:val="center"/>
      </w:pPr>
      <w:r>
        <w:rPr>
          <w:rFonts w:hint="eastAsia" w:ascii="宋体" w:hAnsi="宋体" w:eastAsia="宋体" w:cs="宋体"/>
          <w:b/>
          <w:bCs/>
          <w:color w:val="000000"/>
          <w:sz w:val="32"/>
          <w:szCs w:val="32"/>
        </w:rPr>
        <w:t>关于符合本国产品标准的声明函</w:t>
      </w:r>
    </w:p>
    <w:p w14:paraId="0DDAF042">
      <w:pPr>
        <w:pStyle w:val="2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pPr>
      <w:r>
        <w:t> </w:t>
      </w:r>
    </w:p>
    <w:p w14:paraId="5861D4FD">
      <w:pPr>
        <w:pStyle w:val="2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44"/>
        <w:jc w:val="both"/>
      </w:pPr>
      <w:r>
        <w:rPr>
          <w:rFonts w:hint="eastAsia" w:ascii="宋体" w:hAnsi="宋体" w:eastAsia="宋体" w:cs="宋体"/>
          <w:color w:val="000000"/>
          <w:sz w:val="24"/>
          <w:szCs w:val="24"/>
        </w:rPr>
        <w:t>本公司（单位）郑重声明根据《国务院办公厅关于在政府采购中实施本国产品标准及相关政策的通知》（国办发〔2025〕34号）的规定，本公司（单位）提供的以下产品属于本国产品。具体情况如下：</w:t>
      </w:r>
    </w:p>
    <w:p w14:paraId="15F17264">
      <w:pPr>
        <w:pStyle w:val="2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0"/>
      </w:pPr>
      <w:r>
        <w:t> </w:t>
      </w:r>
    </w:p>
    <w:p w14:paraId="4CDDD905">
      <w:pPr>
        <w:pStyle w:val="2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0"/>
      </w:pPr>
      <w:r>
        <w:t> </w:t>
      </w:r>
    </w:p>
    <w:p w14:paraId="6DC53FD9">
      <w:pPr>
        <w:pStyle w:val="2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0"/>
      </w:pPr>
      <w:r>
        <w:rPr>
          <w:rFonts w:hint="eastAsia" w:ascii="宋体" w:hAnsi="宋体" w:eastAsia="宋体" w:cs="宋体"/>
          <w:color w:val="000000"/>
          <w:sz w:val="22"/>
          <w:szCs w:val="22"/>
        </w:rPr>
        <w:t>1.（</w:t>
      </w:r>
      <w:r>
        <w:rPr>
          <w:rFonts w:hint="eastAsia" w:ascii="宋体" w:hAnsi="宋体" w:eastAsia="宋体" w:cs="宋体"/>
          <w:color w:val="000000"/>
          <w:sz w:val="22"/>
          <w:szCs w:val="22"/>
          <w:u w:val="single"/>
        </w:rPr>
        <w:t>产品名称1）</w:t>
      </w:r>
      <w:r>
        <w:rPr>
          <w:rFonts w:hint="eastAsia" w:ascii="宋体" w:hAnsi="宋体" w:eastAsia="宋体" w:cs="宋体"/>
          <w:color w:val="000000"/>
          <w:sz w:val="22"/>
          <w:szCs w:val="22"/>
          <w:u w:val="single"/>
          <w:vertAlign w:val="superscript"/>
        </w:rPr>
        <w:t>1</w:t>
      </w:r>
      <w:r>
        <w:rPr>
          <w:rFonts w:hint="eastAsia" w:ascii="宋体" w:hAnsi="宋体" w:eastAsia="宋体" w:cs="宋体"/>
          <w:color w:val="000000"/>
          <w:sz w:val="22"/>
          <w:szCs w:val="22"/>
        </w:rPr>
        <w:t>，生产厂为（</w:t>
      </w:r>
      <w:r>
        <w:rPr>
          <w:rFonts w:hint="eastAsia" w:ascii="宋体" w:hAnsi="宋体" w:eastAsia="宋体" w:cs="宋体"/>
          <w:color w:val="000000"/>
          <w:sz w:val="22"/>
          <w:szCs w:val="22"/>
          <w:u w:val="single"/>
        </w:rPr>
        <w:t>厂名）</w:t>
      </w:r>
      <w:r>
        <w:rPr>
          <w:rFonts w:hint="eastAsia" w:ascii="宋体" w:hAnsi="宋体" w:eastAsia="宋体" w:cs="宋体"/>
          <w:color w:val="000000"/>
          <w:sz w:val="22"/>
          <w:szCs w:val="22"/>
          <w:u w:val="single"/>
          <w:vertAlign w:val="superscript"/>
        </w:rPr>
        <w:t>2</w:t>
      </w:r>
      <w:r>
        <w:rPr>
          <w:rFonts w:hint="eastAsia" w:ascii="宋体" w:hAnsi="宋体" w:eastAsia="宋体" w:cs="宋体"/>
          <w:color w:val="000000"/>
          <w:sz w:val="22"/>
          <w:szCs w:val="22"/>
        </w:rPr>
        <w:t>，厂址为（</w:t>
      </w:r>
      <w:r>
        <w:rPr>
          <w:rFonts w:hint="eastAsia" w:ascii="宋体" w:hAnsi="宋体" w:eastAsia="宋体" w:cs="宋体"/>
          <w:color w:val="000000"/>
          <w:sz w:val="22"/>
          <w:szCs w:val="22"/>
          <w:u w:val="single"/>
        </w:rPr>
        <w:t>生产厂址）</w:t>
      </w:r>
      <w:r>
        <w:rPr>
          <w:rFonts w:hint="eastAsia" w:ascii="宋体" w:hAnsi="宋体" w:eastAsia="宋体" w:cs="宋体"/>
          <w:color w:val="000000"/>
          <w:sz w:val="22"/>
          <w:szCs w:val="22"/>
        </w:rPr>
        <w:t>。（</w:t>
      </w:r>
      <w:r>
        <w:rPr>
          <w:rFonts w:hint="eastAsia" w:ascii="宋体" w:hAnsi="宋体" w:eastAsia="宋体" w:cs="宋体"/>
          <w:color w:val="000000"/>
          <w:sz w:val="22"/>
          <w:szCs w:val="22"/>
          <w:u w:val="single"/>
        </w:rPr>
        <w:t>产品名称1）</w:t>
      </w:r>
      <w:r>
        <w:rPr>
          <w:rFonts w:hint="eastAsia" w:ascii="宋体" w:hAnsi="宋体" w:eastAsia="宋体" w:cs="宋体"/>
          <w:color w:val="000000"/>
          <w:sz w:val="22"/>
          <w:szCs w:val="22"/>
        </w:rPr>
        <w:t>的中国境内生产的组件成本占比≥（</w:t>
      </w:r>
      <w:r>
        <w:rPr>
          <w:rFonts w:hint="eastAsia" w:ascii="宋体" w:hAnsi="宋体" w:eastAsia="宋体" w:cs="宋体"/>
          <w:color w:val="000000"/>
          <w:sz w:val="22"/>
          <w:szCs w:val="22"/>
          <w:u w:val="single"/>
        </w:rPr>
        <w:t>规定比例）</w:t>
      </w:r>
      <w:r>
        <w:rPr>
          <w:rFonts w:hint="eastAsia" w:ascii="宋体" w:hAnsi="宋体" w:eastAsia="宋体" w:cs="宋体"/>
          <w:color w:val="000000"/>
          <w:sz w:val="22"/>
          <w:szCs w:val="22"/>
          <w:u w:val="single"/>
          <w:vertAlign w:val="superscript"/>
        </w:rPr>
        <w:t>3</w:t>
      </w:r>
      <w:r>
        <w:rPr>
          <w:rFonts w:hint="eastAsia" w:ascii="宋体" w:hAnsi="宋体" w:eastAsia="宋体" w:cs="宋体"/>
          <w:color w:val="000000"/>
          <w:sz w:val="22"/>
          <w:szCs w:val="22"/>
        </w:rPr>
        <w:t>。（</w:t>
      </w:r>
      <w:r>
        <w:rPr>
          <w:rFonts w:hint="eastAsia" w:ascii="宋体" w:hAnsi="宋体" w:eastAsia="宋体" w:cs="宋体"/>
          <w:color w:val="000000"/>
          <w:sz w:val="22"/>
          <w:szCs w:val="22"/>
          <w:u w:val="single"/>
        </w:rPr>
        <w:t>产品名称1）</w:t>
      </w:r>
      <w:r>
        <w:rPr>
          <w:rFonts w:hint="eastAsia" w:ascii="宋体" w:hAnsi="宋体" w:eastAsia="宋体" w:cs="宋体"/>
          <w:color w:val="000000"/>
          <w:sz w:val="22"/>
          <w:szCs w:val="22"/>
        </w:rPr>
        <w:t>的（</w:t>
      </w:r>
      <w:r>
        <w:rPr>
          <w:rFonts w:hint="eastAsia" w:ascii="宋体" w:hAnsi="宋体" w:eastAsia="宋体" w:cs="宋体"/>
          <w:color w:val="000000"/>
          <w:sz w:val="22"/>
          <w:szCs w:val="22"/>
          <w:u w:val="single"/>
        </w:rPr>
        <w:t>关键组件）</w:t>
      </w:r>
      <w:r>
        <w:rPr>
          <w:rFonts w:hint="eastAsia" w:ascii="宋体" w:hAnsi="宋体" w:eastAsia="宋体" w:cs="宋体"/>
          <w:color w:val="000000"/>
          <w:sz w:val="22"/>
          <w:szCs w:val="22"/>
          <w:u w:val="single"/>
          <w:vertAlign w:val="superscript"/>
        </w:rPr>
        <w:t>4</w:t>
      </w:r>
      <w:r>
        <w:rPr>
          <w:rFonts w:hint="eastAsia" w:ascii="宋体" w:hAnsi="宋体" w:eastAsia="宋体" w:cs="宋体"/>
          <w:color w:val="000000"/>
          <w:sz w:val="22"/>
          <w:szCs w:val="22"/>
        </w:rPr>
        <w:t>在中国境内生产。（</w:t>
      </w:r>
      <w:r>
        <w:rPr>
          <w:rFonts w:hint="eastAsia" w:ascii="宋体" w:hAnsi="宋体" w:eastAsia="宋体" w:cs="宋体"/>
          <w:color w:val="000000"/>
          <w:sz w:val="22"/>
          <w:szCs w:val="22"/>
          <w:u w:val="single"/>
        </w:rPr>
        <w:t>产品名称1）</w:t>
      </w:r>
      <w:r>
        <w:rPr>
          <w:rFonts w:hint="eastAsia" w:ascii="宋体" w:hAnsi="宋体" w:eastAsia="宋体" w:cs="宋体"/>
          <w:color w:val="000000"/>
          <w:sz w:val="22"/>
          <w:szCs w:val="22"/>
        </w:rPr>
        <w:t>的（</w:t>
      </w:r>
      <w:r>
        <w:rPr>
          <w:rFonts w:hint="eastAsia" w:ascii="宋体" w:hAnsi="宋体" w:eastAsia="宋体" w:cs="宋体"/>
          <w:color w:val="000000"/>
          <w:sz w:val="22"/>
          <w:szCs w:val="22"/>
          <w:u w:val="single"/>
        </w:rPr>
        <w:t>关键工序）</w:t>
      </w:r>
      <w:r>
        <w:rPr>
          <w:rFonts w:hint="eastAsia" w:ascii="宋体" w:hAnsi="宋体" w:eastAsia="宋体" w:cs="宋体"/>
          <w:color w:val="000000"/>
          <w:sz w:val="22"/>
          <w:szCs w:val="22"/>
          <w:u w:val="single"/>
          <w:vertAlign w:val="superscript"/>
        </w:rPr>
        <w:t>5</w:t>
      </w:r>
      <w:r>
        <w:rPr>
          <w:rFonts w:hint="eastAsia" w:ascii="宋体" w:hAnsi="宋体" w:eastAsia="宋体" w:cs="宋体"/>
          <w:color w:val="000000"/>
          <w:sz w:val="22"/>
          <w:szCs w:val="22"/>
        </w:rPr>
        <w:t>在中国境内完成。</w:t>
      </w:r>
    </w:p>
    <w:p w14:paraId="56CE3CFC">
      <w:pPr>
        <w:pStyle w:val="2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0"/>
      </w:pPr>
      <w:r>
        <w:rPr>
          <w:rFonts w:hint="eastAsia" w:ascii="宋体" w:hAnsi="宋体" w:eastAsia="宋体" w:cs="宋体"/>
          <w:color w:val="000000"/>
          <w:sz w:val="22"/>
          <w:szCs w:val="22"/>
        </w:rPr>
        <w:t>2.（</w:t>
      </w:r>
      <w:r>
        <w:rPr>
          <w:rFonts w:hint="eastAsia" w:ascii="宋体" w:hAnsi="宋体" w:eastAsia="宋体" w:cs="宋体"/>
          <w:color w:val="000000"/>
          <w:sz w:val="22"/>
          <w:szCs w:val="22"/>
          <w:u w:val="single"/>
        </w:rPr>
        <w:t>产品名称2）</w:t>
      </w:r>
      <w:r>
        <w:rPr>
          <w:rFonts w:hint="eastAsia" w:ascii="宋体" w:hAnsi="宋体" w:eastAsia="宋体" w:cs="宋体"/>
          <w:color w:val="000000"/>
          <w:sz w:val="22"/>
          <w:szCs w:val="22"/>
        </w:rPr>
        <w:t>，生产厂为（</w:t>
      </w:r>
      <w:r>
        <w:rPr>
          <w:rFonts w:hint="eastAsia" w:ascii="宋体" w:hAnsi="宋体" w:eastAsia="宋体" w:cs="宋体"/>
          <w:color w:val="000000"/>
          <w:sz w:val="22"/>
          <w:szCs w:val="22"/>
          <w:u w:val="single"/>
        </w:rPr>
        <w:t>厂名）</w:t>
      </w:r>
      <w:r>
        <w:rPr>
          <w:rFonts w:hint="eastAsia" w:ascii="宋体" w:hAnsi="宋体" w:eastAsia="宋体" w:cs="宋体"/>
          <w:color w:val="000000"/>
          <w:sz w:val="22"/>
          <w:szCs w:val="22"/>
        </w:rPr>
        <w:t>，厂址为（</w:t>
      </w:r>
      <w:r>
        <w:rPr>
          <w:rFonts w:hint="eastAsia" w:ascii="宋体" w:hAnsi="宋体" w:eastAsia="宋体" w:cs="宋体"/>
          <w:color w:val="000000"/>
          <w:sz w:val="22"/>
          <w:szCs w:val="22"/>
          <w:u w:val="single"/>
        </w:rPr>
        <w:t>生产厂址）</w:t>
      </w:r>
      <w:r>
        <w:rPr>
          <w:rFonts w:hint="eastAsia" w:ascii="宋体" w:hAnsi="宋体" w:eastAsia="宋体" w:cs="宋体"/>
          <w:color w:val="000000"/>
          <w:sz w:val="22"/>
          <w:szCs w:val="22"/>
        </w:rPr>
        <w:t>。（</w:t>
      </w:r>
      <w:r>
        <w:rPr>
          <w:rFonts w:hint="eastAsia" w:ascii="宋体" w:hAnsi="宋体" w:eastAsia="宋体" w:cs="宋体"/>
          <w:color w:val="000000"/>
          <w:sz w:val="22"/>
          <w:szCs w:val="22"/>
          <w:u w:val="single"/>
        </w:rPr>
        <w:t>产品名称2）</w:t>
      </w:r>
      <w:r>
        <w:rPr>
          <w:rFonts w:hint="eastAsia" w:ascii="宋体" w:hAnsi="宋体" w:eastAsia="宋体" w:cs="宋体"/>
          <w:color w:val="000000"/>
          <w:sz w:val="22"/>
          <w:szCs w:val="22"/>
        </w:rPr>
        <w:t>的中国境内生产的组件成本占比≥（</w:t>
      </w:r>
      <w:r>
        <w:rPr>
          <w:rFonts w:hint="eastAsia" w:ascii="宋体" w:hAnsi="宋体" w:eastAsia="宋体" w:cs="宋体"/>
          <w:color w:val="000000"/>
          <w:sz w:val="22"/>
          <w:szCs w:val="22"/>
          <w:u w:val="single"/>
        </w:rPr>
        <w:t>规定比例）</w:t>
      </w:r>
      <w:r>
        <w:rPr>
          <w:rFonts w:hint="eastAsia" w:ascii="宋体" w:hAnsi="宋体" w:eastAsia="宋体" w:cs="宋体"/>
          <w:color w:val="000000"/>
          <w:sz w:val="22"/>
          <w:szCs w:val="22"/>
        </w:rPr>
        <w:t>。（</w:t>
      </w:r>
      <w:r>
        <w:rPr>
          <w:rFonts w:hint="eastAsia" w:ascii="宋体" w:hAnsi="宋体" w:eastAsia="宋体" w:cs="宋体"/>
          <w:color w:val="000000"/>
          <w:sz w:val="22"/>
          <w:szCs w:val="22"/>
          <w:u w:val="single"/>
        </w:rPr>
        <w:t>产品名称2）</w:t>
      </w:r>
      <w:r>
        <w:rPr>
          <w:rFonts w:hint="eastAsia" w:ascii="宋体" w:hAnsi="宋体" w:eastAsia="宋体" w:cs="宋体"/>
          <w:color w:val="000000"/>
          <w:sz w:val="22"/>
          <w:szCs w:val="22"/>
        </w:rPr>
        <w:t>的（</w:t>
      </w:r>
      <w:r>
        <w:rPr>
          <w:rFonts w:hint="eastAsia" w:ascii="宋体" w:hAnsi="宋体" w:eastAsia="宋体" w:cs="宋体"/>
          <w:color w:val="000000"/>
          <w:sz w:val="22"/>
          <w:szCs w:val="22"/>
          <w:u w:val="single"/>
        </w:rPr>
        <w:t>关键组件）</w:t>
      </w:r>
      <w:r>
        <w:rPr>
          <w:rFonts w:hint="eastAsia" w:ascii="宋体" w:hAnsi="宋体" w:eastAsia="宋体" w:cs="宋体"/>
          <w:color w:val="000000"/>
          <w:sz w:val="22"/>
          <w:szCs w:val="22"/>
        </w:rPr>
        <w:t>在中国境内生产。（</w:t>
      </w:r>
      <w:r>
        <w:rPr>
          <w:rFonts w:hint="eastAsia" w:ascii="宋体" w:hAnsi="宋体" w:eastAsia="宋体" w:cs="宋体"/>
          <w:color w:val="000000"/>
          <w:sz w:val="22"/>
          <w:szCs w:val="22"/>
          <w:u w:val="single"/>
        </w:rPr>
        <w:t>产品名称2）</w:t>
      </w:r>
      <w:r>
        <w:rPr>
          <w:rFonts w:hint="eastAsia" w:ascii="宋体" w:hAnsi="宋体" w:eastAsia="宋体" w:cs="宋体"/>
          <w:color w:val="000000"/>
          <w:sz w:val="22"/>
          <w:szCs w:val="22"/>
        </w:rPr>
        <w:t>的（</w:t>
      </w:r>
      <w:r>
        <w:rPr>
          <w:rFonts w:hint="eastAsia" w:ascii="宋体" w:hAnsi="宋体" w:eastAsia="宋体" w:cs="宋体"/>
          <w:color w:val="000000"/>
          <w:sz w:val="22"/>
          <w:szCs w:val="22"/>
          <w:u w:val="single"/>
        </w:rPr>
        <w:t>关键工序）</w:t>
      </w:r>
      <w:r>
        <w:rPr>
          <w:rFonts w:hint="eastAsia" w:ascii="宋体" w:hAnsi="宋体" w:eastAsia="宋体" w:cs="宋体"/>
          <w:color w:val="000000"/>
          <w:sz w:val="22"/>
          <w:szCs w:val="22"/>
        </w:rPr>
        <w:t>在中国境内完成。</w:t>
      </w:r>
    </w:p>
    <w:p w14:paraId="18BCEF90">
      <w:pPr>
        <w:pStyle w:val="2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0"/>
      </w:pPr>
      <w:r>
        <w:rPr>
          <w:rFonts w:hint="eastAsia" w:ascii="宋体" w:hAnsi="宋体" w:eastAsia="宋体" w:cs="宋体"/>
          <w:color w:val="000000"/>
          <w:sz w:val="22"/>
          <w:szCs w:val="22"/>
        </w:rPr>
        <w:t>……</w:t>
      </w:r>
    </w:p>
    <w:p w14:paraId="7033BBA0">
      <w:pPr>
        <w:pStyle w:val="2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40"/>
      </w:pPr>
      <w:r>
        <w:t> </w:t>
      </w:r>
    </w:p>
    <w:p w14:paraId="5F3D03E8">
      <w:pPr>
        <w:pStyle w:val="2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40"/>
      </w:pPr>
      <w:r>
        <w:t> </w:t>
      </w:r>
    </w:p>
    <w:p w14:paraId="59B6BCB8">
      <w:pPr>
        <w:pStyle w:val="2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40"/>
      </w:pPr>
      <w:r>
        <w:t> </w:t>
      </w:r>
    </w:p>
    <w:p w14:paraId="2D5D598C">
      <w:pPr>
        <w:pStyle w:val="2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40"/>
      </w:pPr>
      <w:r>
        <w:rPr>
          <w:rFonts w:hint="eastAsia" w:ascii="宋体" w:hAnsi="宋体" w:eastAsia="宋体" w:cs="宋体"/>
          <w:color w:val="000000"/>
          <w:sz w:val="20"/>
          <w:szCs w:val="20"/>
        </w:rPr>
        <w:t>1.产品如有型号，请在“产品名称”栏一并填写。</w:t>
      </w:r>
    </w:p>
    <w:p w14:paraId="00419798">
      <w:pPr>
        <w:pStyle w:val="2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64"/>
      </w:pPr>
      <w:r>
        <w:rPr>
          <w:rFonts w:hint="eastAsia" w:ascii="宋体" w:hAnsi="宋体" w:eastAsia="宋体" w:cs="宋体"/>
          <w:color w:val="000000"/>
          <w:sz w:val="20"/>
          <w:szCs w:val="20"/>
        </w:rPr>
        <w:t>2.生产厂名与厂址应与生产厂营业执照载明的相关信息保持一致。</w:t>
      </w:r>
    </w:p>
    <w:p w14:paraId="2807E92A">
      <w:pPr>
        <w:pStyle w:val="2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56"/>
      </w:pPr>
      <w:r>
        <w:rPr>
          <w:rFonts w:hint="eastAsia" w:ascii="宋体" w:hAnsi="宋体" w:eastAsia="宋体" w:cs="宋体"/>
          <w:color w:val="000000"/>
          <w:sz w:val="20"/>
          <w:szCs w:val="20"/>
        </w:rPr>
        <w:t>3.该产品的中国境内生产的组件成本占比相关要求实施前，“规定比例”栏可不填，下同。</w:t>
      </w:r>
    </w:p>
    <w:p w14:paraId="521B7740">
      <w:pPr>
        <w:pStyle w:val="2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48"/>
      </w:pPr>
      <w:r>
        <w:rPr>
          <w:rFonts w:hint="eastAsia" w:ascii="宋体" w:hAnsi="宋体" w:eastAsia="宋体" w:cs="宋体"/>
          <w:color w:val="000000"/>
          <w:sz w:val="20"/>
          <w:szCs w:val="20"/>
        </w:rPr>
        <w:t>4.该产品的关键组件要求实施前，“关键组件”栏可不填，下同。</w:t>
      </w:r>
    </w:p>
    <w:p w14:paraId="70372F8C">
      <w:pPr>
        <w:pStyle w:val="2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48"/>
      </w:pPr>
      <w:r>
        <w:rPr>
          <w:rFonts w:hint="eastAsia" w:ascii="宋体" w:hAnsi="宋体" w:eastAsia="宋体" w:cs="宋体"/>
          <w:color w:val="000000"/>
          <w:sz w:val="20"/>
          <w:szCs w:val="20"/>
        </w:rPr>
        <w:t>5.该产品的关键工序要求实施前，“关键工序”栏可不填，下同。</w:t>
      </w:r>
    </w:p>
    <w:p w14:paraId="23B1EA28">
      <w:pPr>
        <w:pStyle w:val="2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4"/>
      </w:pPr>
      <w:r>
        <w:t> </w:t>
      </w:r>
    </w:p>
    <w:p w14:paraId="023CDF62">
      <w:pPr>
        <w:pStyle w:val="2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4"/>
      </w:pPr>
      <w:r>
        <w:rPr>
          <w:rFonts w:hint="eastAsia" w:ascii="宋体" w:hAnsi="宋体" w:eastAsia="宋体" w:cs="宋体"/>
          <w:color w:val="000000"/>
          <w:sz w:val="24"/>
          <w:szCs w:val="24"/>
        </w:rPr>
        <w:t>本公司（单位）对上述声明内容的真实性负责。如有虚假，愿承担相应法律责任</w:t>
      </w:r>
      <w:r>
        <w:rPr>
          <w:rFonts w:hint="eastAsia" w:ascii="宋体" w:hAnsi="宋体" w:eastAsia="宋体" w:cs="宋体"/>
          <w:color w:val="000000"/>
          <w:sz w:val="24"/>
          <w:szCs w:val="24"/>
        </w:rPr>
        <w:drawing>
          <wp:inline distT="0" distB="0" distL="0" distR="0">
            <wp:extent cx="47625" cy="47625"/>
            <wp:effectExtent l="0" t="0" r="9525" b="9525"/>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8"/>
                    <a:stretch>
                      <a:fillRect/>
                    </a:stretch>
                  </pic:blipFill>
                  <pic:spPr>
                    <a:xfrm>
                      <a:off x="0" y="0"/>
                      <a:ext cx="47625" cy="47625"/>
                    </a:xfrm>
                    <a:prstGeom prst="rect">
                      <a:avLst/>
                    </a:prstGeom>
                    <a:noFill/>
                    <a:ln w="9525">
                      <a:noFill/>
                    </a:ln>
                  </pic:spPr>
                </pic:pic>
              </a:graphicData>
            </a:graphic>
          </wp:inline>
        </w:drawing>
      </w:r>
    </w:p>
    <w:p w14:paraId="7F0E5649">
      <w:pPr>
        <w:pStyle w:val="2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840"/>
        <w:jc w:val="both"/>
      </w:pPr>
      <w:r>
        <w:rPr>
          <w:rFonts w:hint="eastAsia" w:ascii="宋体" w:hAnsi="宋体" w:eastAsia="宋体" w:cs="宋体"/>
          <w:color w:val="000000"/>
          <w:sz w:val="24"/>
          <w:szCs w:val="24"/>
        </w:rPr>
        <w:t>公司（单位）名称（盖CA电子公章）：</w:t>
      </w:r>
    </w:p>
    <w:p w14:paraId="6E67DD73">
      <w:pPr>
        <w:pStyle w:val="2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000" w:firstLine="560"/>
        <w:jc w:val="both"/>
      </w:pPr>
      <w:r>
        <w:rPr>
          <w:rFonts w:hint="eastAsia" w:ascii="宋体" w:hAnsi="宋体" w:eastAsia="宋体" w:cs="宋体"/>
          <w:color w:val="000000"/>
          <w:sz w:val="24"/>
          <w:szCs w:val="24"/>
        </w:rPr>
        <w:t>日期：    年  月  日</w:t>
      </w:r>
    </w:p>
    <w:p w14:paraId="21686B67">
      <w:pPr>
        <w:pStyle w:val="383"/>
        <w:spacing w:line="480" w:lineRule="exact"/>
        <w:ind w:firstLine="420"/>
        <w:rPr>
          <w:rFonts w:hint="eastAsia"/>
          <w:color w:val="000000"/>
          <w:sz w:val="24"/>
          <w:szCs w:val="24"/>
          <w:highlight w:val="none"/>
        </w:rPr>
      </w:pPr>
    </w:p>
    <w:sectPr>
      <w:footerReference r:id="rId6" w:type="default"/>
      <w:type w:val="continuous"/>
      <w:pgSz w:w="11906" w:h="16838"/>
      <w:pgMar w:top="1304" w:right="1440" w:bottom="1417" w:left="1440" w:header="851" w:footer="992"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083D5F9-A7F3-45D6-8FCA-DB825DCA304D}"/>
  </w:font>
  <w:font w:name="黑体">
    <w:panose1 w:val="02010609060101010101"/>
    <w:charset w:val="86"/>
    <w:family w:val="auto"/>
    <w:pitch w:val="default"/>
    <w:sig w:usb0="800002BF" w:usb1="38CF7CFA" w:usb2="00000016" w:usb3="00000000" w:csb0="00040001" w:csb1="00000000"/>
    <w:embedRegular r:id="rId2" w:fontKey="{7AD1E3AD-E9F6-4AE5-8A49-4690479DF90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0B6038F8-CFB3-40FA-9332-3668E493B550}"/>
  </w:font>
  <w:font w:name="仿宋_GB2312">
    <w:panose1 w:val="02010609030101010101"/>
    <w:charset w:val="86"/>
    <w:family w:val="auto"/>
    <w:pitch w:val="default"/>
    <w:sig w:usb0="00000001" w:usb1="080E0000" w:usb2="00000000" w:usb3="00000000" w:csb0="00040000" w:csb1="00000000"/>
    <w:embedRegular r:id="rId4" w:fontKey="{C69728DA-A699-4D25-9026-C1D728CC054D}"/>
  </w:font>
  <w:font w:name="仿宋">
    <w:panose1 w:val="02010609060101010101"/>
    <w:charset w:val="86"/>
    <w:family w:val="auto"/>
    <w:pitch w:val="default"/>
    <w:sig w:usb0="800002BF" w:usb1="38CF7CFA" w:usb2="00000016" w:usb3="00000000" w:csb0="00040001" w:csb1="00000000"/>
    <w:embedRegular r:id="rId5" w:fontKey="{3415E392-6E46-4065-8E9E-AA2EAA1CC36E}"/>
  </w:font>
  <w:font w:name="Cambria">
    <w:panose1 w:val="02040503050406030204"/>
    <w:charset w:val="00"/>
    <w:family w:val="auto"/>
    <w:pitch w:val="default"/>
    <w:sig w:usb0="E00006FF" w:usb1="420024FF" w:usb2="02000000" w:usb3="00000000" w:csb0="2000019F" w:csb1="00000000"/>
  </w:font>
  <w:font w:name="新宋体">
    <w:panose1 w:val="02010609030101010101"/>
    <w:charset w:val="86"/>
    <w:family w:val="auto"/>
    <w:pitch w:val="default"/>
    <w:sig w:usb0="00000203" w:usb1="288F0000" w:usb2="0000000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方正黑体_GBK">
    <w:altName w:val="Arial Unicode MS"/>
    <w:panose1 w:val="03000509000000000000"/>
    <w:charset w:val="86"/>
    <w:family w:val="auto"/>
    <w:pitch w:val="default"/>
    <w:sig w:usb0="00000000" w:usb1="00000000" w:usb2="00000000" w:usb3="00000000" w:csb0="00040000" w:csb1="00000000"/>
  </w:font>
  <w:font w:name="Verdana">
    <w:panose1 w:val="020B0604030504040204"/>
    <w:charset w:val="00"/>
    <w:family w:val="auto"/>
    <w:pitch w:val="default"/>
    <w:sig w:usb0="A00006FF" w:usb1="4000205B" w:usb2="00000010" w:usb3="00000000" w:csb0="2000019F" w:csb1="00000000"/>
  </w:font>
  <w:font w:name="方正小标宋_GBK">
    <w:panose1 w:val="02000000000000000000"/>
    <w:charset w:val="86"/>
    <w:family w:val="auto"/>
    <w:pitch w:val="default"/>
    <w:sig w:usb0="A00002BF" w:usb1="38CF7CFA" w:usb2="00082016" w:usb3="00000000" w:csb0="00040001" w:csb1="00000000"/>
    <w:embedRegular r:id="rId6" w:fontKey="{1509BDD9-2220-4474-9429-EB92205F4C28}"/>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embedRegular r:id="rId7" w:fontKey="{A219820B-65BA-4183-8EC7-C37D0C6E6741}"/>
  </w:font>
  <w:font w:name="方正仿宋_GBK">
    <w:panose1 w:val="03000509000000000000"/>
    <w:charset w:val="86"/>
    <w:family w:val="auto"/>
    <w:pitch w:val="default"/>
    <w:sig w:usb0="00000001" w:usb1="080E0000" w:usb2="00000000" w:usb3="00000000" w:csb0="00040000" w:csb1="00000000"/>
    <w:embedRegular r:id="rId8" w:fontKey="{760D10DC-6391-4D90-A299-F9783AA8E9F2}"/>
  </w:font>
  <w:font w:name="WPSEMBED2">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29C15">
    <w:pPr>
      <w:pStyle w:val="9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-122555</wp:posOffset>
              </wp:positionV>
              <wp:extent cx="770890" cy="343535"/>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770890" cy="343534"/>
                      </a:xfrm>
                      <a:prstGeom prst="rect">
                        <a:avLst/>
                      </a:prstGeom>
                      <a:noFill/>
                      <a:ln>
                        <a:noFill/>
                      </a:ln>
                    </wps:spPr>
                    <wps:txbx>
                      <w:txbxContent>
                        <w:p w14:paraId="15F02826">
                          <w:pPr>
                            <w:pStyle w:val="94"/>
                            <w:tabs>
                              <w:tab w:val="clear" w:pos="4153"/>
                              <w:tab w:val="clear" w:pos="8306"/>
                            </w:tabs>
                            <w:jc w:val="center"/>
                            <w:rPr>
                              <w:rFonts w:ascii="Times New Roman" w:hAnsi="Times New Roman"/>
                              <w:sz w:val="32"/>
                              <w:szCs w:val="32"/>
                            </w:rPr>
                          </w:pPr>
                          <w:r>
                            <w:rPr>
                              <w:rFonts w:hint="eastAsia" w:ascii="Times New Roman" w:hAnsi="Times New Roman"/>
                              <w:sz w:val="32"/>
                              <w:szCs w:val="32"/>
                            </w:rPr>
                            <w:t xml:space="preserve">— </w:t>
                          </w:r>
                          <w:r>
                            <w:rPr>
                              <w:rFonts w:ascii="Times New Roman" w:hAnsi="Times New Roman"/>
                              <w:sz w:val="32"/>
                              <w:szCs w:val="32"/>
                            </w:rPr>
                            <w:fldChar w:fldCharType="begin"/>
                          </w:r>
                          <w:r>
                            <w:rPr>
                              <w:rFonts w:ascii="Times New Roman" w:hAnsi="Times New Roman"/>
                              <w:sz w:val="32"/>
                              <w:szCs w:val="32"/>
                            </w:rPr>
                            <w:instrText xml:space="preserve"> PAGE  \* MERGEFORMAT </w:instrText>
                          </w:r>
                          <w:r>
                            <w:rPr>
                              <w:rFonts w:ascii="Times New Roman" w:hAnsi="Times New Roman"/>
                              <w:sz w:val="32"/>
                              <w:szCs w:val="32"/>
                            </w:rPr>
                            <w:fldChar w:fldCharType="separate"/>
                          </w:r>
                          <w:r>
                            <w:rPr>
                              <w:rFonts w:ascii="Times New Roman" w:hAnsi="Times New Roman"/>
                              <w:sz w:val="32"/>
                              <w:szCs w:val="32"/>
                            </w:rPr>
                            <w:t>2</w:t>
                          </w:r>
                          <w:r>
                            <w:rPr>
                              <w:rFonts w:ascii="Times New Roman" w:hAnsi="Times New Roman"/>
                              <w:sz w:val="32"/>
                              <w:szCs w:val="32"/>
                            </w:rPr>
                            <w:fldChar w:fldCharType="end"/>
                          </w:r>
                          <w:r>
                            <w:rPr>
                              <w:rFonts w:hint="eastAsia" w:ascii="Times New Roman" w:hAnsi="Times New Roman"/>
                              <w:sz w:val="32"/>
                              <w:szCs w:val="32"/>
                            </w:rPr>
                            <w:t xml:space="preserve"> —</w:t>
                          </w:r>
                        </w:p>
                        <w:p w14:paraId="06A2DC42"/>
                      </w:txbxContent>
                    </wps:txbx>
                    <wps:bodyPr wrap="square" lIns="0" tIns="0" rIns="0" bIns="0" upright="1"/>
                  </wps:wsp>
                </a:graphicData>
              </a:graphic>
            </wp:anchor>
          </w:drawing>
        </mc:Choice>
        <mc:Fallback>
          <w:pict>
            <v:shape id="_x0000_s1026" o:spid="_x0000_s1026" o:spt="202" type="#_x0000_t202" style="position:absolute;left:0pt;margin-top:-9.65pt;height:27.05pt;width:60.7pt;mso-position-horizontal:center;mso-position-horizontal-relative:margin;z-index:251659264;mso-width-relative:page;mso-height-relative:page;" filled="f" stroked="f" coordsize="21600,21600" o:gfxdata="UEsDBAoAAAAAAIdO4kAAAAAAAAAAAAAAAAAEAAAAZHJzL1BLAwQUAAAACACHTuJAphf7ydcAAAAH&#10;AQAADwAAAGRycy9kb3ducmV2LnhtbE2PzW7CMBCE75X6DtYi9QZ2ACEI2aCqak+Vqob00KMTL0lE&#10;vE5j89O3rzmV42hGM99ku6vtxZlG3zlGSGYKBHHtTMcNwlf5Nl2D8EGz0b1jQvglD7v88SHTqXEX&#10;Lui8D42IJexTjdCGMKRS+rolq/3MDcTRO7jR6hDl2Egz6ksst72cK7WSVnccF1o90EtL9XF/sgjP&#10;31y8dj8f1WdxKLqy3Ch+Xx0RnyaJ2oIIdA3/YbjhR3TII1PlTmy86BHikYAwTTYLEDd7nixBVAiL&#10;5Rpknsl7/vwPUEsDBBQAAAAIAIdO4kD0c8RRzwEAAI0DAAAOAAAAZHJzL2Uyb0RvYy54bWytU0tu&#10;2zAQ3RfIHQjua8lx2qSC5QCFkaJAf0DaA1AUZREgOQxJWfIF2ht01U33OZfP0SEluW2yySIbYvhm&#10;9Gbe42h9PWhF9sJ5Caaky0VOiTAcaml2Jf329eblFSU+MFMzBUaU9CA8vd6cvVj3thDn0IKqhSNI&#10;YnzR25K2IdgiyzxvhWZ+AVYYTDbgNAt4dbusdqxHdq2y8zx/nfXgauuAC+8R3Y5JOjG6pxBC00gu&#10;tsA7LUwYWZ1QLKAk30rr6SZN2zSCh89N40UgqqSoNKQTm2BcxTPbrFmxc8y2kk8jsKeM8ECTZtJg&#10;0xPVlgVGOicfUWnJHXhowoKDzkYhyRFUscwfeHPbMiuSFrTa25Pp/vlo+af9F0dkjZtAiWEaH/z4&#10;88fx1/3x93eyjPb01hdYdWuxLgxvYYilE+4jWPUfocbvWBcgeTA0TkcvUB3BarT6cLJaDIFwBC8v&#10;86s3mOGYWl2sXq0uImfGivlj63x4J0CTGJTU4Usmcrb/4MNYOpfEXgZupFKIs0KZ/wDkjEgWdcR5&#10;R0VhqIZJRAX1AWX0uAQl9Xcdc4IS9d6gy3Fj5sDNQTUHnXVy1+JwyY/UAF8pqZg2Kq7Bv/c0xt+/&#10;aPM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phf7ydcAAAAHAQAADwAAAAAAAAABACAAAAAiAAAA&#10;ZHJzL2Rvd25yZXYueG1sUEsBAhQAFAAAAAgAh07iQPRzxFHPAQAAjQMAAA4AAAAAAAAAAQAgAAAA&#10;JgEAAGRycy9lMm9Eb2MueG1sUEsFBgAAAAAGAAYAWQEAAGcFAAAAAA==&#10;">
              <v:fill on="f" focussize="0,0"/>
              <v:stroke on="f"/>
              <v:imagedata o:title=""/>
              <o:lock v:ext="edit" aspectratio="f"/>
              <v:textbox inset="0mm,0mm,0mm,0mm">
                <w:txbxContent>
                  <w:p w14:paraId="15F02826">
                    <w:pPr>
                      <w:pStyle w:val="94"/>
                      <w:tabs>
                        <w:tab w:val="clear" w:pos="4153"/>
                        <w:tab w:val="clear" w:pos="8306"/>
                      </w:tabs>
                      <w:jc w:val="center"/>
                      <w:rPr>
                        <w:rFonts w:ascii="Times New Roman" w:hAnsi="Times New Roman"/>
                        <w:sz w:val="32"/>
                        <w:szCs w:val="32"/>
                      </w:rPr>
                    </w:pPr>
                    <w:r>
                      <w:rPr>
                        <w:rFonts w:hint="eastAsia" w:ascii="Times New Roman" w:hAnsi="Times New Roman"/>
                        <w:sz w:val="32"/>
                        <w:szCs w:val="32"/>
                      </w:rPr>
                      <w:t xml:space="preserve">— </w:t>
                    </w:r>
                    <w:r>
                      <w:rPr>
                        <w:rFonts w:ascii="Times New Roman" w:hAnsi="Times New Roman"/>
                        <w:sz w:val="32"/>
                        <w:szCs w:val="32"/>
                      </w:rPr>
                      <w:fldChar w:fldCharType="begin"/>
                    </w:r>
                    <w:r>
                      <w:rPr>
                        <w:rFonts w:ascii="Times New Roman" w:hAnsi="Times New Roman"/>
                        <w:sz w:val="32"/>
                        <w:szCs w:val="32"/>
                      </w:rPr>
                      <w:instrText xml:space="preserve"> PAGE  \* MERGEFORMAT </w:instrText>
                    </w:r>
                    <w:r>
                      <w:rPr>
                        <w:rFonts w:ascii="Times New Roman" w:hAnsi="Times New Roman"/>
                        <w:sz w:val="32"/>
                        <w:szCs w:val="32"/>
                      </w:rPr>
                      <w:fldChar w:fldCharType="separate"/>
                    </w:r>
                    <w:r>
                      <w:rPr>
                        <w:rFonts w:ascii="Times New Roman" w:hAnsi="Times New Roman"/>
                        <w:sz w:val="32"/>
                        <w:szCs w:val="32"/>
                      </w:rPr>
                      <w:t>2</w:t>
                    </w:r>
                    <w:r>
                      <w:rPr>
                        <w:rFonts w:ascii="Times New Roman" w:hAnsi="Times New Roman"/>
                        <w:sz w:val="32"/>
                        <w:szCs w:val="32"/>
                      </w:rPr>
                      <w:fldChar w:fldCharType="end"/>
                    </w:r>
                    <w:r>
                      <w:rPr>
                        <w:rFonts w:hint="eastAsia" w:ascii="Times New Roman" w:hAnsi="Times New Roman"/>
                        <w:sz w:val="32"/>
                        <w:szCs w:val="32"/>
                      </w:rPr>
                      <w:t xml:space="preserve"> —</w:t>
                    </w:r>
                  </w:p>
                  <w:p w14:paraId="06A2DC42"/>
                </w:txbxContent>
              </v:textbox>
            </v:shape>
          </w:pict>
        </mc:Fallback>
      </mc:AlternateContent>
    </w:r>
  </w:p>
  <w:p w14:paraId="42EF9913">
    <w:pPr>
      <w:pStyle w:val="9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FF0A2">
    <w:pPr>
      <w:pStyle w:val="9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71C835B0">
                          <w:pPr>
                            <w:pStyle w:val="94"/>
                            <w:tabs>
                              <w:tab w:val="clear" w:pos="4153"/>
                              <w:tab w:val="clear" w:pos="8306"/>
                            </w:tabs>
                          </w:pPr>
                          <w:r>
                            <w:fldChar w:fldCharType="begin"/>
                          </w:r>
                          <w:r>
                            <w:instrText xml:space="preserve"> PAGE  \* MERGEFORMAT </w:instrText>
                          </w:r>
                          <w:r>
                            <w:fldChar w:fldCharType="separate"/>
                          </w:r>
                          <w:r>
                            <w:t>1</w:t>
                          </w:r>
                          <w:r>
                            <w:fldChar w:fldCharType="end"/>
                          </w:r>
                        </w:p>
                        <w:p w14:paraId="13D2B82A"/>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6xPYtIBAACnAwAADgAAAGRycy9lMm9Eb2MueG1srVNNrtMwEN4jcQfL&#10;e+o0C1RFTZ9AVRESf9KDAziO01iyPZbtNukF4Aas2LDnXD0HYyfpg8fmLdhY45nxN/N9M97ejUaT&#10;s/RBga3pelVQIq2AVtljTb98PrzYUBIity3XYGVNLzLQu93zZ9vBVbKEHnQrPUEQG6rB1bSP0VWM&#10;BdFLw8MKnLQY7MAbHvHqj6z1fEB0o1lZFC/ZAL51HoQMAb37KUhnRP8UQOg6JeQexMlIGydULzWP&#10;SCn0ygW6y912nRTxY9cFGYmuKTKN+cQiaDfpZLstr46eu16JuQX+lBYecTJcWSx6g9rzyMnJq3+g&#10;jBIeAnRxJcCwiUhWBFmsi0fa3PfcycwFpQ7uJnr4f7Diw/mTJ6qtaUmJ5QYHfv3+7frj1/XnV1Im&#10;eQYXKsy6d5gXx9cw4tIs/pCczfAeWnzHTxGyBmPnTdIC2RHMRqkvN6nlGIlIEJtysykwJDC2XLAa&#10;49Xy3PkQ30gwJBk19TjLDM/P70KcUpeUVM3CQWmd56ntXw7ETB6WmKSOJ05xbMaZXgPtBYkMuAY1&#10;tbj1lOi3FlVOG7MYfjGaxTg5r449trbOfQX3ChU4qNxbqjXBzoVxfpndvGtpQf6856yH/7X7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AnrE9i0gEAAKcDAAAOAAAAAAAAAAEAIAAAAB4BAABk&#10;cnMvZTJvRG9jLnhtbFBLBQYAAAAABgAGAFkBAABiBQAAAAA=&#10;">
              <v:fill on="f" focussize="0,0"/>
              <v:stroke on="f"/>
              <v:imagedata o:title=""/>
              <o:lock v:ext="edit" aspectratio="f"/>
              <v:textbox inset="0mm,0mm,0mm,0mm" style="mso-fit-shape-to-text:t;">
                <w:txbxContent>
                  <w:p w14:paraId="71C835B0">
                    <w:pPr>
                      <w:pStyle w:val="94"/>
                      <w:tabs>
                        <w:tab w:val="clear" w:pos="4153"/>
                        <w:tab w:val="clear" w:pos="8306"/>
                      </w:tabs>
                    </w:pPr>
                    <w:r>
                      <w:fldChar w:fldCharType="begin"/>
                    </w:r>
                    <w:r>
                      <w:instrText xml:space="preserve"> PAGE  \* MERGEFORMAT </w:instrText>
                    </w:r>
                    <w:r>
                      <w:fldChar w:fldCharType="separate"/>
                    </w:r>
                    <w:r>
                      <w:t>1</w:t>
                    </w:r>
                    <w:r>
                      <w:fldChar w:fldCharType="end"/>
                    </w:r>
                  </w:p>
                  <w:p w14:paraId="13D2B82A"/>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D64A7">
    <w:pPr>
      <w:pStyle w:val="94"/>
      <w:jc w:val="center"/>
    </w:pPr>
    <w:r>
      <mc:AlternateContent>
        <mc:Choice Requires="wps">
          <w:drawing>
            <wp:anchor distT="0" distB="0" distL="114300" distR="114300" simplePos="0" relativeHeight="251660288" behindDoc="0" locked="0" layoutInCell="1" allowOverlap="1">
              <wp:simplePos x="0" y="0"/>
              <wp:positionH relativeFrom="margin">
                <wp:posOffset>2847975</wp:posOffset>
              </wp:positionH>
              <wp:positionV relativeFrom="paragraph">
                <wp:posOffset>-13335</wp:posOffset>
              </wp:positionV>
              <wp:extent cx="742950" cy="279400"/>
              <wp:effectExtent l="0" t="0" r="0" b="0"/>
              <wp:wrapNone/>
              <wp:docPr id="3" name="文本框 3"/>
              <wp:cNvGraphicFramePr/>
              <a:graphic xmlns:a="http://schemas.openxmlformats.org/drawingml/2006/main">
                <a:graphicData uri="http://schemas.microsoft.com/office/word/2010/wordprocessingShape">
                  <wps:wsp>
                    <wps:cNvSpPr txBox="1"/>
                    <wps:spPr bwMode="auto">
                      <a:xfrm>
                        <a:off x="0" y="0"/>
                        <a:ext cx="742950" cy="279400"/>
                      </a:xfrm>
                      <a:prstGeom prst="rect">
                        <a:avLst/>
                      </a:prstGeom>
                      <a:noFill/>
                      <a:ln>
                        <a:noFill/>
                      </a:ln>
                    </wps:spPr>
                    <wps:txbx>
                      <w:txbxContent>
                        <w:p w14:paraId="164EE5BF">
                          <w:pPr>
                            <w:pStyle w:val="94"/>
                            <w:tabs>
                              <w:tab w:val="clear" w:pos="4153"/>
                              <w:tab w:val="clear" w:pos="8306"/>
                            </w:tabs>
                            <w:jc w:val="center"/>
                            <w:rPr>
                              <w:rFonts w:ascii="Times New Roman" w:hAnsi="Times New Roman"/>
                              <w:sz w:val="32"/>
                              <w:szCs w:val="32"/>
                            </w:rPr>
                          </w:pPr>
                          <w:r>
                            <w:rPr>
                              <w:rFonts w:ascii="Times New Roman" w:hAnsi="Times New Roman"/>
                              <w:sz w:val="32"/>
                              <w:szCs w:val="32"/>
                            </w:rPr>
                            <w:t>—</w:t>
                          </w:r>
                          <w:r>
                            <w:rPr>
                              <w:rFonts w:hint="eastAsia" w:ascii="Times New Roman" w:hAnsi="Times New Roman"/>
                              <w:sz w:val="32"/>
                              <w:szCs w:val="32"/>
                            </w:rPr>
                            <w:t xml:space="preserve"> </w:t>
                          </w:r>
                          <w:r>
                            <w:rPr>
                              <w:rFonts w:ascii="Times New Roman" w:hAnsi="Times New Roman"/>
                              <w:sz w:val="32"/>
                              <w:szCs w:val="32"/>
                            </w:rPr>
                            <w:fldChar w:fldCharType="begin"/>
                          </w:r>
                          <w:r>
                            <w:rPr>
                              <w:rFonts w:ascii="Times New Roman" w:hAnsi="Times New Roman"/>
                              <w:sz w:val="32"/>
                              <w:szCs w:val="32"/>
                            </w:rPr>
                            <w:instrText xml:space="preserve"> PAGE  \* MERGEFORMAT </w:instrText>
                          </w:r>
                          <w:r>
                            <w:rPr>
                              <w:rFonts w:ascii="Times New Roman" w:hAnsi="Times New Roman"/>
                              <w:sz w:val="32"/>
                              <w:szCs w:val="32"/>
                            </w:rPr>
                            <w:fldChar w:fldCharType="separate"/>
                          </w:r>
                          <w:r>
                            <w:rPr>
                              <w:rFonts w:ascii="Times New Roman" w:hAnsi="Times New Roman"/>
                              <w:sz w:val="32"/>
                              <w:szCs w:val="32"/>
                            </w:rPr>
                            <w:t>27</w:t>
                          </w:r>
                          <w:r>
                            <w:rPr>
                              <w:rFonts w:ascii="Times New Roman" w:hAnsi="Times New Roman"/>
                              <w:sz w:val="32"/>
                              <w:szCs w:val="32"/>
                            </w:rPr>
                            <w:fldChar w:fldCharType="end"/>
                          </w:r>
                          <w:r>
                            <w:rPr>
                              <w:rFonts w:hint="eastAsia" w:ascii="Times New Roman" w:hAnsi="Times New Roman"/>
                              <w:sz w:val="32"/>
                              <w:szCs w:val="32"/>
                            </w:rPr>
                            <w:t xml:space="preserve"> </w:t>
                          </w:r>
                          <w:r>
                            <w:rPr>
                              <w:rFonts w:ascii="Times New Roman" w:hAnsi="Times New Roman"/>
                              <w:sz w:val="32"/>
                              <w:szCs w:val="32"/>
                            </w:rPr>
                            <w:t>—</w:t>
                          </w:r>
                        </w:p>
                        <w:p w14:paraId="1D065726"/>
                      </w:txbxContent>
                    </wps:txbx>
                    <wps:bodyPr wrap="square" lIns="0" tIns="0" rIns="0" bIns="0" upright="1"/>
                  </wps:wsp>
                </a:graphicData>
              </a:graphic>
            </wp:anchor>
          </w:drawing>
        </mc:Choice>
        <mc:Fallback>
          <w:pict>
            <v:shape id="_x0000_s1026" o:spid="_x0000_s1026" o:spt="202" type="#_x0000_t202" style="position:absolute;left:0pt;margin-left:224.25pt;margin-top:-1.05pt;height:22pt;width:58.5pt;mso-position-horizontal-relative:margin;z-index:251660288;mso-width-relative:page;mso-height-relative:page;" filled="f" stroked="f" coordsize="21600,21600" o:gfxdata="UEsDBAoAAAAAAIdO4kAAAAAAAAAAAAAAAAAEAAAAZHJzL1BLAwQUAAAACACHTuJAJOwh8tgAAAAJ&#10;AQAADwAAAGRycy9kb3ducmV2LnhtbE2PTU/DMAyG70j8h8hI3Lak01ptpemEEJyQEF05cExbr43W&#10;OKXJPvj3mBMc7ffR68fF7upGccY5WE8akqUCgdT6zlKv4aN+WWxAhGioM6Mn1PCNAXbl7U1h8s5f&#10;qMLzPvaCSyjkRsMQ45RLGdoBnQlLPyFxdvCzM5HHuZfdbC5c7ka5UiqTzljiC4OZ8GnA9rg/OQ2P&#10;n1Q926+35r06VLaut4pes6PW93eJegAR8Rr/YPjVZ3Uo2anxJ+qCGDWs15uUUQ2LVQKCgTRLedFw&#10;kmxBloX8/0H5A1BLAwQUAAAACACHTuJA8FM7zNABAACNAwAADgAAAGRycy9lMm9Eb2MueG1srVNL&#10;btswEN0X6B0I7mspTto0guUAhZGiQH9AmgNQFGURIDksh7bkC7Q36Kqb7nMun6ND2nLadJNFN8Rw&#10;OHrz3pvR4nq0hm1VQA2u5mezkjPlJLTarWt+9+XmxWvOMArXCgNO1XynkF8vnz9bDL5Sc+jBtCow&#10;AnFYDb7mfYy+KgqUvbICZ+CVo8cOghWRrmFdtEEMhG5NMS/LV8UAofUBpEKk7OrwyI+I4SmA0HVa&#10;qhXIjVUuHlCDMiKSJOy1R77MbLtOyfip61BFZmpOSmM+qQnFTTqL5UJU6yB8r+WRgngKhUearNCO&#10;mp6gViIKtgn6HyirZQCELs4k2OIgJDtCKs7KR97c9sKrrIWsRn8yHf8frPy4/RyYbmt+zpkTlga+&#10;//F9//N+/+sbO0/2DB4rqrr1VBfHNzDS0kx5TMlm+AAtfSc2EbIHYxds8oLUMaomq3cnq9UYmaTk&#10;5cX86iW9SHqaX15dlHkUhaimj33A+FaBZSmoeaBJZnCxfY+RaFHpVJJ6ObjRxuRpGvdXggpTpkg6&#10;Et+Dojg241FcA+2OZAy0BDXHrxsRFGfmnSOX08ZMQZiCZgo2Puh1T+SyH7kBTSlTO25UWoM/75nG&#10;w1+0/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k7CHy2AAAAAkBAAAPAAAAAAAAAAEAIAAAACIA&#10;AABkcnMvZG93bnJldi54bWxQSwECFAAUAAAACACHTuJA8FM7zNABAACNAwAADgAAAAAAAAABACAA&#10;AAAnAQAAZHJzL2Uyb0RvYy54bWxQSwUGAAAAAAYABgBZAQAAaQUAAAAA&#10;">
              <v:fill on="f" focussize="0,0"/>
              <v:stroke on="f"/>
              <v:imagedata o:title=""/>
              <o:lock v:ext="edit" aspectratio="f"/>
              <v:textbox inset="0mm,0mm,0mm,0mm">
                <w:txbxContent>
                  <w:p w14:paraId="164EE5BF">
                    <w:pPr>
                      <w:pStyle w:val="94"/>
                      <w:tabs>
                        <w:tab w:val="clear" w:pos="4153"/>
                        <w:tab w:val="clear" w:pos="8306"/>
                      </w:tabs>
                      <w:jc w:val="center"/>
                      <w:rPr>
                        <w:rFonts w:ascii="Times New Roman" w:hAnsi="Times New Roman"/>
                        <w:sz w:val="32"/>
                        <w:szCs w:val="32"/>
                      </w:rPr>
                    </w:pPr>
                    <w:r>
                      <w:rPr>
                        <w:rFonts w:ascii="Times New Roman" w:hAnsi="Times New Roman"/>
                        <w:sz w:val="32"/>
                        <w:szCs w:val="32"/>
                      </w:rPr>
                      <w:t>—</w:t>
                    </w:r>
                    <w:r>
                      <w:rPr>
                        <w:rFonts w:hint="eastAsia" w:ascii="Times New Roman" w:hAnsi="Times New Roman"/>
                        <w:sz w:val="32"/>
                        <w:szCs w:val="32"/>
                      </w:rPr>
                      <w:t xml:space="preserve"> </w:t>
                    </w:r>
                    <w:r>
                      <w:rPr>
                        <w:rFonts w:ascii="Times New Roman" w:hAnsi="Times New Roman"/>
                        <w:sz w:val="32"/>
                        <w:szCs w:val="32"/>
                      </w:rPr>
                      <w:fldChar w:fldCharType="begin"/>
                    </w:r>
                    <w:r>
                      <w:rPr>
                        <w:rFonts w:ascii="Times New Roman" w:hAnsi="Times New Roman"/>
                        <w:sz w:val="32"/>
                        <w:szCs w:val="32"/>
                      </w:rPr>
                      <w:instrText xml:space="preserve"> PAGE  \* MERGEFORMAT </w:instrText>
                    </w:r>
                    <w:r>
                      <w:rPr>
                        <w:rFonts w:ascii="Times New Roman" w:hAnsi="Times New Roman"/>
                        <w:sz w:val="32"/>
                        <w:szCs w:val="32"/>
                      </w:rPr>
                      <w:fldChar w:fldCharType="separate"/>
                    </w:r>
                    <w:r>
                      <w:rPr>
                        <w:rFonts w:ascii="Times New Roman" w:hAnsi="Times New Roman"/>
                        <w:sz w:val="32"/>
                        <w:szCs w:val="32"/>
                      </w:rPr>
                      <w:t>27</w:t>
                    </w:r>
                    <w:r>
                      <w:rPr>
                        <w:rFonts w:ascii="Times New Roman" w:hAnsi="Times New Roman"/>
                        <w:sz w:val="32"/>
                        <w:szCs w:val="32"/>
                      </w:rPr>
                      <w:fldChar w:fldCharType="end"/>
                    </w:r>
                    <w:r>
                      <w:rPr>
                        <w:rFonts w:hint="eastAsia" w:ascii="Times New Roman" w:hAnsi="Times New Roman"/>
                        <w:sz w:val="32"/>
                        <w:szCs w:val="32"/>
                      </w:rPr>
                      <w:t xml:space="preserve"> </w:t>
                    </w:r>
                    <w:r>
                      <w:rPr>
                        <w:rFonts w:ascii="Times New Roman" w:hAnsi="Times New Roman"/>
                        <w:sz w:val="32"/>
                        <w:szCs w:val="32"/>
                      </w:rPr>
                      <w:t>—</w:t>
                    </w:r>
                  </w:p>
                  <w:p w14:paraId="1D065726"/>
                </w:txbxContent>
              </v:textbox>
            </v:shape>
          </w:pict>
        </mc:Fallback>
      </mc:AlternateContent>
    </w:r>
  </w:p>
  <w:p w14:paraId="53B9B43E">
    <w:pPr>
      <w:pStyle w:val="9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0D5D5">
    <w:pPr>
      <w:pStyle w:val="96"/>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decimal"/>
      <w:lvlText w:val="%1."/>
      <w:lvlJc w:val="left"/>
      <w:pPr>
        <w:tabs>
          <w:tab w:val="left" w:pos="312"/>
        </w:tabs>
      </w:pPr>
    </w:lvl>
    <w:lvl w:ilvl="1" w:tentative="0">
      <w:start w:val="1"/>
      <w:numFmt w:val="decimal"/>
      <w:suff w:val="space"/>
      <w:lvlText w:val="%1.%2"/>
      <w:lvlJc w:val="left"/>
      <w:pPr>
        <w:ind w:left="0" w:firstLine="0"/>
      </w:pPr>
    </w:lvl>
    <w:lvl w:ilvl="2" w:tentative="0">
      <w:start w:val="1"/>
      <w:numFmt w:val="decimal"/>
      <w:suff w:val="space"/>
      <w:lvlText w:val="%1.%2.%3"/>
      <w:lvlJc w:val="left"/>
      <w:pPr>
        <w:ind w:left="0" w:firstLine="0"/>
      </w:pPr>
    </w:lvl>
    <w:lvl w:ilvl="3" w:tentative="0">
      <w:start w:val="1"/>
      <w:numFmt w:val="decimal"/>
      <w:suff w:val="space"/>
      <w:lvlText w:val="%1.%2.%3.%4"/>
      <w:lvlJc w:val="left"/>
      <w:pPr>
        <w:ind w:left="0" w:firstLine="0"/>
      </w:pPr>
    </w:lvl>
    <w:lvl w:ilvl="4" w:tentative="0">
      <w:start w:val="1"/>
      <w:numFmt w:val="decimal"/>
      <w:suff w:val="space"/>
      <w:lvlText w:val="%1.%2.%3.%4.%5"/>
      <w:lvlJc w:val="left"/>
      <w:pPr>
        <w:ind w:left="0" w:firstLine="0"/>
      </w:pPr>
    </w:lvl>
    <w:lvl w:ilvl="5" w:tentative="0">
      <w:start w:val="1"/>
      <w:numFmt w:val="decimal"/>
      <w:suff w:val="space"/>
      <w:lvlText w:val="%1.%2.%3.%4.%5.%6"/>
      <w:lvlJc w:val="left"/>
      <w:pPr>
        <w:ind w:left="0" w:firstLine="0"/>
      </w:pPr>
    </w:lvl>
    <w:lvl w:ilvl="6" w:tentative="0">
      <w:start w:val="1"/>
      <w:numFmt w:val="decimal"/>
      <w:suff w:val="space"/>
      <w:lvlText w:val="%1.%2.%3.%4.%5.%6.%7"/>
      <w:lvlJc w:val="left"/>
      <w:pPr>
        <w:ind w:left="0" w:firstLine="0"/>
      </w:pPr>
    </w:lvl>
    <w:lvl w:ilvl="7" w:tentative="0">
      <w:start w:val="1"/>
      <w:numFmt w:val="decimal"/>
      <w:suff w:val="space"/>
      <w:lvlText w:val="%1.%2.%3.%4.%5.%6.%7.%8"/>
      <w:lvlJc w:val="left"/>
      <w:pPr>
        <w:ind w:left="0" w:firstLine="0"/>
      </w:pPr>
    </w:lvl>
    <w:lvl w:ilvl="8" w:tentative="0">
      <w:start w:val="1"/>
      <w:numFmt w:val="decimal"/>
      <w:suff w:val="space"/>
      <w:lvlText w:val="%1.%2.%3.%4.%5.%6.%7.%8.%9"/>
      <w:lvlJc w:val="left"/>
      <w:pPr>
        <w:ind w:left="0" w:firstLine="0"/>
      </w:pPr>
    </w:lvl>
  </w:abstractNum>
  <w:abstractNum w:abstractNumId="1">
    <w:nsid w:val="CF092B84"/>
    <w:multiLevelType w:val="multilevel"/>
    <w:tmpl w:val="CF092B84"/>
    <w:lvl w:ilvl="0" w:tentative="0">
      <w:start w:val="1"/>
      <w:numFmt w:val="chineseCounting"/>
      <w:pStyle w:val="464"/>
      <w:suff w:val="nothing"/>
      <w:lvlText w:val="%1、"/>
      <w:lvlJc w:val="left"/>
      <w:rPr>
        <w:rFonts w:hint="eastAsia"/>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2">
    <w:nsid w:val="0053208E"/>
    <w:multiLevelType w:val="multilevel"/>
    <w:tmpl w:val="0053208E"/>
    <w:lvl w:ilvl="0" w:tentative="0">
      <w:start w:val="1"/>
      <w:numFmt w:val="decimal"/>
      <w:pStyle w:val="449"/>
      <w:suff w:val="nothing"/>
      <w:lvlText w:val="%1、"/>
      <w:lvlJc w:val="left"/>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3">
    <w:nsid w:val="59ADCABA"/>
    <w:multiLevelType w:val="multilevel"/>
    <w:tmpl w:val="59ADCABA"/>
    <w:lvl w:ilvl="0" w:tentative="0">
      <w:start w:val="4"/>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36845"/>
    <w:rsid w:val="06EE7FF2"/>
    <w:rsid w:val="07E96B4B"/>
    <w:rsid w:val="09F9539C"/>
    <w:rsid w:val="10742E9A"/>
    <w:rsid w:val="10C25DB2"/>
    <w:rsid w:val="12B26A30"/>
    <w:rsid w:val="12E51574"/>
    <w:rsid w:val="13777B80"/>
    <w:rsid w:val="13FE1515"/>
    <w:rsid w:val="182C47F0"/>
    <w:rsid w:val="18455C50"/>
    <w:rsid w:val="18E3544F"/>
    <w:rsid w:val="1C424302"/>
    <w:rsid w:val="1F371F44"/>
    <w:rsid w:val="29431FF9"/>
    <w:rsid w:val="299803FD"/>
    <w:rsid w:val="2ACD3758"/>
    <w:rsid w:val="2E372B53"/>
    <w:rsid w:val="30803872"/>
    <w:rsid w:val="315F1AED"/>
    <w:rsid w:val="35156994"/>
    <w:rsid w:val="357F234A"/>
    <w:rsid w:val="38685C6D"/>
    <w:rsid w:val="38F65B35"/>
    <w:rsid w:val="391A5472"/>
    <w:rsid w:val="3C041087"/>
    <w:rsid w:val="4B7467F1"/>
    <w:rsid w:val="4C6F4A6E"/>
    <w:rsid w:val="4E9C7F7F"/>
    <w:rsid w:val="4F5B4EF8"/>
    <w:rsid w:val="50E327D5"/>
    <w:rsid w:val="515D758B"/>
    <w:rsid w:val="59E056E5"/>
    <w:rsid w:val="5A9F0C15"/>
    <w:rsid w:val="5CAC37D3"/>
    <w:rsid w:val="5F1119B5"/>
    <w:rsid w:val="5F3B6A32"/>
    <w:rsid w:val="620B4DE2"/>
    <w:rsid w:val="622C28BF"/>
    <w:rsid w:val="65B1200D"/>
    <w:rsid w:val="67136ED0"/>
    <w:rsid w:val="6DF56B72"/>
    <w:rsid w:val="6ECE1671"/>
    <w:rsid w:val="710903FD"/>
    <w:rsid w:val="73DA28B0"/>
    <w:rsid w:val="78056103"/>
    <w:rsid w:val="7B3960C4"/>
    <w:rsid w:val="7D036F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nhideWhenUsed="0" w:uiPriority="0" w:semiHidden="0"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512"/>
    <w:qFormat/>
    <w:uiPriority w:val="0"/>
    <w:pPr>
      <w:widowControl w:val="0"/>
      <w:jc w:val="both"/>
    </w:pPr>
    <w:rPr>
      <w:rFonts w:hint="default" w:ascii="Calibri" w:hAnsi="Calibri" w:eastAsia="宋体" w:cs="Times New Roman"/>
      <w:sz w:val="21"/>
      <w:szCs w:val="22"/>
      <w:lang w:val="en-US" w:eastAsia="zh-CN" w:bidi="ar-SA"/>
    </w:rPr>
  </w:style>
  <w:style w:type="paragraph" w:styleId="4">
    <w:name w:val="heading 1"/>
    <w:basedOn w:val="1"/>
    <w:next w:val="1"/>
    <w:qFormat/>
    <w:uiPriority w:val="9"/>
    <w:pPr>
      <w:keepNext/>
      <w:keepLines/>
      <w:spacing w:before="480" w:after="200"/>
      <w:outlineLvl w:val="0"/>
    </w:pPr>
    <w:rPr>
      <w:rFonts w:ascii="Arial" w:hAnsi="Arial" w:eastAsia="Arial" w:cs="Arial"/>
      <w:sz w:val="40"/>
      <w:szCs w:val="40"/>
    </w:rPr>
  </w:style>
  <w:style w:type="paragraph" w:styleId="5">
    <w:name w:val="heading 2"/>
    <w:basedOn w:val="1"/>
    <w:next w:val="1"/>
    <w:unhideWhenUsed/>
    <w:qFormat/>
    <w:uiPriority w:val="9"/>
    <w:pPr>
      <w:keepNext/>
      <w:keepLines/>
      <w:spacing w:before="360" w:after="200"/>
      <w:outlineLvl w:val="1"/>
    </w:pPr>
    <w:rPr>
      <w:rFonts w:ascii="Arial" w:hAnsi="Arial" w:eastAsia="Arial" w:cs="Arial"/>
      <w:sz w:val="34"/>
    </w:rPr>
  </w:style>
  <w:style w:type="paragraph" w:styleId="6">
    <w:name w:val="heading 3"/>
    <w:basedOn w:val="1"/>
    <w:next w:val="1"/>
    <w:unhideWhenUsed/>
    <w:qFormat/>
    <w:uiPriority w:val="9"/>
    <w:pPr>
      <w:keepNext/>
      <w:keepLines/>
      <w:spacing w:before="320" w:after="200"/>
      <w:outlineLvl w:val="2"/>
    </w:pPr>
    <w:rPr>
      <w:rFonts w:ascii="Arial" w:hAnsi="Arial" w:eastAsia="Arial" w:cs="Arial"/>
      <w:sz w:val="30"/>
      <w:szCs w:val="30"/>
    </w:rPr>
  </w:style>
  <w:style w:type="paragraph" w:styleId="7">
    <w:name w:val="heading 4"/>
    <w:basedOn w:val="1"/>
    <w:next w:val="1"/>
    <w:unhideWhenUsed/>
    <w:qFormat/>
    <w:uiPriority w:val="9"/>
    <w:pPr>
      <w:keepNext/>
      <w:keepLines/>
      <w:spacing w:before="320" w:after="200"/>
      <w:outlineLvl w:val="3"/>
    </w:pPr>
    <w:rPr>
      <w:rFonts w:ascii="Arial" w:hAnsi="Arial" w:eastAsia="Arial" w:cs="Arial"/>
      <w:b/>
      <w:bCs/>
      <w:sz w:val="26"/>
      <w:szCs w:val="26"/>
    </w:rPr>
  </w:style>
  <w:style w:type="paragraph" w:styleId="8">
    <w:name w:val="heading 5"/>
    <w:basedOn w:val="1"/>
    <w:next w:val="1"/>
    <w:unhideWhenUsed/>
    <w:qFormat/>
    <w:uiPriority w:val="9"/>
    <w:pPr>
      <w:keepNext/>
      <w:keepLines/>
      <w:spacing w:before="320" w:after="200"/>
      <w:outlineLvl w:val="4"/>
    </w:pPr>
    <w:rPr>
      <w:rFonts w:ascii="Arial" w:hAnsi="Arial" w:eastAsia="Arial" w:cs="Arial"/>
      <w:b/>
      <w:bCs/>
      <w:sz w:val="24"/>
      <w:szCs w:val="24"/>
    </w:rPr>
  </w:style>
  <w:style w:type="paragraph" w:styleId="9">
    <w:name w:val="heading 6"/>
    <w:basedOn w:val="1"/>
    <w:next w:val="1"/>
    <w:unhideWhenUsed/>
    <w:qFormat/>
    <w:uiPriority w:val="9"/>
    <w:pPr>
      <w:keepNext/>
      <w:keepLines/>
      <w:spacing w:before="320" w:after="200"/>
      <w:outlineLvl w:val="5"/>
    </w:pPr>
    <w:rPr>
      <w:rFonts w:ascii="Arial" w:hAnsi="Arial" w:eastAsia="Arial" w:cs="Arial"/>
      <w:b/>
      <w:bCs/>
      <w:sz w:val="22"/>
      <w:szCs w:val="22"/>
    </w:rPr>
  </w:style>
  <w:style w:type="paragraph" w:styleId="10">
    <w:name w:val="heading 7"/>
    <w:basedOn w:val="1"/>
    <w:next w:val="1"/>
    <w:unhideWhenUsed/>
    <w:qFormat/>
    <w:uiPriority w:val="9"/>
    <w:pPr>
      <w:keepNext/>
      <w:keepLines/>
      <w:spacing w:before="320" w:after="200"/>
      <w:outlineLvl w:val="6"/>
    </w:pPr>
    <w:rPr>
      <w:rFonts w:ascii="Arial" w:hAnsi="Arial" w:eastAsia="Arial" w:cs="Arial"/>
      <w:b/>
      <w:bCs/>
      <w:i/>
      <w:iCs/>
      <w:sz w:val="22"/>
      <w:szCs w:val="22"/>
    </w:rPr>
  </w:style>
  <w:style w:type="paragraph" w:styleId="11">
    <w:name w:val="heading 8"/>
    <w:basedOn w:val="1"/>
    <w:next w:val="1"/>
    <w:unhideWhenUsed/>
    <w:qFormat/>
    <w:uiPriority w:val="9"/>
    <w:pPr>
      <w:keepNext/>
      <w:keepLines/>
      <w:spacing w:before="320" w:after="200"/>
      <w:outlineLvl w:val="7"/>
    </w:pPr>
    <w:rPr>
      <w:rFonts w:ascii="Arial" w:hAnsi="Arial" w:eastAsia="Arial" w:cs="Arial"/>
      <w:i/>
      <w:iCs/>
      <w:sz w:val="22"/>
      <w:szCs w:val="22"/>
    </w:rPr>
  </w:style>
  <w:style w:type="paragraph" w:styleId="12">
    <w:name w:val="heading 9"/>
    <w:basedOn w:val="1"/>
    <w:next w:val="1"/>
    <w:unhideWhenUsed/>
    <w:qFormat/>
    <w:uiPriority w:val="9"/>
    <w:pPr>
      <w:keepNext/>
      <w:keepLines/>
      <w:spacing w:before="320" w:after="200"/>
      <w:outlineLvl w:val="8"/>
    </w:pPr>
    <w:rPr>
      <w:rFonts w:ascii="Arial" w:hAnsi="Arial" w:eastAsia="Arial" w:cs="Arial"/>
      <w:i/>
      <w:iCs/>
      <w:sz w:val="21"/>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ind w:firstLine="225"/>
    </w:pPr>
    <w:rPr>
      <w:rFonts w:ascii="仿宋_GB2312" w:eastAsia="仿宋_GB2312"/>
      <w:sz w:val="32"/>
    </w:rPr>
  </w:style>
  <w:style w:type="paragraph" w:styleId="3">
    <w:name w:val="envelope return"/>
    <w:basedOn w:val="1"/>
    <w:qFormat/>
    <w:uiPriority w:val="0"/>
    <w:pPr>
      <w:spacing w:before="160" w:after="160" w:line="240" w:lineRule="atLeast"/>
      <w:ind w:left="1701"/>
      <w:jc w:val="left"/>
    </w:pPr>
    <w:rPr>
      <w:rFonts w:ascii="Arial" w:hAnsi="Arial" w:cs="Arial"/>
    </w:rPr>
  </w:style>
  <w:style w:type="paragraph" w:styleId="13">
    <w:name w:val="toc 7"/>
    <w:basedOn w:val="1"/>
    <w:next w:val="1"/>
    <w:unhideWhenUsed/>
    <w:qFormat/>
    <w:uiPriority w:val="39"/>
    <w:pPr>
      <w:spacing w:after="57"/>
      <w:ind w:left="1701" w:right="0" w:firstLine="0"/>
    </w:pPr>
  </w:style>
  <w:style w:type="paragraph" w:styleId="14">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5">
    <w:name w:val="toc 5"/>
    <w:basedOn w:val="1"/>
    <w:next w:val="1"/>
    <w:unhideWhenUsed/>
    <w:qFormat/>
    <w:uiPriority w:val="39"/>
    <w:pPr>
      <w:spacing w:after="57"/>
      <w:ind w:left="1134" w:right="0" w:firstLine="0"/>
    </w:pPr>
  </w:style>
  <w:style w:type="paragraph" w:styleId="16">
    <w:name w:val="toc 3"/>
    <w:basedOn w:val="1"/>
    <w:next w:val="1"/>
    <w:unhideWhenUsed/>
    <w:qFormat/>
    <w:uiPriority w:val="39"/>
    <w:pPr>
      <w:spacing w:after="57"/>
      <w:ind w:left="567" w:right="0" w:firstLine="0"/>
    </w:pPr>
  </w:style>
  <w:style w:type="paragraph" w:styleId="17">
    <w:name w:val="toc 8"/>
    <w:basedOn w:val="1"/>
    <w:next w:val="1"/>
    <w:unhideWhenUsed/>
    <w:qFormat/>
    <w:uiPriority w:val="39"/>
    <w:pPr>
      <w:spacing w:after="57"/>
      <w:ind w:left="1984" w:right="0" w:firstLine="0"/>
    </w:pPr>
  </w:style>
  <w:style w:type="paragraph" w:styleId="18">
    <w:name w:val="endnote text"/>
    <w:basedOn w:val="1"/>
    <w:semiHidden/>
    <w:unhideWhenUsed/>
    <w:qFormat/>
    <w:uiPriority w:val="99"/>
    <w:pPr>
      <w:spacing w:after="0" w:line="240" w:lineRule="auto"/>
    </w:pPr>
    <w:rPr>
      <w:sz w:val="20"/>
    </w:rPr>
  </w:style>
  <w:style w:type="paragraph" w:styleId="19">
    <w:name w:val="footer"/>
    <w:basedOn w:val="1"/>
    <w:unhideWhenUsed/>
    <w:qFormat/>
    <w:uiPriority w:val="99"/>
    <w:pPr>
      <w:tabs>
        <w:tab w:val="center" w:pos="7143"/>
        <w:tab w:val="right" w:pos="14287"/>
      </w:tabs>
      <w:spacing w:after="0" w:line="240" w:lineRule="auto"/>
    </w:pPr>
  </w:style>
  <w:style w:type="paragraph" w:styleId="20">
    <w:name w:val="header"/>
    <w:basedOn w:val="1"/>
    <w:unhideWhenUsed/>
    <w:qFormat/>
    <w:uiPriority w:val="99"/>
    <w:pPr>
      <w:tabs>
        <w:tab w:val="center" w:pos="7143"/>
        <w:tab w:val="right" w:pos="14287"/>
      </w:tabs>
      <w:spacing w:after="0" w:line="240" w:lineRule="auto"/>
    </w:pPr>
  </w:style>
  <w:style w:type="paragraph" w:styleId="21">
    <w:name w:val="toc 1"/>
    <w:basedOn w:val="1"/>
    <w:next w:val="1"/>
    <w:unhideWhenUsed/>
    <w:qFormat/>
    <w:uiPriority w:val="39"/>
    <w:pPr>
      <w:spacing w:after="57"/>
      <w:ind w:left="0" w:right="0" w:firstLine="0"/>
    </w:pPr>
  </w:style>
  <w:style w:type="paragraph" w:styleId="22">
    <w:name w:val="toc 4"/>
    <w:basedOn w:val="1"/>
    <w:next w:val="1"/>
    <w:unhideWhenUsed/>
    <w:qFormat/>
    <w:uiPriority w:val="39"/>
    <w:pPr>
      <w:spacing w:after="57"/>
      <w:ind w:left="850" w:right="0" w:firstLine="0"/>
    </w:pPr>
  </w:style>
  <w:style w:type="paragraph" w:styleId="23">
    <w:name w:val="Subtitle"/>
    <w:basedOn w:val="1"/>
    <w:next w:val="1"/>
    <w:qFormat/>
    <w:uiPriority w:val="11"/>
    <w:pPr>
      <w:spacing w:before="200" w:after="200"/>
    </w:pPr>
    <w:rPr>
      <w:sz w:val="24"/>
      <w:szCs w:val="24"/>
    </w:rPr>
  </w:style>
  <w:style w:type="paragraph" w:styleId="24">
    <w:name w:val="footnote text"/>
    <w:basedOn w:val="1"/>
    <w:semiHidden/>
    <w:unhideWhenUsed/>
    <w:qFormat/>
    <w:uiPriority w:val="99"/>
    <w:pPr>
      <w:spacing w:after="40" w:line="240" w:lineRule="auto"/>
    </w:pPr>
    <w:rPr>
      <w:sz w:val="18"/>
    </w:rPr>
  </w:style>
  <w:style w:type="paragraph" w:styleId="25">
    <w:name w:val="toc 6"/>
    <w:basedOn w:val="1"/>
    <w:next w:val="1"/>
    <w:unhideWhenUsed/>
    <w:qFormat/>
    <w:uiPriority w:val="39"/>
    <w:pPr>
      <w:spacing w:after="57"/>
      <w:ind w:left="1417" w:right="0" w:firstLine="0"/>
    </w:pPr>
  </w:style>
  <w:style w:type="paragraph" w:styleId="26">
    <w:name w:val="table of figures"/>
    <w:basedOn w:val="1"/>
    <w:next w:val="1"/>
    <w:unhideWhenUsed/>
    <w:qFormat/>
    <w:uiPriority w:val="99"/>
    <w:pPr>
      <w:spacing w:after="0" w:afterAutospacing="0"/>
    </w:pPr>
  </w:style>
  <w:style w:type="paragraph" w:styleId="27">
    <w:name w:val="toc 2"/>
    <w:basedOn w:val="1"/>
    <w:next w:val="1"/>
    <w:unhideWhenUsed/>
    <w:qFormat/>
    <w:uiPriority w:val="39"/>
    <w:pPr>
      <w:spacing w:after="57"/>
      <w:ind w:left="283" w:right="0" w:firstLine="0"/>
    </w:pPr>
  </w:style>
  <w:style w:type="paragraph" w:styleId="28">
    <w:name w:val="toc 9"/>
    <w:basedOn w:val="1"/>
    <w:next w:val="1"/>
    <w:unhideWhenUsed/>
    <w:qFormat/>
    <w:uiPriority w:val="39"/>
    <w:pPr>
      <w:spacing w:after="57"/>
      <w:ind w:left="2268" w:right="0" w:firstLine="0"/>
    </w:pPr>
  </w:style>
  <w:style w:type="paragraph" w:styleId="29">
    <w:name w:val="Normal (Web)"/>
    <w:basedOn w:val="1"/>
    <w:semiHidden/>
    <w:unhideWhenUsed/>
    <w:qFormat/>
    <w:uiPriority w:val="99"/>
    <w:pPr>
      <w:spacing w:before="0" w:beforeAutospacing="1" w:after="0" w:afterAutospacing="1"/>
      <w:ind w:left="0" w:right="0"/>
      <w:jc w:val="left"/>
    </w:pPr>
    <w:rPr>
      <w:sz w:val="24"/>
      <w:lang w:val="en-US" w:eastAsia="zh-CN" w:bidi="ar"/>
    </w:rPr>
  </w:style>
  <w:style w:type="paragraph" w:styleId="30">
    <w:name w:val="Title"/>
    <w:basedOn w:val="1"/>
    <w:next w:val="1"/>
    <w:qFormat/>
    <w:uiPriority w:val="10"/>
    <w:pPr>
      <w:spacing w:before="300" w:after="200"/>
      <w:contextualSpacing/>
    </w:pPr>
    <w:rPr>
      <w:sz w:val="48"/>
      <w:szCs w:val="48"/>
    </w:rPr>
  </w:style>
  <w:style w:type="table" w:styleId="32">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endnote reference"/>
    <w:semiHidden/>
    <w:unhideWhenUsed/>
    <w:qFormat/>
    <w:uiPriority w:val="99"/>
    <w:rPr>
      <w:vertAlign w:val="superscript"/>
    </w:rPr>
  </w:style>
  <w:style w:type="character" w:styleId="35">
    <w:name w:val="Hyperlink"/>
    <w:unhideWhenUsed/>
    <w:qFormat/>
    <w:uiPriority w:val="99"/>
    <w:rPr>
      <w:color w:val="0000FF" w:themeColor="hyperlink"/>
      <w:u w:val="single"/>
      <w14:textFill>
        <w14:solidFill>
          <w14:schemeClr w14:val="hlink"/>
        </w14:solidFill>
      </w14:textFill>
    </w:rPr>
  </w:style>
  <w:style w:type="character" w:styleId="36">
    <w:name w:val="footnote reference"/>
    <w:unhideWhenUsed/>
    <w:qFormat/>
    <w:uiPriority w:val="99"/>
    <w:rPr>
      <w:vertAlign w:val="superscript"/>
    </w:rPr>
  </w:style>
  <w:style w:type="paragraph" w:customStyle="1" w:styleId="37">
    <w:name w:val="正文文本11"/>
    <w:basedOn w:val="1"/>
    <w:semiHidden/>
    <w:qFormat/>
    <w:uiPriority w:val="0"/>
    <w:rPr>
      <w:rFonts w:ascii="仿宋" w:hAnsi="仿宋" w:eastAsia="仿宋" w:cs="仿宋"/>
      <w:sz w:val="32"/>
      <w:szCs w:val="32"/>
      <w:lang w:val="en-US" w:eastAsia="en-US" w:bidi="ar-SA"/>
    </w:rPr>
  </w:style>
  <w:style w:type="paragraph" w:styleId="38">
    <w:name w:val="List Paragraph"/>
    <w:basedOn w:val="1"/>
    <w:qFormat/>
    <w:uiPriority w:val="34"/>
    <w:pPr>
      <w:ind w:left="720"/>
      <w:contextualSpacing/>
    </w:pPr>
  </w:style>
  <w:style w:type="paragraph" w:styleId="39">
    <w:name w:val="No Spacing"/>
    <w:qFormat/>
    <w:uiPriority w:val="1"/>
    <w:pPr>
      <w:spacing w:before="0" w:after="0" w:line="240" w:lineRule="auto"/>
    </w:pPr>
    <w:rPr>
      <w:rFonts w:hint="default" w:ascii="Times New Roman" w:hAnsi="Times New Roman" w:eastAsia="宋体" w:cs="Times New Roman"/>
    </w:rPr>
  </w:style>
  <w:style w:type="paragraph" w:styleId="40">
    <w:name w:val="Quote"/>
    <w:basedOn w:val="1"/>
    <w:next w:val="1"/>
    <w:qFormat/>
    <w:uiPriority w:val="29"/>
    <w:pPr>
      <w:ind w:left="720" w:right="720"/>
    </w:pPr>
    <w:rPr>
      <w:i/>
    </w:rPr>
  </w:style>
  <w:style w:type="paragraph" w:styleId="41">
    <w:name w:val="Intense Quote"/>
    <w:basedOn w:val="1"/>
    <w:next w:val="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paragraph" w:customStyle="1" w:styleId="42">
    <w:name w:val="标题 11"/>
    <w:basedOn w:val="1"/>
    <w:next w:val="1"/>
    <w:link w:val="57"/>
    <w:qFormat/>
    <w:uiPriority w:val="0"/>
    <w:pPr>
      <w:keepNext/>
      <w:keepLines/>
      <w:spacing w:before="480" w:after="200"/>
      <w:outlineLvl w:val="0"/>
    </w:pPr>
    <w:rPr>
      <w:rFonts w:ascii="Arial" w:hAnsi="Arial" w:eastAsia="Arial" w:cs="Arial"/>
      <w:sz w:val="40"/>
      <w:szCs w:val="40"/>
    </w:rPr>
  </w:style>
  <w:style w:type="paragraph" w:customStyle="1" w:styleId="43">
    <w:name w:val="标题 211"/>
    <w:basedOn w:val="1"/>
    <w:next w:val="1"/>
    <w:link w:val="58"/>
    <w:qFormat/>
    <w:uiPriority w:val="0"/>
    <w:pPr>
      <w:keepNext/>
      <w:keepLines/>
      <w:spacing w:before="260" w:after="260" w:line="413" w:lineRule="auto"/>
      <w:outlineLvl w:val="1"/>
    </w:pPr>
    <w:rPr>
      <w:rFonts w:ascii="Arial" w:hAnsi="Arial" w:eastAsia="黑体"/>
      <w:b/>
      <w:sz w:val="32"/>
      <w:szCs w:val="20"/>
    </w:rPr>
  </w:style>
  <w:style w:type="paragraph" w:customStyle="1" w:styleId="44">
    <w:name w:val="标题 311"/>
    <w:basedOn w:val="45"/>
    <w:next w:val="46"/>
    <w:link w:val="59"/>
    <w:qFormat/>
    <w:uiPriority w:val="0"/>
    <w:pPr>
      <w:keepNext/>
      <w:keepLines/>
      <w:spacing w:before="320" w:after="200"/>
      <w:outlineLvl w:val="2"/>
    </w:pPr>
    <w:rPr>
      <w:rFonts w:ascii="Arial" w:hAnsi="Arial" w:eastAsia="Arial" w:cs="Arial"/>
      <w:sz w:val="30"/>
      <w:szCs w:val="30"/>
    </w:rPr>
  </w:style>
  <w:style w:type="paragraph" w:customStyle="1" w:styleId="45">
    <w:name w:val="Normal1"/>
    <w:next w:val="44"/>
    <w:qFormat/>
    <w:uiPriority w:val="0"/>
    <w:pPr>
      <w:widowControl w:val="0"/>
      <w:jc w:val="both"/>
    </w:pPr>
    <w:rPr>
      <w:rFonts w:hint="default" w:ascii="Calibri" w:hAnsi="Calibri" w:eastAsia="宋体" w:cs="Times New Roman"/>
      <w:sz w:val="21"/>
      <w:szCs w:val="22"/>
      <w:lang w:val="en-US" w:eastAsia="zh-CN" w:bidi="ar-SA"/>
    </w:rPr>
  </w:style>
  <w:style w:type="paragraph" w:customStyle="1" w:styleId="46">
    <w:name w:val="Normal_19"/>
    <w:next w:val="47"/>
    <w:qFormat/>
    <w:uiPriority w:val="0"/>
    <w:rPr>
      <w:rFonts w:hint="default" w:ascii="黑体" w:hAnsi="黑体" w:eastAsia="黑体" w:cs="黑体"/>
      <w:b/>
      <w:sz w:val="32"/>
      <w:szCs w:val="24"/>
      <w:lang w:val="en-US" w:eastAsia="zh-CN" w:bidi="ar-SA"/>
    </w:rPr>
  </w:style>
  <w:style w:type="paragraph" w:customStyle="1" w:styleId="47">
    <w:name w:val="Normal11"/>
    <w:next w:val="48"/>
    <w:qFormat/>
    <w:uiPriority w:val="0"/>
    <w:pPr>
      <w:widowControl w:val="0"/>
      <w:jc w:val="both"/>
    </w:pPr>
    <w:rPr>
      <w:rFonts w:hint="default" w:ascii="Times New Roman" w:hAnsi="Times New Roman" w:eastAsia="宋体" w:cs="Times New Roman"/>
      <w:szCs w:val="21"/>
      <w:lang w:val="en-US" w:eastAsia="zh-CN" w:bidi="ar-SA"/>
    </w:rPr>
  </w:style>
  <w:style w:type="paragraph" w:customStyle="1" w:styleId="48">
    <w:name w:val="Title1"/>
    <w:basedOn w:val="47"/>
    <w:next w:val="47"/>
    <w:qFormat/>
    <w:uiPriority w:val="10"/>
    <w:pPr>
      <w:spacing w:after="0" w:line="240" w:lineRule="auto"/>
      <w:contextualSpacing/>
    </w:pPr>
    <w:rPr>
      <w:rFonts w:ascii="Cambria" w:hAnsi="Cambria" w:eastAsia="宋体"/>
      <w:color w:val="262626"/>
      <w:spacing w:val="-15"/>
      <w:sz w:val="96"/>
      <w:szCs w:val="96"/>
    </w:rPr>
  </w:style>
  <w:style w:type="paragraph" w:customStyle="1" w:styleId="49">
    <w:name w:val="标题 411"/>
    <w:basedOn w:val="1"/>
    <w:next w:val="1"/>
    <w:link w:val="60"/>
    <w:qFormat/>
    <w:uiPriority w:val="0"/>
    <w:pPr>
      <w:keepNext/>
      <w:jc w:val="center"/>
      <w:outlineLvl w:val="3"/>
    </w:pPr>
    <w:rPr>
      <w:rFonts w:eastAsia="新宋体"/>
      <w:sz w:val="30"/>
      <w:szCs w:val="21"/>
    </w:rPr>
  </w:style>
  <w:style w:type="paragraph" w:customStyle="1" w:styleId="50">
    <w:name w:val="标题 51"/>
    <w:basedOn w:val="1"/>
    <w:next w:val="1"/>
    <w:link w:val="61"/>
    <w:qFormat/>
    <w:uiPriority w:val="0"/>
    <w:pPr>
      <w:keepNext/>
      <w:keepLines/>
      <w:spacing w:before="320" w:after="200"/>
      <w:outlineLvl w:val="4"/>
    </w:pPr>
    <w:rPr>
      <w:rFonts w:ascii="Arial" w:hAnsi="Arial" w:eastAsia="Arial" w:cs="Arial"/>
      <w:b/>
      <w:bCs/>
      <w:sz w:val="24"/>
      <w:szCs w:val="24"/>
    </w:rPr>
  </w:style>
  <w:style w:type="paragraph" w:customStyle="1" w:styleId="51">
    <w:name w:val="标题 61"/>
    <w:basedOn w:val="1"/>
    <w:next w:val="1"/>
    <w:link w:val="62"/>
    <w:qFormat/>
    <w:uiPriority w:val="0"/>
    <w:pPr>
      <w:keepNext/>
      <w:keepLines/>
      <w:spacing w:before="320" w:after="200"/>
      <w:outlineLvl w:val="5"/>
    </w:pPr>
    <w:rPr>
      <w:rFonts w:ascii="Arial" w:hAnsi="Arial" w:eastAsia="Arial" w:cs="Arial"/>
      <w:b/>
      <w:bCs/>
      <w:sz w:val="22"/>
    </w:rPr>
  </w:style>
  <w:style w:type="paragraph" w:customStyle="1" w:styleId="52">
    <w:name w:val="标题 71"/>
    <w:basedOn w:val="1"/>
    <w:next w:val="1"/>
    <w:link w:val="63"/>
    <w:qFormat/>
    <w:uiPriority w:val="0"/>
    <w:pPr>
      <w:keepNext/>
      <w:keepLines/>
      <w:spacing w:before="320" w:after="200"/>
      <w:outlineLvl w:val="6"/>
    </w:pPr>
    <w:rPr>
      <w:rFonts w:ascii="Arial" w:hAnsi="Arial" w:eastAsia="Arial" w:cs="Arial"/>
      <w:b/>
      <w:bCs/>
      <w:i/>
      <w:iCs/>
      <w:sz w:val="22"/>
    </w:rPr>
  </w:style>
  <w:style w:type="paragraph" w:customStyle="1" w:styleId="53">
    <w:name w:val="标题 81"/>
    <w:basedOn w:val="1"/>
    <w:next w:val="1"/>
    <w:link w:val="64"/>
    <w:qFormat/>
    <w:uiPriority w:val="0"/>
    <w:pPr>
      <w:keepNext/>
      <w:keepLines/>
      <w:spacing w:before="320" w:after="200"/>
      <w:outlineLvl w:val="7"/>
    </w:pPr>
    <w:rPr>
      <w:rFonts w:ascii="Arial" w:hAnsi="Arial" w:eastAsia="Arial" w:cs="Arial"/>
      <w:i/>
      <w:iCs/>
      <w:sz w:val="22"/>
    </w:rPr>
  </w:style>
  <w:style w:type="paragraph" w:customStyle="1" w:styleId="54">
    <w:name w:val="标题 91"/>
    <w:basedOn w:val="1"/>
    <w:next w:val="1"/>
    <w:link w:val="65"/>
    <w:qFormat/>
    <w:uiPriority w:val="0"/>
    <w:pPr>
      <w:keepNext/>
      <w:keepLines/>
      <w:spacing w:before="320" w:after="200"/>
      <w:outlineLvl w:val="8"/>
    </w:pPr>
    <w:rPr>
      <w:rFonts w:ascii="Arial" w:hAnsi="Arial" w:eastAsia="Arial" w:cs="Arial"/>
      <w:i/>
      <w:iCs/>
      <w:szCs w:val="21"/>
    </w:rPr>
  </w:style>
  <w:style w:type="character" w:customStyle="1" w:styleId="55">
    <w:name w:val="默认段落字体1"/>
    <w:link w:val="1"/>
    <w:unhideWhenUsed/>
    <w:qFormat/>
    <w:uiPriority w:val="1"/>
  </w:style>
  <w:style w:type="table" w:customStyle="1" w:styleId="56">
    <w:name w:val="普通表格1"/>
    <w:unhideWhenUsed/>
    <w:qFormat/>
    <w:uiPriority w:val="99"/>
  </w:style>
  <w:style w:type="character" w:customStyle="1" w:styleId="57">
    <w:name w:val="标题 1 字符"/>
    <w:link w:val="42"/>
    <w:qFormat/>
    <w:uiPriority w:val="0"/>
    <w:rPr>
      <w:rFonts w:ascii="Arial" w:hAnsi="Arial" w:eastAsia="Arial" w:cs="Arial"/>
      <w:sz w:val="40"/>
      <w:szCs w:val="40"/>
    </w:rPr>
  </w:style>
  <w:style w:type="character" w:customStyle="1" w:styleId="58">
    <w:name w:val="标题 2 字符"/>
    <w:link w:val="43"/>
    <w:qFormat/>
    <w:uiPriority w:val="0"/>
    <w:rPr>
      <w:rFonts w:ascii="Arial" w:hAnsi="Arial" w:eastAsia="Arial" w:cs="Arial"/>
      <w:sz w:val="34"/>
    </w:rPr>
  </w:style>
  <w:style w:type="character" w:customStyle="1" w:styleId="59">
    <w:name w:val="标题 3 字符"/>
    <w:link w:val="44"/>
    <w:qFormat/>
    <w:uiPriority w:val="0"/>
    <w:rPr>
      <w:rFonts w:ascii="Arial" w:hAnsi="Arial" w:eastAsia="Arial" w:cs="Arial"/>
      <w:sz w:val="30"/>
      <w:szCs w:val="30"/>
    </w:rPr>
  </w:style>
  <w:style w:type="character" w:customStyle="1" w:styleId="60">
    <w:name w:val="标题 4 字符"/>
    <w:link w:val="49"/>
    <w:qFormat/>
    <w:uiPriority w:val="0"/>
    <w:rPr>
      <w:rFonts w:ascii="Arial" w:hAnsi="Arial" w:eastAsia="Arial" w:cs="Arial"/>
      <w:b/>
      <w:bCs/>
      <w:sz w:val="26"/>
      <w:szCs w:val="26"/>
    </w:rPr>
  </w:style>
  <w:style w:type="character" w:customStyle="1" w:styleId="61">
    <w:name w:val="标题 5 字符"/>
    <w:link w:val="50"/>
    <w:qFormat/>
    <w:uiPriority w:val="0"/>
    <w:rPr>
      <w:rFonts w:ascii="Arial" w:hAnsi="Arial" w:eastAsia="Arial" w:cs="Arial"/>
      <w:b/>
      <w:bCs/>
      <w:sz w:val="24"/>
      <w:szCs w:val="24"/>
    </w:rPr>
  </w:style>
  <w:style w:type="character" w:customStyle="1" w:styleId="62">
    <w:name w:val="标题 6 字符"/>
    <w:link w:val="51"/>
    <w:qFormat/>
    <w:uiPriority w:val="0"/>
    <w:rPr>
      <w:rFonts w:ascii="Arial" w:hAnsi="Arial" w:eastAsia="Arial" w:cs="Arial"/>
      <w:b/>
      <w:bCs/>
      <w:sz w:val="22"/>
      <w:szCs w:val="22"/>
    </w:rPr>
  </w:style>
  <w:style w:type="character" w:customStyle="1" w:styleId="63">
    <w:name w:val="标题 7 字符"/>
    <w:link w:val="52"/>
    <w:qFormat/>
    <w:uiPriority w:val="0"/>
    <w:rPr>
      <w:rFonts w:ascii="Arial" w:hAnsi="Arial" w:eastAsia="Arial" w:cs="Arial"/>
      <w:b/>
      <w:bCs/>
      <w:i/>
      <w:iCs/>
      <w:sz w:val="22"/>
      <w:szCs w:val="22"/>
    </w:rPr>
  </w:style>
  <w:style w:type="character" w:customStyle="1" w:styleId="64">
    <w:name w:val="标题 8 字符"/>
    <w:link w:val="53"/>
    <w:qFormat/>
    <w:uiPriority w:val="0"/>
    <w:rPr>
      <w:rFonts w:ascii="Arial" w:hAnsi="Arial" w:eastAsia="Arial" w:cs="Arial"/>
      <w:i/>
      <w:iCs/>
      <w:sz w:val="22"/>
      <w:szCs w:val="22"/>
    </w:rPr>
  </w:style>
  <w:style w:type="character" w:customStyle="1" w:styleId="65">
    <w:name w:val="标题 9 字符"/>
    <w:link w:val="54"/>
    <w:qFormat/>
    <w:uiPriority w:val="0"/>
    <w:rPr>
      <w:rFonts w:ascii="Arial" w:hAnsi="Arial" w:eastAsia="Arial" w:cs="Arial"/>
      <w:i/>
      <w:iCs/>
      <w:sz w:val="21"/>
      <w:szCs w:val="21"/>
    </w:rPr>
  </w:style>
  <w:style w:type="paragraph" w:customStyle="1" w:styleId="66">
    <w:name w:val="列表 31"/>
    <w:basedOn w:val="1"/>
    <w:qFormat/>
    <w:uiPriority w:val="0"/>
    <w:pPr>
      <w:ind w:left="100" w:hanging="200"/>
    </w:pPr>
    <w:rPr>
      <w:rFonts w:ascii="Times New Roman" w:hAnsi="Times New Roman"/>
      <w:szCs w:val="21"/>
    </w:rPr>
  </w:style>
  <w:style w:type="paragraph" w:customStyle="1" w:styleId="67">
    <w:name w:val="目录 71"/>
    <w:basedOn w:val="1"/>
    <w:next w:val="1"/>
    <w:unhideWhenUsed/>
    <w:qFormat/>
    <w:uiPriority w:val="0"/>
    <w:pPr>
      <w:spacing w:after="57"/>
      <w:ind w:left="1701"/>
    </w:pPr>
  </w:style>
  <w:style w:type="paragraph" w:customStyle="1" w:styleId="68">
    <w:name w:val="正文缩进11"/>
    <w:basedOn w:val="1"/>
    <w:link w:val="69"/>
    <w:qFormat/>
    <w:uiPriority w:val="0"/>
    <w:pPr>
      <w:ind w:firstLine="420"/>
    </w:pPr>
    <w:rPr>
      <w:rFonts w:ascii="宋体"/>
      <w:color w:val="000000"/>
      <w:sz w:val="24"/>
      <w:szCs w:val="20"/>
    </w:rPr>
  </w:style>
  <w:style w:type="character" w:customStyle="1" w:styleId="69">
    <w:name w:val="正文缩进 字符"/>
    <w:link w:val="68"/>
    <w:qFormat/>
    <w:uiPriority w:val="0"/>
    <w:rPr>
      <w:rFonts w:ascii="宋体" w:hAnsi="Calibri"/>
      <w:color w:val="000000"/>
      <w:sz w:val="24"/>
    </w:rPr>
  </w:style>
  <w:style w:type="paragraph" w:customStyle="1" w:styleId="70">
    <w:name w:val="题注1"/>
    <w:basedOn w:val="1"/>
    <w:next w:val="1"/>
    <w:qFormat/>
    <w:uiPriority w:val="35"/>
    <w:pPr>
      <w:spacing w:line="276" w:lineRule="auto"/>
    </w:pPr>
    <w:rPr>
      <w:b/>
      <w:bCs/>
      <w:color w:val="5B9BD5"/>
      <w:sz w:val="18"/>
      <w:szCs w:val="18"/>
    </w:rPr>
  </w:style>
  <w:style w:type="paragraph" w:customStyle="1" w:styleId="71">
    <w:name w:val="文档结构图1"/>
    <w:basedOn w:val="1"/>
    <w:link w:val="72"/>
    <w:semiHidden/>
    <w:qFormat/>
    <w:uiPriority w:val="0"/>
    <w:pPr>
      <w:shd w:val="clear" w:color="auto" w:fill="000080"/>
    </w:pPr>
    <w:rPr>
      <w:rFonts w:ascii="Times New Roman" w:hAnsi="Times New Roman"/>
      <w:szCs w:val="21"/>
    </w:rPr>
  </w:style>
  <w:style w:type="character" w:customStyle="1" w:styleId="72">
    <w:name w:val="文档结构图 字符"/>
    <w:link w:val="71"/>
    <w:semiHidden/>
    <w:qFormat/>
    <w:uiPriority w:val="0"/>
    <w:rPr>
      <w:sz w:val="21"/>
      <w:szCs w:val="21"/>
      <w:shd w:val="clear" w:color="auto" w:fill="000080"/>
    </w:rPr>
  </w:style>
  <w:style w:type="paragraph" w:customStyle="1" w:styleId="73">
    <w:name w:val="批注文字1"/>
    <w:basedOn w:val="1"/>
    <w:link w:val="74"/>
    <w:semiHidden/>
    <w:qFormat/>
    <w:uiPriority w:val="0"/>
    <w:pPr>
      <w:jc w:val="left"/>
    </w:pPr>
    <w:rPr>
      <w:rFonts w:ascii="Times New Roman" w:hAnsi="Times New Roman"/>
      <w:szCs w:val="21"/>
    </w:rPr>
  </w:style>
  <w:style w:type="character" w:customStyle="1" w:styleId="74">
    <w:name w:val="批注文字 字符"/>
    <w:link w:val="73"/>
    <w:semiHidden/>
    <w:qFormat/>
    <w:uiPriority w:val="0"/>
    <w:rPr>
      <w:sz w:val="21"/>
      <w:szCs w:val="21"/>
    </w:rPr>
  </w:style>
  <w:style w:type="paragraph" w:customStyle="1" w:styleId="75">
    <w:name w:val="正文文本 31"/>
    <w:basedOn w:val="1"/>
    <w:link w:val="76"/>
    <w:qFormat/>
    <w:uiPriority w:val="0"/>
    <w:rPr>
      <w:rFonts w:ascii="仿宋_GB2312" w:hAnsi="Arial" w:eastAsia="仿宋_GB2312"/>
      <w:sz w:val="32"/>
      <w:szCs w:val="32"/>
    </w:rPr>
  </w:style>
  <w:style w:type="character" w:customStyle="1" w:styleId="76">
    <w:name w:val="正文文本 3 字符"/>
    <w:link w:val="75"/>
    <w:qFormat/>
    <w:uiPriority w:val="0"/>
    <w:rPr>
      <w:rFonts w:ascii="仿宋_GB2312" w:hAnsi="Arial" w:eastAsia="仿宋_GB2312"/>
      <w:sz w:val="32"/>
      <w:szCs w:val="32"/>
    </w:rPr>
  </w:style>
  <w:style w:type="paragraph" w:customStyle="1" w:styleId="77">
    <w:name w:val="正文文本121"/>
    <w:basedOn w:val="1"/>
    <w:semiHidden/>
    <w:qFormat/>
    <w:uiPriority w:val="0"/>
    <w:rPr>
      <w:rFonts w:ascii="仿宋" w:hAnsi="仿宋" w:eastAsia="仿宋" w:cs="仿宋"/>
      <w:sz w:val="32"/>
      <w:szCs w:val="32"/>
      <w:lang w:val="en-US" w:eastAsia="en-US" w:bidi="ar-SA"/>
    </w:rPr>
  </w:style>
  <w:style w:type="paragraph" w:customStyle="1" w:styleId="78">
    <w:name w:val="正文文本缩进11"/>
    <w:basedOn w:val="1"/>
    <w:link w:val="79"/>
    <w:qFormat/>
    <w:uiPriority w:val="0"/>
    <w:pPr>
      <w:ind w:firstLine="225"/>
    </w:pPr>
    <w:rPr>
      <w:rFonts w:ascii="仿宋_GB2312" w:eastAsia="仿宋_GB2312"/>
      <w:sz w:val="32"/>
    </w:rPr>
  </w:style>
  <w:style w:type="character" w:customStyle="1" w:styleId="79">
    <w:name w:val="正文文本缩进 字符1"/>
    <w:link w:val="78"/>
    <w:qFormat/>
    <w:uiPriority w:val="0"/>
    <w:rPr>
      <w:rFonts w:ascii="仿宋_GB2312" w:hAnsi="Calibri" w:eastAsia="仿宋_GB2312"/>
      <w:sz w:val="32"/>
      <w:szCs w:val="22"/>
    </w:rPr>
  </w:style>
  <w:style w:type="paragraph" w:customStyle="1" w:styleId="80">
    <w:name w:val="列表 21"/>
    <w:basedOn w:val="1"/>
    <w:qFormat/>
    <w:uiPriority w:val="0"/>
    <w:pPr>
      <w:ind w:left="100" w:hanging="200"/>
    </w:pPr>
    <w:rPr>
      <w:rFonts w:ascii="Times New Roman" w:hAnsi="Times New Roman"/>
      <w:szCs w:val="21"/>
    </w:rPr>
  </w:style>
  <w:style w:type="paragraph" w:customStyle="1" w:styleId="81">
    <w:name w:val="目录 51"/>
    <w:basedOn w:val="1"/>
    <w:next w:val="1"/>
    <w:unhideWhenUsed/>
    <w:qFormat/>
    <w:uiPriority w:val="0"/>
    <w:pPr>
      <w:spacing w:after="57"/>
      <w:ind w:left="1134"/>
    </w:pPr>
  </w:style>
  <w:style w:type="paragraph" w:customStyle="1" w:styleId="82">
    <w:name w:val="目录 31"/>
    <w:basedOn w:val="1"/>
    <w:next w:val="1"/>
    <w:unhideWhenUsed/>
    <w:qFormat/>
    <w:uiPriority w:val="0"/>
    <w:pPr>
      <w:spacing w:after="57"/>
      <w:ind w:left="567"/>
    </w:pPr>
  </w:style>
  <w:style w:type="paragraph" w:customStyle="1" w:styleId="83">
    <w:name w:val="纯文本11"/>
    <w:basedOn w:val="1"/>
    <w:link w:val="84"/>
    <w:qFormat/>
    <w:uiPriority w:val="0"/>
    <w:rPr>
      <w:rFonts w:ascii="宋体" w:hAnsi="Courier New" w:cs="Courier New"/>
      <w:szCs w:val="21"/>
    </w:rPr>
  </w:style>
  <w:style w:type="character" w:customStyle="1" w:styleId="84">
    <w:name w:val="纯文本 字符"/>
    <w:link w:val="83"/>
    <w:qFormat/>
    <w:uiPriority w:val="0"/>
    <w:rPr>
      <w:rFonts w:ascii="宋体" w:hAnsi="Courier New" w:cs="Courier New"/>
      <w:sz w:val="21"/>
      <w:szCs w:val="21"/>
    </w:rPr>
  </w:style>
  <w:style w:type="paragraph" w:customStyle="1" w:styleId="85">
    <w:name w:val="目录 81"/>
    <w:basedOn w:val="1"/>
    <w:next w:val="1"/>
    <w:unhideWhenUsed/>
    <w:qFormat/>
    <w:uiPriority w:val="0"/>
    <w:pPr>
      <w:spacing w:after="57"/>
      <w:ind w:left="1984"/>
    </w:pPr>
  </w:style>
  <w:style w:type="paragraph" w:customStyle="1" w:styleId="86">
    <w:name w:val="日期1"/>
    <w:basedOn w:val="1"/>
    <w:next w:val="1"/>
    <w:link w:val="87"/>
    <w:qFormat/>
    <w:uiPriority w:val="0"/>
    <w:rPr>
      <w:rFonts w:ascii="Times New Roman" w:hAnsi="Times New Roman"/>
      <w:sz w:val="24"/>
      <w:szCs w:val="24"/>
    </w:rPr>
  </w:style>
  <w:style w:type="character" w:customStyle="1" w:styleId="87">
    <w:name w:val="日期 字符"/>
    <w:link w:val="86"/>
    <w:qFormat/>
    <w:uiPriority w:val="0"/>
    <w:rPr>
      <w:sz w:val="24"/>
      <w:szCs w:val="24"/>
    </w:rPr>
  </w:style>
  <w:style w:type="paragraph" w:customStyle="1" w:styleId="88">
    <w:name w:val="正文文本缩进 21"/>
    <w:basedOn w:val="1"/>
    <w:link w:val="89"/>
    <w:qFormat/>
    <w:uiPriority w:val="0"/>
    <w:pPr>
      <w:ind w:left="630" w:firstLine="645"/>
    </w:pPr>
    <w:rPr>
      <w:rFonts w:ascii="Arial" w:hAnsi="Arial" w:eastAsia="仿宋_GB2312" w:cs="Arial"/>
      <w:sz w:val="32"/>
      <w:szCs w:val="32"/>
    </w:rPr>
  </w:style>
  <w:style w:type="character" w:customStyle="1" w:styleId="89">
    <w:name w:val="正文文本缩进 2 字符"/>
    <w:link w:val="88"/>
    <w:qFormat/>
    <w:uiPriority w:val="0"/>
    <w:rPr>
      <w:rFonts w:ascii="Arial" w:hAnsi="Arial" w:eastAsia="仿宋_GB2312" w:cs="Arial"/>
      <w:sz w:val="32"/>
      <w:szCs w:val="32"/>
    </w:rPr>
  </w:style>
  <w:style w:type="paragraph" w:customStyle="1" w:styleId="90">
    <w:name w:val="尾注文本1"/>
    <w:basedOn w:val="1"/>
    <w:link w:val="91"/>
    <w:unhideWhenUsed/>
    <w:qFormat/>
    <w:uiPriority w:val="99"/>
    <w:rPr>
      <w:sz w:val="20"/>
    </w:rPr>
  </w:style>
  <w:style w:type="character" w:customStyle="1" w:styleId="91">
    <w:name w:val="尾注文本 字符"/>
    <w:link w:val="90"/>
    <w:qFormat/>
    <w:uiPriority w:val="99"/>
    <w:rPr>
      <w:sz w:val="20"/>
    </w:rPr>
  </w:style>
  <w:style w:type="paragraph" w:customStyle="1" w:styleId="92">
    <w:name w:val="批注框文本1"/>
    <w:basedOn w:val="1"/>
    <w:link w:val="93"/>
    <w:qFormat/>
    <w:uiPriority w:val="0"/>
    <w:rPr>
      <w:rFonts w:ascii="Times New Roman" w:hAnsi="Times New Roman"/>
      <w:sz w:val="18"/>
      <w:szCs w:val="18"/>
    </w:rPr>
  </w:style>
  <w:style w:type="character" w:customStyle="1" w:styleId="93">
    <w:name w:val="批注框文本 字符"/>
    <w:link w:val="92"/>
    <w:qFormat/>
    <w:uiPriority w:val="0"/>
    <w:rPr>
      <w:sz w:val="18"/>
      <w:szCs w:val="18"/>
    </w:rPr>
  </w:style>
  <w:style w:type="paragraph" w:customStyle="1" w:styleId="94">
    <w:name w:val="页脚11"/>
    <w:basedOn w:val="1"/>
    <w:link w:val="95"/>
    <w:qFormat/>
    <w:uiPriority w:val="99"/>
    <w:pPr>
      <w:tabs>
        <w:tab w:val="center" w:pos="4153"/>
        <w:tab w:val="right" w:pos="8306"/>
      </w:tabs>
      <w:jc w:val="left"/>
    </w:pPr>
    <w:rPr>
      <w:sz w:val="18"/>
      <w:szCs w:val="18"/>
    </w:rPr>
  </w:style>
  <w:style w:type="character" w:customStyle="1" w:styleId="95">
    <w:name w:val="页脚 字符"/>
    <w:link w:val="94"/>
    <w:qFormat/>
    <w:uiPriority w:val="99"/>
  </w:style>
  <w:style w:type="paragraph" w:customStyle="1" w:styleId="96">
    <w:name w:val="页眉1"/>
    <w:basedOn w:val="1"/>
    <w:link w:val="97"/>
    <w:qFormat/>
    <w:uiPriority w:val="0"/>
    <w:pPr>
      <w:tabs>
        <w:tab w:val="center" w:pos="4153"/>
        <w:tab w:val="right" w:pos="8306"/>
      </w:tabs>
      <w:jc w:val="center"/>
    </w:pPr>
    <w:rPr>
      <w:sz w:val="18"/>
      <w:szCs w:val="18"/>
    </w:rPr>
  </w:style>
  <w:style w:type="character" w:customStyle="1" w:styleId="97">
    <w:name w:val="页眉 字符"/>
    <w:link w:val="96"/>
    <w:qFormat/>
    <w:uiPriority w:val="0"/>
    <w:rPr>
      <w:rFonts w:ascii="Calibri" w:hAnsi="Calibri"/>
      <w:sz w:val="18"/>
      <w:szCs w:val="18"/>
    </w:rPr>
  </w:style>
  <w:style w:type="paragraph" w:customStyle="1" w:styleId="98">
    <w:name w:val="目录 11"/>
    <w:basedOn w:val="1"/>
    <w:next w:val="1"/>
    <w:qFormat/>
    <w:uiPriority w:val="0"/>
    <w:pPr>
      <w:spacing w:before="120" w:after="120"/>
      <w:jc w:val="left"/>
    </w:pPr>
    <w:rPr>
      <w:rFonts w:cs="Calibri"/>
      <w:b/>
      <w:bCs/>
      <w:caps/>
      <w:sz w:val="20"/>
      <w:szCs w:val="20"/>
    </w:rPr>
  </w:style>
  <w:style w:type="paragraph" w:customStyle="1" w:styleId="99">
    <w:name w:val="目录 41"/>
    <w:basedOn w:val="1"/>
    <w:next w:val="1"/>
    <w:unhideWhenUsed/>
    <w:qFormat/>
    <w:uiPriority w:val="0"/>
    <w:pPr>
      <w:spacing w:after="57"/>
      <w:ind w:left="850"/>
    </w:pPr>
  </w:style>
  <w:style w:type="paragraph" w:customStyle="1" w:styleId="100">
    <w:name w:val="副标题1"/>
    <w:basedOn w:val="1"/>
    <w:next w:val="1"/>
    <w:link w:val="101"/>
    <w:qFormat/>
    <w:uiPriority w:val="11"/>
    <w:pPr>
      <w:spacing w:before="200" w:after="200"/>
    </w:pPr>
    <w:rPr>
      <w:sz w:val="24"/>
      <w:szCs w:val="24"/>
    </w:rPr>
  </w:style>
  <w:style w:type="character" w:customStyle="1" w:styleId="101">
    <w:name w:val="副标题 字符"/>
    <w:link w:val="100"/>
    <w:qFormat/>
    <w:uiPriority w:val="11"/>
    <w:rPr>
      <w:sz w:val="24"/>
      <w:szCs w:val="24"/>
    </w:rPr>
  </w:style>
  <w:style w:type="paragraph" w:customStyle="1" w:styleId="102">
    <w:name w:val="列表1"/>
    <w:basedOn w:val="1"/>
    <w:qFormat/>
    <w:uiPriority w:val="0"/>
    <w:pPr>
      <w:ind w:left="200" w:hanging="200"/>
    </w:pPr>
    <w:rPr>
      <w:rFonts w:ascii="Times New Roman" w:hAnsi="Times New Roman"/>
      <w:szCs w:val="21"/>
    </w:rPr>
  </w:style>
  <w:style w:type="paragraph" w:customStyle="1" w:styleId="103">
    <w:name w:val="脚注文本11"/>
    <w:basedOn w:val="1"/>
    <w:link w:val="104"/>
    <w:unhideWhenUsed/>
    <w:qFormat/>
    <w:uiPriority w:val="99"/>
    <w:pPr>
      <w:spacing w:after="40"/>
    </w:pPr>
    <w:rPr>
      <w:sz w:val="18"/>
    </w:rPr>
  </w:style>
  <w:style w:type="character" w:customStyle="1" w:styleId="104">
    <w:name w:val="脚注文本 字符"/>
    <w:link w:val="103"/>
    <w:qFormat/>
    <w:uiPriority w:val="99"/>
    <w:rPr>
      <w:sz w:val="18"/>
    </w:rPr>
  </w:style>
  <w:style w:type="paragraph" w:customStyle="1" w:styleId="105">
    <w:name w:val="目录 61"/>
    <w:basedOn w:val="1"/>
    <w:next w:val="1"/>
    <w:unhideWhenUsed/>
    <w:qFormat/>
    <w:uiPriority w:val="0"/>
    <w:pPr>
      <w:spacing w:after="57"/>
      <w:ind w:left="1417"/>
    </w:pPr>
  </w:style>
  <w:style w:type="paragraph" w:customStyle="1" w:styleId="106">
    <w:name w:val="正文文本缩进 31"/>
    <w:basedOn w:val="1"/>
    <w:link w:val="107"/>
    <w:qFormat/>
    <w:uiPriority w:val="0"/>
    <w:pPr>
      <w:ind w:left="645" w:firstLine="645"/>
    </w:pPr>
    <w:rPr>
      <w:rFonts w:ascii="Arial" w:hAnsi="Arial" w:eastAsia="仿宋_GB2312" w:cs="Arial"/>
      <w:color w:val="FFFF00"/>
      <w:sz w:val="32"/>
      <w:szCs w:val="32"/>
    </w:rPr>
  </w:style>
  <w:style w:type="character" w:customStyle="1" w:styleId="107">
    <w:name w:val="正文文本缩进 3 字符"/>
    <w:link w:val="106"/>
    <w:qFormat/>
    <w:uiPriority w:val="0"/>
    <w:rPr>
      <w:rFonts w:ascii="Arial" w:hAnsi="Arial" w:eastAsia="仿宋_GB2312" w:cs="Arial"/>
      <w:color w:val="FFFF00"/>
      <w:sz w:val="32"/>
      <w:szCs w:val="32"/>
    </w:rPr>
  </w:style>
  <w:style w:type="paragraph" w:customStyle="1" w:styleId="108">
    <w:name w:val="图表目录1"/>
    <w:basedOn w:val="1"/>
    <w:next w:val="1"/>
    <w:unhideWhenUsed/>
    <w:qFormat/>
    <w:uiPriority w:val="0"/>
  </w:style>
  <w:style w:type="paragraph" w:customStyle="1" w:styleId="109">
    <w:name w:val="目录 21"/>
    <w:basedOn w:val="1"/>
    <w:next w:val="1"/>
    <w:qFormat/>
    <w:uiPriority w:val="0"/>
    <w:pPr>
      <w:ind w:left="210"/>
      <w:jc w:val="left"/>
    </w:pPr>
    <w:rPr>
      <w:rFonts w:cs="Calibri"/>
      <w:smallCaps/>
      <w:sz w:val="20"/>
      <w:szCs w:val="20"/>
    </w:rPr>
  </w:style>
  <w:style w:type="paragraph" w:customStyle="1" w:styleId="110">
    <w:name w:val="目录 91"/>
    <w:basedOn w:val="1"/>
    <w:next w:val="1"/>
    <w:unhideWhenUsed/>
    <w:qFormat/>
    <w:uiPriority w:val="0"/>
    <w:pPr>
      <w:spacing w:after="57"/>
      <w:ind w:left="2268"/>
    </w:pPr>
  </w:style>
  <w:style w:type="paragraph" w:customStyle="1" w:styleId="111">
    <w:name w:val="正文文本 21"/>
    <w:basedOn w:val="1"/>
    <w:link w:val="112"/>
    <w:qFormat/>
    <w:uiPriority w:val="0"/>
    <w:pPr>
      <w:widowControl/>
      <w:jc w:val="center"/>
    </w:pPr>
    <w:rPr>
      <w:rFonts w:ascii="楷体_GB2312" w:hAnsi="Times New Roman" w:eastAsia="楷体_GB2312"/>
      <w:sz w:val="28"/>
      <w:szCs w:val="28"/>
    </w:rPr>
  </w:style>
  <w:style w:type="character" w:customStyle="1" w:styleId="112">
    <w:name w:val="正文文本 2 字符"/>
    <w:link w:val="111"/>
    <w:qFormat/>
    <w:uiPriority w:val="0"/>
    <w:rPr>
      <w:rFonts w:ascii="楷体_GB2312" w:eastAsia="楷体_GB2312"/>
      <w:sz w:val="28"/>
      <w:szCs w:val="28"/>
    </w:rPr>
  </w:style>
  <w:style w:type="paragraph" w:customStyle="1" w:styleId="113">
    <w:name w:val="HTML 预设格式1"/>
    <w:basedOn w:val="1"/>
    <w:link w:val="11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szCs w:val="24"/>
    </w:rPr>
  </w:style>
  <w:style w:type="character" w:customStyle="1" w:styleId="114">
    <w:name w:val="HTML 预设格式 字符"/>
    <w:link w:val="113"/>
    <w:qFormat/>
    <w:uiPriority w:val="99"/>
    <w:rPr>
      <w:rFonts w:ascii="宋体" w:hAnsi="宋体"/>
      <w:sz w:val="24"/>
      <w:szCs w:val="24"/>
    </w:rPr>
  </w:style>
  <w:style w:type="paragraph" w:customStyle="1" w:styleId="115">
    <w:name w:val="普通(网站)111"/>
    <w:basedOn w:val="1"/>
    <w:qFormat/>
    <w:uiPriority w:val="99"/>
    <w:pPr>
      <w:widowControl/>
      <w:spacing w:before="100" w:beforeAutospacing="1" w:after="100" w:afterAutospacing="1"/>
      <w:jc w:val="left"/>
    </w:pPr>
    <w:rPr>
      <w:rFonts w:ascii="宋体" w:hAnsi="宋体" w:cs="宋体"/>
      <w:sz w:val="24"/>
      <w:szCs w:val="24"/>
    </w:rPr>
  </w:style>
  <w:style w:type="paragraph" w:customStyle="1" w:styleId="116">
    <w:name w:val="索引 11"/>
    <w:basedOn w:val="1"/>
    <w:next w:val="1"/>
    <w:semiHidden/>
    <w:qFormat/>
    <w:uiPriority w:val="0"/>
    <w:pPr>
      <w:spacing w:line="240" w:lineRule="atLeast"/>
    </w:pPr>
    <w:rPr>
      <w:rFonts w:ascii="Times New Roman" w:hAnsi="Times New Roman"/>
      <w:b/>
      <w:bCs/>
      <w:szCs w:val="21"/>
    </w:rPr>
  </w:style>
  <w:style w:type="paragraph" w:customStyle="1" w:styleId="117">
    <w:name w:val="标题11"/>
    <w:basedOn w:val="1"/>
    <w:next w:val="1"/>
    <w:link w:val="118"/>
    <w:qFormat/>
    <w:uiPriority w:val="10"/>
    <w:pPr>
      <w:spacing w:before="300" w:after="200"/>
      <w:contextualSpacing/>
    </w:pPr>
    <w:rPr>
      <w:sz w:val="48"/>
      <w:szCs w:val="48"/>
    </w:rPr>
  </w:style>
  <w:style w:type="character" w:customStyle="1" w:styleId="118">
    <w:name w:val="标题 字符"/>
    <w:link w:val="117"/>
    <w:qFormat/>
    <w:uiPriority w:val="10"/>
    <w:rPr>
      <w:sz w:val="48"/>
      <w:szCs w:val="48"/>
    </w:rPr>
  </w:style>
  <w:style w:type="paragraph" w:customStyle="1" w:styleId="119">
    <w:name w:val="批注主题1"/>
    <w:basedOn w:val="73"/>
    <w:next w:val="73"/>
    <w:link w:val="120"/>
    <w:semiHidden/>
    <w:qFormat/>
    <w:uiPriority w:val="0"/>
    <w:rPr>
      <w:b/>
      <w:bCs/>
    </w:rPr>
  </w:style>
  <w:style w:type="character" w:customStyle="1" w:styleId="120">
    <w:name w:val="批注主题 字符"/>
    <w:link w:val="119"/>
    <w:semiHidden/>
    <w:qFormat/>
    <w:uiPriority w:val="0"/>
    <w:rPr>
      <w:b/>
      <w:bCs/>
      <w:sz w:val="21"/>
      <w:szCs w:val="21"/>
    </w:rPr>
  </w:style>
  <w:style w:type="paragraph" w:customStyle="1" w:styleId="121">
    <w:name w:val="正文首行缩进 211"/>
    <w:basedOn w:val="78"/>
    <w:link w:val="122"/>
    <w:qFormat/>
    <w:uiPriority w:val="0"/>
    <w:pPr>
      <w:spacing w:line="360" w:lineRule="auto"/>
      <w:ind w:firstLine="420"/>
    </w:pPr>
    <w:rPr>
      <w:rFonts w:ascii="宋体" w:hAnsi="宋体" w:eastAsia="宋体"/>
      <w:sz w:val="21"/>
      <w:szCs w:val="20"/>
    </w:rPr>
  </w:style>
  <w:style w:type="character" w:customStyle="1" w:styleId="122">
    <w:name w:val="正文文本首行缩进 2 字符"/>
    <w:link w:val="121"/>
    <w:qFormat/>
    <w:uiPriority w:val="0"/>
    <w:rPr>
      <w:rFonts w:ascii="宋体" w:hAnsi="宋体" w:eastAsia="仿宋_GB2312"/>
      <w:sz w:val="21"/>
      <w:szCs w:val="22"/>
    </w:rPr>
  </w:style>
  <w:style w:type="table" w:customStyle="1" w:styleId="123">
    <w:name w:val="网格型1"/>
    <w:basedOn w:val="56"/>
    <w:qFormat/>
    <w:uiPriority w:val="0"/>
    <w:pPr>
      <w:widowControl w:val="0"/>
      <w:jc w:val="both"/>
    </w:pPr>
  </w:style>
  <w:style w:type="character" w:customStyle="1" w:styleId="124">
    <w:name w:val="要点1"/>
    <w:link w:val="1"/>
    <w:qFormat/>
    <w:uiPriority w:val="0"/>
    <w:rPr>
      <w:b/>
      <w:bCs/>
    </w:rPr>
  </w:style>
  <w:style w:type="character" w:customStyle="1" w:styleId="125">
    <w:name w:val="尾注引用1"/>
    <w:link w:val="1"/>
    <w:unhideWhenUsed/>
    <w:qFormat/>
    <w:uiPriority w:val="99"/>
    <w:rPr>
      <w:vertAlign w:val="superscript"/>
    </w:rPr>
  </w:style>
  <w:style w:type="character" w:customStyle="1" w:styleId="126">
    <w:name w:val="页码11"/>
    <w:link w:val="1"/>
    <w:qFormat/>
    <w:uiPriority w:val="0"/>
  </w:style>
  <w:style w:type="character" w:customStyle="1" w:styleId="127">
    <w:name w:val="已访问的超链接1"/>
    <w:link w:val="1"/>
    <w:qFormat/>
    <w:uiPriority w:val="0"/>
    <w:rPr>
      <w:color w:val="800080"/>
      <w:u w:val="single"/>
    </w:rPr>
  </w:style>
  <w:style w:type="character" w:customStyle="1" w:styleId="128">
    <w:name w:val="超链接1"/>
    <w:link w:val="1"/>
    <w:qFormat/>
    <w:uiPriority w:val="0"/>
    <w:rPr>
      <w:color w:val="0000FF"/>
      <w:u w:val="single"/>
    </w:rPr>
  </w:style>
  <w:style w:type="character" w:customStyle="1" w:styleId="129">
    <w:name w:val="批注引用1"/>
    <w:link w:val="1"/>
    <w:semiHidden/>
    <w:qFormat/>
    <w:uiPriority w:val="0"/>
    <w:rPr>
      <w:sz w:val="21"/>
      <w:szCs w:val="21"/>
    </w:rPr>
  </w:style>
  <w:style w:type="character" w:customStyle="1" w:styleId="130">
    <w:name w:val="脚注引用1"/>
    <w:link w:val="1"/>
    <w:unhideWhenUsed/>
    <w:qFormat/>
    <w:uiPriority w:val="99"/>
    <w:rPr>
      <w:vertAlign w:val="superscript"/>
    </w:rPr>
  </w:style>
  <w:style w:type="paragraph" w:customStyle="1" w:styleId="131">
    <w:name w:val="正文首行缩进1"/>
    <w:basedOn w:val="132"/>
    <w:qFormat/>
    <w:uiPriority w:val="0"/>
    <w:pPr>
      <w:spacing w:after="120" w:line="240" w:lineRule="auto"/>
      <w:ind w:firstLine="100"/>
    </w:pPr>
    <w:rPr>
      <w:rFonts w:ascii="Times New Roman" w:hAnsi="Times New Roman" w:eastAsia="宋体"/>
      <w:sz w:val="21"/>
    </w:rPr>
  </w:style>
  <w:style w:type="paragraph" w:customStyle="1" w:styleId="132">
    <w:name w:val="正文文本1"/>
    <w:basedOn w:val="1"/>
    <w:qFormat/>
    <w:uiPriority w:val="0"/>
    <w:pPr>
      <w:spacing w:line="60" w:lineRule="auto"/>
    </w:pPr>
    <w:rPr>
      <w:rFonts w:ascii="仿宋_GB2312" w:eastAsia="仿宋_GB2312"/>
      <w:sz w:val="32"/>
    </w:rPr>
  </w:style>
  <w:style w:type="paragraph" w:customStyle="1" w:styleId="133">
    <w:name w:val="Body Text First Indent1"/>
    <w:basedOn w:val="134"/>
    <w:unhideWhenUsed/>
    <w:qFormat/>
    <w:uiPriority w:val="99"/>
    <w:pPr>
      <w:ind w:firstLine="420"/>
    </w:pPr>
  </w:style>
  <w:style w:type="paragraph" w:customStyle="1" w:styleId="134">
    <w:name w:val="Body Text1"/>
    <w:basedOn w:val="47"/>
    <w:unhideWhenUsed/>
    <w:qFormat/>
    <w:uiPriority w:val="99"/>
    <w:pPr>
      <w:spacing w:after="120"/>
    </w:pPr>
  </w:style>
  <w:style w:type="paragraph" w:customStyle="1" w:styleId="135">
    <w:name w:val="正文首行缩进 21"/>
    <w:basedOn w:val="136"/>
    <w:next w:val="1"/>
    <w:qFormat/>
    <w:uiPriority w:val="0"/>
    <w:pPr>
      <w:spacing w:line="360" w:lineRule="auto"/>
      <w:ind w:firstLine="420"/>
    </w:pPr>
    <w:rPr>
      <w:rFonts w:ascii="宋体" w:hAnsi="宋体" w:eastAsia="宋体"/>
      <w:sz w:val="21"/>
      <w:szCs w:val="20"/>
    </w:rPr>
  </w:style>
  <w:style w:type="paragraph" w:customStyle="1" w:styleId="136">
    <w:name w:val="正文文本缩进1"/>
    <w:basedOn w:val="1"/>
    <w:next w:val="137"/>
    <w:qFormat/>
    <w:uiPriority w:val="0"/>
    <w:pPr>
      <w:ind w:firstLine="645"/>
    </w:pPr>
    <w:rPr>
      <w:rFonts w:ascii="楷体_GB2312" w:eastAsia="楷体_GB2312"/>
      <w:sz w:val="32"/>
      <w:szCs w:val="32"/>
    </w:rPr>
  </w:style>
  <w:style w:type="paragraph" w:customStyle="1" w:styleId="137">
    <w:name w:val="寄信人地址1"/>
    <w:basedOn w:val="1"/>
    <w:qFormat/>
    <w:uiPriority w:val="0"/>
    <w:rPr>
      <w:rFonts w:ascii="Arial" w:hAnsi="Arial"/>
    </w:rPr>
  </w:style>
  <w:style w:type="paragraph" w:customStyle="1" w:styleId="138">
    <w:name w:val="标题 41"/>
    <w:basedOn w:val="139"/>
    <w:next w:val="1"/>
    <w:qFormat/>
    <w:uiPriority w:val="0"/>
    <w:pPr>
      <w:keepNext/>
      <w:keepLines/>
      <w:widowControl w:val="0"/>
      <w:tabs>
        <w:tab w:val="left" w:pos="1134"/>
        <w:tab w:val="right" w:pos="7371"/>
      </w:tabs>
      <w:spacing w:line="360" w:lineRule="auto"/>
      <w:outlineLvl w:val="3"/>
    </w:pPr>
    <w:rPr>
      <w:rFonts w:ascii="宋体"/>
      <w:color w:val="800000"/>
      <w:sz w:val="28"/>
      <w:szCs w:val="20"/>
    </w:rPr>
  </w:style>
  <w:style w:type="paragraph" w:customStyle="1" w:styleId="139">
    <w:name w:val="Normal_20"/>
    <w:next w:val="140"/>
    <w:qFormat/>
    <w:uiPriority w:val="0"/>
    <w:rPr>
      <w:rFonts w:hint="default" w:ascii="黑体" w:hAnsi="黑体" w:eastAsia="黑体" w:cs="黑体"/>
      <w:b/>
      <w:sz w:val="32"/>
      <w:szCs w:val="24"/>
      <w:lang w:val="en-US" w:eastAsia="zh-CN" w:bidi="ar-SA"/>
    </w:rPr>
  </w:style>
  <w:style w:type="paragraph" w:customStyle="1" w:styleId="140">
    <w:name w:val="Body Text First Indent_2"/>
    <w:basedOn w:val="139"/>
    <w:qFormat/>
    <w:uiPriority w:val="0"/>
    <w:pPr>
      <w:spacing w:after="120"/>
      <w:ind w:firstLine="100"/>
    </w:pPr>
  </w:style>
  <w:style w:type="paragraph" w:customStyle="1" w:styleId="141">
    <w:name w:val="脚注文本1"/>
    <w:basedOn w:val="1"/>
    <w:qFormat/>
    <w:uiPriority w:val="0"/>
    <w:pPr>
      <w:jc w:val="left"/>
    </w:pPr>
    <w:rPr>
      <w:rFonts w:eastAsia="Times New Roman"/>
      <w:sz w:val="18"/>
      <w:szCs w:val="24"/>
    </w:rPr>
  </w:style>
  <w:style w:type="table" w:customStyle="1" w:styleId="142">
    <w:name w:val="Plain Table 1"/>
    <w:basedOn w:val="56"/>
    <w:qFormat/>
    <w:uiPriority w:val="59"/>
    <w:pPr>
      <w:spacing w:after="0" w:line="240" w:lineRule="auto"/>
    </w:pPr>
  </w:style>
  <w:style w:type="table" w:customStyle="1" w:styleId="143">
    <w:name w:val="Plain Table 2"/>
    <w:basedOn w:val="56"/>
    <w:qFormat/>
    <w:uiPriority w:val="59"/>
    <w:pPr>
      <w:spacing w:after="0" w:line="240" w:lineRule="auto"/>
    </w:pPr>
  </w:style>
  <w:style w:type="table" w:customStyle="1" w:styleId="144">
    <w:name w:val="Plain Table 3"/>
    <w:basedOn w:val="56"/>
    <w:qFormat/>
    <w:uiPriority w:val="99"/>
    <w:pPr>
      <w:spacing w:after="0" w:line="240" w:lineRule="auto"/>
    </w:pPr>
  </w:style>
  <w:style w:type="table" w:customStyle="1" w:styleId="145">
    <w:name w:val="Plain Table 4"/>
    <w:basedOn w:val="56"/>
    <w:qFormat/>
    <w:uiPriority w:val="99"/>
    <w:pPr>
      <w:spacing w:after="0" w:line="240" w:lineRule="auto"/>
    </w:pPr>
  </w:style>
  <w:style w:type="table" w:customStyle="1" w:styleId="146">
    <w:name w:val="Plain Table 5"/>
    <w:basedOn w:val="56"/>
    <w:qFormat/>
    <w:uiPriority w:val="99"/>
    <w:pPr>
      <w:spacing w:after="0" w:line="240" w:lineRule="auto"/>
    </w:pPr>
  </w:style>
  <w:style w:type="table" w:customStyle="1" w:styleId="147">
    <w:name w:val="Grid Table 1 Light"/>
    <w:basedOn w:val="56"/>
    <w:qFormat/>
    <w:uiPriority w:val="99"/>
    <w:pPr>
      <w:spacing w:after="0" w:line="240" w:lineRule="auto"/>
    </w:pPr>
  </w:style>
  <w:style w:type="table" w:customStyle="1" w:styleId="148">
    <w:name w:val="Grid Table 2"/>
    <w:basedOn w:val="56"/>
    <w:qFormat/>
    <w:uiPriority w:val="99"/>
    <w:pPr>
      <w:spacing w:after="0" w:line="240" w:lineRule="auto"/>
    </w:pPr>
  </w:style>
  <w:style w:type="table" w:customStyle="1" w:styleId="149">
    <w:name w:val="Grid Table 3"/>
    <w:basedOn w:val="56"/>
    <w:qFormat/>
    <w:uiPriority w:val="99"/>
    <w:pPr>
      <w:spacing w:after="0" w:line="240" w:lineRule="auto"/>
    </w:pPr>
  </w:style>
  <w:style w:type="table" w:customStyle="1" w:styleId="150">
    <w:name w:val="Grid Table 4"/>
    <w:basedOn w:val="56"/>
    <w:qFormat/>
    <w:uiPriority w:val="59"/>
    <w:pPr>
      <w:spacing w:after="0" w:line="240" w:lineRule="auto"/>
    </w:pPr>
  </w:style>
  <w:style w:type="table" w:customStyle="1" w:styleId="151">
    <w:name w:val="Grid Table 5 Dark"/>
    <w:basedOn w:val="56"/>
    <w:qFormat/>
    <w:uiPriority w:val="99"/>
    <w:pPr>
      <w:spacing w:after="0" w:line="240" w:lineRule="auto"/>
    </w:pPr>
  </w:style>
  <w:style w:type="table" w:customStyle="1" w:styleId="152">
    <w:name w:val="Grid Table 6 Colorful"/>
    <w:basedOn w:val="56"/>
    <w:qFormat/>
    <w:uiPriority w:val="99"/>
    <w:pPr>
      <w:spacing w:after="0" w:line="240" w:lineRule="auto"/>
    </w:pPr>
  </w:style>
  <w:style w:type="table" w:customStyle="1" w:styleId="153">
    <w:name w:val="Grid Table 7 Colorful"/>
    <w:basedOn w:val="56"/>
    <w:qFormat/>
    <w:uiPriority w:val="99"/>
    <w:pPr>
      <w:spacing w:after="0" w:line="240" w:lineRule="auto"/>
    </w:pPr>
  </w:style>
  <w:style w:type="table" w:customStyle="1" w:styleId="154">
    <w:name w:val="List Table 1 Light"/>
    <w:basedOn w:val="56"/>
    <w:qFormat/>
    <w:uiPriority w:val="99"/>
    <w:pPr>
      <w:spacing w:after="0" w:line="240" w:lineRule="auto"/>
    </w:pPr>
  </w:style>
  <w:style w:type="table" w:customStyle="1" w:styleId="155">
    <w:name w:val="List Table 2"/>
    <w:basedOn w:val="56"/>
    <w:qFormat/>
    <w:uiPriority w:val="99"/>
    <w:pPr>
      <w:spacing w:after="0" w:line="240" w:lineRule="auto"/>
    </w:pPr>
  </w:style>
  <w:style w:type="table" w:customStyle="1" w:styleId="156">
    <w:name w:val="List Table 3"/>
    <w:basedOn w:val="56"/>
    <w:qFormat/>
    <w:uiPriority w:val="99"/>
    <w:pPr>
      <w:spacing w:after="0" w:line="240" w:lineRule="auto"/>
    </w:pPr>
  </w:style>
  <w:style w:type="table" w:customStyle="1" w:styleId="157">
    <w:name w:val="List Table 4"/>
    <w:basedOn w:val="56"/>
    <w:qFormat/>
    <w:uiPriority w:val="99"/>
    <w:pPr>
      <w:spacing w:after="0" w:line="240" w:lineRule="auto"/>
    </w:pPr>
  </w:style>
  <w:style w:type="table" w:customStyle="1" w:styleId="158">
    <w:name w:val="List Table 5 Dark"/>
    <w:basedOn w:val="56"/>
    <w:qFormat/>
    <w:uiPriority w:val="99"/>
    <w:pPr>
      <w:spacing w:after="0" w:line="240" w:lineRule="auto"/>
    </w:pPr>
  </w:style>
  <w:style w:type="table" w:customStyle="1" w:styleId="159">
    <w:name w:val="List Table 6 Colorful"/>
    <w:basedOn w:val="56"/>
    <w:qFormat/>
    <w:uiPriority w:val="99"/>
    <w:pPr>
      <w:spacing w:after="0" w:line="240" w:lineRule="auto"/>
    </w:pPr>
  </w:style>
  <w:style w:type="table" w:customStyle="1" w:styleId="160">
    <w:name w:val="List Table 7 Colorful"/>
    <w:basedOn w:val="56"/>
    <w:qFormat/>
    <w:uiPriority w:val="99"/>
    <w:pPr>
      <w:spacing w:after="0" w:line="240" w:lineRule="auto"/>
    </w:pPr>
  </w:style>
  <w:style w:type="paragraph" w:customStyle="1" w:styleId="161">
    <w:name w:val="TOC Heading"/>
    <w:unhideWhenUsed/>
    <w:qFormat/>
    <w:uiPriority w:val="39"/>
    <w:rPr>
      <w:rFonts w:hint="default" w:ascii="Times New Roman" w:hAnsi="Times New Roman" w:eastAsia="宋体" w:cs="Times New Roman"/>
      <w:lang w:val="en-US" w:eastAsia="zh-CN" w:bidi="ar-SA"/>
    </w:rPr>
  </w:style>
  <w:style w:type="table" w:customStyle="1" w:styleId="162">
    <w:name w:val="无格式表格 11"/>
    <w:basedOn w:val="56"/>
    <w:qFormat/>
    <w:uiPriority w:val="59"/>
  </w:style>
  <w:style w:type="table" w:customStyle="1" w:styleId="163">
    <w:name w:val="无格式表格 21"/>
    <w:basedOn w:val="56"/>
    <w:qFormat/>
    <w:uiPriority w:val="59"/>
  </w:style>
  <w:style w:type="table" w:customStyle="1" w:styleId="164">
    <w:name w:val="无格式表格 31"/>
    <w:basedOn w:val="56"/>
    <w:qFormat/>
    <w:uiPriority w:val="99"/>
  </w:style>
  <w:style w:type="table" w:customStyle="1" w:styleId="165">
    <w:name w:val="无格式表格 41"/>
    <w:basedOn w:val="56"/>
    <w:qFormat/>
    <w:uiPriority w:val="99"/>
  </w:style>
  <w:style w:type="table" w:customStyle="1" w:styleId="166">
    <w:name w:val="无格式表格 51"/>
    <w:basedOn w:val="56"/>
    <w:qFormat/>
    <w:uiPriority w:val="99"/>
  </w:style>
  <w:style w:type="table" w:customStyle="1" w:styleId="167">
    <w:name w:val="网格表 1 浅色1"/>
    <w:basedOn w:val="56"/>
    <w:qFormat/>
    <w:uiPriority w:val="99"/>
  </w:style>
  <w:style w:type="table" w:customStyle="1" w:styleId="168">
    <w:name w:val="网格表 21"/>
    <w:basedOn w:val="56"/>
    <w:qFormat/>
    <w:uiPriority w:val="99"/>
  </w:style>
  <w:style w:type="table" w:customStyle="1" w:styleId="169">
    <w:name w:val="网格表 31"/>
    <w:basedOn w:val="56"/>
    <w:qFormat/>
    <w:uiPriority w:val="99"/>
  </w:style>
  <w:style w:type="table" w:customStyle="1" w:styleId="170">
    <w:name w:val="网格表 41"/>
    <w:basedOn w:val="56"/>
    <w:qFormat/>
    <w:uiPriority w:val="59"/>
  </w:style>
  <w:style w:type="table" w:customStyle="1" w:styleId="171">
    <w:name w:val="网格表 5 深色1"/>
    <w:basedOn w:val="56"/>
    <w:qFormat/>
    <w:uiPriority w:val="99"/>
  </w:style>
  <w:style w:type="table" w:customStyle="1" w:styleId="172">
    <w:name w:val="网格表 6 彩色1"/>
    <w:basedOn w:val="56"/>
    <w:qFormat/>
    <w:uiPriority w:val="99"/>
  </w:style>
  <w:style w:type="table" w:customStyle="1" w:styleId="173">
    <w:name w:val="网格表 7 彩色1"/>
    <w:basedOn w:val="56"/>
    <w:qFormat/>
    <w:uiPriority w:val="99"/>
  </w:style>
  <w:style w:type="table" w:customStyle="1" w:styleId="174">
    <w:name w:val="清单表 1 浅色1"/>
    <w:basedOn w:val="56"/>
    <w:qFormat/>
    <w:uiPriority w:val="99"/>
  </w:style>
  <w:style w:type="table" w:customStyle="1" w:styleId="175">
    <w:name w:val="清单表 21"/>
    <w:basedOn w:val="56"/>
    <w:qFormat/>
    <w:uiPriority w:val="99"/>
  </w:style>
  <w:style w:type="table" w:customStyle="1" w:styleId="176">
    <w:name w:val="清单表 31"/>
    <w:basedOn w:val="56"/>
    <w:qFormat/>
    <w:uiPriority w:val="99"/>
  </w:style>
  <w:style w:type="table" w:customStyle="1" w:styleId="177">
    <w:name w:val="清单表 41"/>
    <w:basedOn w:val="56"/>
    <w:qFormat/>
    <w:uiPriority w:val="99"/>
  </w:style>
  <w:style w:type="table" w:customStyle="1" w:styleId="178">
    <w:name w:val="清单表 5 深色1"/>
    <w:basedOn w:val="56"/>
    <w:qFormat/>
    <w:uiPriority w:val="99"/>
  </w:style>
  <w:style w:type="table" w:customStyle="1" w:styleId="179">
    <w:name w:val="清单表 6 彩色1"/>
    <w:basedOn w:val="56"/>
    <w:qFormat/>
    <w:uiPriority w:val="99"/>
  </w:style>
  <w:style w:type="table" w:customStyle="1" w:styleId="180">
    <w:name w:val="清单表 7 彩色1"/>
    <w:basedOn w:val="56"/>
    <w:qFormat/>
    <w:uiPriority w:val="99"/>
  </w:style>
  <w:style w:type="paragraph" w:customStyle="1" w:styleId="181">
    <w:name w:val="TOC 标题1"/>
    <w:unhideWhenUsed/>
    <w:qFormat/>
    <w:uiPriority w:val="39"/>
    <w:rPr>
      <w:rFonts w:hint="default" w:ascii="Times New Roman" w:hAnsi="Times New Roman" w:eastAsia="宋体" w:cs="Times New Roman"/>
      <w:lang w:val="en-US" w:eastAsia="zh-CN" w:bidi="ar-SA"/>
    </w:rPr>
  </w:style>
  <w:style w:type="paragraph" w:customStyle="1" w:styleId="182">
    <w:name w:val="Normal_21"/>
    <w:basedOn w:val="183"/>
    <w:next w:val="183"/>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183">
    <w:name w:val="正文_16"/>
    <w:qFormat/>
    <w:uiPriority w:val="0"/>
    <w:pPr>
      <w:widowControl w:val="0"/>
      <w:jc w:val="both"/>
    </w:pPr>
    <w:rPr>
      <w:rFonts w:hint="default" w:ascii="Calibri" w:hAnsi="Calibri" w:eastAsia="宋体" w:cs="Times New Roman"/>
      <w:sz w:val="21"/>
      <w:szCs w:val="22"/>
      <w:lang w:val="en-US" w:eastAsia="zh-CN" w:bidi="ar-SA"/>
    </w:rPr>
  </w:style>
  <w:style w:type="paragraph" w:customStyle="1" w:styleId="184">
    <w:name w:val="正文_17"/>
    <w:next w:val="185"/>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185">
    <w:name w:val="标题 4_1"/>
    <w:basedOn w:val="184"/>
    <w:next w:val="184"/>
    <w:qFormat/>
    <w:uiPriority w:val="0"/>
    <w:pPr>
      <w:keepNext/>
      <w:keepLines/>
      <w:tabs>
        <w:tab w:val="left" w:pos="1134"/>
        <w:tab w:val="right" w:pos="7371"/>
      </w:tabs>
      <w:spacing w:line="360" w:lineRule="auto"/>
      <w:outlineLvl w:val="3"/>
    </w:pPr>
    <w:rPr>
      <w:rFonts w:ascii="宋体"/>
      <w:color w:val="800000"/>
      <w:sz w:val="28"/>
      <w:szCs w:val="20"/>
    </w:rPr>
  </w:style>
  <w:style w:type="character" w:customStyle="1" w:styleId="186">
    <w:name w:val="Heading 1 Char"/>
    <w:link w:val="1"/>
    <w:qFormat/>
    <w:uiPriority w:val="9"/>
    <w:rPr>
      <w:rFonts w:ascii="Arial" w:hAnsi="Arial" w:eastAsia="Arial" w:cs="Arial"/>
      <w:sz w:val="40"/>
      <w:szCs w:val="40"/>
    </w:rPr>
  </w:style>
  <w:style w:type="character" w:customStyle="1" w:styleId="187">
    <w:name w:val="Heading 2 Char"/>
    <w:link w:val="1"/>
    <w:qFormat/>
    <w:uiPriority w:val="9"/>
    <w:rPr>
      <w:rFonts w:ascii="Arial" w:hAnsi="Arial" w:eastAsia="Arial" w:cs="Arial"/>
      <w:sz w:val="34"/>
    </w:rPr>
  </w:style>
  <w:style w:type="character" w:customStyle="1" w:styleId="188">
    <w:name w:val="Heading 3 Char"/>
    <w:link w:val="1"/>
    <w:qFormat/>
    <w:uiPriority w:val="9"/>
    <w:rPr>
      <w:rFonts w:ascii="Arial" w:hAnsi="Arial" w:eastAsia="Arial" w:cs="Arial"/>
      <w:sz w:val="30"/>
      <w:szCs w:val="30"/>
    </w:rPr>
  </w:style>
  <w:style w:type="character" w:customStyle="1" w:styleId="189">
    <w:name w:val="Heading 4 Char"/>
    <w:link w:val="1"/>
    <w:qFormat/>
    <w:uiPriority w:val="9"/>
    <w:rPr>
      <w:rFonts w:ascii="Arial" w:hAnsi="Arial" w:eastAsia="Arial" w:cs="Arial"/>
      <w:b/>
      <w:bCs/>
      <w:sz w:val="26"/>
      <w:szCs w:val="26"/>
    </w:rPr>
  </w:style>
  <w:style w:type="character" w:customStyle="1" w:styleId="190">
    <w:name w:val="Heading 5 Char"/>
    <w:link w:val="1"/>
    <w:qFormat/>
    <w:uiPriority w:val="9"/>
    <w:rPr>
      <w:rFonts w:ascii="Arial" w:hAnsi="Arial" w:eastAsia="Arial" w:cs="Arial"/>
      <w:b/>
      <w:bCs/>
      <w:sz w:val="24"/>
      <w:szCs w:val="24"/>
    </w:rPr>
  </w:style>
  <w:style w:type="character" w:customStyle="1" w:styleId="191">
    <w:name w:val="Heading 6 Char"/>
    <w:link w:val="1"/>
    <w:qFormat/>
    <w:uiPriority w:val="9"/>
    <w:rPr>
      <w:rFonts w:ascii="Arial" w:hAnsi="Arial" w:eastAsia="Arial" w:cs="Arial"/>
      <w:b/>
      <w:bCs/>
      <w:sz w:val="22"/>
      <w:szCs w:val="22"/>
    </w:rPr>
  </w:style>
  <w:style w:type="character" w:customStyle="1" w:styleId="192">
    <w:name w:val="Heading 7 Char"/>
    <w:link w:val="1"/>
    <w:qFormat/>
    <w:uiPriority w:val="9"/>
    <w:rPr>
      <w:rFonts w:ascii="Arial" w:hAnsi="Arial" w:eastAsia="Arial" w:cs="Arial"/>
      <w:b/>
      <w:bCs/>
      <w:i/>
      <w:iCs/>
      <w:sz w:val="22"/>
      <w:szCs w:val="22"/>
    </w:rPr>
  </w:style>
  <w:style w:type="character" w:customStyle="1" w:styleId="193">
    <w:name w:val="Heading 8 Char"/>
    <w:link w:val="1"/>
    <w:qFormat/>
    <w:uiPriority w:val="9"/>
    <w:rPr>
      <w:rFonts w:ascii="Arial" w:hAnsi="Arial" w:eastAsia="Arial" w:cs="Arial"/>
      <w:i/>
      <w:iCs/>
      <w:sz w:val="22"/>
      <w:szCs w:val="22"/>
    </w:rPr>
  </w:style>
  <w:style w:type="character" w:customStyle="1" w:styleId="194">
    <w:name w:val="Heading 9 Char"/>
    <w:link w:val="1"/>
    <w:qFormat/>
    <w:uiPriority w:val="9"/>
    <w:rPr>
      <w:rFonts w:ascii="Arial" w:hAnsi="Arial" w:eastAsia="Arial" w:cs="Arial"/>
      <w:i/>
      <w:iCs/>
      <w:sz w:val="21"/>
      <w:szCs w:val="21"/>
    </w:rPr>
  </w:style>
  <w:style w:type="character" w:customStyle="1" w:styleId="195">
    <w:name w:val="Title Char"/>
    <w:link w:val="1"/>
    <w:qFormat/>
    <w:uiPriority w:val="10"/>
    <w:rPr>
      <w:sz w:val="48"/>
      <w:szCs w:val="48"/>
    </w:rPr>
  </w:style>
  <w:style w:type="character" w:customStyle="1" w:styleId="196">
    <w:name w:val="Subtitle Char"/>
    <w:link w:val="1"/>
    <w:qFormat/>
    <w:uiPriority w:val="11"/>
    <w:rPr>
      <w:sz w:val="24"/>
      <w:szCs w:val="24"/>
    </w:rPr>
  </w:style>
  <w:style w:type="character" w:customStyle="1" w:styleId="197">
    <w:name w:val="Quote Char"/>
    <w:link w:val="1"/>
    <w:qFormat/>
    <w:uiPriority w:val="29"/>
    <w:rPr>
      <w:i/>
    </w:rPr>
  </w:style>
  <w:style w:type="character" w:customStyle="1" w:styleId="198">
    <w:name w:val="Intense Quote Char"/>
    <w:link w:val="1"/>
    <w:qFormat/>
    <w:uiPriority w:val="30"/>
    <w:rPr>
      <w:i/>
    </w:rPr>
  </w:style>
  <w:style w:type="character" w:customStyle="1" w:styleId="199">
    <w:name w:val="Caption Char"/>
    <w:link w:val="1"/>
    <w:qFormat/>
    <w:uiPriority w:val="99"/>
  </w:style>
  <w:style w:type="character" w:customStyle="1" w:styleId="200">
    <w:name w:val="Footnote Text Char"/>
    <w:link w:val="1"/>
    <w:qFormat/>
    <w:uiPriority w:val="99"/>
    <w:rPr>
      <w:sz w:val="18"/>
    </w:rPr>
  </w:style>
  <w:style w:type="character" w:customStyle="1" w:styleId="201">
    <w:name w:val="Endnote Text Char"/>
    <w:link w:val="1"/>
    <w:qFormat/>
    <w:uiPriority w:val="99"/>
    <w:rPr>
      <w:sz w:val="20"/>
    </w:rPr>
  </w:style>
  <w:style w:type="paragraph" w:customStyle="1" w:styleId="202">
    <w:name w:val="列表段落"/>
    <w:basedOn w:val="1"/>
    <w:qFormat/>
    <w:uiPriority w:val="0"/>
    <w:pPr>
      <w:ind w:left="720"/>
      <w:contextualSpacing/>
    </w:pPr>
  </w:style>
  <w:style w:type="paragraph" w:customStyle="1" w:styleId="203">
    <w:name w:val="无间隔"/>
    <w:qFormat/>
    <w:uiPriority w:val="99"/>
    <w:rPr>
      <w:rFonts w:hint="default" w:ascii="Times New Roman" w:hAnsi="Times New Roman" w:eastAsia="宋体" w:cs="Times New Roman"/>
      <w:lang w:val="en-US" w:eastAsia="zh-CN" w:bidi="ar-SA"/>
    </w:rPr>
  </w:style>
  <w:style w:type="paragraph" w:customStyle="1" w:styleId="204">
    <w:name w:val="引用"/>
    <w:basedOn w:val="1"/>
    <w:next w:val="1"/>
    <w:link w:val="205"/>
    <w:qFormat/>
    <w:uiPriority w:val="29"/>
    <w:pPr>
      <w:ind w:left="720" w:right="720"/>
    </w:pPr>
    <w:rPr>
      <w:i/>
    </w:rPr>
  </w:style>
  <w:style w:type="character" w:customStyle="1" w:styleId="205">
    <w:name w:val="引用 字符"/>
    <w:link w:val="204"/>
    <w:qFormat/>
    <w:uiPriority w:val="29"/>
    <w:rPr>
      <w:i/>
    </w:rPr>
  </w:style>
  <w:style w:type="paragraph" w:customStyle="1" w:styleId="206">
    <w:name w:val="明显引用"/>
    <w:basedOn w:val="1"/>
    <w:next w:val="1"/>
    <w:link w:val="207"/>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207">
    <w:name w:val="明显引用 字符"/>
    <w:link w:val="206"/>
    <w:qFormat/>
    <w:uiPriority w:val="30"/>
    <w:rPr>
      <w:i/>
    </w:rPr>
  </w:style>
  <w:style w:type="character" w:customStyle="1" w:styleId="208">
    <w:name w:val="Header Char"/>
    <w:link w:val="1"/>
    <w:qFormat/>
    <w:uiPriority w:val="99"/>
  </w:style>
  <w:style w:type="character" w:customStyle="1" w:styleId="209">
    <w:name w:val="Footer Char"/>
    <w:link w:val="1"/>
    <w:qFormat/>
    <w:uiPriority w:val="99"/>
  </w:style>
  <w:style w:type="table" w:customStyle="1" w:styleId="210">
    <w:name w:val="Table Grid Light"/>
    <w:basedOn w:val="56"/>
    <w:qFormat/>
    <w:uiPriority w:val="59"/>
  </w:style>
  <w:style w:type="table" w:customStyle="1" w:styleId="211">
    <w:name w:val="Grid Table 1 Light - Accent 1"/>
    <w:basedOn w:val="56"/>
    <w:qFormat/>
    <w:uiPriority w:val="99"/>
  </w:style>
  <w:style w:type="table" w:customStyle="1" w:styleId="212">
    <w:name w:val="Grid Table 1 Light - Accent 2"/>
    <w:basedOn w:val="56"/>
    <w:qFormat/>
    <w:uiPriority w:val="99"/>
  </w:style>
  <w:style w:type="table" w:customStyle="1" w:styleId="213">
    <w:name w:val="Grid Table 1 Light - Accent 3"/>
    <w:basedOn w:val="56"/>
    <w:qFormat/>
    <w:uiPriority w:val="99"/>
  </w:style>
  <w:style w:type="table" w:customStyle="1" w:styleId="214">
    <w:name w:val="Grid Table 1 Light - Accent 4"/>
    <w:basedOn w:val="56"/>
    <w:qFormat/>
    <w:uiPriority w:val="99"/>
  </w:style>
  <w:style w:type="table" w:customStyle="1" w:styleId="215">
    <w:name w:val="Grid Table 1 Light - Accent 5"/>
    <w:basedOn w:val="56"/>
    <w:qFormat/>
    <w:uiPriority w:val="99"/>
  </w:style>
  <w:style w:type="table" w:customStyle="1" w:styleId="216">
    <w:name w:val="Grid Table 1 Light - Accent 6"/>
    <w:basedOn w:val="56"/>
    <w:qFormat/>
    <w:uiPriority w:val="99"/>
  </w:style>
  <w:style w:type="table" w:customStyle="1" w:styleId="217">
    <w:name w:val="Grid Table 2 - Accent 1"/>
    <w:basedOn w:val="56"/>
    <w:qFormat/>
    <w:uiPriority w:val="99"/>
  </w:style>
  <w:style w:type="table" w:customStyle="1" w:styleId="218">
    <w:name w:val="Grid Table 2 - Accent 2"/>
    <w:basedOn w:val="56"/>
    <w:qFormat/>
    <w:uiPriority w:val="99"/>
  </w:style>
  <w:style w:type="table" w:customStyle="1" w:styleId="219">
    <w:name w:val="Grid Table 2 - Accent 3"/>
    <w:basedOn w:val="56"/>
    <w:qFormat/>
    <w:uiPriority w:val="99"/>
  </w:style>
  <w:style w:type="table" w:customStyle="1" w:styleId="220">
    <w:name w:val="Grid Table 2 - Accent 4"/>
    <w:basedOn w:val="56"/>
    <w:qFormat/>
    <w:uiPriority w:val="99"/>
  </w:style>
  <w:style w:type="table" w:customStyle="1" w:styleId="221">
    <w:name w:val="Grid Table 2 - Accent 5"/>
    <w:basedOn w:val="56"/>
    <w:qFormat/>
    <w:uiPriority w:val="99"/>
  </w:style>
  <w:style w:type="table" w:customStyle="1" w:styleId="222">
    <w:name w:val="Grid Table 2 - Accent 6"/>
    <w:basedOn w:val="56"/>
    <w:qFormat/>
    <w:uiPriority w:val="99"/>
  </w:style>
  <w:style w:type="table" w:customStyle="1" w:styleId="223">
    <w:name w:val="Grid Table 3 - Accent 1"/>
    <w:basedOn w:val="56"/>
    <w:qFormat/>
    <w:uiPriority w:val="99"/>
  </w:style>
  <w:style w:type="table" w:customStyle="1" w:styleId="224">
    <w:name w:val="Grid Table 3 - Accent 2"/>
    <w:basedOn w:val="56"/>
    <w:qFormat/>
    <w:uiPriority w:val="99"/>
  </w:style>
  <w:style w:type="table" w:customStyle="1" w:styleId="225">
    <w:name w:val="Grid Table 3 - Accent 3"/>
    <w:basedOn w:val="56"/>
    <w:qFormat/>
    <w:uiPriority w:val="99"/>
  </w:style>
  <w:style w:type="table" w:customStyle="1" w:styleId="226">
    <w:name w:val="Grid Table 3 - Accent 4"/>
    <w:basedOn w:val="56"/>
    <w:qFormat/>
    <w:uiPriority w:val="99"/>
  </w:style>
  <w:style w:type="table" w:customStyle="1" w:styleId="227">
    <w:name w:val="Grid Table 3 - Accent 5"/>
    <w:basedOn w:val="56"/>
    <w:qFormat/>
    <w:uiPriority w:val="99"/>
  </w:style>
  <w:style w:type="table" w:customStyle="1" w:styleId="228">
    <w:name w:val="Grid Table 3 - Accent 6"/>
    <w:basedOn w:val="56"/>
    <w:qFormat/>
    <w:uiPriority w:val="99"/>
  </w:style>
  <w:style w:type="table" w:customStyle="1" w:styleId="229">
    <w:name w:val="Grid Table 4 - Accent 1"/>
    <w:basedOn w:val="56"/>
    <w:qFormat/>
    <w:uiPriority w:val="59"/>
  </w:style>
  <w:style w:type="table" w:customStyle="1" w:styleId="230">
    <w:name w:val="Grid Table 4 - Accent 2"/>
    <w:basedOn w:val="56"/>
    <w:qFormat/>
    <w:uiPriority w:val="59"/>
  </w:style>
  <w:style w:type="table" w:customStyle="1" w:styleId="231">
    <w:name w:val="Grid Table 4 - Accent 3"/>
    <w:basedOn w:val="56"/>
    <w:qFormat/>
    <w:uiPriority w:val="59"/>
  </w:style>
  <w:style w:type="table" w:customStyle="1" w:styleId="232">
    <w:name w:val="Grid Table 4 - Accent 4"/>
    <w:basedOn w:val="56"/>
    <w:qFormat/>
    <w:uiPriority w:val="59"/>
  </w:style>
  <w:style w:type="table" w:customStyle="1" w:styleId="233">
    <w:name w:val="Grid Table 4 - Accent 5"/>
    <w:basedOn w:val="56"/>
    <w:qFormat/>
    <w:uiPriority w:val="59"/>
  </w:style>
  <w:style w:type="table" w:customStyle="1" w:styleId="234">
    <w:name w:val="Grid Table 4 - Accent 6"/>
    <w:basedOn w:val="56"/>
    <w:qFormat/>
    <w:uiPriority w:val="59"/>
  </w:style>
  <w:style w:type="table" w:customStyle="1" w:styleId="235">
    <w:name w:val="Grid Table 5 Dark- Accent 1"/>
    <w:basedOn w:val="56"/>
    <w:qFormat/>
    <w:uiPriority w:val="99"/>
  </w:style>
  <w:style w:type="table" w:customStyle="1" w:styleId="236">
    <w:name w:val="Grid Table 5 Dark - Accent 2"/>
    <w:basedOn w:val="56"/>
    <w:qFormat/>
    <w:uiPriority w:val="99"/>
  </w:style>
  <w:style w:type="table" w:customStyle="1" w:styleId="237">
    <w:name w:val="Grid Table 5 Dark - Accent 3"/>
    <w:basedOn w:val="56"/>
    <w:qFormat/>
    <w:uiPriority w:val="99"/>
  </w:style>
  <w:style w:type="table" w:customStyle="1" w:styleId="238">
    <w:name w:val="Grid Table 5 Dark- Accent 4"/>
    <w:basedOn w:val="56"/>
    <w:qFormat/>
    <w:uiPriority w:val="99"/>
  </w:style>
  <w:style w:type="table" w:customStyle="1" w:styleId="239">
    <w:name w:val="Grid Table 5 Dark - Accent 5"/>
    <w:basedOn w:val="56"/>
    <w:qFormat/>
    <w:uiPriority w:val="99"/>
  </w:style>
  <w:style w:type="table" w:customStyle="1" w:styleId="240">
    <w:name w:val="Grid Table 5 Dark - Accent 6"/>
    <w:basedOn w:val="56"/>
    <w:qFormat/>
    <w:uiPriority w:val="99"/>
  </w:style>
  <w:style w:type="table" w:customStyle="1" w:styleId="241">
    <w:name w:val="Grid Table 6 Colorful - Accent 1"/>
    <w:basedOn w:val="56"/>
    <w:qFormat/>
    <w:uiPriority w:val="99"/>
  </w:style>
  <w:style w:type="table" w:customStyle="1" w:styleId="242">
    <w:name w:val="Grid Table 6 Colorful - Accent 2"/>
    <w:basedOn w:val="56"/>
    <w:qFormat/>
    <w:uiPriority w:val="99"/>
  </w:style>
  <w:style w:type="table" w:customStyle="1" w:styleId="243">
    <w:name w:val="Grid Table 6 Colorful - Accent 3"/>
    <w:basedOn w:val="56"/>
    <w:qFormat/>
    <w:uiPriority w:val="99"/>
  </w:style>
  <w:style w:type="table" w:customStyle="1" w:styleId="244">
    <w:name w:val="Grid Table 6 Colorful - Accent 4"/>
    <w:basedOn w:val="56"/>
    <w:qFormat/>
    <w:uiPriority w:val="99"/>
  </w:style>
  <w:style w:type="table" w:customStyle="1" w:styleId="245">
    <w:name w:val="Grid Table 6 Colorful - Accent 5"/>
    <w:basedOn w:val="56"/>
    <w:qFormat/>
    <w:uiPriority w:val="99"/>
  </w:style>
  <w:style w:type="table" w:customStyle="1" w:styleId="246">
    <w:name w:val="Grid Table 6 Colorful - Accent 6"/>
    <w:basedOn w:val="56"/>
    <w:qFormat/>
    <w:uiPriority w:val="99"/>
  </w:style>
  <w:style w:type="table" w:customStyle="1" w:styleId="247">
    <w:name w:val="Grid Table 7 Colorful - Accent 1"/>
    <w:basedOn w:val="56"/>
    <w:qFormat/>
    <w:uiPriority w:val="99"/>
  </w:style>
  <w:style w:type="table" w:customStyle="1" w:styleId="248">
    <w:name w:val="Grid Table 7 Colorful - Accent 2"/>
    <w:basedOn w:val="56"/>
    <w:qFormat/>
    <w:uiPriority w:val="99"/>
  </w:style>
  <w:style w:type="table" w:customStyle="1" w:styleId="249">
    <w:name w:val="Grid Table 7 Colorful - Accent 3"/>
    <w:basedOn w:val="56"/>
    <w:qFormat/>
    <w:uiPriority w:val="99"/>
  </w:style>
  <w:style w:type="table" w:customStyle="1" w:styleId="250">
    <w:name w:val="Grid Table 7 Colorful - Accent 4"/>
    <w:basedOn w:val="56"/>
    <w:qFormat/>
    <w:uiPriority w:val="99"/>
  </w:style>
  <w:style w:type="table" w:customStyle="1" w:styleId="251">
    <w:name w:val="Grid Table 7 Colorful - Accent 5"/>
    <w:basedOn w:val="56"/>
    <w:qFormat/>
    <w:uiPriority w:val="99"/>
  </w:style>
  <w:style w:type="table" w:customStyle="1" w:styleId="252">
    <w:name w:val="Grid Table 7 Colorful - Accent 6"/>
    <w:basedOn w:val="56"/>
    <w:qFormat/>
    <w:uiPriority w:val="99"/>
  </w:style>
  <w:style w:type="table" w:customStyle="1" w:styleId="253">
    <w:name w:val="List Table 1 Light - Accent 1"/>
    <w:basedOn w:val="56"/>
    <w:qFormat/>
    <w:uiPriority w:val="99"/>
  </w:style>
  <w:style w:type="table" w:customStyle="1" w:styleId="254">
    <w:name w:val="List Table 1 Light - Accent 2"/>
    <w:basedOn w:val="56"/>
    <w:qFormat/>
    <w:uiPriority w:val="99"/>
  </w:style>
  <w:style w:type="table" w:customStyle="1" w:styleId="255">
    <w:name w:val="List Table 1 Light - Accent 3"/>
    <w:basedOn w:val="56"/>
    <w:qFormat/>
    <w:uiPriority w:val="99"/>
  </w:style>
  <w:style w:type="table" w:customStyle="1" w:styleId="256">
    <w:name w:val="List Table 1 Light - Accent 4"/>
    <w:basedOn w:val="56"/>
    <w:qFormat/>
    <w:uiPriority w:val="99"/>
  </w:style>
  <w:style w:type="table" w:customStyle="1" w:styleId="257">
    <w:name w:val="List Table 1 Light - Accent 5"/>
    <w:basedOn w:val="56"/>
    <w:qFormat/>
    <w:uiPriority w:val="99"/>
  </w:style>
  <w:style w:type="table" w:customStyle="1" w:styleId="258">
    <w:name w:val="List Table 1 Light - Accent 6"/>
    <w:basedOn w:val="56"/>
    <w:qFormat/>
    <w:uiPriority w:val="99"/>
  </w:style>
  <w:style w:type="table" w:customStyle="1" w:styleId="259">
    <w:name w:val="List Table 2 - Accent 1"/>
    <w:basedOn w:val="56"/>
    <w:qFormat/>
    <w:uiPriority w:val="99"/>
  </w:style>
  <w:style w:type="table" w:customStyle="1" w:styleId="260">
    <w:name w:val="List Table 2 - Accent 2"/>
    <w:basedOn w:val="56"/>
    <w:qFormat/>
    <w:uiPriority w:val="99"/>
  </w:style>
  <w:style w:type="table" w:customStyle="1" w:styleId="261">
    <w:name w:val="List Table 2 - Accent 3"/>
    <w:basedOn w:val="56"/>
    <w:qFormat/>
    <w:uiPriority w:val="99"/>
  </w:style>
  <w:style w:type="table" w:customStyle="1" w:styleId="262">
    <w:name w:val="List Table 2 - Accent 4"/>
    <w:basedOn w:val="56"/>
    <w:qFormat/>
    <w:uiPriority w:val="99"/>
  </w:style>
  <w:style w:type="table" w:customStyle="1" w:styleId="263">
    <w:name w:val="List Table 2 - Accent 5"/>
    <w:basedOn w:val="56"/>
    <w:qFormat/>
    <w:uiPriority w:val="99"/>
  </w:style>
  <w:style w:type="table" w:customStyle="1" w:styleId="264">
    <w:name w:val="List Table 2 - Accent 6"/>
    <w:basedOn w:val="56"/>
    <w:qFormat/>
    <w:uiPriority w:val="99"/>
  </w:style>
  <w:style w:type="table" w:customStyle="1" w:styleId="265">
    <w:name w:val="List Table 3 - Accent 1"/>
    <w:basedOn w:val="56"/>
    <w:qFormat/>
    <w:uiPriority w:val="99"/>
  </w:style>
  <w:style w:type="table" w:customStyle="1" w:styleId="266">
    <w:name w:val="List Table 3 - Accent 2"/>
    <w:basedOn w:val="56"/>
    <w:qFormat/>
    <w:uiPriority w:val="99"/>
  </w:style>
  <w:style w:type="table" w:customStyle="1" w:styleId="267">
    <w:name w:val="List Table 3 - Accent 3"/>
    <w:basedOn w:val="56"/>
    <w:qFormat/>
    <w:uiPriority w:val="99"/>
  </w:style>
  <w:style w:type="table" w:customStyle="1" w:styleId="268">
    <w:name w:val="List Table 3 - Accent 4"/>
    <w:basedOn w:val="56"/>
    <w:qFormat/>
    <w:uiPriority w:val="99"/>
  </w:style>
  <w:style w:type="table" w:customStyle="1" w:styleId="269">
    <w:name w:val="List Table 3 - Accent 5"/>
    <w:basedOn w:val="56"/>
    <w:qFormat/>
    <w:uiPriority w:val="99"/>
  </w:style>
  <w:style w:type="table" w:customStyle="1" w:styleId="270">
    <w:name w:val="List Table 3 - Accent 6"/>
    <w:basedOn w:val="56"/>
    <w:qFormat/>
    <w:uiPriority w:val="99"/>
  </w:style>
  <w:style w:type="table" w:customStyle="1" w:styleId="271">
    <w:name w:val="List Table 4 - Accent 1"/>
    <w:basedOn w:val="56"/>
    <w:qFormat/>
    <w:uiPriority w:val="99"/>
  </w:style>
  <w:style w:type="table" w:customStyle="1" w:styleId="272">
    <w:name w:val="List Table 4 - Accent 2"/>
    <w:basedOn w:val="56"/>
    <w:qFormat/>
    <w:uiPriority w:val="99"/>
  </w:style>
  <w:style w:type="table" w:customStyle="1" w:styleId="273">
    <w:name w:val="List Table 4 - Accent 3"/>
    <w:basedOn w:val="56"/>
    <w:qFormat/>
    <w:uiPriority w:val="99"/>
  </w:style>
  <w:style w:type="table" w:customStyle="1" w:styleId="274">
    <w:name w:val="List Table 4 - Accent 4"/>
    <w:basedOn w:val="56"/>
    <w:qFormat/>
    <w:uiPriority w:val="99"/>
  </w:style>
  <w:style w:type="table" w:customStyle="1" w:styleId="275">
    <w:name w:val="List Table 4 - Accent 5"/>
    <w:basedOn w:val="56"/>
    <w:qFormat/>
    <w:uiPriority w:val="99"/>
  </w:style>
  <w:style w:type="table" w:customStyle="1" w:styleId="276">
    <w:name w:val="List Table 4 - Accent 6"/>
    <w:basedOn w:val="56"/>
    <w:qFormat/>
    <w:uiPriority w:val="99"/>
  </w:style>
  <w:style w:type="table" w:customStyle="1" w:styleId="277">
    <w:name w:val="List Table 5 Dark - Accent 1"/>
    <w:basedOn w:val="56"/>
    <w:qFormat/>
    <w:uiPriority w:val="99"/>
  </w:style>
  <w:style w:type="table" w:customStyle="1" w:styleId="278">
    <w:name w:val="List Table 5 Dark - Accent 2"/>
    <w:basedOn w:val="56"/>
    <w:qFormat/>
    <w:uiPriority w:val="99"/>
  </w:style>
  <w:style w:type="table" w:customStyle="1" w:styleId="279">
    <w:name w:val="List Table 5 Dark - Accent 3"/>
    <w:basedOn w:val="56"/>
    <w:qFormat/>
    <w:uiPriority w:val="99"/>
  </w:style>
  <w:style w:type="table" w:customStyle="1" w:styleId="280">
    <w:name w:val="List Table 5 Dark - Accent 4"/>
    <w:basedOn w:val="56"/>
    <w:qFormat/>
    <w:uiPriority w:val="99"/>
  </w:style>
  <w:style w:type="table" w:customStyle="1" w:styleId="281">
    <w:name w:val="List Table 5 Dark - Accent 5"/>
    <w:basedOn w:val="56"/>
    <w:qFormat/>
    <w:uiPriority w:val="99"/>
  </w:style>
  <w:style w:type="table" w:customStyle="1" w:styleId="282">
    <w:name w:val="List Table 5 Dark - Accent 6"/>
    <w:basedOn w:val="56"/>
    <w:qFormat/>
    <w:uiPriority w:val="99"/>
  </w:style>
  <w:style w:type="table" w:customStyle="1" w:styleId="283">
    <w:name w:val="List Table 6 Colorful - Accent 1"/>
    <w:basedOn w:val="56"/>
    <w:qFormat/>
    <w:uiPriority w:val="99"/>
  </w:style>
  <w:style w:type="table" w:customStyle="1" w:styleId="284">
    <w:name w:val="List Table 6 Colorful - Accent 2"/>
    <w:basedOn w:val="56"/>
    <w:qFormat/>
    <w:uiPriority w:val="99"/>
  </w:style>
  <w:style w:type="table" w:customStyle="1" w:styleId="285">
    <w:name w:val="List Table 6 Colorful - Accent 3"/>
    <w:basedOn w:val="56"/>
    <w:qFormat/>
    <w:uiPriority w:val="99"/>
  </w:style>
  <w:style w:type="table" w:customStyle="1" w:styleId="286">
    <w:name w:val="List Table 6 Colorful - Accent 4"/>
    <w:basedOn w:val="56"/>
    <w:qFormat/>
    <w:uiPriority w:val="99"/>
  </w:style>
  <w:style w:type="table" w:customStyle="1" w:styleId="287">
    <w:name w:val="List Table 6 Colorful - Accent 5"/>
    <w:basedOn w:val="56"/>
    <w:qFormat/>
    <w:uiPriority w:val="99"/>
  </w:style>
  <w:style w:type="table" w:customStyle="1" w:styleId="288">
    <w:name w:val="List Table 6 Colorful - Accent 6"/>
    <w:basedOn w:val="56"/>
    <w:qFormat/>
    <w:uiPriority w:val="99"/>
  </w:style>
  <w:style w:type="table" w:customStyle="1" w:styleId="289">
    <w:name w:val="List Table 7 Colorful - Accent 1"/>
    <w:basedOn w:val="56"/>
    <w:qFormat/>
    <w:uiPriority w:val="99"/>
  </w:style>
  <w:style w:type="table" w:customStyle="1" w:styleId="290">
    <w:name w:val="List Table 7 Colorful - Accent 2"/>
    <w:basedOn w:val="56"/>
    <w:qFormat/>
    <w:uiPriority w:val="99"/>
  </w:style>
  <w:style w:type="table" w:customStyle="1" w:styleId="291">
    <w:name w:val="List Table 7 Colorful - Accent 3"/>
    <w:basedOn w:val="56"/>
    <w:qFormat/>
    <w:uiPriority w:val="99"/>
  </w:style>
  <w:style w:type="table" w:customStyle="1" w:styleId="292">
    <w:name w:val="List Table 7 Colorful - Accent 4"/>
    <w:basedOn w:val="56"/>
    <w:qFormat/>
    <w:uiPriority w:val="99"/>
  </w:style>
  <w:style w:type="table" w:customStyle="1" w:styleId="293">
    <w:name w:val="List Table 7 Colorful - Accent 5"/>
    <w:basedOn w:val="56"/>
    <w:qFormat/>
    <w:uiPriority w:val="99"/>
  </w:style>
  <w:style w:type="table" w:customStyle="1" w:styleId="294">
    <w:name w:val="List Table 7 Colorful - Accent 6"/>
    <w:basedOn w:val="56"/>
    <w:qFormat/>
    <w:uiPriority w:val="99"/>
  </w:style>
  <w:style w:type="table" w:customStyle="1" w:styleId="295">
    <w:name w:val="Lined - Accent"/>
    <w:basedOn w:val="56"/>
    <w:qFormat/>
    <w:uiPriority w:val="99"/>
    <w:rPr>
      <w:color w:val="404040"/>
    </w:rPr>
  </w:style>
  <w:style w:type="table" w:customStyle="1" w:styleId="296">
    <w:name w:val="Lined - Accent 1"/>
    <w:basedOn w:val="56"/>
    <w:qFormat/>
    <w:uiPriority w:val="99"/>
    <w:rPr>
      <w:color w:val="404040"/>
    </w:rPr>
  </w:style>
  <w:style w:type="table" w:customStyle="1" w:styleId="297">
    <w:name w:val="Lined - Accent 2"/>
    <w:basedOn w:val="56"/>
    <w:qFormat/>
    <w:uiPriority w:val="99"/>
    <w:rPr>
      <w:color w:val="404040"/>
    </w:rPr>
  </w:style>
  <w:style w:type="table" w:customStyle="1" w:styleId="298">
    <w:name w:val="Lined - Accent 3"/>
    <w:basedOn w:val="56"/>
    <w:qFormat/>
    <w:uiPriority w:val="99"/>
    <w:rPr>
      <w:color w:val="404040"/>
    </w:rPr>
  </w:style>
  <w:style w:type="table" w:customStyle="1" w:styleId="299">
    <w:name w:val="Lined - Accent 4"/>
    <w:basedOn w:val="56"/>
    <w:qFormat/>
    <w:uiPriority w:val="99"/>
    <w:rPr>
      <w:color w:val="404040"/>
    </w:rPr>
  </w:style>
  <w:style w:type="table" w:customStyle="1" w:styleId="300">
    <w:name w:val="Lined - Accent 5"/>
    <w:basedOn w:val="56"/>
    <w:qFormat/>
    <w:uiPriority w:val="99"/>
    <w:rPr>
      <w:color w:val="404040"/>
    </w:rPr>
  </w:style>
  <w:style w:type="table" w:customStyle="1" w:styleId="301">
    <w:name w:val="Lined - Accent 6"/>
    <w:basedOn w:val="56"/>
    <w:qFormat/>
    <w:uiPriority w:val="99"/>
    <w:rPr>
      <w:color w:val="404040"/>
    </w:rPr>
  </w:style>
  <w:style w:type="table" w:customStyle="1" w:styleId="302">
    <w:name w:val="Bordered &amp; Lined - Accent"/>
    <w:basedOn w:val="56"/>
    <w:qFormat/>
    <w:uiPriority w:val="99"/>
    <w:rPr>
      <w:color w:val="404040"/>
    </w:rPr>
  </w:style>
  <w:style w:type="table" w:customStyle="1" w:styleId="303">
    <w:name w:val="Bordered &amp; Lined - Accent 1"/>
    <w:basedOn w:val="56"/>
    <w:qFormat/>
    <w:uiPriority w:val="99"/>
    <w:rPr>
      <w:color w:val="404040"/>
    </w:rPr>
  </w:style>
  <w:style w:type="table" w:customStyle="1" w:styleId="304">
    <w:name w:val="Bordered &amp; Lined - Accent 2"/>
    <w:basedOn w:val="56"/>
    <w:qFormat/>
    <w:uiPriority w:val="99"/>
    <w:rPr>
      <w:color w:val="404040"/>
    </w:rPr>
  </w:style>
  <w:style w:type="table" w:customStyle="1" w:styleId="305">
    <w:name w:val="Bordered &amp; Lined - Accent 3"/>
    <w:basedOn w:val="56"/>
    <w:qFormat/>
    <w:uiPriority w:val="99"/>
    <w:rPr>
      <w:color w:val="404040"/>
    </w:rPr>
  </w:style>
  <w:style w:type="table" w:customStyle="1" w:styleId="306">
    <w:name w:val="Bordered &amp; Lined - Accent 4"/>
    <w:basedOn w:val="56"/>
    <w:qFormat/>
    <w:uiPriority w:val="99"/>
    <w:rPr>
      <w:color w:val="404040"/>
    </w:rPr>
  </w:style>
  <w:style w:type="table" w:customStyle="1" w:styleId="307">
    <w:name w:val="Bordered &amp; Lined - Accent 5"/>
    <w:basedOn w:val="56"/>
    <w:qFormat/>
    <w:uiPriority w:val="99"/>
    <w:rPr>
      <w:color w:val="404040"/>
    </w:rPr>
  </w:style>
  <w:style w:type="table" w:customStyle="1" w:styleId="308">
    <w:name w:val="Bordered &amp; Lined - Accent 6"/>
    <w:basedOn w:val="56"/>
    <w:qFormat/>
    <w:uiPriority w:val="99"/>
    <w:rPr>
      <w:color w:val="404040"/>
    </w:rPr>
  </w:style>
  <w:style w:type="table" w:customStyle="1" w:styleId="309">
    <w:name w:val="Bordered"/>
    <w:basedOn w:val="56"/>
    <w:qFormat/>
    <w:uiPriority w:val="99"/>
  </w:style>
  <w:style w:type="table" w:customStyle="1" w:styleId="310">
    <w:name w:val="Bordered - Accent 1"/>
    <w:basedOn w:val="56"/>
    <w:qFormat/>
    <w:uiPriority w:val="99"/>
  </w:style>
  <w:style w:type="table" w:customStyle="1" w:styleId="311">
    <w:name w:val="Bordered - Accent 2"/>
    <w:basedOn w:val="56"/>
    <w:qFormat/>
    <w:uiPriority w:val="99"/>
  </w:style>
  <w:style w:type="table" w:customStyle="1" w:styleId="312">
    <w:name w:val="Bordered - Accent 3"/>
    <w:basedOn w:val="56"/>
    <w:qFormat/>
    <w:uiPriority w:val="99"/>
  </w:style>
  <w:style w:type="table" w:customStyle="1" w:styleId="313">
    <w:name w:val="Bordered - Accent 4"/>
    <w:basedOn w:val="56"/>
    <w:qFormat/>
    <w:uiPriority w:val="99"/>
  </w:style>
  <w:style w:type="table" w:customStyle="1" w:styleId="314">
    <w:name w:val="Bordered - Accent 5"/>
    <w:basedOn w:val="56"/>
    <w:qFormat/>
    <w:uiPriority w:val="99"/>
  </w:style>
  <w:style w:type="table" w:customStyle="1" w:styleId="315">
    <w:name w:val="Bordered - Accent 6"/>
    <w:basedOn w:val="56"/>
    <w:qFormat/>
    <w:uiPriority w:val="99"/>
  </w:style>
  <w:style w:type="paragraph" w:customStyle="1" w:styleId="316">
    <w:name w:val="TOC 标题11"/>
    <w:unhideWhenUsed/>
    <w:qFormat/>
    <w:uiPriority w:val="39"/>
    <w:rPr>
      <w:rFonts w:hint="default" w:ascii="Times New Roman" w:hAnsi="Times New Roman" w:eastAsia="宋体" w:cs="Times New Roman"/>
      <w:lang w:val="en-US" w:eastAsia="zh-CN" w:bidi="ar-SA"/>
    </w:rPr>
  </w:style>
  <w:style w:type="paragraph" w:customStyle="1" w:styleId="317">
    <w:name w:val="Normal_0"/>
    <w:qFormat/>
    <w:uiPriority w:val="0"/>
    <w:rPr>
      <w:rFonts w:hint="default" w:ascii="黑体" w:hAnsi="黑体" w:eastAsia="黑体" w:cs="Times New Roman"/>
      <w:b/>
      <w:sz w:val="32"/>
      <w:szCs w:val="24"/>
      <w:lang w:val="en-US" w:eastAsia="zh-CN" w:bidi="ar-SA"/>
    </w:rPr>
  </w:style>
  <w:style w:type="paragraph" w:customStyle="1" w:styleId="318">
    <w:name w:val="正文1"/>
    <w:next w:val="133"/>
    <w:qFormat/>
    <w:uiPriority w:val="0"/>
    <w:rPr>
      <w:rFonts w:hint="default" w:ascii="Times New Roman" w:hAnsi="Times New Roman" w:eastAsia="Times New Roman" w:cs="Times New Roman"/>
      <w:sz w:val="24"/>
      <w:szCs w:val="24"/>
      <w:lang w:val="en-US" w:eastAsia="zh-CN" w:bidi="ar-SA"/>
    </w:rPr>
  </w:style>
  <w:style w:type="paragraph" w:customStyle="1" w:styleId="319">
    <w:name w:val="Normal_0_3"/>
    <w:qFormat/>
    <w:uiPriority w:val="0"/>
    <w:rPr>
      <w:rFonts w:hint="default" w:ascii="黑体" w:hAnsi="黑体" w:eastAsia="黑体" w:cs="黑体"/>
      <w:b/>
      <w:sz w:val="32"/>
      <w:szCs w:val="24"/>
      <w:lang w:val="en-US" w:eastAsia="zh-CN" w:bidi="ar-SA"/>
    </w:rPr>
  </w:style>
  <w:style w:type="paragraph" w:customStyle="1" w:styleId="320">
    <w:name w:val="正文首行缩进 2_0"/>
    <w:basedOn w:val="321"/>
    <w:qFormat/>
    <w:uiPriority w:val="0"/>
    <w:pPr>
      <w:spacing w:after="120"/>
      <w:ind w:left="200" w:firstLine="200"/>
    </w:pPr>
    <w:rPr>
      <w:rFonts w:ascii="Times New Roman" w:hAnsi="Times New Roman"/>
      <w:sz w:val="24"/>
      <w:szCs w:val="24"/>
    </w:rPr>
  </w:style>
  <w:style w:type="paragraph" w:customStyle="1" w:styleId="321">
    <w:name w:val="正文文本缩进_0"/>
    <w:basedOn w:val="322"/>
    <w:qFormat/>
    <w:uiPriority w:val="0"/>
    <w:pPr>
      <w:ind w:firstLine="225"/>
    </w:pPr>
    <w:rPr>
      <w:rFonts w:ascii="仿宋_GB2312" w:eastAsia="仿宋_GB2312"/>
      <w:sz w:val="32"/>
    </w:rPr>
  </w:style>
  <w:style w:type="paragraph" w:customStyle="1" w:styleId="322">
    <w:name w:val="正文_2"/>
    <w:next w:val="323"/>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23">
    <w:name w:val="段_0"/>
    <w:next w:val="322"/>
    <w:qFormat/>
    <w:uiPriority w:val="99"/>
    <w:pPr>
      <w:ind w:firstLine="200"/>
      <w:jc w:val="both"/>
    </w:pPr>
    <w:rPr>
      <w:rFonts w:hint="default" w:ascii="宋体" w:hAnsi="Times New Roman" w:eastAsia="宋体" w:cs="Times New Roman"/>
      <w:sz w:val="21"/>
      <w:lang w:val="en-US" w:eastAsia="zh-CN" w:bidi="ar-SA"/>
    </w:rPr>
  </w:style>
  <w:style w:type="paragraph" w:customStyle="1" w:styleId="324">
    <w:name w:val="Normal_0_2"/>
    <w:next w:val="325"/>
    <w:qFormat/>
    <w:uiPriority w:val="0"/>
    <w:rPr>
      <w:rFonts w:hint="default" w:ascii="黑体" w:hAnsi="黑体" w:eastAsia="黑体" w:cs="黑体"/>
      <w:b/>
      <w:sz w:val="32"/>
      <w:szCs w:val="24"/>
      <w:lang w:val="en-US" w:eastAsia="zh-CN" w:bidi="ar-SA"/>
    </w:rPr>
  </w:style>
  <w:style w:type="paragraph" w:customStyle="1" w:styleId="325">
    <w:name w:val="Body Text First Indent_1"/>
    <w:basedOn w:val="47"/>
    <w:unhideWhenUsed/>
    <w:qFormat/>
    <w:uiPriority w:val="99"/>
    <w:pPr>
      <w:spacing w:after="120"/>
      <w:ind w:firstLine="420"/>
    </w:pPr>
    <w:rPr>
      <w:rFonts w:eastAsia="Times New Roman"/>
      <w:sz w:val="20"/>
    </w:rPr>
  </w:style>
  <w:style w:type="paragraph" w:customStyle="1" w:styleId="326">
    <w:name w:val="Normal_1_2"/>
    <w:qFormat/>
    <w:uiPriority w:val="0"/>
    <w:rPr>
      <w:rFonts w:hint="default" w:ascii="Times New Roman" w:hAnsi="Times New Roman" w:eastAsia="Times New Roman" w:cs="Times New Roman"/>
      <w:sz w:val="24"/>
      <w:szCs w:val="24"/>
      <w:lang w:val="en-US" w:eastAsia="zh-CN" w:bidi="ar-SA"/>
    </w:rPr>
  </w:style>
  <w:style w:type="paragraph" w:customStyle="1" w:styleId="327">
    <w:name w:val="Normal_0_1"/>
    <w:qFormat/>
    <w:uiPriority w:val="0"/>
    <w:rPr>
      <w:rFonts w:hint="default" w:ascii="黑体" w:hAnsi="黑体" w:eastAsia="黑体" w:cs="黑体"/>
      <w:b/>
      <w:sz w:val="32"/>
      <w:szCs w:val="24"/>
      <w:lang w:val="en-US" w:eastAsia="zh-CN" w:bidi="ar-SA"/>
    </w:rPr>
  </w:style>
  <w:style w:type="paragraph" w:customStyle="1" w:styleId="328">
    <w:name w:val="Body Text First Indent_0"/>
    <w:basedOn w:val="329"/>
    <w:unhideWhenUsed/>
    <w:qFormat/>
    <w:uiPriority w:val="99"/>
    <w:pPr>
      <w:spacing w:after="120"/>
      <w:ind w:firstLine="420"/>
    </w:pPr>
    <w:rPr>
      <w:rFonts w:eastAsia="Times New Roman"/>
    </w:rPr>
  </w:style>
  <w:style w:type="paragraph" w:customStyle="1" w:styleId="329">
    <w:name w:val="正文3"/>
    <w:next w:val="330"/>
    <w:qFormat/>
    <w:uiPriority w:val="0"/>
    <w:rPr>
      <w:rFonts w:hint="default" w:ascii="Times New Roman" w:hAnsi="Times New Roman" w:eastAsia="Times New Roman" w:cs="Times New Roman"/>
      <w:sz w:val="24"/>
      <w:szCs w:val="24"/>
      <w:lang w:val="en-US" w:eastAsia="zh-CN" w:bidi="ar-SA"/>
    </w:rPr>
  </w:style>
  <w:style w:type="paragraph" w:customStyle="1" w:styleId="330">
    <w:name w:val="正文首行缩进3"/>
    <w:basedOn w:val="318"/>
    <w:unhideWhenUsed/>
    <w:qFormat/>
    <w:uiPriority w:val="99"/>
    <w:pPr>
      <w:spacing w:after="120"/>
      <w:ind w:firstLine="420"/>
    </w:pPr>
    <w:rPr>
      <w:sz w:val="20"/>
    </w:rPr>
  </w:style>
  <w:style w:type="paragraph" w:customStyle="1" w:styleId="331">
    <w:name w:val="Normal_1_1"/>
    <w:qFormat/>
    <w:uiPriority w:val="0"/>
    <w:rPr>
      <w:rFonts w:hint="default" w:ascii="黑体" w:hAnsi="黑体" w:eastAsia="黑体" w:cs="黑体"/>
      <w:b/>
      <w:sz w:val="32"/>
      <w:szCs w:val="24"/>
      <w:lang w:val="en-US" w:eastAsia="zh-CN" w:bidi="ar-SA"/>
    </w:rPr>
  </w:style>
  <w:style w:type="paragraph" w:customStyle="1" w:styleId="332">
    <w:name w:val="正文_0_1"/>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33">
    <w:name w:val="正文_1_1"/>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34">
    <w:name w:val="Normal_2_0"/>
    <w:qFormat/>
    <w:uiPriority w:val="0"/>
    <w:rPr>
      <w:rFonts w:hint="default" w:ascii="黑体" w:hAnsi="黑体" w:eastAsia="黑体" w:cs="黑体"/>
      <w:b/>
      <w:sz w:val="32"/>
      <w:szCs w:val="24"/>
      <w:lang w:val="en-US" w:eastAsia="zh-CN" w:bidi="ar-SA"/>
    </w:rPr>
  </w:style>
  <w:style w:type="paragraph" w:customStyle="1" w:styleId="335">
    <w:name w:val="Normal_3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36">
    <w:name w:val="Normal_4_0"/>
    <w:qFormat/>
    <w:uiPriority w:val="0"/>
    <w:rPr>
      <w:rFonts w:hint="default" w:ascii="黑体" w:hAnsi="黑体" w:eastAsia="黑体" w:cs="黑体"/>
      <w:b/>
      <w:sz w:val="32"/>
      <w:szCs w:val="24"/>
      <w:lang w:val="en-US" w:eastAsia="zh-CN" w:bidi="ar-SA"/>
    </w:rPr>
  </w:style>
  <w:style w:type="paragraph" w:customStyle="1" w:styleId="337">
    <w:name w:val="Normal_5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38">
    <w:name w:val="Normal_6_0"/>
    <w:qFormat/>
    <w:uiPriority w:val="0"/>
    <w:rPr>
      <w:rFonts w:hint="default" w:ascii="黑体" w:hAnsi="黑体" w:eastAsia="黑体" w:cs="黑体"/>
      <w:b/>
      <w:sz w:val="32"/>
      <w:szCs w:val="24"/>
      <w:lang w:val="en-US" w:eastAsia="zh-CN" w:bidi="ar-SA"/>
    </w:rPr>
  </w:style>
  <w:style w:type="paragraph" w:customStyle="1" w:styleId="339">
    <w:name w:val="正文_1_0_0"/>
    <w:qFormat/>
    <w:uiPriority w:val="0"/>
    <w:pPr>
      <w:widowControl w:val="0"/>
      <w:jc w:val="both"/>
    </w:pPr>
    <w:rPr>
      <w:rFonts w:hint="default" w:ascii="Times New Roman" w:hAnsi="Times New Roman" w:eastAsia="宋体" w:cs="Times New Roman"/>
      <w:sz w:val="21"/>
      <w:lang w:val="en-US" w:eastAsia="zh-CN" w:bidi="ar-SA"/>
    </w:rPr>
  </w:style>
  <w:style w:type="paragraph" w:customStyle="1" w:styleId="340">
    <w:name w:val="正文_0_0_0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41">
    <w:name w:val="正文_1_0_0_0"/>
    <w:qFormat/>
    <w:uiPriority w:val="0"/>
    <w:pPr>
      <w:widowControl w:val="0"/>
      <w:jc w:val="both"/>
    </w:pPr>
    <w:rPr>
      <w:rFonts w:hint="default" w:ascii="Times New Roman" w:hAnsi="Times New Roman" w:eastAsia="宋体" w:cs="Times New Roman"/>
      <w:sz w:val="21"/>
      <w:lang w:val="en-US" w:eastAsia="zh-CN" w:bidi="ar-SA"/>
    </w:rPr>
  </w:style>
  <w:style w:type="paragraph" w:customStyle="1" w:styleId="342">
    <w:name w:val="Normal_7_0"/>
    <w:qFormat/>
    <w:uiPriority w:val="0"/>
    <w:rPr>
      <w:rFonts w:hint="default" w:ascii="黑体" w:hAnsi="黑体" w:eastAsia="黑体" w:cs="黑体"/>
      <w:b/>
      <w:sz w:val="32"/>
      <w:szCs w:val="24"/>
      <w:lang w:val="en-US" w:eastAsia="zh-CN" w:bidi="ar-SA"/>
    </w:rPr>
  </w:style>
  <w:style w:type="paragraph" w:customStyle="1" w:styleId="343">
    <w:name w:val="Normal_8_0"/>
    <w:qFormat/>
    <w:uiPriority w:val="0"/>
    <w:rPr>
      <w:rFonts w:hint="default" w:ascii="Times New Roman" w:hAnsi="Times New Roman" w:eastAsia="Times New Roman" w:cs="Times New Roman"/>
      <w:sz w:val="24"/>
      <w:szCs w:val="24"/>
      <w:lang w:val="en-US" w:eastAsia="zh-CN" w:bidi="ar-SA"/>
    </w:rPr>
  </w:style>
  <w:style w:type="paragraph" w:customStyle="1" w:styleId="344">
    <w:name w:val="Normal_9_0"/>
    <w:qFormat/>
    <w:uiPriority w:val="0"/>
    <w:rPr>
      <w:rFonts w:hint="default" w:ascii="Times New Roman" w:hAnsi="Times New Roman" w:eastAsia="Times New Roman" w:cs="Times New Roman"/>
      <w:sz w:val="24"/>
      <w:szCs w:val="24"/>
      <w:lang w:val="en-US" w:eastAsia="zh-CN" w:bidi="ar-SA"/>
    </w:rPr>
  </w:style>
  <w:style w:type="paragraph" w:customStyle="1" w:styleId="345">
    <w:name w:val="Normal_10_0"/>
    <w:qFormat/>
    <w:uiPriority w:val="0"/>
    <w:rPr>
      <w:rFonts w:hint="default" w:ascii="黑体" w:hAnsi="黑体" w:eastAsia="黑体" w:cs="黑体"/>
      <w:b/>
      <w:sz w:val="32"/>
      <w:szCs w:val="24"/>
      <w:lang w:val="en-US" w:eastAsia="zh-CN" w:bidi="ar-SA"/>
    </w:rPr>
  </w:style>
  <w:style w:type="paragraph" w:customStyle="1" w:styleId="346">
    <w:name w:val="正文_3"/>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47">
    <w:name w:val="正文首行缩进 2_1"/>
    <w:basedOn w:val="348"/>
    <w:next w:val="350"/>
    <w:qFormat/>
    <w:uiPriority w:val="0"/>
    <w:pPr>
      <w:spacing w:after="120"/>
      <w:ind w:left="200" w:firstLine="200"/>
    </w:pPr>
    <w:rPr>
      <w:rFonts w:ascii="Times New Roman"/>
      <w:szCs w:val="24"/>
    </w:rPr>
  </w:style>
  <w:style w:type="paragraph" w:customStyle="1" w:styleId="348">
    <w:name w:val="正文文本缩进_1"/>
    <w:basedOn w:val="349"/>
    <w:next w:val="347"/>
    <w:qFormat/>
    <w:uiPriority w:val="0"/>
    <w:pPr>
      <w:ind w:firstLine="225"/>
    </w:pPr>
    <w:rPr>
      <w:rFonts w:ascii="仿宋_GB2312" w:eastAsia="仿宋_GB2312"/>
      <w:sz w:val="32"/>
    </w:rPr>
  </w:style>
  <w:style w:type="paragraph" w:customStyle="1" w:styleId="349">
    <w:name w:val="正文_18"/>
    <w:next w:val="348"/>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50">
    <w:name w:val="xl53_0"/>
    <w:next w:val="346"/>
    <w:qFormat/>
    <w:uiPriority w:val="0"/>
    <w:pPr>
      <w:pBdr>
        <w:top w:val="single" w:color="000000" w:sz="4" w:space="0"/>
        <w:left w:val="single" w:color="000000" w:sz="8" w:space="0"/>
        <w:bottom w:val="single" w:color="000000" w:sz="8" w:space="0"/>
        <w:right w:val="single" w:color="000000" w:sz="4" w:space="0"/>
      </w:pBdr>
      <w:spacing w:before="100" w:beforeAutospacing="1" w:after="100" w:afterAutospacing="1"/>
      <w:jc w:val="center"/>
    </w:pPr>
    <w:rPr>
      <w:rFonts w:hint="default" w:ascii="宋体" w:hAnsi="宋体" w:eastAsia="宋体" w:cs="Times New Roman"/>
      <w:b/>
      <w:bCs/>
      <w:lang w:val="en-US" w:eastAsia="zh-CN" w:bidi="ar-SA"/>
    </w:rPr>
  </w:style>
  <w:style w:type="paragraph" w:customStyle="1" w:styleId="351">
    <w:name w:val="正文_4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52">
    <w:name w:val="Normal_11_0"/>
    <w:qFormat/>
    <w:uiPriority w:val="0"/>
    <w:rPr>
      <w:rFonts w:hint="default" w:ascii="黑体" w:hAnsi="黑体" w:eastAsia="黑体" w:cs="黑体"/>
      <w:b/>
      <w:sz w:val="32"/>
      <w:szCs w:val="24"/>
      <w:lang w:val="en-US" w:eastAsia="zh-CN" w:bidi="ar-SA"/>
    </w:rPr>
  </w:style>
  <w:style w:type="paragraph" w:customStyle="1" w:styleId="353">
    <w:name w:val="Normal_12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54">
    <w:name w:val="正文_9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55">
    <w:name w:val="正文_8_1"/>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56">
    <w:name w:val="正文_1_0_0_0_0"/>
    <w:qFormat/>
    <w:uiPriority w:val="0"/>
    <w:pPr>
      <w:widowControl w:val="0"/>
      <w:jc w:val="both"/>
    </w:pPr>
    <w:rPr>
      <w:rFonts w:hint="default" w:ascii="Times New Roman" w:hAnsi="Times New Roman" w:eastAsia="宋体" w:cs="Times New Roman"/>
      <w:sz w:val="21"/>
      <w:lang w:val="en-US" w:eastAsia="zh-CN" w:bidi="ar-SA"/>
    </w:rPr>
  </w:style>
  <w:style w:type="paragraph" w:customStyle="1" w:styleId="357">
    <w:name w:val="列出段落_2"/>
    <w:basedOn w:val="355"/>
    <w:qFormat/>
    <w:uiPriority w:val="34"/>
    <w:pPr>
      <w:ind w:firstLine="420"/>
    </w:pPr>
  </w:style>
  <w:style w:type="paragraph" w:customStyle="1" w:styleId="358">
    <w:name w:val="Normal_13_0"/>
    <w:qFormat/>
    <w:uiPriority w:val="0"/>
    <w:rPr>
      <w:rFonts w:hint="default" w:ascii="黑体" w:hAnsi="黑体" w:eastAsia="黑体" w:cs="黑体"/>
      <w:b/>
      <w:sz w:val="32"/>
      <w:szCs w:val="24"/>
      <w:lang w:val="en-US" w:eastAsia="zh-CN" w:bidi="ar-SA"/>
    </w:rPr>
  </w:style>
  <w:style w:type="paragraph" w:customStyle="1" w:styleId="359">
    <w:name w:val="正文_7_1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60">
    <w:name w:val="纯文本_0_0"/>
    <w:basedOn w:val="359"/>
    <w:unhideWhenUsed/>
    <w:qFormat/>
    <w:uiPriority w:val="0"/>
    <w:rPr>
      <w:rFonts w:ascii="宋体" w:hAnsi="Courier New"/>
      <w:szCs w:val="21"/>
    </w:rPr>
  </w:style>
  <w:style w:type="paragraph" w:customStyle="1" w:styleId="361">
    <w:name w:val="正文_8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62">
    <w:name w:val="Normal_14_0"/>
    <w:qFormat/>
    <w:uiPriority w:val="0"/>
    <w:rPr>
      <w:rFonts w:hint="default" w:ascii="黑体" w:hAnsi="黑体" w:eastAsia="黑体" w:cs="黑体"/>
      <w:b/>
      <w:sz w:val="32"/>
      <w:szCs w:val="24"/>
      <w:lang w:val="en-US" w:eastAsia="zh-CN" w:bidi="ar-SA"/>
    </w:rPr>
  </w:style>
  <w:style w:type="paragraph" w:customStyle="1" w:styleId="363">
    <w:name w:val="正文_6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64">
    <w:name w:val="Normal_15_0"/>
    <w:qFormat/>
    <w:uiPriority w:val="0"/>
    <w:rPr>
      <w:rFonts w:hint="default" w:ascii="黑体" w:hAnsi="黑体" w:eastAsia="黑体" w:cs="黑体"/>
      <w:b/>
      <w:sz w:val="32"/>
      <w:szCs w:val="24"/>
      <w:lang w:val="en-US" w:eastAsia="zh-CN" w:bidi="ar-SA"/>
    </w:rPr>
  </w:style>
  <w:style w:type="paragraph" w:customStyle="1" w:styleId="365">
    <w:name w:val="正文_7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66">
    <w:name w:val="正文_9_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67">
    <w:name w:val="Normal_16_0"/>
    <w:qFormat/>
    <w:uiPriority w:val="0"/>
    <w:rPr>
      <w:rFonts w:hint="default" w:ascii="黑体" w:hAnsi="黑体" w:eastAsia="黑体" w:cs="黑体"/>
      <w:b/>
      <w:sz w:val="32"/>
      <w:szCs w:val="24"/>
      <w:lang w:val="en-US" w:eastAsia="zh-CN" w:bidi="ar-SA"/>
    </w:rPr>
  </w:style>
  <w:style w:type="paragraph" w:customStyle="1" w:styleId="368">
    <w:name w:val="正文_10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69">
    <w:name w:val="Normal_17_0"/>
    <w:qFormat/>
    <w:uiPriority w:val="0"/>
    <w:rPr>
      <w:rFonts w:hint="default" w:ascii="黑体" w:hAnsi="黑体" w:eastAsia="黑体" w:cs="黑体"/>
      <w:b/>
      <w:sz w:val="32"/>
      <w:szCs w:val="24"/>
      <w:lang w:val="en-US" w:eastAsia="zh-CN" w:bidi="ar-SA"/>
    </w:rPr>
  </w:style>
  <w:style w:type="paragraph" w:customStyle="1" w:styleId="370">
    <w:name w:val="正文_10_0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71">
    <w:name w:val="Normal_18_0"/>
    <w:qFormat/>
    <w:uiPriority w:val="0"/>
    <w:rPr>
      <w:rFonts w:hint="default" w:ascii="黑体" w:hAnsi="黑体" w:eastAsia="黑体" w:cs="黑体"/>
      <w:b/>
      <w:sz w:val="32"/>
      <w:szCs w:val="24"/>
      <w:lang w:val="en-US" w:eastAsia="zh-CN" w:bidi="ar-SA"/>
    </w:rPr>
  </w:style>
  <w:style w:type="paragraph" w:customStyle="1" w:styleId="372">
    <w:name w:val="正文_12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73">
    <w:name w:val="正文_9_1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74">
    <w:name w:val="Normal_14_0_0"/>
    <w:qFormat/>
    <w:uiPriority w:val="0"/>
    <w:rPr>
      <w:rFonts w:hint="default" w:ascii="黑体" w:hAnsi="黑体" w:eastAsia="黑体" w:cs="Times New Roman"/>
      <w:b/>
      <w:sz w:val="32"/>
      <w:szCs w:val="24"/>
      <w:lang w:val="en-US" w:eastAsia="zh-CN" w:bidi="ar-SA"/>
    </w:rPr>
  </w:style>
  <w:style w:type="paragraph" w:customStyle="1" w:styleId="375">
    <w:name w:val="正文_12_0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76">
    <w:name w:val="正文_12_0_0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77">
    <w:name w:val="正文_13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78">
    <w:name w:val="正文_13_0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79">
    <w:name w:val="正文_14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80">
    <w:name w:val="正文_14_0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81">
    <w:name w:val="Normal Indent_0"/>
    <w:basedOn w:val="139"/>
    <w:qFormat/>
    <w:uiPriority w:val="0"/>
    <w:pPr>
      <w:ind w:firstLine="420"/>
    </w:pPr>
    <w:rPr>
      <w:rFonts w:ascii="宋体" w:eastAsia="Times New Roman"/>
      <w:color w:val="000000"/>
      <w:sz w:val="24"/>
      <w:szCs w:val="20"/>
    </w:rPr>
  </w:style>
  <w:style w:type="paragraph" w:customStyle="1" w:styleId="382">
    <w:name w:val="Heading 3_0"/>
    <w:basedOn w:val="139"/>
    <w:next w:val="139"/>
    <w:qFormat/>
    <w:uiPriority w:val="0"/>
    <w:pPr>
      <w:keepNext/>
      <w:keepLines/>
      <w:spacing w:before="260" w:after="260" w:line="413" w:lineRule="auto"/>
      <w:outlineLvl w:val="2"/>
    </w:pPr>
    <w:rPr>
      <w:rFonts w:ascii="Times New Roman" w:hAnsi="Times New Roman" w:eastAsia="Times New Roman"/>
      <w:szCs w:val="20"/>
    </w:rPr>
  </w:style>
  <w:style w:type="paragraph" w:customStyle="1" w:styleId="383">
    <w:name w:val="正文_15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84">
    <w:name w:val="正文2"/>
    <w:basedOn w:val="1"/>
    <w:qFormat/>
    <w:uiPriority w:val="0"/>
    <w:pPr>
      <w:spacing w:before="156" w:line="360" w:lineRule="auto"/>
      <w:ind w:firstLine="510"/>
    </w:pPr>
    <w:rPr>
      <w:sz w:val="24"/>
      <w:szCs w:val="20"/>
    </w:rPr>
  </w:style>
  <w:style w:type="paragraph" w:customStyle="1" w:styleId="385">
    <w:name w:val="Default"/>
    <w:qFormat/>
    <w:uiPriority w:val="0"/>
    <w:pPr>
      <w:widowControl w:val="0"/>
    </w:pPr>
    <w:rPr>
      <w:rFonts w:hint="default" w:ascii="宋体" w:hAnsi="Times New Roman" w:eastAsia="宋体" w:cs="宋体"/>
      <w:color w:val="000000"/>
      <w:sz w:val="24"/>
      <w:szCs w:val="24"/>
      <w:lang w:val="en-US" w:eastAsia="zh-CN" w:bidi="ar-SA"/>
    </w:rPr>
  </w:style>
  <w:style w:type="paragraph" w:customStyle="1" w:styleId="386">
    <w:name w:val="正文_0_2_0"/>
    <w:qFormat/>
    <w:uiPriority w:val="0"/>
    <w:pPr>
      <w:widowControl w:val="0"/>
      <w:jc w:val="both"/>
    </w:pPr>
    <w:rPr>
      <w:rFonts w:hint="default" w:ascii="Times New Roman" w:hAnsi="Times New Roman" w:eastAsia="宋体" w:cs="Times New Roman"/>
      <w:szCs w:val="24"/>
      <w:lang w:val="en-US" w:eastAsia="zh-CN" w:bidi="ar-SA"/>
    </w:rPr>
  </w:style>
  <w:style w:type="paragraph" w:customStyle="1" w:styleId="387">
    <w:name w:val="Normal_19_1_0"/>
    <w:next w:val="388"/>
    <w:qFormat/>
    <w:uiPriority w:val="0"/>
    <w:pPr>
      <w:widowControl w:val="0"/>
      <w:jc w:val="both"/>
    </w:pPr>
    <w:rPr>
      <w:rFonts w:hint="default" w:ascii="Calibri" w:hAnsi="Calibri" w:eastAsia="宋体" w:cs="Times New Roman"/>
      <w:szCs w:val="24"/>
      <w:lang w:val="en-US" w:eastAsia="zh-CN" w:bidi="ar-SA"/>
    </w:rPr>
  </w:style>
  <w:style w:type="paragraph" w:customStyle="1" w:styleId="388">
    <w:name w:val="正文_16_0"/>
    <w:basedOn w:val="349"/>
    <w:next w:val="347"/>
    <w:qFormat/>
    <w:uiPriority w:val="0"/>
    <w:rPr>
      <w:rFonts w:ascii="Times New Roman" w:hAnsi="Times New Roman"/>
    </w:rPr>
  </w:style>
  <w:style w:type="paragraph" w:customStyle="1" w:styleId="389">
    <w:name w:val="Normal_19_0"/>
    <w:basedOn w:val="45"/>
    <w:next w:val="390"/>
    <w:qFormat/>
    <w:uiPriority w:val="0"/>
    <w:rPr>
      <w:szCs w:val="24"/>
    </w:rPr>
  </w:style>
  <w:style w:type="paragraph" w:customStyle="1" w:styleId="390">
    <w:name w:val="Body Text First Indent_1_0"/>
    <w:basedOn w:val="389"/>
    <w:qFormat/>
    <w:uiPriority w:val="0"/>
    <w:pPr>
      <w:spacing w:after="120"/>
      <w:ind w:firstLine="100"/>
    </w:pPr>
  </w:style>
  <w:style w:type="paragraph" w:customStyle="1" w:styleId="391">
    <w:name w:val="Body Text_0"/>
    <w:basedOn w:val="389"/>
    <w:qFormat/>
    <w:uiPriority w:val="0"/>
    <w:pPr>
      <w:spacing w:line="60" w:lineRule="auto"/>
    </w:pPr>
    <w:rPr>
      <w:rFonts w:ascii="仿宋_GB2312" w:eastAsia="仿宋_GB2312"/>
      <w:sz w:val="32"/>
    </w:rPr>
  </w:style>
  <w:style w:type="paragraph" w:customStyle="1" w:styleId="392">
    <w:name w:val="Normal_19_1"/>
    <w:next w:val="139"/>
    <w:qFormat/>
    <w:uiPriority w:val="0"/>
    <w:pPr>
      <w:widowControl w:val="0"/>
      <w:jc w:val="both"/>
    </w:pPr>
    <w:rPr>
      <w:rFonts w:hint="default" w:ascii="Calibri" w:hAnsi="Calibri" w:eastAsia="宋体" w:cs="Times New Roman"/>
      <w:szCs w:val="24"/>
      <w:lang w:val="en-US" w:eastAsia="zh-CN" w:bidi="ar-SA"/>
    </w:rPr>
  </w:style>
  <w:style w:type="paragraph" w:customStyle="1" w:styleId="393">
    <w:name w:val="正文_6_0_0"/>
    <w:qFormat/>
    <w:uiPriority w:val="0"/>
    <w:pPr>
      <w:widowControl w:val="0"/>
      <w:jc w:val="both"/>
    </w:pPr>
    <w:rPr>
      <w:rFonts w:hint="default" w:ascii="Calibri" w:hAnsi="Calibri" w:eastAsia="宋体" w:cs="Times New Roman"/>
      <w:lang w:val="en-US" w:eastAsia="zh-CN" w:bidi="ar-SA"/>
    </w:rPr>
  </w:style>
  <w:style w:type="paragraph" w:customStyle="1" w:styleId="394">
    <w:name w:val="正文_7_1"/>
    <w:qFormat/>
    <w:uiPriority w:val="0"/>
    <w:pPr>
      <w:widowControl w:val="0"/>
      <w:jc w:val="both"/>
    </w:pPr>
    <w:rPr>
      <w:rFonts w:hint="default" w:ascii="Calibri" w:hAnsi="Calibri" w:eastAsia="宋体" w:cs="Times New Roman"/>
      <w:lang w:val="en-US" w:eastAsia="zh-CN" w:bidi="ar-SA"/>
    </w:rPr>
  </w:style>
  <w:style w:type="paragraph" w:customStyle="1" w:styleId="395">
    <w:name w:val="正文1_1"/>
    <w:basedOn w:val="343"/>
    <w:qFormat/>
    <w:uiPriority w:val="0"/>
    <w:pPr>
      <w:widowControl w:val="0"/>
      <w:jc w:val="both"/>
    </w:pPr>
    <w:rPr>
      <w:sz w:val="20"/>
      <w:szCs w:val="20"/>
    </w:rPr>
  </w:style>
  <w:style w:type="paragraph" w:customStyle="1" w:styleId="396">
    <w:name w:val="Normal_8_0_0"/>
    <w:qFormat/>
    <w:uiPriority w:val="0"/>
    <w:rPr>
      <w:rFonts w:hint="default" w:ascii="Times New Roman" w:hAnsi="Times New Roman" w:eastAsia="Times New Roman" w:cs="Times New Roman"/>
      <w:sz w:val="24"/>
      <w:szCs w:val="24"/>
      <w:lang w:val="en-US" w:eastAsia="zh-CN" w:bidi="ar-SA"/>
    </w:rPr>
  </w:style>
  <w:style w:type="paragraph" w:customStyle="1" w:styleId="397">
    <w:name w:val="Normal_8_0_0_0"/>
    <w:qFormat/>
    <w:uiPriority w:val="0"/>
    <w:pPr>
      <w:widowControl w:val="0"/>
      <w:jc w:val="both"/>
    </w:pPr>
    <w:rPr>
      <w:rFonts w:hint="default" w:ascii="Calibri" w:hAnsi="Calibri" w:eastAsia="宋体" w:cs="Times New Roman"/>
      <w:lang w:val="en-US" w:eastAsia="zh-CN" w:bidi="ar-SA"/>
    </w:rPr>
  </w:style>
  <w:style w:type="paragraph" w:customStyle="1" w:styleId="398">
    <w:name w:val="Normal_16_1"/>
    <w:qFormat/>
    <w:uiPriority w:val="0"/>
    <w:rPr>
      <w:rFonts w:hint="default" w:ascii="黑体" w:hAnsi="黑体" w:eastAsia="黑体" w:cs="Times New Roman"/>
      <w:b/>
      <w:sz w:val="32"/>
      <w:szCs w:val="24"/>
      <w:lang w:val="en-US" w:eastAsia="zh-CN" w:bidi="ar-SA"/>
    </w:rPr>
  </w:style>
  <w:style w:type="paragraph" w:customStyle="1" w:styleId="399">
    <w:name w:val="Normal_19_0_1"/>
    <w:qFormat/>
    <w:uiPriority w:val="0"/>
    <w:rPr>
      <w:rFonts w:hint="default" w:ascii="Tahoma" w:hAnsi="Tahoma" w:eastAsia="微软雅黑" w:cs="Times New Roman"/>
      <w:lang w:val="en-US" w:eastAsia="zh-CN" w:bidi="ar-SA"/>
    </w:rPr>
  </w:style>
  <w:style w:type="paragraph" w:customStyle="1" w:styleId="400">
    <w:name w:val="Normal_16_0_0"/>
    <w:qFormat/>
    <w:uiPriority w:val="0"/>
    <w:pPr>
      <w:widowControl w:val="0"/>
      <w:jc w:val="both"/>
    </w:pPr>
    <w:rPr>
      <w:rFonts w:hint="default" w:ascii="Calibri" w:hAnsi="Calibri" w:eastAsia="宋体" w:cs="Times New Roman"/>
      <w:lang w:val="en-US" w:eastAsia="zh-CN" w:bidi="ar-SA"/>
    </w:rPr>
  </w:style>
  <w:style w:type="paragraph" w:customStyle="1" w:styleId="401">
    <w:name w:val="Normal_22_0"/>
    <w:qFormat/>
    <w:uiPriority w:val="0"/>
    <w:pPr>
      <w:widowControl w:val="0"/>
      <w:jc w:val="both"/>
    </w:pPr>
    <w:rPr>
      <w:rFonts w:hint="default" w:ascii="Calibri" w:hAnsi="Calibri" w:eastAsia="宋体" w:cs="Times New Roman"/>
      <w:szCs w:val="24"/>
      <w:lang w:val="en-US" w:eastAsia="zh-CN" w:bidi="ar-SA"/>
    </w:rPr>
  </w:style>
  <w:style w:type="paragraph" w:customStyle="1" w:styleId="402">
    <w:name w:val="Normal_17_0_0"/>
    <w:qFormat/>
    <w:uiPriority w:val="0"/>
    <w:rPr>
      <w:rFonts w:hint="default" w:ascii="黑体" w:hAnsi="黑体" w:eastAsia="黑体" w:cs="Times New Roman"/>
      <w:b/>
      <w:sz w:val="32"/>
      <w:szCs w:val="24"/>
      <w:lang w:val="en-US" w:eastAsia="zh-CN" w:bidi="ar-SA"/>
    </w:rPr>
  </w:style>
  <w:style w:type="paragraph" w:customStyle="1" w:styleId="403">
    <w:name w:val="Normal_19_0_1_0"/>
    <w:qFormat/>
    <w:uiPriority w:val="0"/>
    <w:rPr>
      <w:rFonts w:hint="default" w:ascii="Tahoma" w:hAnsi="Tahoma" w:eastAsia="微软雅黑" w:cs="Times New Roman"/>
      <w:lang w:val="en-US" w:eastAsia="zh-CN" w:bidi="ar-SA"/>
    </w:rPr>
  </w:style>
  <w:style w:type="paragraph" w:customStyle="1" w:styleId="404">
    <w:name w:val="Normal_19_3"/>
    <w:next w:val="405"/>
    <w:qFormat/>
    <w:uiPriority w:val="0"/>
    <w:pPr>
      <w:widowControl w:val="0"/>
      <w:jc w:val="both"/>
    </w:pPr>
    <w:rPr>
      <w:rFonts w:hint="default" w:ascii="Calibri" w:hAnsi="Calibri" w:eastAsia="Times New Roman" w:cs="Times New Roman"/>
      <w:szCs w:val="24"/>
      <w:lang w:val="en-US" w:eastAsia="zh-CN" w:bidi="ar-SA"/>
    </w:rPr>
  </w:style>
  <w:style w:type="paragraph" w:customStyle="1" w:styleId="405">
    <w:name w:val="正文_17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406">
    <w:name w:val="Normal_22_0_0"/>
    <w:qFormat/>
    <w:uiPriority w:val="0"/>
    <w:pPr>
      <w:widowControl w:val="0"/>
      <w:jc w:val="both"/>
    </w:pPr>
    <w:rPr>
      <w:rFonts w:hint="default" w:ascii="Calibri" w:hAnsi="Calibri" w:eastAsia="宋体" w:cs="Times New Roman"/>
      <w:szCs w:val="24"/>
      <w:lang w:val="en-US" w:eastAsia="zh-CN" w:bidi="ar-SA"/>
    </w:rPr>
  </w:style>
  <w:style w:type="character" w:customStyle="1" w:styleId="407">
    <w:name w:val="custom-tag-placeholder-class"/>
    <w:link w:val="1"/>
    <w:qFormat/>
    <w:uiPriority w:val="0"/>
  </w:style>
  <w:style w:type="paragraph" w:customStyle="1" w:styleId="408">
    <w:name w:val="Normal_19_0_0"/>
    <w:basedOn w:val="139"/>
    <w:next w:val="409"/>
    <w:qFormat/>
    <w:uiPriority w:val="0"/>
    <w:rPr>
      <w:rFonts w:ascii="Calibri" w:hAnsi="Calibri" w:eastAsia="Times New Roman"/>
      <w:sz w:val="24"/>
    </w:rPr>
  </w:style>
  <w:style w:type="paragraph" w:customStyle="1" w:styleId="409">
    <w:name w:val="Body Text First Indent_1_0_0"/>
    <w:basedOn w:val="408"/>
    <w:qFormat/>
    <w:uiPriority w:val="0"/>
    <w:pPr>
      <w:spacing w:after="120"/>
      <w:ind w:firstLine="100"/>
    </w:pPr>
    <w:rPr>
      <w:rFonts w:eastAsia="Times New Roman"/>
    </w:rPr>
  </w:style>
  <w:style w:type="paragraph" w:customStyle="1" w:styleId="410">
    <w:name w:val="正文_2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411">
    <w:name w:val="List Paragraph_0"/>
    <w:basedOn w:val="412"/>
    <w:qFormat/>
    <w:uiPriority w:val="0"/>
    <w:pPr>
      <w:ind w:firstLine="420"/>
    </w:pPr>
  </w:style>
  <w:style w:type="paragraph" w:customStyle="1" w:styleId="412">
    <w:name w:val="正文1_0"/>
    <w:basedOn w:val="410"/>
    <w:qFormat/>
    <w:uiPriority w:val="0"/>
    <w:pPr>
      <w:widowControl/>
      <w:spacing w:line="360" w:lineRule="auto"/>
      <w:ind w:left="357" w:firstLine="420"/>
      <w:jc w:val="left"/>
    </w:pPr>
    <w:rPr>
      <w:rFonts w:cs="Arial"/>
      <w:szCs w:val="20"/>
    </w:rPr>
  </w:style>
  <w:style w:type="paragraph" w:customStyle="1" w:styleId="413">
    <w:name w:val="纯文本_1"/>
    <w:basedOn w:val="410"/>
    <w:qFormat/>
    <w:uiPriority w:val="0"/>
    <w:rPr>
      <w:rFonts w:ascii="宋体" w:hAnsi="Times New Roman"/>
      <w:sz w:val="20"/>
      <w:szCs w:val="21"/>
    </w:rPr>
  </w:style>
  <w:style w:type="paragraph" w:customStyle="1" w:styleId="414">
    <w:name w:val="正文_16_0_0"/>
    <w:next w:val="184"/>
    <w:qFormat/>
    <w:uiPriority w:val="0"/>
    <w:pPr>
      <w:widowControl w:val="0"/>
      <w:jc w:val="both"/>
    </w:pPr>
    <w:rPr>
      <w:rFonts w:hint="default" w:ascii="Calibri" w:hAnsi="Calibri" w:eastAsia="宋体" w:cs="Times New Roman"/>
      <w:sz w:val="21"/>
      <w:szCs w:val="22"/>
      <w:lang w:val="en-US" w:eastAsia="zh-CN" w:bidi="ar-SA"/>
    </w:rPr>
  </w:style>
  <w:style w:type="paragraph" w:customStyle="1" w:styleId="415">
    <w:name w:val="正文_11_0"/>
    <w:basedOn w:val="184"/>
    <w:qFormat/>
    <w:uiPriority w:val="0"/>
    <w:rPr>
      <w:rFonts w:ascii="Calibri" w:hAnsi="Calibri"/>
      <w:szCs w:val="20"/>
    </w:rPr>
  </w:style>
  <w:style w:type="paragraph" w:customStyle="1" w:styleId="416">
    <w:name w:val="Normal_19_0_0_0"/>
    <w:basedOn w:val="45"/>
    <w:qFormat/>
    <w:uiPriority w:val="0"/>
    <w:rPr>
      <w:rFonts w:cs="黑体"/>
      <w:szCs w:val="24"/>
    </w:rPr>
  </w:style>
  <w:style w:type="paragraph" w:customStyle="1" w:styleId="417">
    <w:name w:val="无间隔1"/>
    <w:basedOn w:val="329"/>
    <w:qFormat/>
    <w:uiPriority w:val="0"/>
    <w:rPr>
      <w:rFonts w:ascii="Calibri" w:hAnsi="Calibri" w:cs="Calibri"/>
    </w:rPr>
  </w:style>
  <w:style w:type="paragraph" w:customStyle="1" w:styleId="418">
    <w:name w:val="标题 31"/>
    <w:basedOn w:val="329"/>
    <w:next w:val="329"/>
    <w:qFormat/>
    <w:uiPriority w:val="0"/>
    <w:pPr>
      <w:keepNext/>
      <w:keepLines/>
      <w:spacing w:before="260" w:after="260" w:line="413" w:lineRule="auto"/>
      <w:outlineLvl w:val="2"/>
    </w:pPr>
    <w:rPr>
      <w:b/>
      <w:sz w:val="32"/>
      <w:szCs w:val="20"/>
    </w:rPr>
  </w:style>
  <w:style w:type="character" w:customStyle="1" w:styleId="419">
    <w:name w:val="标题 2 Char_0"/>
    <w:link w:val="420"/>
    <w:qFormat/>
    <w:uiPriority w:val="0"/>
    <w:rPr>
      <w:rFonts w:ascii="Arial" w:hAnsi="Arial" w:eastAsia="黑体"/>
      <w:b/>
      <w:sz w:val="32"/>
      <w:szCs w:val="22"/>
    </w:rPr>
  </w:style>
  <w:style w:type="paragraph" w:customStyle="1" w:styleId="420">
    <w:name w:val="标题 21"/>
    <w:basedOn w:val="46"/>
    <w:next w:val="46"/>
    <w:link w:val="419"/>
    <w:unhideWhenUsed/>
    <w:qFormat/>
    <w:uiPriority w:val="0"/>
    <w:pPr>
      <w:keepNext/>
      <w:keepLines/>
      <w:spacing w:before="260" w:after="260" w:line="413" w:lineRule="auto"/>
      <w:outlineLvl w:val="1"/>
    </w:pPr>
    <w:rPr>
      <w:rFonts w:ascii="Arial" w:hAnsi="Arial"/>
      <w:szCs w:val="22"/>
    </w:rPr>
  </w:style>
  <w:style w:type="paragraph" w:customStyle="1" w:styleId="421">
    <w:name w:val="Normal_19_1_0_0"/>
    <w:next w:val="422"/>
    <w:qFormat/>
    <w:uiPriority w:val="0"/>
    <w:pPr>
      <w:widowControl w:val="0"/>
      <w:jc w:val="both"/>
    </w:pPr>
    <w:rPr>
      <w:rFonts w:hint="default" w:ascii="Calibri" w:hAnsi="Calibri" w:eastAsia="宋体" w:cs="Times New Roman"/>
      <w:sz w:val="21"/>
      <w:szCs w:val="24"/>
      <w:lang w:val="en-US" w:eastAsia="zh-CN" w:bidi="ar-SA"/>
    </w:rPr>
  </w:style>
  <w:style w:type="paragraph" w:customStyle="1" w:styleId="422">
    <w:name w:val="正文_16_0_1"/>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423">
    <w:name w:val="正文1_0_0"/>
    <w:basedOn w:val="46"/>
    <w:qFormat/>
    <w:uiPriority w:val="0"/>
    <w:pPr>
      <w:spacing w:line="360" w:lineRule="auto"/>
      <w:ind w:left="357" w:firstLine="420"/>
    </w:pPr>
    <w:rPr>
      <w:rFonts w:eastAsia="Times New Roman" w:cs="Arial"/>
    </w:rPr>
  </w:style>
  <w:style w:type="paragraph" w:customStyle="1" w:styleId="424">
    <w:name w:val="普通正文"/>
    <w:basedOn w:val="1"/>
    <w:qFormat/>
    <w:uiPriority w:val="0"/>
    <w:pPr>
      <w:spacing w:before="120" w:after="120" w:line="360" w:lineRule="auto"/>
      <w:ind w:firstLine="480"/>
      <w:jc w:val="left"/>
    </w:pPr>
    <w:rPr>
      <w:rFonts w:ascii="Arial" w:hAnsi="Arial"/>
      <w:sz w:val="24"/>
      <w:szCs w:val="24"/>
    </w:rPr>
  </w:style>
  <w:style w:type="paragraph" w:customStyle="1" w:styleId="425">
    <w:name w:val="正文空2字"/>
    <w:basedOn w:val="426"/>
    <w:qFormat/>
    <w:uiPriority w:val="99"/>
    <w:pPr>
      <w:widowControl w:val="0"/>
      <w:spacing w:line="560" w:lineRule="exact"/>
      <w:ind w:firstLine="640"/>
    </w:pPr>
    <w:rPr>
      <w:rFonts w:ascii="仿宋_GB2312" w:hAnsi="仿宋_GB2312" w:cs="仿宋_GB2312"/>
      <w:lang w:val="zh-TW"/>
    </w:rPr>
  </w:style>
  <w:style w:type="paragraph" w:customStyle="1" w:styleId="426">
    <w:name w:val="左对齐正文"/>
    <w:qFormat/>
    <w:uiPriority w:val="99"/>
    <w:rPr>
      <w:rFonts w:hint="default" w:ascii="Calibri" w:hAnsi="Calibri" w:eastAsia="仿宋_GB2312" w:cs="Calibri"/>
      <w:sz w:val="32"/>
      <w:szCs w:val="32"/>
      <w:lang w:val="en-US" w:eastAsia="zh-CN" w:bidi="ar-SA"/>
    </w:rPr>
  </w:style>
  <w:style w:type="paragraph" w:customStyle="1" w:styleId="427">
    <w:name w:val="普通(网站)1"/>
    <w:basedOn w:val="1"/>
    <w:qFormat/>
    <w:uiPriority w:val="0"/>
    <w:rPr>
      <w:sz w:val="24"/>
    </w:rPr>
  </w:style>
  <w:style w:type="character" w:customStyle="1" w:styleId="428">
    <w:name w:val="16"/>
    <w:link w:val="1"/>
    <w:qFormat/>
    <w:uiPriority w:val="0"/>
    <w:rPr>
      <w:rFonts w:ascii="Times New Roman" w:hAnsi="Times New Roman"/>
      <w:sz w:val="21"/>
      <w:szCs w:val="21"/>
      <w:lang w:val="en-US" w:eastAsia="zh-CN" w:bidi="ar-SA"/>
    </w:rPr>
  </w:style>
  <w:style w:type="paragraph" w:customStyle="1" w:styleId="429">
    <w:name w:val="正文文本_0"/>
    <w:basedOn w:val="322"/>
    <w:next w:val="430"/>
    <w:qFormat/>
    <w:uiPriority w:val="0"/>
    <w:pPr>
      <w:spacing w:line="60" w:lineRule="auto"/>
    </w:pPr>
    <w:rPr>
      <w:rFonts w:ascii="仿宋_GB2312" w:eastAsia="仿宋_GB2312"/>
      <w:sz w:val="32"/>
    </w:rPr>
  </w:style>
  <w:style w:type="paragraph" w:customStyle="1" w:styleId="430">
    <w:name w:val="正文缩进_1"/>
    <w:basedOn w:val="322"/>
    <w:next w:val="322"/>
    <w:qFormat/>
    <w:uiPriority w:val="0"/>
    <w:pPr>
      <w:ind w:firstLine="420"/>
    </w:pPr>
    <w:rPr>
      <w:rFonts w:ascii="宋体"/>
      <w:color w:val="000000"/>
      <w:sz w:val="24"/>
      <w:szCs w:val="20"/>
    </w:rPr>
  </w:style>
  <w:style w:type="paragraph" w:customStyle="1" w:styleId="431">
    <w:name w:val="Table Paragraph"/>
    <w:basedOn w:val="139"/>
    <w:qFormat/>
    <w:uiPriority w:val="1"/>
    <w:rPr>
      <w:rFonts w:ascii="宋体" w:hAnsi="宋体" w:cs="宋体"/>
      <w:sz w:val="22"/>
      <w:lang w:val="zh-CN" w:bidi="zh-CN"/>
    </w:rPr>
  </w:style>
  <w:style w:type="paragraph" w:customStyle="1" w:styleId="432">
    <w:name w:val="Normal_19_2"/>
    <w:basedOn w:val="433"/>
    <w:qFormat/>
    <w:uiPriority w:val="0"/>
    <w:rPr>
      <w:rFonts w:ascii="Times New Roman" w:hAnsi="Times New Roman"/>
      <w:szCs w:val="21"/>
    </w:rPr>
  </w:style>
  <w:style w:type="paragraph" w:customStyle="1" w:styleId="433">
    <w:name w:val="正文_3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434">
    <w:name w:val="正文文本2"/>
    <w:basedOn w:val="182"/>
    <w:qFormat/>
    <w:uiPriority w:val="0"/>
    <w:pPr>
      <w:spacing w:line="60" w:lineRule="auto"/>
    </w:pPr>
    <w:rPr>
      <w:rFonts w:ascii="仿宋_GB2312" w:eastAsia="仿宋_GB2312"/>
      <w:sz w:val="32"/>
      <w:szCs w:val="22"/>
    </w:rPr>
  </w:style>
  <w:style w:type="paragraph" w:customStyle="1" w:styleId="435">
    <w:name w:val="Normal_19_2_0"/>
    <w:basedOn w:val="436"/>
    <w:qFormat/>
    <w:uiPriority w:val="0"/>
    <w:rPr>
      <w:rFonts w:ascii="Times New Roman" w:hAnsi="Times New Roman"/>
      <w:szCs w:val="21"/>
    </w:rPr>
  </w:style>
  <w:style w:type="paragraph" w:customStyle="1" w:styleId="436">
    <w:name w:val="正文_3_1"/>
    <w:qFormat/>
    <w:uiPriority w:val="0"/>
    <w:pPr>
      <w:widowControl w:val="0"/>
      <w:jc w:val="both"/>
    </w:pPr>
    <w:rPr>
      <w:rFonts w:hint="default" w:ascii="Calibri" w:hAnsi="Calibri" w:eastAsia="宋体" w:cs="Times New Roman"/>
      <w:sz w:val="21"/>
      <w:szCs w:val="22"/>
      <w:lang w:val="en-US" w:eastAsia="zh-CN" w:bidi="ar-SA"/>
    </w:rPr>
  </w:style>
  <w:style w:type="paragraph" w:customStyle="1" w:styleId="437">
    <w:name w:val="正文缩进1"/>
    <w:basedOn w:val="1"/>
    <w:qFormat/>
    <w:uiPriority w:val="0"/>
    <w:pPr>
      <w:ind w:firstLine="420"/>
      <w:jc w:val="left"/>
    </w:pPr>
    <w:rPr>
      <w:rFonts w:ascii="宋体" w:hAnsi="Calibri" w:eastAsia="宋体" w:cs="Times New Roman"/>
      <w:sz w:val="24"/>
    </w:rPr>
  </w:style>
  <w:style w:type="paragraph" w:customStyle="1" w:styleId="438">
    <w:name w:val="纯文本1"/>
    <w:basedOn w:val="183"/>
    <w:qFormat/>
    <w:uiPriority w:val="0"/>
    <w:rPr>
      <w:rFonts w:ascii="宋体" w:hAnsi="Courier New" w:eastAsia="宋体" w:cs="Times New Roman"/>
    </w:rPr>
  </w:style>
  <w:style w:type="paragraph" w:customStyle="1" w:styleId="439">
    <w:name w:val="Normal_21_0"/>
    <w:next w:val="44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440">
    <w:name w:val="Heading 1_0"/>
    <w:basedOn w:val="439"/>
    <w:next w:val="439"/>
    <w:qFormat/>
    <w:uiPriority w:val="0"/>
    <w:pPr>
      <w:keepNext/>
      <w:keepLines/>
      <w:spacing w:before="240" w:after="120" w:line="300" w:lineRule="auto"/>
      <w:jc w:val="center"/>
      <w:outlineLvl w:val="0"/>
    </w:pPr>
    <w:rPr>
      <w:rFonts w:ascii="宋体"/>
      <w:b/>
      <w:sz w:val="32"/>
      <w:szCs w:val="20"/>
    </w:rPr>
  </w:style>
  <w:style w:type="paragraph" w:customStyle="1" w:styleId="441">
    <w:name w:val="正文_12_0_0_0_0"/>
    <w:qFormat/>
    <w:uiPriority w:val="0"/>
    <w:pPr>
      <w:widowControl w:val="0"/>
      <w:jc w:val="both"/>
    </w:pPr>
    <w:rPr>
      <w:rFonts w:hint="default" w:ascii="Times New Roman" w:hAnsi="Times New Roman" w:eastAsia="宋体" w:cs="Times New Roman"/>
      <w:sz w:val="21"/>
      <w:szCs w:val="24"/>
      <w:lang w:val="en-US" w:eastAsia="zh-CN" w:bidi="ar-SA"/>
    </w:rPr>
  </w:style>
  <w:style w:type="character" w:customStyle="1" w:styleId="442">
    <w:name w:val="正文文本 字符"/>
    <w:link w:val="1"/>
    <w:qFormat/>
    <w:uiPriority w:val="0"/>
    <w:rPr>
      <w:rFonts w:ascii="楷体_GB2312" w:hAnsi="Arial" w:eastAsia="楷体_GB2312" w:cs="Times New Roman"/>
      <w:sz w:val="28"/>
      <w:szCs w:val="28"/>
    </w:rPr>
  </w:style>
  <w:style w:type="character" w:customStyle="1" w:styleId="443">
    <w:name w:val="正文文本缩进 字符"/>
    <w:link w:val="1"/>
    <w:qFormat/>
    <w:uiPriority w:val="0"/>
    <w:rPr>
      <w:rFonts w:ascii="楷体_GB2312" w:hAnsi="Times New Roman" w:eastAsia="楷体_GB2312" w:cs="Times New Roman"/>
      <w:sz w:val="32"/>
      <w:szCs w:val="32"/>
    </w:rPr>
  </w:style>
  <w:style w:type="character" w:customStyle="1" w:styleId="444">
    <w:name w:val="正文文本 字符1"/>
    <w:link w:val="1"/>
    <w:qFormat/>
    <w:uiPriority w:val="0"/>
    <w:rPr>
      <w:rFonts w:ascii="Calibri" w:hAnsi="Calibri"/>
      <w:sz w:val="28"/>
      <w:szCs w:val="24"/>
    </w:rPr>
  </w:style>
  <w:style w:type="character" w:customStyle="1" w:styleId="445">
    <w:name w:val="正文文本首行缩进 字符"/>
    <w:link w:val="1"/>
    <w:qFormat/>
    <w:uiPriority w:val="0"/>
    <w:rPr>
      <w:rFonts w:ascii="仿宋_GB2312" w:hAnsi="Calibri" w:eastAsia="仿宋_GB2312"/>
      <w:sz w:val="30"/>
      <w:szCs w:val="30"/>
    </w:rPr>
  </w:style>
  <w:style w:type="paragraph" w:customStyle="1" w:styleId="446">
    <w:name w:val="索引 41"/>
    <w:basedOn w:val="1"/>
    <w:next w:val="1"/>
    <w:semiHidden/>
    <w:qFormat/>
    <w:uiPriority w:val="0"/>
    <w:pPr>
      <w:ind w:left="1260"/>
    </w:pPr>
    <w:rPr>
      <w:rFonts w:eastAsia="Calibri" w:cs="宋体"/>
      <w:sz w:val="20"/>
      <w:szCs w:val="21"/>
      <w:lang w:val="zh-CN"/>
    </w:rPr>
  </w:style>
  <w:style w:type="character" w:customStyle="1" w:styleId="447">
    <w:name w:val="font5 Char"/>
    <w:link w:val="1"/>
    <w:qFormat/>
    <w:uiPriority w:val="0"/>
    <w:rPr>
      <w:rFonts w:ascii="宋体" w:hAnsi="宋体" w:eastAsia="宋体"/>
      <w:sz w:val="28"/>
      <w:szCs w:val="28"/>
      <w:lang w:val="en-US" w:eastAsia="zh-CN" w:bidi="ar-SA"/>
    </w:rPr>
  </w:style>
  <w:style w:type="character" w:customStyle="1" w:styleId="448">
    <w:name w:val="二级目录 Char"/>
    <w:link w:val="449"/>
    <w:qFormat/>
    <w:uiPriority w:val="0"/>
    <w:rPr>
      <w:b/>
      <w:sz w:val="30"/>
      <w:szCs w:val="28"/>
    </w:rPr>
  </w:style>
  <w:style w:type="paragraph" w:customStyle="1" w:styleId="449">
    <w:name w:val="二级目录"/>
    <w:next w:val="1"/>
    <w:link w:val="448"/>
    <w:qFormat/>
    <w:uiPriority w:val="0"/>
    <w:pPr>
      <w:numPr>
        <w:ilvl w:val="0"/>
        <w:numId w:val="1"/>
      </w:numPr>
      <w:tabs>
        <w:tab w:val="left" w:pos="907"/>
        <w:tab w:val="left" w:pos="1145"/>
      </w:tabs>
      <w:outlineLvl w:val="1"/>
    </w:pPr>
    <w:rPr>
      <w:rFonts w:hint="default" w:ascii="Times New Roman" w:hAnsi="Times New Roman" w:eastAsia="宋体" w:cs="Times New Roman"/>
      <w:b/>
      <w:sz w:val="30"/>
      <w:szCs w:val="28"/>
      <w:lang w:val="en-US" w:eastAsia="zh-CN" w:bidi="ar-SA"/>
    </w:rPr>
  </w:style>
  <w:style w:type="character" w:customStyle="1" w:styleId="450">
    <w:name w:val="列出段落 Char"/>
    <w:link w:val="451"/>
    <w:qFormat/>
    <w:uiPriority w:val="0"/>
    <w:rPr>
      <w:rFonts w:ascii="Calibri" w:hAnsi="Calibri"/>
      <w:sz w:val="24"/>
      <w:szCs w:val="24"/>
      <w:lang w:eastAsia="en-US" w:bidi="en-US"/>
    </w:rPr>
  </w:style>
  <w:style w:type="paragraph" w:customStyle="1" w:styleId="451">
    <w:name w:val="列出段落1"/>
    <w:basedOn w:val="1"/>
    <w:link w:val="450"/>
    <w:qFormat/>
    <w:uiPriority w:val="0"/>
    <w:pPr>
      <w:widowControl/>
      <w:ind w:left="720"/>
      <w:contextualSpacing/>
      <w:jc w:val="left"/>
    </w:pPr>
    <w:rPr>
      <w:sz w:val="24"/>
      <w:szCs w:val="24"/>
      <w:lang w:eastAsia="en-US" w:bidi="en-US"/>
    </w:rPr>
  </w:style>
  <w:style w:type="paragraph" w:customStyle="1" w:styleId="452">
    <w:name w:val="Body Text(ch)"/>
    <w:basedOn w:val="1"/>
    <w:qFormat/>
    <w:uiPriority w:val="0"/>
    <w:pPr>
      <w:spacing w:after="120"/>
    </w:pPr>
    <w:rPr>
      <w:rFonts w:ascii="宋体" w:hAnsi="Arial"/>
      <w:bCs/>
      <w:iCs/>
      <w:szCs w:val="24"/>
    </w:rPr>
  </w:style>
  <w:style w:type="paragraph" w:customStyle="1" w:styleId="453">
    <w:name w:val="xl2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sz w:val="24"/>
      <w:szCs w:val="24"/>
    </w:rPr>
  </w:style>
  <w:style w:type="paragraph" w:customStyle="1" w:styleId="454">
    <w:name w:val="xl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sz w:val="24"/>
      <w:szCs w:val="24"/>
    </w:rPr>
  </w:style>
  <w:style w:type="paragraph" w:customStyle="1" w:styleId="455">
    <w:name w:val="Char"/>
    <w:basedOn w:val="1"/>
    <w:qFormat/>
    <w:uiPriority w:val="0"/>
    <w:pPr>
      <w:tabs>
        <w:tab w:val="left" w:pos="360"/>
      </w:tabs>
      <w:ind w:firstLine="200"/>
    </w:pPr>
    <w:rPr>
      <w:rFonts w:ascii="Times New Roman" w:hAnsi="Times New Roman"/>
      <w:sz w:val="28"/>
      <w:szCs w:val="30"/>
    </w:rPr>
  </w:style>
  <w:style w:type="paragraph" w:customStyle="1" w:styleId="456">
    <w:name w:val="Char1"/>
    <w:basedOn w:val="71"/>
    <w:qFormat/>
    <w:uiPriority w:val="0"/>
    <w:rPr>
      <w:rFonts w:ascii="Tahoma" w:hAnsi="Tahoma"/>
      <w:sz w:val="24"/>
      <w:szCs w:val="24"/>
    </w:rPr>
  </w:style>
  <w:style w:type="paragraph" w:customStyle="1" w:styleId="457">
    <w:name w:val="table_lines"/>
    <w:basedOn w:val="1"/>
    <w:qFormat/>
    <w:uiPriority w:val="0"/>
    <w:pPr>
      <w:widowControl/>
      <w:jc w:val="left"/>
    </w:pPr>
    <w:rPr>
      <w:rFonts w:ascii="Times New Roman" w:hAnsi="Times New Roman"/>
      <w:sz w:val="20"/>
      <w:szCs w:val="20"/>
      <w:lang w:val="de-DE" w:eastAsia="de-DE"/>
    </w:rPr>
  </w:style>
  <w:style w:type="paragraph" w:customStyle="1" w:styleId="458">
    <w:name w:val="附录1"/>
    <w:qFormat/>
    <w:uiPriority w:val="0"/>
    <w:pPr>
      <w:tabs>
        <w:tab w:val="left" w:pos="907"/>
      </w:tabs>
      <w:spacing w:before="240" w:line="600" w:lineRule="atLeast"/>
    </w:pPr>
    <w:rPr>
      <w:rFonts w:hint="default" w:ascii="Times New Roman" w:hAnsi="Times New Roman" w:eastAsia="宋体" w:cs="Times New Roman"/>
      <w:b/>
      <w:i/>
      <w:sz w:val="28"/>
      <w:lang w:val="en-US" w:eastAsia="zh-CN" w:bidi="ar-SA"/>
    </w:rPr>
  </w:style>
  <w:style w:type="paragraph" w:customStyle="1" w:styleId="459">
    <w:name w:val="font7"/>
    <w:basedOn w:val="1"/>
    <w:qFormat/>
    <w:uiPriority w:val="0"/>
    <w:pPr>
      <w:widowControl/>
      <w:spacing w:before="100" w:beforeAutospacing="1" w:after="100" w:afterAutospacing="1"/>
      <w:jc w:val="left"/>
    </w:pPr>
    <w:rPr>
      <w:rFonts w:hint="eastAsia" w:ascii="宋体" w:hAnsi="宋体"/>
      <w:sz w:val="18"/>
      <w:szCs w:val="18"/>
    </w:rPr>
  </w:style>
  <w:style w:type="paragraph" w:customStyle="1" w:styleId="460">
    <w:name w:val="Char Char Char Char"/>
    <w:basedOn w:val="71"/>
    <w:qFormat/>
    <w:uiPriority w:val="0"/>
    <w:pPr>
      <w:spacing w:line="360" w:lineRule="auto"/>
    </w:pPr>
    <w:rPr>
      <w:rFonts w:ascii="Tahoma" w:hAnsi="Tahoma"/>
      <w:sz w:val="24"/>
      <w:szCs w:val="24"/>
    </w:rPr>
  </w:style>
  <w:style w:type="paragraph" w:customStyle="1" w:styleId="461">
    <w:name w:val="4"/>
    <w:basedOn w:val="1"/>
    <w:next w:val="106"/>
    <w:qFormat/>
    <w:uiPriority w:val="0"/>
    <w:pPr>
      <w:spacing w:line="360" w:lineRule="auto"/>
      <w:ind w:firstLine="420"/>
    </w:pPr>
    <w:rPr>
      <w:rFonts w:ascii="Times New Roman" w:hAnsi="Times New Roman"/>
      <w:color w:val="FF0000"/>
      <w:sz w:val="24"/>
      <w:szCs w:val="24"/>
    </w:rPr>
  </w:style>
  <w:style w:type="paragraph" w:customStyle="1" w:styleId="462">
    <w:name w:val="普通 (Web)"/>
    <w:basedOn w:val="1"/>
    <w:qFormat/>
    <w:uiPriority w:val="0"/>
    <w:pPr>
      <w:widowControl/>
      <w:spacing w:before="100" w:beforeAutospacing="1" w:after="100" w:afterAutospacing="1"/>
      <w:jc w:val="left"/>
    </w:pPr>
    <w:rPr>
      <w:rFonts w:ascii="宋体" w:hAnsi="宋体"/>
      <w:sz w:val="24"/>
      <w:szCs w:val="24"/>
    </w:rPr>
  </w:style>
  <w:style w:type="paragraph" w:customStyle="1" w:styleId="463">
    <w:name w:val="Char Char Char Char Char Char Char Char Char Char"/>
    <w:basedOn w:val="1"/>
    <w:qFormat/>
    <w:uiPriority w:val="0"/>
    <w:pPr>
      <w:spacing w:line="360" w:lineRule="auto"/>
    </w:pPr>
    <w:rPr>
      <w:rFonts w:ascii="Times New Roman" w:hAnsi="Times New Roman"/>
      <w:sz w:val="24"/>
      <w:szCs w:val="20"/>
    </w:rPr>
  </w:style>
  <w:style w:type="paragraph" w:customStyle="1" w:styleId="464">
    <w:name w:val="样式1"/>
    <w:basedOn w:val="1"/>
    <w:qFormat/>
    <w:uiPriority w:val="0"/>
    <w:pPr>
      <w:numPr>
        <w:ilvl w:val="0"/>
        <w:numId w:val="2"/>
      </w:numPr>
      <w:tabs>
        <w:tab w:val="left" w:pos="709"/>
      </w:tabs>
    </w:pPr>
    <w:rPr>
      <w:rFonts w:ascii="宋体" w:hAnsi="宋体"/>
      <w:szCs w:val="21"/>
    </w:rPr>
  </w:style>
  <w:style w:type="paragraph" w:customStyle="1" w:styleId="465">
    <w:name w:val="font6"/>
    <w:basedOn w:val="1"/>
    <w:qFormat/>
    <w:uiPriority w:val="0"/>
    <w:pPr>
      <w:widowControl/>
      <w:spacing w:before="100" w:beforeAutospacing="1" w:after="100" w:afterAutospacing="1"/>
      <w:jc w:val="left"/>
    </w:pPr>
    <w:rPr>
      <w:rFonts w:hint="eastAsia" w:ascii="宋体" w:hAnsi="宋体"/>
      <w:sz w:val="28"/>
      <w:szCs w:val="28"/>
      <w:u w:val="single"/>
    </w:rPr>
  </w:style>
  <w:style w:type="paragraph" w:customStyle="1" w:styleId="466">
    <w:name w:val="xl25"/>
    <w:basedOn w:val="1"/>
    <w:qFormat/>
    <w:uiPriority w:val="0"/>
    <w:pPr>
      <w:widowControl/>
      <w:spacing w:before="100" w:beforeAutospacing="1" w:after="100" w:afterAutospacing="1"/>
      <w:jc w:val="center"/>
    </w:pPr>
    <w:rPr>
      <w:rFonts w:ascii="Arial Unicode MS" w:hAnsi="Arial Unicode MS" w:eastAsia="Arial Unicode MS" w:cs="Arial Unicode MS"/>
      <w:sz w:val="24"/>
      <w:szCs w:val="24"/>
    </w:rPr>
  </w:style>
  <w:style w:type="paragraph" w:customStyle="1" w:styleId="467">
    <w:name w:val="图标"/>
    <w:basedOn w:val="1"/>
    <w:next w:val="1"/>
    <w:qFormat/>
    <w:uiPriority w:val="0"/>
    <w:pPr>
      <w:tabs>
        <w:tab w:val="left" w:pos="567"/>
        <w:tab w:val="left" w:pos="840"/>
      </w:tabs>
      <w:spacing w:before="120" w:after="120" w:line="320" w:lineRule="atLeast"/>
      <w:ind w:left="840" w:hanging="420"/>
      <w:jc w:val="center"/>
    </w:pPr>
    <w:rPr>
      <w:rFonts w:ascii="Times New Roman" w:hAnsi="Times New Roman" w:eastAsia="仿宋_GB2312"/>
      <w:sz w:val="24"/>
      <w:szCs w:val="20"/>
    </w:rPr>
  </w:style>
  <w:style w:type="paragraph" w:customStyle="1" w:styleId="468">
    <w:name w:val="标题3"/>
    <w:basedOn w:val="1"/>
    <w:next w:val="1"/>
    <w:qFormat/>
    <w:uiPriority w:val="0"/>
    <w:pPr>
      <w:spacing w:line="590" w:lineRule="atLeast"/>
      <w:ind w:firstLine="624"/>
    </w:pPr>
    <w:rPr>
      <w:rFonts w:ascii="方正黑体_GBK" w:hAnsi="Times New Roman" w:eastAsia="方正黑体_GBK"/>
      <w:sz w:val="32"/>
      <w:szCs w:val="32"/>
    </w:rPr>
  </w:style>
  <w:style w:type="paragraph" w:customStyle="1" w:styleId="469">
    <w:name w:val="xl2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sz w:val="24"/>
      <w:szCs w:val="24"/>
    </w:rPr>
  </w:style>
  <w:style w:type="paragraph" w:customStyle="1" w:styleId="470">
    <w:name w:val="xl29"/>
    <w:basedOn w:val="1"/>
    <w:qFormat/>
    <w:uiPriority w:val="0"/>
    <w:pPr>
      <w:widowControl/>
      <w:pBdr>
        <w:left w:val="single" w:color="000000" w:sz="4" w:space="0"/>
        <w:bottom w:val="single" w:color="000000" w:sz="4" w:space="0"/>
      </w:pBdr>
      <w:spacing w:before="100" w:beforeAutospacing="1" w:after="100" w:afterAutospacing="1"/>
      <w:jc w:val="left"/>
    </w:pPr>
    <w:rPr>
      <w:rFonts w:ascii="宋体" w:hAnsi="宋体"/>
      <w:sz w:val="24"/>
      <w:szCs w:val="24"/>
    </w:rPr>
  </w:style>
  <w:style w:type="paragraph" w:customStyle="1" w:styleId="471">
    <w:name w:val="Char 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472">
    <w:name w:val="xl28"/>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宋体" w:hAnsi="宋体"/>
      <w:sz w:val="24"/>
      <w:szCs w:val="24"/>
    </w:rPr>
  </w:style>
  <w:style w:type="paragraph" w:customStyle="1" w:styleId="473">
    <w:name w:val="Char Char Char Char Char Char Char Char1"/>
    <w:basedOn w:val="1"/>
    <w:qFormat/>
    <w:uiPriority w:val="0"/>
    <w:pPr>
      <w:widowControl/>
      <w:spacing w:after="160" w:line="240" w:lineRule="exact"/>
      <w:jc w:val="left"/>
    </w:pPr>
    <w:rPr>
      <w:rFonts w:ascii="Verdana" w:hAnsi="Verdana"/>
      <w:sz w:val="20"/>
      <w:szCs w:val="20"/>
      <w:lang w:eastAsia="en-US"/>
    </w:rPr>
  </w:style>
  <w:style w:type="paragraph" w:customStyle="1" w:styleId="474">
    <w:name w:val="xl30"/>
    <w:basedOn w:val="1"/>
    <w:qFormat/>
    <w:uiPriority w:val="0"/>
    <w:pPr>
      <w:widowControl/>
      <w:spacing w:before="100" w:beforeAutospacing="1" w:after="100" w:afterAutospacing="1"/>
      <w:jc w:val="center"/>
    </w:pPr>
    <w:rPr>
      <w:rFonts w:ascii="宋体" w:hAnsi="宋体"/>
      <w:b/>
      <w:bCs/>
      <w:sz w:val="36"/>
      <w:szCs w:val="36"/>
    </w:rPr>
  </w:style>
  <w:style w:type="paragraph" w:customStyle="1" w:styleId="475">
    <w:name w:val="Char Char Char Char1"/>
    <w:basedOn w:val="71"/>
    <w:qFormat/>
    <w:uiPriority w:val="0"/>
    <w:pPr>
      <w:spacing w:line="360" w:lineRule="auto"/>
    </w:pPr>
    <w:rPr>
      <w:rFonts w:ascii="Tahoma" w:hAnsi="Tahoma"/>
      <w:sz w:val="24"/>
      <w:szCs w:val="24"/>
    </w:rPr>
  </w:style>
  <w:style w:type="paragraph" w:customStyle="1" w:styleId="476">
    <w:name w:val="table_1stline"/>
    <w:basedOn w:val="1"/>
    <w:qFormat/>
    <w:uiPriority w:val="0"/>
    <w:pPr>
      <w:widowControl/>
      <w:spacing w:before="120"/>
      <w:jc w:val="left"/>
    </w:pPr>
    <w:rPr>
      <w:rFonts w:ascii="Times New Roman" w:hAnsi="Times New Roman"/>
      <w:bCs/>
      <w:sz w:val="20"/>
      <w:szCs w:val="20"/>
      <w:lang w:val="de-DE" w:eastAsia="de-DE"/>
    </w:rPr>
  </w:style>
  <w:style w:type="paragraph" w:customStyle="1" w:styleId="477">
    <w:name w:val="font5"/>
    <w:basedOn w:val="1"/>
    <w:qFormat/>
    <w:uiPriority w:val="0"/>
    <w:pPr>
      <w:widowControl/>
      <w:spacing w:before="100" w:beforeAutospacing="1" w:after="100" w:afterAutospacing="1"/>
      <w:jc w:val="left"/>
    </w:pPr>
    <w:rPr>
      <w:rFonts w:hint="eastAsia" w:ascii="宋体" w:hAnsi="宋体"/>
      <w:sz w:val="28"/>
      <w:szCs w:val="28"/>
    </w:rPr>
  </w:style>
  <w:style w:type="paragraph" w:customStyle="1" w:styleId="478">
    <w:name w:val="标题1"/>
    <w:basedOn w:val="1"/>
    <w:next w:val="1"/>
    <w:qFormat/>
    <w:uiPriority w:val="0"/>
    <w:pPr>
      <w:tabs>
        <w:tab w:val="left" w:pos="9193"/>
        <w:tab w:val="left" w:pos="9827"/>
      </w:tabs>
      <w:spacing w:line="700" w:lineRule="atLeast"/>
      <w:jc w:val="center"/>
    </w:pPr>
    <w:rPr>
      <w:rFonts w:ascii="方正小标宋_GBK" w:hAnsi="Times New Roman" w:eastAsia="方正小标宋_GBK"/>
      <w:sz w:val="44"/>
      <w:szCs w:val="20"/>
    </w:rPr>
  </w:style>
  <w:style w:type="paragraph" w:customStyle="1" w:styleId="479">
    <w:name w:val="修订1"/>
    <w:semiHidden/>
    <w:qFormat/>
    <w:uiPriority w:val="99"/>
    <w:rPr>
      <w:rFonts w:hint="default" w:ascii="Times New Roman" w:hAnsi="Times New Roman" w:eastAsia="宋体" w:cs="Times New Roman"/>
      <w:sz w:val="21"/>
      <w:szCs w:val="21"/>
      <w:lang w:val="en-US" w:eastAsia="zh-CN" w:bidi="ar-SA"/>
    </w:rPr>
  </w:style>
  <w:style w:type="table" w:customStyle="1" w:styleId="480">
    <w:name w:val="Table Normal"/>
    <w:qFormat/>
    <w:uiPriority w:val="0"/>
    <w:rPr>
      <w:lang w:val="en-US" w:eastAsia="zh-CN" w:bidi="ar-SA"/>
    </w:rPr>
  </w:style>
  <w:style w:type="paragraph" w:customStyle="1" w:styleId="481">
    <w:name w:val="正文文本12"/>
    <w:basedOn w:val="1"/>
    <w:qFormat/>
    <w:uiPriority w:val="1"/>
    <w:pPr>
      <w:ind w:left="120"/>
    </w:pPr>
    <w:rPr>
      <w:rFonts w:ascii="宋体" w:hAnsi="宋体" w:cs="宋体"/>
      <w:szCs w:val="21"/>
      <w:lang w:val="zh-CN" w:bidi="zh-CN"/>
    </w:rPr>
  </w:style>
  <w:style w:type="paragraph" w:customStyle="1" w:styleId="482">
    <w:name w:val="首行缩进"/>
    <w:basedOn w:val="1"/>
    <w:qFormat/>
    <w:uiPriority w:val="0"/>
    <w:pPr>
      <w:ind w:firstLine="480"/>
    </w:pPr>
    <w:rPr>
      <w:rFonts w:ascii="Times New Roman" w:hAnsi="Times New Roman"/>
      <w:szCs w:val="21"/>
      <w:lang w:val="zh-CN"/>
    </w:rPr>
  </w:style>
  <w:style w:type="paragraph" w:customStyle="1" w:styleId="483">
    <w:name w:val="部分1"/>
    <w:basedOn w:val="1"/>
    <w:qFormat/>
    <w:uiPriority w:val="0"/>
    <w:pPr>
      <w:keepNext/>
      <w:pageBreakBefore/>
      <w:tabs>
        <w:tab w:val="left" w:pos="720"/>
      </w:tabs>
      <w:spacing w:line="360" w:lineRule="auto"/>
      <w:jc w:val="center"/>
      <w:outlineLvl w:val="0"/>
    </w:pPr>
    <w:rPr>
      <w:rFonts w:ascii="Times New Roman" w:hAnsi="Times New Roman" w:eastAsia="黑体"/>
      <w:b/>
      <w:sz w:val="36"/>
      <w:szCs w:val="20"/>
    </w:rPr>
  </w:style>
  <w:style w:type="character" w:customStyle="1" w:styleId="484">
    <w:name w:val="15"/>
    <w:link w:val="1"/>
    <w:qFormat/>
    <w:uiPriority w:val="0"/>
    <w:rPr>
      <w:rFonts w:ascii="Times New Roman" w:hAnsi="Times New Roman" w:cs="Times New Roman"/>
    </w:rPr>
  </w:style>
  <w:style w:type="paragraph" w:customStyle="1" w:styleId="485">
    <w:name w:val="正文文本缩进 2_0"/>
    <w:basedOn w:val="322"/>
    <w:qFormat/>
    <w:uiPriority w:val="0"/>
    <w:pPr>
      <w:spacing w:line="540" w:lineRule="exact"/>
      <w:ind w:firstLine="720"/>
      <w:jc w:val="left"/>
    </w:pPr>
    <w:rPr>
      <w:rFonts w:ascii="仿宋_GB2312" w:hAnsi="仿宋_GB2312" w:cs="宋体"/>
      <w:sz w:val="32"/>
      <w:szCs w:val="32"/>
    </w:rPr>
  </w:style>
  <w:style w:type="character" w:customStyle="1" w:styleId="486">
    <w:name w:val="10"/>
    <w:link w:val="1"/>
    <w:qFormat/>
    <w:uiPriority w:val="0"/>
    <w:rPr>
      <w:rFonts w:ascii="Times New Roman" w:hAnsi="Times New Roman" w:cs="Times New Roman"/>
    </w:rPr>
  </w:style>
  <w:style w:type="paragraph" w:customStyle="1" w:styleId="487">
    <w:name w:val="正文_16_1"/>
    <w:basedOn w:val="1"/>
    <w:qFormat/>
    <w:uiPriority w:val="0"/>
    <w:rPr>
      <w:rFonts w:ascii="Times New Roman" w:hAnsi="Times New Roman"/>
      <w:szCs w:val="21"/>
    </w:rPr>
  </w:style>
  <w:style w:type="paragraph" w:customStyle="1" w:styleId="488">
    <w:name w:val="页脚1"/>
    <w:basedOn w:val="1"/>
    <w:qFormat/>
    <w:uiPriority w:val="0"/>
    <w:pPr>
      <w:tabs>
        <w:tab w:val="center" w:pos="4153"/>
        <w:tab w:val="right" w:pos="8306"/>
      </w:tabs>
      <w:jc w:val="left"/>
    </w:pPr>
    <w:rPr>
      <w:sz w:val="18"/>
      <w:szCs w:val="18"/>
    </w:rPr>
  </w:style>
  <w:style w:type="character" w:customStyle="1" w:styleId="489">
    <w:name w:val="页码1"/>
    <w:link w:val="1"/>
    <w:qFormat/>
    <w:uiPriority w:val="0"/>
  </w:style>
  <w:style w:type="paragraph" w:customStyle="1" w:styleId="490">
    <w:name w:val="*正文"/>
    <w:basedOn w:val="68"/>
    <w:qFormat/>
    <w:uiPriority w:val="0"/>
    <w:pPr>
      <w:ind w:firstLine="200"/>
    </w:pPr>
    <w:rPr>
      <w:rFonts w:ascii="宋体" w:hAnsi="宋体"/>
      <w:color w:val="000000"/>
      <w:sz w:val="24"/>
      <w:szCs w:val="24"/>
    </w:rPr>
  </w:style>
  <w:style w:type="paragraph" w:customStyle="1" w:styleId="491">
    <w:name w:val="*正文_0"/>
    <w:basedOn w:val="492"/>
    <w:qFormat/>
    <w:uiPriority w:val="0"/>
    <w:pPr>
      <w:spacing w:line="360" w:lineRule="auto"/>
      <w:ind w:firstLine="200"/>
    </w:pPr>
    <w:rPr>
      <w:rFonts w:ascii="宋体" w:hAnsi="宋体" w:eastAsia="Arial" w:cs="Arial"/>
      <w:color w:val="000000"/>
      <w:sz w:val="24"/>
    </w:rPr>
  </w:style>
  <w:style w:type="paragraph" w:customStyle="1" w:styleId="492">
    <w:name w:val="正文缩进_2"/>
    <w:basedOn w:val="346"/>
    <w:unhideWhenUsed/>
    <w:qFormat/>
    <w:uiPriority w:val="0"/>
    <w:pPr>
      <w:widowControl/>
      <w:ind w:firstLine="420"/>
      <w:jc w:val="left"/>
    </w:pPr>
    <w:rPr>
      <w:rFonts w:ascii="Times New Roman" w:hAnsi="Times New Roman"/>
      <w:sz w:val="20"/>
      <w:szCs w:val="24"/>
    </w:rPr>
  </w:style>
  <w:style w:type="paragraph" w:customStyle="1" w:styleId="493">
    <w:name w:val="*正文_0_0"/>
    <w:basedOn w:val="346"/>
    <w:qFormat/>
    <w:uiPriority w:val="0"/>
    <w:pPr>
      <w:widowControl/>
      <w:spacing w:line="360" w:lineRule="auto"/>
      <w:ind w:firstLine="200"/>
      <w:jc w:val="left"/>
    </w:pPr>
    <w:rPr>
      <w:rFonts w:ascii="宋体" w:hAnsi="宋体" w:eastAsia="Arial" w:cs="Arial"/>
      <w:color w:val="000000"/>
      <w:sz w:val="24"/>
      <w:szCs w:val="24"/>
    </w:rPr>
  </w:style>
  <w:style w:type="paragraph" w:customStyle="1" w:styleId="494">
    <w:name w:val="无间隔1_0_0"/>
    <w:basedOn w:val="346"/>
    <w:qFormat/>
    <w:uiPriority w:val="0"/>
    <w:rPr>
      <w:rFonts w:ascii="Times New Roman" w:hAnsi="Times New Roman"/>
      <w:szCs w:val="21"/>
    </w:rPr>
  </w:style>
  <w:style w:type="paragraph" w:customStyle="1" w:styleId="495">
    <w:name w:val="正文_0_2"/>
    <w:qFormat/>
    <w:uiPriority w:val="0"/>
    <w:pPr>
      <w:widowControl w:val="0"/>
      <w:jc w:val="both"/>
    </w:pPr>
    <w:rPr>
      <w:rFonts w:hint="default" w:ascii="Times New Roman" w:hAnsi="Times New Roman" w:eastAsia="宋体" w:cs="Times New Roman"/>
      <w:szCs w:val="24"/>
      <w:lang w:val="en-US" w:eastAsia="zh-CN" w:bidi="ar-SA"/>
    </w:rPr>
  </w:style>
  <w:style w:type="paragraph" w:customStyle="1" w:styleId="496">
    <w:name w:val="标题 4_0"/>
    <w:basedOn w:val="497"/>
    <w:next w:val="497"/>
    <w:unhideWhenUsed/>
    <w:qFormat/>
    <w:uiPriority w:val="9"/>
    <w:pPr>
      <w:keepNext/>
      <w:keepLines/>
      <w:spacing w:before="280" w:after="290" w:line="372" w:lineRule="auto"/>
      <w:outlineLvl w:val="3"/>
    </w:pPr>
    <w:rPr>
      <w:rFonts w:ascii="Arial" w:hAnsi="Arial" w:eastAsia="黑体"/>
      <w:b/>
      <w:sz w:val="28"/>
    </w:rPr>
  </w:style>
  <w:style w:type="paragraph" w:customStyle="1" w:styleId="497">
    <w:name w:val="正文4"/>
    <w:qFormat/>
    <w:uiPriority w:val="0"/>
    <w:pPr>
      <w:widowControl w:val="0"/>
      <w:jc w:val="both"/>
    </w:pPr>
    <w:rPr>
      <w:rFonts w:hint="default" w:ascii="Calibri" w:hAnsi="Calibri" w:eastAsia="宋体" w:cs="Times New Roman"/>
      <w:lang w:val="en-US" w:eastAsia="zh-CN" w:bidi="ar-SA"/>
    </w:rPr>
  </w:style>
  <w:style w:type="paragraph" w:customStyle="1" w:styleId="498">
    <w:name w:val="正文_3_0_0"/>
    <w:qFormat/>
    <w:uiPriority w:val="0"/>
    <w:pPr>
      <w:widowControl w:val="0"/>
      <w:jc w:val="both"/>
    </w:pPr>
    <w:rPr>
      <w:rFonts w:hint="default" w:ascii="Times New Roman" w:hAnsi="Times New Roman" w:eastAsia="宋体" w:cs="Times New Roman"/>
      <w:lang w:val="en-US" w:eastAsia="zh-CN" w:bidi="ar-SA"/>
    </w:rPr>
  </w:style>
  <w:style w:type="paragraph" w:customStyle="1" w:styleId="499">
    <w:name w:val="p17_0_0"/>
    <w:basedOn w:val="389"/>
    <w:qFormat/>
    <w:uiPriority w:val="0"/>
    <w:pPr>
      <w:widowControl/>
      <w:spacing w:before="100" w:beforeAutospacing="1" w:after="100" w:afterAutospacing="1"/>
      <w:jc w:val="left"/>
    </w:pPr>
    <w:rPr>
      <w:rFonts w:ascii="宋体" w:hAnsi="宋体" w:eastAsia="Times New Roman" w:cs="宋体"/>
      <w:sz w:val="24"/>
      <w:szCs w:val="24"/>
    </w:rPr>
  </w:style>
  <w:style w:type="paragraph" w:customStyle="1" w:styleId="500">
    <w:name w:val="p17_0"/>
    <w:basedOn w:val="46"/>
    <w:qFormat/>
    <w:uiPriority w:val="0"/>
    <w:pPr>
      <w:widowControl/>
      <w:spacing w:before="100" w:beforeAutospacing="1" w:after="100" w:afterAutospacing="1"/>
      <w:jc w:val="left"/>
    </w:pPr>
    <w:rPr>
      <w:rFonts w:ascii="宋体" w:hAnsi="宋体" w:eastAsia="Times New Roman" w:cs="宋体"/>
      <w:sz w:val="24"/>
      <w:szCs w:val="24"/>
    </w:rPr>
  </w:style>
  <w:style w:type="paragraph" w:customStyle="1" w:styleId="501">
    <w:name w:val="普通(网站)11"/>
    <w:basedOn w:val="1"/>
    <w:qFormat/>
    <w:uiPriority w:val="99"/>
    <w:rPr>
      <w:sz w:val="24"/>
    </w:rPr>
  </w:style>
  <w:style w:type="paragraph" w:customStyle="1" w:styleId="502">
    <w:name w:val="AONormal"/>
    <w:qFormat/>
    <w:uiPriority w:val="0"/>
    <w:pPr>
      <w:spacing w:line="400" w:lineRule="exact"/>
      <w:ind w:firstLine="440"/>
    </w:pPr>
    <w:rPr>
      <w:rFonts w:hint="default" w:ascii="华文楷体" w:hAnsi="华文楷体" w:eastAsia="华文楷体" w:cs="华文楷体"/>
      <w:sz w:val="22"/>
      <w:szCs w:val="21"/>
      <w:lang w:val="en-US" w:eastAsia="zh-CN" w:bidi="ar-SA"/>
    </w:rPr>
  </w:style>
  <w:style w:type="character" w:customStyle="1" w:styleId="503">
    <w:name w:val="font61"/>
    <w:basedOn w:val="55"/>
    <w:link w:val="1"/>
    <w:qFormat/>
    <w:uiPriority w:val="0"/>
    <w:rPr>
      <w:rFonts w:hint="eastAsia" w:ascii="宋体" w:hAnsi="宋体" w:eastAsia="宋体" w:cs="宋体"/>
      <w:color w:val="000000"/>
      <w:sz w:val="22"/>
      <w:szCs w:val="22"/>
      <w:u w:val="none"/>
    </w:rPr>
  </w:style>
  <w:style w:type="character" w:customStyle="1" w:styleId="504">
    <w:name w:val="font81"/>
    <w:basedOn w:val="55"/>
    <w:link w:val="1"/>
    <w:qFormat/>
    <w:uiPriority w:val="0"/>
    <w:rPr>
      <w:rFonts w:hint="eastAsia" w:ascii="宋体" w:hAnsi="宋体" w:eastAsia="宋体" w:cs="宋体"/>
      <w:color w:val="000000"/>
      <w:sz w:val="22"/>
      <w:szCs w:val="22"/>
      <w:u w:val="none"/>
    </w:rPr>
  </w:style>
  <w:style w:type="character" w:customStyle="1" w:styleId="505">
    <w:name w:val="font71"/>
    <w:basedOn w:val="55"/>
    <w:link w:val="1"/>
    <w:qFormat/>
    <w:uiPriority w:val="0"/>
    <w:rPr>
      <w:rFonts w:hint="eastAsia" w:ascii="宋体" w:hAnsi="宋体" w:eastAsia="宋体" w:cs="宋体"/>
      <w:b/>
      <w:bCs/>
      <w:color w:val="000000"/>
      <w:sz w:val="22"/>
      <w:szCs w:val="22"/>
      <w:u w:val="none"/>
    </w:rPr>
  </w:style>
  <w:style w:type="table" w:customStyle="1" w:styleId="506">
    <w:name w:val="Table Normal1"/>
    <w:qFormat/>
    <w:uiPriority w:val="0"/>
  </w:style>
  <w:style w:type="table" w:customStyle="1" w:styleId="507">
    <w:name w:val="Table Normal2"/>
    <w:qFormat/>
    <w:uiPriority w:val="0"/>
  </w:style>
  <w:style w:type="character" w:customStyle="1" w:styleId="508">
    <w:name w:val="font41"/>
    <w:basedOn w:val="55"/>
    <w:link w:val="1"/>
    <w:qFormat/>
    <w:uiPriority w:val="0"/>
    <w:rPr>
      <w:rFonts w:hint="eastAsia" w:ascii="宋体" w:hAnsi="宋体" w:eastAsia="宋体" w:cs="宋体"/>
      <w:color w:val="000000"/>
      <w:sz w:val="22"/>
      <w:szCs w:val="22"/>
      <w:u w:val="none"/>
    </w:rPr>
  </w:style>
  <w:style w:type="character" w:customStyle="1" w:styleId="509">
    <w:name w:val="font31"/>
    <w:basedOn w:val="55"/>
    <w:link w:val="1"/>
    <w:qFormat/>
    <w:uiPriority w:val="0"/>
    <w:rPr>
      <w:rFonts w:hint="eastAsia" w:ascii="宋体" w:hAnsi="宋体" w:eastAsia="宋体" w:cs="宋体"/>
      <w:color w:val="000000"/>
      <w:sz w:val="22"/>
      <w:szCs w:val="22"/>
      <w:u w:val="none"/>
    </w:rPr>
  </w:style>
  <w:style w:type="character" w:customStyle="1" w:styleId="510">
    <w:name w:val="font51"/>
    <w:basedOn w:val="55"/>
    <w:link w:val="1"/>
    <w:qFormat/>
    <w:uiPriority w:val="0"/>
    <w:rPr>
      <w:rFonts w:hint="eastAsia" w:ascii="宋体" w:hAnsi="宋体" w:eastAsia="宋体" w:cs="宋体"/>
      <w:color w:val="000000"/>
      <w:sz w:val="22"/>
      <w:szCs w:val="22"/>
      <w:u w:val="none"/>
    </w:rPr>
  </w:style>
  <w:style w:type="character" w:customStyle="1" w:styleId="511">
    <w:name w:val="font01"/>
    <w:basedOn w:val="55"/>
    <w:link w:val="1"/>
    <w:qFormat/>
    <w:uiPriority w:val="0"/>
    <w:rPr>
      <w:rFonts w:ascii="等线" w:hAnsi="等线" w:eastAsia="等线" w:cs="等线"/>
      <w:color w:val="000000"/>
      <w:sz w:val="22"/>
      <w:szCs w:val="22"/>
      <w:u w:val="none"/>
    </w:rPr>
  </w:style>
  <w:style w:type="character" w:customStyle="1" w:styleId="512">
    <w:name w:val="font11"/>
    <w:basedOn w:val="55"/>
    <w:link w:val="1"/>
    <w:qFormat/>
    <w:uiPriority w:val="0"/>
    <w:rPr>
      <w:rFonts w:ascii="等线" w:hAnsi="等线" w:eastAsia="等线" w:cs="等线"/>
      <w:color w:val="FF0000"/>
      <w:sz w:val="22"/>
      <w:szCs w:val="22"/>
      <w:u w:val="none"/>
    </w:rPr>
  </w:style>
  <w:style w:type="paragraph" w:customStyle="1" w:styleId="513">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ontractReview xmlns="http://schemas.wps.cn/vas-ai-hub/contract-review">
  <reviewItems>
    <reviewItem>
      <errorID>75a311be-2042-4123-b114-043873dbf6f3</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2CA7AEEA</paraID>
      <start>46</start>
      <end>47</end>
      <status>ignored</status>
      <modifiedWord/>
      <trackRevisions>false</trackRevisions>
    </reviewItem>
    <reviewItem>
      <errorID>29066f47-d2c8-4b27-91d9-2c023cfa7762</errorID>
      <errorWord>"</errorWord>
      <group>L1_Format</group>
      <groupName>格式问题</groupName>
      <ability>L2_HalfPunc_CN</ability>
      <abilityName>全半角检查</abilityName>
      <candidateList/>
      <explain>文本全半角错误。</explain>
      <paraID>72403EC8</paraID>
      <start>44</start>
      <end>45</end>
      <status>ignored</status>
      <modifiedWord/>
      <trackRevisions>false</trackRevisions>
    </reviewItem>
    <reviewItem>
      <errorID>858c1fc4-2476-46e3-a481-dc263c16654e</errorID>
      <errorWord>"</errorWord>
      <group>L1_Format</group>
      <groupName>格式问题</groupName>
      <ability>L2_HalfPunc_CN</ability>
      <abilityName>全半角检查</abilityName>
      <candidateList/>
      <explain>文本全半角错误。</explain>
      <paraID>72403EC8</paraID>
      <start>56</start>
      <end>57</end>
      <status>ignored</status>
      <modifiedWord/>
      <trackRevisions>false</trackRevisions>
    </reviewItem>
    <reviewItem>
      <errorID>2338ca52-0e26-481a-8625-c0490d17c90e</errorID>
      <errorWord>,</errorWord>
      <group>L1_Format</group>
      <groupName>格式问题</groupName>
      <ability>L2_HalfPunc_CN</ability>
      <abilityName>全半角检查</abilityName>
      <candidateList>
        <item>，</item>
      </candidateList>
      <explain>文本全半角错误。</explain>
      <paraID>72403EC8</paraID>
      <start>80</start>
      <end>81</end>
      <status>modified</status>
      <modifiedWord>，</modifiedWord>
      <trackRevisions>false</trackRevisions>
    </reviewItem>
    <reviewItem>
      <errorID>e7a684e2-e9da-4d36-b9d8-ddce64030cc0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56B73970</paraID>
      <start>0</start>
      <end>2</end>
      <status>modified</status>
      <modifiedWord>3.</modifiedWord>
      <trackRevisions>false</trackRevisions>
    </reviewItem>
    <reviewItem>
      <errorID>e4954c08-fa92-4770-a07f-4a023627a469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51A744B5</paraID>
      <start>0</start>
      <end>2</end>
      <status>modified</status>
      <modifiedWord>4.</modifiedWord>
      <trackRevisions>false</trackRevisions>
    </reviewItem>
    <reviewItem>
      <errorID>30b84efc-156d-4c8d-898d-29455a3520cd</errorID>
      <errorWord>,</errorWord>
      <group>L1_Format</group>
      <groupName>格式问题</groupName>
      <ability>L2_HalfPunc_CN</ability>
      <abilityName>全半角检查</abilityName>
      <candidateList>
        <item>，</item>
      </candidateList>
      <explain>文本全半角错误。</explain>
      <paraID>51A744B5</paraID>
      <start>17</start>
      <end>18</end>
      <status>modified</status>
      <modifiedWord>，</modifiedWord>
      <trackRevisions>false</trackRevisions>
    </reviewItem>
    <reviewItem>
      <errorID>7bf24b73-eb66-4da1-b3bf-3a30240e1d0a</errorID>
      <errorWord>,</errorWord>
      <group>L1_Format</group>
      <groupName>格式问题</groupName>
      <ability>L2_HalfPunc_CN</ability>
      <abilityName>全半角检查</abilityName>
      <candidateList>
        <item>，</item>
      </candidateList>
      <explain>文本全半角错误。</explain>
      <paraID>51A744B5</paraID>
      <start>29</start>
      <end>30</end>
      <status>modified</status>
      <modifiedWord>，</modifiedWord>
      <trackRevisions>false</trackRevisions>
    </reviewItem>
    <reviewItem>
      <errorID>b13f270a-c2d3-42c7-ba63-6594ae382d1f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694E739D</paraID>
      <start>0</start>
      <end>2</end>
      <status>modified</status>
      <modifiedWord>5.</modifiedWord>
      <trackRevisions>false</trackRevisions>
    </reviewItem>
    <reviewItem>
      <errorID>c59c92df-f01d-4a83-a628-34f2041af901</errorID>
      <errorWord>,</errorWord>
      <group>L1_Format</group>
      <groupName>格式问题</groupName>
      <ability>L2_HalfPunc_CN</ability>
      <abilityName>全半角检查</abilityName>
      <candidateList>
        <item>，</item>
      </candidateList>
      <explain>文本全半角错误。</explain>
      <paraID>694E739D</paraID>
      <start>18</start>
      <end>19</end>
      <status>modified</status>
      <modifiedWord>，</modifiedWord>
      <trackRevisions>false</trackRevisions>
    </reviewItem>
    <reviewItem>
      <errorID>a3ff6d6d-d828-450c-ac4e-f1723709d579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27067A01</paraID>
      <start>0</start>
      <end>2</end>
      <status>modified</status>
      <modifiedWord>6.</modifiedWord>
      <trackRevisions>false</trackRevisions>
    </reviewItem>
    <reviewItem>
      <errorID>3a57f6a2-af50-4c57-a73d-8ea6e790ef44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42FC47DA</paraID>
      <start>0</start>
      <end>2</end>
      <status>modified</status>
      <modifiedWord>7.</modifiedWord>
      <trackRevisions>false</trackRevisions>
    </reviewItem>
    <reviewItem>
      <errorID>6b163fe0-6c9d-41e1-9b10-e1351f5bbf7c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4E9FBB1</paraID>
      <start>0</start>
      <end>2</end>
      <status>modified</status>
      <modifiedWord>8.</modifiedWord>
      <trackRevisions>false</trackRevisions>
    </reviewItem>
    <reviewItem>
      <errorID>8745593a-1bdd-4cf1-8001-8edd07b6050a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4B92BF37</paraID>
      <start>0</start>
      <end>2</end>
      <status>modified</status>
      <modifiedWord>9.</modifiedWord>
      <trackRevisions>false</trackRevisions>
    </reviewItem>
    <reviewItem>
      <errorID>43a7f8ef-7a57-49ec-93cb-5ca8ad84ac1b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413015A8</paraID>
      <start>0</start>
      <end>3</end>
      <status>modified</status>
      <modifiedWord>10.</modifiedWord>
      <trackRevisions>false</trackRevisions>
    </reviewItem>
    <reviewItem>
      <errorID>b259eefb-46e8-4997-9284-c6817e5e78e9</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3FF31AEC</paraID>
      <start>2</start>
      <end>3</end>
      <status>unmodified</status>
      <modifiedWord/>
      <trackRevisions>false</trackRevisions>
    </reviewItem>
    <reviewItem>
      <errorID>2dfc48af-a48e-4a29-b564-86987f369223</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399CB9FE</paraID>
      <start>37</start>
      <end>38</end>
      <status>unmodified</status>
      <modifiedWord/>
      <trackRevisions>false</trackRevisions>
    </reviewItem>
    <reviewItem>
      <errorID>e25439cf-a734-487f-bfff-084a9b8dba52</errorID>
      <errorWord>）</errorWord>
      <group>L1_Format</group>
      <groupName>格式问题</groupName>
      <ability>L2_HalfPunc_CN</ability>
      <abilityName>全半角检查</abilityName>
      <candidateList>
        <item>)</item>
      </candidateList>
      <explain>文本全半角错误。</explain>
      <paraID>1A3E6757</paraID>
      <start>11</start>
      <end>12</end>
      <status>modified</status>
      <modifiedWord>)</modifiedWord>
      <trackRevisions>false</trackRevisions>
    </reviewItem>
    <reviewItem>
      <errorID>269ab5aa-2b45-449b-8aa0-e8da90ba53ad</errorID>
      <errorWord>;</errorWord>
      <group>L1_Format</group>
      <groupName>格式问题</groupName>
      <ability>L2_HalfPunc_CN</ability>
      <abilityName>全半角检查</abilityName>
      <candidateList>
        <item>；</item>
      </candidateList>
      <explain>文本全半角错误。</explain>
      <paraID>1A3E6757</paraID>
      <start>12</start>
      <end>13</end>
      <status>modified</status>
      <modifiedWord>；</modifiedWord>
      <trackRevisions>false</trackRevisions>
    </reviewItem>
    <reviewItem>
      <errorID>0bbd76eb-38e1-4bc5-95bd-e90d1d8bbbb5</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62FAEBF5</paraID>
      <start>3</start>
      <end>4</end>
      <status>unmodified</status>
      <modifiedWord/>
      <trackRevisions>false</trackRevisions>
    </reviewItem>
    <reviewItem>
      <errorID>b197160a-59c7-4d8e-a894-9db70c8f48e0</errorID>
      <errorWord>）</errorWord>
      <group>L1_Format</group>
      <groupName>格式问题</groupName>
      <ability>L2_HalfPunc_CN</ability>
      <abilityName>全半角检查</abilityName>
      <candidateList>
        <item>)</item>
      </candidateList>
      <explain>文本全半角错误。</explain>
      <paraID>7EDDB94A</paraID>
      <start>11</start>
      <end>12</end>
      <status>modified</status>
      <modifiedWord>)</modifiedWord>
      <trackRevisions>false</trackRevisions>
    </reviewItem>
    <reviewItem>
      <errorID>bd8fa5e5-6bf8-49e2-81ec-4058025fb7ad</errorID>
      <errorWord>;</errorWord>
      <group>L1_Format</group>
      <groupName>格式问题</groupName>
      <ability>L2_HalfPunc_CN</ability>
      <abilityName>全半角检查</abilityName>
      <candidateList>
        <item>；</item>
      </candidateList>
      <explain>文本全半角错误。</explain>
      <paraID>7EDDB94A</paraID>
      <start>12</start>
      <end>13</end>
      <status>modified</status>
      <modifiedWord>；</modifiedWord>
      <trackRevisions>false</trackRevisions>
    </reviewItem>
    <reviewItem>
      <errorID>2ac8e5c0-4bc9-427d-a6f4-8a52cda62321</errorID>
      <errorWord>）</errorWord>
      <group>L1_Format</group>
      <groupName>格式问题</groupName>
      <ability>L2_HalfPunc_CN</ability>
      <abilityName>全半角检查</abilityName>
      <candidateList>
        <item>)</item>
      </candidateList>
      <explain>文本全半角错误。</explain>
      <paraID>2906EC9D</paraID>
      <start>12</start>
      <end>13</end>
      <status>modified</status>
      <modifiedWord>)</modifiedWord>
      <trackRevisions>false</trackRevisions>
    </reviewItem>
    <reviewItem>
      <errorID>077ef9e8-e75c-4e0f-be93-485b7b4637bc</errorID>
      <errorWord>;</errorWord>
      <group>L1_Format</group>
      <groupName>格式问题</groupName>
      <ability>L2_HalfPunc_CN</ability>
      <abilityName>全半角检查</abilityName>
      <candidateList>
        <item>；</item>
      </candidateList>
      <explain>文本全半角错误。</explain>
      <paraID>2906EC9D</paraID>
      <start>13</start>
      <end>14</end>
      <status>modified</status>
      <modifiedWord>；</modifiedWord>
      <trackRevisions>false</trackRevisions>
    </reviewItem>
    <reviewItem>
      <errorID>f7c98620-05c6-49de-b328-7d0a275b350d</errorID>
      <errorWord>：/；</errorWord>
      <group>L1_Punc</group>
      <groupName>标点问题</groupName>
      <ability>L2_Punc_CN</ability>
      <abilityName>标点符号检查</abilityName>
      <candidateList>
        <item>：</item>
      </candidateList>
      <explain/>
      <paraID>22732BAF</paraID>
      <start>3</start>
      <end>4</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7EA417-5FC3-4B3F-948D-FA8C69CA670B}">
  <ds:schemaRefs/>
</ds:datastoreItem>
</file>

<file path=docProps/app.xml><?xml version="1.0" encoding="utf-8"?>
<Properties xmlns="http://schemas.openxmlformats.org/officeDocument/2006/extended-properties" xmlns:vt="http://schemas.openxmlformats.org/officeDocument/2006/docPropsVTypes">
  <Template>Normal</Template>
  <Company>Organi</Company>
  <Pages>70</Pages>
  <Words>10453</Words>
  <Characters>11180</Characters>
  <TotalTime>19</TotalTime>
  <ScaleCrop>false</ScaleCrop>
  <LinksUpToDate>false</LinksUpToDate>
  <CharactersWithSpaces>11372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2023-07-23T13:07:00Z</dcterms:created>
  <dc:creator>宿迁政府采</dc:creator>
  <cp:lastModifiedBy>Administrator</cp:lastModifiedBy>
  <cp:lastPrinted>2026-06-26T06:13:00Z</cp:lastPrinted>
  <dcterms:modified xsi:type="dcterms:W3CDTF">2026-06-26T07:53:28Z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eyJoZGlkIjoiNzNkNGI3OTZhMTdjNWM1NzM1ZmM0MGNjNTAwMjJjMmEiLCJ1c2VySWQiOiIzNjc4NDQ0MTgifQ==</vt:lpwstr>
  </property>
  <property fmtid="{D5CDD505-2E9C-101B-9397-08002B2CF9AE}" pid="3" name="KSOProductBuildVer">
    <vt:lpwstr>2052-12.1.0.26895</vt:lpwstr>
  </property>
  <property fmtid="{D5CDD505-2E9C-101B-9397-08002B2CF9AE}" pid="4" name="ICV">
    <vt:lpwstr>446CDD5F21C54A279FC54194C8ACF91E_13</vt:lpwstr>
  </property>
</Properties>
</file>