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80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80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2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2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2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48"/>
          <w:szCs w:val="16"/>
          <w:highlight w:val="none"/>
          <w:lang w:eastAsia="zh-CN"/>
        </w:rPr>
        <w:t xml:space="preserve">栖霞区政府4号院安全保障服务采购（2年）</w:t>
      </w:r>
      <w:r>
        <w:rPr>
          <w:color w:val="000000" w:themeColor="text1"/>
        </w:rPr>
      </w:r>
      <w:r/>
    </w:p>
    <w:p>
      <w:pPr>
        <w:spacing w:line="2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718"/>
        <w:jc w:val="center"/>
        <w:rPr>
          <w:rFonts w:hint="default" w:ascii="宋体" w:hAnsi="宋体" w:eastAsia="宋体" w:cs="宋体"/>
          <w:b/>
          <w:bCs/>
          <w:color w:val="000000" w:themeColor="text1"/>
          <w:sz w:val="48"/>
          <w:szCs w:val="16"/>
          <w:highlight w:val="none"/>
        </w:rPr>
      </w:pPr>
      <w:r>
        <w:rPr>
          <w:rFonts w:hint="eastAsia" w:ascii="宋体" w:hAnsi="宋体" w:eastAsia="宋体" w:cs="宋体"/>
          <w:b/>
          <w:bCs/>
          <w:color w:val="000000" w:themeColor="text1"/>
          <w:sz w:val="48"/>
          <w:szCs w:val="16"/>
          <w:highlight w:val="none"/>
          <w:lang w:val="en-US" w:eastAsia="zh-CN" w:bidi="ar-SA"/>
        </w:rPr>
        <w:t xml:space="preserve">（二次）</w:t>
      </w:r>
      <w:r>
        <w:rPr>
          <w:color w:val="000000" w:themeColor="text1"/>
        </w:rPr>
      </w:r>
      <w:r/>
    </w:p>
    <w:p>
      <w:pPr>
        <w:spacing w:line="0" w:lineRule="atLeast"/>
        <w:rPr>
          <w:rFonts w:hint="eastAsia" w:ascii="宋体" w:hAnsi="宋体" w:eastAsia="宋体" w:cs="宋体"/>
          <w:b/>
          <w:color w:val="000000" w:themeColor="text1"/>
          <w:sz w:val="96"/>
          <w:szCs w:val="72"/>
          <w:highlight w:val="none"/>
        </w:rPr>
      </w:pPr>
      <w:r>
        <w:rPr>
          <w:rFonts w:hint="eastAsia" w:ascii="宋体" w:hAnsi="宋体" w:eastAsia="宋体" w:cs="宋体"/>
          <w:b/>
          <w:color w:val="000000" w:themeColor="text1"/>
          <w:sz w:val="96"/>
          <w:szCs w:val="72"/>
          <w:highlight w:val="none"/>
        </w:rPr>
      </w:r>
      <w:r>
        <w:rPr>
          <w:color w:val="000000" w:themeColor="text1"/>
        </w:rPr>
      </w:r>
      <w:r/>
    </w:p>
    <w:p>
      <w:pPr>
        <w:jc w:val="center"/>
        <w:spacing w:line="0" w:lineRule="atLeast"/>
        <w:rPr>
          <w:rFonts w:hint="eastAsia" w:ascii="宋体" w:hAnsi="宋体" w:eastAsia="宋体" w:cs="宋体"/>
          <w:color w:val="000000" w:themeColor="text1"/>
          <w:sz w:val="144"/>
          <w:highlight w:val="none"/>
        </w:rPr>
      </w:pPr>
      <w:r>
        <w:rPr>
          <w:rFonts w:hint="eastAsia" w:ascii="宋体" w:hAnsi="宋体" w:eastAsia="宋体" w:cs="宋体"/>
          <w:b/>
          <w:color w:val="000000" w:themeColor="text1"/>
          <w:sz w:val="96"/>
          <w:szCs w:val="72"/>
          <w:highlight w:val="none"/>
        </w:rPr>
        <w:t xml:space="preserve">公开招标文件</w:t>
      </w:r>
      <w:r>
        <w:rPr>
          <w:color w:val="000000" w:themeColor="text1"/>
        </w:rPr>
      </w:r>
      <w:r/>
    </w:p>
    <w:p>
      <w:pPr>
        <w:jc w:val="center"/>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r/>
    </w:p>
    <w:p>
      <w:pPr>
        <w:jc w:val="center"/>
        <w:rPr>
          <w:rFonts w:hint="default"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项目编号：</w:t>
      </w:r>
      <w:r>
        <w:rPr>
          <w:rFonts w:hint="eastAsia" w:ascii="宋体" w:hAnsi="宋体" w:eastAsia="宋体" w:cs="宋体"/>
          <w:color w:val="000000" w:themeColor="text1"/>
          <w:sz w:val="28"/>
          <w:highlight w:val="none"/>
          <w:lang w:val="en-US" w:eastAsia="zh-CN"/>
        </w:rPr>
        <w:t xml:space="preserve">JSZC-320113-QZDG-G2026-0007</w:t>
      </w:r>
      <w:r>
        <w:rPr>
          <w:color w:val="000000" w:themeColor="text1"/>
        </w:rPr>
      </w:r>
      <w:r/>
    </w:p>
    <w:p>
      <w:pPr>
        <w:spacing w:line="237"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r/>
    </w:p>
    <w:p>
      <w:pPr>
        <w:pStyle w:val="71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2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2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2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36"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采购人：南京市栖霞区区级机关事务管理服务中心</w:t>
      </w:r>
      <w:r>
        <w:rPr>
          <w:color w:val="000000" w:themeColor="text1"/>
        </w:rPr>
      </w:r>
      <w:r/>
    </w:p>
    <w:p>
      <w:pPr>
        <w:jc w:val="center"/>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代理人：南京勤泽道工程项目管理有限公司</w:t>
      </w:r>
      <w:r>
        <w:rPr>
          <w:color w:val="000000" w:themeColor="text1"/>
        </w:rPr>
      </w:r>
      <w:r/>
    </w:p>
    <w:p>
      <w:pPr>
        <w:jc w:val="center"/>
        <w:spacing w:line="360" w:lineRule="auto"/>
        <w:rPr>
          <w:rFonts w:hint="eastAsia" w:ascii="宋体" w:hAnsi="宋体" w:cs="仿宋"/>
          <w:b/>
          <w:bCs/>
          <w:color w:val="000000" w:themeColor="text1"/>
          <w:sz w:val="32"/>
          <w:szCs w:val="32"/>
          <w:highlight w:val="none"/>
        </w:rPr>
      </w:pPr>
      <w:r>
        <w:rPr>
          <w:color w:val="000000" w:themeColor="text1"/>
        </w:rPr>
      </w:r>
      <w:bookmarkStart w:id="0" w:name="page2"/>
      <w:r>
        <w:rPr>
          <w:color w:val="000000" w:themeColor="text1"/>
        </w:rPr>
      </w:r>
      <w:bookmarkEnd w:id="0"/>
      <w:r>
        <w:rPr>
          <w:rFonts w:hint="eastAsia" w:ascii="宋体" w:hAnsi="宋体" w:cs="仿宋"/>
          <w:b/>
          <w:bCs/>
          <w:color w:val="000000" w:themeColor="text1"/>
          <w:sz w:val="32"/>
          <w:szCs w:val="32"/>
          <w:highlight w:val="none"/>
        </w:rPr>
        <w:t xml:space="preserve">二〇二六年五月</w:t>
      </w:r>
      <w:r>
        <w:rPr>
          <w:color w:val="000000" w:themeColor="text1"/>
        </w:rPr>
      </w:r>
      <w:r/>
    </w:p>
    <w:p>
      <w:pPr>
        <w:jc w:val="center"/>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rPr>
          <w:rFonts w:hint="eastAsia" w:ascii="宋体" w:hAnsi="宋体" w:eastAsia="宋体" w:cs="宋体"/>
          <w:color w:val="000000" w:themeColor="text1"/>
          <w:highlight w:val="none"/>
        </w:rPr>
        <w:sectPr>
          <w:footnotePr/>
          <w:endnotePr/>
          <w:type w:val="nextPage"/>
          <w:pgSz w:w="11900" w:h="16838" w:orient="portrait"/>
          <w:pgMar w:top="1440" w:right="1304" w:bottom="1440" w:left="1304" w:header="0" w:footer="567" w:gutter="0"/>
          <w:pgNumType w:start="1"/>
          <w:cols w:num="1" w:sep="0" w:space="720" w:equalWidth="1"/>
          <w:docGrid w:linePitch="360"/>
        </w:sectPr>
      </w:pPr>
      <w:r>
        <w:rPr>
          <w:rFonts w:hint="eastAsia" w:ascii="宋体" w:hAnsi="宋体" w:eastAsia="宋体" w:cs="宋体"/>
          <w:color w:val="000000" w:themeColor="text1"/>
          <w:highlight w:val="none"/>
          <w:lang w:val="zh-CN"/>
        </w:rPr>
      </w:r>
      <w:r>
        <w:rPr>
          <w:color w:val="000000" w:themeColor="text1"/>
        </w:rPr>
      </w:r>
      <w:r/>
    </w:p>
    <w:p>
      <w:pPr>
        <w:numPr>
          <w:ilvl w:val="0"/>
          <w:numId w:val="1"/>
        </w:numPr>
        <w:jc w:val="center"/>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lang w:val="zh-CN"/>
        </w:rPr>
        <w:t xml:space="preserve">招标公告</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项目概况</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栖霞区政府4号院安全保障服务采购（2年</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JSZC-320113-QZDG-G2026-0007</w:t>
      </w:r>
      <w:r>
        <w:rPr>
          <w:rFonts w:hint="eastAsia" w:ascii="宋体" w:hAnsi="宋体" w:eastAsia="宋体" w:cs="宋体"/>
          <w:color w:val="000000" w:themeColor="text1"/>
          <w:sz w:val="24"/>
          <w:highlight w:val="none"/>
        </w:rPr>
        <w:t xml:space="preserve">的潜在供应商应在江苏政府采购网“苏采云”系统获取招标文件，并于2026-</w:t>
      </w: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22</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14</w:t>
      </w:r>
      <w:r>
        <w:rPr>
          <w:rFonts w:hint="eastAsia" w:ascii="宋体" w:hAnsi="宋体" w:eastAsia="宋体" w:cs="宋体"/>
          <w:color w:val="000000" w:themeColor="text1"/>
          <w:sz w:val="24"/>
          <w:highlight w:val="none"/>
        </w:rPr>
        <w:t xml:space="preserve">：30</w:t>
      </w:r>
      <w:r>
        <w:rPr>
          <w:rFonts w:hint="eastAsia" w:ascii="宋体" w:hAnsi="宋体" w:eastAsia="宋体" w:cs="宋体"/>
          <w:color w:val="000000" w:themeColor="text1"/>
          <w:sz w:val="24"/>
          <w:highlight w:val="none"/>
        </w:rPr>
        <w:t xml:space="preserve">（北京时</w:t>
      </w:r>
      <w:r>
        <w:rPr>
          <w:rFonts w:hint="eastAsia" w:ascii="宋体" w:hAnsi="宋体" w:eastAsia="宋体" w:cs="宋体"/>
          <w:color w:val="000000" w:themeColor="text1"/>
          <w:sz w:val="24"/>
          <w:highlight w:val="none"/>
        </w:rPr>
        <w:t xml:space="preserve">间）前递交投标文件。</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一、项目基本情况</w:t>
      </w:r>
      <w:r>
        <w:rPr>
          <w:color w:val="000000" w:themeColor="text1"/>
        </w:rPr>
      </w:r>
      <w:r/>
    </w:p>
    <w:p>
      <w:pPr>
        <w:ind w:firstLine="480"/>
        <w:spacing w:line="324"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项目编号：</w:t>
      </w:r>
      <w:r>
        <w:rPr>
          <w:rFonts w:hint="eastAsia" w:ascii="宋体" w:hAnsi="宋体" w:eastAsia="宋体" w:cs="宋体"/>
          <w:color w:val="000000" w:themeColor="text1"/>
          <w:sz w:val="24"/>
          <w:highlight w:val="none"/>
          <w:lang w:val="en-US" w:eastAsia="zh-CN"/>
        </w:rPr>
        <w:t xml:space="preserve">JSZC-320113-QZDG-G2026-0007</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项目名称：</w:t>
      </w:r>
      <w:r>
        <w:rPr>
          <w:rFonts w:hint="eastAsia" w:ascii="宋体" w:hAnsi="宋体" w:eastAsia="宋体" w:cs="宋体"/>
          <w:color w:val="000000" w:themeColor="text1"/>
          <w:sz w:val="24"/>
          <w:highlight w:val="none"/>
          <w:lang w:eastAsia="zh-CN"/>
        </w:rPr>
        <w:t xml:space="preserve">栖霞区政府4号院安全保障服务采购（2年）</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预算金额：178.3584万元</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最高限价：178.3584万元（每年限价：89.1792万元，供应商报价超过最高限价的作无效标处理）。</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采购需求：</w:t>
      </w:r>
      <w:r>
        <w:rPr>
          <w:rFonts w:hint="eastAsia" w:ascii="宋体" w:hAnsi="宋体" w:eastAsia="宋体" w:cs="宋体"/>
          <w:color w:val="000000" w:themeColor="text1"/>
          <w:sz w:val="24"/>
          <w:highlight w:val="none"/>
          <w:lang w:eastAsia="zh-CN"/>
        </w:rPr>
        <w:t xml:space="preserve">栖霞区政府4号院安全保障服务采购（2年）</w:t>
      </w:r>
      <w:r>
        <w:rPr>
          <w:rFonts w:hint="eastAsia" w:ascii="宋体" w:hAnsi="宋体" w:eastAsia="宋体" w:cs="宋体"/>
          <w:color w:val="000000" w:themeColor="text1"/>
          <w:sz w:val="24"/>
          <w:highlight w:val="none"/>
        </w:rPr>
        <w:t xml:space="preserve">，具体详见招标文件。</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合同履行期限：2年。</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w:t>
      </w:r>
      <w:r>
        <w:rPr>
          <w:rFonts w:hint="eastAsia" w:ascii="宋体" w:hAnsi="宋体" w:eastAsia="宋体" w:cs="宋体"/>
          <w:iCs/>
          <w:color w:val="000000" w:themeColor="text1"/>
          <w:sz w:val="24"/>
          <w:highlight w:val="none"/>
        </w:rPr>
        <w:t xml:space="preserve">是/否</w:t>
      </w:r>
      <w:r>
        <w:rPr>
          <w:rFonts w:hint="eastAsia" w:ascii="宋体" w:hAnsi="宋体" w:eastAsia="宋体" w:cs="宋体"/>
          <w:color w:val="000000" w:themeColor="text1"/>
          <w:sz w:val="24"/>
          <w:highlight w:val="none"/>
        </w:rPr>
        <w:t xml:space="preserve">）接受联合体投标：否。</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二、申请人的资格要求：</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1.符合《中华人民共和国政府采购法》第二十二条规定：</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（1）具有独立承担民事责任的能力(提供法人或者其他组织的营业执照，自然人的身份证明，复印件加盖公章)；</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（2）具有良好的商业信誉和健全的财务会计制度(提供参加本次采购活动前半年任意一个月的会计报表或提供2024年度的财务报告，或投标截止时间前六个月内银行出具的资信证明，成立不满一个月不需提供)；</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（3）具有履行合同所必需的设备和专业技术能力的书面声明（供应商根据履行采购项目合同需要，提供履行合同所必需的设备和专业技术能力的证明材料）；</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（4）具有依法缴纳税收和社会保障资金的良好记录（提供参加本次政府采购活动前缴纳税收的凭据；并提供缴纳社会保险的凭据（专用收据或社会保险缴纳清单），成立不满一个月不需提供）；</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（5）参加政府采购活动前三年内，在经营活动中没有重大违法记录（格式见附件）；</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（6）法律、行政法规规定的其他条件：无。</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落实政府采购政策需满足的资格要求：本项目非专门面向中小企业（或监狱企业或残疾人福利性单位）采购。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3.本项目的特定资格要求：</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满足下列条件之一：</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（1）供应商具有所在地省级公安部门核发的《保安服务许可证》（提供证书复印件）；</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供应商提供项目所在地公安部门出具的自行招用保安员单位备案证明，或自开始保安服务之日起30日内向项目所在地公安机关备案并取得备案回执承诺书。(提供备案证明或承诺书，承诺书格式自拟，上传备案证明或承诺书扫描件并加盖公章)。</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三、获取招标文件</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1、时间：自招标文件公告发布之日起5个工作日</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2、地点：江苏政府采购网</w:t>
      </w:r>
      <w:r>
        <w:rPr>
          <w:color w:val="000000" w:themeColor="text1"/>
        </w:rPr>
      </w:r>
      <w:r/>
    </w:p>
    <w:p>
      <w:pPr>
        <w:ind w:firstLine="482"/>
        <w:spacing w:line="324" w:lineRule="auto"/>
        <w:rPr>
          <w:rFonts w:hint="eastAsia" w:ascii="宋体" w:hAnsi="宋体" w:eastAsia="宋体" w:cs="宋体"/>
          <w:color w:val="000000" w:themeColor="text1"/>
          <w:sz w:val="24"/>
          <w:highlight w:val="none"/>
          <w:shd w:val="clear" w:color="auto" w:fill="ffffff"/>
        </w:rPr>
      </w:pPr>
      <w:r>
        <w:rPr>
          <w:rFonts w:hint="eastAsia" w:ascii="宋体" w:hAnsi="宋体" w:eastAsia="宋体" w:cs="宋体"/>
          <w:color w:val="000000" w:themeColor="text1"/>
          <w:sz w:val="24"/>
          <w:highlight w:val="none"/>
        </w:rPr>
        <w:t xml:space="preserve">3、方式：网上下载。</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4、售价：0元。</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四、提交投标文件截止时间、开标时间和地点</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1、提交投标文件截止时间、开标时间：2026年</w:t>
      </w: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lang w:val="en-US" w:eastAsia="zh-CN"/>
        </w:rPr>
        <w:t xml:space="preserve">22</w:t>
      </w:r>
      <w:r>
        <w:rPr>
          <w:rFonts w:hint="eastAsia" w:ascii="宋体" w:hAnsi="宋体" w:eastAsia="宋体" w:cs="宋体"/>
          <w:color w:val="000000" w:themeColor="text1"/>
          <w:sz w:val="24"/>
          <w:highlight w:val="none"/>
        </w:rPr>
        <w:t xml:space="preserve">日</w:t>
      </w:r>
      <w:r>
        <w:rPr>
          <w:rFonts w:ascii="宋体" w:hAnsi="宋体" w:eastAsia="宋体" w:cs="宋体"/>
          <w:color w:val="000000" w:themeColor="text1"/>
          <w:sz w:val="24"/>
          <w:highlight w:val="none"/>
        </w:rPr>
        <w:t xml:space="preserve">14</w:t>
      </w:r>
      <w:r>
        <w:rPr>
          <w:rFonts w:hint="eastAsia" w:ascii="宋体" w:hAnsi="宋体" w:eastAsia="宋体" w:cs="宋体"/>
          <w:color w:val="000000" w:themeColor="text1"/>
          <w:sz w:val="24"/>
          <w:highlight w:val="none"/>
        </w:rPr>
        <w:t xml:space="preserve">:30</w:t>
      </w:r>
      <w:r>
        <w:rPr>
          <w:rFonts w:hint="eastAsia" w:ascii="宋体" w:hAnsi="宋体" w:eastAsia="宋体" w:cs="宋体"/>
          <w:color w:val="000000" w:themeColor="text1"/>
          <w:sz w:val="24"/>
          <w:highlight w:val="none"/>
        </w:rPr>
        <w:t xml:space="preserve">（北京时间）</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2、地点：“苏采云”网上开标大厅（网址：http://jszfcg.jsczt.cn/）</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五、公告期限</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自本公告发布之日起5个工作日。</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六、其他补充事宜</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1、本项目（是/否）接受进口设备：否</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2、拒绝下述供应商参加本次采购活动：</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（1）供应商单位负责人为同一人或者存在直接控股、管理关系的不同供应商，不得参加同一合同项下的政府采购活动。</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（2）凡为采购项目提供整体设计、规范编制或者项目管理、监理、检测等服务的供应商，不得再参加本项目的采购活动。</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（3）供应商被“信用中国”网站、“中国政府采购网”网站、</w:t>
      </w:r>
      <w:r>
        <w:rPr>
          <w:rFonts w:hint="eastAsia" w:ascii="宋体" w:hAnsi="宋体" w:eastAsia="宋体" w:cs="宋体"/>
          <w:bCs/>
          <w:color w:val="000000" w:themeColor="text1"/>
          <w:sz w:val="24"/>
          <w:highlight w:val="none"/>
        </w:rPr>
        <w:t xml:space="preserve">“信用江苏”</w:t>
      </w:r>
      <w:r>
        <w:rPr>
          <w:rFonts w:hint="eastAsia" w:ascii="宋体" w:hAnsi="宋体" w:eastAsia="宋体" w:cs="宋体"/>
          <w:color w:val="000000" w:themeColor="text1"/>
          <w:sz w:val="24"/>
          <w:highlight w:val="none"/>
        </w:rPr>
        <w:t xml:space="preserve">列入失信被执行人、重大税收违法案件当事人名单、政府采购严重违法失信行为记录名单。</w:t>
      </w:r>
      <w:r>
        <w:rPr>
          <w:color w:val="000000" w:themeColor="text1"/>
        </w:rPr>
      </w:r>
      <w:r/>
    </w:p>
    <w:p>
      <w:pPr>
        <w:ind w:firstLine="480"/>
        <w:spacing w:line="324"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rPr>
        <w:t xml:space="preserve">3、供应商在参加政府采购活动前3年内因违法经营被禁止在一定期限内参加政府采购活动，期限届满的，可以参加政府采购活动。</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采购人不统一组织进行现场踏勘，供应商认为需要可自行进行踏勘现场，费用由供应商自理。有关本招标的事项若存在变动或修改，敬请及时关注“南京公共采购信息网”及“江苏政府采购网”发布的信息更正公告。若因供应商未及时关注网站公告导致误投标，其责任由供应商自行承担。</w:t>
      </w:r>
      <w:r>
        <w:rPr>
          <w:color w:val="000000" w:themeColor="text1"/>
        </w:rPr>
      </w:r>
      <w:r/>
    </w:p>
    <w:p>
      <w:pPr>
        <w:ind w:firstLine="480"/>
        <w:jc w:val="left"/>
        <w:spacing w:line="324"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5、</w:t>
      </w:r>
      <w:r>
        <w:rPr>
          <w:rFonts w:hint="eastAsia" w:ascii="宋体" w:hAnsi="宋体" w:eastAsia="宋体" w:cs="宋体"/>
          <w:bCs/>
          <w:color w:val="000000" w:themeColor="text1"/>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rPr>
      </w:r>
      <w:r/>
    </w:p>
    <w:p>
      <w:pPr>
        <w:ind w:firstLine="379"/>
        <w:jc w:val="left"/>
        <w:spacing w:line="324"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（2）“CA数字证书”的获取：供应商需办理CA锁，“苏采云”系统目前仅支持“苏采云”系统下的政务CA，省内各地区办理的“苏采云”系统下的政务CA全省通用。</w:t>
      </w:r>
      <w:r>
        <w:rPr>
          <w:color w:val="000000" w:themeColor="text1"/>
        </w:rPr>
      </w:r>
      <w:r/>
    </w:p>
    <w:p>
      <w:pPr>
        <w:ind w:firstLine="379"/>
        <w:jc w:val="left"/>
        <w:spacing w:line="324"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（3）“CA数字证书”的办理材料以及供应商操作手册详见：http://jsxcmm.com/help/gys.html。</w:t>
      </w:r>
      <w:r>
        <w:rPr>
          <w:color w:val="000000" w:themeColor="text1"/>
        </w:rPr>
      </w:r>
      <w:r/>
    </w:p>
    <w:p>
      <w:pPr>
        <w:ind w:firstLine="379"/>
        <w:jc w:val="left"/>
        <w:spacing w:line="324"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（4）潜在供应商访问“苏采云”系统的网络地址和方法：“苏采云”系统的网址：http://jszfcg.jsczt.cn/jszc/login。</w:t>
      </w:r>
      <w:r>
        <w:rPr>
          <w:color w:val="000000" w:themeColor="text1"/>
        </w:rPr>
      </w:r>
      <w:r/>
    </w:p>
    <w:p>
      <w:pPr>
        <w:ind w:firstLine="379"/>
        <w:jc w:val="left"/>
        <w:spacing w:line="324"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（5）采购文件（后缀名为“.kedt”）、供应商操作手册及政府采购客户端工具也可通过“苏采云”系统--已报名项目--报名详情页面内相应链接进行下载。</w:t>
      </w:r>
      <w:r>
        <w:rPr>
          <w:color w:val="000000" w:themeColor="text1"/>
        </w:rPr>
      </w:r>
      <w:r/>
    </w:p>
    <w:p>
      <w:pPr>
        <w:ind w:firstLine="379"/>
        <w:jc w:val="left"/>
        <w:spacing w:line="324"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（6）招标代理机构（采购代理机构）将数据电文形式的采购文件加载至“苏采云”系统，供潜在供应商下载或者查阅。    </w:t>
      </w:r>
      <w:r>
        <w:rPr>
          <w:color w:val="000000" w:themeColor="text1"/>
        </w:rPr>
      </w:r>
      <w:r/>
    </w:p>
    <w:p>
      <w:pPr>
        <w:pStyle w:val="943"/>
        <w:ind w:firstLine="480"/>
        <w:spacing w:after="0" w:line="324" w:lineRule="auto"/>
        <w:rPr>
          <w:rFonts w:hint="eastAsia" w:ascii="宋体" w:hAnsi="宋体" w:cs="宋体"/>
          <w:color w:val="000000" w:themeColor="text1"/>
          <w:highlight w:val="none"/>
        </w:rPr>
      </w:pPr>
      <w:r>
        <w:rPr>
          <w:rFonts w:hint="eastAsia" w:ascii="宋体" w:hAnsi="宋体" w:cs="宋体"/>
          <w:bCs/>
          <w:color w:val="000000" w:themeColor="text1"/>
          <w:sz w:val="24"/>
          <w:szCs w:val="24"/>
          <w:highlight w:val="none"/>
        </w:rPr>
        <w:t xml:space="preserve">（7）苏采云系统使用谷歌浏览器参与不见面开标。</w:t>
      </w:r>
      <w:r>
        <w:rPr>
          <w:color w:val="000000" w:themeColor="text1"/>
        </w:rPr>
      </w:r>
      <w:r/>
    </w:p>
    <w:p>
      <w:pPr>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6、政府采购信用承诺</w:t>
      </w:r>
      <w:r>
        <w:rPr>
          <w:color w:val="000000" w:themeColor="text1"/>
        </w:rPr>
      </w:r>
      <w:r/>
    </w:p>
    <w:p>
      <w:pPr>
        <w:ind w:firstLine="480"/>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w:t>
      </w:r>
      <w:r>
        <w:rPr>
          <w:rFonts w:hint="eastAsia" w:ascii="宋体" w:hAnsi="宋体" w:eastAsia="宋体" w:cs="宋体"/>
          <w:color w:val="000000" w:themeColor="text1"/>
          <w:sz w:val="24"/>
          <w:highlight w:val="none"/>
        </w:rPr>
        <w:t xml:space="preserve">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在政府采购资格审查环节，供应商只需提供书面《南京市政府采购供应商信用记录表暨信用承诺书》，即可替代以下证明材料： </w:t>
      </w:r>
      <w:r>
        <w:rPr>
          <w:color w:val="000000" w:themeColor="text1"/>
        </w:rPr>
      </w:r>
      <w:r/>
    </w:p>
    <w:p>
      <w:pPr>
        <w:ind w:firstLine="480"/>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（1）符合国家相关规定的财务状况报告； </w:t>
      </w:r>
      <w:r>
        <w:rPr>
          <w:color w:val="000000" w:themeColor="text1"/>
        </w:rPr>
      </w:r>
      <w:r/>
    </w:p>
    <w:p>
      <w:pPr>
        <w:ind w:firstLine="480"/>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（2）依法缴纳税收的证明材料； </w:t>
      </w:r>
      <w:r>
        <w:rPr>
          <w:color w:val="000000" w:themeColor="text1"/>
        </w:rPr>
      </w:r>
      <w:r/>
    </w:p>
    <w:p>
      <w:pPr>
        <w:ind w:firstLine="480"/>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（3）依法缴纳社会保障资金的证明材料； </w:t>
      </w:r>
      <w:r>
        <w:rPr>
          <w:color w:val="000000" w:themeColor="text1"/>
        </w:rPr>
      </w:r>
      <w:r/>
    </w:p>
    <w:p>
      <w:pPr>
        <w:ind w:firstLine="480"/>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（4）具备履行政府采购合同所必需的设备和专业技术能力的证明材料； </w:t>
      </w:r>
      <w:r>
        <w:rPr>
          <w:color w:val="000000" w:themeColor="text1"/>
        </w:rPr>
      </w:r>
      <w:r/>
    </w:p>
    <w:p>
      <w:pPr>
        <w:ind w:firstLine="480"/>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（5）参加政府采购活动前三年内在经营活动中没有重大违法记录的证明材料； </w:t>
      </w:r>
      <w:r>
        <w:rPr>
          <w:color w:val="000000" w:themeColor="text1"/>
        </w:rPr>
      </w:r>
      <w:r/>
    </w:p>
    <w:p>
      <w:pPr>
        <w:ind w:firstLine="480"/>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（6）未被列入失信被执行人、重大税收违法失信主体、政府采购严重违法失信行为记录名单的证明材料。 </w:t>
      </w:r>
      <w:r>
        <w:rPr>
          <w:color w:val="000000" w:themeColor="text1"/>
        </w:rPr>
      </w:r>
      <w:r/>
    </w:p>
    <w:p>
      <w:pPr>
        <w:ind w:firstLine="480"/>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rPr>
      </w:r>
      <w:r/>
    </w:p>
    <w:p>
      <w:pPr>
        <w:ind w:firstLine="480"/>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供应商涉及以下情形的，不适用信用承诺： </w:t>
      </w:r>
      <w:r>
        <w:rPr>
          <w:color w:val="000000" w:themeColor="text1"/>
        </w:rPr>
      </w:r>
      <w:r/>
    </w:p>
    <w:p>
      <w:pPr>
        <w:ind w:firstLine="480"/>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（1）供应商被列入严重失信主体名单； </w:t>
      </w:r>
      <w:r>
        <w:rPr>
          <w:color w:val="000000" w:themeColor="text1"/>
        </w:rPr>
      </w:r>
      <w:r/>
    </w:p>
    <w:p>
      <w:pPr>
        <w:ind w:firstLine="480"/>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（2）被相关监管部门作出行政处罚且尚在处罚有效期内； </w:t>
      </w:r>
      <w:r>
        <w:rPr>
          <w:color w:val="000000" w:themeColor="text1"/>
        </w:rPr>
      </w:r>
      <w:r/>
    </w:p>
    <w:p>
      <w:pPr>
        <w:ind w:firstLine="480"/>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（3）其他法律、行政法规规定的不适用信用承诺的情形。 </w:t>
      </w:r>
      <w:r>
        <w:rPr>
          <w:color w:val="000000" w:themeColor="text1"/>
        </w:rPr>
      </w:r>
      <w:r/>
    </w:p>
    <w:p>
      <w:pPr>
        <w:ind w:firstLine="480"/>
        <w:jc w:val="left"/>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供应商对信用承诺内容的真实性、合法性、有效性负责。如作出虚假信用承诺，视同为“提供虚假材料谋取中标、成交”的违法行为。</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七、对本次招标提出询问，请按以下方式联系</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1.采购人信息</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名称：南京市栖霞区区级机关事务管理服务中心</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地址：南京市栖霞区尧化门街189号</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联系人：尹婷婷</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联系电话：</w:t>
      </w:r>
      <w:r>
        <w:rPr>
          <w:rFonts w:hint="eastAsia" w:ascii="宋体" w:hAnsi="宋体" w:cs="宋体"/>
          <w:color w:val="000000" w:themeColor="text1"/>
          <w:sz w:val="24"/>
          <w:highlight w:val="none"/>
        </w:rPr>
        <w:t xml:space="preserve">025-85673598</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2.采购代理机构信息</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名称：南京勤泽道工程项目管理有限公司</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地址：南京市玄武区红山路常发</w:t>
      </w:r>
      <w:bookmarkStart w:id="13" w:name="_GoBack"/>
      <w:r>
        <w:rPr>
          <w:color w:val="000000" w:themeColor="text1"/>
        </w:rPr>
      </w:r>
      <w:bookmarkEnd w:id="13"/>
      <w:r>
        <w:rPr>
          <w:rFonts w:hint="eastAsia" w:ascii="宋体" w:hAnsi="宋体" w:eastAsia="宋体" w:cs="宋体"/>
          <w:color w:val="000000" w:themeColor="text1"/>
          <w:sz w:val="24"/>
          <w:highlight w:val="none"/>
        </w:rPr>
        <w:t xml:space="preserve">广场2号商务楼520室</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联系方式：18694995032</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3.项目联系方式</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项目联系人：王心雨          </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电话：18694995032</w:t>
      </w:r>
      <w:r>
        <w:rPr>
          <w:rFonts w:hint="eastAsia" w:ascii="宋体" w:hAnsi="宋体" w:eastAsia="宋体" w:cs="宋体"/>
          <w:color w:val="000000" w:themeColor="text1"/>
          <w:sz w:val="24"/>
          <w:highlight w:val="none"/>
        </w:rPr>
        <w:br w:type="page" w:clear="all"/>
      </w:r>
      <w:r>
        <w:rPr>
          <w:color w:val="000000" w:themeColor="text1"/>
        </w:rPr>
      </w:r>
      <w:r/>
    </w:p>
    <w:p>
      <w:pPr>
        <w:ind w:left="720"/>
        <w:jc w:val="center"/>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lang w:val="zh-CN"/>
        </w:rPr>
        <w:t xml:space="preserve">第二章</w:t>
      </w:r>
      <w:r>
        <w:rPr>
          <w:rFonts w:hint="eastAsia" w:ascii="宋体" w:hAnsi="宋体" w:eastAsia="宋体" w:cs="宋体"/>
          <w:b/>
          <w:bCs/>
          <w:color w:val="000000" w:themeColor="text1"/>
          <w:sz w:val="36"/>
          <w:szCs w:val="36"/>
          <w:highlight w:val="none"/>
        </w:rPr>
        <w:t xml:space="preserve"> </w:t>
      </w:r>
      <w:r>
        <w:rPr>
          <w:rFonts w:hint="eastAsia" w:ascii="宋体" w:hAnsi="宋体" w:eastAsia="宋体" w:cs="宋体"/>
          <w:b/>
          <w:bCs/>
          <w:color w:val="000000" w:themeColor="text1"/>
          <w:sz w:val="36"/>
          <w:szCs w:val="36"/>
          <w:highlight w:val="none"/>
          <w:lang w:val="zh-CN"/>
        </w:rPr>
        <w:t xml:space="preserve">供应商须知</w:t>
      </w:r>
      <w:r>
        <w:rPr>
          <w:color w:val="000000" w:themeColor="text1"/>
        </w:rPr>
      </w:r>
      <w:r/>
    </w:p>
    <w:p>
      <w:pPr>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一、总则</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1、适用法律</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1.1《中华人民共和国政府采购法》、《中华人民共和国政府采购法实施条例》等有关法律、规章和规定等。</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2、定义</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2.1“供应商”是指参加投标竞争，并符合招标文件规定资格条件的法人、其他组织或者自然人。</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2.2“产品”指本招标文件中所述产品及相关服务。</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2.3“采购人或使用单位”是指使用的单位。</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3、政策功能</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政府采购促进中小企业发展，小企业（含小型、微型企业）提供的产品和服务或货物在评审时将获得优势，参加投标的小企业，应当提供《中小企业声明函》（“中小企业划型标准”详见《关于印发中小企业划型标准规定的通知》工信部联企业〔2011〕300号及《国家统计局关于印发统计上大中小微型企业划分办法（2017）的通知》国统字〔2017〕213号）。</w:t>
      </w:r>
      <w:r>
        <w:rPr>
          <w:color w:val="000000" w:themeColor="text1"/>
        </w:rPr>
      </w:r>
      <w:r/>
    </w:p>
    <w:p>
      <w:pPr>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在货物采购项目中，供应商提供的货物既有中小企业制造货物，也有大型企业制造货物的，不享受中小企业扶持政策。</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政府采购支持监狱和戒毒企业发展政策，监狱和戒毒企业提供的产品和服务或货物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3.4小型、微型企业提供中型或大型企业制造的货物的，视同为中型或大型企业。参加政府采购活动的中小企业应当按“关于印发《政府采购促进中小企业发展管理办法》的通知[财库〔2020〕46号]” 和《财库〔2022〕19号》规定提供《中小企业声明函》，未提供上述资料不得享受相关中小企业扶持政策。</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3.5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3.6提供的产品属于信息安全产品的，供应商应当选择经国家认证的信息安全产品投标，并提供由中国信息安全认证中心按国家标准认证颁发的有效认证证书复印件。</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3.7提供的产品属于政府强制采购节能产品的，供应商应当选择经过认证的节能产品投标，并提供有效的节能产品认证证书复印件。</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3.8提供的产品属于环境标志产品的,供应商应当选择经过认证的环境标志产品投标,并提供有效的环境标志产品认证证书复印件。</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3.9招标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rPr>
          <w:color w:val="000000" w:themeColor="text1"/>
        </w:rPr>
      </w:r>
      <w:r/>
    </w:p>
    <w:p>
      <w:pPr>
        <w:numPr>
          <w:ilvl w:val="0"/>
          <w:numId w:val="2"/>
        </w:numPr>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招标文件</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4、招标文件组成</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招标文件组成：招标公告、供应商须知、供应商应当提交的资格和资信证明文件、投标报价要求、投标文件编制要求、投标项目的技术规格、要求和数量、合同主要条款及合同签订方式、合同履行期限、付款条件、评审方法、评审标准、无效投标和废标条款、附件等。</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招标的最小单位是包。招标服务数量及技术要求中未分包的，供应商对要求提供的服务不得部分投标；招标服务数量及技术要求中已经分包的，应当以包为单位投标。</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招标文件如果要求供应商提交备选投标方案的，供应商可以提交备选方案；否则，备选方案将被拒绝。</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5、招标文件的澄清、修改</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采购人或采购代理机构对已发出的招标文件进行必要澄清或者修改的，将在招标文件要求提交投标文件截止时间十五日前，在原公开招标公告媒体发布更正公告，该澄清或者修改的内容为招标文件的组成部分。</w:t>
      </w:r>
      <w:r>
        <w:rPr>
          <w:color w:val="000000" w:themeColor="text1"/>
        </w:rPr>
      </w:r>
      <w:r/>
    </w:p>
    <w:p>
      <w:pPr>
        <w:ind w:firstLine="480"/>
        <w:spacing w:line="360" w:lineRule="auto"/>
        <w:rPr>
          <w:rFonts w:hint="eastAsia" w:ascii="宋体" w:hAnsi="宋体" w:eastAsia="宋体" w:cs="宋体"/>
          <w:b/>
          <w:color w:val="000000" w:themeColor="text1"/>
          <w:sz w:val="24"/>
          <w:highlight w:val="none"/>
        </w:rPr>
      </w:pPr>
      <w:r>
        <w:rPr>
          <w:rFonts w:hint="eastAsia" w:ascii="宋体" w:hAnsi="宋体" w:eastAsia="宋体" w:cs="宋体"/>
          <w:color w:val="000000" w:themeColor="text1"/>
          <w:sz w:val="24"/>
          <w:highlight w:val="none"/>
        </w:rPr>
        <w:t xml:space="preserve">供应商应在递交投标文件截止时间前关注原采购信息发布媒体上有关本招标项目有无变更公告。</w:t>
      </w:r>
      <w:r>
        <w:rPr>
          <w:color w:val="000000" w:themeColor="text1"/>
        </w:rPr>
      </w:r>
      <w:r/>
    </w:p>
    <w:p>
      <w:pPr>
        <w:numPr>
          <w:ilvl w:val="0"/>
          <w:numId w:val="2"/>
        </w:numPr>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投标</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6、投标文件的语言、计量单位、货币和编制</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提交的投标文件、技术文件和资料，包括图纸中的说明，以及供应商与采购代理机构就有关投标响应的所有来往函电均应使用中文。投标文件中若有英文或其他语言文字的资料，应提供相应的中文翻译资料。对不同文本投标文件的解释发生异议的，以中文文本为准。</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供应商所使用的计量单位应为国家法定计量单位。</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供应商应用人民币报价。</w:t>
      </w:r>
      <w:r>
        <w:rPr>
          <w:color w:val="000000" w:themeColor="text1"/>
        </w:rPr>
      </w:r>
      <w:r/>
    </w:p>
    <w:p>
      <w:pPr>
        <w:ind w:left="437"/>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7、联合投标</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两个以上的自然人、法人或者其他组织可以组成一个联合体，以一个供应商的身份共同参加政府采购。</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鼓励大中型企业和其他自然人、法人或者其他组织与小型、微型企业组成联合体共同参加非专门面向中小企业的政府采购活动。</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本次招标不接受联合体投标。</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8、投标费用</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8.1供应商应自行承担所有与准备和参加投标有关的费用。无论采购结果如何，采购代理和采购人在任何情况下均无义务和责任承担这些费用。</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9、投标文件组成</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应当根据招标文件要求编制投标文件，投标文件应对招标文件提出的要求和条件作出实质性响应，并在《商务条款偏离表》和《技术条款偏离表》等处逐条标明满足与否。对带星号（“★”）的技术条款必须在投标文件中提供技术支持资料（如白皮书、彩页、手册、检测报告等），未提供技术支持资料的，评审时不予认可。（采购需求中另有规定的，也可从其规定）</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投标文件由商务部分、技术部分、价格部分以及其他部分组成。</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10、投标文件的商务部分</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10.1商务部分是证明供应商有资格参加投标响应和中标后有能力履行合同的文件，这些文件应能满足投标的要求，包括但不限于下列文件，其中加★项目不得有缺失或无效。</w:t>
      </w:r>
      <w:r>
        <w:rPr>
          <w:color w:val="000000" w:themeColor="text1"/>
        </w:rPr>
      </w:r>
      <w:r/>
    </w:p>
    <w:p>
      <w:pPr>
        <w:numPr>
          <w:ilvl w:val="0"/>
          <w:numId w:val="3"/>
        </w:num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★投标响应申请及声明；</w:t>
      </w:r>
      <w:r>
        <w:rPr>
          <w:color w:val="000000" w:themeColor="text1"/>
        </w:rPr>
      </w:r>
      <w:r/>
    </w:p>
    <w:p>
      <w:pPr>
        <w:numPr>
          <w:ilvl w:val="0"/>
          <w:numId w:val="3"/>
        </w:num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★法定代表人授权委托书及委托代理人的身份证明文件的复印件；</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（3）★第一章招标公告中第二条申请人的资格要求《中华人民共和国政府采购法》规定的资格条件承诺书（证明文件由中标供应商按招标文件要求提供）；</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（4）★第一章招标公告中第二条申请人的资格要求，采购人根据采购项目的特殊要求规定的特定条件证明文件（若有）；</w:t>
      </w:r>
      <w:r>
        <w:rPr>
          <w:color w:val="000000" w:themeColor="text1"/>
        </w:rPr>
      </w:r>
      <w:r/>
    </w:p>
    <w:p>
      <w:pPr>
        <w:ind w:left="42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（5）★开标一览表；</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（6）★《南京市政府采购供应商信用记录表暨信用承诺书》；</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（7）★《商务条款偏离表》；</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（8）供应商类似业绩情况表</w:t>
      </w:r>
      <w:r>
        <w:rPr>
          <w:color w:val="000000" w:themeColor="text1"/>
        </w:rPr>
      </w:r>
      <w:r/>
    </w:p>
    <w:p>
      <w:pPr>
        <w:ind w:firstLine="72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(9)★声明函</w:t>
      </w:r>
      <w:r>
        <w:rPr>
          <w:color w:val="000000" w:themeColor="text1"/>
        </w:rPr>
      </w:r>
      <w:r/>
    </w:p>
    <w:p>
      <w:pPr>
        <w:ind w:firstLine="72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(10)供应商认为需要提供的其他资格证明文件和商务资料等。</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11、投标文件的技术部分</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技术部分是证明供应商提供的产品和服务是合格的、并符合招标文件要求的证明文件，以及对投标报价表中的服务的详细说明，这些文件可以是文字资料、图纸和数据等。</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若技术性能无特殊说明，则按国家有关部门最新颁布的标准及规范为准；提供的服务如与招标文件要求有不符之处，应说明其差别之所在，并在《技术条款偏离表》中逐条予以说明。</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11.1投标文件应按照招标文件要求提供技术资料、文件和有关证明，包括但不限于其中加★项目不得有缺失或无效：</w:t>
      </w:r>
      <w:r>
        <w:rPr>
          <w:color w:val="000000" w:themeColor="text1"/>
        </w:rPr>
      </w:r>
      <w:r/>
    </w:p>
    <w:p>
      <w:pPr>
        <w:numPr>
          <w:ilvl w:val="0"/>
          <w:numId w:val="4"/>
        </w:num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★《技术条款偏离表》；</w:t>
      </w:r>
      <w:r>
        <w:rPr>
          <w:color w:val="000000" w:themeColor="text1"/>
        </w:rPr>
      </w:r>
      <w:r/>
    </w:p>
    <w:p>
      <w:pPr>
        <w:numPr>
          <w:ilvl w:val="0"/>
          <w:numId w:val="4"/>
        </w:num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方案及服务承诺；</w:t>
      </w:r>
      <w:r>
        <w:rPr>
          <w:color w:val="000000" w:themeColor="text1"/>
        </w:rPr>
      </w:r>
      <w:r/>
    </w:p>
    <w:p>
      <w:pPr>
        <w:numPr>
          <w:ilvl w:val="0"/>
          <w:numId w:val="4"/>
        </w:num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供应商认为需要提供的其他技术资料。</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12、投标文件的价格部分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12.1价格部分是对货物和服务价格构成的说明，招标文件如没有特别说明的话，对每一项货物和服务仅接受一个价格。</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12.2报价应包含本次招标的所有费用、支付给员工的工资和国家强制缴纳的各种社会保障资金，以及供应商认为需要的其他费用等。</w:t>
      </w:r>
      <w:r>
        <w:rPr>
          <w:color w:val="000000" w:themeColor="text1"/>
        </w:rPr>
      </w:r>
      <w:r/>
    </w:p>
    <w:p>
      <w:pPr>
        <w:ind w:firstLine="480"/>
        <w:spacing w:line="360" w:lineRule="auto"/>
        <w:rPr>
          <w:rFonts w:hint="eastAsia" w:ascii="宋体" w:hAnsi="宋体" w:eastAsia="宋体" w:cs="宋体"/>
          <w:color w:val="000000" w:themeColor="text1"/>
          <w:sz w:val="20"/>
          <w:highlight w:val="none"/>
        </w:rPr>
      </w:pPr>
      <w:r>
        <w:rPr>
          <w:rFonts w:hint="eastAsia" w:ascii="宋体" w:hAnsi="宋体" w:eastAsia="宋体" w:cs="宋体"/>
          <w:color w:val="000000" w:themeColor="text1"/>
          <w:sz w:val="24"/>
          <w:highlight w:val="none"/>
        </w:rPr>
        <w:t xml:space="preserve">12.3供应商应充分考虑到市场价格变动，以及项目实施过程中的不可预见因素，一旦中标，总价格不变。如果有漏项，视同让利。供应商的任何错漏、优惠、竞争性报价不得作为减轻责任、减少服务、增加收费、降低质量的理由。</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12.4供应商应在《开标一览表》、《分项报价表》等标明提供服务的单价、总价以及分项报价。供应商系小企业（含小型、微型企业），并提供本企业制造的货物、承担的工程或者服务，或者提供其他小企业制造的货物，须在《开标一览表》、《分项报价表》中注明。</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13、投标文件的其他部分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其他部分由供应商根据编制投标文件需要提供的其他相关文件。</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14、投标保证金</w:t>
      </w:r>
      <w:r>
        <w:rPr>
          <w:color w:val="000000" w:themeColor="text1"/>
        </w:rPr>
      </w:r>
      <w:r/>
    </w:p>
    <w:p>
      <w:pPr>
        <w:ind w:left="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本项目不需要交纳投标保证金。</w:t>
      </w:r>
      <w:r>
        <w:rPr>
          <w:color w:val="000000" w:themeColor="text1"/>
        </w:rPr>
      </w:r>
      <w:r/>
    </w:p>
    <w:p>
      <w:pPr>
        <w:ind w:left="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15、投标有效期自投标之日起90天内投标有效。</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特殊情况下，在原投标有效期截止之前，采购代理机构可要求供应商同意延长投标有效期，这种要求与答复均以书面形式提交。供应商可拒绝这种要求，并且不影响保证金退还。接受延长投标有效期的供应商将不会要求和允许修正其投标，而只会被要求相应地延长其投标保证金的有效期。在这种情况下，有关投标保证金的退还规定在延长了的有效期内继续有效。</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16、投标文件的签署</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16.1投标文件应按照招标文件要求加盖电子公章，否则视为无效投标。</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17、投标文件的递交</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17.1供应商应当按照《操作手册》规定，在招标公告规定的投标截止时间前制作并上传电子投标文件。招标代理机构拒绝接收提交投标文件截止时间后上传的任何电子投标文件。</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17.2供应商应充分考虑网络环境、网络带宽等因素可能对投标产生的影响，如因供应商自身原因造成的电子投标文件上传不成功的，按照做无效投标处理。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17.3代理机构可以按照规定，通过修改招标文件酌情延长投标截止时间，在此情况下，供应商的所有权利和义务均以延长后新的截止时间为准。</w:t>
      </w:r>
      <w:r>
        <w:rPr>
          <w:color w:val="000000" w:themeColor="text1"/>
        </w:rPr>
      </w:r>
      <w:r/>
    </w:p>
    <w:p>
      <w:pPr>
        <w:ind w:firstLine="480"/>
        <w:spacing w:line="360" w:lineRule="auto"/>
        <w:rPr>
          <w:rFonts w:hint="eastAsia" w:ascii="宋体" w:hAnsi="宋体" w:eastAsia="宋体" w:cs="宋体"/>
          <w:strike/>
          <w:color w:val="000000" w:themeColor="text1"/>
          <w:sz w:val="24"/>
          <w:highlight w:val="none"/>
        </w:rPr>
      </w:pPr>
      <w:r>
        <w:rPr>
          <w:rFonts w:hint="eastAsia" w:ascii="宋体" w:hAnsi="宋体" w:eastAsia="宋体" w:cs="宋体"/>
          <w:color w:val="000000" w:themeColor="text1"/>
          <w:sz w:val="24"/>
          <w:highlight w:val="none"/>
        </w:rPr>
        <w:t xml:space="preserve">17.4中标人须在中标公告结束后，领取中标通知书前向采购人免费提供叁份（一正二副）上传至苏采云系统的纸质投标文件（下简称纸质投标文件）纸质投标文件（正、副本）均应加盖中标单位公章，且装订成册。</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18、投标文件的解密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18.1供应商应当按照《操作手册》规定，在“苏采云”系统规定的时间内对投标文件进行解密。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18.2供应商应充分考虑网络环境、网络带宽等因素可能对投标产生的影响，如因供应商自身原因造成的电子投标文件解密不成功的，做无效投标处理。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19、投标文件的修改和撤回。</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19.1供应商</w:t>
      </w:r>
      <w:r>
        <w:rPr>
          <w:rFonts w:hint="eastAsia" w:ascii="宋体" w:hAnsi="宋体" w:eastAsia="宋体" w:cs="宋体"/>
          <w:color w:val="000000" w:themeColor="text1"/>
          <w:sz w:val="24"/>
          <w:highlight w:val="none"/>
          <w:lang w:val="zh-CN"/>
        </w:rPr>
        <w:t xml:space="preserve">可在投标截止时间前撤回其电子投标文件，具体操作方法见《操作手册》。供应商撤回电子投标文件，则认为其不再参与本项目投标活动。</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19.2</w:t>
      </w:r>
      <w:r>
        <w:rPr>
          <w:rFonts w:hint="eastAsia" w:ascii="宋体" w:hAnsi="宋体" w:eastAsia="宋体" w:cs="宋体"/>
          <w:color w:val="000000" w:themeColor="text1"/>
          <w:sz w:val="24"/>
          <w:highlight w:val="none"/>
          <w:lang w:val="zh-CN"/>
        </w:rPr>
        <w:t xml:space="preserve">供应商可在投标截止时间前对其电子投标文件进行修改，具体操作方法见《操作手册》。</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19.3投标文件截止时间之后，</w:t>
      </w:r>
      <w:r>
        <w:rPr>
          <w:rFonts w:hint="eastAsia" w:ascii="宋体" w:hAnsi="宋体" w:eastAsia="宋体" w:cs="宋体"/>
          <w:color w:val="000000" w:themeColor="text1"/>
          <w:sz w:val="24"/>
          <w:highlight w:val="none"/>
          <w:lang w:val="zh-CN"/>
        </w:rPr>
        <w:t xml:space="preserve">供应商不得对其电子投标文件作任何修改。</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19</w:t>
      </w:r>
      <w:r>
        <w:rPr>
          <w:rFonts w:hint="eastAsia" w:ascii="宋体" w:hAnsi="宋体" w:eastAsia="宋体" w:cs="宋体"/>
          <w:color w:val="000000" w:themeColor="text1"/>
          <w:sz w:val="24"/>
          <w:highlight w:val="none"/>
          <w:lang w:val="zh-CN"/>
        </w:rPr>
        <w:t xml:space="preserve">.</w:t>
      </w:r>
      <w:r>
        <w:rPr>
          <w:rFonts w:hint="eastAsia" w:ascii="宋体" w:hAnsi="宋体" w:eastAsia="宋体" w:cs="宋体"/>
          <w:color w:val="000000" w:themeColor="text1"/>
          <w:sz w:val="24"/>
          <w:highlight w:val="none"/>
        </w:rPr>
        <w:t xml:space="preserve">4</w:t>
      </w:r>
      <w:r>
        <w:rPr>
          <w:rFonts w:hint="eastAsia" w:ascii="宋体" w:hAnsi="宋体" w:eastAsia="宋体" w:cs="宋体"/>
          <w:color w:val="000000" w:themeColor="text1"/>
          <w:sz w:val="24"/>
          <w:highlight w:val="none"/>
          <w:lang w:val="zh-CN"/>
        </w:rPr>
        <w:t xml:space="preserve">在投标截止时间至招标文件中规定的投标有效期满之间的这段时间内，供应商不得撤回其投标。</w:t>
      </w:r>
      <w:r>
        <w:rPr>
          <w:color w:val="000000" w:themeColor="text1"/>
        </w:rPr>
      </w:r>
      <w:r/>
    </w:p>
    <w:p>
      <w:pPr>
        <w:numPr>
          <w:ilvl w:val="0"/>
          <w:numId w:val="2"/>
        </w:numPr>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开标、评标与确定中标供应商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20、开标</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20.1代理机构在招标公告中规定的时间和地点组织公开开标。供应商按照《操作手册》规定参加开标活动，并在“苏采云”系统规定的时间内对投标文件进行解密。“苏采云”系统公布各供应商名称和投标价格。</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20.2供应商在开标过程中涉及到的投标文件解密、开标结果确认等工作，应按照《操作手册》规定执行。</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20.3供应商不足3家的，不得开标。</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20.4供应商如果对开标过程和开标结果有疑义，应当根据《操作手册》规定提出，“苏采云”系统中《开标记录表》公布后5分钟内未提出的，视同认可开标结果。</w:t>
      </w:r>
      <w:r>
        <w:rPr>
          <w:color w:val="000000" w:themeColor="text1"/>
        </w:rPr>
      </w:r>
      <w:r/>
    </w:p>
    <w:p>
      <w:pPr>
        <w:ind w:firstLine="480"/>
        <w:spacing w:line="360" w:lineRule="auto"/>
        <w:tabs>
          <w:tab w:val="left" w:pos="92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20.5公开开标数额标准以上的采购项目，递交投标文件截止后供应商不足3家或者通过资格审查</w:t>
      </w:r>
      <w:bookmarkStart w:id="1" w:name="page15"/>
      <w:r>
        <w:rPr>
          <w:color w:val="000000" w:themeColor="text1"/>
        </w:rPr>
      </w:r>
      <w:bookmarkEnd w:id="1"/>
      <w:r>
        <w:rPr>
          <w:rFonts w:hint="eastAsia" w:ascii="宋体" w:hAnsi="宋体" w:eastAsia="宋体" w:cs="宋体"/>
          <w:color w:val="000000" w:themeColor="text1"/>
          <w:sz w:val="24"/>
          <w:highlight w:val="none"/>
        </w:rPr>
        <w:t xml:space="preserve">或符合性审查的供应商不足3家的，除采购任务取消情形外，按照以下方式处理：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（1）招标文件存在不合理条款或者开标程序不符合规定的，采购人、采购代理机构改正后依法重新开标；</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招标文件没有不合理条款、开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21、评标</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21.1评标组织</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21.1.1评标工作由采购代理机构负责组织，具体评标事务由依法组建的评标委员会负责，并独立履行下列职责：</w:t>
      </w:r>
      <w:r>
        <w:rPr>
          <w:color w:val="000000" w:themeColor="text1"/>
        </w:rPr>
      </w:r>
      <w:r/>
    </w:p>
    <w:p>
      <w:pPr>
        <w:numPr>
          <w:ilvl w:val="0"/>
          <w:numId w:val="5"/>
        </w:num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审查投标文件是否符合招标文件要求，并作出评价；</w:t>
      </w:r>
      <w:r>
        <w:rPr>
          <w:color w:val="000000" w:themeColor="text1"/>
        </w:rPr>
      </w:r>
      <w:r/>
    </w:p>
    <w:p>
      <w:pPr>
        <w:numPr>
          <w:ilvl w:val="0"/>
          <w:numId w:val="5"/>
        </w:num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要求供应商对投标文件有关事项作出解释或者澄清；</w:t>
      </w:r>
      <w:r>
        <w:rPr>
          <w:color w:val="000000" w:themeColor="text1"/>
        </w:rPr>
      </w:r>
      <w:r/>
    </w:p>
    <w:p>
      <w:pPr>
        <w:numPr>
          <w:ilvl w:val="0"/>
          <w:numId w:val="5"/>
        </w:num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推荐中标候选供应商名单，或者按照招标文件规定直接确定供应商；</w:t>
      </w:r>
      <w:r>
        <w:rPr>
          <w:color w:val="000000" w:themeColor="text1"/>
        </w:rPr>
      </w:r>
      <w:r/>
    </w:p>
    <w:p>
      <w:pPr>
        <w:numPr>
          <w:ilvl w:val="0"/>
          <w:numId w:val="5"/>
        </w:num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向财政部门报告非法干预评审工作的行为。</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21.1.2评标委员会由采购人代表和有关技术、经济等方面的专家组成，独立开展评审工作。</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21.2评审程序</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21.2.1投标文件的资格性检查。公开招标采购项目开标结束后，采购人或者采购代理机构应当依法对供应商的资格进行审查，并将审查的结论向评委会进行反馈。合格供应商不足3家的，不得评标。</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21.2.2投标文件的符合性检查。评标委员会对通过资格性检查的供应商的投标文件进行符合性审查，以确定其是否满足招标文件的实质性要求。投标文件有下列情况之一的，在符合性检查时按照无效投标处理：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（1）供应商在“苏采云”系统规定的时间内未成功解密电子投标文件的；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（2）供应商未按照招标文件要求上传电子投标文件的；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（3）同一供应商提交两个（含两个）以上不同的投标报价的；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（4）供应商未按照招标文件要求加盖电子公章的；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（5）不具备招标文件中规定资格要求的；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（6）报价超过招标文件中规定的预算金额或者最高限价的；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（7）投标文件含有采购人不能接受的附加条件的；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（8）投标文件内容不全或不符合招标文件中规定的其他实质性要求的；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（9）现行法律、法规、规章和招标文件规定的其他无效情形。</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21.2.2.1实质性要求是指本招标文件中用带星号（“★”）、“必须”或“应（应当）”等其他文字说明的商务和技术要求。</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21.2.2.2有下列情形之一的予以废标，同时将废标理由通知所有供应商：</w:t>
      </w:r>
      <w:r>
        <w:rPr>
          <w:color w:val="000000" w:themeColor="text1"/>
        </w:rPr>
      </w:r>
      <w:r/>
    </w:p>
    <w:p>
      <w:pPr>
        <w:numPr>
          <w:ilvl w:val="0"/>
          <w:numId w:val="6"/>
        </w:num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符合专业条件的供应商或者对招标文件作实质性响应的供应商不足三家的；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（2）出现影响采购公正的违法、违规行为的；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（3）供应商的报价均超过了采购预算，采购人不能支付的；</w:t>
      </w:r>
      <w:r>
        <w:rPr>
          <w:color w:val="000000" w:themeColor="text1"/>
        </w:rPr>
      </w:r>
      <w:r/>
    </w:p>
    <w:p>
      <w:pPr>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rPr>
        <w:t xml:space="preserve">（4）因苏采云系统故障造成开标不成功的；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（5）供应商以明显低于其他通过符合性审查供应商的报价，有可能影响产品质量或者不能诚信履约的，且不能证明其报价合理性的。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（6）因重大变故，采购任务取消的；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21.2.2.3在评标期间，出现符合专业条件的供应商或者对招标文件作出实质性响应的供应商不足三家情形的，比照20.5款执行。</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21.2.3澄清有关问题。对投标文件中含义不明确、同类问题表述不一致或者明显文字和计算错误的内容，评标委员会可以要求供应商作出必要的澄清、说明或者补正。</w:t>
      </w:r>
      <w:r>
        <w:rPr>
          <w:color w:val="000000" w:themeColor="text1"/>
        </w:rPr>
      </w:r>
      <w:r/>
    </w:p>
    <w:p>
      <w:pPr>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供应商的澄清、说明或者补正不得超出投标文件的范围或者改变投标文件的实质性内容。评委会并非对每个供应商都做澄清要求。</w:t>
      </w:r>
      <w:r>
        <w:rPr>
          <w:color w:val="000000" w:themeColor="text1"/>
        </w:rPr>
      </w:r>
      <w:r/>
    </w:p>
    <w:p>
      <w:pPr>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21.2.3.1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rPr>
          <w:color w:val="000000" w:themeColor="text1"/>
        </w:rPr>
      </w:r>
      <w:r/>
    </w:p>
    <w:p>
      <w:pPr>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21.2.3.2接到评委会澄清、说明和补正要求的，供应商如未按规定作出澄清、说明和补正，其风险由供应商自行承担。</w:t>
      </w:r>
      <w:r>
        <w:rPr>
          <w:color w:val="000000" w:themeColor="text1"/>
        </w:rPr>
      </w:r>
      <w:r/>
    </w:p>
    <w:p>
      <w:pPr>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21.2.3.3投标文件报价出现前后不一致的，除招标文件另有规定外，按照下列规定修正：</w:t>
      </w:r>
      <w:r>
        <w:rPr>
          <w:color w:val="000000" w:themeColor="text1"/>
        </w:rPr>
      </w:r>
      <w:r/>
    </w:p>
    <w:p>
      <w:pPr>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（1）投标文件中开标一览表（报价表）内容与投标文件中相应内容不一致的，以开标一览表（报价表）为准；</w:t>
      </w:r>
      <w:r>
        <w:rPr>
          <w:color w:val="000000" w:themeColor="text1"/>
        </w:rPr>
      </w:r>
      <w:r/>
    </w:p>
    <w:p>
      <w:pPr>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（2）大写金额和小写金额不一致的，以大写金额为准；</w:t>
      </w:r>
      <w:r>
        <w:rPr>
          <w:color w:val="000000" w:themeColor="text1"/>
        </w:rPr>
      </w:r>
      <w:r/>
    </w:p>
    <w:p>
      <w:pPr>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（3）单价金额小数点或者百分比有明显错位的，以开标一览表的总价为准，并修改单价；</w:t>
      </w:r>
      <w:r>
        <w:rPr>
          <w:color w:val="000000" w:themeColor="text1"/>
        </w:rPr>
      </w:r>
      <w:r/>
    </w:p>
    <w:p>
      <w:pPr>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（4）总价金额与按单价汇总金额不一致的，以单价金额计算结果为准。</w:t>
      </w:r>
      <w:r>
        <w:rPr>
          <w:color w:val="000000" w:themeColor="text1"/>
        </w:rPr>
      </w:r>
      <w:r/>
    </w:p>
    <w:p>
      <w:pPr>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rPr>
          <w:color w:val="000000" w:themeColor="text1"/>
        </w:rPr>
      </w:r>
      <w:r/>
    </w:p>
    <w:p>
      <w:pPr>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21.2.3.4供应商在开、评标全过程中应保持通讯畅通，及时登录苏采云系统查阅、答复相关信息，并安排专人与代理机构及评委会联系。</w:t>
      </w:r>
      <w:r>
        <w:rPr>
          <w:color w:val="000000" w:themeColor="text1"/>
        </w:rPr>
      </w:r>
      <w:r/>
    </w:p>
    <w:p>
      <w:pPr>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24.2.3.5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21.2.4比较与评价。按照招标文件中规定的评审方法和标准，对资格性检查和符合性检查合格的投标文件进行商务和技术评估，综合比较与评价。</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21.3评标方法和标准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21.3.1采用综合评分法。即在最大限度地满足招标文件实质性要求前提下，按照招标文件中规定的各项因素进行综合评审后，以评审总得分最高的供应商作为中标候选供应商或者中标供应商的评标方法。</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21.3.2评审因素，包括价格、技术、商务等。</w:t>
      </w:r>
      <w:r>
        <w:rPr>
          <w:color w:val="000000" w:themeColor="text1"/>
        </w:rPr>
      </w:r>
      <w:r/>
    </w:p>
    <w:p>
      <w:pPr>
        <w:ind w:firstLine="480"/>
        <w:spacing w:line="360" w:lineRule="auto"/>
        <w:rPr>
          <w:rFonts w:hint="eastAsia" w:ascii="新宋体" w:hAnsi="新宋体" w:cs="新宋体"/>
          <w:color w:val="000000" w:themeColor="text1"/>
          <w:sz w:val="24"/>
          <w:highlight w:val="none"/>
        </w:rPr>
      </w:pPr>
      <w:r>
        <w:rPr>
          <w:rFonts w:hint="eastAsia" w:ascii="新宋体" w:hAnsi="新宋体" w:eastAsia="新宋体" w:cs="新宋体"/>
          <w:color w:val="000000" w:themeColor="text1"/>
          <w:sz w:val="24"/>
          <w:highlight w:val="none"/>
        </w:rPr>
        <w:t xml:space="preserve">21.3.3评分标准详见文件第三章。</w:t>
      </w:r>
      <w:r>
        <w:rPr>
          <w:color w:val="000000" w:themeColor="text1"/>
        </w:rPr>
      </w:r>
      <w:r/>
    </w:p>
    <w:p>
      <w:pPr>
        <w:ind w:left="118" w:firstLine="420"/>
        <w:spacing w:line="360" w:lineRule="auto"/>
        <w:rPr>
          <w:rFonts w:hint="eastAsia" w:ascii="新宋体" w:hAnsi="新宋体" w:cs="新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宋体" w:cs="新宋体"/>
          <w:color w:val="000000" w:themeColor="text1"/>
          <w:sz w:val="24"/>
          <w:highlight w:val="none"/>
        </w:rPr>
        <w:t xml:space="preserve">21.4</w:t>
      </w:r>
      <w:r>
        <w:rPr>
          <w:rFonts w:ascii="新宋体" w:hAnsi="新宋体" w:eastAsia="新宋体" w:cs="新宋体"/>
          <w:color w:val="000000" w:themeColor="text1"/>
          <w:sz w:val="24"/>
          <w:highlight w:val="none"/>
        </w:rPr>
        <w:t xml:space="preserve">评审过程中出现下列情形之一的，评审委员会应当启动异常低价投标(响应)审查程序:</w:t>
      </w:r>
      <w:r>
        <w:rPr>
          <w:color w:val="000000" w:themeColor="text1"/>
        </w:rPr>
      </w:r>
      <w:r/>
    </w:p>
    <w:p>
      <w:pPr>
        <w:ind w:firstLine="480"/>
        <w:spacing w:line="360" w:lineRule="auto"/>
        <w:rPr>
          <w:rFonts w:hint="eastAsia" w:ascii="新宋体" w:hAnsi="新宋体" w:eastAsia="新宋体" w:cs="新宋体"/>
          <w:color w:val="000000" w:themeColor="text1"/>
          <w:sz w:val="24"/>
          <w:highlight w:val="none"/>
        </w:rPr>
      </w:pPr>
      <w:r>
        <w:rPr>
          <w:rFonts w:hint="eastAsia" w:ascii="新宋体" w:hAnsi="新宋体" w:eastAsia="新宋体" w:cs="新宋体"/>
          <w:color w:val="000000" w:themeColor="text1"/>
          <w:sz w:val="24"/>
          <w:highlight w:val="none"/>
        </w:rPr>
        <w:t xml:space="preserve">①投标报价低于全部通过符合性审查供应商投标报价平均值65%的，即投标报价&lt;全部通过符合性审查供应商投标报价平均值×65%；</w:t>
      </w:r>
      <w:r>
        <w:rPr>
          <w:color w:val="000000" w:themeColor="text1"/>
        </w:rPr>
      </w:r>
      <w:r/>
    </w:p>
    <w:p>
      <w:pPr>
        <w:ind w:firstLine="480"/>
        <w:spacing w:line="360" w:lineRule="auto"/>
        <w:rPr>
          <w:rFonts w:hint="eastAsia" w:ascii="新宋体" w:hAnsi="新宋体" w:eastAsia="新宋体" w:cs="新宋体"/>
          <w:color w:val="000000" w:themeColor="text1"/>
          <w:sz w:val="24"/>
          <w:highlight w:val="none"/>
        </w:rPr>
      </w:pPr>
      <w:r>
        <w:rPr>
          <w:rFonts w:hint="eastAsia" w:ascii="新宋体" w:hAnsi="新宋体" w:eastAsia="新宋体" w:cs="新宋体"/>
          <w:color w:val="000000" w:themeColor="text1"/>
          <w:sz w:val="24"/>
          <w:highlight w:val="none"/>
        </w:rPr>
        <w:t xml:space="preserve">②投标报价低于通过符合性审查的次低报价供应商投标报价65%的，即投标报价&lt;通过符合性审查的次低报价供应商投标报价×65%；</w:t>
      </w:r>
      <w:r>
        <w:rPr>
          <w:color w:val="000000" w:themeColor="text1"/>
        </w:rPr>
      </w:r>
      <w:r/>
    </w:p>
    <w:p>
      <w:pPr>
        <w:ind w:firstLine="480"/>
        <w:spacing w:line="360" w:lineRule="auto"/>
        <w:rPr>
          <w:rFonts w:hint="eastAsia" w:ascii="新宋体" w:hAnsi="新宋体" w:eastAsia="新宋体" w:cs="新宋体"/>
          <w:color w:val="000000" w:themeColor="text1"/>
          <w:sz w:val="24"/>
          <w:highlight w:val="none"/>
        </w:rPr>
      </w:pPr>
      <w:r>
        <w:rPr>
          <w:rFonts w:hint="eastAsia" w:ascii="新宋体" w:hAnsi="新宋体" w:eastAsia="新宋体" w:cs="新宋体"/>
          <w:color w:val="000000" w:themeColor="text1"/>
          <w:sz w:val="24"/>
          <w:highlight w:val="none"/>
        </w:rPr>
        <w:t xml:space="preserve">③投标报价低于采购项目最高限价65%的，即投标报价&lt;采购项目最高限价×65%；</w:t>
      </w:r>
      <w:r>
        <w:rPr>
          <w:color w:val="000000" w:themeColor="text1"/>
        </w:rPr>
      </w:r>
      <w:r/>
    </w:p>
    <w:p>
      <w:pPr>
        <w:ind w:firstLine="480"/>
        <w:spacing w:line="360" w:lineRule="auto"/>
        <w:rPr>
          <w:rFonts w:hint="eastAsia" w:ascii="新宋体" w:hAnsi="新宋体" w:eastAsia="新宋体" w:cs="新宋体"/>
          <w:color w:val="000000" w:themeColor="text1"/>
          <w:sz w:val="24"/>
          <w:highlight w:val="none"/>
        </w:rPr>
      </w:pPr>
      <w:r>
        <w:rPr>
          <w:rFonts w:hint="eastAsia" w:ascii="新宋体" w:hAnsi="新宋体" w:eastAsia="新宋体" w:cs="新宋体"/>
          <w:color w:val="000000" w:themeColor="text1"/>
          <w:sz w:val="24"/>
          <w:highlight w:val="none"/>
        </w:rPr>
        <w:t xml:space="preserve">④评审委员会基于专业判断，认为供应商报价过低，有可能影响产品质量或者不能诚信履约的其他情形。</w:t>
      </w:r>
      <w:r>
        <w:rPr>
          <w:color w:val="000000" w:themeColor="text1"/>
        </w:rPr>
      </w:r>
      <w:r/>
    </w:p>
    <w:p>
      <w:pPr>
        <w:ind w:firstLine="480"/>
        <w:spacing w:line="360" w:lineRule="auto"/>
        <w:rPr>
          <w:rFonts w:hint="eastAsia" w:ascii="新宋体" w:hAnsi="新宋体" w:cs="新宋体"/>
          <w:color w:val="000000" w:themeColor="text1"/>
          <w:sz w:val="24"/>
          <w:highlight w:val="none"/>
        </w:rPr>
      </w:pPr>
      <w:r>
        <w:rPr>
          <w:rFonts w:hint="eastAsia" w:ascii="新宋体" w:hAnsi="新宋体" w:eastAsia="新宋体" w:cs="新宋体"/>
          <w:color w:val="000000" w:themeColor="text1"/>
          <w:sz w:val="24"/>
          <w:highlight w:val="none"/>
        </w:rPr>
        <w:t xml:space="preserve">评审委员会启动异常低价投标审查后，属于前述第①项至第④项情形的，评审委员会通过苏采云系统要求供应商在30分钟内对投标价格作出解释，提供项目具体成本测算等与报价合理性相关的书面说明及必要的证明材料，包括但不限于原材料成本、人工成本、制造费用等证明其报价合理性。投标供应商不能提供书面说明、证明材料，或者提供的书面说明、证明材料不能证明其报价合理性的，评审委员会应当将其作为无效投标处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22、确定中标供应商</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22.1评审结果按评审后得分由高到低顺序排列</w:t>
      </w:r>
      <w:bookmarkStart w:id="2" w:name="_Hlk179291922"/>
      <w:r>
        <w:rPr>
          <w:rFonts w:hint="eastAsia" w:ascii="宋体" w:hAnsi="宋体" w:eastAsia="宋体" w:cs="宋体"/>
          <w:color w:val="000000" w:themeColor="text1"/>
          <w:sz w:val="24"/>
          <w:highlight w:val="none"/>
        </w:rPr>
        <w:t xml:space="preserve">确认中标供应商</w:t>
      </w:r>
      <w:bookmarkEnd w:id="2"/>
      <w:r>
        <w:rPr>
          <w:rFonts w:hint="eastAsia" w:ascii="宋体" w:hAnsi="宋体" w:eastAsia="宋体" w:cs="宋体"/>
          <w:color w:val="000000" w:themeColor="text1"/>
          <w:sz w:val="24"/>
          <w:highlight w:val="none"/>
        </w:rPr>
        <w:t xml:space="preserve">。得分相同的，按投标报价由低到高顺序排列。得分且投标报价相同的按技术评分得分自高到低顺序排列。</w:t>
      </w:r>
      <w:bookmarkStart w:id="3" w:name="_Hlk179291929"/>
      <w:r>
        <w:rPr>
          <w:rFonts w:hint="eastAsia" w:ascii="宋体" w:hAnsi="宋体" w:eastAsia="宋体" w:cs="宋体"/>
          <w:color w:val="000000" w:themeColor="text1"/>
          <w:sz w:val="24"/>
          <w:highlight w:val="none"/>
        </w:rPr>
        <w:t xml:space="preserve">投标文件满足招标文件全部实质性要求，</w:t>
      </w:r>
      <w:r>
        <w:rPr>
          <w:rFonts w:hint="eastAsia" w:ascii="宋体" w:hAnsi="宋体" w:cs="宋体"/>
          <w:color w:val="000000" w:themeColor="text1"/>
          <w:sz w:val="24"/>
          <w:highlight w:val="none"/>
        </w:rPr>
        <w:t xml:space="preserve">且按照评审因素的量化指标评审得分最高的供应商为中标候选人。</w:t>
      </w:r>
      <w:bookmarkEnd w:id="3"/>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22.2中标供应商确定后，将在财政部门指定的政府采购信息发布媒体上公告，中标供应商向采购代理机构支付招标费用后到采购代理机构领取中标通知书。</w:t>
      </w:r>
      <w:r>
        <w:rPr>
          <w:color w:val="000000" w:themeColor="text1"/>
        </w:rPr>
      </w:r>
      <w:r/>
    </w:p>
    <w:p>
      <w:pPr>
        <w:ind w:firstLine="42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本项目的代理服务费用由中标人承担，代理服务收费参照《江苏省招标代理服务收费的指导意见》苏招协[2022]002号文标准的80%计取。</w:t>
      </w:r>
      <w:r>
        <w:rPr>
          <w:rFonts w:hint="eastAsia" w:ascii="宋体" w:hAnsi="宋体" w:eastAsia="宋体" w:cs="宋体"/>
          <w:bCs/>
          <w:color w:val="000000" w:themeColor="text1"/>
          <w:sz w:val="24"/>
          <w:highlight w:val="none"/>
        </w:rPr>
        <w:t xml:space="preserve">请各投标供应商在投标报价时，将上述费用综合考虑计入投标报价中，采购人后期不再对此费用进行单独列支与支付。</w:t>
      </w:r>
      <w:r>
        <w:rPr>
          <w:color w:val="000000" w:themeColor="text1"/>
        </w:rPr>
      </w:r>
      <w:r/>
    </w:p>
    <w:p>
      <w:pPr>
        <w:ind w:firstLine="480"/>
        <w:spacing w:line="360" w:lineRule="auto"/>
        <w:tabs>
          <w:tab w:val="left" w:pos="94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22.3中标人确定后，在省级以上财政部门指定的媒体上公告中标结果，中标公告期为 1 个工作日。</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22.4中标通知书对采购人和中标供应商具有同等法律效力。</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color w:val="000000" w:themeColor="text1"/>
        </w:rPr>
      </w:r>
      <w:bookmarkStart w:id="4" w:name="_Hlk99749347"/>
      <w:r>
        <w:rPr>
          <w:rFonts w:hint="eastAsia" w:ascii="宋体" w:hAnsi="宋体" w:eastAsia="宋体" w:cs="宋体"/>
          <w:color w:val="000000" w:themeColor="text1"/>
          <w:sz w:val="24"/>
          <w:highlight w:val="none"/>
        </w:rPr>
        <w:t xml:space="preserve">22.5中标通知书发出后，中标供应商除发生法律规定的不能预见、不能避免并不能克服的客观情况外，不得放弃或拒绝签订合同。放弃或拒绝签订合同的，中标供应商不得参加对该项目重新开展的采购活动，由财政部门按照《政府采购法》第七十七条第一款予以罚款，列入不良行为记录名单，在一至三年内禁止参加政府采购活动，并予以通报。 </w:t>
      </w:r>
      <w:bookmarkEnd w:id="4"/>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22.6采购代理机构和评标委员会对未中标的供应商不作未中标原因的解释。</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22.7所有投标文件都将作为档案保存，不论中标与否，采购代理机构均不退回。</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23、编写评审报告</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23.1评标委员会根据全体评审成员签字的原始评审记录和评审结果编写评审报告。</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24、评审过程的保密性</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24.1采购代理机构将采取必要措施，保证评审在严格保密的情况下进行。</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24.2任何单位和个人不得非法干预、影响评审过程和结果。</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24.3凡是与审查、澄清、评价和比较投标的有关资料等，均不向供应商及与评审无关的其他人员透露。</w:t>
      </w:r>
      <w:r>
        <w:rPr>
          <w:color w:val="000000" w:themeColor="text1"/>
        </w:rPr>
      </w:r>
      <w:r/>
    </w:p>
    <w:p>
      <w:pPr>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五、签订合同</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25.1中标供应商应当自中标通知书发出之日起三十日内，按照招标文件和中标供应商投标文件的约定与采购人签订采购合同，所签订的合同不得对招标文件和中标供应商投标文件作实质性修改。</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25.2采购人不得向中标供应商提出任何不合理的要求作为签订合同的条件，不得与中标供应商私下订立背离合同实质性内容的协议。</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25.3中标供应商拒绝与采购人签订合同，或因不可抗力或者自身原因不能履行政府采购合同的，采购人可以按照评审报告推荐的中标候选人名单排序，确定下一候选人为中标供应商，也可以重新开展政府采购活动。</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25.4采购合同履行中，采购人需追加与合同标的相同货物或服务的，在不改变合同其他条款的前提下，可以与供应商协商签订补充合同，但所有补充合同的采购金额不得超过原合同采购金额的百分之十。</w:t>
      </w:r>
      <w:r>
        <w:rPr>
          <w:color w:val="000000" w:themeColor="text1"/>
        </w:rPr>
      </w:r>
      <w:r/>
    </w:p>
    <w:p>
      <w:pPr>
        <w:ind w:left="42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六、询问、质疑、投诉和诚实信用</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26、询问</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26.1供应商对投标活动事项有疑问的，可以向采购代理机构或采购人提出询问，采购代理机构或采购人将在三个工作日内作出答复，但答复的内容不涉及商业秘密。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27、质疑</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27.1供应商认为采购文件、采购过程和中标结果使自己的合法权益受到损害的，可以在知道或者应当知道其权益受到损害之日起七个工作日内，将质疑文件原件送达采购代理机构。</w:t>
      </w:r>
      <w:r>
        <w:rPr>
          <w:color w:val="000000" w:themeColor="text1"/>
        </w:rPr>
      </w:r>
      <w:r/>
    </w:p>
    <w:p>
      <w:pPr>
        <w:ind w:firstLine="420"/>
        <w:spacing w:line="360" w:lineRule="auto"/>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color w:val="000000" w:themeColor="text1"/>
        </w:rPr>
      </w:r>
      <w:r/>
    </w:p>
    <w:p>
      <w:pPr>
        <w:ind w:firstLine="420"/>
        <w:spacing w:line="360" w:lineRule="auto"/>
        <w:shd w:val="clear" w:color="auto" w:fill="ffffff"/>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供应商必须在法定质疑期内一次性提出针对同一采购程序环节的质疑。</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采购信息公告期限自财政部门指定媒体发布公告之日起算，期限5个工作日。采购结果公告期限自财政部门指定媒体发布公告之日起算，期限1个工作日。</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27.2质疑文件应包括以下主要内容，并按照“谁主张、谁举证”的原则，附上相关证明材料。否则，采购代理机构或采购人不予受理：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（1）质疑项目名称、项目编号、包号、招标公告发布时间、开标时间；</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（2）提起质疑的日期、具体的质疑事项、质疑事项相关的请求及事实根据（具体条款）；</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投标产品提出质疑，并提出修改理由和修改建议）；</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（4）质疑供应商名称、地址、邮编、联系人、联系电话（包括座机、手机、传真号码等）；</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（5）质疑文件应当署名，质疑人为自然人的，应当由本人签字并附有效身份证明；质疑人为法人或其他组织的，应当由法定代表人签字并加盖单位公章。</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（6）供应商委托代理质疑的，应当向被质疑人提交授权委托书，并载明委托代理的具体权限和事项。</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27.3质疑供应商是指直接参加本项目采购活动的供应商；对招标文件提出质疑的，应自供应商获得招标文件之日起计算，且应当在递交投标文件截止之日前提出；对采购过程提出质疑的，自采购程序环节结束之日起计算；对中标结果提出质疑的，自中标结果公告之日起计算。</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27.4采购代理机构在收到供应商的书面质疑后将及时组织调查核实，在七个工作日内作出答复，并以书面或在网站公告形式通知质疑供应商和其他有关供应商，答复的内容不涉及商业秘密。采购代理机构遵循“谁过错谁负担”的原则，有过错的一方承担调查论证费用。</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28、投诉</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28.1质疑供应商对采购代理机构的答复不满意，或采购代理机构未在规定的时间内作出答复的，可以在答复期满后十五个工作日内向采购项目同级财政部门投诉。</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28.2供应商投诉应当提交投诉书和必要的证明材料。供应商投诉的事项不得超出已质疑事项的范围，但基于质疑答复内容提出的投诉事项除外。</w:t>
      </w:r>
      <w:r>
        <w:rPr>
          <w:color w:val="000000" w:themeColor="text1"/>
        </w:rPr>
      </w:r>
      <w:r/>
    </w:p>
    <w:p>
      <w:pPr>
        <w:ind w:firstLine="480"/>
        <w:spacing w:line="360" w:lineRule="auto"/>
        <w:tabs>
          <w:tab w:val="left" w:pos="94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28.3投诉人对政府采购监督管理部门的投诉处理决定不服或者政府采购监督管理部门逾期未作处理的，可以依法申请行政复议或者向人民法院提起行政诉讼。</w:t>
      </w:r>
      <w:r>
        <w:rPr>
          <w:color w:val="000000" w:themeColor="text1"/>
        </w:rPr>
      </w:r>
      <w:r/>
    </w:p>
    <w:p>
      <w:pPr>
        <w:ind w:left="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28.4投诉人有下列行为之一的，属于严重失信行为，由财政部门列入不良行为记录名单，禁止其一至三年内参加政府采购活动。</w:t>
      </w:r>
      <w:r>
        <w:rPr>
          <w:color w:val="000000" w:themeColor="text1"/>
        </w:rPr>
      </w:r>
      <w:r/>
    </w:p>
    <w:p>
      <w:pPr>
        <w:ind w:left="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（1）投诉人在全国范围12个月内三次以上投诉查无实据的；</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（2）采用捏造事实、提供虚假材料或者以非法手段取得证明材料等方式进行虚假、恶意投诉证件来源的合法性存在明显疑问，投诉人无法证明其取得方式合法的，视为以非法手段取得证明材料。</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29、诚实信用</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29.1供应商之间不得相互串通报价，不得妨碍其他供应商的公平竞争，不得损害采购人和其他供应商的合法权益。</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29.2供应商不得以向采购代理机构工作人员、评标委员会成员行贿或者采取其他不正当手段谋取中标。经查实供应商有此行为的，政府采购管理部门将供应商列入不良行为记录名单，按照《政府采购法》有关规定处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29.3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29.4供应商不得虚假承诺，否则，按照提供虚假材料谋取中标处理。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29.5供应商应自觉遵守开标、评审纪律，扰乱开标评审现场秩序的，属于失信行为，根据《江苏省政府采购供应商监督管理暂行办法》，失信行为将被记入供应商诚信档案。</w:t>
      </w:r>
      <w:r>
        <w:rPr>
          <w:color w:val="000000" w:themeColor="text1"/>
        </w:rPr>
      </w:r>
      <w:r/>
    </w:p>
    <w:p>
      <w:pPr>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br w:type="page" w:clear="all"/>
      </w:r>
      <w:r>
        <w:rPr>
          <w:color w:val="000000" w:themeColor="text1"/>
        </w:rPr>
      </w:r>
      <w:r/>
    </w:p>
    <w:p>
      <w:pPr>
        <w:jc w:val="center"/>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t xml:space="preserve">第三章 评标标准</w:t>
      </w:r>
      <w:r>
        <w:rPr>
          <w:color w:val="000000" w:themeColor="text1"/>
        </w:rPr>
      </w:r>
      <w:r/>
    </w:p>
    <w:p>
      <w:pPr>
        <w:ind w:firstLine="480"/>
        <w:rPr>
          <w:rFonts w:hint="eastAsia" w:ascii="宋体" w:hAnsi="宋体" w:eastAsia="宋体" w:cs="宋体"/>
          <w:color w:val="000000" w:themeColor="text1"/>
          <w:sz w:val="24"/>
          <w:highlight w:val="none"/>
        </w:rPr>
      </w:pPr>
      <w:r>
        <w:rPr>
          <w:color w:val="000000" w:themeColor="text1"/>
        </w:rPr>
      </w:r>
      <w:bookmarkStart w:id="5" w:name="_Hlk99749639"/>
      <w:r>
        <w:rPr>
          <w:rFonts w:hint="eastAsia" w:ascii="宋体" w:hAnsi="宋体" w:eastAsia="宋体" w:cs="宋体"/>
          <w:color w:val="000000" w:themeColor="text1"/>
          <w:sz w:val="24"/>
          <w:highlight w:val="none"/>
        </w:rPr>
        <w:t xml:space="preserve">本项目采用综合评分法，评分统计方法采用百分制（满分100分），将全部评委评分直接进行算术平均，小数点后保留2位。评审结果按评审后得分由高到低顺序排列，得分相同的，按投标报价由低到高顺序排列，得分且投标报价相同的，按技术评分得分自高到低顺序排列，由评标委员会确定中标候选人。</w:t>
      </w:r>
      <w:bookmarkEnd w:id="5"/>
      <w:r>
        <w:rPr>
          <w:color w:val="000000" w:themeColor="text1"/>
        </w:rPr>
      </w:r>
      <w:r/>
    </w:p>
    <w:tbl>
      <w:tblPr>
        <w:tblStyle w:val="712"/>
        <w:tblW w:w="107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1418"/>
        <w:gridCol w:w="8116"/>
        <w:gridCol w:w="672"/>
      </w:tblGrid>
      <w:tr>
        <w:trPr>
          <w:jc w:val="center"/>
          <w:trHeight w:val="355"/>
          <w:tblHeader/>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评分因素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16"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评分标准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分值</w:t>
            </w:r>
            <w:r>
              <w:rPr>
                <w:color w:val="000000" w:themeColor="text1"/>
              </w:rPr>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r>
            <w:r>
              <w:rPr>
                <w:color w:val="000000" w:themeColor="text1"/>
              </w:rPr>
            </w: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报价</w:t>
            </w:r>
            <w:r>
              <w:rPr>
                <w:color w:val="000000" w:themeColor="text1"/>
              </w:rPr>
            </w: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w:t>
            </w:r>
            <w:r>
              <w:rPr>
                <w:rFonts w:hint="eastAsia" w:ascii="宋体" w:hAnsi="宋体" w:eastAsia="宋体" w:cs="宋体"/>
                <w:color w:val="000000" w:themeColor="text1"/>
                <w:sz w:val="24"/>
                <w:highlight w:val="none"/>
              </w:rPr>
              <w:t xml:space="preserve">10</w:t>
            </w:r>
            <w:r>
              <w:rPr>
                <w:rFonts w:hint="eastAsia" w:ascii="宋体" w:hAnsi="宋体" w:eastAsia="宋体" w:cs="宋体"/>
                <w:color w:val="000000" w:themeColor="text1"/>
                <w:sz w:val="24"/>
                <w:highlight w:val="none"/>
                <w:lang w:val="zh-CN"/>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16" w:type="dxa"/>
            <w:vAlign w:val="center"/>
            <w:textDirection w:val="lrTb"/>
            <w:noWrap w:val="false"/>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1.1满足招标文件要求投标最低价为评标基准值，评标基准值为满分。各家供应商的价格分值按照下列公式计算：投标报价得分=(评标基准值/投标报价)×</w:t>
            </w:r>
            <w:r>
              <w:rPr>
                <w:rFonts w:hint="eastAsia" w:ascii="宋体" w:hAnsi="宋体" w:eastAsia="宋体" w:cs="宋体"/>
                <w:color w:val="000000" w:themeColor="text1"/>
                <w:sz w:val="24"/>
                <w:highlight w:val="none"/>
              </w:rPr>
              <w:t xml:space="preserve">10</w:t>
            </w:r>
            <w:r>
              <w:rPr>
                <w:rFonts w:hint="eastAsia" w:ascii="宋体" w:hAnsi="宋体" w:eastAsia="宋体" w:cs="宋体"/>
                <w:color w:val="000000" w:themeColor="text1"/>
                <w:sz w:val="24"/>
                <w:highlight w:val="none"/>
                <w:lang w:val="zh-CN"/>
              </w:rPr>
              <w:t xml:space="preserve">。（小数点后保留两位，第三位四舍五入）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w:t>
            </w:r>
            <w:r>
              <w:rPr>
                <w:color w:val="000000" w:themeColor="text1"/>
              </w:rPr>
            </w:r>
            <w:r/>
          </w:p>
        </w:tc>
      </w:tr>
      <w:tr>
        <w:trPr>
          <w:jc w:val="center"/>
          <w:trHeight w:val="90"/>
        </w:trPr>
        <w:tc>
          <w:tcPr>
            <w:tcBorders>
              <w:top w:val="single" w:color="000000" w:sz="4" w:space="0"/>
              <w:left w:val="single" w:color="000000" w:sz="4" w:space="0"/>
              <w:right w:val="single" w:color="000000" w:sz="4" w:space="0"/>
            </w:tcBorders>
            <w:tcW w:w="562" w:type="dxa"/>
            <w:vAlign w:val="center"/>
            <w:vMerge w:val="restart"/>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w:t>
            </w:r>
            <w:r>
              <w:rPr>
                <w:color w:val="000000" w:themeColor="text1"/>
              </w:rPr>
            </w:r>
            <w:r/>
          </w:p>
        </w:tc>
        <w:tc>
          <w:tcPr>
            <w:tcBorders>
              <w:left w:val="single" w:color="000000" w:sz="4" w:space="0"/>
              <w:bottom w:val="single" w:color="auto" w:sz="4" w:space="0"/>
              <w:right w:val="single" w:color="000000" w:sz="4" w:space="0"/>
            </w:tcBorders>
            <w:tcW w:w="141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业绩</w:t>
            </w:r>
            <w:r>
              <w:rPr>
                <w:color w:val="000000" w:themeColor="text1"/>
              </w:rPr>
            </w: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w:t>
            </w:r>
            <w:r>
              <w:rPr>
                <w:rFonts w:hint="eastAsia" w:ascii="宋体" w:hAnsi="宋体" w:eastAsia="宋体" w:cs="宋体"/>
                <w:color w:val="000000" w:themeColor="text1"/>
                <w:sz w:val="24"/>
                <w:highlight w:val="none"/>
              </w:rPr>
              <w:t xml:space="preserve">9</w:t>
            </w:r>
            <w:r>
              <w:rPr>
                <w:rFonts w:hint="eastAsia" w:ascii="宋体" w:hAnsi="宋体" w:eastAsia="宋体" w:cs="宋体"/>
                <w:color w:val="000000" w:themeColor="text1"/>
                <w:sz w:val="24"/>
                <w:highlight w:val="none"/>
                <w:lang w:val="zh-CN"/>
              </w:rPr>
              <w:t xml:space="preserve">分）</w:t>
            </w:r>
            <w:r>
              <w:rPr>
                <w:color w:val="000000" w:themeColor="text1"/>
              </w:rPr>
            </w:r>
            <w:r/>
          </w:p>
        </w:tc>
        <w:tc>
          <w:tcPr>
            <w:tcBorders>
              <w:top w:val="single" w:color="000000" w:sz="4" w:space="0"/>
              <w:left w:val="single" w:color="000000" w:sz="4" w:space="0"/>
              <w:bottom w:val="single" w:color="auto" w:sz="4" w:space="0"/>
              <w:right w:val="single" w:color="000000" w:sz="4" w:space="0"/>
            </w:tcBorders>
            <w:tcW w:w="8116" w:type="dxa"/>
            <w:vAlign w:val="center"/>
            <w:textDirection w:val="lrTb"/>
            <w:noWrap w:val="false"/>
          </w:tcPr>
          <w:p>
            <w:pPr>
              <w:jc w:val="left"/>
              <w:spacing w:line="276" w:lineRule="auto"/>
              <w:widowControl/>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2.1自2023年4月1日以来，承接的类似安全保障服务业绩，每提供一个业绩的得3分，最高可得9分。</w:t>
            </w:r>
            <w:r>
              <w:rPr>
                <w:color w:val="000000" w:themeColor="text1"/>
              </w:rPr>
            </w:r>
            <w:r/>
          </w:p>
          <w:p>
            <w:pPr>
              <w:jc w:val="left"/>
              <w:spacing w:line="276" w:lineRule="auto"/>
              <w:widowControl/>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注：提供合同复印件、结算发票（对应业绩合同任意一个月的结算发票），时间以合同签订时间为准。同一采购人的业绩不重复计分。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w:t>
            </w:r>
            <w:r>
              <w:rPr>
                <w:color w:val="000000" w:themeColor="text1"/>
              </w:rPr>
            </w:r>
            <w:r/>
          </w:p>
        </w:tc>
      </w:tr>
      <w:tr>
        <w:trPr>
          <w:jc w:val="center"/>
          <w:trHeight w:val="1216"/>
        </w:trPr>
        <w:tc>
          <w:tcPr>
            <w:tcBorders>
              <w:left w:val="single" w:color="000000" w:sz="4" w:space="0"/>
              <w:right w:val="single" w:color="000000" w:sz="4" w:space="0"/>
            </w:tcBorders>
            <w:tcW w:w="562"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满意度评价（6分）</w:t>
            </w:r>
            <w:r>
              <w:rPr>
                <w:color w:val="000000" w:themeColor="text1"/>
              </w:rPr>
            </w:r>
            <w:r/>
          </w:p>
        </w:tc>
        <w:tc>
          <w:tcPr>
            <w:tcBorders>
              <w:top w:val="single" w:color="auto" w:sz="4" w:space="0"/>
              <w:left w:val="single" w:color="000000" w:sz="4" w:space="0"/>
              <w:bottom w:val="single" w:color="000000" w:sz="4" w:space="0"/>
              <w:right w:val="single" w:color="000000" w:sz="4" w:space="0"/>
            </w:tcBorders>
            <w:tcW w:w="8116" w:type="dxa"/>
            <w:vAlign w:val="center"/>
            <w:textDirection w:val="lrTb"/>
            <w:noWrap w:val="false"/>
          </w:tcPr>
          <w:p>
            <w:pPr>
              <w:jc w:val="left"/>
              <w:spacing w:line="276" w:lineRule="auto"/>
              <w:widowControl/>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2.2满意度评价：供应商承接的类似服务项目业绩，获得业主单位的履约好评的，每提供一个得2分，最多得6分。</w:t>
            </w:r>
            <w:r>
              <w:rPr>
                <w:color w:val="000000" w:themeColor="text1"/>
              </w:rPr>
            </w:r>
            <w:r/>
          </w:p>
          <w:p>
            <w:pPr>
              <w:jc w:val="left"/>
              <w:spacing w:line="276" w:lineRule="auto"/>
              <w:widowControl/>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注意：须提供相关证明材料扫描件加盖电子公章，同一采购人的履约好评不重复计分。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w:t>
            </w:r>
            <w:r>
              <w:rPr>
                <w:color w:val="000000" w:themeColor="text1"/>
              </w:rPr>
            </w:r>
            <w:r/>
          </w:p>
        </w:tc>
      </w:tr>
      <w:tr>
        <w:trPr>
          <w:jc w:val="center"/>
          <w:trHeight w:val="1430"/>
        </w:trPr>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3</w:t>
            </w:r>
            <w:r>
              <w:rPr>
                <w:color w:val="000000" w:themeColor="text1"/>
              </w:rPr>
            </w:r>
            <w:r/>
          </w:p>
        </w:tc>
        <w:tc>
          <w:tcPr>
            <w:tcBorders>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项目组人员</w:t>
            </w:r>
            <w:r>
              <w:rPr>
                <w:rFonts w:hint="eastAsia" w:ascii="宋体" w:hAnsi="宋体" w:eastAsia="宋体" w:cs="宋体"/>
                <w:color w:val="000000" w:themeColor="text1"/>
                <w:sz w:val="24"/>
                <w:highlight w:val="none"/>
                <w:lang w:val="zh-CN"/>
              </w:rPr>
              <w:t xml:space="preserve">（</w:t>
            </w:r>
            <w:r>
              <w:rPr>
                <w:rFonts w:hint="eastAsia" w:ascii="宋体" w:hAnsi="宋体" w:eastAsia="宋体" w:cs="宋体"/>
                <w:color w:val="000000" w:themeColor="text1"/>
                <w:sz w:val="24"/>
                <w:highlight w:val="none"/>
              </w:rPr>
              <w:t xml:space="preserve">24</w:t>
            </w:r>
            <w:r>
              <w:rPr>
                <w:rFonts w:hint="eastAsia" w:ascii="宋体" w:hAnsi="宋体" w:eastAsia="宋体" w:cs="宋体"/>
                <w:color w:val="000000" w:themeColor="text1"/>
                <w:sz w:val="24"/>
                <w:highlight w:val="none"/>
                <w:lang w:val="zh-CN"/>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16" w:type="dxa"/>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3.1项目组人员</w:t>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（1）项目负责人:</w:t>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①年龄在40周岁及以下，具有本科及以上学历的得2分；具有高级职称或高级保安员证书的得3分；为退伍军人的得2分；本项最高得7分。（提供身份证、学历证书、退伍军人证等证明材料）；</w:t>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②具有3年（含）至5年（不含）安全保障工作经验的得1分，具有5年（含）至10年（不含）安全保障工作经验的得2分，具有10年及以上安全保障工作经验的得3分；本项最高得3分。提供社保或服务单位出具的证明材料，证明材料须体现项目负责人姓名和工作年限。</w:t>
            </w:r>
            <w:r>
              <w:rPr>
                <w:color w:val="000000" w:themeColor="text1"/>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2）拟派项目人员（除项目负责人外）每提供1个高级保安员（三级/高级工）证的得2分，最高得4分；拟派项目人员（除项目负责人外）每提供1个红十字会救护员证的得1分，最高得2分；拟派保安员（除项目负责人外）每提供1个应急救援员证书的得1分，最高得2分；提供上述人员证书复印件，本项最高得8分。</w:t>
            </w:r>
            <w:r>
              <w:rPr>
                <w:color w:val="000000" w:themeColor="text1"/>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（3）拟派项目人员（除项目负责人外）具有中级（四级）及以上等级消防设施操作员证书（原建（构）筑物消防员）的</w:t>
            </w:r>
            <w:r>
              <w:rPr>
                <w:rFonts w:hint="eastAsia" w:ascii="宋体" w:hAnsi="宋体" w:eastAsia="宋体" w:cs="宋体"/>
                <w:color w:val="000000" w:themeColor="text1"/>
                <w:sz w:val="24"/>
                <w:highlight w:val="none"/>
                <w:lang w:eastAsia="zh-CN" w:bidi="ar"/>
              </w:rPr>
              <w:t xml:space="preserve">，</w:t>
            </w:r>
            <w:r>
              <w:rPr>
                <w:rFonts w:hint="eastAsia" w:ascii="宋体" w:hAnsi="宋体" w:eastAsia="宋体" w:cs="宋体"/>
                <w:color w:val="000000" w:themeColor="text1"/>
                <w:sz w:val="24"/>
                <w:highlight w:val="none"/>
                <w:lang w:val="en-US" w:eastAsia="zh-CN" w:bidi="ar"/>
              </w:rPr>
              <w:t xml:space="preserve">每提供一个</w:t>
            </w:r>
            <w:r>
              <w:rPr>
                <w:rFonts w:hint="eastAsia" w:ascii="宋体" w:hAnsi="宋体" w:eastAsia="宋体" w:cs="宋体"/>
                <w:color w:val="000000" w:themeColor="text1"/>
                <w:sz w:val="24"/>
                <w:highlight w:val="none"/>
                <w:lang w:bidi="ar"/>
              </w:rPr>
              <w:t xml:space="preserve">得2分，最高得</w:t>
            </w:r>
            <w:r>
              <w:rPr>
                <w:rFonts w:hint="eastAsia" w:ascii="宋体" w:hAnsi="宋体" w:eastAsia="宋体" w:cs="宋体"/>
                <w:color w:val="000000" w:themeColor="text1"/>
                <w:sz w:val="24"/>
                <w:highlight w:val="none"/>
                <w:lang w:val="en-US" w:eastAsia="zh-CN" w:bidi="ar"/>
              </w:rPr>
              <w:t xml:space="preserve">6</w:t>
            </w:r>
            <w:r>
              <w:rPr>
                <w:rFonts w:hint="eastAsia" w:ascii="宋体" w:hAnsi="宋体" w:eastAsia="宋体" w:cs="宋体"/>
                <w:color w:val="000000" w:themeColor="text1"/>
                <w:sz w:val="24"/>
                <w:highlight w:val="none"/>
                <w:lang w:bidi="ar"/>
              </w:rPr>
              <w:t xml:space="preserve">分；</w:t>
            </w:r>
            <w:r>
              <w:rPr>
                <w:rFonts w:hint="eastAsia" w:ascii="宋体" w:hAnsi="宋体" w:eastAsia="宋体" w:cs="宋体"/>
                <w:color w:val="000000" w:themeColor="text1"/>
                <w:sz w:val="24"/>
                <w:highlight w:val="none"/>
              </w:rPr>
              <w:t xml:space="preserve">本项最高得6分。</w:t>
            </w:r>
            <w:r>
              <w:rPr>
                <w:color w:val="000000" w:themeColor="text1"/>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注：</w:t>
            </w:r>
            <w:r>
              <w:rPr>
                <w:rFonts w:hint="eastAsia" w:ascii="宋体" w:hAnsi="宋体" w:eastAsia="宋体" w:cs="宋体"/>
                <w:color w:val="000000" w:themeColor="text1"/>
                <w:sz w:val="24"/>
                <w:highlight w:val="none"/>
                <w:lang w:val="zh-CN"/>
              </w:rPr>
              <w:t xml:space="preserve">以上所有人员须提供有效期内的相关证书及供应商开标前近半年（至少</w:t>
            </w:r>
            <w:r>
              <w:rPr>
                <w:rFonts w:hint="eastAsia" w:ascii="宋体" w:hAnsi="宋体" w:eastAsia="宋体" w:cs="宋体"/>
                <w:color w:val="000000" w:themeColor="text1"/>
                <w:sz w:val="24"/>
                <w:highlight w:val="none"/>
              </w:rPr>
              <w:t xml:space="preserve">一</w:t>
            </w:r>
            <w:r>
              <w:rPr>
                <w:rFonts w:hint="eastAsia" w:ascii="宋体" w:hAnsi="宋体" w:eastAsia="宋体" w:cs="宋体"/>
                <w:color w:val="000000" w:themeColor="text1"/>
                <w:sz w:val="24"/>
                <w:highlight w:val="none"/>
                <w:lang w:val="zh-CN"/>
              </w:rPr>
              <w:t xml:space="preserve">个月）为其缴纳的由劳动和社会保障部门出具的养老保险缴纳凭证（须明确缴费月份、个人姓名、缴费单位，且加盖社保中心或社保中心参保缴费明电子专用章）若提供的证明材料不全或未提供社保证明材料的，则该项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w:t>
            </w:r>
            <w:r>
              <w:rPr>
                <w:color w:val="000000" w:themeColor="text1"/>
              </w:rPr>
            </w:r>
            <w:r/>
          </w:p>
        </w:tc>
      </w:tr>
      <w:tr>
        <w:trPr>
          <w:jc w:val="center"/>
          <w:trHeight w:val="317"/>
        </w:trPr>
        <w:tc>
          <w:tcPr>
            <w:tcBorders>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w:t>
            </w:r>
            <w:r>
              <w:rPr>
                <w:color w:val="000000" w:themeColor="text1"/>
              </w:rPr>
            </w:r>
            <w:r/>
          </w:p>
        </w:tc>
        <w:tc>
          <w:tcPr>
            <w:tcBorders>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仿宋"/>
                <w:color w:val="000000" w:themeColor="text1"/>
                <w:sz w:val="24"/>
                <w:highlight w:val="none"/>
              </w:rPr>
            </w:pPr>
            <w:r>
              <w:rPr>
                <w:rFonts w:hint="eastAsia" w:ascii="宋体" w:hAnsi="宋体" w:eastAsia="宋体" w:cs="仿宋"/>
                <w:color w:val="000000" w:themeColor="text1"/>
                <w:sz w:val="24"/>
                <w:highlight w:val="none"/>
              </w:rPr>
              <w:t xml:space="preserve">安全保障服务方案</w:t>
            </w:r>
            <w:r>
              <w:rPr>
                <w:color w:val="000000" w:themeColor="text1"/>
              </w:rPr>
            </w:r>
            <w:r/>
          </w:p>
          <w:p>
            <w:pPr>
              <w:jc w:val="center"/>
              <w:rPr>
                <w:rFonts w:hint="eastAsia" w:ascii="宋体" w:hAnsi="宋体" w:eastAsia="宋体" w:cs="仿宋"/>
                <w:color w:val="000000" w:themeColor="text1"/>
                <w:sz w:val="24"/>
                <w:highlight w:val="none"/>
              </w:rPr>
            </w:pPr>
            <w:r>
              <w:rPr>
                <w:rFonts w:hint="eastAsia" w:ascii="宋体" w:hAnsi="宋体" w:eastAsia="宋体" w:cs="仿宋"/>
                <w:color w:val="000000" w:themeColor="text1"/>
                <w:sz w:val="24"/>
                <w:highlight w:val="none"/>
              </w:rPr>
              <w:t xml:space="preserve">（11分）</w:t>
            </w:r>
            <w:r>
              <w:rPr>
                <w:color w:val="000000" w:themeColor="text1"/>
              </w:rPr>
            </w:r>
            <w:r/>
          </w:p>
        </w:tc>
        <w:tc>
          <w:tcPr>
            <w:tcBorders>
              <w:top w:val="single" w:color="auto" w:sz="4" w:space="0"/>
              <w:left w:val="single" w:color="auto" w:sz="4" w:space="0"/>
              <w:bottom w:val="single" w:color="auto" w:sz="4" w:space="0"/>
              <w:right w:val="single" w:color="auto" w:sz="4" w:space="0"/>
            </w:tcBorders>
            <w:tcW w:w="8116" w:type="dxa"/>
            <w:textDirection w:val="lrTb"/>
            <w:noWrap w:val="false"/>
          </w:tcPr>
          <w:p>
            <w:pPr>
              <w:jc w:val="left"/>
              <w:widowControl/>
              <w:rPr>
                <w:rFonts w:hint="eastAsia" w:ascii="宋体" w:hAnsi="宋体" w:eastAsia="宋体" w:cs="仿宋"/>
                <w:color w:val="000000" w:themeColor="text1"/>
                <w:sz w:val="24"/>
                <w:highlight w:val="none"/>
              </w:rPr>
            </w:pPr>
            <w:r>
              <w:rPr>
                <w:rFonts w:hint="eastAsia" w:ascii="宋体" w:hAnsi="宋体" w:eastAsia="宋体"/>
                <w:color w:val="000000" w:themeColor="text1"/>
                <w:sz w:val="24"/>
                <w:highlight w:val="none"/>
              </w:rPr>
              <w:t xml:space="preserve">4.1根据供应商提供的安全保障服务方案服务标准明确，有完善的进退场工作交接方案、门卫值班值守、治安巡逻、大型活动方案进行评审：提供的方案完全响应采购文件需求且详细、具有可行性、可实现性、合理性强的得11分；提供的方案响应采购需求，较可行、合理的得8分；提供的方案基本响应采购需求，基本可行的得5分；未提供不得分。</w:t>
            </w:r>
            <w:r>
              <w:rPr>
                <w:color w:val="000000" w:themeColor="text1"/>
              </w:rPr>
            </w:r>
            <w:r/>
          </w:p>
        </w:tc>
        <w:tc>
          <w:tcPr>
            <w:tcBorders>
              <w:top w:val="single" w:color="auto" w:sz="4" w:space="0"/>
              <w:left w:val="none" w:color="000000" w:sz="4" w:space="0"/>
              <w:bottom w:val="single" w:color="auto" w:sz="4" w:space="0"/>
              <w:right w:val="single" w:color="auto" w:sz="4" w:space="0"/>
            </w:tcBorders>
            <w:tcW w:w="67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w:t>
            </w:r>
            <w:r>
              <w:rPr>
                <w:color w:val="000000" w:themeColor="text1"/>
              </w:rPr>
            </w:r>
            <w:r/>
          </w:p>
        </w:tc>
      </w:tr>
      <w:tr>
        <w:trPr>
          <w:jc w:val="center"/>
          <w:trHeight w:val="1228"/>
        </w:trPr>
        <w:tc>
          <w:tcPr>
            <w:tcBorders>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w:t>
            </w:r>
            <w:r>
              <w:rPr>
                <w:color w:val="000000" w:themeColor="text1"/>
              </w:rPr>
            </w:r>
            <w:r/>
          </w:p>
        </w:tc>
        <w:tc>
          <w:tcPr>
            <w:tcBorders>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配置工具及设备情况</w:t>
            </w:r>
            <w:r>
              <w:rPr>
                <w:color w:val="000000" w:themeColor="text1"/>
              </w:rPr>
            </w:r>
            <w:r/>
          </w:p>
          <w:p>
            <w:pPr>
              <w:jc w:val="center"/>
              <w:rPr>
                <w:rFonts w:hint="eastAsia" w:ascii="宋体" w:hAnsi="宋体" w:eastAsia="宋体" w:cs="仿宋"/>
                <w:color w:val="000000" w:themeColor="text1"/>
                <w:sz w:val="24"/>
                <w:highlight w:val="none"/>
              </w:rPr>
            </w:pPr>
            <w:r>
              <w:rPr>
                <w:rFonts w:hint="eastAsia" w:ascii="宋体" w:hAnsi="宋体" w:eastAsia="宋体" w:cs="仿宋"/>
                <w:color w:val="000000" w:themeColor="text1"/>
                <w:sz w:val="24"/>
                <w:highlight w:val="none"/>
              </w:rPr>
              <w:t xml:space="preserve">（11分）</w:t>
            </w:r>
            <w:r>
              <w:rPr>
                <w:color w:val="000000" w:themeColor="text1"/>
              </w:rPr>
            </w:r>
            <w:r/>
          </w:p>
        </w:tc>
        <w:tc>
          <w:tcPr>
            <w:tcBorders>
              <w:top w:val="single" w:color="auto" w:sz="4" w:space="0"/>
              <w:left w:val="single" w:color="auto" w:sz="4" w:space="0"/>
              <w:bottom w:val="single" w:color="auto" w:sz="4" w:space="0"/>
              <w:right w:val="single" w:color="auto" w:sz="4" w:space="0"/>
            </w:tcBorders>
            <w:tcW w:w="8116" w:type="dxa"/>
            <w:vAlign w:val="center"/>
            <w:textDirection w:val="lrTb"/>
            <w:noWrap w:val="false"/>
          </w:tcPr>
          <w:p>
            <w:pPr>
              <w:jc w:val="left"/>
              <w:widowControl/>
              <w:rPr>
                <w:rFonts w:hint="eastAsia" w:ascii="宋体" w:hAnsi="宋体" w:eastAsia="宋体" w:cs="仿宋"/>
                <w:color w:val="000000" w:themeColor="text1"/>
                <w:sz w:val="24"/>
                <w:highlight w:val="none"/>
              </w:rPr>
            </w:pPr>
            <w:r>
              <w:rPr>
                <w:rFonts w:hint="eastAsia" w:ascii="宋体" w:hAnsi="宋体" w:eastAsia="宋体"/>
                <w:color w:val="000000" w:themeColor="text1"/>
                <w:sz w:val="24"/>
                <w:highlight w:val="none"/>
              </w:rPr>
              <w:t xml:space="preserve">5.1</w:t>
            </w:r>
            <w:r>
              <w:rPr>
                <w:rFonts w:hint="eastAsia" w:ascii="宋体" w:hAnsi="宋体" w:eastAsia="宋体" w:cs="宋体"/>
                <w:color w:val="000000" w:themeColor="text1"/>
                <w:sz w:val="24"/>
                <w:highlight w:val="none"/>
                <w:lang w:bidi="ar"/>
              </w:rPr>
              <w:t xml:space="preserve">根据供应商所提供的能满足用户服务要求的设备、工具、物耗等的具体情况说明及技术性能进行评审，包含但不仅限于：统一制服（包括皮鞋）；安全保障工具和物资的（如大衣、雨衣、胶靴、警棍、电筒、电池、武装带）；盾牌、防爆钢叉等安全保障器材；对讲机、执法记录仪等安全保障器材等。投标文件中提供清单及照片。设备配备齐全完整和技术性能强得11分；设备配备较齐全、不影响技术性能得8分；设备配备基本齐全得5分；</w:t>
            </w:r>
            <w:r>
              <w:rPr>
                <w:rFonts w:hint="eastAsia" w:ascii="宋体" w:hAnsi="宋体" w:eastAsia="宋体" w:cs="仿宋"/>
                <w:color w:val="000000" w:themeColor="text1"/>
                <w:sz w:val="24"/>
                <w:highlight w:val="none"/>
              </w:rPr>
              <w:t xml:space="preserve">未提供不得分。</w:t>
            </w:r>
            <w:r>
              <w:rPr>
                <w:color w:val="000000" w:themeColor="text1"/>
              </w:rPr>
            </w:r>
            <w:r/>
          </w:p>
        </w:tc>
        <w:tc>
          <w:tcPr>
            <w:tcBorders>
              <w:top w:val="single" w:color="auto" w:sz="4" w:space="0"/>
              <w:left w:val="none" w:color="000000" w:sz="4" w:space="0"/>
              <w:bottom w:val="single" w:color="auto" w:sz="4" w:space="0"/>
              <w:right w:val="single" w:color="auto" w:sz="4" w:space="0"/>
            </w:tcBorders>
            <w:tcW w:w="67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w:t>
            </w:r>
            <w:r>
              <w:rPr>
                <w:color w:val="000000" w:themeColor="text1"/>
              </w:rPr>
            </w:r>
            <w:r/>
          </w:p>
        </w:tc>
      </w:tr>
      <w:tr>
        <w:trPr>
          <w:jc w:val="center"/>
          <w:trHeight w:val="1322"/>
        </w:trPr>
        <w:tc>
          <w:tcPr>
            <w:tcBorders>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w:t>
            </w:r>
            <w:r>
              <w:rPr>
                <w:color w:val="000000" w:themeColor="text1"/>
              </w:rPr>
            </w:r>
            <w:r/>
          </w:p>
        </w:tc>
        <w:tc>
          <w:tcPr>
            <w:tcBorders>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仿宋"/>
                <w:color w:val="000000" w:themeColor="text1"/>
                <w:sz w:val="24"/>
                <w:highlight w:val="none"/>
              </w:rPr>
            </w:pPr>
            <w:r>
              <w:rPr>
                <w:rFonts w:hint="eastAsia" w:ascii="宋体" w:hAnsi="宋体" w:eastAsia="宋体" w:cs="仿宋"/>
                <w:color w:val="000000" w:themeColor="text1"/>
                <w:sz w:val="24"/>
                <w:highlight w:val="none"/>
              </w:rPr>
              <w:t xml:space="preserve">工作监督制度及岗位职责</w:t>
            </w:r>
            <w:r>
              <w:rPr>
                <w:color w:val="000000" w:themeColor="text1"/>
              </w:rPr>
            </w:r>
            <w:r/>
          </w:p>
          <w:p>
            <w:pPr>
              <w:jc w:val="center"/>
              <w:rPr>
                <w:rFonts w:hint="eastAsia" w:ascii="宋体" w:hAnsi="宋体" w:eastAsia="宋体" w:cs="宋体"/>
                <w:color w:val="000000" w:themeColor="text1"/>
                <w:sz w:val="24"/>
                <w:highlight w:val="none"/>
              </w:rPr>
            </w:pPr>
            <w:r>
              <w:rPr>
                <w:rFonts w:hint="eastAsia" w:ascii="宋体" w:hAnsi="宋体" w:eastAsia="宋体" w:cs="仿宋"/>
                <w:color w:val="000000" w:themeColor="text1"/>
                <w:sz w:val="24"/>
                <w:highlight w:val="none"/>
              </w:rPr>
              <w:t xml:space="preserve">(10分)</w:t>
            </w:r>
            <w:r>
              <w:rPr>
                <w:color w:val="000000" w:themeColor="text1"/>
              </w:rPr>
            </w:r>
            <w:r/>
          </w:p>
        </w:tc>
        <w:tc>
          <w:tcPr>
            <w:tcBorders>
              <w:top w:val="single" w:color="auto" w:sz="4" w:space="0"/>
              <w:left w:val="single" w:color="auto" w:sz="4" w:space="0"/>
              <w:bottom w:val="single" w:color="auto" w:sz="4" w:space="0"/>
              <w:right w:val="single" w:color="auto" w:sz="4" w:space="0"/>
            </w:tcBorders>
            <w:tcW w:w="8116" w:type="dxa"/>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olor w:val="000000" w:themeColor="text1"/>
                <w:sz w:val="24"/>
                <w:highlight w:val="none"/>
              </w:rPr>
              <w:t xml:space="preserve">6.1</w:t>
            </w:r>
            <w:r>
              <w:rPr>
                <w:rFonts w:hint="eastAsia" w:ascii="宋体" w:hAnsi="宋体" w:eastAsia="宋体" w:cs="宋体"/>
                <w:color w:val="000000" w:themeColor="text1"/>
                <w:sz w:val="24"/>
                <w:highlight w:val="none"/>
                <w:lang w:bidi="ar"/>
              </w:rPr>
              <w:t xml:space="preserve">供应商对于管理人员工作考核办法、现场作业人员工作考核办法等；考核内容设定科学、合理，制定内部管理清退制度，保证队伍的素质，岗位合理配置，职责清晰明确。内容详尽，操作性强得10分；内容较详尽，操作性较强得8分；内容简单，操作性一般得6分；</w:t>
            </w:r>
            <w:r>
              <w:rPr>
                <w:rFonts w:hint="eastAsia" w:ascii="宋体" w:hAnsi="宋体" w:eastAsia="宋体" w:cs="宋体"/>
                <w:color w:val="000000" w:themeColor="text1"/>
                <w:sz w:val="24"/>
                <w:highlight w:val="none"/>
              </w:rPr>
              <w:t xml:space="preserve">未提供不得分。</w:t>
            </w:r>
            <w:r>
              <w:rPr>
                <w:color w:val="000000" w:themeColor="text1"/>
              </w:rPr>
            </w:r>
            <w:r/>
          </w:p>
        </w:tc>
        <w:tc>
          <w:tcPr>
            <w:tcBorders>
              <w:top w:val="single" w:color="auto" w:sz="4" w:space="0"/>
              <w:left w:val="none" w:color="000000" w:sz="4" w:space="0"/>
              <w:bottom w:val="single" w:color="auto" w:sz="4" w:space="0"/>
              <w:right w:val="single" w:color="auto" w:sz="4" w:space="0"/>
            </w:tcBorders>
            <w:tcW w:w="67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w:t>
            </w:r>
            <w:r>
              <w:rPr>
                <w:color w:val="000000" w:themeColor="text1"/>
              </w:rPr>
            </w:r>
            <w:r/>
          </w:p>
        </w:tc>
      </w:tr>
      <w:tr>
        <w:trPr>
          <w:jc w:val="center"/>
          <w:trHeight w:val="1644"/>
        </w:trPr>
        <w:tc>
          <w:tcPr>
            <w:tcBorders>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w:t>
            </w:r>
            <w:r>
              <w:rPr>
                <w:color w:val="000000" w:themeColor="text1"/>
              </w:rPr>
            </w:r>
            <w:r/>
          </w:p>
        </w:tc>
        <w:tc>
          <w:tcPr>
            <w:tcBorders>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人员培训方案（9分）</w:t>
            </w:r>
            <w:r>
              <w:rPr>
                <w:color w:val="000000" w:themeColor="text1"/>
              </w:rPr>
            </w:r>
            <w:r/>
          </w:p>
        </w:tc>
        <w:tc>
          <w:tcPr>
            <w:tcBorders>
              <w:top w:val="single" w:color="auto" w:sz="4" w:space="0"/>
              <w:left w:val="single" w:color="auto" w:sz="4" w:space="0"/>
              <w:right w:val="single" w:color="auto" w:sz="4" w:space="0"/>
            </w:tcBorders>
            <w:tcW w:w="8116" w:type="dxa"/>
            <w:vAlign w:val="center"/>
            <w:textDirection w:val="lrTb"/>
            <w:noWrap w:val="false"/>
          </w:tcPr>
          <w:p>
            <w:pPr>
              <w:jc w:val="left"/>
              <w:spacing w:line="276" w:lineRule="auto"/>
              <w:widowControl/>
              <w:rPr>
                <w:rFonts w:hint="eastAsia" w:ascii="宋体" w:hAnsi="宋体" w:eastAsia="宋体"/>
                <w:color w:val="000000" w:themeColor="text1"/>
                <w:sz w:val="24"/>
                <w:highlight w:val="none"/>
              </w:rPr>
            </w:pPr>
            <w:r>
              <w:rPr>
                <w:rFonts w:hint="eastAsia" w:ascii="宋体" w:hAnsi="宋体" w:eastAsia="宋体" w:cs="宋体"/>
                <w:color w:val="000000" w:themeColor="text1"/>
                <w:sz w:val="24"/>
                <w:szCs w:val="32"/>
                <w:highlight w:val="none"/>
              </w:rPr>
              <w:t xml:space="preserve">7.1根据供应商提供的针对本项目的人员培训方案进行评审，主要内容包括但不限于前期入驻人员培训计划、岗位培训计划及标准等内容。培训计划全面，培训内容贴合实际且具有针对性强，完全满足本项目需求的得9分；培训计划较全面，针对性较强，基本能满足本项目需求的得7分；培训计划基本全面</w:t>
            </w:r>
            <w:r>
              <w:rPr>
                <w:rFonts w:hint="eastAsia" w:ascii="宋体" w:hAnsi="宋体" w:eastAsia="宋体" w:cs="宋体"/>
                <w:color w:val="000000" w:themeColor="text1"/>
                <w:sz w:val="24"/>
                <w:highlight w:val="none"/>
                <w:lang w:bidi="ar"/>
              </w:rPr>
              <w:t xml:space="preserve">合理，</w:t>
            </w:r>
            <w:r>
              <w:rPr>
                <w:rFonts w:hint="eastAsia" w:ascii="宋体" w:hAnsi="宋体" w:eastAsia="宋体" w:cs="宋体"/>
                <w:color w:val="000000" w:themeColor="text1"/>
                <w:sz w:val="24"/>
                <w:szCs w:val="32"/>
                <w:highlight w:val="none"/>
              </w:rPr>
              <w:t xml:space="preserve">能满足部分需求的得5分；未提供不得分。</w:t>
            </w:r>
            <w:r>
              <w:rPr>
                <w:color w:val="000000" w:themeColor="text1"/>
              </w:rPr>
            </w:r>
            <w:r/>
          </w:p>
        </w:tc>
        <w:tc>
          <w:tcPr>
            <w:tcBorders>
              <w:top w:val="single" w:color="auto" w:sz="4" w:space="0"/>
              <w:left w:val="none" w:color="000000" w:sz="4" w:space="0"/>
              <w:right w:val="single" w:color="auto" w:sz="4" w:space="0"/>
            </w:tcBorders>
            <w:tcW w:w="67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w:t>
            </w:r>
            <w:r>
              <w:rPr>
                <w:color w:val="000000" w:themeColor="text1"/>
              </w:rPr>
            </w:r>
            <w:r/>
          </w:p>
        </w:tc>
      </w:tr>
      <w:tr>
        <w:trPr>
          <w:jc w:val="center"/>
          <w:trHeight w:val="1644"/>
        </w:trPr>
        <w:tc>
          <w:tcPr>
            <w:tcBorders>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w:t>
            </w:r>
            <w:r>
              <w:rPr>
                <w:color w:val="000000" w:themeColor="text1"/>
              </w:rPr>
            </w:r>
            <w:r/>
          </w:p>
        </w:tc>
        <w:tc>
          <w:tcPr>
            <w:tcBorders>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应急处理</w:t>
            </w:r>
            <w:r>
              <w:rPr>
                <w:color w:val="000000" w:themeColor="text1"/>
              </w:rPr>
            </w: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方案</w:t>
            </w:r>
            <w:r>
              <w:rPr>
                <w:color w:val="000000" w:themeColor="text1"/>
              </w:rPr>
            </w: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w:t>
            </w:r>
            <w:r>
              <w:rPr>
                <w:rFonts w:hint="eastAsia" w:ascii="宋体" w:hAnsi="宋体" w:eastAsia="宋体" w:cs="宋体"/>
                <w:color w:val="000000" w:themeColor="text1"/>
                <w:sz w:val="24"/>
                <w:highlight w:val="none"/>
              </w:rPr>
              <w:t xml:space="preserve">10</w:t>
            </w:r>
            <w:r>
              <w:rPr>
                <w:rFonts w:hint="eastAsia" w:ascii="宋体" w:hAnsi="宋体" w:eastAsia="宋体" w:cs="宋体"/>
                <w:color w:val="000000" w:themeColor="text1"/>
                <w:sz w:val="24"/>
                <w:highlight w:val="none"/>
                <w:lang w:val="zh-CN"/>
              </w:rPr>
              <w:t xml:space="preserve">分）</w:t>
            </w:r>
            <w:r>
              <w:rPr>
                <w:color w:val="000000" w:themeColor="text1"/>
              </w:rPr>
            </w:r>
            <w:r/>
          </w:p>
        </w:tc>
        <w:tc>
          <w:tcPr>
            <w:tcBorders>
              <w:top w:val="single" w:color="auto" w:sz="4" w:space="0"/>
              <w:left w:val="single" w:color="auto" w:sz="4" w:space="0"/>
              <w:right w:val="single" w:color="auto" w:sz="4" w:space="0"/>
            </w:tcBorders>
            <w:tcW w:w="8116" w:type="dxa"/>
            <w:vAlign w:val="center"/>
            <w:textDirection w:val="lrTb"/>
            <w:noWrap w:val="false"/>
          </w:tcPr>
          <w:p>
            <w:pPr>
              <w:jc w:val="left"/>
              <w:spacing w:line="276" w:lineRule="auto"/>
              <w:widowControl/>
              <w:rPr>
                <w:rFonts w:hint="eastAsia" w:ascii="宋体" w:hAnsi="宋体" w:eastAsia="宋体" w:cs="宋体"/>
                <w:color w:val="000000" w:themeColor="text1"/>
                <w:sz w:val="24"/>
                <w:highlight w:val="none"/>
              </w:rPr>
            </w:pPr>
            <w:r>
              <w:rPr>
                <w:rFonts w:hint="eastAsia" w:ascii="宋体" w:hAnsi="宋体" w:eastAsia="宋体"/>
                <w:color w:val="000000" w:themeColor="text1"/>
                <w:sz w:val="24"/>
                <w:highlight w:val="none"/>
              </w:rPr>
              <w:t xml:space="preserve">8.1根据供应商提供对火灾应急、突发治安、触电事故、漏水事故、电梯困人事故、雷暴风雨等突发事件的应急处理方案进行评审：提供的方案方法措施得当、应对处置及时、有应急处理预案、有联动服务机制、针对性强的得10分；提供的方案方法措施得当、应对处置较及时、有应急处理预案的得8分；提供的方案方法措施基本及时、应急处理预案基本可行的得6分；未提供不得分。</w:t>
            </w:r>
            <w:r>
              <w:rPr>
                <w:color w:val="000000" w:themeColor="text1"/>
              </w:rPr>
            </w:r>
            <w:r/>
          </w:p>
        </w:tc>
        <w:tc>
          <w:tcPr>
            <w:tcBorders>
              <w:top w:val="single" w:color="auto" w:sz="4" w:space="0"/>
              <w:left w:val="none" w:color="000000" w:sz="4" w:space="0"/>
              <w:right w:val="single" w:color="auto" w:sz="4" w:space="0"/>
            </w:tcBorders>
            <w:tcW w:w="67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w:t>
            </w:r>
            <w:r>
              <w:rPr>
                <w:color w:val="000000" w:themeColor="text1"/>
              </w:rPr>
            </w:r>
            <w:r/>
          </w:p>
        </w:tc>
      </w:tr>
      <w:tr>
        <w:trPr>
          <w:jc w:val="center"/>
          <w:trHeight w:val="584"/>
        </w:trPr>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合计</w:t>
            </w:r>
            <w:r>
              <w:rPr>
                <w:color w:val="000000" w:themeColor="text1"/>
              </w:rPr>
            </w:r>
            <w:r/>
          </w:p>
        </w:tc>
        <w:tc>
          <w:tcPr>
            <w:gridSpan w:val="3"/>
            <w:tcBorders>
              <w:top w:val="none" w:color="000000" w:sz="4" w:space="0"/>
              <w:left w:val="single" w:color="000000" w:sz="4" w:space="0"/>
              <w:right w:val="single" w:color="000000" w:sz="4" w:space="0"/>
            </w:tcBorders>
            <w:tcW w:w="10206"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100分</w:t>
            </w:r>
            <w:r>
              <w:rPr>
                <w:color w:val="000000" w:themeColor="text1"/>
              </w:rPr>
            </w:r>
            <w:r/>
          </w:p>
        </w:tc>
      </w:tr>
    </w:tbl>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说明：</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1、所有认证、检测报告、证明和业绩均以有效的证明文件的复印件（扫描件）加盖公章。</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2、所有认证、检测报告、证明和业绩的单位名称须与供应商或制造商名称一致（以公章为准），否则不得分。</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3、若供应商提供虚假资料，一经查实作无效投标处理。</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4、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5、小微企业的价格扣除</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（1）对小微企业生产的产品给予投标价的10%价格扣除，用扣除后的价格参与评审。</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（3）小企业（含小型、微型企业）应当同时符合以下条件：</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①供应商为小企业，且符合中小企业划分标准；</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②提供本企业制造的货物、承担的工程或者服务，或者提供其他小企业制造的货物。如果提供的货物为大中型企业注册商标的货物，视同大中型企业。</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6、若供应商提供的认证证书、荣誉证书、专利是所投产品制造商的，请供应商与制造商在证书上加盖公章。</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7、残疾人福利单位价格扣除</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（1）本项目对残疾人福利性单位视同小型、微型企业，给予10%的价格扣除，用扣除后的价格参与评审。</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（2）残疾人福利单位需按照采购文件的要求提供《残疾人福利性单位声明函》。</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（3）残疾人福利单位标准请参照《关于促进残疾人就业政府采购政策的通知》（财库〔2017〕141号）。</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8、监狱和戒毒企业价格扣除</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（1）本项目对监狱和戒毒企业（简称监狱企业）视同小型、微型企业，给予10%的价格扣除，用扣除后的价格参与评审。</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r/>
    </w:p>
    <w:p>
      <w:pP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（3）监狱企业标准请参照《关于政府采购支持监狱企业发展有关问题的通知》（财库[2014]68号）。</w:t>
      </w:r>
      <w:r>
        <w:rPr>
          <w:color w:val="000000" w:themeColor="text1"/>
        </w:rPr>
      </w:r>
      <w:r/>
    </w:p>
    <w:p>
      <w:pPr>
        <w:spacing w:line="360" w:lineRule="auto"/>
        <w:rPr>
          <w:rFonts w:hint="eastAsia" w:ascii="宋体" w:hAnsi="宋体" w:eastAsia="宋体" w:cs="宋体"/>
          <w:color w:val="000000" w:themeColor="text1"/>
          <w:sz w:val="20"/>
          <w:szCs w:val="22"/>
          <w:highlight w:val="none"/>
        </w:rPr>
      </w:pPr>
      <w:r>
        <w:rPr>
          <w:rFonts w:hint="eastAsia" w:ascii="宋体" w:hAnsi="宋体" w:eastAsia="宋体" w:cs="宋体"/>
          <w:color w:val="000000" w:themeColor="text1"/>
          <w:sz w:val="22"/>
          <w:szCs w:val="22"/>
          <w:highlight w:val="none"/>
        </w:rPr>
        <w:t xml:space="preserve">9、残疾人福利单位、监狱企业属于小型、微型企业的，不重复享受政策。</w:t>
      </w:r>
      <w:r>
        <w:rPr>
          <w:color w:val="000000" w:themeColor="text1"/>
        </w:rPr>
      </w:r>
      <w:r/>
    </w:p>
    <w:p>
      <w:pPr>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lang w:val="zh-CN"/>
        </w:rPr>
        <w:br w:type="page" w:clear="all"/>
      </w:r>
      <w:r>
        <w:rPr>
          <w:color w:val="000000" w:themeColor="text1"/>
        </w:rPr>
      </w:r>
      <w:r/>
    </w:p>
    <w:p>
      <w:pPr>
        <w:jc w:val="center"/>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lang w:val="zh-CN"/>
        </w:rPr>
        <w:t xml:space="preserve">第四章 </w:t>
      </w:r>
      <w:bookmarkStart w:id="6" w:name="_Hlk147842222"/>
      <w:r>
        <w:rPr>
          <w:rFonts w:hint="eastAsia" w:ascii="宋体" w:hAnsi="宋体" w:eastAsia="宋体" w:cs="宋体"/>
          <w:b/>
          <w:bCs/>
          <w:color w:val="000000" w:themeColor="text1"/>
          <w:sz w:val="36"/>
          <w:szCs w:val="36"/>
          <w:highlight w:val="none"/>
          <w:lang w:val="zh-CN"/>
        </w:rPr>
        <w:t xml:space="preserve"> 采购需求及要求</w:t>
      </w:r>
      <w:bookmarkEnd w:id="6"/>
      <w:r>
        <w:rPr>
          <w:color w:val="000000" w:themeColor="text1"/>
        </w:rPr>
      </w:r>
      <w:r/>
    </w:p>
    <w:p>
      <w:pPr>
        <w:pStyle w:val="703"/>
        <w:keepLines w:val="0"/>
        <w:keepNext w:val="0"/>
        <w:spacing w:before="0" w:after="0" w:line="360" w:lineRule="auto"/>
        <w:rPr>
          <w:b/>
          <w:bCs/>
          <w:color w:val="000000" w:themeColor="text1"/>
          <w:sz w:val="28"/>
          <w:szCs w:val="28"/>
          <w:highlight w:val="none"/>
        </w:rPr>
      </w:pPr>
      <w:r>
        <w:rPr>
          <w:rFonts w:hint="eastAsia" w:eastAsia="宋体"/>
          <w:b/>
          <w:bCs/>
          <w:color w:val="000000" w:themeColor="text1"/>
          <w:sz w:val="28"/>
          <w:szCs w:val="28"/>
          <w:highlight w:val="none"/>
        </w:rPr>
        <w:t xml:space="preserve">一、</w:t>
      </w:r>
      <w:r>
        <w:rPr>
          <w:rFonts w:hint="eastAsia"/>
          <w:b/>
          <w:bCs/>
          <w:color w:val="000000" w:themeColor="text1"/>
          <w:sz w:val="28"/>
          <w:szCs w:val="28"/>
          <w:highlight w:val="none"/>
        </w:rPr>
        <w:t xml:space="preserve">项目概况</w:t>
      </w:r>
      <w:r>
        <w:rPr>
          <w:color w:val="000000" w:themeColor="text1"/>
        </w:rPr>
      </w:r>
      <w:r/>
    </w:p>
    <w:p>
      <w:pPr>
        <w:ind w:firstLine="240"/>
        <w:spacing w:line="360" w:lineRule="auto"/>
        <w:rPr>
          <w:rFonts w:hint="eastAsia" w:eastAsia="宋体"/>
          <w:color w:val="000000" w:themeColor="text1"/>
          <w:sz w:val="24"/>
          <w:highlight w:val="none"/>
        </w:rPr>
      </w:pPr>
      <w:r>
        <w:rPr>
          <w:color w:val="000000" w:themeColor="text1"/>
        </w:rPr>
      </w:r>
      <w:bookmarkStart w:id="7" w:name="_Toc12303"/>
      <w:r>
        <w:rPr>
          <w:rFonts w:hint="eastAsia" w:eastAsia="宋体"/>
          <w:color w:val="000000" w:themeColor="text1"/>
          <w:sz w:val="24"/>
          <w:highlight w:val="none"/>
        </w:rPr>
        <w:t xml:space="preserve">1、项目名称：</w:t>
      </w:r>
      <w:r>
        <w:rPr>
          <w:rFonts w:hint="eastAsia" w:eastAsia="宋体"/>
          <w:color w:val="000000" w:themeColor="text1"/>
          <w:sz w:val="24"/>
          <w:highlight w:val="none"/>
          <w:lang w:eastAsia="zh-CN"/>
        </w:rPr>
        <w:t xml:space="preserve">栖霞区政府4号院安全保障服务采购（2年）</w:t>
      </w:r>
      <w:r>
        <w:rPr>
          <w:color w:val="000000" w:themeColor="text1"/>
        </w:rPr>
      </w:r>
      <w:r/>
    </w:p>
    <w:p>
      <w:pPr>
        <w:ind w:firstLine="240"/>
        <w:spacing w:line="360" w:lineRule="auto"/>
        <w:rPr>
          <w:rFonts w:eastAsia="宋体"/>
          <w:color w:val="000000" w:themeColor="text1"/>
          <w:sz w:val="24"/>
          <w:highlight w:val="none"/>
        </w:rPr>
      </w:pPr>
      <w:r>
        <w:rPr>
          <w:rFonts w:hint="eastAsia" w:eastAsia="宋体"/>
          <w:color w:val="000000" w:themeColor="text1"/>
          <w:sz w:val="24"/>
          <w:highlight w:val="none"/>
        </w:rPr>
        <w:t xml:space="preserve">2、服务期：二年</w:t>
      </w:r>
      <w:r>
        <w:rPr>
          <w:color w:val="000000" w:themeColor="text1"/>
        </w:rPr>
      </w:r>
      <w:r/>
    </w:p>
    <w:p>
      <w:pPr>
        <w:pStyle w:val="703"/>
        <w:spacing w:before="0" w:after="0" w:line="360" w:lineRule="auto"/>
        <w:rPr>
          <w:b/>
          <w:bCs/>
          <w:color w:val="000000" w:themeColor="text1"/>
          <w:sz w:val="28"/>
          <w:szCs w:val="28"/>
          <w:highlight w:val="none"/>
        </w:rPr>
      </w:pPr>
      <w:r>
        <w:rPr>
          <w:color w:val="000000" w:themeColor="text1"/>
        </w:rPr>
      </w:r>
      <w:bookmarkStart w:id="8" w:name="_Toc5455"/>
      <w:r>
        <w:rPr>
          <w:rFonts w:hint="eastAsia" w:eastAsia="宋体"/>
          <w:b/>
          <w:bCs/>
          <w:color w:val="000000" w:themeColor="text1"/>
          <w:sz w:val="28"/>
          <w:szCs w:val="28"/>
          <w:highlight w:val="none"/>
        </w:rPr>
        <w:t xml:space="preserve">二</w:t>
      </w:r>
      <w:r>
        <w:rPr>
          <w:rFonts w:hint="eastAsia"/>
          <w:b/>
          <w:bCs/>
          <w:color w:val="000000" w:themeColor="text1"/>
          <w:sz w:val="28"/>
          <w:szCs w:val="28"/>
          <w:highlight w:val="none"/>
        </w:rPr>
        <w:t xml:space="preserve">、</w:t>
      </w:r>
      <w:bookmarkEnd w:id="7"/>
      <w:r>
        <w:rPr>
          <w:rFonts w:hint="eastAsia"/>
          <w:b/>
          <w:bCs/>
          <w:color w:val="000000" w:themeColor="text1"/>
          <w:sz w:val="28"/>
          <w:szCs w:val="28"/>
          <w:highlight w:val="none"/>
        </w:rPr>
        <w:t xml:space="preserve">服务要求（技术要求）</w:t>
      </w:r>
      <w:bookmarkEnd w:id="8"/>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rPr>
        <w:t xml:space="preserve">（一）安全保障力量构成</w:t>
      </w:r>
      <w:r>
        <w:rPr>
          <w:color w:val="000000" w:themeColor="text1"/>
        </w:rPr>
      </w:r>
      <w:r/>
    </w:p>
    <w:tbl>
      <w:tblPr>
        <w:tblStyle w:val="712"/>
        <w:tblW w:w="4948" w:type="pct"/>
        <w:tblInd w:w="108" w:type="dxa"/>
        <w:tblLayout w:type="autofit"/>
        <w:tblCellMar>
          <w:left w:w="108" w:type="dxa"/>
          <w:top w:w="0" w:type="dxa"/>
          <w:right w:w="108" w:type="dxa"/>
          <w:bottom w:w="0" w:type="dxa"/>
        </w:tblCellMar>
        <w:tblLook w:val="04A0" w:firstRow="1" w:lastRow="0" w:firstColumn="1" w:lastColumn="0" w:noHBand="0" w:noVBand="1"/>
      </w:tblPr>
      <w:tblGrid>
        <w:gridCol w:w="970"/>
        <w:gridCol w:w="2321"/>
        <w:gridCol w:w="1768"/>
        <w:gridCol w:w="3521"/>
        <w:gridCol w:w="1014"/>
      </w:tblGrid>
      <w:tr>
        <w:trPr>
          <w:trHeight w:val="609"/>
        </w:trPr>
        <w:tc>
          <w:tcPr>
            <w:tcBorders>
              <w:top w:val="single" w:color="auto" w:sz="4" w:space="0"/>
              <w:left w:val="single" w:color="auto" w:sz="4" w:space="0"/>
              <w:right w:val="single" w:color="auto" w:sz="4" w:space="0"/>
            </w:tcBorders>
            <w:tcW w:w="506" w:type="pct"/>
            <w:vAlign w:val="center"/>
            <w:vMerge w:val="restart"/>
            <w:textDirection w:val="lrTb"/>
            <w:noWrap w:val="false"/>
          </w:tcPr>
          <w:p>
            <w:pPr>
              <w:spacing w:line="40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序号</w:t>
            </w:r>
            <w:r>
              <w:rPr>
                <w:color w:val="000000" w:themeColor="text1"/>
              </w:rPr>
            </w:r>
            <w:r/>
          </w:p>
        </w:tc>
        <w:tc>
          <w:tcPr>
            <w:tcBorders>
              <w:top w:val="single" w:color="auto" w:sz="4" w:space="0"/>
              <w:left w:val="none" w:color="000000" w:sz="4" w:space="0"/>
              <w:right w:val="single" w:color="auto" w:sz="4" w:space="0"/>
            </w:tcBorders>
            <w:tcW w:w="1209" w:type="pct"/>
            <w:vAlign w:val="center"/>
            <w:vMerge w:val="restart"/>
            <w:textDirection w:val="lrTb"/>
            <w:noWrap w:val="false"/>
          </w:tcPr>
          <w:p>
            <w:pPr>
              <w:jc w:val="center"/>
              <w:spacing w:line="40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派驻地点</w:t>
            </w:r>
            <w:r>
              <w:rPr>
                <w:color w:val="000000" w:themeColor="text1"/>
              </w:rPr>
            </w:r>
            <w:r/>
          </w:p>
        </w:tc>
        <w:tc>
          <w:tcPr>
            <w:gridSpan w:val="2"/>
            <w:tcBorders>
              <w:top w:val="single" w:color="auto" w:sz="4" w:space="0"/>
              <w:left w:val="none" w:color="000000" w:sz="4" w:space="0"/>
              <w:bottom w:val="single" w:color="auto" w:sz="4" w:space="0"/>
              <w:right w:val="single" w:color="auto" w:sz="4" w:space="0"/>
            </w:tcBorders>
            <w:tcW w:w="2755" w:type="pct"/>
            <w:vAlign w:val="center"/>
            <w:textDirection w:val="lrTb"/>
            <w:noWrap w:val="false"/>
          </w:tcPr>
          <w:p>
            <w:pPr>
              <w:jc w:val="center"/>
              <w:spacing w:line="40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岗位需求</w:t>
            </w:r>
            <w:r>
              <w:rPr>
                <w:color w:val="000000" w:themeColor="text1"/>
              </w:rPr>
            </w:r>
            <w:r/>
          </w:p>
        </w:tc>
        <w:tc>
          <w:tcPr>
            <w:tcBorders>
              <w:top w:val="single" w:color="auto" w:sz="4" w:space="0"/>
              <w:left w:val="none" w:color="000000" w:sz="4" w:space="0"/>
              <w:right w:val="single" w:color="auto" w:sz="4" w:space="0"/>
            </w:tcBorders>
            <w:tcW w:w="528" w:type="pct"/>
            <w:vAlign w:val="center"/>
            <w:vMerge w:val="restart"/>
            <w:textDirection w:val="lrTb"/>
            <w:noWrap w:val="false"/>
          </w:tcPr>
          <w:p>
            <w:pPr>
              <w:jc w:val="center"/>
              <w:spacing w:line="40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备注</w:t>
            </w:r>
            <w:r>
              <w:rPr>
                <w:color w:val="000000" w:themeColor="text1"/>
              </w:rPr>
            </w:r>
            <w:r/>
          </w:p>
        </w:tc>
      </w:tr>
      <w:tr>
        <w:trPr>
          <w:trHeight w:val="489"/>
        </w:trPr>
        <w:tc>
          <w:tcPr>
            <w:tcBorders>
              <w:left w:val="single" w:color="auto" w:sz="4" w:space="0"/>
              <w:bottom w:val="single" w:color="auto" w:sz="4" w:space="0"/>
              <w:right w:val="single" w:color="auto" w:sz="4" w:space="0"/>
            </w:tcBorders>
            <w:tcW w:w="506" w:type="pct"/>
            <w:vAlign w:val="center"/>
            <w:vMerge w:val="continue"/>
            <w:textDirection w:val="lrTb"/>
            <w:noWrap w:val="false"/>
          </w:tcPr>
          <w:p>
            <w:pP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209" w:type="pct"/>
            <w:vAlign w:val="center"/>
            <w:vMerge w:val="continue"/>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921" w:type="pct"/>
            <w:vAlign w:val="center"/>
            <w:textDirection w:val="lrTb"/>
            <w:noWrap w:val="false"/>
          </w:tcPr>
          <w:p>
            <w:pPr>
              <w:jc w:val="center"/>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岗数</w:t>
            </w:r>
            <w:r>
              <w:rPr>
                <w:color w:val="000000" w:themeColor="text1"/>
              </w:rPr>
            </w:r>
            <w:r/>
          </w:p>
        </w:tc>
        <w:tc>
          <w:tcPr>
            <w:tcBorders>
              <w:top w:val="single" w:color="auto" w:sz="4" w:space="0"/>
              <w:left w:val="none" w:color="000000" w:sz="4" w:space="0"/>
              <w:bottom w:val="single" w:color="auto" w:sz="4" w:space="0"/>
              <w:right w:val="single" w:color="auto" w:sz="4" w:space="0"/>
            </w:tcBorders>
            <w:tcW w:w="1834" w:type="pct"/>
            <w:vAlign w:val="center"/>
            <w:textDirection w:val="lrTb"/>
            <w:noWrap w:val="false"/>
          </w:tcPr>
          <w:p>
            <w:pPr>
              <w:jc w:val="center"/>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具体情况</w:t>
            </w:r>
            <w:r>
              <w:rPr>
                <w:color w:val="000000" w:themeColor="text1"/>
              </w:rPr>
            </w:r>
            <w:r/>
          </w:p>
        </w:tc>
        <w:tc>
          <w:tcPr>
            <w:tcBorders>
              <w:left w:val="none" w:color="000000" w:sz="4" w:space="0"/>
              <w:bottom w:val="single" w:color="auto" w:sz="4" w:space="0"/>
              <w:right w:val="single" w:color="auto" w:sz="4" w:space="0"/>
            </w:tcBorders>
            <w:tcW w:w="528" w:type="pct"/>
            <w:vAlign w:val="center"/>
            <w:vMerge w:val="continue"/>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213"/>
        </w:trPr>
        <w:tc>
          <w:tcPr>
            <w:tcBorders>
              <w:top w:val="none" w:color="000000" w:sz="4" w:space="0"/>
              <w:left w:val="single" w:color="auto" w:sz="4" w:space="0"/>
              <w:bottom w:val="single" w:color="000000" w:sz="4" w:space="0"/>
              <w:right w:val="single" w:color="auto" w:sz="4" w:space="0"/>
            </w:tcBorders>
            <w:tcW w:w="506" w:type="pct"/>
            <w:vAlign w:val="center"/>
            <w:textDirection w:val="lrTb"/>
            <w:noWrap w:val="false"/>
          </w:tcPr>
          <w:p>
            <w:pPr>
              <w:jc w:val="center"/>
              <w:spacing w:line="40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color w:val="000000" w:themeColor="text1"/>
              </w:rPr>
            </w:r>
            <w:r/>
          </w:p>
        </w:tc>
        <w:tc>
          <w:tcPr>
            <w:tcBorders>
              <w:top w:val="none" w:color="000000" w:sz="4" w:space="0"/>
              <w:left w:val="single" w:color="auto" w:sz="4" w:space="0"/>
              <w:bottom w:val="single" w:color="000000" w:sz="4" w:space="0"/>
              <w:right w:val="single" w:color="auto" w:sz="4" w:space="0"/>
            </w:tcBorders>
            <w:tcW w:w="1209" w:type="pct"/>
            <w:vAlign w:val="center"/>
            <w:textDirection w:val="lrTb"/>
            <w:noWrap w:val="false"/>
          </w:tcPr>
          <w:p>
            <w:pPr>
              <w:spacing w:line="400" w:lineRule="exact"/>
              <w:widowControl/>
              <w:rPr>
                <w:rFonts w:hint="eastAsia" w:ascii="宋体" w:hAnsi="宋体" w:eastAsia="宋体" w:cs="宋体"/>
                <w:color w:val="000000" w:themeColor="text1"/>
                <w:sz w:val="24"/>
                <w:highlight w:val="none"/>
              </w:rPr>
            </w:pPr>
            <w:r>
              <w:rPr>
                <w:rFonts w:ascii="宋体" w:hAnsi="宋体" w:eastAsia="宋体" w:cs="宋体"/>
                <w:color w:val="000000" w:themeColor="text1"/>
                <w:sz w:val="24"/>
                <w:highlight w:val="none"/>
              </w:rPr>
              <w:t xml:space="preserve">区政府4号院办公区</w:t>
            </w:r>
            <w:r>
              <w:rPr>
                <w:color w:val="000000" w:themeColor="text1"/>
              </w:rPr>
            </w:r>
            <w:r/>
          </w:p>
        </w:tc>
        <w:tc>
          <w:tcPr>
            <w:tcBorders>
              <w:top w:val="none" w:color="000000" w:sz="4" w:space="0"/>
              <w:left w:val="none" w:color="000000" w:sz="4" w:space="0"/>
              <w:bottom w:val="single" w:color="auto" w:sz="4" w:space="0"/>
              <w:right w:val="single" w:color="auto" w:sz="4" w:space="0"/>
            </w:tcBorders>
            <w:tcW w:w="921" w:type="pct"/>
            <w:vAlign w:val="center"/>
            <w:textDirection w:val="lrTb"/>
            <w:noWrap w:val="false"/>
          </w:tcPr>
          <w:p>
            <w:pPr>
              <w:jc w:val="center"/>
              <w:spacing w:line="40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11个</w:t>
            </w:r>
            <w:r>
              <w:rPr>
                <w:color w:val="000000" w:themeColor="text1"/>
              </w:rPr>
            </w:r>
            <w:r/>
          </w:p>
        </w:tc>
        <w:tc>
          <w:tcPr>
            <w:tcBorders>
              <w:top w:val="none" w:color="000000" w:sz="4" w:space="0"/>
              <w:left w:val="none" w:color="000000" w:sz="4" w:space="0"/>
              <w:bottom w:val="single" w:color="auto" w:sz="4" w:space="0"/>
              <w:right w:val="single" w:color="auto" w:sz="4" w:space="0"/>
            </w:tcBorders>
            <w:tcW w:w="1834" w:type="pct"/>
            <w:vAlign w:val="center"/>
            <w:textDirection w:val="lrTb"/>
            <w:noWrap w:val="false"/>
          </w:tcPr>
          <w:p>
            <w:pPr>
              <w:jc w:val="left"/>
              <w:spacing w:line="40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7:00-15:00时间段5个岗，15:00-23:00及23:00-7:00各3个岗。</w:t>
            </w:r>
            <w:r>
              <w:rPr>
                <w:color w:val="000000" w:themeColor="text1"/>
              </w:rPr>
            </w:r>
            <w:r/>
          </w:p>
        </w:tc>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jc w:val="center"/>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r>
    </w:tbl>
    <w:p>
      <w:pPr>
        <w:ind w:firstLine="480"/>
        <w:spacing w:line="2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（二）保安基本条件</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★保安人员应当具备以下条件(提供承诺书，承诺拟派人员全部满足以下条件且于中标后签订合同前向采购人提交人名清单明细并附相应证书复印件加盖公章)：</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1、具备相关法律法规规定的保安人员的任职条件（保安员证）；</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2、年龄不超过45周岁的中国公民；</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3、文化程度为初中毕业以上；</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4、品行良好，无违法犯罪记录；</w:t>
      </w:r>
      <w:r>
        <w:rPr>
          <w:color w:val="000000" w:themeColor="text1"/>
        </w:rPr>
      </w:r>
      <w:r/>
    </w:p>
    <w:p>
      <w:pPr>
        <w:ind w:firstLine="480"/>
        <w:spacing w:line="324"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5、身体健康，入职前体检合格。</w:t>
      </w:r>
      <w:r>
        <w:rPr>
          <w:color w:val="000000" w:themeColor="text1"/>
        </w:rPr>
      </w:r>
      <w:r/>
    </w:p>
    <w:p>
      <w:pPr>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三、商务要求</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（一） 安全保障服务费</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总价款包括所有含税费用，如:支付给员工的工资和全员全额缴纳的各种社会保障资金、足额的加班费、高温费、服装费、法定税费、管理费、合同约定的服务期间内国家政策性调整(如最低工资标准调整)等所有费用。服务费用以中标价格为准。</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（二） 服务期及考核</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1、安全保障项目以书面合同形式正式签署，服务期限</w:t>
      </w:r>
      <w:r>
        <w:rPr>
          <w:rFonts w:hint="eastAsia" w:ascii="宋体" w:hAnsi="宋体" w:cs="宋体"/>
          <w:color w:val="000000" w:themeColor="text1"/>
          <w:sz w:val="24"/>
          <w:highlight w:val="none"/>
        </w:rPr>
        <w:t xml:space="preserve">：2年</w:t>
      </w:r>
      <w:r>
        <w:rPr>
          <w:rFonts w:hint="eastAsia" w:ascii="宋体" w:hAnsi="宋体" w:eastAsia="宋体" w:cs="宋体"/>
          <w:color w:val="000000" w:themeColor="text1"/>
          <w:sz w:val="24"/>
          <w:highlight w:val="none"/>
        </w:rPr>
        <w:t xml:space="preserve">。根据采购人安全保卫服务质量要求，供应商提出不低于采购人标准的安全保障各环节服务标准，采购人有权利根据自身需要随时细化、明确各项服务标准。</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2、服务期间，若当地人社主管部门最低工资标准或社保缴费基数等上调，费用由中标单位承担，采购人不另支付。</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3、合同期满，在服从采购人安排与新一轮采购中标人进行圆满交接、人员设备撤场后，采购人无息支付结算款。</w:t>
      </w:r>
      <w:r>
        <w:rPr>
          <w:color w:val="000000" w:themeColor="text1"/>
        </w:rPr>
      </w:r>
      <w:r/>
    </w:p>
    <w:p>
      <w:pPr>
        <w:ind w:firstLine="48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4、采购人对中标人服务进行季度考核并告知中标人考核结果，通知中标人进行整改，每季度进行总结。</w:t>
      </w:r>
      <w:r>
        <w:rPr>
          <w:color w:val="000000" w:themeColor="text1"/>
        </w:rPr>
      </w:r>
      <w:r/>
    </w:p>
    <w:p>
      <w:pPr>
        <w:ind w:firstLine="420"/>
        <w:jc w:val="left"/>
        <w:spacing w:line="324" w:lineRule="auto"/>
        <w:rPr>
          <w:rFonts w:ascii="Times New Roman" w:hAnsi="Times New Roman" w:cs="Times New Roman"/>
          <w:color w:val="000000" w:themeColor="text1"/>
          <w:sz w:val="24"/>
          <w:highlight w:val="none"/>
        </w:rPr>
      </w:pPr>
      <w:r>
        <w:rPr>
          <w:rFonts w:hint="eastAsia" w:ascii="Times New Roman" w:hAnsi="Times New Roman" w:cs="Times New Roman"/>
          <w:color w:val="000000" w:themeColor="text1"/>
          <w:sz w:val="24"/>
          <w:highlight w:val="none"/>
        </w:rPr>
        <w:t xml:space="preserve">考核细则：</w:t>
      </w:r>
      <w:r>
        <w:rPr>
          <w:color w:val="000000" w:themeColor="text1"/>
        </w:rPr>
      </w:r>
      <w:r/>
    </w:p>
    <w:tbl>
      <w:tblPr>
        <w:tblStyle w:val="7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731"/>
        <w:gridCol w:w="124"/>
        <w:gridCol w:w="3084"/>
        <w:gridCol w:w="81"/>
        <w:gridCol w:w="1983"/>
        <w:gridCol w:w="628"/>
        <w:gridCol w:w="758"/>
        <w:gridCol w:w="1000"/>
        <w:gridCol w:w="616"/>
      </w:tblGrid>
      <w:tr>
        <w:trPr>
          <w:jc w:val="center"/>
        </w:trPr>
        <w:tc>
          <w:tcPr>
            <w:tcW w:w="353"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序号</w:t>
            </w:r>
            <w:r>
              <w:rPr>
                <w:color w:val="000000" w:themeColor="text1"/>
              </w:rPr>
            </w:r>
            <w:r/>
          </w:p>
        </w:tc>
        <w:tc>
          <w:tcPr>
            <w:tcW w:w="377"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项目</w:t>
            </w:r>
            <w:r>
              <w:rPr>
                <w:color w:val="000000" w:themeColor="text1"/>
              </w:rPr>
            </w:r>
            <w:r/>
          </w:p>
        </w:tc>
        <w:tc>
          <w:tcPr>
            <w:gridSpan w:val="2"/>
            <w:tcW w:w="1655"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细则要求</w:t>
            </w:r>
            <w:r>
              <w:rPr>
                <w:color w:val="000000" w:themeColor="text1"/>
              </w:rPr>
            </w:r>
            <w:r/>
          </w:p>
        </w:tc>
        <w:tc>
          <w:tcPr>
            <w:gridSpan w:val="3"/>
            <w:tcW w:w="1389"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扣分标准</w:t>
            </w:r>
            <w:r>
              <w:rPr>
                <w:color w:val="000000" w:themeColor="text1"/>
              </w:rPr>
            </w:r>
            <w:r/>
          </w:p>
        </w:tc>
        <w:tc>
          <w:tcPr>
            <w:tcW w:w="391"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分值</w:t>
            </w:r>
            <w:r>
              <w:rPr>
                <w:color w:val="000000" w:themeColor="text1"/>
              </w:rPr>
            </w:r>
            <w:r/>
          </w:p>
        </w:tc>
        <w:tc>
          <w:tcPr>
            <w:tcW w:w="516"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得分</w:t>
            </w:r>
            <w:r>
              <w:rPr>
                <w:color w:val="000000" w:themeColor="text1"/>
              </w:rPr>
            </w:r>
            <w:r/>
          </w:p>
        </w:tc>
        <w:tc>
          <w:tcPr>
            <w:tcW w:w="315"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备注</w:t>
            </w:r>
            <w:r>
              <w:rPr>
                <w:color w:val="000000" w:themeColor="text1"/>
              </w:rPr>
            </w:r>
            <w:r/>
          </w:p>
        </w:tc>
      </w:tr>
      <w:tr>
        <w:trPr>
          <w:jc w:val="center"/>
        </w:trPr>
        <w:tc>
          <w:tcPr>
            <w:tcW w:w="353"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一</w:t>
            </w:r>
            <w:r>
              <w:rPr>
                <w:color w:val="000000" w:themeColor="text1"/>
              </w:rPr>
            </w:r>
            <w:r/>
          </w:p>
        </w:tc>
        <w:tc>
          <w:tcPr>
            <w:tcW w:w="377"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制度建设</w:t>
            </w:r>
            <w:r>
              <w:rPr>
                <w:color w:val="000000" w:themeColor="text1"/>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1、根据实际工作，应有明确的工作制度、工作流程、汇报制度、纪律规范、考核和奖惩等制度</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制度缺失一次扣1分</w:t>
            </w:r>
            <w:r>
              <w:rPr>
                <w:color w:val="000000" w:themeColor="text1"/>
              </w:rPr>
            </w:r>
            <w:r/>
          </w:p>
        </w:tc>
        <w:tc>
          <w:tcPr>
            <w:tcW w:w="391"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5分</w:t>
            </w:r>
            <w:r>
              <w:rPr>
                <w:color w:val="000000" w:themeColor="text1"/>
              </w:rPr>
            </w:r>
            <w:r/>
          </w:p>
        </w:tc>
        <w:tc>
          <w:tcPr>
            <w:tcW w:w="516"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c>
          <w:tcPr>
            <w:tcW w:w="315"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2、安保管理服务各项工作有详细的工作流程和质量标准，有岗位职责、人员分工表等内部管理标准及切合实际、个性化内容。</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发现问题一项扣1分</w:t>
            </w:r>
            <w:r>
              <w:rPr>
                <w:color w:val="000000" w:themeColor="text1"/>
              </w:rPr>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1974"/>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3、安保公司应设置便于统计和检查的电子打卡程序和巡更系统设备，并每月汇总考勤表、请假表、工作计划、工作总结等，并按要求报送与该投标人签订的劳动合同、社保缴纳、意外险（雇主责任险）、保安员证、体检结果等材料。</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未设置电子打卡程序和巡更系统设备的，扣5分，点位不足的，每少1点扣1分，未及时报送一次扣1分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1184"/>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4、安保公司应按</w:t>
            </w:r>
            <w:r>
              <w:rPr>
                <w:rFonts w:hint="eastAsia" w:ascii="Times New Roman" w:hAnsi="Times New Roman" w:cs="Times New Roman"/>
                <w:color w:val="000000" w:themeColor="text1"/>
                <w:szCs w:val="21"/>
                <w:highlight w:val="none"/>
              </w:rPr>
              <w:t xml:space="preserve">采购人</w:t>
            </w:r>
            <w:r>
              <w:rPr>
                <w:rFonts w:ascii="Times New Roman" w:hAnsi="Times New Roman" w:cs="Times New Roman"/>
                <w:color w:val="000000" w:themeColor="text1"/>
                <w:szCs w:val="21"/>
                <w:highlight w:val="none"/>
              </w:rPr>
              <w:t xml:space="preserve">要求及规范每年为</w:t>
            </w:r>
            <w:r>
              <w:rPr>
                <w:rFonts w:hint="eastAsia" w:ascii="Times New Roman" w:hAnsi="Times New Roman" w:cs="Times New Roman"/>
                <w:color w:val="000000" w:themeColor="text1"/>
                <w:szCs w:val="21"/>
                <w:highlight w:val="none"/>
              </w:rPr>
              <w:t xml:space="preserve">采购人</w:t>
            </w:r>
            <w:r>
              <w:rPr>
                <w:rFonts w:ascii="Times New Roman" w:hAnsi="Times New Roman" w:cs="Times New Roman"/>
                <w:color w:val="000000" w:themeColor="text1"/>
                <w:szCs w:val="21"/>
                <w:highlight w:val="none"/>
              </w:rPr>
              <w:t xml:space="preserve">开展2次安全警示教育、2次灭火及疏散演练。</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未完成该项工作，发现一次扣2分，情节严重的，一次扣5分。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5、节假日、双休日期间，由现场负责人向</w:t>
            </w:r>
            <w:r>
              <w:rPr>
                <w:rFonts w:hint="eastAsia" w:ascii="Times New Roman" w:hAnsi="Times New Roman" w:cs="Times New Roman"/>
                <w:color w:val="000000" w:themeColor="text1"/>
                <w:szCs w:val="21"/>
                <w:highlight w:val="none"/>
              </w:rPr>
              <w:t xml:space="preserve">采购人</w:t>
            </w:r>
            <w:r>
              <w:rPr>
                <w:rFonts w:ascii="Times New Roman" w:hAnsi="Times New Roman" w:cs="Times New Roman"/>
                <w:color w:val="000000" w:themeColor="text1"/>
                <w:szCs w:val="21"/>
                <w:highlight w:val="none"/>
              </w:rPr>
              <w:t xml:space="preserve">进行安全（安保、消防及属于安保管理所有工作运行情况）报告。</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未及时报送一次扣1分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二</w:t>
            </w:r>
            <w:r>
              <w:rPr>
                <w:color w:val="000000" w:themeColor="text1"/>
              </w:rPr>
            </w:r>
            <w:r/>
          </w:p>
        </w:tc>
        <w:tc>
          <w:tcPr>
            <w:tcW w:w="377"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人员管理</w:t>
            </w:r>
            <w:r>
              <w:rPr>
                <w:color w:val="000000" w:themeColor="text1"/>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1、按照</w:t>
            </w:r>
            <w:r>
              <w:rPr>
                <w:rFonts w:hint="eastAsia" w:ascii="Times New Roman" w:hAnsi="Times New Roman" w:cs="Times New Roman"/>
                <w:color w:val="000000" w:themeColor="text1"/>
                <w:szCs w:val="21"/>
                <w:highlight w:val="none"/>
              </w:rPr>
              <w:t xml:space="preserve">采购人</w:t>
            </w:r>
            <w:r>
              <w:rPr>
                <w:rFonts w:ascii="Times New Roman" w:hAnsi="Times New Roman" w:cs="Times New Roman"/>
                <w:color w:val="000000" w:themeColor="text1"/>
                <w:szCs w:val="21"/>
                <w:highlight w:val="none"/>
              </w:rPr>
              <w:t xml:space="preserve">要求及响应文件配置安保人员，新进员工必须经培训合格后上岗。</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少一人扣</w:t>
            </w:r>
            <w:r>
              <w:rPr>
                <w:rFonts w:hint="eastAsia" w:ascii="Times New Roman" w:hAnsi="Times New Roman" w:cs="Times New Roman"/>
                <w:color w:val="000000" w:themeColor="text1"/>
                <w:szCs w:val="21"/>
                <w:highlight w:val="none"/>
              </w:rPr>
              <w:t xml:space="preserve">10</w:t>
            </w:r>
            <w:r>
              <w:rPr>
                <w:rFonts w:ascii="Times New Roman" w:hAnsi="Times New Roman" w:cs="Times New Roman"/>
                <w:color w:val="000000" w:themeColor="text1"/>
                <w:szCs w:val="21"/>
                <w:highlight w:val="none"/>
              </w:rPr>
              <w:t xml:space="preserve">分；未培训合格上岗的，发现每人次扣2分</w:t>
            </w:r>
            <w:r>
              <w:rPr>
                <w:color w:val="000000" w:themeColor="text1"/>
              </w:rPr>
            </w:r>
            <w:r/>
          </w:p>
        </w:tc>
        <w:tc>
          <w:tcPr>
            <w:tcW w:w="391"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26分</w:t>
            </w:r>
            <w:r>
              <w:rPr>
                <w:color w:val="000000" w:themeColor="text1"/>
              </w:rPr>
            </w:r>
            <w:r/>
          </w:p>
        </w:tc>
        <w:tc>
          <w:tcPr>
            <w:tcW w:w="516"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c>
          <w:tcPr>
            <w:tcW w:w="315"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2、员工离职需及时上报，应在10天内补充人员到位。</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未及时上报的，发现每人次扣1分；未及时补充人员，扣每人次每天0.5分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3、现场负责人不得随意更换，培训合格上岗后的员工，无特殊情况，不得随意换人。</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如不经安保科同意随意更换现场负责人，每人次扣5分，随意更换安保人员，每人次扣1分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4、严格请假、代班制度，不得迟到、早退、缺岗、旷工等。</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发现无故缺岗，每人次扣1分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5、安保人员应按规定统一着装，佩戴统一标识，注重仪表仪容，注意文明用语等。</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未统一着装等的，每发现一次扣0.5分，如发现无理顶撞他人或吵架斗殴等行为，每人次扣2分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6、发现员工在班期间办私事及脱岗、串岗、睡岗、玩手机、吸烟、吃零食、喝酒等做与工作无关的事。</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发现类似情况每人次扣1分；喝酒上岗的，每人次扣3分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7、员工有盗窃、失密等违法乱纪行为及做有损害</w:t>
            </w:r>
            <w:r>
              <w:rPr>
                <w:rFonts w:hint="eastAsia" w:ascii="Times New Roman" w:hAnsi="Times New Roman" w:cs="Times New Roman"/>
                <w:color w:val="000000" w:themeColor="text1"/>
                <w:szCs w:val="21"/>
                <w:highlight w:val="none"/>
              </w:rPr>
              <w:t xml:space="preserve">采购人</w:t>
            </w:r>
            <w:r>
              <w:rPr>
                <w:rFonts w:ascii="Times New Roman" w:hAnsi="Times New Roman" w:cs="Times New Roman"/>
                <w:color w:val="000000" w:themeColor="text1"/>
                <w:szCs w:val="21"/>
                <w:highlight w:val="none"/>
              </w:rPr>
              <w:t xml:space="preserve">利益的行为的。</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发生一次扣10分，当事员工应解除合同，情节严重按相关法规处理。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8、员工需遵守</w:t>
            </w:r>
            <w:r>
              <w:rPr>
                <w:rFonts w:hint="eastAsia" w:ascii="Times New Roman" w:hAnsi="Times New Roman" w:cs="Times New Roman"/>
                <w:color w:val="000000" w:themeColor="text1"/>
                <w:szCs w:val="21"/>
                <w:highlight w:val="none"/>
              </w:rPr>
              <w:t xml:space="preserve">采购人</w:t>
            </w:r>
            <w:r>
              <w:rPr>
                <w:rFonts w:ascii="Times New Roman" w:hAnsi="Times New Roman" w:cs="Times New Roman"/>
                <w:color w:val="000000" w:themeColor="text1"/>
                <w:szCs w:val="21"/>
                <w:highlight w:val="none"/>
              </w:rPr>
              <w:t xml:space="preserve">相关规章制度。</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发现违反规章制度的，每人次扣2分，情节严重按相关法规处理。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三</w:t>
            </w:r>
            <w:r>
              <w:rPr>
                <w:color w:val="000000" w:themeColor="text1"/>
              </w:rPr>
            </w:r>
            <w:r/>
          </w:p>
        </w:tc>
        <w:tc>
          <w:tcPr>
            <w:tcW w:w="377"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安全管理</w:t>
            </w:r>
            <w:r>
              <w:rPr>
                <w:color w:val="000000" w:themeColor="text1"/>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1、如因安保公司管理不到位，导致发生安全责任事故和财产损失。</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发生一次扣20分，并将按合同规定追究相关责任和赔偿损失外。</w:t>
            </w:r>
            <w:r>
              <w:rPr>
                <w:color w:val="000000" w:themeColor="text1"/>
              </w:rPr>
            </w:r>
            <w:r/>
          </w:p>
        </w:tc>
        <w:tc>
          <w:tcPr>
            <w:tcW w:w="391"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26分</w:t>
            </w:r>
            <w:r>
              <w:rPr>
                <w:color w:val="000000" w:themeColor="text1"/>
              </w:rPr>
            </w:r>
            <w:r/>
          </w:p>
        </w:tc>
        <w:tc>
          <w:tcPr>
            <w:tcW w:w="516"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c>
          <w:tcPr>
            <w:tcW w:w="315"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2、如因安保人员工作不尽职，导致发生安全责任事故和财产损失。</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发生一次扣20分，并将按合同规定追究相关责任和赔偿损失外。</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3、安全服务工作不到位被各级领导批评或被</w:t>
            </w:r>
            <w:r>
              <w:rPr>
                <w:rFonts w:hint="eastAsia" w:ascii="Times New Roman" w:hAnsi="Times New Roman" w:cs="Times New Roman"/>
                <w:color w:val="000000" w:themeColor="text1"/>
                <w:szCs w:val="21"/>
                <w:highlight w:val="none"/>
              </w:rPr>
              <w:t xml:space="preserve">采购人内部</w:t>
            </w:r>
            <w:r>
              <w:rPr>
                <w:rFonts w:ascii="Times New Roman" w:hAnsi="Times New Roman" w:cs="Times New Roman"/>
                <w:color w:val="000000" w:themeColor="text1"/>
                <w:szCs w:val="21"/>
                <w:highlight w:val="none"/>
              </w:rPr>
              <w:t xml:space="preserve">人员投诉，经查实的。</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发生一次扣2分；如拒不整改的，每次扣5分。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4、人员、车辆出入未严格登记、验证，管理不到位的。</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发生一次扣1分，造成无关人员进入办公区域的，一次扣5分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5、当班期间发现可疑人员不询问、不查询。</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发现一次扣0.5分。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6、严格落实巡查要求。</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未按照要求巡查的每次扣2分。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7、值班、巡查、巡更、考勤等各项记录不完整、不规范的。</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发现一次扣0.5分。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8、大型车辆和发现有危险品进入时，要及时向</w:t>
            </w:r>
            <w:r>
              <w:rPr>
                <w:rFonts w:hint="eastAsia" w:ascii="Times New Roman" w:hAnsi="Times New Roman" w:cs="Times New Roman"/>
                <w:color w:val="000000" w:themeColor="text1"/>
                <w:szCs w:val="21"/>
                <w:highlight w:val="none"/>
              </w:rPr>
              <w:t xml:space="preserve">采购人</w:t>
            </w:r>
            <w:r>
              <w:rPr>
                <w:rFonts w:ascii="Times New Roman" w:hAnsi="Times New Roman" w:cs="Times New Roman"/>
                <w:color w:val="000000" w:themeColor="text1"/>
                <w:szCs w:val="21"/>
                <w:highlight w:val="none"/>
              </w:rPr>
              <w:t xml:space="preserve">报告，经批准后方可进入，并派人全程跟踪。</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发现漏报、瞒报每次扣2分。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9、不按时立岗的。</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发现一次扣0.5分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10、安保人员岗位配备足够数量对讲机、巡更棒等器械并按规定使用。</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未按规定使用，发现一次扣1分，造成后果的，每次扣5分</w:t>
            </w:r>
            <w:r>
              <w:rPr>
                <w:color w:val="000000" w:themeColor="text1"/>
              </w:rPr>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rPr>
              <w:t xml:space="preserve">四</w:t>
            </w:r>
            <w:r>
              <w:rPr>
                <w:color w:val="000000" w:themeColor="text1"/>
              </w:rPr>
            </w:r>
            <w:r/>
          </w:p>
        </w:tc>
        <w:tc>
          <w:tcPr>
            <w:tcW w:w="377"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台账建设</w:t>
            </w:r>
            <w:r>
              <w:rPr>
                <w:color w:val="000000" w:themeColor="text1"/>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1、消控室及门卫室工作台账应全面、清楚、完整、如实反映工作、值班及交接班情况；直接负责人应对工作台帐、表单记录情况进行监督检查。</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存在台账不规范、不健全、字迹不清晰、漏写、补写、造假等情况，发现一次扣1分。</w:t>
            </w:r>
            <w:r>
              <w:rPr>
                <w:color w:val="000000" w:themeColor="text1"/>
              </w:rPr>
            </w:r>
            <w:r/>
          </w:p>
        </w:tc>
        <w:tc>
          <w:tcPr>
            <w:tcW w:w="391"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10分</w:t>
            </w:r>
            <w:r>
              <w:rPr>
                <w:color w:val="000000" w:themeColor="text1"/>
              </w:rPr>
            </w:r>
            <w:r/>
          </w:p>
        </w:tc>
        <w:tc>
          <w:tcPr>
            <w:tcW w:w="516"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c>
          <w:tcPr>
            <w:tcW w:w="315"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2、各级会议记录、各类活动统计、培训、每日巡逻及上报材料等汇总归档情况均应有记录。</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发现问题一次扣0.5分</w:t>
            </w:r>
            <w:r>
              <w:rPr>
                <w:color w:val="000000" w:themeColor="text1"/>
              </w:rPr>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3、配合安保科完成各级台账检查工作。</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拒不配合，一次扣5分</w:t>
            </w:r>
            <w:r>
              <w:rPr>
                <w:color w:val="000000" w:themeColor="text1"/>
              </w:rPr>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rPr>
              <w:t xml:space="preserve">五</w:t>
            </w:r>
            <w:r>
              <w:rPr>
                <w:color w:val="000000" w:themeColor="text1"/>
              </w:rPr>
            </w:r>
            <w:r/>
          </w:p>
        </w:tc>
        <w:tc>
          <w:tcPr>
            <w:tcW w:w="377"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监控管理</w:t>
            </w:r>
            <w:r>
              <w:rPr>
                <w:color w:val="000000" w:themeColor="text1"/>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1、每天按时交接班，做好特殊情况记录。</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记录如存在不规范、不健全、字迹不清晰、漏写、补写、造假等情况的，发现一次扣1分</w:t>
            </w:r>
            <w:r>
              <w:rPr>
                <w:color w:val="000000" w:themeColor="text1"/>
              </w:rPr>
            </w:r>
            <w:r/>
          </w:p>
        </w:tc>
        <w:tc>
          <w:tcPr>
            <w:tcW w:w="391"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4分</w:t>
            </w:r>
            <w:r>
              <w:rPr>
                <w:color w:val="000000" w:themeColor="text1"/>
              </w:rPr>
            </w:r>
            <w:r/>
          </w:p>
        </w:tc>
        <w:tc>
          <w:tcPr>
            <w:tcW w:w="516"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c>
          <w:tcPr>
            <w:tcW w:w="315"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2、监控消防等联网设备的运行情况，发现设备报警及时上报并处理。</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未及时上报的，扣0.5分</w:t>
            </w:r>
            <w:r>
              <w:rPr>
                <w:color w:val="000000" w:themeColor="text1"/>
              </w:rPr>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3、治安监控的调阅，必须经规定审批后方可。</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未经审批的，每次扣2分</w:t>
            </w:r>
            <w:r>
              <w:rPr>
                <w:color w:val="000000" w:themeColor="text1"/>
              </w:rPr>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4、对重点部位监控发现形迹可疑的，应及时上报处理</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不及时汇报的，一次扣1分。（造成后果的，另行处理）</w:t>
            </w:r>
            <w:r>
              <w:rPr>
                <w:color w:val="000000" w:themeColor="text1"/>
              </w:rPr>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5、遇到报警及其他特殊情况应及时上报处理，结束后及时消除。</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未及时消除的，一次扣0.5分。</w:t>
            </w:r>
            <w:r>
              <w:rPr>
                <w:color w:val="000000" w:themeColor="text1"/>
              </w:rPr>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rPr>
              <w:t xml:space="preserve">六</w:t>
            </w:r>
            <w:r>
              <w:rPr>
                <w:color w:val="000000" w:themeColor="text1"/>
              </w:rPr>
            </w:r>
            <w:r/>
          </w:p>
        </w:tc>
        <w:tc>
          <w:tcPr>
            <w:tcW w:w="377"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卫生质量</w:t>
            </w:r>
            <w:r>
              <w:rPr>
                <w:color w:val="000000" w:themeColor="text1"/>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rPr>
              <w:t xml:space="preserve">1、</w:t>
            </w:r>
            <w:r>
              <w:rPr>
                <w:rFonts w:ascii="Times New Roman" w:hAnsi="Times New Roman" w:cs="Times New Roman"/>
                <w:color w:val="000000" w:themeColor="text1"/>
                <w:szCs w:val="21"/>
                <w:highlight w:val="none"/>
              </w:rPr>
              <w:t xml:space="preserve">安保人员门卫室、消控室、包干区等管理部位存在不整洁，有脏乱差现象。</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发现一次扣0.5分。</w:t>
            </w:r>
            <w:r>
              <w:rPr>
                <w:color w:val="000000" w:themeColor="text1"/>
              </w:rPr>
            </w:r>
            <w:r/>
          </w:p>
        </w:tc>
        <w:tc>
          <w:tcPr>
            <w:tcW w:w="391"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3分</w:t>
            </w:r>
            <w:r>
              <w:rPr>
                <w:color w:val="000000" w:themeColor="text1"/>
              </w:rPr>
            </w:r>
            <w:r/>
          </w:p>
        </w:tc>
        <w:tc>
          <w:tcPr>
            <w:tcW w:w="516"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c>
          <w:tcPr>
            <w:tcW w:w="315"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r>
      <w:tr>
        <w:trPr>
          <w:jc w:val="center"/>
          <w:trHeight w:val="90"/>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rPr>
              <w:t xml:space="preserve">2、</w:t>
            </w:r>
            <w:r>
              <w:rPr>
                <w:rFonts w:ascii="Times New Roman" w:hAnsi="Times New Roman" w:cs="Times New Roman"/>
                <w:color w:val="000000" w:themeColor="text1"/>
                <w:szCs w:val="21"/>
                <w:highlight w:val="none"/>
              </w:rPr>
              <w:t xml:space="preserve">消防设施设备包括但不限于火灾报警控制器、消防栓箱等，干净、无灰尘、无污迹。</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发现一次扣0.5分。</w:t>
            </w:r>
            <w:r>
              <w:rPr>
                <w:color w:val="000000" w:themeColor="text1"/>
              </w:rPr>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rPr>
              <w:t xml:space="preserve">七</w:t>
            </w:r>
            <w:r>
              <w:rPr>
                <w:color w:val="000000" w:themeColor="text1"/>
              </w:rPr>
            </w:r>
            <w:r/>
          </w:p>
        </w:tc>
        <w:tc>
          <w:tcPr>
            <w:tcW w:w="377"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宋体" w:hAnsi="宋体" w:eastAsia="宋体" w:cs="宋体"/>
                <w:color w:val="000000" w:themeColor="text1"/>
                <w:szCs w:val="22"/>
                <w:highlight w:val="none"/>
              </w:rPr>
              <w:t xml:space="preserve">消防管理</w:t>
            </w:r>
            <w:r>
              <w:rPr>
                <w:color w:val="000000" w:themeColor="text1"/>
              </w:rPr>
            </w:r>
            <w:r/>
          </w:p>
        </w:tc>
        <w:tc>
          <w:tcPr>
            <w:gridSpan w:val="2"/>
            <w:tcW w:w="1655" w:type="pct"/>
            <w:vAlign w:val="center"/>
            <w:textDirection w:val="lrTb"/>
            <w:noWrap w:val="false"/>
          </w:tcPr>
          <w:p>
            <w:pPr>
              <w:spacing w:line="85" w:lineRule="atLeast"/>
              <w:rPr>
                <w:rFonts w:ascii="Times New Roman" w:hAnsi="Times New Roman" w:cs="Times New Roman"/>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2"/>
                <w:highlight w:val="none"/>
              </w:rPr>
              <w:t xml:space="preserve">1、对发生初期火灾的处理方式</w:t>
            </w:r>
            <w:r>
              <w:rPr>
                <w:color w:val="000000" w:themeColor="text1"/>
              </w:rPr>
            </w:r>
            <w:r/>
          </w:p>
        </w:tc>
        <w:tc>
          <w:tcPr>
            <w:gridSpan w:val="3"/>
            <w:tcW w:w="1389" w:type="pct"/>
            <w:vAlign w:val="center"/>
            <w:textDirection w:val="lrTb"/>
            <w:noWrap w:val="false"/>
          </w:tcPr>
          <w:p>
            <w:pPr>
              <w:spacing w:line="85" w:lineRule="atLeast"/>
              <w:rPr>
                <w:rFonts w:ascii="Times New Roman" w:hAnsi="Times New Roman" w:cs="Times New Roman"/>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2"/>
                <w:highlight w:val="none"/>
              </w:rPr>
              <w:t xml:space="preserve">未及时扑灭火灾造成后果，扣</w:t>
            </w:r>
            <w:r>
              <w:rPr>
                <w:rFonts w:hint="eastAsia" w:ascii="宋体" w:hAnsi="宋体" w:cs="宋体"/>
                <w:color w:val="000000" w:themeColor="text1"/>
                <w:szCs w:val="22"/>
                <w:highlight w:val="none"/>
              </w:rPr>
              <w:t xml:space="preserve">6</w:t>
            </w:r>
            <w:r>
              <w:rPr>
                <w:rFonts w:ascii="宋体" w:hAnsi="宋体" w:eastAsia="宋体" w:cs="宋体"/>
                <w:color w:val="000000" w:themeColor="text1"/>
                <w:szCs w:val="22"/>
                <w:highlight w:val="none"/>
              </w:rPr>
              <w:t xml:space="preserve">分</w:t>
            </w:r>
            <w:r>
              <w:rPr>
                <w:color w:val="000000" w:themeColor="text1"/>
              </w:rPr>
            </w:r>
            <w:r/>
          </w:p>
        </w:tc>
        <w:tc>
          <w:tcPr>
            <w:tcW w:w="391"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hint="eastAsia" w:cs="Times New Roman"/>
                <w:color w:val="000000" w:themeColor="text1"/>
                <w:szCs w:val="21"/>
                <w:highlight w:val="none"/>
              </w:rPr>
              <w:t xml:space="preserve">26</w:t>
            </w:r>
            <w:r>
              <w:rPr>
                <w:rFonts w:ascii="Times New Roman" w:hAnsi="Times New Roman" w:cs="Times New Roman"/>
                <w:color w:val="000000" w:themeColor="text1"/>
                <w:szCs w:val="21"/>
                <w:highlight w:val="none"/>
              </w:rPr>
              <w:t xml:space="preserve">分</w:t>
            </w:r>
            <w:r>
              <w:rPr>
                <w:color w:val="000000" w:themeColor="text1"/>
              </w:rPr>
            </w:r>
            <w:r/>
          </w:p>
        </w:tc>
        <w:tc>
          <w:tcPr>
            <w:tcW w:w="516"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c>
          <w:tcPr>
            <w:tcW w:w="315" w:type="pct"/>
            <w:vAlign w:val="center"/>
            <w:vMerge w:val="restart"/>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spacing w:line="85" w:lineRule="atLeast"/>
              <w:rPr>
                <w:rFonts w:ascii="Times New Roman" w:hAnsi="Times New Roman" w:cs="Times New Roman"/>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2"/>
                <w:highlight w:val="none"/>
              </w:rPr>
              <w:t xml:space="preserve">2、对发生较大火灾的处理方式</w:t>
            </w:r>
            <w:r>
              <w:rPr>
                <w:color w:val="000000" w:themeColor="text1"/>
              </w:rPr>
            </w:r>
            <w:r/>
          </w:p>
        </w:tc>
        <w:tc>
          <w:tcPr>
            <w:gridSpan w:val="3"/>
            <w:tcW w:w="1389" w:type="pct"/>
            <w:vAlign w:val="center"/>
            <w:textDirection w:val="lrTb"/>
            <w:noWrap w:val="false"/>
          </w:tcPr>
          <w:p>
            <w:pPr>
              <w:spacing w:line="85" w:lineRule="atLeast"/>
              <w:rPr>
                <w:rFonts w:ascii="Times New Roman" w:hAnsi="Times New Roman" w:cs="Times New Roman"/>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2"/>
                <w:highlight w:val="none"/>
              </w:rPr>
              <w:t xml:space="preserve">未及时控制火情造成严重后果，扣</w:t>
            </w:r>
            <w:r>
              <w:rPr>
                <w:rFonts w:hint="eastAsia" w:ascii="宋体" w:hAnsi="宋体" w:cs="宋体"/>
                <w:color w:val="000000" w:themeColor="text1"/>
                <w:szCs w:val="22"/>
                <w:highlight w:val="none"/>
              </w:rPr>
              <w:t xml:space="preserve">10</w:t>
            </w:r>
            <w:r>
              <w:rPr>
                <w:rFonts w:ascii="宋体" w:hAnsi="宋体" w:eastAsia="宋体" w:cs="宋体"/>
                <w:color w:val="000000" w:themeColor="text1"/>
                <w:szCs w:val="22"/>
                <w:highlight w:val="none"/>
              </w:rPr>
              <w:t xml:space="preserve">分</w:t>
            </w:r>
            <w:r>
              <w:rPr>
                <w:color w:val="000000" w:themeColor="text1"/>
              </w:rPr>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spacing w:line="85" w:lineRule="atLeast"/>
              <w:rPr>
                <w:rFonts w:ascii="Times New Roman" w:hAnsi="Times New Roman" w:cs="Times New Roman"/>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2"/>
                <w:highlight w:val="none"/>
              </w:rPr>
              <w:t xml:space="preserve">3、对发生重大火灾的处理方法</w:t>
            </w:r>
            <w:r>
              <w:rPr>
                <w:color w:val="000000" w:themeColor="text1"/>
              </w:rPr>
            </w:r>
            <w:r/>
          </w:p>
        </w:tc>
        <w:tc>
          <w:tcPr>
            <w:gridSpan w:val="3"/>
            <w:tcW w:w="1389" w:type="pct"/>
            <w:vAlign w:val="center"/>
            <w:textDirection w:val="lrTb"/>
            <w:noWrap w:val="false"/>
          </w:tcPr>
          <w:p>
            <w:pPr>
              <w:spacing w:line="85" w:lineRule="atLeast"/>
              <w:rPr>
                <w:rFonts w:ascii="Times New Roman" w:hAnsi="Times New Roman" w:cs="Times New Roman"/>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2"/>
                <w:highlight w:val="none"/>
              </w:rPr>
              <w:t xml:space="preserve">未及时控制火情造成严重后果，扣</w:t>
            </w:r>
            <w:r>
              <w:rPr>
                <w:rFonts w:hint="eastAsia" w:ascii="宋体" w:hAnsi="宋体" w:cs="宋体"/>
                <w:color w:val="000000" w:themeColor="text1"/>
                <w:szCs w:val="22"/>
                <w:highlight w:val="none"/>
              </w:rPr>
              <w:t xml:space="preserve">10</w:t>
            </w:r>
            <w:r>
              <w:rPr>
                <w:rFonts w:ascii="宋体" w:hAnsi="宋体" w:eastAsia="宋体" w:cs="宋体"/>
                <w:color w:val="000000" w:themeColor="text1"/>
                <w:szCs w:val="22"/>
                <w:highlight w:val="none"/>
              </w:rPr>
              <w:t xml:space="preserve">分</w:t>
            </w:r>
            <w:r>
              <w:rPr>
                <w:color w:val="000000" w:themeColor="text1"/>
              </w:rPr>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textDirection w:val="lrTb"/>
            <w:noWrap w:val="false"/>
          </w:tcPr>
          <w:p>
            <w:pPr>
              <w:jc w:val="center"/>
              <w:rPr>
                <w:rFonts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rPr>
              <w:t xml:space="preserve">八</w:t>
            </w:r>
            <w:r>
              <w:rPr>
                <w:color w:val="000000" w:themeColor="text1"/>
              </w:rPr>
            </w:r>
            <w:r/>
          </w:p>
        </w:tc>
        <w:tc>
          <w:tcPr>
            <w:tcW w:w="377"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其他</w:t>
            </w:r>
            <w:r>
              <w:rPr>
                <w:color w:val="000000" w:themeColor="text1"/>
              </w:rPr>
            </w:r>
            <w:r/>
          </w:p>
        </w:tc>
        <w:tc>
          <w:tcPr>
            <w:gridSpan w:val="2"/>
            <w:tcW w:w="1655"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其他以上类似情况的未尽事宜以及其他违反法律规范、</w:t>
            </w:r>
            <w:r>
              <w:rPr>
                <w:rFonts w:hint="eastAsia" w:ascii="Times New Roman" w:hAnsi="Times New Roman" w:cs="Times New Roman"/>
                <w:color w:val="000000" w:themeColor="text1"/>
                <w:szCs w:val="21"/>
                <w:highlight w:val="none"/>
              </w:rPr>
              <w:t xml:space="preserve">采购人</w:t>
            </w:r>
            <w:r>
              <w:rPr>
                <w:rFonts w:ascii="Times New Roman" w:hAnsi="Times New Roman" w:cs="Times New Roman"/>
                <w:color w:val="000000" w:themeColor="text1"/>
                <w:szCs w:val="21"/>
                <w:highlight w:val="none"/>
              </w:rPr>
              <w:t xml:space="preserve">要求和行业规范的行为。</w:t>
            </w:r>
            <w:r>
              <w:rPr>
                <w:color w:val="000000" w:themeColor="text1"/>
              </w:rPr>
            </w:r>
            <w:r/>
          </w:p>
        </w:tc>
        <w:tc>
          <w:tcPr>
            <w:gridSpan w:val="3"/>
            <w:tcW w:w="1389" w:type="pct"/>
            <w:vAlign w:val="center"/>
            <w:textDirection w:val="lrTb"/>
            <w:noWrap w:val="false"/>
          </w:tcPr>
          <w:p>
            <w:pPr>
              <w:jc w:val="left"/>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发现一次，根据以上类似情况进行扣分</w:t>
            </w:r>
            <w:r>
              <w:rPr>
                <w:color w:val="000000" w:themeColor="text1"/>
              </w:rPr>
            </w:r>
            <w:r/>
          </w:p>
        </w:tc>
        <w:tc>
          <w:tcPr>
            <w:gridSpan w:val="3"/>
            <w:tcW w:w="1223"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r>
      <w:tr>
        <w:trPr>
          <w:jc w:val="center"/>
          <w:trHeight w:val="448"/>
        </w:trPr>
        <w:tc>
          <w:tcPr>
            <w:tcW w:w="353" w:type="pct"/>
            <w:vAlign w:val="center"/>
            <w:textDirection w:val="lrTb"/>
            <w:noWrap w:val="false"/>
          </w:tcPr>
          <w:p>
            <w:pP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c>
          <w:tcPr>
            <w:gridSpan w:val="9"/>
            <w:tcW w:w="4646" w:type="pct"/>
            <w:vAlign w:val="center"/>
            <w:textDirection w:val="lrTb"/>
            <w:noWrap w:val="false"/>
          </w:tcPr>
          <w:p>
            <w:pPr>
              <w:pStyle w:val="719"/>
              <w:ind w:left="0"/>
              <w:spacing w:after="0"/>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t xml:space="preserve">考核标准：</w:t>
            </w:r>
            <w:r>
              <w:rPr>
                <w:color w:val="000000" w:themeColor="text1"/>
              </w:rPr>
            </w:r>
            <w:r/>
          </w:p>
          <w:p>
            <w:pPr>
              <w:pStyle w:val="719"/>
              <w:ind w:left="0"/>
              <w:spacing w:after="0"/>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t xml:space="preserve">按照《保安服务考核标准》，经考核后，如投标人服务考核结果：</w:t>
            </w:r>
            <w:r>
              <w:rPr>
                <w:color w:val="000000" w:themeColor="text1"/>
              </w:rPr>
            </w:r>
            <w:r/>
          </w:p>
          <w:p>
            <w:pPr>
              <w:pStyle w:val="719"/>
              <w:ind w:left="0"/>
              <w:spacing w:after="0"/>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t xml:space="preserve">总分≥85分，每扣1分，折合扣款100元；</w:t>
            </w:r>
            <w:r>
              <w:rPr>
                <w:color w:val="000000" w:themeColor="text1"/>
              </w:rPr>
            </w:r>
            <w:r/>
          </w:p>
          <w:p>
            <w:pPr>
              <w:pStyle w:val="719"/>
              <w:ind w:left="0"/>
              <w:spacing w:after="0"/>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t xml:space="preserve">80分≤总分＜85分，扣除管理费5000元；</w:t>
            </w:r>
            <w:r>
              <w:rPr>
                <w:color w:val="000000" w:themeColor="text1"/>
              </w:rPr>
            </w:r>
            <w:r/>
          </w:p>
          <w:p>
            <w:pPr>
              <w:pStyle w:val="719"/>
              <w:ind w:left="0"/>
              <w:spacing w:after="0"/>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t xml:space="preserve">75分≤总分＜80分，扣除管理费10000元；</w:t>
            </w:r>
            <w:r>
              <w:rPr>
                <w:color w:val="000000" w:themeColor="text1"/>
              </w:rPr>
            </w:r>
            <w:r/>
          </w:p>
          <w:p>
            <w:pPr>
              <w:pStyle w:val="719"/>
              <w:ind w:left="0"/>
              <w:spacing w:after="0"/>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t xml:space="preserve">70分≤总分＜75分，扣除管理费15000元； </w:t>
            </w:r>
            <w:r>
              <w:rPr>
                <w:color w:val="000000" w:themeColor="text1"/>
              </w:rPr>
            </w:r>
            <w:r/>
          </w:p>
          <w:p>
            <w:pPr>
              <w:pStyle w:val="719"/>
              <w:ind w:left="0"/>
              <w:spacing w:after="0"/>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t xml:space="preserve">65分≤总分＜70分，扣除管理费20000元；</w:t>
            </w:r>
            <w:r>
              <w:rPr>
                <w:color w:val="000000" w:themeColor="text1"/>
              </w:rPr>
            </w:r>
            <w:r/>
          </w:p>
          <w:p>
            <w:pPr>
              <w:pStyle w:val="719"/>
              <w:ind w:left="0"/>
              <w:spacing w:after="0"/>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t xml:space="preserve">60分≤总分＜65分，扣除管理费25000元；</w:t>
            </w:r>
            <w:r>
              <w:rPr>
                <w:color w:val="000000" w:themeColor="text1"/>
              </w:rPr>
            </w:r>
            <w:r/>
          </w:p>
          <w:p>
            <w:pPr>
              <w:pStyle w:val="719"/>
              <w:ind w:left="0"/>
              <w:spacing w:after="0"/>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t xml:space="preserve">得分80分以下为不合格。连续3个月总分＜80分，采购人将有权终止合同。每次考核中扣款以季度为单位，从季度付款中扣除结算。</w:t>
            </w:r>
            <w:r>
              <w:rPr>
                <w:color w:val="000000" w:themeColor="text1"/>
              </w:rPr>
            </w:r>
            <w:r/>
          </w:p>
        </w:tc>
      </w:tr>
      <w:tr>
        <w:trPr>
          <w:jc w:val="center"/>
          <w:trHeight w:val="508"/>
        </w:trPr>
        <w:tc>
          <w:tcPr>
            <w:gridSpan w:val="3"/>
            <w:tcW w:w="794"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得分情况</w:t>
            </w:r>
            <w:r>
              <w:rPr>
                <w:color w:val="000000" w:themeColor="text1"/>
              </w:rPr>
            </w:r>
            <w:r/>
          </w:p>
        </w:tc>
        <w:tc>
          <w:tcPr>
            <w:gridSpan w:val="2"/>
            <w:tcW w:w="1633"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c>
          <w:tcPr>
            <w:tcW w:w="1023"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扣款情况</w:t>
            </w:r>
            <w:r>
              <w:rPr>
                <w:color w:val="000000" w:themeColor="text1"/>
              </w:rPr>
            </w:r>
            <w:r/>
          </w:p>
        </w:tc>
        <w:tc>
          <w:tcPr>
            <w:gridSpan w:val="4"/>
            <w:tcW w:w="1548"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r>
      <w:tr>
        <w:trPr>
          <w:jc w:val="center"/>
          <w:trHeight w:val="518"/>
        </w:trPr>
        <w:tc>
          <w:tcPr>
            <w:gridSpan w:val="3"/>
            <w:tcW w:w="794"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安保人员</w:t>
            </w:r>
            <w:r>
              <w:rPr>
                <w:color w:val="000000" w:themeColor="text1"/>
              </w:rPr>
            </w:r>
            <w:r/>
          </w:p>
        </w:tc>
        <w:tc>
          <w:tcPr>
            <w:gridSpan w:val="2"/>
            <w:tcW w:w="1633"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c>
          <w:tcPr>
            <w:tcW w:w="1023"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考核人员</w:t>
            </w:r>
            <w:r>
              <w:rPr>
                <w:color w:val="000000" w:themeColor="text1"/>
              </w:rPr>
            </w:r>
            <w:r/>
          </w:p>
        </w:tc>
        <w:tc>
          <w:tcPr>
            <w:gridSpan w:val="4"/>
            <w:tcW w:w="1548" w:type="pct"/>
            <w:vAlign w:val="center"/>
            <w:textDirection w:val="lrTb"/>
            <w:noWrap w:val="false"/>
          </w:tcPr>
          <w:p>
            <w:pPr>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r>
            <w:r>
              <w:rPr>
                <w:color w:val="000000" w:themeColor="text1"/>
              </w:rPr>
            </w:r>
            <w:r/>
          </w:p>
        </w:tc>
      </w:tr>
    </w:tbl>
    <w:p>
      <w:pPr>
        <w:ind w:firstLine="422"/>
        <w:spacing w:line="360" w:lineRule="auto"/>
        <w:tabs>
          <w:tab w:val="left" w:pos="1050" w:leader="none"/>
        </w:tabs>
        <w:rPr>
          <w:rFonts w:hint="eastAsia" w:ascii="宋体" w:hAnsi="宋体" w:eastAsia="宋体" w:cs="宋体"/>
          <w:b/>
          <w:color w:val="000000" w:themeColor="text1"/>
          <w:sz w:val="24"/>
          <w:highlight w:val="none"/>
        </w:rPr>
      </w:pPr>
      <w:r>
        <w:rPr>
          <w:rFonts w:hint="eastAsia" w:ascii="宋体" w:hAnsi="宋体" w:eastAsia="宋体" w:cs="宋体"/>
          <w:b/>
          <w:bCs/>
          <w:color w:val="000000" w:themeColor="text1"/>
          <w:sz w:val="24"/>
          <w:highlight w:val="none"/>
        </w:rPr>
        <w:t xml:space="preserve">（三）</w:t>
      </w:r>
      <w:r>
        <w:rPr>
          <w:rFonts w:hint="eastAsia" w:ascii="宋体" w:hAnsi="宋体" w:eastAsia="宋体" w:cs="宋体"/>
          <w:b/>
          <w:color w:val="000000" w:themeColor="text1"/>
          <w:sz w:val="24"/>
          <w:highlight w:val="none"/>
        </w:rPr>
        <w:t xml:space="preserve">报价要求：</w:t>
      </w:r>
      <w:r>
        <w:rPr>
          <w:color w:val="000000" w:themeColor="text1"/>
        </w:rPr>
      </w:r>
      <w:r/>
    </w:p>
    <w:p>
      <w:pPr>
        <w:ind w:firstLine="480"/>
        <w:spacing w:line="360" w:lineRule="auto"/>
        <w:tabs>
          <w:tab w:val="left" w:pos="105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供应商应充分考虑所有可能影响到报价的价格及政策等风险因素，一旦中标，服务总价将包定，一律不予调整。在服务过程中，如发现有漏项，服务方应无条件服务，所发生的一切费用，视为已包含在服务方的投标报价中。</w:t>
      </w:r>
      <w:r>
        <w:rPr>
          <w:color w:val="000000" w:themeColor="text1"/>
        </w:rPr>
      </w:r>
      <w:r/>
    </w:p>
    <w:p>
      <w:pPr>
        <w:ind w:firstLine="480"/>
        <w:spacing w:line="360" w:lineRule="auto"/>
        <w:tabs>
          <w:tab w:val="left" w:pos="105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2.供应商的任何错漏、优惠、竞争性报价不得作为减轻责任、减少服务、增加收费、降低质量的理由。</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3.中标供应商必须按照招标文件要求、投标文件中的承诺以及采购合同内容严格履行本项目服务。</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rPr>
      </w:r>
      <w:r/>
    </w:p>
    <w:p>
      <w:pPr>
        <w:pStyle w:val="736"/>
        <w:rPr>
          <w:color w:val="000000" w:themeColor="text1"/>
          <w:highlight w:val="none"/>
        </w:rPr>
      </w:pPr>
      <w:r>
        <w:rPr>
          <w:color w:val="000000" w:themeColor="text1"/>
          <w:highlight w:val="none"/>
        </w:rPr>
      </w:r>
      <w:r>
        <w:rPr>
          <w:color w:val="000000" w:themeColor="text1"/>
        </w:rPr>
      </w:r>
      <w:r/>
    </w:p>
    <w:p>
      <w:pPr>
        <w:pStyle w:val="71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numPr>
          <w:ilvl w:val="0"/>
          <w:numId w:val="7"/>
        </w:numPr>
        <w:jc w:val="center"/>
        <w:rPr>
          <w:rFonts w:hint="eastAsia" w:ascii="宋体" w:hAnsi="宋体" w:eastAsia="宋体" w:cs="宋体"/>
          <w:b/>
          <w:color w:val="000000" w:themeColor="text1"/>
          <w:sz w:val="40"/>
          <w:szCs w:val="40"/>
          <w:highlight w:val="none"/>
        </w:rPr>
      </w:pPr>
      <w:r>
        <w:rPr>
          <w:color w:val="000000" w:themeColor="text1"/>
        </w:rPr>
      </w:r>
      <w:bookmarkStart w:id="9" w:name="page19"/>
      <w:r>
        <w:rPr>
          <w:color w:val="000000" w:themeColor="text1"/>
        </w:rPr>
      </w:r>
      <w:bookmarkEnd w:id="9"/>
      <w:r>
        <w:rPr>
          <w:rFonts w:hint="eastAsia" w:ascii="宋体" w:hAnsi="宋体" w:eastAsia="宋体" w:cs="宋体"/>
          <w:b/>
          <w:color w:val="000000" w:themeColor="text1"/>
          <w:sz w:val="40"/>
          <w:szCs w:val="40"/>
          <w:highlight w:val="none"/>
        </w:rPr>
        <w:t xml:space="preserve">合同主要条款及格式</w:t>
      </w:r>
      <w:r>
        <w:rPr>
          <w:color w:val="000000" w:themeColor="text1"/>
        </w:rPr>
      </w:r>
      <w:r/>
    </w:p>
    <w:p>
      <w:pPr>
        <w:jc w:val="center"/>
        <w:spacing w:line="0" w:lineRule="atLeast"/>
        <w:rPr>
          <w:rFonts w:hint="eastAsia" w:ascii="宋体" w:hAnsi="宋体" w:eastAsia="宋体" w:cs="宋体"/>
          <w:color w:val="000000" w:themeColor="text1"/>
          <w:sz w:val="52"/>
          <w:szCs w:val="52"/>
          <w:highlight w:val="none"/>
        </w:rPr>
      </w:pPr>
      <w:r>
        <w:rPr>
          <w:rFonts w:hint="eastAsia" w:ascii="宋体" w:hAnsi="宋体" w:eastAsia="宋体" w:cs="宋体"/>
          <w:color w:val="000000" w:themeColor="text1"/>
          <w:sz w:val="52"/>
          <w:szCs w:val="52"/>
          <w:highlight w:val="none"/>
        </w:rPr>
      </w:r>
      <w:r>
        <w:rPr>
          <w:color w:val="000000" w:themeColor="text1"/>
        </w:rPr>
      </w:r>
      <w:r/>
    </w:p>
    <w:p>
      <w:pPr>
        <w:spacing w:after="12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71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after="12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spacing w:line="0" w:lineRule="atLeast"/>
        <w:rPr>
          <w:rFonts w:hint="eastAsia" w:ascii="宋体" w:hAnsi="宋体" w:eastAsia="宋体" w:cs="宋体"/>
          <w:color w:val="000000" w:themeColor="text1"/>
          <w:sz w:val="52"/>
          <w:highlight w:val="none"/>
        </w:rPr>
      </w:pPr>
      <w:r>
        <w:rPr>
          <w:rFonts w:hint="eastAsia" w:ascii="宋体" w:hAnsi="宋体" w:eastAsia="宋体" w:cs="宋体"/>
          <w:color w:val="000000" w:themeColor="text1"/>
          <w:sz w:val="52"/>
          <w:szCs w:val="52"/>
          <w:highlight w:val="none"/>
        </w:rPr>
        <w:t xml:space="preserve">南京市政府采购项目合同</w:t>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firstLine="1807"/>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r/>
    </w:p>
    <w:p>
      <w:pPr>
        <w:ind w:firstLine="1803"/>
        <w:spacing w:line="360" w:lineRule="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t xml:space="preserve">项目名称：</w:t>
      </w:r>
      <w:r>
        <w:rPr>
          <w:color w:val="000000" w:themeColor="text1"/>
        </w:rPr>
      </w:r>
      <w:r/>
    </w:p>
    <w:p>
      <w:pPr>
        <w:ind w:firstLine="1803"/>
        <w:spacing w:line="360" w:lineRule="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t xml:space="preserve">使用单位：</w:t>
      </w:r>
      <w:r>
        <w:rPr>
          <w:color w:val="000000" w:themeColor="text1"/>
        </w:rPr>
      </w:r>
      <w:r/>
    </w:p>
    <w:p>
      <w:pPr>
        <w:ind w:firstLine="1803"/>
        <w:spacing w:line="360" w:lineRule="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t xml:space="preserve">服务单位：</w:t>
      </w:r>
      <w:r>
        <w:rPr>
          <w:color w:val="000000" w:themeColor="text1"/>
        </w:rPr>
      </w:r>
      <w:r/>
    </w:p>
    <w:p>
      <w:pPr>
        <w:ind w:firstLine="1803"/>
        <w:spacing w:line="360" w:lineRule="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t xml:space="preserve">签订日期：</w:t>
      </w:r>
      <w:r>
        <w:rPr>
          <w:color w:val="000000" w:themeColor="text1"/>
        </w:rPr>
      </w:r>
      <w:r/>
    </w:p>
    <w:p>
      <w:pPr>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r>
      <w:r>
        <w:rPr>
          <w:color w:val="000000" w:themeColor="text1"/>
        </w:rPr>
      </w:r>
      <w:r/>
    </w:p>
    <w:p>
      <w:pPr>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r>
      <w:r>
        <w:rPr>
          <w:color w:val="000000" w:themeColor="text1"/>
        </w:rPr>
      </w:r>
      <w:r/>
    </w:p>
    <w:p>
      <w:pPr>
        <w:spacing w:after="120"/>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r>
      <w:r>
        <w:rPr>
          <w:color w:val="000000" w:themeColor="text1"/>
        </w:rPr>
      </w:r>
      <w:r/>
    </w:p>
    <w:p>
      <w:pPr>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r>
      <w:r>
        <w:rPr>
          <w:color w:val="000000" w:themeColor="text1"/>
        </w:rPr>
      </w:r>
      <w:r/>
    </w:p>
    <w:p>
      <w:pPr>
        <w:jc w:val="center"/>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t xml:space="preserve">南京市工商行政管理局</w:t>
      </w:r>
      <w:r>
        <w:rPr>
          <w:color w:val="000000" w:themeColor="text1"/>
        </w:rPr>
      </w:r>
      <w:r/>
    </w:p>
    <w:p>
      <w:pPr>
        <w:ind w:firstLine="6804"/>
        <w:spacing w:after="12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36"/>
          <w:szCs w:val="36"/>
          <w:highlight w:val="none"/>
        </w:rPr>
        <w:t xml:space="preserve">监制</w:t>
      </w:r>
      <w:r>
        <w:rPr>
          <w:color w:val="000000" w:themeColor="text1"/>
        </w:rPr>
      </w:r>
      <w:r/>
    </w:p>
    <w:p>
      <w:pPr>
        <w:jc w:val="center"/>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t xml:space="preserve">南京市财政局</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r>
      <w:r>
        <w:rPr>
          <w:color w:val="000000" w:themeColor="text1"/>
        </w:rPr>
      </w:r>
      <w:r/>
    </w:p>
    <w:p>
      <w:pPr>
        <w:ind w:firstLine="480"/>
        <w:spacing w:line="360" w:lineRule="auto"/>
        <w:tabs>
          <w:tab w:val="left" w:pos="5388"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60" w:lineRule="auto"/>
        <w:tabs>
          <w:tab w:val="left" w:pos="5388"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政府采购计划号：</w:t>
      </w:r>
      <w:r>
        <w:rPr>
          <w:color w:val="000000" w:themeColor="text1"/>
        </w:rPr>
      </w:r>
      <w:r/>
    </w:p>
    <w:tbl>
      <w:tblPr>
        <w:tblStyle w:val="712"/>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采购人：（以下称甲方）</w:t>
            </w:r>
            <w:r>
              <w:rPr>
                <w:color w:val="000000" w:themeColor="text1"/>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供应商：（以下称乙方）</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住所地：</w:t>
            </w:r>
            <w:r>
              <w:rPr>
                <w:color w:val="000000" w:themeColor="text1"/>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住所地</w:t>
            </w:r>
            <w:r>
              <w:rPr>
                <w:color w:val="000000" w:themeColor="text1"/>
              </w:rPr>
            </w:r>
            <w:r/>
          </w:p>
        </w:tc>
      </w:tr>
    </w:tbl>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 </w:t>
      </w:r>
      <w:r>
        <w:rPr>
          <w:rFonts w:hint="eastAsia" w:ascii="宋体" w:hAnsi="宋体" w:eastAsia="宋体" w:cs="宋体"/>
          <w:color w:val="000000" w:themeColor="text1"/>
          <w:sz w:val="24"/>
          <w:highlight w:val="none"/>
        </w:rPr>
        <w:t xml:space="preserve">根据《中华人民共和国民法典》、《中华人民共和国政府采购法》及“</w:t>
      </w:r>
      <w:r>
        <w:rPr>
          <w:rFonts w:hint="eastAsia" w:ascii="宋体" w:hAnsi="宋体" w:cs="宋体"/>
          <w:color w:val="000000" w:themeColor="text1"/>
          <w:sz w:val="24"/>
          <w:highlight w:val="none"/>
          <w:lang w:val="zh-CN"/>
        </w:rPr>
        <w:t xml:space="preserve">栖霞区政府4号院安全保障服务采购（2年）</w:t>
      </w:r>
      <w:r>
        <w:rPr>
          <w:rFonts w:hint="eastAsia" w:ascii="宋体" w:hAnsi="宋体" w:eastAsia="宋体" w:cs="宋体"/>
          <w:color w:val="000000" w:themeColor="text1"/>
          <w:sz w:val="24"/>
          <w:highlight w:val="none"/>
        </w:rPr>
        <w:t xml:space="preserve">”招标文件的要求和采购结果，经甲乙双方协商一致，同意就</w:t>
      </w:r>
      <w:r>
        <w:rPr>
          <w:rFonts w:hint="eastAsia" w:ascii="宋体" w:hAnsi="宋体" w:cs="宋体"/>
          <w:color w:val="000000" w:themeColor="text1"/>
          <w:sz w:val="24"/>
          <w:highlight w:val="none"/>
          <w:u w:val="single"/>
          <w:lang w:val="zh-CN"/>
        </w:rPr>
        <w:t xml:space="preserve">栖霞区政府4号院安全保障服务采购（2年）</w:t>
      </w:r>
      <w:r>
        <w:rPr>
          <w:rFonts w:hint="eastAsia" w:ascii="宋体" w:hAnsi="宋体" w:eastAsia="宋体" w:cs="宋体"/>
          <w:color w:val="000000" w:themeColor="text1"/>
          <w:sz w:val="24"/>
          <w:highlight w:val="none"/>
        </w:rPr>
        <w:t xml:space="preserve">按照以下条款和条件签定合同（以下简称“合同”）：</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1.定义：</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合同中的下列术语应解释为：</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 “甲方”系指招标文件中所述购买安全保障服务的</w:t>
      </w:r>
      <w:r>
        <w:rPr>
          <w:rFonts w:hint="eastAsia" w:ascii="宋体" w:hAnsi="宋体" w:eastAsia="宋体" w:cs="宋体"/>
          <w:color w:val="000000" w:themeColor="text1"/>
          <w:sz w:val="24"/>
          <w:highlight w:val="none"/>
          <w:u w:val="single"/>
        </w:rPr>
        <w:t xml:space="preserve">南京市栖霞区区级机关事务管理服务中心</w:t>
      </w:r>
      <w:r>
        <w:rPr>
          <w:rFonts w:hint="eastAsia" w:ascii="宋体" w:hAnsi="宋体" w:eastAsia="宋体" w:cs="宋体"/>
          <w:color w:val="000000" w:themeColor="text1"/>
          <w:sz w:val="24"/>
          <w:highlight w:val="none"/>
        </w:rPr>
        <w:t xml:space="preserve">。</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 “乙方”系指招标文件中所述提供安全保障服务的中标供应商。</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 “服务”系指根据本招标文件规定提供的安全保障服务，包含服务场地巡逻、突发事件处理以及其它属于安全保障服务范围内的工作。</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 “合同”系指甲方与乙方签署的合同格式中载明甲方与乙方所达成的协议，包括所有的附件、附录和构成合同的所有文件。</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1.5“合同价”系指根据合同规定，乙方在正确地完全履行合同义务后甲方应支付给乙方的价格。</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2.合同组成部分</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下列关于</w:t>
      </w:r>
      <w:r>
        <w:rPr>
          <w:rFonts w:hint="eastAsia" w:ascii="宋体" w:hAnsi="宋体" w:cs="宋体"/>
          <w:color w:val="000000" w:themeColor="text1"/>
          <w:sz w:val="24"/>
          <w:highlight w:val="none"/>
          <w:lang w:val="zh-CN"/>
        </w:rPr>
        <w:t xml:space="preserve">栖霞区政府4号院安全保障服务采购（2年）</w:t>
      </w:r>
      <w:r>
        <w:rPr>
          <w:rFonts w:hint="eastAsia" w:ascii="宋体" w:hAnsi="宋体" w:eastAsia="宋体" w:cs="宋体"/>
          <w:color w:val="000000" w:themeColor="text1"/>
          <w:sz w:val="24"/>
          <w:highlight w:val="none"/>
        </w:rPr>
        <w:t xml:space="preserve">，招标文件和提交的投标文件均是构成本合同不可分割的部分，还包括：</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 合同条款；</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 招标文件；</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2.3 投标文件；</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 安全保障服务方案及服务承诺；</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 中标通知书；</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 甲方、乙方商定的其他必要文件。</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3.安全保障服务范围及服务要求</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 本合同所提供服务详见招标文件第四章及投标文件相应响应及承诺（乙方必须完全实现招标文件中的采购要求，如有不足或缺陷，由乙方自行负责弥补，甲方不再承担任何相关费用）。</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4.安全保障服务费用与服务期</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4.1 安全保障服务费用为人民币</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元/年，2年总服务费</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元。</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4.2 费用支付方式：按季支付，甲方于当季度第一个月向乙方支付前一季度的安全保障服务费（扣除相应罚款后）。乙方收款时应向甲方开具正式发票。</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4.3 项目服务期：2年，自2026年  月   日至   年  月  日。</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4.4 项目服务期满或终止合同后，甲方重新组织采购。</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4.5 本次中标安全保障服务费用包含支付给员工的工资和全员全额缴纳的各种社会保障资金、足额的加班费、高温费、服装费、法定税费、管理费、合同约定的服务期间内国家政策性调整(如最低工资标准调整)等所有费用。</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5.安全保障服务内容、规程及标准</w:t>
      </w:r>
      <w:r>
        <w:rPr>
          <w:color w:val="000000" w:themeColor="text1"/>
        </w:rPr>
      </w:r>
      <w:r/>
    </w:p>
    <w:p>
      <w:pPr>
        <w:ind w:firstLine="240"/>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①乙方向甲方每日派驻11个岗位的相应保安人员提供24小时不间断安全保卫服务。负责区域内的值班、执勤、巡逻等。②乙方派驻保安还应根据甲方要求，提供其他与治安全保障卫相关的服务。乙方对派驻人员进行调整，应当提前5个工作日征求甲方意见，经甲方认可后方可进行调整。甲方要求乙方调整派驻人员后，乙方应当在接到书面通知之日起5个工作日内完成调整。</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5.2乙方向甲方提供的各项安全保障服务的规程及标准以GA/T 594-2006《保安服务操作规程与质量控制》的规定为准。</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5.3①对未携带机关通行证的车辆和非区机关工作人员，应当问清前往单位名称并进行登记，经相关单位认可后方可同意进入；对信访人员应当指引其到信访接待中心反映相关问题；没有正当理由或未经有关单位同意的人员一律不准进入办公区域。对区机关进出物品应当进行检查登记，未经许可任何物品不得随意出入。</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②保安人员应当在机关非工作时间对机关办公场所、设施(包括配电锅炉房、消防设施设备、用电设施设备、安防监控设施设备、地下车库附属设施、电动自行车充电设施等)进行安全巡查，发现可疑情况及时向甲方报告，对安全隐患，在向甲方报告的同时应当向有关行政机关报告。发现刑事、治安案件及重大事故，应当在第一时间通知甲方和公安机关，并协助公安等行政机关保护现场，服从现场指挥果断采取补救措施。</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5.4保安按照服务合同要求进行24小时安全保障巡逻，发现异常情况应按照安全保障规程进行有效处置，并按要求及时报告，确保人员、物资、场所安全。</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6.甲、乙双方权利义务</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 甲方权利义务</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6.1.1 甲方审定乙方拟定的安全保障服务制度，并根据实际情况提出合理化修改意见，乙方应予遵守。</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6.1.2 甲方检查监督乙方安全保障服务工作的实施及制度的执行情况。</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6.1.3 甲方协助乙方做后勤管理工作和宣传教育活动。</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6.1.4 甲方对乙方服务实施监督检查。有权要求乙方对违反服务承诺的事项进行限期整改；有权责令乙方无条件撤换不称职的安全保障人员。因乙方原因，造成重大经济损失或重大管理失误，甲方有权要求乙方承担经济赔偿责任，直至终止合同。</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6.1.5 甲方有权要求乙方按双方约定的服务标准提供安全保障服务报告等管理信息。</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 乙方权利义务</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6.2.1 乙方根据有关法律、法规政策及本合同规定，制定各项管理办法、规章制度、实施细则，自主开展各项安全保障服务活动，但不得损害甲方的合法权益，也不得获取除安全保障服务费外的利益。</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6.2.2 乙方维护本项目各类设施、设备的完好，如因乙方员工责任造成甲方物品损坏、丢失或由此造成甲方经济损失，乙方应承担全部责任，并按实际损失赔偿。杜绝挪用及偷窃行为。严守有关安全作业规定。</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6.2.3 乙方每月至少一次派出一名高层管理人员或监督员到本项目检查综合服务情况，征询甲方意见。对甲方合理之建议应予采纳。</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6.2.4 乙方负责编制安全保障服务年度管理计划。每月底向甲方提交服务运行工作报告，每月公开一次人员考核情况，每季度向甲方提供人员编制及档案材料。</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6.2.5 乙方提供本项目所需的设施必须符合国家相关规定，如因设施使用不当，对甲方或任何第三人所造成的一切损失由乙方负全部责任。</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6.2.6 乙方所录用人员要符合甲方的岗位要求，重要岗位人员聘用需经甲方审定，如有需要，乙方的所有工作人员要听从甲方调动指挥。</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6.2.7 乙方自觉执行国家的法律、法规，按南京市人社部门有关规定及时缴纳相关保险费用，签订劳动用工合同，人员工资不得低于国家、省、市、区有关规定，独立处理劳资纠纷等工作。</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6.2.8 本合同终止时，乙方必须向甲方移交全部用房及管理的全部档案资料。未经甲方书面同意，乙方不得将本项目服务责任转让给第三方，未经甲方同意不允许乙方分包或转包甲方服务管理事宜。</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6.2.9 乙方要求协助工作或提出工作建议，甲方认为合理的，应予全力支持和配合。</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6.2.10 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 如发现有违法乱纪，并经查实确属乙方人员所为时，甲方有权要求乙方严肃处理有关人员；造成损失的，乙方应承担相应责任。</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6.2.11 乙方选派现场管理人员具体安排、全面督导每日、每周、每月的安全保障服务工作，巡检（分自检和参与甲方联检）现场服务质量情况，及时做好工作记录，及时处理有关投诉，并做好与甲方主管负责人的日常工作联系。</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6.2.12 乙方制定和执行有关应急预案，遇有紧急情况及突发事件时，乙方所派工作人员有责任在最短的时间内处理并保护好现场，并应无条件听从甲方现场工作人员调遣。</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6.2.13乙方承诺的其他优惠条件。</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7.甲、乙双方违约责任</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7.1 甲方违反本合同的付款约定，使乙方未完成规定管理目标，乙方有权要求甲方在一定期限内解决，逾期未解决的，乙方有权终止合同；造成乙方经济损失的，甲方应给予乙方经济赔偿，并承担相应的法律责任。</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7.2 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7.3 合同有效期内，任何一方均不得无故解除本合同，否则责任方承担违约责任， 并向对方支付相当于本合同服务费总额的10%的款项作为违约金。任何一方因故解除本合同，需提前一个月通知对方。</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7.4 乙方应严格执行各项服务标准，确保工作质量。如有质量问题，甲方有权按有关处罚规定进行经济处罚。</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7.5 乙方未能按照甲方关于安全保障服务工作考核的要求开展相关工作，造成不能完成管理目标、直接造成甲方经济损失或不良影响的，乙方须承担管理责任，甲方有权根据实际情况扣除乙方当月3%-5%的安全保障服务费。</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8.不可抗力</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8.1 合同有效期内，任何乙方因遭遇不可抗拒、不可避免或不可克服的事件导致不能全部或部分履行本合同约定义务的，不承担违约责任。</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8.2遭遇不可抗拒事件的一方应当于不可抗力事件发生后立即通知另一方，并于事件发生之日起3日内提供事件详情(包括合同不能履行或者部分不能履行或者需要延期履行的理由)及有效证明文件。</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8.3不可抗力事件发生后，合同双方应按照事件对履行合同影响的程度，协商决定是否解除本合同，或者部分免除履行本合同的责任或者延期履行本合同。</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9. 转让和分包</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9.1 本合同不得挂靠、转让或分包。</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10.纠纷解决办法</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10.2 在诉讼期间，本合同应继续执行。</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11.履约保证金</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无。</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12.违约终止合同</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12.1 在甲方对乙方违约而采取的任何补救措施不受影响的情况下，甲方可向乙方发出终止部分或全部合同的书面通知书。</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 如果乙方未能按合同规定的期限或甲方同意延长的限期内完成部分或全部服务工作；</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 乙方在收到甲方发出的违约通知后10天内，或经甲方书面认可延长的时间内未能纠正其过失；</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 如果乙方未能履行合同规定的其他义务。</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12.2 在甲方根据上述第12.1条规定，终止了全部或部分合同后，甲方可以依其认为适当的条件和方法购买与此服务类似的服务，但是乙方应继续执行合同中未终止的部分。</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13.破产终止合同</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13.1 如果乙方破产或无清偿能力时，甲方在任何时候书面通知乙方终止合同而不给乙方补偿。该终止合同将不损害或影响甲方已经或将要采取的补救措施的权利。</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14.合同生效及其它</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14.1 合同应在甲方、乙方签字并盖章后生效。</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14.2 本合同一式陆份，甲方肆份，乙方贰份，具有同等效力。</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13.3 本合同服务交付使用后所发生的合同纠纷，由甲方与乙方直接进行处理。</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13.4 如需修改或补充合同内容，应经甲、乙双方协商一致，共同签署书面修改或补充协议。该协议将作为本合同不可分割的一部分。</w:t>
      </w:r>
      <w:r>
        <w:rPr>
          <w:color w:val="000000" w:themeColor="text1"/>
        </w:rPr>
      </w:r>
      <w:r/>
    </w:p>
    <w:p>
      <w:pPr>
        <w:ind w:firstLine="482"/>
        <w:spacing w:line="324"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14.未尽事宜</w:t>
      </w:r>
      <w:r>
        <w:rPr>
          <w:color w:val="000000" w:themeColor="text1"/>
        </w:rPr>
      </w:r>
      <w:r/>
    </w:p>
    <w:p>
      <w:pPr>
        <w:ind w:firstLine="482"/>
        <w:spacing w:line="324"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14.1 本合同应按照中华人民共和国的现行法律进行解释。</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bl>
      <w:tblPr>
        <w:tblStyle w:val="71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5125"/>
        <w:gridCol w:w="4636"/>
      </w:tblGrid>
      <w:tr>
        <w:trPr>
          <w:trHeight w:val="772"/>
        </w:trPr>
        <w:tc>
          <w:tcPr>
            <w:tcBorders>
              <w:top w:val="none" w:color="000000" w:sz="4" w:space="0"/>
              <w:left w:val="none" w:color="000000" w:sz="4" w:space="0"/>
              <w:bottom w:val="none" w:color="000000" w:sz="4" w:space="0"/>
              <w:right w:val="none" w:color="000000" w:sz="4" w:space="0"/>
            </w:tcBorders>
            <w:tcW w:w="5125" w:type="dxa"/>
            <w:textDirection w:val="lrTb"/>
            <w:noWrap w:val="false"/>
          </w:tcPr>
          <w:p>
            <w:pPr>
              <w:ind w:left="1920" w:hanging="192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甲方（采购人）：南京市栖霞区区级机关事务管理服务中心（盖章）</w:t>
            </w:r>
            <w:r>
              <w:rPr>
                <w:color w:val="000000" w:themeColor="text1"/>
              </w:rPr>
            </w:r>
            <w:r/>
          </w:p>
        </w:tc>
        <w:tc>
          <w:tcPr>
            <w:tcBorders>
              <w:top w:val="none" w:color="000000" w:sz="4" w:space="0"/>
              <w:left w:val="none" w:color="000000" w:sz="4" w:space="0"/>
              <w:bottom w:val="none" w:color="000000" w:sz="4" w:space="0"/>
              <w:right w:val="none" w:color="000000" w:sz="4" w:space="0"/>
            </w:tcBorders>
            <w:tcW w:w="4636" w:type="dxa"/>
            <w:textDirection w:val="lrTb"/>
            <w:noWrap w:val="false"/>
          </w:tcPr>
          <w:p>
            <w:pPr>
              <w:ind w:left="216"/>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乙方（供应商）：（盖章）</w:t>
            </w:r>
            <w:r>
              <w:rPr>
                <w:color w:val="000000" w:themeColor="text1"/>
              </w:rPr>
            </w:r>
            <w:r/>
          </w:p>
        </w:tc>
      </w:tr>
      <w:tr>
        <w:trPr>
          <w:trHeight w:val="877"/>
        </w:trPr>
        <w:tc>
          <w:tcPr>
            <w:tcBorders>
              <w:top w:val="none" w:color="000000" w:sz="4" w:space="0"/>
              <w:left w:val="none" w:color="000000" w:sz="4" w:space="0"/>
              <w:bottom w:val="none" w:color="000000" w:sz="4" w:space="0"/>
              <w:right w:val="none" w:color="000000" w:sz="4" w:space="0"/>
            </w:tcBorders>
            <w:tcW w:w="5125" w:type="dxa"/>
            <w:textDirection w:val="lrTb"/>
            <w:noWrap w:val="false"/>
          </w:tcPr>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法定代表人</w:t>
            </w:r>
            <w:r>
              <w:rPr>
                <w:color w:val="000000" w:themeColor="text1"/>
              </w:rPr>
            </w: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或授权委托代理人（签字或盖章）：</w:t>
            </w:r>
            <w:r>
              <w:rPr>
                <w:color w:val="000000" w:themeColor="text1"/>
              </w:rPr>
            </w:r>
            <w:r/>
          </w:p>
        </w:tc>
        <w:tc>
          <w:tcPr>
            <w:tcBorders>
              <w:top w:val="none" w:color="000000" w:sz="4" w:space="0"/>
              <w:left w:val="none" w:color="000000" w:sz="4" w:space="0"/>
              <w:bottom w:val="none" w:color="000000" w:sz="4" w:space="0"/>
              <w:right w:val="none" w:color="000000" w:sz="4" w:space="0"/>
            </w:tcBorders>
            <w:tcW w:w="4636" w:type="dxa"/>
            <w:textDirection w:val="lrTb"/>
            <w:noWrap w:val="false"/>
          </w:tcPr>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法定代表人</w:t>
            </w:r>
            <w:r>
              <w:rPr>
                <w:color w:val="000000" w:themeColor="text1"/>
              </w:rPr>
            </w: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或授权委托代理人（签字或盖章）：</w:t>
            </w:r>
            <w:r>
              <w:rPr>
                <w:color w:val="000000" w:themeColor="text1"/>
              </w:rPr>
            </w:r>
            <w:r/>
          </w:p>
        </w:tc>
      </w:tr>
      <w:tr>
        <w:trPr>
          <w:trHeight w:val="581"/>
        </w:trPr>
        <w:tc>
          <w:tcPr>
            <w:tcBorders>
              <w:top w:val="none" w:color="000000" w:sz="4" w:space="0"/>
              <w:left w:val="none" w:color="000000" w:sz="4" w:space="0"/>
              <w:bottom w:val="none" w:color="000000" w:sz="4" w:space="0"/>
              <w:right w:val="none" w:color="000000" w:sz="4" w:space="0"/>
            </w:tcBorders>
            <w:tcW w:w="5125" w:type="dxa"/>
            <w:textDirection w:val="lrTb"/>
            <w:noWrap w:val="false"/>
          </w:tcPr>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电话：</w:t>
            </w:r>
            <w:r>
              <w:rPr>
                <w:color w:val="000000" w:themeColor="text1"/>
              </w:rPr>
            </w:r>
            <w:r/>
          </w:p>
        </w:tc>
        <w:tc>
          <w:tcPr>
            <w:tcBorders>
              <w:top w:val="none" w:color="000000" w:sz="4" w:space="0"/>
              <w:left w:val="none" w:color="000000" w:sz="4" w:space="0"/>
              <w:bottom w:val="none" w:color="000000" w:sz="4" w:space="0"/>
              <w:right w:val="none" w:color="000000" w:sz="4" w:space="0"/>
            </w:tcBorders>
            <w:tcW w:w="4636" w:type="dxa"/>
            <w:textDirection w:val="lrTb"/>
            <w:noWrap w:val="false"/>
          </w:tcPr>
          <w:p>
            <w:pPr>
              <w:ind w:left="216"/>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电话：</w:t>
            </w:r>
            <w:r>
              <w:rPr>
                <w:color w:val="000000" w:themeColor="text1"/>
              </w:rPr>
            </w:r>
            <w:r/>
          </w:p>
        </w:tc>
      </w:tr>
      <w:tr>
        <w:trPr>
          <w:trHeight w:val="536"/>
        </w:trPr>
        <w:tc>
          <w:tcPr>
            <w:tcBorders>
              <w:top w:val="none" w:color="000000" w:sz="4" w:space="0"/>
              <w:left w:val="none" w:color="000000" w:sz="4" w:space="0"/>
              <w:bottom w:val="none" w:color="000000" w:sz="4" w:space="0"/>
              <w:right w:val="none" w:color="000000" w:sz="4" w:space="0"/>
            </w:tcBorders>
            <w:tcW w:w="5125" w:type="dxa"/>
            <w:textDirection w:val="lrTb"/>
            <w:noWrap w:val="false"/>
          </w:tcPr>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开户银行：</w:t>
            </w:r>
            <w:r>
              <w:rPr>
                <w:color w:val="000000" w:themeColor="text1"/>
              </w:rPr>
            </w:r>
            <w:r/>
          </w:p>
        </w:tc>
        <w:tc>
          <w:tcPr>
            <w:tcBorders>
              <w:top w:val="none" w:color="000000" w:sz="4" w:space="0"/>
              <w:left w:val="none" w:color="000000" w:sz="4" w:space="0"/>
              <w:bottom w:val="none" w:color="000000" w:sz="4" w:space="0"/>
              <w:right w:val="none" w:color="000000" w:sz="4" w:space="0"/>
            </w:tcBorders>
            <w:tcW w:w="4636" w:type="dxa"/>
            <w:textDirection w:val="lrTb"/>
            <w:noWrap w:val="false"/>
          </w:tcPr>
          <w:p>
            <w:pPr>
              <w:ind w:left="216"/>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开户银行：</w:t>
            </w:r>
            <w:r>
              <w:rPr>
                <w:color w:val="000000" w:themeColor="text1"/>
              </w:rPr>
            </w:r>
            <w:r/>
          </w:p>
        </w:tc>
      </w:tr>
      <w:tr>
        <w:trPr>
          <w:trHeight w:val="611"/>
        </w:trPr>
        <w:tc>
          <w:tcPr>
            <w:tcBorders>
              <w:top w:val="none" w:color="000000" w:sz="4" w:space="0"/>
              <w:left w:val="none" w:color="000000" w:sz="4" w:space="0"/>
              <w:bottom w:val="none" w:color="000000" w:sz="4" w:space="0"/>
              <w:right w:val="none" w:color="000000" w:sz="4" w:space="0"/>
            </w:tcBorders>
            <w:tcW w:w="5125" w:type="dxa"/>
            <w:textDirection w:val="lrTb"/>
            <w:noWrap w:val="false"/>
          </w:tcPr>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帐号：</w:t>
            </w:r>
            <w:r>
              <w:rPr>
                <w:color w:val="000000" w:themeColor="text1"/>
              </w:rPr>
            </w:r>
            <w:r/>
          </w:p>
        </w:tc>
        <w:tc>
          <w:tcPr>
            <w:tcBorders>
              <w:top w:val="none" w:color="000000" w:sz="4" w:space="0"/>
              <w:left w:val="none" w:color="000000" w:sz="4" w:space="0"/>
              <w:bottom w:val="none" w:color="000000" w:sz="4" w:space="0"/>
              <w:right w:val="none" w:color="000000" w:sz="4" w:space="0"/>
            </w:tcBorders>
            <w:tcW w:w="4636" w:type="dxa"/>
            <w:textDirection w:val="lrTb"/>
            <w:noWrap w:val="false"/>
          </w:tcPr>
          <w:p>
            <w:pPr>
              <w:ind w:left="216"/>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帐号：</w:t>
            </w:r>
            <w:r>
              <w:rPr>
                <w:color w:val="000000" w:themeColor="text1"/>
              </w:rPr>
            </w:r>
            <w:r/>
          </w:p>
        </w:tc>
      </w:tr>
      <w:tr>
        <w:trPr>
          <w:trHeight w:val="566"/>
        </w:trPr>
        <w:tc>
          <w:tcPr>
            <w:tcBorders>
              <w:top w:val="none" w:color="000000" w:sz="4" w:space="0"/>
              <w:left w:val="none" w:color="000000" w:sz="4" w:space="0"/>
              <w:bottom w:val="none" w:color="000000" w:sz="4" w:space="0"/>
              <w:right w:val="none" w:color="000000" w:sz="4" w:space="0"/>
            </w:tcBorders>
            <w:tcW w:w="5125" w:type="dxa"/>
            <w:textDirection w:val="lrTb"/>
            <w:noWrap w:val="false"/>
          </w:tcPr>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签订日期：     年  月  日</w:t>
            </w:r>
            <w:r>
              <w:rPr>
                <w:color w:val="000000" w:themeColor="text1"/>
              </w:rPr>
            </w:r>
            <w:r/>
          </w:p>
        </w:tc>
        <w:tc>
          <w:tcPr>
            <w:tcBorders>
              <w:top w:val="none" w:color="000000" w:sz="4" w:space="0"/>
              <w:left w:val="none" w:color="000000" w:sz="4" w:space="0"/>
              <w:bottom w:val="none" w:color="000000" w:sz="4" w:space="0"/>
              <w:right w:val="none" w:color="000000" w:sz="4" w:space="0"/>
            </w:tcBorders>
            <w:tcW w:w="4636" w:type="dxa"/>
            <w:textDirection w:val="lrTb"/>
            <w:noWrap w:val="false"/>
          </w:tcPr>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bl>
    <w:p>
      <w:pPr>
        <w:pStyle w:val="73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480"/>
        <w:spacing w:line="360" w:lineRule="auto"/>
        <w:tabs>
          <w:tab w:val="left" w:pos="5388"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71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6"/>
          <w:szCs w:val="36"/>
          <w:highlight w:val="none"/>
        </w:rPr>
        <w:t xml:space="preserve">第六章 投标文件及附件格式</w:t>
      </w:r>
      <w:r>
        <w:rPr>
          <w:color w:val="000000" w:themeColor="text1"/>
        </w:rPr>
      </w:r>
      <w:r/>
    </w:p>
    <w:p>
      <w:pPr>
        <w:jc w:val="cente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r>
      <w:r>
        <w:rPr>
          <w:color w:val="000000" w:themeColor="text1"/>
        </w:rPr>
      </w:r>
      <w:r/>
    </w:p>
    <w:p>
      <w:pPr>
        <w:rPr>
          <w:rFonts w:hint="eastAsia" w:ascii="宋体" w:hAnsi="宋体" w:eastAsia="宋体" w:cs="宋体"/>
          <w:b/>
          <w:color w:val="000000" w:themeColor="text1"/>
          <w:sz w:val="40"/>
          <w:szCs w:val="40"/>
          <w:highlight w:val="none"/>
        </w:rPr>
      </w:pPr>
      <w:r>
        <w:rPr>
          <w:rFonts w:hint="eastAsia" w:ascii="宋体" w:hAnsi="宋体" w:eastAsia="宋体" w:cs="宋体"/>
          <w:b/>
          <w:color w:val="000000" w:themeColor="text1"/>
          <w:sz w:val="40"/>
          <w:szCs w:val="40"/>
          <w:highlight w:val="none"/>
        </w:rPr>
      </w:r>
      <w:r>
        <w:rPr>
          <w:color w:val="000000" w:themeColor="text1"/>
        </w:rPr>
      </w:r>
      <w:r/>
    </w:p>
    <w:p>
      <w:pPr>
        <w:pStyle w:val="705"/>
        <w:rPr>
          <w:color w:val="000000" w:themeColor="text1"/>
          <w:highlight w:val="none"/>
        </w:rPr>
      </w:pPr>
      <w:r>
        <w:rPr>
          <w:color w:val="000000" w:themeColor="text1"/>
          <w:highlight w:val="none"/>
        </w:rPr>
      </w:r>
      <w:r>
        <w:rPr>
          <w:color w:val="000000" w:themeColor="text1"/>
        </w:rPr>
      </w:r>
      <w:r/>
    </w:p>
    <w:p>
      <w:pPr>
        <w:jc w:val="center"/>
        <w:rPr>
          <w:rFonts w:hint="eastAsia" w:ascii="宋体" w:hAnsi="宋体" w:eastAsia="宋体" w:cs="宋体"/>
          <w:b/>
          <w:color w:val="000000" w:themeColor="text1"/>
          <w:sz w:val="56"/>
          <w:szCs w:val="56"/>
          <w:highlight w:val="none"/>
        </w:rPr>
      </w:pPr>
      <w:r>
        <w:rPr>
          <w:rFonts w:hint="eastAsia" w:ascii="宋体" w:hAnsi="宋体" w:eastAsia="宋体" w:cs="宋体"/>
          <w:b/>
          <w:color w:val="000000" w:themeColor="text1"/>
          <w:sz w:val="56"/>
          <w:szCs w:val="56"/>
          <w:highlight w:val="none"/>
        </w:rPr>
        <w:t xml:space="preserve">投 标 文 件</w:t>
      </w:r>
      <w:r>
        <w:rPr>
          <w:color w:val="000000" w:themeColor="text1"/>
        </w:rPr>
      </w:r>
      <w:r/>
    </w:p>
    <w:p>
      <w:pPr>
        <w:jc w:val="center"/>
        <w:rPr>
          <w:rFonts w:hint="eastAsia" w:ascii="宋体" w:hAnsi="宋体" w:eastAsia="宋体" w:cs="宋体"/>
          <w:b/>
          <w:color w:val="000000" w:themeColor="text1"/>
          <w:sz w:val="43"/>
          <w:szCs w:val="43"/>
          <w:highlight w:val="none"/>
        </w:rPr>
      </w:pPr>
      <w:r>
        <w:rPr>
          <w:rFonts w:hint="eastAsia" w:ascii="宋体" w:hAnsi="宋体" w:eastAsia="宋体" w:cs="宋体"/>
          <w:b/>
          <w:color w:val="000000" w:themeColor="text1"/>
          <w:sz w:val="43"/>
          <w:szCs w:val="43"/>
          <w:highlight w:val="none"/>
        </w:rPr>
      </w:r>
      <w:r>
        <w:rPr>
          <w:color w:val="000000" w:themeColor="text1"/>
        </w:rPr>
      </w:r>
      <w:r/>
    </w:p>
    <w:p>
      <w:pPr>
        <w:rPr>
          <w:rFonts w:hint="eastAsia" w:ascii="宋体" w:hAnsi="宋体" w:eastAsia="宋体" w:cs="宋体"/>
          <w:b/>
          <w:color w:val="000000" w:themeColor="text1"/>
          <w:sz w:val="43"/>
          <w:szCs w:val="43"/>
          <w:highlight w:val="none"/>
        </w:rPr>
      </w:pPr>
      <w:r>
        <w:rPr>
          <w:rFonts w:hint="eastAsia" w:ascii="宋体" w:hAnsi="宋体" w:eastAsia="宋体" w:cs="宋体"/>
          <w:b/>
          <w:color w:val="000000" w:themeColor="text1"/>
          <w:sz w:val="43"/>
          <w:szCs w:val="43"/>
          <w:highlight w:val="none"/>
        </w:rPr>
      </w:r>
      <w:r>
        <w:rPr>
          <w:color w:val="000000" w:themeColor="text1"/>
        </w:rPr>
      </w:r>
      <w:r/>
    </w:p>
    <w:p>
      <w:pPr>
        <w:keepLines/>
        <w:keepNext/>
        <w:spacing w:before="340" w:after="330" w:line="578" w:lineRule="auto"/>
        <w:rPr>
          <w:rFonts w:hint="eastAsia" w:ascii="宋体" w:hAnsi="宋体" w:eastAsia="宋体" w:cs="宋体"/>
          <w:b/>
          <w:bCs/>
          <w:color w:val="000000" w:themeColor="text1"/>
          <w:sz w:val="44"/>
          <w:szCs w:val="44"/>
          <w:highlight w:val="none"/>
        </w:rPr>
        <w:outlineLvl w:val="0"/>
      </w:pPr>
      <w:r>
        <w:rPr>
          <w:rFonts w:hint="eastAsia" w:ascii="宋体" w:hAnsi="宋体" w:eastAsia="宋体" w:cs="宋体"/>
          <w:b/>
          <w:bCs/>
          <w:color w:val="000000" w:themeColor="text1"/>
          <w:sz w:val="44"/>
          <w:szCs w:val="44"/>
          <w:highlight w:val="none"/>
        </w:rPr>
      </w:r>
      <w:r>
        <w:rPr>
          <w:color w:val="000000" w:themeColor="text1"/>
        </w:rPr>
      </w:r>
      <w:r/>
    </w:p>
    <w:p>
      <w:pPr>
        <w:ind w:firstLine="1084"/>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项目名称：</w:t>
      </w:r>
      <w:r>
        <w:rPr>
          <w:color w:val="000000" w:themeColor="text1"/>
        </w:rPr>
      </w:r>
      <w:r/>
    </w:p>
    <w:p>
      <w:pPr>
        <w:ind w:firstLine="1084"/>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项目编号：</w:t>
      </w:r>
      <w:r>
        <w:rPr>
          <w:color w:val="000000" w:themeColor="text1"/>
        </w:rPr>
      </w:r>
      <w:r/>
    </w:p>
    <w:p>
      <w:pPr>
        <w:ind w:firstLine="1084"/>
        <w:rPr>
          <w:rFonts w:hint="eastAsia" w:ascii="宋体" w:hAnsi="宋体" w:eastAsia="宋体" w:cs="宋体"/>
          <w:b/>
          <w:bCs/>
          <w:color w:val="000000" w:themeColor="text1"/>
          <w:sz w:val="36"/>
          <w:szCs w:val="36"/>
          <w:highlight w:val="none"/>
          <w:u w:val="single"/>
        </w:rPr>
      </w:pPr>
      <w:r>
        <w:rPr>
          <w:rFonts w:hint="eastAsia" w:ascii="宋体" w:hAnsi="宋体" w:eastAsia="宋体" w:cs="宋体"/>
          <w:b/>
          <w:bCs/>
          <w:color w:val="000000" w:themeColor="text1"/>
          <w:sz w:val="36"/>
          <w:szCs w:val="36"/>
          <w:highlight w:val="none"/>
          <w:u w:val="single"/>
        </w:rPr>
      </w:r>
      <w:r>
        <w:rPr>
          <w:color w:val="000000" w:themeColor="text1"/>
        </w:rPr>
      </w:r>
      <w:r/>
    </w:p>
    <w:p>
      <w:pPr>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r/>
    </w:p>
    <w:p>
      <w:pPr>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r/>
    </w:p>
    <w:p>
      <w:pPr>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r/>
    </w:p>
    <w:p>
      <w:pPr>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r/>
    </w:p>
    <w:p>
      <w:pPr>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r/>
    </w:p>
    <w:p>
      <w:pPr>
        <w:ind w:firstLine="1083"/>
        <w:spacing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供应商名称：（加盖公章）</w:t>
      </w:r>
      <w:r>
        <w:rPr>
          <w:color w:val="000000" w:themeColor="text1"/>
        </w:rPr>
      </w:r>
      <w:r/>
    </w:p>
    <w:p>
      <w:pPr>
        <w:ind w:firstLine="1083"/>
        <w:spacing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日期：</w:t>
      </w:r>
      <w:r>
        <w:rPr>
          <w:color w:val="000000" w:themeColor="text1"/>
        </w:rPr>
      </w:r>
      <w:r/>
    </w:p>
    <w:p>
      <w:pPr>
        <w:ind w:firstLine="1083"/>
        <w:spacing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r/>
    </w:p>
    <w:p>
      <w:pPr>
        <w:spacing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r/>
    </w:p>
    <w:p>
      <w:pPr>
        <w:rPr>
          <w:rFonts w:hint="eastAsia" w:ascii="宋体" w:hAnsi="宋体" w:eastAsia="宋体" w:cs="宋体"/>
          <w:b/>
          <w:bCs/>
          <w:color w:val="000000" w:themeColor="text1"/>
          <w:sz w:val="31"/>
          <w:szCs w:val="31"/>
          <w:highlight w:val="none"/>
        </w:rPr>
      </w:pPr>
      <w:r>
        <w:rPr>
          <w:rFonts w:hint="eastAsia" w:ascii="宋体" w:hAnsi="宋体" w:eastAsia="宋体" w:cs="宋体"/>
          <w:b/>
          <w:color w:val="000000" w:themeColor="text1"/>
          <w:sz w:val="31"/>
          <w:szCs w:val="31"/>
          <w:highlight w:val="none"/>
        </w:rPr>
        <w:t xml:space="preserve">附件一、投标申请及声明格式</w:t>
      </w:r>
      <w:r>
        <w:rPr>
          <w:color w:val="000000" w:themeColor="text1"/>
        </w:rPr>
      </w:r>
      <w:r/>
    </w:p>
    <w:p>
      <w:pPr>
        <w:spacing w:after="12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sz w:val="28"/>
          <w:szCs w:val="28"/>
          <w:highlight w:val="none"/>
        </w:rPr>
        <w:t xml:space="preserve">投标申请及声明</w:t>
      </w:r>
      <w:r>
        <w:rPr>
          <w:color w:val="000000" w:themeColor="text1"/>
        </w:rPr>
      </w:r>
      <w:r/>
    </w:p>
    <w:p>
      <w:pPr>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致：</w:t>
      </w:r>
      <w:r>
        <w:rPr>
          <w:rFonts w:hint="eastAsia" w:ascii="宋体" w:hAnsi="宋体" w:eastAsia="宋体" w:cs="宋体"/>
          <w:color w:val="000000" w:themeColor="text1"/>
          <w:sz w:val="24"/>
          <w:highlight w:val="none"/>
          <w:u w:val="single"/>
        </w:rPr>
        <w:t xml:space="preserve">南京市栖霞区区级机关事务管理服务中心</w:t>
      </w:r>
      <w:r>
        <w:rPr>
          <w:color w:val="000000" w:themeColor="text1"/>
        </w:rPr>
      </w:r>
      <w:r/>
    </w:p>
    <w:p>
      <w:pPr>
        <w:ind w:left="420" w:firstLine="44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根据贵方</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项目名称）</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（项目编号）</w:t>
      </w:r>
      <w:r>
        <w:rPr>
          <w:rFonts w:hint="eastAsia" w:ascii="宋体" w:hAnsi="宋体" w:eastAsia="宋体" w:cs="宋体"/>
          <w:color w:val="000000" w:themeColor="text1"/>
          <w:sz w:val="24"/>
          <w:highlight w:val="none"/>
          <w:u w:val="single"/>
        </w:rPr>
        <w:t xml:space="preserve">     （项目名称）</w:t>
      </w:r>
      <w:r>
        <w:rPr>
          <w:rFonts w:hint="eastAsia" w:ascii="宋体" w:hAnsi="宋体" w:eastAsia="宋体" w:cs="宋体"/>
          <w:color w:val="000000" w:themeColor="text1"/>
          <w:sz w:val="24"/>
          <w:highlight w:val="none"/>
        </w:rPr>
        <w:t xml:space="preserve">投标邀请，正式授权下述签字人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(姓名)代表供应商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（供应商名称），提交投标文件。</w:t>
      </w:r>
      <w:r>
        <w:rPr>
          <w:color w:val="000000" w:themeColor="text1"/>
        </w:rPr>
      </w:r>
      <w:r/>
    </w:p>
    <w:p>
      <w:pPr>
        <w:ind w:firstLine="44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据此函，签字人兹宣布声明和承诺如下：</w:t>
      </w:r>
      <w:r>
        <w:rPr>
          <w:color w:val="000000" w:themeColor="text1"/>
        </w:rPr>
      </w:r>
      <w:r/>
    </w:p>
    <w:p>
      <w:pPr>
        <w:ind w:firstLine="44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1、我们的资格条件完全符合政府采购法和本次招标要求，我们同意并向贵方提供了与投标有关的所有证据和资料。</w:t>
      </w:r>
      <w:r>
        <w:rPr>
          <w:color w:val="000000" w:themeColor="text1"/>
        </w:rPr>
      </w:r>
      <w:r/>
    </w:p>
    <w:p>
      <w:pPr>
        <w:ind w:firstLine="44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2、按招标要求，我们的投标报价为</w:t>
      </w:r>
      <w:r>
        <w:rPr>
          <w:rFonts w:hint="eastAsia" w:ascii="宋体" w:hAnsi="宋体" w:eastAsia="宋体" w:cs="宋体"/>
          <w:color w:val="000000" w:themeColor="text1"/>
          <w:sz w:val="24"/>
          <w:highlight w:val="none"/>
          <w:u w:val="single"/>
        </w:rPr>
        <w:t xml:space="preserve">           元</w:t>
      </w:r>
      <w:r>
        <w:rPr>
          <w:rFonts w:hint="eastAsia" w:ascii="宋体" w:hAnsi="宋体" w:eastAsia="宋体" w:cs="宋体"/>
          <w:color w:val="000000" w:themeColor="text1"/>
          <w:sz w:val="24"/>
          <w:highlight w:val="none"/>
        </w:rPr>
        <w:t xml:space="preserve">，大写</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其中，中、小、微型企业、残疾人 福利性单位、监狱企业产品</w:t>
      </w:r>
      <w:r>
        <w:rPr>
          <w:rFonts w:hint="eastAsia" w:ascii="宋体" w:hAnsi="宋体" w:eastAsia="宋体" w:cs="宋体"/>
          <w:color w:val="000000" w:themeColor="text1"/>
          <w:sz w:val="24"/>
          <w:highlight w:val="none"/>
          <w:u w:val="single"/>
        </w:rPr>
        <w:t xml:space="preserve">      元</w:t>
      </w:r>
      <w:r>
        <w:rPr>
          <w:rFonts w:hint="eastAsia" w:ascii="宋体" w:hAnsi="宋体" w:eastAsia="宋体" w:cs="宋体"/>
          <w:color w:val="000000" w:themeColor="text1"/>
          <w:sz w:val="24"/>
          <w:highlight w:val="none"/>
        </w:rPr>
        <w:t xml:space="preserve">。</w:t>
      </w:r>
      <w:r>
        <w:rPr>
          <w:color w:val="000000" w:themeColor="text1"/>
        </w:rPr>
      </w:r>
      <w:r/>
    </w:p>
    <w:p>
      <w:pPr>
        <w:ind w:firstLine="44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3、项目负责人 </w:t>
      </w:r>
      <w:r>
        <w:rPr>
          <w:rFonts w:hint="eastAsia" w:ascii="宋体" w:hAnsi="宋体" w:eastAsia="宋体" w:cs="宋体"/>
          <w:color w:val="000000" w:themeColor="text1"/>
          <w:sz w:val="24"/>
          <w:highlight w:val="none"/>
          <w:u w:val="single"/>
        </w:rPr>
        <w:t xml:space="preserve">          （姓名）</w:t>
      </w:r>
      <w:r>
        <w:rPr>
          <w:rFonts w:hint="eastAsia" w:ascii="宋体" w:hAnsi="宋体" w:eastAsia="宋体" w:cs="宋体"/>
          <w:color w:val="000000" w:themeColor="text1"/>
          <w:sz w:val="24"/>
          <w:highlight w:val="none"/>
        </w:rPr>
        <w:t xml:space="preserve">；合同履行期限</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w:t>
      </w:r>
      <w:r>
        <w:rPr>
          <w:color w:val="000000" w:themeColor="text1"/>
        </w:rPr>
      </w:r>
      <w:r/>
    </w:p>
    <w:p>
      <w:pPr>
        <w:ind w:firstLine="44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4、我们已详细审核全部招标文件及其有效补充文件，我们放弃对招标文件任何误解的权利，提交投标文件后，不对招标文件本身提出质疑。</w:t>
      </w:r>
      <w:r>
        <w:rPr>
          <w:color w:val="000000" w:themeColor="text1"/>
        </w:rPr>
      </w:r>
      <w:r/>
    </w:p>
    <w:p>
      <w:pPr>
        <w:ind w:firstLine="44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5、我们同意从规定的开标日期起遵循本投标文件，并在规定的投标有效期期满之前均具有约束力。</w:t>
      </w:r>
      <w:r>
        <w:rPr>
          <w:color w:val="000000" w:themeColor="text1"/>
        </w:rPr>
      </w:r>
      <w:r/>
    </w:p>
    <w:p>
      <w:pPr>
        <w:ind w:firstLine="44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6、一旦我方中标，我方将根据招标文件的规定严格履行合同。</w:t>
      </w:r>
      <w:r>
        <w:rPr>
          <w:color w:val="000000" w:themeColor="text1"/>
        </w:rPr>
      </w:r>
      <w:r/>
    </w:p>
    <w:p>
      <w:pPr>
        <w:ind w:firstLine="44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我方决不提供虚假材料谋取中标、决不采取不正当手段诋毁、排挤其他供应商、决不与采购人、其它供应商或者招标代理恶意串通、决不向采购人、采购单位工作人员和评委进行商业贿赂、决不在采购过程中与采购人进行协商谈判、决不拒绝有关部门监督检查或提供虚假情况，如有违反，无条件接受贵方及相关管理部门的处罚。</w:t>
      </w:r>
      <w:r>
        <w:rPr>
          <w:color w:val="000000" w:themeColor="text1"/>
        </w:rPr>
      </w:r>
      <w:r/>
    </w:p>
    <w:p>
      <w:pPr>
        <w:ind w:firstLine="44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8、与本投标有关的正式联系方式为：</w:t>
      </w:r>
      <w:r>
        <w:rPr>
          <w:color w:val="000000" w:themeColor="text1"/>
        </w:rPr>
      </w:r>
      <w:r/>
    </w:p>
    <w:p>
      <w:pPr>
        <w:ind w:firstLine="42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地址：</w:t>
      </w:r>
      <w:r>
        <w:rPr>
          <w:rFonts w:hint="eastAsia" w:ascii="宋体" w:hAnsi="宋体" w:eastAsia="宋体" w:cs="宋体"/>
          <w:color w:val="000000" w:themeColor="text1"/>
          <w:sz w:val="24"/>
          <w:highlight w:val="none"/>
          <w:u w:val="single"/>
        </w:rPr>
        <w:t xml:space="preserve">                </w:t>
      </w:r>
      <w:r>
        <w:rPr>
          <w:color w:val="000000" w:themeColor="text1"/>
        </w:rPr>
      </w:r>
      <w:r/>
    </w:p>
    <w:p>
      <w:pPr>
        <w:ind w:firstLine="420"/>
        <w:spacing w:line="336"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电话：</w:t>
      </w:r>
      <w:r>
        <w:rPr>
          <w:rFonts w:hint="eastAsia" w:ascii="宋体" w:hAnsi="宋体" w:eastAsia="宋体" w:cs="宋体"/>
          <w:color w:val="000000" w:themeColor="text1"/>
          <w:sz w:val="24"/>
          <w:highlight w:val="none"/>
          <w:u w:val="single"/>
        </w:rPr>
        <w:t xml:space="preserve">                </w:t>
      </w:r>
      <w:r>
        <w:rPr>
          <w:color w:val="000000" w:themeColor="text1"/>
        </w:rPr>
      </w:r>
      <w:r/>
    </w:p>
    <w:p>
      <w:pPr>
        <w:ind w:firstLine="42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开户银行：</w:t>
      </w:r>
      <w:r>
        <w:rPr>
          <w:rFonts w:hint="eastAsia" w:ascii="宋体" w:hAnsi="宋体" w:eastAsia="宋体" w:cs="宋体"/>
          <w:color w:val="000000" w:themeColor="text1"/>
          <w:sz w:val="24"/>
          <w:highlight w:val="none"/>
          <w:u w:val="single"/>
        </w:rPr>
        <w:t xml:space="preserve">                </w:t>
      </w:r>
      <w:r>
        <w:rPr>
          <w:color w:val="000000" w:themeColor="text1"/>
        </w:rPr>
      </w:r>
      <w:r/>
    </w:p>
    <w:p>
      <w:pPr>
        <w:ind w:firstLine="42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银行账号：</w:t>
      </w:r>
      <w:r>
        <w:rPr>
          <w:rFonts w:hint="eastAsia" w:ascii="宋体" w:hAnsi="宋体" w:eastAsia="宋体" w:cs="宋体"/>
          <w:color w:val="000000" w:themeColor="text1"/>
          <w:sz w:val="24"/>
          <w:highlight w:val="none"/>
          <w:u w:val="single"/>
        </w:rPr>
        <w:t xml:space="preserve">                </w:t>
      </w:r>
      <w:r>
        <w:rPr>
          <w:color w:val="000000" w:themeColor="text1"/>
        </w:rPr>
      </w:r>
      <w:r/>
    </w:p>
    <w:p>
      <w:pPr>
        <w:ind w:firstLine="42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供应商授权代表姓名（签字或盖章）：</w:t>
      </w:r>
      <w:r>
        <w:rPr>
          <w:rFonts w:hint="eastAsia" w:ascii="宋体" w:hAnsi="宋体" w:eastAsia="宋体" w:cs="宋体"/>
          <w:color w:val="000000" w:themeColor="text1"/>
          <w:sz w:val="24"/>
          <w:highlight w:val="none"/>
          <w:u w:val="single"/>
        </w:rPr>
        <w:t xml:space="preserve">                </w:t>
      </w:r>
      <w:r>
        <w:rPr>
          <w:color w:val="000000" w:themeColor="text1"/>
        </w:rPr>
      </w:r>
      <w:r/>
    </w:p>
    <w:p>
      <w:pPr>
        <w:ind w:firstLine="420"/>
        <w:spacing w:line="33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供应商名称：</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（盖章）</w:t>
      </w:r>
      <w:r>
        <w:rPr>
          <w:color w:val="000000" w:themeColor="text1"/>
        </w:rPr>
      </w: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 日</w:t>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br w:type="page" w:clear="all"/>
      </w:r>
      <w:r>
        <w:rPr>
          <w:rFonts w:hint="eastAsia" w:ascii="宋体" w:hAnsi="宋体" w:eastAsia="宋体" w:cs="宋体"/>
          <w:b/>
          <w:color w:val="000000" w:themeColor="text1"/>
          <w:sz w:val="31"/>
          <w:szCs w:val="31"/>
          <w:highlight w:val="none"/>
        </w:rPr>
        <w:t xml:space="preserve">附件二、法定代表人授权委托书格式</w:t>
      </w:r>
      <w:r>
        <w:rPr>
          <w:color w:val="000000" w:themeColor="text1"/>
        </w:rPr>
      </w:r>
      <w:r/>
    </w:p>
    <w:p>
      <w:pPr>
        <w:spacing w:after="12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sz w:val="28"/>
          <w:szCs w:val="28"/>
          <w:highlight w:val="none"/>
        </w:rPr>
        <w:t xml:space="preserve">法定代表人授权委托书</w:t>
      </w:r>
      <w:r>
        <w:rPr>
          <w:color w:val="000000" w:themeColor="text1"/>
        </w:rPr>
      </w:r>
      <w:r/>
    </w:p>
    <w:p>
      <w:pPr>
        <w:spacing w:line="36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致：</w:t>
      </w:r>
      <w:r>
        <w:rPr>
          <w:rFonts w:hint="eastAsia" w:ascii="宋体" w:hAnsi="宋体" w:eastAsia="宋体" w:cs="宋体"/>
          <w:color w:val="000000" w:themeColor="text1"/>
          <w:sz w:val="24"/>
          <w:highlight w:val="none"/>
          <w:u w:val="single"/>
        </w:rPr>
        <w:t xml:space="preserve">         </w:t>
      </w:r>
      <w:r>
        <w:rPr>
          <w:color w:val="000000" w:themeColor="text1"/>
        </w:rPr>
      </w:r>
      <w:r/>
    </w:p>
    <w:p>
      <w:pPr>
        <w:ind w:left="-420" w:firstLine="96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本授权书声明：注册于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（供应商住址）的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供应商名称）法定代表人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（法定代表人姓名）代表本公司授权在下面签字的</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（供应商代表姓名）为本公司的合法代理人，就贵方组织的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（项目名称），</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（项目编号）投标，以本公司名义处理一切与之有关的事务。</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本授权书于  年  月  日签字生效，特此声明。</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法定代表人签字或盖章：</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授权委托人签字或盖章：</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委托代理人的身份证的复印件:</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spacing w:after="120"/>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r>
      <w:r>
        <w:rPr>
          <w:color w:val="000000" w:themeColor="text1"/>
        </w:rPr>
      </w:r>
      <w:r/>
    </w:p>
    <w:p>
      <w:pPr>
        <w:spacing w:after="120"/>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t xml:space="preserve">附件三、开标一览表及分项报价表格式</w:t>
      </w:r>
      <w:r>
        <w:rPr>
          <w:color w:val="000000" w:themeColor="text1"/>
        </w:rPr>
      </w:r>
      <w:r/>
    </w:p>
    <w:p>
      <w:pPr>
        <w:pStyle w:val="789"/>
        <w:rPr>
          <w:color w:val="000000" w:themeColor="text1"/>
          <w:highlight w:val="none"/>
        </w:rPr>
      </w:pPr>
      <w:r>
        <w:rPr>
          <w:color w:val="000000" w:themeColor="text1"/>
          <w:highlight w:val="none"/>
        </w:rPr>
      </w:r>
      <w:r>
        <w:rPr>
          <w:color w:val="000000" w:themeColor="text1"/>
        </w:rPr>
      </w:r>
      <w:r/>
    </w:p>
    <w:p>
      <w:pPr>
        <w:ind w:firstLine="3960"/>
        <w:spacing w:line="360" w:lineRule="auto"/>
        <w:shd w:val="clear" w:color="auto" w:fill="ffffff"/>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t xml:space="preserve">开标一览表</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供应商名称：（加盖公章）</w:t>
      </w:r>
      <w:r>
        <w:rPr>
          <w:color w:val="000000" w:themeColor="text1"/>
        </w:rPr>
      </w:r>
      <w:r/>
    </w:p>
    <w:p>
      <w:pPr>
        <w:spacing w:line="360" w:lineRule="auto"/>
        <w:rPr>
          <w:color w:val="000000" w:themeColor="text1"/>
          <w:sz w:val="24"/>
          <w:highlight w:val="none"/>
        </w:rPr>
      </w:pPr>
      <w:r>
        <w:rPr>
          <w:rFonts w:hint="eastAsia" w:ascii="宋体" w:hAnsi="宋体"/>
          <w:color w:val="000000" w:themeColor="text1"/>
          <w:sz w:val="24"/>
          <w:highlight w:val="none"/>
        </w:rPr>
        <w:t xml:space="preserve">项目名称：</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项目编号：                                   </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分包号：</w:t>
      </w:r>
      <w:r>
        <w:rPr>
          <w:color w:val="000000" w:themeColor="text1"/>
        </w:rPr>
      </w:r>
      <w:r/>
    </w:p>
    <w:tbl>
      <w:tblPr>
        <w:tblStyle w:val="712"/>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42"/>
        </w:trPr>
        <w:tc>
          <w:tcPr>
            <w:tcW w:w="9450" w:type="dxa"/>
            <w:vAlign w:val="center"/>
            <w:textDirection w:val="lrTb"/>
            <w:noWrap w:val="false"/>
          </w:tcPr>
          <w:p>
            <w:pPr>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投标总报价（含税）</w:t>
            </w:r>
            <w:r>
              <w:rPr>
                <w:color w:val="000000" w:themeColor="text1"/>
              </w:rPr>
            </w:r>
            <w:r/>
          </w:p>
        </w:tc>
      </w:tr>
      <w:tr>
        <w:trPr>
          <w:cantSplit/>
          <w:trHeight w:val="720"/>
        </w:trPr>
        <w:tc>
          <w:tcPr>
            <w:tcW w:w="9450" w:type="dxa"/>
            <w:vAlign w:val="center"/>
            <w:textDirection w:val="lrTb"/>
            <w:noWrap w:val="false"/>
          </w:tcPr>
          <w:p>
            <w:pPr>
              <w:pStyle w:val="951"/>
              <w:ind w:firstLine="0"/>
              <w:spacing w:before="0" w:after="0" w:line="500" w:lineRule="exact"/>
              <w:rPr>
                <w:rFonts w:hint="eastAsia" w:ascii="宋体" w:hAnsi="宋体"/>
                <w:color w:val="000000" w:themeColor="text1"/>
                <w:szCs w:val="21"/>
                <w:highlight w:val="none"/>
              </w:rPr>
            </w:pPr>
            <w:r>
              <w:rPr>
                <w:rFonts w:hint="eastAsia" w:ascii="宋体" w:hAnsi="宋体" w:cs="宋体"/>
                <w:color w:val="000000" w:themeColor="text1"/>
                <w:highlight w:val="none"/>
              </w:rPr>
              <w:t xml:space="preserve">小写（人民币）：</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元                         </w:t>
            </w:r>
            <w:r>
              <w:rPr>
                <w:color w:val="000000" w:themeColor="text1"/>
              </w:rPr>
            </w:r>
            <w:r/>
          </w:p>
        </w:tc>
      </w:tr>
      <w:tr>
        <w:trPr>
          <w:cantSplit/>
          <w:trHeight w:val="747"/>
        </w:trPr>
        <w:tc>
          <w:tcPr>
            <w:tcW w:w="9450" w:type="dxa"/>
            <w:vAlign w:val="center"/>
            <w:textDirection w:val="lrTb"/>
            <w:noWrap w:val="false"/>
          </w:tcPr>
          <w:p>
            <w:pPr>
              <w:pStyle w:val="951"/>
              <w:ind w:firstLine="0"/>
              <w:spacing w:before="0" w:after="0" w:line="50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大写（人民币）：</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元    </w:t>
            </w:r>
            <w:r>
              <w:rPr>
                <w:color w:val="000000" w:themeColor="text1"/>
              </w:rPr>
            </w:r>
            <w:r/>
          </w:p>
        </w:tc>
      </w:tr>
    </w:tbl>
    <w:p>
      <w:pPr>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right="180" w:firstLine="480"/>
        <w:jc w:val="right"/>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                                             供应商名称：（加盖电子公章）</w:t>
      </w:r>
      <w:r>
        <w:rPr>
          <w:color w:val="000000" w:themeColor="text1"/>
        </w:rPr>
      </w:r>
      <w:r/>
    </w:p>
    <w:p>
      <w:pPr>
        <w:ind w:firstLine="720"/>
        <w:rPr>
          <w:rFonts w:hint="eastAsia" w:ascii="宋体" w:hAnsi="宋体"/>
          <w:color w:val="000000" w:themeColor="text1"/>
          <w:sz w:val="24"/>
          <w:highlight w:val="none"/>
        </w:rPr>
      </w:pPr>
      <w:r>
        <w:rPr>
          <w:rFonts w:hint="eastAsia" w:ascii="宋体" w:hAnsi="宋体"/>
          <w:color w:val="000000" w:themeColor="text1"/>
          <w:sz w:val="24"/>
          <w:highlight w:val="none"/>
        </w:rPr>
        <w:t xml:space="preserve">                                              日  期：</w:t>
      </w:r>
      <w:r>
        <w:rPr>
          <w:color w:val="000000" w:themeColor="text1"/>
        </w:rPr>
      </w:r>
      <w:r/>
    </w:p>
    <w:p>
      <w:pPr>
        <w:ind w:firstLine="480"/>
        <w:rPr>
          <w:rFonts w:hint="eastAsia" w:ascii="黑体" w:hAnsi="黑体" w:eastAsia="黑体"/>
          <w:b/>
          <w:i/>
          <w:color w:val="000000" w:themeColor="text1"/>
          <w:sz w:val="32"/>
          <w:szCs w:val="32"/>
          <w:highlight w:val="none"/>
          <w:u w:val="single"/>
        </w:rPr>
      </w:pPr>
      <w:r>
        <w:rPr>
          <w:rFonts w:hint="eastAsia" w:ascii="黑体" w:hAnsi="黑体" w:eastAsia="黑体"/>
          <w:b/>
          <w:i/>
          <w:color w:val="000000" w:themeColor="text1"/>
          <w:sz w:val="32"/>
          <w:szCs w:val="32"/>
          <w:highlight w:val="none"/>
          <w:u w:val="single"/>
        </w:rPr>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br w:type="page" w:clear="all"/>
      </w:r>
      <w:r>
        <w:rPr>
          <w:color w:val="000000" w:themeColor="text1"/>
        </w:rPr>
      </w:r>
      <w:r/>
    </w:p>
    <w:p>
      <w:pPr>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分项报价表</w:t>
      </w:r>
      <w:r>
        <w:rPr>
          <w:color w:val="000000" w:themeColor="text1"/>
        </w:rPr>
      </w:r>
      <w:r/>
    </w:p>
    <w:p>
      <w:pPr>
        <w:ind w:firstLine="42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（如有，格式自拟）</w:t>
      </w:r>
      <w:r>
        <w:rPr>
          <w:color w:val="000000" w:themeColor="text1"/>
        </w:rPr>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说明：供应商应分项进行填报，表中表格行数可自行添加。招标文件中未列出的相关辅助材料和在实施过程中涉及到的其它一切费用应在报价时一并考虑，项目实施过程中不再单独结算。表中报价总计应与对应报价一览表中总报价一致。</w:t>
      </w:r>
      <w:r>
        <w:rPr>
          <w:color w:val="000000" w:themeColor="text1"/>
        </w:rPr>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在“备注（符合小微企业等规定的请注明）”栏内，填写“符合 小微型企业/监狱企业/残疾人福利性产品 报价”，“小微型企业、监狱企业或残疾人福利性产品报价总计”填写汇总价（报价折扣无需折算），如果未按上表格式填写，评审时将不享受价格扣除。</w:t>
      </w:r>
      <w:r>
        <w:rPr>
          <w:color w:val="000000" w:themeColor="text1"/>
        </w:rPr>
      </w:r>
      <w:r/>
    </w:p>
    <w:p>
      <w:pPr>
        <w:ind w:right="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ind w:right="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ind w:right="9"/>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ind w:right="9"/>
        <w:jc w:val="right"/>
        <w:spacing w:line="36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供应商名称：</w:t>
      </w:r>
      <w:r>
        <w:rPr>
          <w:rFonts w:hint="eastAsia" w:ascii="宋体" w:hAnsi="宋体" w:eastAsia="宋体" w:cs="宋体"/>
          <w:color w:val="000000" w:themeColor="text1"/>
          <w:sz w:val="24"/>
          <w:highlight w:val="none"/>
          <w:u w:val="single"/>
        </w:rPr>
        <w:t xml:space="preserve">（盖章）</w:t>
      </w:r>
      <w:r>
        <w:rPr>
          <w:color w:val="000000" w:themeColor="text1"/>
        </w:rPr>
      </w:r>
      <w:r/>
    </w:p>
    <w:p>
      <w:pPr>
        <w:ind w:right="9"/>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法定代表人或其授权代理人：</w:t>
      </w:r>
      <w:r>
        <w:rPr>
          <w:rFonts w:hint="eastAsia" w:ascii="宋体" w:hAnsi="宋体" w:eastAsia="宋体" w:cs="宋体"/>
          <w:color w:val="000000" w:themeColor="text1"/>
          <w:sz w:val="24"/>
          <w:highlight w:val="none"/>
          <w:u w:val="single"/>
        </w:rPr>
        <w:t xml:space="preserve">（签字或盖章）</w:t>
      </w:r>
      <w:r>
        <w:rPr>
          <w:color w:val="000000" w:themeColor="text1"/>
        </w:rPr>
      </w:r>
      <w:r/>
    </w:p>
    <w:p>
      <w:pPr>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br w:type="page" w:clear="all"/>
      </w:r>
      <w:r>
        <w:rPr>
          <w:color w:val="000000" w:themeColor="text1"/>
        </w:rPr>
      </w:r>
      <w:r/>
    </w:p>
    <w:p>
      <w:pPr>
        <w:spacing w:line="360" w:lineRule="auto"/>
        <w:shd w:val="clear" w:color="auto" w:fill="ffffff"/>
        <w:rPr>
          <w:rFonts w:hint="eastAsia" w:ascii="宋体" w:hAnsi="宋体" w:eastAsia="宋体" w:cs="宋体"/>
          <w:b/>
          <w:bCs/>
          <w:color w:val="000000" w:themeColor="text1"/>
          <w:sz w:val="24"/>
          <w:highlight w:val="none"/>
        </w:rPr>
      </w:pPr>
      <w:r>
        <w:rPr>
          <w:rFonts w:hint="eastAsia" w:ascii="宋体" w:hAnsi="宋体" w:eastAsia="宋体" w:cs="宋体"/>
          <w:b/>
          <w:color w:val="000000" w:themeColor="text1"/>
          <w:sz w:val="31"/>
          <w:szCs w:val="31"/>
          <w:highlight w:val="none"/>
        </w:rPr>
        <w:t xml:space="preserve">附件四、</w:t>
      </w:r>
      <w:r>
        <w:rPr>
          <w:rFonts w:hint="eastAsia" w:ascii="宋体" w:hAnsi="宋体" w:eastAsia="宋体" w:cs="宋体"/>
          <w:b/>
          <w:color w:val="000000" w:themeColor="text1"/>
          <w:sz w:val="31"/>
          <w:szCs w:val="31"/>
          <w:highlight w:val="none"/>
          <w:lang w:val="zh-CN"/>
        </w:rPr>
        <w:t xml:space="preserve">技术规格偏离表格式 </w:t>
      </w:r>
      <w:r>
        <w:rPr>
          <w:color w:val="000000" w:themeColor="text1"/>
        </w:rPr>
      </w:r>
      <w:r/>
    </w:p>
    <w:p>
      <w:pPr>
        <w:ind w:left="420"/>
        <w:jc w:val="center"/>
        <w:spacing w:line="360" w:lineRule="auto"/>
        <w:shd w:val="clear" w:color="auto" w:fill="ffffff"/>
        <w:rPr>
          <w:rFonts w:hint="eastAsia" w:ascii="宋体" w:hAnsi="宋体" w:eastAsia="宋体" w:cs="宋体"/>
          <w:color w:val="000000" w:themeColor="text1"/>
          <w:highlight w:val="none"/>
        </w:rPr>
      </w:pPr>
      <w:r>
        <w:rPr>
          <w:rFonts w:hint="eastAsia" w:ascii="宋体" w:hAnsi="宋体" w:eastAsia="宋体" w:cs="宋体"/>
          <w:color w:val="000000" w:themeColor="text1"/>
          <w:sz w:val="36"/>
          <w:szCs w:val="36"/>
          <w:highlight w:val="none"/>
        </w:rPr>
        <w:t xml:space="preserve">技术规格偏离表</w:t>
      </w:r>
      <w:r>
        <w:rPr>
          <w:color w:val="000000" w:themeColor="text1"/>
        </w:rPr>
      </w:r>
      <w:r/>
    </w:p>
    <w:tbl>
      <w:tblPr>
        <w:tblStyle w:val="712"/>
        <w:tblW w:w="9000" w:type="dxa"/>
        <w:jc w:val="center"/>
        <w:tblLayout w:type="fixed"/>
        <w:tblCellMar>
          <w:left w:w="0" w:type="dxa"/>
          <w:top w:w="0" w:type="dxa"/>
          <w:right w:w="0" w:type="dxa"/>
          <w:bottom w:w="0" w:type="dxa"/>
        </w:tblCellMar>
        <w:tblLook w:val="04A0" w:firstRow="1" w:lastRow="0" w:firstColumn="1" w:lastColumn="0" w:noHBand="0" w:noVBand="1"/>
      </w:tblPr>
      <w:tblGrid>
        <w:gridCol w:w="985"/>
        <w:gridCol w:w="1755"/>
        <w:gridCol w:w="1500"/>
        <w:gridCol w:w="2376"/>
        <w:gridCol w:w="1349"/>
        <w:gridCol w:w="1035"/>
      </w:tblGrid>
      <w:tr>
        <w:trPr>
          <w:jc w:val="center"/>
          <w:trHeight w:val="450"/>
        </w:trPr>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240"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项目名称：</w:t>
            </w:r>
            <w:r>
              <w:rPr>
                <w:color w:val="000000" w:themeColor="text1"/>
              </w:rPr>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760"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项目编号：</w:t>
            </w:r>
            <w:r>
              <w:rPr>
                <w:color w:val="000000" w:themeColor="text1"/>
              </w:rPr>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序号</w:t>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招标文件条目号</w:t>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招标要求规格</w:t>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投标响应</w:t>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偏离</w:t>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备注</w:t>
            </w:r>
            <w:r>
              <w:rPr>
                <w:color w:val="000000" w:themeColor="text1"/>
              </w:rPr>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488"/>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bl>
    <w:p>
      <w:pPr>
        <w:spacing w:line="360" w:lineRule="auto"/>
        <w:shd w:val="clear" w:color="auto" w:fill="ffff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说明：1、如果行数不够，请自行增加。</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right="9"/>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供应商名称：（加盖电子公章）</w:t>
      </w:r>
      <w:r>
        <w:rPr>
          <w:color w:val="000000" w:themeColor="text1"/>
        </w:rPr>
      </w:r>
      <w:r/>
    </w:p>
    <w:p>
      <w:pPr>
        <w:ind w:right="9"/>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360" w:lineRule="auto"/>
        <w:shd w:val="clear" w:color="auto" w:fill="ffffff"/>
        <w:rPr>
          <w:rFonts w:hint="eastAsia" w:ascii="宋体" w:hAnsi="宋体" w:eastAsia="宋体" w:cs="宋体"/>
          <w:color w:val="000000" w:themeColor="text1"/>
          <w:highlight w:val="none"/>
        </w:rPr>
      </w:pPr>
      <w:r>
        <w:rPr>
          <w:color w:val="000000" w:themeColor="text1"/>
        </w:rPr>
      </w:r>
      <w:bookmarkStart w:id="10" w:name="_Toc481604684"/>
      <w:r>
        <w:rPr>
          <w:color w:val="000000" w:themeColor="text1"/>
        </w:rPr>
      </w:r>
      <w:bookmarkStart w:id="11" w:name="_Toc2435"/>
      <w:r>
        <w:rPr>
          <w:rFonts w:hint="eastAsia" w:ascii="宋体" w:hAnsi="宋体" w:eastAsia="宋体" w:cs="宋体"/>
          <w:b/>
          <w:color w:val="000000" w:themeColor="text1"/>
          <w:sz w:val="31"/>
          <w:szCs w:val="31"/>
          <w:highlight w:val="none"/>
        </w:rPr>
        <w:t xml:space="preserve">附件五、商务条款偏离表格式</w:t>
      </w:r>
      <w:bookmarkEnd w:id="10"/>
      <w:r>
        <w:rPr>
          <w:color w:val="000000" w:themeColor="text1"/>
        </w:rPr>
      </w:r>
      <w:bookmarkEnd w:id="11"/>
      <w:r>
        <w:rPr>
          <w:color w:val="000000" w:themeColor="text1"/>
        </w:rPr>
      </w:r>
      <w:r/>
    </w:p>
    <w:p>
      <w:pPr>
        <w:ind w:left="420"/>
        <w:jc w:val="center"/>
        <w:spacing w:line="360" w:lineRule="auto"/>
        <w:shd w:val="clear" w:color="auto" w:fill="ffffff"/>
        <w:rPr>
          <w:rFonts w:hint="eastAsia" w:ascii="宋体" w:hAnsi="宋体" w:eastAsia="宋体" w:cs="宋体"/>
          <w:color w:val="000000" w:themeColor="text1"/>
          <w:highlight w:val="none"/>
        </w:rPr>
      </w:pPr>
      <w:r>
        <w:rPr>
          <w:rFonts w:hint="eastAsia" w:ascii="宋体" w:hAnsi="宋体" w:eastAsia="宋体" w:cs="宋体"/>
          <w:color w:val="000000" w:themeColor="text1"/>
          <w:sz w:val="36"/>
          <w:szCs w:val="36"/>
          <w:highlight w:val="none"/>
        </w:rPr>
        <w:t xml:space="preserve">商务条款偏离表</w:t>
      </w:r>
      <w:r>
        <w:rPr>
          <w:color w:val="000000" w:themeColor="text1"/>
        </w:rPr>
      </w:r>
      <w:r/>
    </w:p>
    <w:tbl>
      <w:tblPr>
        <w:tblStyle w:val="712"/>
        <w:tblW w:w="10330" w:type="dxa"/>
        <w:jc w:val="center"/>
        <w:tblLayout w:type="fixed"/>
        <w:tblCellMar>
          <w:left w:w="0" w:type="dxa"/>
          <w:top w:w="0" w:type="dxa"/>
          <w:right w:w="0" w:type="dxa"/>
          <w:bottom w:w="0" w:type="dxa"/>
        </w:tblCellMar>
        <w:tblLook w:val="04A0" w:firstRow="1" w:lastRow="0" w:firstColumn="1" w:lastColumn="0" w:noHBand="0" w:noVBand="1"/>
      </w:tblPr>
      <w:tblGrid>
        <w:gridCol w:w="903"/>
        <w:gridCol w:w="1784"/>
        <w:gridCol w:w="2370"/>
        <w:gridCol w:w="933"/>
        <w:gridCol w:w="1759"/>
        <w:gridCol w:w="1201"/>
        <w:gridCol w:w="1380"/>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990"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项目名称：</w:t>
            </w:r>
            <w:r>
              <w:rPr>
                <w:color w:val="000000" w:themeColor="text1"/>
              </w:rPr>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340"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项目编号：</w:t>
            </w:r>
            <w:r>
              <w:rPr>
                <w:color w:val="000000" w:themeColor="text1"/>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序号</w:t>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招标文件条目号</w:t>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招标文件要求的</w:t>
            </w:r>
            <w:r>
              <w:rPr>
                <w:color w:val="000000" w:themeColor="text1"/>
              </w:rPr>
            </w:r>
            <w:r/>
          </w:p>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商务条款</w:t>
            </w:r>
            <w:r>
              <w:rPr>
                <w:color w:val="000000" w:themeColor="text1"/>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投标响应</w:t>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偏离</w:t>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备注</w:t>
            </w:r>
            <w:r>
              <w:rPr>
                <w:color w:val="000000" w:themeColor="text1"/>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Pr>
        <w:tc>
          <w:tcPr>
            <w:tcBorders>
              <w:top w:val="none" w:color="000000" w:sz="4" w:space="0"/>
              <w:left w:val="none" w:color="000000" w:sz="4" w:space="0"/>
              <w:bottom w:val="none" w:color="000000" w:sz="4" w:space="0"/>
              <w:right w:val="none" w:color="000000" w:sz="4" w:space="0"/>
            </w:tcBorders>
            <w:tcW w:w="903"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none" w:color="000000" w:sz="4" w:space="0"/>
              <w:left w:val="none" w:color="000000" w:sz="4" w:space="0"/>
              <w:bottom w:val="none" w:color="000000" w:sz="4" w:space="0"/>
              <w:right w:val="none" w:color="000000" w:sz="4" w:space="0"/>
            </w:tcBorders>
            <w:tcW w:w="1784"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none" w:color="000000" w:sz="4" w:space="0"/>
              <w:left w:val="none" w:color="000000" w:sz="4" w:space="0"/>
              <w:bottom w:val="none" w:color="000000" w:sz="4" w:space="0"/>
              <w:right w:val="none" w:color="000000" w:sz="4" w:space="0"/>
            </w:tcBorders>
            <w:tcW w:w="2370"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none" w:color="000000" w:sz="4" w:space="0"/>
              <w:left w:val="none" w:color="000000" w:sz="4" w:space="0"/>
              <w:bottom w:val="none" w:color="000000" w:sz="4" w:space="0"/>
              <w:right w:val="none" w:color="000000" w:sz="4" w:space="0"/>
            </w:tcBorders>
            <w:tcW w:w="933"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none" w:color="000000" w:sz="4" w:space="0"/>
              <w:left w:val="none" w:color="000000" w:sz="4" w:space="0"/>
              <w:bottom w:val="none" w:color="000000" w:sz="4" w:space="0"/>
              <w:right w:val="none" w:color="000000" w:sz="4" w:space="0"/>
            </w:tcBorders>
            <w:tcW w:w="1380"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bl>
    <w:p>
      <w:pPr>
        <w:spacing w:line="360" w:lineRule="auto"/>
        <w:rPr>
          <w:rFonts w:hint="eastAsia"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说明：如果行数不够，请自行增加。</w:t>
      </w:r>
      <w:r>
        <w:rPr>
          <w:color w:val="000000" w:themeColor="text1"/>
        </w:rPr>
      </w:r>
      <w:r/>
    </w:p>
    <w:p>
      <w:pPr>
        <w:ind w:right="9"/>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供应商名称：（加盖电子公章）</w:t>
      </w:r>
      <w:r>
        <w:rPr>
          <w:color w:val="000000" w:themeColor="text1"/>
        </w:rPr>
      </w:r>
      <w:r/>
    </w:p>
    <w:p>
      <w:pPr>
        <w:ind w:right="9"/>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rPr>
      </w:r>
      <w:r/>
    </w:p>
    <w:p>
      <w:pPr>
        <w:spacing w:line="360" w:lineRule="auto"/>
        <w:shd w:val="clear" w:color="auto" w:fill="ffffff"/>
        <w:rPr>
          <w:rFonts w:hint="eastAsia" w:ascii="宋体" w:hAnsi="宋体" w:eastAsia="宋体" w:cs="宋体"/>
          <w:b/>
          <w:bCs/>
          <w:color w:val="000000" w:themeColor="text1"/>
          <w:sz w:val="31"/>
          <w:szCs w:val="31"/>
          <w:highlight w:val="none"/>
        </w:rPr>
      </w:pPr>
      <w:r>
        <w:rPr>
          <w:rFonts w:hint="eastAsia" w:ascii="宋体" w:hAnsi="宋体" w:eastAsia="宋体" w:cs="宋体"/>
          <w:b/>
          <w:color w:val="000000" w:themeColor="text1"/>
          <w:sz w:val="31"/>
          <w:szCs w:val="31"/>
          <w:highlight w:val="none"/>
        </w:rPr>
        <w:t xml:space="preserve">附件六、方案及服务承诺</w:t>
      </w:r>
      <w:r>
        <w:rPr>
          <w:color w:val="000000" w:themeColor="text1"/>
        </w:rPr>
      </w:r>
      <w:r/>
    </w:p>
    <w:p>
      <w:pPr>
        <w:ind w:firstLine="42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方案及服务承诺应根据采购人对项目的要求、评标标准的要求及项目本身的特点编写。</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60" w:lineRule="auto"/>
        <w:shd w:val="clear" w:color="auto" w:fill="ffffff"/>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t xml:space="preserve">附件七、</w:t>
      </w:r>
      <w:r>
        <w:rPr>
          <w:rFonts w:hint="eastAsia" w:ascii="宋体" w:hAnsi="宋体" w:eastAsia="宋体" w:cs="宋体"/>
          <w:b/>
          <w:color w:val="000000" w:themeColor="text1"/>
          <w:sz w:val="31"/>
          <w:szCs w:val="31"/>
          <w:highlight w:val="none"/>
          <w:lang w:val="zh-CN"/>
        </w:rPr>
        <w:t xml:space="preserve">供应商类似业绩情况表</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r>
      <w:r>
        <w:rPr>
          <w:color w:val="000000" w:themeColor="text1"/>
        </w:rPr>
      </w:r>
      <w:r/>
    </w:p>
    <w:tbl>
      <w:tblPr>
        <w:tblStyle w:val="712"/>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3812"/>
        <w:gridCol w:w="1572"/>
        <w:gridCol w:w="1164"/>
        <w:gridCol w:w="1395"/>
      </w:tblGrid>
      <w:tr>
        <w:trPr>
          <w:jc w:val="center"/>
          <w:trHeight w:val="1315"/>
        </w:trPr>
        <w:tc>
          <w:tcPr>
            <w:tcW w:w="1129" w:type="dxa"/>
            <w:vAlign w:val="center"/>
            <w:textDirection w:val="lrTb"/>
            <w:noWrap w:val="false"/>
          </w:tcPr>
          <w:p>
            <w:pPr>
              <w:jc w:val="center"/>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zh-CN"/>
              </w:rPr>
              <w:t xml:space="preserve">序号</w:t>
            </w:r>
            <w:r>
              <w:rPr>
                <w:color w:val="000000" w:themeColor="text1"/>
              </w:rPr>
            </w:r>
            <w:r/>
          </w:p>
        </w:tc>
        <w:tc>
          <w:tcPr>
            <w:tcW w:w="3812" w:type="dxa"/>
            <w:vAlign w:val="center"/>
            <w:textDirection w:val="lrTb"/>
            <w:noWrap w:val="false"/>
          </w:tcPr>
          <w:p>
            <w:pPr>
              <w:jc w:val="center"/>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zh-CN"/>
              </w:rPr>
              <w:t xml:space="preserve">项目名称</w:t>
            </w:r>
            <w:r>
              <w:rPr>
                <w:color w:val="000000" w:themeColor="text1"/>
              </w:rPr>
            </w:r>
            <w:r/>
          </w:p>
        </w:tc>
        <w:tc>
          <w:tcPr>
            <w:tcW w:w="1572" w:type="dxa"/>
            <w:vAlign w:val="center"/>
            <w:textDirection w:val="lrTb"/>
            <w:noWrap w:val="false"/>
          </w:tcPr>
          <w:p>
            <w:pPr>
              <w:jc w:val="center"/>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zh-CN"/>
              </w:rPr>
              <w:t xml:space="preserve">业主单位</w:t>
            </w:r>
            <w:r>
              <w:rPr>
                <w:color w:val="000000" w:themeColor="text1"/>
              </w:rPr>
            </w:r>
            <w:r/>
          </w:p>
        </w:tc>
        <w:tc>
          <w:tcPr>
            <w:tcW w:w="1164" w:type="dxa"/>
            <w:vAlign w:val="center"/>
            <w:textDirection w:val="lrTb"/>
            <w:noWrap w:val="false"/>
          </w:tcPr>
          <w:p>
            <w:pPr>
              <w:jc w:val="center"/>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合同签订时间</w:t>
            </w:r>
            <w:r>
              <w:rPr>
                <w:color w:val="000000" w:themeColor="text1"/>
              </w:rPr>
            </w:r>
            <w:r/>
          </w:p>
        </w:tc>
        <w:tc>
          <w:tcPr>
            <w:tcW w:w="1395" w:type="dxa"/>
            <w:vAlign w:val="center"/>
            <w:textDirection w:val="lrTb"/>
            <w:noWrap w:val="false"/>
          </w:tcPr>
          <w:p>
            <w:pPr>
              <w:jc w:val="center"/>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zh-CN"/>
              </w:rPr>
              <w:t xml:space="preserve">备注</w:t>
            </w:r>
            <w:r>
              <w:rPr>
                <w:color w:val="000000" w:themeColor="text1"/>
              </w:rPr>
            </w:r>
            <w:r/>
          </w:p>
        </w:tc>
      </w:tr>
      <w:tr>
        <w:trPr>
          <w:jc w:val="center"/>
          <w:trHeight w:val="352"/>
        </w:trPr>
        <w:tc>
          <w:tcPr>
            <w:tcW w:w="1129"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381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57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164"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395"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r>
      <w:tr>
        <w:trPr>
          <w:jc w:val="center"/>
          <w:trHeight w:val="352"/>
        </w:trPr>
        <w:tc>
          <w:tcPr>
            <w:tcW w:w="1129"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3812" w:type="dxa"/>
            <w:textDirection w:val="lrTb"/>
            <w:noWrap w:val="false"/>
          </w:tcPr>
          <w:p>
            <w:pPr>
              <w:rPr>
                <w:rFonts w:hint="eastAsia"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lang w:val="zh-CN"/>
              </w:rPr>
            </w:r>
            <w:r>
              <w:rPr>
                <w:color w:val="000000" w:themeColor="text1"/>
              </w:rPr>
            </w:r>
            <w:r/>
          </w:p>
        </w:tc>
        <w:tc>
          <w:tcPr>
            <w:tcW w:w="157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164"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395"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r>
      <w:tr>
        <w:trPr>
          <w:jc w:val="center"/>
          <w:trHeight w:val="362"/>
        </w:trPr>
        <w:tc>
          <w:tcPr>
            <w:tcW w:w="1129"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381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57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164"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395"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r>
      <w:tr>
        <w:trPr>
          <w:jc w:val="center"/>
          <w:trHeight w:val="362"/>
        </w:trPr>
        <w:tc>
          <w:tcPr>
            <w:tcW w:w="1129"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381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57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164"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395"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r>
      <w:tr>
        <w:trPr>
          <w:jc w:val="center"/>
          <w:trHeight w:val="362"/>
        </w:trPr>
        <w:tc>
          <w:tcPr>
            <w:tcW w:w="1129"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381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57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164"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395"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r>
      <w:tr>
        <w:trPr>
          <w:jc w:val="center"/>
          <w:trHeight w:val="362"/>
        </w:trPr>
        <w:tc>
          <w:tcPr>
            <w:tcW w:w="1129"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381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57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164"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395"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r>
      <w:tr>
        <w:trPr>
          <w:jc w:val="center"/>
          <w:trHeight w:val="362"/>
        </w:trPr>
        <w:tc>
          <w:tcPr>
            <w:tcW w:w="1129"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381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57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164"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395"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r>
      <w:tr>
        <w:trPr>
          <w:jc w:val="center"/>
          <w:trHeight w:val="362"/>
        </w:trPr>
        <w:tc>
          <w:tcPr>
            <w:tcW w:w="1129"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381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572"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164"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c>
          <w:tcPr>
            <w:tcW w:w="1395" w:type="dxa"/>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r/>
          </w:p>
        </w:tc>
      </w:tr>
    </w:tbl>
    <w:p>
      <w:pPr>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说明：</w:t>
      </w:r>
      <w:r>
        <w:rPr>
          <w:color w:val="000000" w:themeColor="text1"/>
        </w:rPr>
      </w:r>
      <w:r/>
    </w:p>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color w:val="000000" w:themeColor="text1"/>
          <w:szCs w:val="21"/>
          <w:highlight w:val="none"/>
          <w:lang w:val="zh-CN"/>
        </w:rPr>
        <w:t xml:space="preserve">1、如果行、列数不够，请自行增加。</w:t>
      </w:r>
      <w:r>
        <w:rPr>
          <w:color w:val="000000" w:themeColor="text1"/>
        </w:rPr>
      </w:r>
      <w:r/>
    </w:p>
    <w:p>
      <w:pPr>
        <w:ind w:firstLine="422"/>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2、请供应商根据本格式要求如实填写业绩情况表，并附相关证明材料复印件。</w:t>
      </w:r>
      <w:r>
        <w:rPr>
          <w:color w:val="000000" w:themeColor="text1"/>
        </w:rPr>
      </w:r>
      <w:r/>
    </w:p>
    <w:p>
      <w:pPr>
        <w:spacing w:line="240" w:lineRule="atLeast"/>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00"/>
        <w:spacing w:line="360" w:lineRule="auto"/>
        <w:rPr>
          <w:rFonts w:hint="eastAsia" w:ascii="宋体" w:hAnsi="宋体" w:eastAsia="宋体" w:cs="宋体"/>
          <w:color w:val="000000" w:themeColor="text1"/>
          <w:sz w:val="20"/>
          <w:highlight w:val="none"/>
        </w:rPr>
      </w:pPr>
      <w:r>
        <w:rPr>
          <w:rFonts w:hint="eastAsia" w:ascii="宋体" w:hAnsi="宋体" w:eastAsia="宋体" w:cs="宋体"/>
          <w:color w:val="000000" w:themeColor="text1"/>
          <w:sz w:val="20"/>
          <w:highlight w:val="none"/>
        </w:rPr>
      </w:r>
      <w:r>
        <w:rPr>
          <w:color w:val="000000" w:themeColor="text1"/>
        </w:rPr>
      </w:r>
      <w:r/>
    </w:p>
    <w:p>
      <w:pPr>
        <w:ind w:firstLine="400"/>
        <w:spacing w:line="360" w:lineRule="auto"/>
        <w:rPr>
          <w:rFonts w:hint="eastAsia" w:ascii="宋体" w:hAnsi="宋体" w:eastAsia="宋体" w:cs="宋体"/>
          <w:color w:val="000000" w:themeColor="text1"/>
          <w:sz w:val="20"/>
          <w:highlight w:val="none"/>
        </w:rPr>
      </w:pPr>
      <w:r>
        <w:rPr>
          <w:rFonts w:hint="eastAsia" w:ascii="宋体" w:hAnsi="宋体" w:eastAsia="宋体" w:cs="宋体"/>
          <w:color w:val="000000" w:themeColor="text1"/>
          <w:sz w:val="20"/>
          <w:highlight w:val="none"/>
        </w:rPr>
      </w:r>
      <w:r>
        <w:rPr>
          <w:color w:val="000000" w:themeColor="text1"/>
        </w:rPr>
      </w:r>
      <w:r/>
    </w:p>
    <w:p>
      <w:pPr>
        <w:ind w:right="9"/>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供应商名称：（加盖电子公章）</w:t>
      </w:r>
      <w:r>
        <w:rPr>
          <w:color w:val="000000" w:themeColor="text1"/>
        </w:rPr>
      </w:r>
      <w:r/>
    </w:p>
    <w:p>
      <w:pPr>
        <w:ind w:right="9"/>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color w:val="000000" w:themeColor="text1"/>
        </w:rPr>
      </w:r>
      <w:r/>
    </w:p>
    <w:p>
      <w:pPr>
        <w:spacing w:line="240" w:lineRule="atLeast"/>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rPr>
      </w:r>
      <w:r/>
    </w:p>
    <w:p>
      <w:pPr>
        <w:spacing w:after="120"/>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rPr>
          <w:color w:val="000000" w:themeColor="text1"/>
        </w:rPr>
      </w:r>
      <w:r/>
    </w:p>
    <w:p>
      <w:pPr>
        <w:rPr>
          <w:rFonts w:hint="eastAsia" w:ascii="宋体" w:hAnsi="宋体" w:eastAsia="宋体" w:cs="宋体"/>
          <w:b/>
          <w:bCs/>
          <w:color w:val="000000" w:themeColor="text1"/>
          <w:highlight w:val="none"/>
        </w:rPr>
      </w:pPr>
      <w:r>
        <w:rPr>
          <w:rFonts w:ascii="宋体" w:hAnsi="宋体" w:eastAsia="宋体" w:cs="宋体"/>
          <w:b/>
          <w:bCs/>
          <w:color w:val="000000" w:themeColor="text1"/>
          <w:highlight w:val="none"/>
        </w:rPr>
        <w:br w:type="page" w:clear="all"/>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t xml:space="preserve">附件八、企业声明函格式</w:t>
      </w:r>
      <w:r>
        <w:rPr>
          <w:color w:val="000000" w:themeColor="text1"/>
        </w:rPr>
      </w:r>
      <w:r/>
    </w:p>
    <w:p>
      <w:pPr>
        <w:jc w:val="center"/>
        <w:spacing w:line="360" w:lineRule="auto"/>
        <w:rPr>
          <w:rFonts w:hint="eastAsia" w:ascii="宋体" w:hAnsi="宋体"/>
          <w:color w:val="000000" w:themeColor="text1"/>
          <w:sz w:val="32"/>
          <w:szCs w:val="21"/>
          <w:highlight w:val="none"/>
        </w:rPr>
      </w:pPr>
      <w:r>
        <w:rPr>
          <w:rFonts w:hint="eastAsia" w:ascii="宋体" w:hAnsi="宋体"/>
          <w:color w:val="000000" w:themeColor="text1"/>
          <w:sz w:val="32"/>
          <w:szCs w:val="21"/>
          <w:highlight w:val="none"/>
        </w:rPr>
        <w:t xml:space="preserve">中小企业声明函（工程、服务）</w:t>
      </w:r>
      <w:r>
        <w:rPr>
          <w:color w:val="000000" w:themeColor="text1"/>
        </w:rPr>
      </w:r>
      <w:r/>
    </w:p>
    <w:p>
      <w:pPr>
        <w:ind w:firstLine="480"/>
        <w:spacing w:line="360" w:lineRule="auto"/>
        <w:rPr>
          <w:rFonts w:hint="eastAsia" w:ascii="宋体" w:hAnsi="宋体"/>
          <w:color w:val="000000" w:themeColor="text1"/>
          <w:sz w:val="24"/>
          <w:szCs w:val="18"/>
          <w:highlight w:val="none"/>
        </w:rPr>
      </w:pPr>
      <w:r>
        <w:rPr>
          <w:rFonts w:hint="eastAsia" w:ascii="宋体" w:hAnsi="宋体"/>
          <w:color w:val="000000" w:themeColor="text1"/>
          <w:sz w:val="24"/>
          <w:szCs w:val="18"/>
          <w:highlight w:val="none"/>
        </w:rPr>
        <w:t xml:space="preserve">本公司（联合体）郑重声明，根据《政府采购促进中小企业发展管理办法》（财库﹝2020﹞46 号）的规定，本公司 （联合体）参加</w:t>
      </w:r>
      <w:r>
        <w:rPr>
          <w:rFonts w:hint="eastAsia" w:ascii="宋体" w:hAnsi="宋体"/>
          <w:color w:val="000000" w:themeColor="text1"/>
          <w:sz w:val="24"/>
          <w:szCs w:val="18"/>
          <w:highlight w:val="none"/>
          <w:u w:val="single"/>
        </w:rPr>
        <w:t xml:space="preserve">      </w:t>
      </w:r>
      <w:r>
        <w:rPr>
          <w:rFonts w:hint="eastAsia" w:ascii="宋体" w:hAnsi="宋体"/>
          <w:color w:val="000000" w:themeColor="text1"/>
          <w:sz w:val="24"/>
          <w:szCs w:val="18"/>
          <w:highlight w:val="none"/>
        </w:rPr>
        <w:t xml:space="preserve">（单位名称）的 </w:t>
      </w:r>
      <w:r>
        <w:rPr>
          <w:rFonts w:hint="eastAsia" w:ascii="宋体" w:hAnsi="宋体"/>
          <w:color w:val="000000" w:themeColor="text1"/>
          <w:sz w:val="24"/>
          <w:szCs w:val="18"/>
          <w:highlight w:val="none"/>
          <w:u w:val="single"/>
        </w:rPr>
        <w:t xml:space="preserve">      </w:t>
      </w:r>
      <w:r>
        <w:rPr>
          <w:rFonts w:hint="eastAsia" w:ascii="宋体" w:hAnsi="宋体"/>
          <w:color w:val="000000" w:themeColor="text1"/>
          <w:sz w:val="24"/>
          <w:szCs w:val="18"/>
          <w:highlight w:val="none"/>
        </w:rPr>
        <w:t xml:space="preserve">（项目名称）采购活动，工程的施工单位全部为符合政策要求的中小企业（或者：服务全部由符合政策要求的中小企业承接）。相关企业 （含联合体中的中小企业、签订分包意向协议的中小企业） 的具体情况如下：</w:t>
      </w:r>
      <w:r>
        <w:rPr>
          <w:color w:val="000000" w:themeColor="text1"/>
        </w:rPr>
      </w:r>
      <w:r/>
    </w:p>
    <w:p>
      <w:pPr>
        <w:ind w:firstLine="480"/>
        <w:spacing w:line="360" w:lineRule="auto"/>
        <w:rPr>
          <w:rFonts w:hint="eastAsia" w:ascii="宋体" w:hAnsi="宋体"/>
          <w:color w:val="000000" w:themeColor="text1"/>
          <w:sz w:val="24"/>
          <w:szCs w:val="18"/>
          <w:highlight w:val="none"/>
        </w:rPr>
      </w:pPr>
      <w:r>
        <w:rPr>
          <w:rFonts w:hint="eastAsia" w:ascii="宋体" w:hAnsi="宋体"/>
          <w:color w:val="000000" w:themeColor="text1"/>
          <w:sz w:val="24"/>
          <w:szCs w:val="18"/>
          <w:highlight w:val="none"/>
        </w:rPr>
        <w:t xml:space="preserve">1、</w:t>
      </w:r>
      <w:r>
        <w:rPr>
          <w:rFonts w:hint="eastAsia" w:ascii="宋体" w:hAnsi="宋体"/>
          <w:color w:val="000000" w:themeColor="text1"/>
          <w:sz w:val="24"/>
          <w:szCs w:val="18"/>
          <w:highlight w:val="none"/>
          <w:u w:val="single"/>
        </w:rPr>
        <w:t xml:space="preserve">（标的名称） </w:t>
      </w:r>
      <w:r>
        <w:rPr>
          <w:rFonts w:hint="eastAsia" w:ascii="宋体" w:hAnsi="宋体"/>
          <w:color w:val="000000" w:themeColor="text1"/>
          <w:sz w:val="24"/>
          <w:szCs w:val="18"/>
          <w:highlight w:val="none"/>
        </w:rPr>
        <w:t xml:space="preserve">，属于</w:t>
      </w:r>
      <w:r>
        <w:rPr>
          <w:rFonts w:hint="eastAsia" w:ascii="宋体" w:hAnsi="宋体"/>
          <w:color w:val="000000" w:themeColor="text1"/>
          <w:sz w:val="24"/>
          <w:szCs w:val="18"/>
          <w:highlight w:val="none"/>
          <w:u w:val="single"/>
        </w:rPr>
        <w:t xml:space="preserve">（采购文件中明确的所属行业） 行业</w:t>
      </w:r>
      <w:r>
        <w:rPr>
          <w:rFonts w:hint="eastAsia" w:ascii="宋体" w:hAnsi="宋体"/>
          <w:color w:val="000000" w:themeColor="text1"/>
          <w:sz w:val="24"/>
          <w:szCs w:val="18"/>
          <w:highlight w:val="none"/>
        </w:rPr>
        <w:t xml:space="preserve">；承建（承接）企业为</w:t>
      </w:r>
      <w:r>
        <w:rPr>
          <w:rFonts w:hint="eastAsia" w:ascii="宋体" w:hAnsi="宋体"/>
          <w:color w:val="000000" w:themeColor="text1"/>
          <w:sz w:val="24"/>
          <w:szCs w:val="18"/>
          <w:highlight w:val="none"/>
          <w:u w:val="single"/>
        </w:rPr>
        <w:t xml:space="preserve">（企业名称）</w:t>
      </w:r>
      <w:r>
        <w:rPr>
          <w:rFonts w:hint="eastAsia" w:ascii="宋体" w:hAnsi="宋体"/>
          <w:color w:val="000000" w:themeColor="text1"/>
          <w:sz w:val="24"/>
          <w:szCs w:val="18"/>
          <w:highlight w:val="none"/>
        </w:rPr>
        <w:t xml:space="preserve">，从业人员</w:t>
      </w:r>
      <w:r>
        <w:rPr>
          <w:rFonts w:hint="eastAsia" w:ascii="宋体" w:hAnsi="宋体"/>
          <w:color w:val="000000" w:themeColor="text1"/>
          <w:sz w:val="24"/>
          <w:szCs w:val="18"/>
          <w:highlight w:val="none"/>
          <w:u w:val="single"/>
        </w:rPr>
        <w:t xml:space="preserve">   </w:t>
      </w:r>
      <w:r>
        <w:rPr>
          <w:rFonts w:hint="eastAsia" w:ascii="宋体" w:hAnsi="宋体"/>
          <w:color w:val="000000" w:themeColor="text1"/>
          <w:sz w:val="24"/>
          <w:szCs w:val="18"/>
          <w:highlight w:val="none"/>
        </w:rPr>
        <w:t xml:space="preserve">人，营业收入为</w:t>
      </w:r>
      <w:r>
        <w:rPr>
          <w:rFonts w:hint="eastAsia" w:ascii="宋体" w:hAnsi="宋体"/>
          <w:color w:val="000000" w:themeColor="text1"/>
          <w:sz w:val="24"/>
          <w:szCs w:val="18"/>
          <w:highlight w:val="none"/>
          <w:u w:val="single"/>
        </w:rPr>
        <w:t xml:space="preserve">    </w:t>
      </w:r>
      <w:r>
        <w:rPr>
          <w:rFonts w:hint="eastAsia" w:ascii="宋体" w:hAnsi="宋体"/>
          <w:color w:val="000000" w:themeColor="text1"/>
          <w:sz w:val="24"/>
          <w:szCs w:val="18"/>
          <w:highlight w:val="none"/>
        </w:rPr>
        <w:t xml:space="preserve">万元，资产总额为</w:t>
      </w:r>
      <w:r>
        <w:rPr>
          <w:rFonts w:hint="eastAsia" w:ascii="宋体" w:hAnsi="宋体"/>
          <w:color w:val="000000" w:themeColor="text1"/>
          <w:sz w:val="24"/>
          <w:szCs w:val="18"/>
          <w:highlight w:val="none"/>
          <w:u w:val="single"/>
        </w:rPr>
        <w:t xml:space="preserve">    </w:t>
      </w:r>
      <w:r>
        <w:rPr>
          <w:rFonts w:hint="eastAsia" w:ascii="宋体" w:hAnsi="宋体"/>
          <w:color w:val="000000" w:themeColor="text1"/>
          <w:sz w:val="24"/>
          <w:szCs w:val="18"/>
          <w:highlight w:val="none"/>
        </w:rPr>
        <w:t xml:space="preserve">万元，属于</w:t>
      </w:r>
      <w:r>
        <w:rPr>
          <w:rFonts w:hint="eastAsia" w:ascii="宋体" w:hAnsi="宋体"/>
          <w:color w:val="000000" w:themeColor="text1"/>
          <w:sz w:val="24"/>
          <w:szCs w:val="18"/>
          <w:highlight w:val="none"/>
          <w:u w:val="single"/>
        </w:rPr>
        <w:t xml:space="preserve">（中型企业、小 型企业、微型企业）</w:t>
      </w:r>
      <w:r>
        <w:rPr>
          <w:rFonts w:hint="eastAsia" w:ascii="宋体" w:hAnsi="宋体"/>
          <w:color w:val="000000" w:themeColor="text1"/>
          <w:sz w:val="24"/>
          <w:szCs w:val="18"/>
          <w:highlight w:val="none"/>
        </w:rPr>
        <w:t xml:space="preserve">；</w:t>
      </w:r>
      <w:r>
        <w:rPr>
          <w:color w:val="000000" w:themeColor="text1"/>
        </w:rPr>
      </w:r>
      <w:r/>
    </w:p>
    <w:p>
      <w:pPr>
        <w:ind w:firstLine="480"/>
        <w:spacing w:line="360" w:lineRule="auto"/>
        <w:rPr>
          <w:rFonts w:hint="eastAsia" w:ascii="宋体" w:hAnsi="宋体"/>
          <w:color w:val="000000" w:themeColor="text1"/>
          <w:sz w:val="24"/>
          <w:szCs w:val="18"/>
          <w:highlight w:val="none"/>
        </w:rPr>
      </w:pPr>
      <w:r>
        <w:rPr>
          <w:rFonts w:hint="eastAsia" w:ascii="宋体" w:hAnsi="宋体"/>
          <w:color w:val="000000" w:themeColor="text1"/>
          <w:sz w:val="24"/>
          <w:szCs w:val="18"/>
          <w:highlight w:val="none"/>
        </w:rPr>
        <w:t xml:space="preserve">2、</w:t>
      </w:r>
      <w:r>
        <w:rPr>
          <w:rFonts w:hint="eastAsia" w:ascii="宋体" w:hAnsi="宋体"/>
          <w:color w:val="000000" w:themeColor="text1"/>
          <w:sz w:val="24"/>
          <w:szCs w:val="18"/>
          <w:highlight w:val="none"/>
          <w:u w:val="single"/>
        </w:rPr>
        <w:t xml:space="preserve">（标的名称） </w:t>
      </w:r>
      <w:r>
        <w:rPr>
          <w:rFonts w:hint="eastAsia" w:ascii="宋体" w:hAnsi="宋体"/>
          <w:color w:val="000000" w:themeColor="text1"/>
          <w:sz w:val="24"/>
          <w:szCs w:val="18"/>
          <w:highlight w:val="none"/>
        </w:rPr>
        <w:t xml:space="preserve">，属于</w:t>
      </w:r>
      <w:r>
        <w:rPr>
          <w:rFonts w:hint="eastAsia" w:ascii="宋体" w:hAnsi="宋体"/>
          <w:color w:val="000000" w:themeColor="text1"/>
          <w:sz w:val="24"/>
          <w:szCs w:val="18"/>
          <w:highlight w:val="none"/>
          <w:u w:val="single"/>
        </w:rPr>
        <w:t xml:space="preserve">（采购文件中明确的所属行业） 行业</w:t>
      </w:r>
      <w:r>
        <w:rPr>
          <w:rFonts w:hint="eastAsia" w:ascii="宋体" w:hAnsi="宋体"/>
          <w:color w:val="000000" w:themeColor="text1"/>
          <w:sz w:val="24"/>
          <w:szCs w:val="18"/>
          <w:highlight w:val="none"/>
        </w:rPr>
        <w:t xml:space="preserve">；承建（承接）企业为</w:t>
      </w:r>
      <w:r>
        <w:rPr>
          <w:rFonts w:hint="eastAsia" w:ascii="宋体" w:hAnsi="宋体"/>
          <w:color w:val="000000" w:themeColor="text1"/>
          <w:sz w:val="24"/>
          <w:szCs w:val="18"/>
          <w:highlight w:val="none"/>
          <w:u w:val="single"/>
        </w:rPr>
        <w:t xml:space="preserve">（企业名称）</w:t>
      </w:r>
      <w:r>
        <w:rPr>
          <w:rFonts w:hint="eastAsia" w:ascii="宋体" w:hAnsi="宋体"/>
          <w:color w:val="000000" w:themeColor="text1"/>
          <w:sz w:val="24"/>
          <w:szCs w:val="18"/>
          <w:highlight w:val="none"/>
        </w:rPr>
        <w:t xml:space="preserve">，从业人员</w:t>
      </w:r>
      <w:r>
        <w:rPr>
          <w:rFonts w:hint="eastAsia" w:ascii="宋体" w:hAnsi="宋体"/>
          <w:color w:val="000000" w:themeColor="text1"/>
          <w:sz w:val="24"/>
          <w:szCs w:val="18"/>
          <w:highlight w:val="none"/>
          <w:u w:val="single"/>
        </w:rPr>
        <w:t xml:space="preserve">   </w:t>
      </w:r>
      <w:r>
        <w:rPr>
          <w:rFonts w:hint="eastAsia" w:ascii="宋体" w:hAnsi="宋体"/>
          <w:color w:val="000000" w:themeColor="text1"/>
          <w:sz w:val="24"/>
          <w:szCs w:val="18"/>
          <w:highlight w:val="none"/>
        </w:rPr>
        <w:t xml:space="preserve">人，营业收入为</w:t>
      </w:r>
      <w:r>
        <w:rPr>
          <w:rFonts w:hint="eastAsia" w:ascii="宋体" w:hAnsi="宋体"/>
          <w:color w:val="000000" w:themeColor="text1"/>
          <w:sz w:val="24"/>
          <w:szCs w:val="18"/>
          <w:highlight w:val="none"/>
          <w:u w:val="single"/>
        </w:rPr>
        <w:t xml:space="preserve">    </w:t>
      </w:r>
      <w:r>
        <w:rPr>
          <w:rFonts w:hint="eastAsia" w:ascii="宋体" w:hAnsi="宋体"/>
          <w:color w:val="000000" w:themeColor="text1"/>
          <w:sz w:val="24"/>
          <w:szCs w:val="18"/>
          <w:highlight w:val="none"/>
        </w:rPr>
        <w:t xml:space="preserve">万元，资产总额为</w:t>
      </w:r>
      <w:r>
        <w:rPr>
          <w:rFonts w:hint="eastAsia" w:ascii="宋体" w:hAnsi="宋体"/>
          <w:color w:val="000000" w:themeColor="text1"/>
          <w:sz w:val="24"/>
          <w:szCs w:val="18"/>
          <w:highlight w:val="none"/>
          <w:u w:val="single"/>
        </w:rPr>
        <w:t xml:space="preserve">    </w:t>
      </w:r>
      <w:r>
        <w:rPr>
          <w:rFonts w:hint="eastAsia" w:ascii="宋体" w:hAnsi="宋体"/>
          <w:color w:val="000000" w:themeColor="text1"/>
          <w:sz w:val="24"/>
          <w:szCs w:val="18"/>
          <w:highlight w:val="none"/>
        </w:rPr>
        <w:t xml:space="preserve">万元，属于</w:t>
      </w:r>
      <w:r>
        <w:rPr>
          <w:rFonts w:hint="eastAsia" w:ascii="宋体" w:hAnsi="宋体"/>
          <w:color w:val="000000" w:themeColor="text1"/>
          <w:sz w:val="24"/>
          <w:szCs w:val="18"/>
          <w:highlight w:val="none"/>
          <w:u w:val="single"/>
        </w:rPr>
        <w:t xml:space="preserve">（中型企业、小 型企业、微型企业）</w:t>
      </w:r>
      <w:r>
        <w:rPr>
          <w:rFonts w:hint="eastAsia" w:ascii="宋体" w:hAnsi="宋体"/>
          <w:color w:val="000000" w:themeColor="text1"/>
          <w:sz w:val="24"/>
          <w:szCs w:val="18"/>
          <w:highlight w:val="none"/>
        </w:rPr>
        <w:t xml:space="preserve">；</w:t>
      </w:r>
      <w:r>
        <w:rPr>
          <w:color w:val="000000" w:themeColor="text1"/>
        </w:rPr>
      </w:r>
      <w:r/>
    </w:p>
    <w:p>
      <w:pPr>
        <w:ind w:firstLine="480"/>
        <w:spacing w:line="360" w:lineRule="auto"/>
        <w:rPr>
          <w:rFonts w:hint="eastAsia" w:ascii="宋体" w:hAnsi="宋体"/>
          <w:color w:val="000000" w:themeColor="text1"/>
          <w:sz w:val="24"/>
          <w:szCs w:val="18"/>
          <w:highlight w:val="none"/>
        </w:rPr>
      </w:pPr>
      <w:r>
        <w:rPr>
          <w:rFonts w:hint="eastAsia" w:ascii="宋体" w:hAnsi="宋体"/>
          <w:color w:val="000000" w:themeColor="text1"/>
          <w:sz w:val="24"/>
          <w:szCs w:val="18"/>
          <w:highlight w:val="none"/>
        </w:rPr>
        <w:t xml:space="preserve">....</w:t>
      </w:r>
      <w:r>
        <w:rPr>
          <w:color w:val="000000" w:themeColor="text1"/>
        </w:rPr>
      </w:r>
      <w:r/>
    </w:p>
    <w:p>
      <w:pPr>
        <w:ind w:firstLine="480"/>
        <w:spacing w:line="360" w:lineRule="auto"/>
        <w:rPr>
          <w:rFonts w:hint="eastAsia" w:ascii="宋体" w:hAnsi="宋体"/>
          <w:color w:val="000000" w:themeColor="text1"/>
          <w:sz w:val="24"/>
          <w:szCs w:val="18"/>
          <w:highlight w:val="none"/>
        </w:rPr>
      </w:pPr>
      <w:r>
        <w:rPr>
          <w:rFonts w:hint="eastAsia" w:ascii="宋体" w:hAnsi="宋体"/>
          <w:color w:val="000000" w:themeColor="text1"/>
          <w:sz w:val="24"/>
          <w:szCs w:val="18"/>
          <w:highlight w:val="none"/>
        </w:rPr>
        <w:t xml:space="preserve">以上企业，不属于大企业的分支机构，不存在控股股东为大企业的情形，也不存在与大企业的负责人为同一人的情形。</w:t>
      </w:r>
      <w:r>
        <w:rPr>
          <w:color w:val="000000" w:themeColor="text1"/>
        </w:rPr>
      </w:r>
      <w:r/>
    </w:p>
    <w:p>
      <w:pPr>
        <w:ind w:firstLine="480"/>
        <w:spacing w:line="360" w:lineRule="auto"/>
        <w:rPr>
          <w:rFonts w:hint="eastAsia" w:ascii="宋体" w:hAnsi="宋体"/>
          <w:color w:val="000000" w:themeColor="text1"/>
          <w:sz w:val="24"/>
          <w:szCs w:val="18"/>
          <w:highlight w:val="none"/>
        </w:rPr>
      </w:pPr>
      <w:r>
        <w:rPr>
          <w:rFonts w:hint="eastAsia" w:ascii="宋体" w:hAnsi="宋体"/>
          <w:color w:val="000000" w:themeColor="text1"/>
          <w:sz w:val="24"/>
          <w:szCs w:val="18"/>
          <w:highlight w:val="none"/>
        </w:rPr>
        <w:t xml:space="preserve">本企业对上述声明内容的真实性负责。如有虚假，将依法承担相应责任。</w:t>
      </w:r>
      <w:r>
        <w:rPr>
          <w:color w:val="000000" w:themeColor="text1"/>
        </w:rPr>
      </w:r>
      <w:r/>
    </w:p>
    <w:p>
      <w:pPr>
        <w:keepLines/>
        <w:keepNext/>
        <w:spacing w:before="280" w:after="290" w:line="372" w:lineRule="auto"/>
        <w:rPr>
          <w:rFonts w:hint="eastAsia" w:ascii="宋体" w:hAnsi="宋体" w:eastAsia="微软雅黑"/>
          <w:b/>
          <w:color w:val="000000" w:themeColor="text1"/>
          <w:sz w:val="28"/>
          <w:szCs w:val="22"/>
          <w:highlight w:val="none"/>
        </w:rPr>
        <w:outlineLvl w:val="3"/>
      </w:pPr>
      <w:r>
        <w:rPr>
          <w:rFonts w:hint="eastAsia" w:ascii="宋体" w:hAnsi="宋体" w:eastAsia="微软雅黑"/>
          <w:b/>
          <w:color w:val="000000" w:themeColor="text1"/>
          <w:sz w:val="28"/>
          <w:szCs w:val="22"/>
          <w:highlight w:val="none"/>
        </w:rPr>
      </w:r>
      <w:r>
        <w:rPr>
          <w:color w:val="000000" w:themeColor="text1"/>
        </w:rPr>
      </w:r>
      <w:r/>
    </w:p>
    <w:p>
      <w:pPr>
        <w:ind w:left="210" w:right="210" w:firstLine="480"/>
        <w:spacing w:line="360" w:lineRule="auto"/>
        <w:rPr>
          <w:rFonts w:hint="eastAsia" w:ascii="宋体" w:hAnsi="宋体" w:eastAsia="仿宋_GB2312"/>
          <w:color w:val="000000" w:themeColor="text1"/>
          <w:sz w:val="24"/>
          <w:highlight w:val="none"/>
        </w:rPr>
      </w:pPr>
      <w:r>
        <w:rPr>
          <w:rFonts w:hint="eastAsia" w:ascii="宋体" w:hAnsi="宋体" w:eastAsia="仿宋_GB2312"/>
          <w:color w:val="000000" w:themeColor="text1"/>
          <w:sz w:val="24"/>
          <w:highlight w:val="none"/>
        </w:rPr>
      </w:r>
      <w:r>
        <w:rPr>
          <w:color w:val="000000" w:themeColor="text1"/>
        </w:rPr>
      </w:r>
      <w:r/>
    </w:p>
    <w:p>
      <w:pPr>
        <w:ind w:firstLine="480"/>
        <w:jc w:val="right"/>
        <w:spacing w:line="360" w:lineRule="auto"/>
        <w:rPr>
          <w:rFonts w:hint="eastAsia" w:ascii="宋体" w:hAnsi="宋体"/>
          <w:color w:val="000000" w:themeColor="text1"/>
          <w:sz w:val="24"/>
          <w:szCs w:val="18"/>
          <w:highlight w:val="none"/>
        </w:rPr>
      </w:pPr>
      <w:r>
        <w:rPr>
          <w:rFonts w:hint="eastAsia" w:ascii="宋体" w:hAnsi="宋体"/>
          <w:color w:val="000000" w:themeColor="text1"/>
          <w:sz w:val="24"/>
          <w:szCs w:val="18"/>
          <w:highlight w:val="none"/>
        </w:rPr>
        <w:t xml:space="preserve">企业名称（</w:t>
      </w:r>
      <w:r>
        <w:rPr>
          <w:rFonts w:hint="eastAsia" w:ascii="宋体" w:hAnsi="宋体" w:cs="宋体"/>
          <w:color w:val="000000" w:themeColor="text1"/>
          <w:szCs w:val="21"/>
          <w:highlight w:val="none"/>
        </w:rPr>
        <w:t xml:space="preserve">加盖电子公章</w:t>
      </w:r>
      <w:r>
        <w:rPr>
          <w:rFonts w:hint="eastAsia" w:ascii="宋体" w:hAnsi="宋体"/>
          <w:color w:val="000000" w:themeColor="text1"/>
          <w:sz w:val="24"/>
          <w:szCs w:val="18"/>
          <w:highlight w:val="none"/>
        </w:rPr>
        <w:t xml:space="preserve">）：</w:t>
      </w:r>
      <w:r>
        <w:rPr>
          <w:color w:val="000000" w:themeColor="text1"/>
        </w:rPr>
      </w:r>
      <w:r/>
    </w:p>
    <w:p>
      <w:pPr>
        <w:ind w:firstLine="480"/>
        <w:jc w:val="center"/>
        <w:spacing w:line="360" w:lineRule="auto"/>
        <w:rPr>
          <w:rFonts w:hint="eastAsia" w:ascii="宋体" w:hAnsi="宋体"/>
          <w:color w:val="000000" w:themeColor="text1"/>
          <w:sz w:val="24"/>
          <w:szCs w:val="18"/>
          <w:highlight w:val="none"/>
        </w:rPr>
      </w:pPr>
      <w:r>
        <w:rPr>
          <w:rFonts w:hint="eastAsia" w:ascii="宋体" w:hAnsi="宋体"/>
          <w:color w:val="000000" w:themeColor="text1"/>
          <w:sz w:val="24"/>
          <w:szCs w:val="18"/>
          <w:highlight w:val="none"/>
        </w:rPr>
        <w:t xml:space="preserve">                                        日 期：</w:t>
      </w:r>
      <w:r>
        <w:rPr>
          <w:color w:val="000000" w:themeColor="text1"/>
        </w:rPr>
      </w:r>
      <w:r/>
    </w:p>
    <w:p>
      <w:pPr>
        <w:ind w:firstLine="629"/>
        <w:spacing w:line="700" w:lineRule="exact"/>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rPr>
      </w:r>
      <w:r>
        <w:rPr>
          <w:color w:val="000000" w:themeColor="text1"/>
        </w:rPr>
      </w:r>
      <w:r/>
    </w:p>
    <w:p>
      <w:pPr>
        <w:spacing w:line="42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42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（1）从业人员、营业收入、资产总额填报上一年度数据，无上一年度数据的新成立企业可不填报。</w:t>
      </w:r>
      <w:r>
        <w:rPr>
          <w:color w:val="000000" w:themeColor="text1"/>
        </w:rPr>
      </w:r>
      <w:r/>
    </w:p>
    <w:p>
      <w:pPr>
        <w:ind w:firstLine="480"/>
        <w:spacing w:line="42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（2）本项目采购标的对应的中小企业划分标准所属行业为</w:t>
      </w:r>
      <w:r>
        <w:rPr>
          <w:rFonts w:hint="eastAsia" w:ascii="宋体" w:hAnsi="宋体" w:eastAsia="宋体" w:cs="宋体"/>
          <w:b/>
          <w:bCs/>
          <w:color w:val="000000" w:themeColor="text1"/>
          <w:sz w:val="24"/>
          <w:highlight w:val="none"/>
          <w:u w:val="single"/>
        </w:rPr>
        <w:t xml:space="preserve">租赁和商务服务业</w:t>
      </w:r>
      <w:r>
        <w:rPr>
          <w:rFonts w:hint="eastAsia" w:ascii="宋体" w:hAnsi="宋体" w:eastAsia="宋体" w:cs="宋体"/>
          <w:b/>
          <w:bCs/>
          <w:color w:val="000000" w:themeColor="text1"/>
          <w:sz w:val="24"/>
          <w:highlight w:val="none"/>
        </w:rPr>
        <w:t xml:space="preserve">。</w:t>
      </w:r>
      <w:r>
        <w:rPr>
          <w:color w:val="000000" w:themeColor="text1"/>
        </w:rPr>
      </w:r>
      <w:r/>
    </w:p>
    <w:p>
      <w:pPr>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br w:type="page" w:clear="all"/>
      </w:r>
      <w:r>
        <w:rPr>
          <w:color w:val="000000" w:themeColor="text1"/>
        </w:rPr>
      </w:r>
      <w:r/>
    </w:p>
    <w:p>
      <w:pPr>
        <w:ind w:left="2700"/>
        <w:spacing w:line="0" w:lineRule="atLeast"/>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残疾人福利性单位声明函</w:t>
      </w:r>
      <w:r>
        <w:rPr>
          <w:color w:val="000000" w:themeColor="text1"/>
        </w:rPr>
      </w:r>
      <w:r/>
    </w:p>
    <w:p>
      <w:pPr>
        <w:spacing w:line="312"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left="420"/>
        <w:spacing w:line="2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本单位郑重声明，根据《财政部民政部中国残疾人联合会关于促进残疾人就业政府采购</w:t>
      </w:r>
      <w:r>
        <w:rPr>
          <w:color w:val="000000" w:themeColor="text1"/>
        </w:rPr>
      </w:r>
      <w:r/>
    </w:p>
    <w:p>
      <w:pPr>
        <w:spacing w:line="183"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53"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政策的通知》（财库〔2017〕141号）的规定，本单位为符合条件的残疾人福利性单位，且</w:t>
      </w:r>
      <w:r>
        <w:rPr>
          <w:color w:val="000000" w:themeColor="text1"/>
        </w:rPr>
      </w:r>
      <w:r/>
    </w:p>
    <w:p>
      <w:pPr>
        <w:spacing w:line="188"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53"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本单位参加______单位的______项目采购活动提供本单位制造的货物（由本单位承担工程/提</w:t>
      </w:r>
      <w:r>
        <w:rPr>
          <w:color w:val="000000" w:themeColor="text1"/>
        </w:rPr>
      </w:r>
      <w:r/>
    </w:p>
    <w:p>
      <w:pPr>
        <w:spacing w:line="203"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供服务），或者提供其他残疾人福利性单位制造的货物（不包括使用非残疾人福利性单位注册</w:t>
      </w:r>
      <w:r>
        <w:rPr>
          <w:color w:val="000000" w:themeColor="text1"/>
        </w:rPr>
      </w:r>
      <w:r/>
    </w:p>
    <w:p>
      <w:pPr>
        <w:spacing w:line="197"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商标的货物）。</w:t>
      </w:r>
      <w:r>
        <w:rPr>
          <w:color w:val="000000" w:themeColor="text1"/>
        </w:rPr>
      </w:r>
      <w:r/>
    </w:p>
    <w:p>
      <w:pPr>
        <w:spacing w:line="203"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left="420"/>
        <w:spacing w:line="2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本单位对上述声明的真实性负责。如有虚假，将依法承担相应责任。</w:t>
      </w:r>
      <w:r>
        <w:rPr>
          <w:color w:val="000000" w:themeColor="text1"/>
        </w:rPr>
      </w:r>
      <w:r/>
    </w:p>
    <w:p>
      <w:pPr>
        <w:spacing w:line="202"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left="5040"/>
        <w:spacing w:line="24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单位名称（加盖电子公章）：</w:t>
      </w:r>
      <w:r>
        <w:rPr>
          <w:color w:val="000000" w:themeColor="text1"/>
        </w:rPr>
      </w:r>
      <w:r/>
    </w:p>
    <w:p>
      <w:pPr>
        <w:spacing w:line="139" w:lineRule="exact"/>
        <w:rPr>
          <w:rFonts w:hint="eastAsia" w:ascii="宋体" w:hAnsi="宋体" w:eastAsia="宋体" w:cs="宋体"/>
          <w:color w:val="000000" w:themeColor="text1"/>
          <w:highlight w:val="none"/>
        </w:rPr>
      </w:pPr>
      <w:r>
        <w:rPr>
          <w:color w:val="000000" w:themeColor="text1"/>
        </w:rPr>
      </w:r>
      <w:bookmarkStart w:id="12" w:name="page43"/>
      <w:r>
        <w:rPr>
          <w:color w:val="000000" w:themeColor="text1"/>
        </w:rPr>
      </w:r>
      <w:bookmarkEnd w:id="12"/>
      <w:r>
        <w:rPr>
          <w:color w:val="000000" w:themeColor="text1"/>
        </w:rPr>
      </w:r>
      <w:r/>
    </w:p>
    <w:p>
      <w:pPr>
        <w:ind w:left="5040"/>
        <w:spacing w:line="239" w:lineRule="exact"/>
        <w:tabs>
          <w:tab w:val="left" w:pos="544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日</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期：</w:t>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398"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after="12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after="12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after="12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after="12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left="2700"/>
        <w:spacing w:line="0" w:lineRule="atLeast"/>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属于监狱企业的证明文件</w:t>
      </w:r>
      <w:r>
        <w:rPr>
          <w:color w:val="000000" w:themeColor="text1"/>
        </w:rPr>
      </w:r>
      <w:r/>
    </w:p>
    <w:p>
      <w:pPr>
        <w:spacing w:line="259"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55"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（提供由省级以上监狱管理局、戒毒管理局(含新疆生产建设兵团)出具的属于监狱企业的证明</w:t>
      </w:r>
      <w:r>
        <w:rPr>
          <w:color w:val="000000" w:themeColor="text1"/>
        </w:rPr>
      </w:r>
      <w:r/>
    </w:p>
    <w:p>
      <w:pPr>
        <w:spacing w:line="231"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39"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文件）</w:t>
      </w:r>
      <w:r>
        <w:rPr>
          <w:color w:val="000000" w:themeColor="text1"/>
        </w:rPr>
      </w:r>
      <w:r/>
    </w:p>
    <w:p>
      <w:pPr>
        <w:ind w:left="3140"/>
        <w:spacing w:line="0" w:lineRule="atLeast"/>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r/>
    </w:p>
    <w:p>
      <w:pPr>
        <w:ind w:left="3140"/>
        <w:spacing w:line="0" w:lineRule="atLeast"/>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r/>
    </w:p>
    <w:p>
      <w:pPr>
        <w:ind w:left="3140"/>
        <w:spacing w:line="0" w:lineRule="atLeast"/>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r/>
    </w:p>
    <w:p>
      <w:pPr>
        <w:ind w:left="3140"/>
        <w:spacing w:line="0" w:lineRule="atLeast"/>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r/>
    </w:p>
    <w:p>
      <w:pPr>
        <w:ind w:left="3140"/>
        <w:spacing w:line="0" w:lineRule="atLeast"/>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节能产品认证证书</w:t>
      </w:r>
      <w:r>
        <w:rPr>
          <w:color w:val="000000" w:themeColor="text1"/>
        </w:rPr>
      </w:r>
      <w:r/>
    </w:p>
    <w:p>
      <w:pPr>
        <w:spacing w:line="274"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39"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（提供国家确定的认证机构出具的、处于有效期之内的产品认证证书）</w:t>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335"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left="2840"/>
        <w:spacing w:line="0" w:lineRule="atLeast"/>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r/>
    </w:p>
    <w:p>
      <w:pPr>
        <w:ind w:left="2840"/>
        <w:spacing w:line="0" w:lineRule="atLeast"/>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环境标志产品认证证书</w:t>
      </w:r>
      <w:r>
        <w:rPr>
          <w:color w:val="000000" w:themeColor="text1"/>
        </w:rPr>
      </w:r>
      <w:r/>
    </w:p>
    <w:p>
      <w:pPr>
        <w:spacing w:line="274"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239"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（提供国家确定的认证机构出具的、处于有效期之内的产品认证证书）</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t xml:space="preserve">附件九、声明函</w:t>
      </w:r>
      <w:r>
        <w:rPr>
          <w:color w:val="000000" w:themeColor="text1"/>
        </w:rPr>
      </w:r>
      <w:r/>
    </w:p>
    <w:p>
      <w:pPr>
        <w:jc w:val="center"/>
        <w:spacing w:line="239"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36"/>
          <w:szCs w:val="36"/>
          <w:highlight w:val="none"/>
        </w:rPr>
        <w:t xml:space="preserve">（一）无重大违法记录声明</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spacing w:line="360" w:lineRule="auto"/>
        <w:rPr>
          <w:rFonts w:hint="eastAsia" w:ascii="宋体" w:hAnsi="宋体" w:eastAsia="宋体" w:cs="宋体"/>
          <w:color w:val="000000" w:themeColor="text1"/>
          <w:spacing w:val="-8"/>
          <w:sz w:val="24"/>
          <w:szCs w:val="20"/>
          <w:highlight w:val="none"/>
        </w:rPr>
      </w:pPr>
      <w:r>
        <w:rPr>
          <w:rFonts w:hint="eastAsia" w:ascii="宋体" w:hAnsi="宋体" w:eastAsia="宋体" w:cs="宋体"/>
          <w:color w:val="000000" w:themeColor="text1"/>
          <w:sz w:val="24"/>
          <w:szCs w:val="20"/>
          <w:highlight w:val="none"/>
        </w:rPr>
        <w:t xml:space="preserve">南京市栖霞区区级机关事务管理服务中心：</w:t>
      </w:r>
      <w:r>
        <w:rPr>
          <w:color w:val="000000" w:themeColor="text1"/>
        </w:rPr>
      </w:r>
      <w:r/>
    </w:p>
    <w:p>
      <w:pPr>
        <w:ind w:firstLine="672"/>
        <w:jc w:val="left"/>
        <w:spacing w:line="360" w:lineRule="auto"/>
        <w:widowControl/>
        <w:rPr>
          <w:rFonts w:hint="eastAsia" w:ascii="宋体" w:hAnsi="宋体" w:eastAsia="宋体" w:cs="宋体"/>
          <w:color w:val="000000" w:themeColor="text1"/>
          <w:spacing w:val="-8"/>
          <w:sz w:val="24"/>
          <w:szCs w:val="20"/>
          <w:highlight w:val="none"/>
        </w:rPr>
      </w:pPr>
      <w:r>
        <w:rPr>
          <w:rFonts w:hint="eastAsia" w:ascii="宋体" w:hAnsi="宋体" w:eastAsia="宋体" w:cs="宋体"/>
          <w:color w:val="000000" w:themeColor="text1"/>
          <w:spacing w:val="-8"/>
          <w:sz w:val="24"/>
          <w:szCs w:val="20"/>
          <w:highlight w:val="none"/>
        </w:rPr>
        <w:t xml:space="preserve">我单位 </w:t>
      </w:r>
      <w:r>
        <w:rPr>
          <w:rFonts w:hint="eastAsia" w:ascii="宋体" w:hAnsi="宋体" w:eastAsia="宋体" w:cs="宋体"/>
          <w:color w:val="000000" w:themeColor="text1"/>
          <w:spacing w:val="-8"/>
          <w:sz w:val="24"/>
          <w:szCs w:val="20"/>
          <w:highlight w:val="none"/>
          <w:u w:val="single"/>
        </w:rPr>
        <w:t xml:space="preserve">            </w:t>
      </w:r>
      <w:r>
        <w:rPr>
          <w:rFonts w:hint="eastAsia" w:ascii="宋体" w:hAnsi="宋体" w:eastAsia="宋体" w:cs="宋体"/>
          <w:color w:val="000000" w:themeColor="text1"/>
          <w:spacing w:val="-8"/>
          <w:sz w:val="24"/>
          <w:szCs w:val="20"/>
          <w:highlight w:val="none"/>
        </w:rPr>
        <w:t xml:space="preserve">（供应商名称）郑重声明：</w:t>
      </w:r>
      <w:r>
        <w:rPr>
          <w:color w:val="000000" w:themeColor="text1"/>
        </w:rPr>
      </w:r>
      <w:r/>
    </w:p>
    <w:p>
      <w:pPr>
        <w:ind w:firstLine="690"/>
        <w:jc w:val="left"/>
        <w:spacing w:line="360" w:lineRule="auto"/>
        <w:widowControl/>
        <w:rPr>
          <w:rFonts w:hint="eastAsia" w:ascii="宋体" w:hAnsi="宋体" w:eastAsia="宋体" w:cs="宋体"/>
          <w:b/>
          <w:color w:val="000000" w:themeColor="text1"/>
          <w:sz w:val="24"/>
          <w:szCs w:val="20"/>
          <w:highlight w:val="none"/>
        </w:rPr>
      </w:pPr>
      <w:r>
        <w:rPr>
          <w:rFonts w:hint="eastAsia" w:ascii="宋体" w:hAnsi="宋体" w:eastAsia="宋体" w:cs="宋体"/>
          <w:color w:val="000000" w:themeColor="text1"/>
          <w:spacing w:val="-5"/>
          <w:sz w:val="24"/>
          <w:szCs w:val="20"/>
          <w:highlight w:val="none"/>
        </w:rPr>
        <w:t xml:space="preserve">我单位参加政府采购活动前3</w:t>
      </w:r>
      <w:r>
        <w:rPr>
          <w:rFonts w:hint="eastAsia" w:ascii="宋体" w:hAnsi="宋体" w:eastAsia="宋体" w:cs="宋体"/>
          <w:color w:val="000000" w:themeColor="text1"/>
          <w:spacing w:val="-8"/>
          <w:sz w:val="24"/>
          <w:szCs w:val="20"/>
          <w:highlight w:val="none"/>
        </w:rPr>
        <w:t xml:space="preserve"> 年内在经营活动中</w:t>
      </w:r>
      <w:r>
        <w:rPr>
          <w:rFonts w:hint="eastAsia" w:ascii="宋体" w:hAnsi="宋体" w:eastAsia="宋体" w:cs="宋体"/>
          <w:color w:val="000000" w:themeColor="text1"/>
          <w:spacing w:val="-8"/>
          <w:sz w:val="24"/>
          <w:szCs w:val="20"/>
          <w:highlight w:val="none"/>
          <w:u w:val="single"/>
        </w:rPr>
        <w:t xml:space="preserve">      </w:t>
      </w:r>
      <w:r>
        <w:rPr>
          <w:rFonts w:hint="eastAsia" w:ascii="宋体" w:hAnsi="宋体" w:eastAsia="宋体" w:cs="宋体"/>
          <w:color w:val="000000" w:themeColor="text1"/>
          <w:sz w:val="24"/>
          <w:szCs w:val="20"/>
          <w:highlight w:val="none"/>
          <w:u w:val="single"/>
        </w:rPr>
        <w:t xml:space="preserve">（</w:t>
      </w:r>
      <w:r>
        <w:rPr>
          <w:rFonts w:hint="eastAsia" w:ascii="宋体" w:hAnsi="宋体" w:eastAsia="宋体" w:cs="宋体"/>
          <w:b/>
          <w:color w:val="000000" w:themeColor="text1"/>
          <w:sz w:val="24"/>
          <w:szCs w:val="20"/>
          <w:highlight w:val="none"/>
          <w:u w:val="single"/>
        </w:rPr>
        <w:t xml:space="preserve">在下划线上如实填写：有或没有</w:t>
      </w:r>
      <w:r>
        <w:rPr>
          <w:rFonts w:hint="eastAsia" w:ascii="宋体" w:hAnsi="宋体" w:eastAsia="宋体" w:cs="宋体"/>
          <w:color w:val="000000" w:themeColor="text1"/>
          <w:spacing w:val="-3"/>
          <w:sz w:val="24"/>
          <w:szCs w:val="20"/>
          <w:highlight w:val="none"/>
        </w:rPr>
        <w:t xml:space="preserve">）</w:t>
      </w:r>
      <w:r>
        <w:rPr>
          <w:rFonts w:hint="eastAsia" w:ascii="宋体" w:hAnsi="宋体" w:eastAsia="宋体" w:cs="宋体"/>
          <w:b/>
          <w:bCs/>
          <w:color w:val="000000" w:themeColor="text1"/>
          <w:sz w:val="24"/>
          <w:szCs w:val="20"/>
          <w:highlight w:val="none"/>
        </w:rPr>
        <w:t xml:space="preserve">重大违法记录，且不是失信被执行人、重大税收违法案件当事人名单、严重违法失信行为记录名单的供应商</w:t>
      </w:r>
      <w:r>
        <w:rPr>
          <w:rFonts w:hint="eastAsia" w:ascii="宋体" w:hAnsi="宋体" w:eastAsia="宋体" w:cs="宋体"/>
          <w:b/>
          <w:color w:val="000000" w:themeColor="text1"/>
          <w:spacing w:val="1"/>
          <w:sz w:val="24"/>
          <w:szCs w:val="20"/>
          <w:highlight w:val="none"/>
        </w:rPr>
        <w:t xml:space="preserve">。</w:t>
      </w:r>
      <w:r>
        <w:rPr>
          <w:color w:val="000000" w:themeColor="text1"/>
        </w:rPr>
      </w: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 w:val="24"/>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color w:val="000000" w:themeColor="text1"/>
        </w:rPr>
      </w:r>
      <w:r/>
    </w:p>
    <w:p>
      <w:pPr>
        <w:ind w:firstLine="3990"/>
        <w:jc w:val="right"/>
        <w:spacing w:line="360" w:lineRule="auto"/>
        <w:tabs>
          <w:tab w:val="left" w:pos="586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ind w:firstLine="3990"/>
        <w:jc w:val="right"/>
        <w:spacing w:line="360" w:lineRule="auto"/>
        <w:tabs>
          <w:tab w:val="left" w:pos="586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声明人：</w:t>
      </w:r>
      <w:r>
        <w:rPr>
          <w:rFonts w:hint="eastAsia" w:ascii="宋体" w:hAnsi="宋体" w:eastAsia="宋体" w:cs="宋体"/>
          <w:color w:val="000000" w:themeColor="text1"/>
          <w:sz w:val="24"/>
          <w:highlight w:val="none"/>
        </w:rPr>
        <w:tab/>
      </w:r>
      <w:r>
        <w:rPr>
          <w:rFonts w:hint="eastAsia" w:ascii="宋体" w:hAnsi="宋体" w:eastAsia="宋体" w:cs="宋体"/>
          <w:color w:val="000000" w:themeColor="text1"/>
          <w:sz w:val="24"/>
          <w:highlight w:val="none"/>
        </w:rPr>
        <w:t xml:space="preserve">（电子公章）</w:t>
      </w:r>
      <w:r>
        <w:rPr>
          <w:color w:val="000000" w:themeColor="text1"/>
        </w:rPr>
      </w:r>
      <w:r/>
    </w:p>
    <w:p>
      <w:pPr>
        <w:ind w:left="4000"/>
        <w:jc w:val="right"/>
        <w:spacing w:line="360" w:lineRule="auto"/>
        <w:tabs>
          <w:tab w:val="left" w:pos="4620" w:leader="none"/>
          <w:tab w:val="left" w:pos="5340" w:leader="none"/>
          <w:tab w:val="left" w:pos="5760" w:leader="none"/>
          <w:tab w:val="left" w:pos="61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w:t>
      </w:r>
      <w:r>
        <w:rPr>
          <w:rFonts w:hint="eastAsia" w:ascii="宋体" w:hAnsi="宋体" w:eastAsia="宋体" w:cs="宋体"/>
          <w:color w:val="000000" w:themeColor="text1"/>
          <w:sz w:val="24"/>
          <w:highlight w:val="none"/>
        </w:rPr>
        <w:tab/>
      </w:r>
      <w:r>
        <w:rPr>
          <w:rFonts w:hint="eastAsia" w:ascii="宋体" w:hAnsi="宋体" w:eastAsia="宋体" w:cs="宋体"/>
          <w:color w:val="000000" w:themeColor="text1"/>
          <w:sz w:val="24"/>
          <w:highlight w:val="none"/>
        </w:rPr>
        <w:t xml:space="preserve">期：</w:t>
      </w:r>
      <w:r>
        <w:rPr>
          <w:rFonts w:hint="eastAsia" w:ascii="宋体" w:hAnsi="宋体" w:eastAsia="宋体" w:cs="宋体"/>
          <w:color w:val="000000" w:themeColor="text1"/>
          <w:sz w:val="24"/>
          <w:highlight w:val="none"/>
        </w:rPr>
        <w:tab/>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rPr>
        <w:tab/>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rPr>
        <w:tab/>
      </w:r>
      <w:r>
        <w:rPr>
          <w:rFonts w:hint="eastAsia" w:ascii="宋体" w:hAnsi="宋体" w:eastAsia="宋体" w:cs="宋体"/>
          <w:color w:val="000000" w:themeColor="text1"/>
          <w:sz w:val="24"/>
          <w:highlight w:val="none"/>
        </w:rPr>
        <w:t xml:space="preserve">日</w:t>
      </w:r>
      <w:r>
        <w:rPr>
          <w:color w:val="000000" w:themeColor="text1"/>
        </w:rPr>
      </w:r>
      <w:r/>
    </w:p>
    <w:p>
      <w:pPr>
        <w:jc w:val="cente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t xml:space="preserve">（二）承诺函</w:t>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r>
      <w:r>
        <w:rPr>
          <w:color w:val="000000" w:themeColor="text1"/>
        </w:rPr>
      </w:r>
      <w:r/>
    </w:p>
    <w:p>
      <w:pPr>
        <w:jc w:val="left"/>
        <w:spacing w:line="360" w:lineRule="auto"/>
        <w:rPr>
          <w:rFonts w:ascii="Calibri" w:hAnsi="Calibri" w:eastAsia="宋体" w:cs="Times New Roman"/>
          <w:color w:val="000000" w:themeColor="text1"/>
          <w:spacing w:val="-8"/>
          <w:sz w:val="24"/>
          <w:szCs w:val="20"/>
          <w:highlight w:val="none"/>
        </w:rPr>
      </w:pPr>
      <w:r>
        <w:rPr>
          <w:rFonts w:hint="eastAsia" w:ascii="Calibri" w:hAnsi="Calibri" w:eastAsia="宋体" w:cs="Times New Roman"/>
          <w:color w:val="000000" w:themeColor="text1"/>
          <w:sz w:val="24"/>
          <w:szCs w:val="20"/>
          <w:highlight w:val="none"/>
        </w:rPr>
        <w:t xml:space="preserve">南京市栖霞区区级机关事务管理服务中心：</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cs="宋体"/>
          <w:bCs/>
          <w:color w:val="000000" w:themeColor="text1"/>
          <w:sz w:val="24"/>
          <w:highlight w:val="none"/>
        </w:rPr>
        <w:t xml:space="preserve">我单位</w:t>
      </w:r>
      <w:r>
        <w:rPr>
          <w:rFonts w:hint="eastAsia" w:ascii="宋体" w:hAnsi="宋体" w:cs="宋体"/>
          <w:color w:val="000000" w:themeColor="text1"/>
          <w:sz w:val="24"/>
          <w:szCs w:val="21"/>
          <w:highlight w:val="none"/>
          <w:u w:val="single"/>
        </w:rPr>
        <w:t xml:space="preserve">        （供应商名称）</w:t>
      </w:r>
      <w:r>
        <w:rPr>
          <w:rFonts w:hint="eastAsia" w:ascii="宋体" w:hAnsi="宋体" w:cs="宋体"/>
          <w:bCs/>
          <w:color w:val="000000" w:themeColor="text1"/>
          <w:sz w:val="24"/>
          <w:highlight w:val="none"/>
        </w:rPr>
        <w:t xml:space="preserve">郑重承诺以下事项，若有虚假承诺愿承担一切相关责任：</w:t>
      </w:r>
      <w:r>
        <w:rPr>
          <w:color w:val="000000" w:themeColor="text1"/>
        </w:rPr>
      </w:r>
      <w:r/>
    </w:p>
    <w:p>
      <w:pPr>
        <w:ind w:firstLine="24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（1）单位负责人为同一人或者存在直接控股、管理关系的不同供应商，不得参加同一合同项下的政府采购活动。</w:t>
      </w:r>
      <w:r>
        <w:rPr>
          <w:color w:val="000000" w:themeColor="text1"/>
        </w:rPr>
      </w:r>
      <w:r/>
    </w:p>
    <w:p>
      <w:pPr>
        <w:ind w:firstLine="24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（2）凡为采购项目提供整体设计、规范编制或者项目管理、监理、检测等服务的供应商，不得再参加本项目的采购活动。</w:t>
      </w:r>
      <w:r>
        <w:rPr>
          <w:color w:val="000000" w:themeColor="text1"/>
        </w:rPr>
      </w:r>
      <w:r/>
    </w:p>
    <w:p>
      <w:pPr>
        <w:ind w:firstLine="24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（3）未被“信用中国”网站、“中国政府采网”网站、“信用江苏”列入失信被执行人、重大税收违法案件当事人名单、政府采购严重违法失信行为记录名单。</w:t>
      </w:r>
      <w:r>
        <w:rPr>
          <w:color w:val="000000" w:themeColor="text1"/>
        </w:rPr>
      </w:r>
      <w:r/>
    </w:p>
    <w:p>
      <w:pPr>
        <w:ind w:firstLine="240"/>
        <w:rPr>
          <w:rFonts w:hint="eastAsia" w:ascii="宋体" w:hAnsi="宋体" w:cs="宋体"/>
          <w:b/>
          <w:color w:val="000000" w:themeColor="text1"/>
          <w:sz w:val="31"/>
          <w:szCs w:val="31"/>
          <w:highlight w:val="none"/>
        </w:rPr>
      </w:pPr>
      <w:r>
        <w:rPr>
          <w:rFonts w:hint="eastAsia" w:ascii="宋体" w:hAnsi="宋体" w:eastAsia="宋体" w:cs="宋体"/>
          <w:color w:val="000000" w:themeColor="text1"/>
          <w:sz w:val="24"/>
          <w:highlight w:val="none"/>
        </w:rPr>
        <w:t xml:space="preserve">（4）</w:t>
      </w:r>
      <w:r>
        <w:rPr>
          <w:rFonts w:hint="eastAsia" w:ascii="宋体" w:hAnsi="宋体" w:cs="宋体"/>
          <w:color w:val="000000" w:themeColor="text1"/>
          <w:sz w:val="24"/>
          <w:highlight w:val="none"/>
        </w:rPr>
        <w:t xml:space="preserve">我单位为非联合体投标。</w:t>
      </w:r>
      <w:r>
        <w:rPr>
          <w:color w:val="000000" w:themeColor="text1"/>
        </w:rPr>
      </w:r>
      <w:r/>
    </w:p>
    <w:p>
      <w:pPr>
        <w:ind w:right="9"/>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right="9" w:firstLine="6090"/>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供应商名称：</w:t>
      </w:r>
      <w:r>
        <w:rPr>
          <w:rFonts w:hint="eastAsia" w:ascii="宋体" w:hAnsi="宋体" w:cs="宋体"/>
          <w:color w:val="000000" w:themeColor="text1"/>
          <w:szCs w:val="21"/>
          <w:highlight w:val="none"/>
          <w:u w:val="single"/>
        </w:rPr>
        <w:t xml:space="preserve">（电子公章）</w:t>
      </w:r>
      <w:r>
        <w:rPr>
          <w:color w:val="000000" w:themeColor="text1"/>
        </w:rPr>
      </w:r>
      <w:r/>
    </w:p>
    <w:p>
      <w:pPr>
        <w:ind w:right="9" w:firstLine="4620"/>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法定代表人或其授权代理人：</w:t>
      </w:r>
      <w:r>
        <w:rPr>
          <w:rFonts w:hint="eastAsia" w:ascii="宋体" w:hAnsi="宋体" w:cs="宋体"/>
          <w:color w:val="000000" w:themeColor="text1"/>
          <w:szCs w:val="21"/>
          <w:highlight w:val="none"/>
          <w:u w:val="single"/>
        </w:rPr>
        <w:t xml:space="preserve">（签字或盖章）</w:t>
      </w:r>
      <w:r>
        <w:rPr>
          <w:color w:val="000000" w:themeColor="text1"/>
        </w:rPr>
      </w:r>
      <w:r/>
    </w:p>
    <w:p>
      <w:pPr>
        <w:jc w:val="center"/>
        <w:rPr>
          <w:rFonts w:hint="eastAsia" w:ascii="宋体" w:hAnsi="宋体" w:eastAsia="宋体" w:cs="宋体"/>
          <w:b/>
          <w:color w:val="000000" w:themeColor="text1"/>
          <w:sz w:val="31"/>
          <w:szCs w:val="31"/>
          <w:highlight w:val="none"/>
        </w:rPr>
      </w:pPr>
      <w:r>
        <w:rPr>
          <w:rFonts w:hint="eastAsia" w:cs="宋体"/>
          <w:color w:val="000000" w:themeColor="text1"/>
          <w:szCs w:val="21"/>
          <w:highlight w:val="none"/>
        </w:rPr>
        <w:t xml:space="preserve">                                           日期：   年   月   日</w:t>
      </w:r>
      <w:r>
        <w:rPr>
          <w:color w:val="000000" w:themeColor="text1"/>
        </w:rPr>
      </w:r>
      <w:r/>
    </w:p>
    <w:p>
      <w:pPr>
        <w:ind w:left="4000"/>
        <w:jc w:val="right"/>
        <w:spacing w:line="360" w:lineRule="auto"/>
        <w:tabs>
          <w:tab w:val="left" w:pos="4620" w:leader="none"/>
          <w:tab w:val="left" w:pos="5340" w:leader="none"/>
          <w:tab w:val="left" w:pos="5760" w:leader="none"/>
          <w:tab w:val="left" w:pos="61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rPr>
        <w:br w:type="page" w:clear="all"/>
      </w:r>
      <w:r>
        <w:rPr>
          <w:color w:val="000000" w:themeColor="text1"/>
        </w:rPr>
      </w:r>
      <w:r/>
    </w:p>
    <w:p>
      <w:pPr>
        <w:pStyle w:val="791"/>
        <w:rPr>
          <w:rFonts w:hint="eastAsia"/>
          <w:color w:val="000000" w:themeColor="text1"/>
          <w:highlight w:val="none"/>
        </w:rPr>
      </w:pPr>
      <w:r>
        <w:rPr>
          <w:rFonts w:hint="eastAsia"/>
          <w:color w:val="000000" w:themeColor="text1"/>
          <w:highlight w:val="none"/>
        </w:rPr>
      </w:r>
      <w:r>
        <w:rPr>
          <w:color w:val="000000" w:themeColor="text1"/>
        </w:rPr>
      </w:r>
      <w:r/>
    </w:p>
    <w:p>
      <w:pPr>
        <w:rPr>
          <w:rFonts w:hint="eastAsia" w:ascii="宋体" w:hAnsi="宋体" w:eastAsia="宋体" w:cs="宋体"/>
          <w:b/>
          <w:bCs/>
          <w:color w:val="000000" w:themeColor="text1"/>
          <w:sz w:val="31"/>
          <w:szCs w:val="31"/>
          <w:highlight w:val="none"/>
        </w:rPr>
      </w:pPr>
      <w:r>
        <w:rPr>
          <w:rFonts w:hint="eastAsia" w:ascii="宋体" w:hAnsi="宋体" w:eastAsia="宋体" w:cs="宋体"/>
          <w:b/>
          <w:color w:val="000000" w:themeColor="text1"/>
          <w:sz w:val="31"/>
          <w:szCs w:val="31"/>
          <w:highlight w:val="none"/>
        </w:rPr>
        <w:t xml:space="preserve">附件十、《南京市政府采购供应商信用记录表暨信用承诺书》 </w:t>
      </w:r>
      <w:r>
        <w:rPr>
          <w:color w:val="000000" w:themeColor="text1"/>
        </w:rPr>
      </w:r>
      <w:r/>
    </w:p>
    <w:p>
      <w:pPr>
        <w:ind w:firstLine="189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w:t>
      </w:r>
      <w:r>
        <w:rPr>
          <w:rFonts w:ascii="宋体" w:hAnsi="宋体" w:eastAsia="宋体" w:cs="宋体"/>
          <w:color w:val="000000" w:themeColor="text1"/>
          <w:sz w:val="22"/>
          <w:szCs w:val="22"/>
          <w:highlight w:val="none"/>
        </w:rPr>
        <w:t xml:space="preserve">网站在线打印签字并加盖公章</w:t>
      </w:r>
      <w:r>
        <w:rPr>
          <w:rFonts w:hint="eastAsia" w:ascii="宋体" w:hAnsi="宋体" w:eastAsia="宋体" w:cs="宋体"/>
          <w:color w:val="000000" w:themeColor="text1"/>
          <w:szCs w:val="21"/>
          <w:highlight w:val="none"/>
        </w:rPr>
        <w:t xml:space="preserve">）</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b/>
          <w:color w:val="000000" w:themeColor="text1"/>
          <w:sz w:val="31"/>
          <w:szCs w:val="31"/>
          <w:highlight w:val="none"/>
        </w:rPr>
        <w:t xml:space="preserve">附件十一、投标需要的其他证明文件及材料（若有）</w:t>
      </w:r>
      <w:r>
        <w:rPr>
          <w:color w:val="000000" w:themeColor="text1"/>
        </w:rPr>
      </w:r>
      <w:r/>
    </w:p>
    <w:p>
      <w:pPr>
        <w:ind w:left="3800"/>
        <w:spacing w:line="239" w:lineRule="auto"/>
        <w:rPr>
          <w:rFonts w:hint="eastAsia" w:ascii="宋体" w:hAnsi="宋体" w:eastAsia="宋体" w:cs="宋体"/>
          <w:color w:val="000000" w:themeColor="text1"/>
          <w:sz w:val="18"/>
          <w:highlight w:val="none"/>
        </w:rPr>
      </w:pPr>
      <w:r>
        <w:rPr>
          <w:rFonts w:hint="eastAsia" w:ascii="宋体" w:hAnsi="宋体" w:eastAsia="宋体" w:cs="宋体"/>
          <w:color w:val="000000" w:themeColor="text1"/>
          <w:sz w:val="18"/>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sectPr>
      <w:headerReference w:type="default" r:id="rId9"/>
      <w:footerReference w:type="default" r:id="rId10"/>
      <w:footnotePr/>
      <w:endnotePr/>
      <w:type w:val="nextPage"/>
      <w:pgSz w:w="11900" w:h="16838" w:orient="portrait"/>
      <w:pgMar w:top="1270" w:right="1242" w:bottom="1157" w:left="1179" w:header="794"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微软雅黑">
    <w:panose1 w:val="020B0503020204020204"/>
  </w:font>
  <w:font w:name="Calibri">
    <w:panose1 w:val="020F05020202040302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clear" w:pos="7143" w:leader="none"/>
        <w:tab w:val="right" w:pos="8306" w:leader="none"/>
        <w:tab w:val="clear" w:pos="14287"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150"/>
      </w:pPr>
    </w:lvl>
    <w:lvl w:ilvl="1">
      <w:start w:val="1"/>
      <w:numFmt w:val="bullet"/>
      <w:isLgl w:val="false"/>
      <w:suff w:val="tab"/>
      <w:lvlText w:val="o"/>
      <w:lvlJc w:val="left"/>
      <w:pPr>
        <w:ind w:left="2865" w:hanging="360"/>
      </w:pPr>
      <w:rPr>
        <w:rFonts w:hint="default" w:ascii="Courier New" w:hAnsi="Courier New" w:eastAsia="Courier New" w:cs="Courier New"/>
      </w:rPr>
    </w:lvl>
    <w:lvl w:ilvl="2">
      <w:start w:val="1"/>
      <w:numFmt w:val="bullet"/>
      <w:isLgl w:val="false"/>
      <w:suff w:val="tab"/>
      <w:lvlText w:val="§"/>
      <w:lvlJc w:val="left"/>
      <w:pPr>
        <w:ind w:left="3585" w:hanging="360"/>
      </w:pPr>
      <w:rPr>
        <w:rFonts w:hint="default" w:ascii="Wingdings" w:hAnsi="Wingdings" w:eastAsia="Wingdings" w:cs="Wingdings"/>
      </w:rPr>
    </w:lvl>
    <w:lvl w:ilvl="3">
      <w:start w:val="1"/>
      <w:numFmt w:val="bullet"/>
      <w:isLgl w:val="false"/>
      <w:suff w:val="tab"/>
      <w:lvlText w:val="·"/>
      <w:lvlJc w:val="left"/>
      <w:pPr>
        <w:ind w:left="4305" w:hanging="360"/>
      </w:pPr>
      <w:rPr>
        <w:rFonts w:hint="default" w:ascii="Symbol" w:hAnsi="Symbol" w:eastAsia="Symbol" w:cs="Symbol"/>
      </w:rPr>
    </w:lvl>
    <w:lvl w:ilvl="4">
      <w:start w:val="1"/>
      <w:numFmt w:val="bullet"/>
      <w:isLgl w:val="false"/>
      <w:suff w:val="tab"/>
      <w:lvlText w:val="o"/>
      <w:lvlJc w:val="left"/>
      <w:pPr>
        <w:ind w:left="5025" w:hanging="360"/>
      </w:pPr>
      <w:rPr>
        <w:rFonts w:hint="default" w:ascii="Courier New" w:hAnsi="Courier New" w:eastAsia="Courier New" w:cs="Courier New"/>
      </w:rPr>
    </w:lvl>
    <w:lvl w:ilvl="5">
      <w:start w:val="1"/>
      <w:numFmt w:val="bullet"/>
      <w:isLgl w:val="false"/>
      <w:suff w:val="tab"/>
      <w:lvlText w:val="§"/>
      <w:lvlJc w:val="left"/>
      <w:pPr>
        <w:ind w:left="5745" w:hanging="360"/>
      </w:pPr>
      <w:rPr>
        <w:rFonts w:hint="default" w:ascii="Wingdings" w:hAnsi="Wingdings" w:eastAsia="Wingdings" w:cs="Wingdings"/>
      </w:rPr>
    </w:lvl>
    <w:lvl w:ilvl="6">
      <w:start w:val="1"/>
      <w:numFmt w:val="bullet"/>
      <w:isLgl w:val="false"/>
      <w:suff w:val="tab"/>
      <w:lvlText w:val="·"/>
      <w:lvlJc w:val="left"/>
      <w:pPr>
        <w:ind w:left="6465" w:hanging="360"/>
      </w:pPr>
      <w:rPr>
        <w:rFonts w:hint="default" w:ascii="Symbol" w:hAnsi="Symbol" w:eastAsia="Symbol" w:cs="Symbol"/>
      </w:rPr>
    </w:lvl>
    <w:lvl w:ilvl="7">
      <w:start w:val="1"/>
      <w:numFmt w:val="bullet"/>
      <w:isLgl w:val="false"/>
      <w:suff w:val="tab"/>
      <w:lvlText w:val="o"/>
      <w:lvlJc w:val="left"/>
      <w:pPr>
        <w:ind w:left="7185" w:hanging="360"/>
      </w:pPr>
      <w:rPr>
        <w:rFonts w:hint="default" w:ascii="Courier New" w:hAnsi="Courier New" w:eastAsia="Courier New" w:cs="Courier New"/>
      </w:rPr>
    </w:lvl>
    <w:lvl w:ilvl="8">
      <w:start w:val="1"/>
      <w:numFmt w:val="bullet"/>
      <w:isLgl w:val="false"/>
      <w:suff w:val="tab"/>
      <w:lvlText w:val="§"/>
      <w:lvlJc w:val="left"/>
      <w:pPr>
        <w:ind w:left="7905"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2160" w:hanging="1440"/>
      </w:pPr>
      <w:rPr>
        <w:rFonts w:hint="default"/>
      </w:r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02">
    <w:name w:val="Heading 1"/>
    <w:basedOn w:val="701"/>
    <w:next w:val="701"/>
    <w:uiPriority w:val="99"/>
    <w:qFormat/>
    <w:pPr>
      <w:keepLines/>
      <w:keepNext/>
      <w:spacing w:before="340" w:after="330" w:line="578" w:lineRule="auto"/>
      <w:outlineLvl w:val="0"/>
    </w:pPr>
    <w:rPr>
      <w:b/>
      <w:bCs/>
      <w:sz w:val="44"/>
      <w:szCs w:val="44"/>
    </w:rPr>
  </w:style>
  <w:style w:type="paragraph" w:styleId="703">
    <w:name w:val="Heading 2"/>
    <w:basedOn w:val="701"/>
    <w:next w:val="701"/>
    <w:link w:val="810"/>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811"/>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13"/>
    <w:link w:val="812"/>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813"/>
    <w:uiPriority w:val="9"/>
    <w:unhideWhenUsed/>
    <w:qFormat/>
    <w:pPr>
      <w:keepLines/>
      <w:keepNext/>
      <w:spacing w:before="320" w:after="200"/>
      <w:outlineLvl w:val="4"/>
    </w:pPr>
    <w:rPr>
      <w:rFonts w:ascii="Arial" w:hAnsi="Arial" w:eastAsia="Arial" w:cs="Arial"/>
      <w:b/>
      <w:bCs/>
      <w:sz w:val="24"/>
    </w:rPr>
  </w:style>
  <w:style w:type="paragraph" w:styleId="707">
    <w:name w:val="Heading 6"/>
    <w:basedOn w:val="701"/>
    <w:next w:val="701"/>
    <w:link w:val="814"/>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816"/>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817"/>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正文首缩两字"/>
    <w:basedOn w:val="701"/>
    <w:uiPriority w:val="0"/>
    <w:qFormat/>
    <w:pPr>
      <w:ind w:left="210" w:right="210" w:firstLine="480"/>
      <w:spacing w:line="360" w:lineRule="auto"/>
    </w:pPr>
    <w:rPr>
      <w:rFonts w:ascii="宋体" w:hAnsi="宋体" w:eastAsia="仿宋_GB2312"/>
      <w:sz w:val="24"/>
    </w:rPr>
  </w:style>
  <w:style w:type="paragraph" w:styleId="714">
    <w:name w:val="toc 7"/>
    <w:basedOn w:val="701"/>
    <w:next w:val="701"/>
    <w:uiPriority w:val="39"/>
    <w:unhideWhenUsed/>
    <w:qFormat/>
    <w:pPr>
      <w:ind w:left="1701"/>
      <w:spacing w:after="57"/>
    </w:pPr>
  </w:style>
  <w:style w:type="paragraph" w:styleId="715">
    <w:name w:val="Normal Indent"/>
    <w:basedOn w:val="701"/>
    <w:uiPriority w:val="0"/>
    <w:qFormat/>
    <w:pPr>
      <w:ind w:firstLine="420"/>
    </w:pPr>
  </w:style>
  <w:style w:type="paragraph" w:styleId="716">
    <w:name w:val="Caption"/>
    <w:basedOn w:val="701"/>
    <w:next w:val="70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7">
    <w:name w:val="annotation text"/>
    <w:basedOn w:val="701"/>
    <w:link w:val="941"/>
    <w:uiPriority w:val="99"/>
    <w:unhideWhenUsed/>
    <w:qFormat/>
    <w:pPr>
      <w:jc w:val="left"/>
    </w:pPr>
  </w:style>
  <w:style w:type="paragraph" w:styleId="718">
    <w:name w:val="Body Text"/>
    <w:basedOn w:val="701"/>
    <w:next w:val="701"/>
    <w:uiPriority w:val="99"/>
    <w:qFormat/>
    <w:pPr>
      <w:spacing w:after="120"/>
    </w:pPr>
    <w:rPr>
      <w:sz w:val="24"/>
    </w:rPr>
  </w:style>
  <w:style w:type="paragraph" w:styleId="719">
    <w:name w:val="Body Text Indent"/>
    <w:basedOn w:val="701"/>
    <w:next w:val="720"/>
    <w:uiPriority w:val="0"/>
    <w:qFormat/>
    <w:pPr>
      <w:ind w:left="420"/>
      <w:spacing w:after="120"/>
    </w:pPr>
    <w:rPr>
      <w:sz w:val="24"/>
    </w:rPr>
  </w:style>
  <w:style w:type="paragraph" w:styleId="720">
    <w:name w:val="envelope return"/>
    <w:basedOn w:val="701"/>
    <w:uiPriority w:val="0"/>
    <w:qFormat/>
    <w:rPr>
      <w:rFonts w:ascii="Arial" w:hAnsi="Arial" w:eastAsia="宋体" w:cs="宋体"/>
    </w:rPr>
  </w:style>
  <w:style w:type="paragraph" w:styleId="721">
    <w:name w:val="index 4"/>
    <w:basedOn w:val="701"/>
    <w:next w:val="701"/>
    <w:uiPriority w:val="0"/>
    <w:qFormat/>
    <w:pPr>
      <w:ind w:left="1260"/>
    </w:pPr>
    <w:rPr>
      <w:rFonts w:ascii="Times New Roman" w:hAnsi="Times New Roman" w:eastAsia="宋体" w:cs="Times New Roman"/>
    </w:rPr>
  </w:style>
  <w:style w:type="paragraph" w:styleId="722">
    <w:name w:val="toc 5"/>
    <w:basedOn w:val="701"/>
    <w:next w:val="701"/>
    <w:uiPriority w:val="39"/>
    <w:unhideWhenUsed/>
    <w:qFormat/>
    <w:pPr>
      <w:ind w:left="1134"/>
      <w:spacing w:after="57"/>
    </w:pPr>
  </w:style>
  <w:style w:type="paragraph" w:styleId="723">
    <w:name w:val="toc 3"/>
    <w:basedOn w:val="701"/>
    <w:next w:val="701"/>
    <w:uiPriority w:val="39"/>
    <w:unhideWhenUsed/>
    <w:qFormat/>
    <w:pPr>
      <w:ind w:left="567"/>
      <w:spacing w:after="57"/>
    </w:pPr>
  </w:style>
  <w:style w:type="paragraph" w:styleId="724">
    <w:name w:val="toc 8"/>
    <w:basedOn w:val="701"/>
    <w:next w:val="701"/>
    <w:uiPriority w:val="39"/>
    <w:unhideWhenUsed/>
    <w:qFormat/>
    <w:pPr>
      <w:ind w:left="1984"/>
      <w:spacing w:after="57"/>
    </w:pPr>
  </w:style>
  <w:style w:type="paragraph" w:styleId="725">
    <w:name w:val="endnote text"/>
    <w:basedOn w:val="701"/>
    <w:link w:val="935"/>
    <w:uiPriority w:val="99"/>
    <w:semiHidden/>
    <w:unhideWhenUsed/>
    <w:qFormat/>
    <w:rPr>
      <w:sz w:val="20"/>
    </w:rPr>
  </w:style>
  <w:style w:type="paragraph" w:styleId="726">
    <w:name w:val="Footer"/>
    <w:basedOn w:val="701"/>
    <w:link w:val="949"/>
    <w:uiPriority w:val="99"/>
    <w:unhideWhenUsed/>
    <w:qFormat/>
    <w:pPr>
      <w:tabs>
        <w:tab w:val="center" w:pos="4153" w:leader="none"/>
        <w:tab w:val="right" w:pos="8306" w:leader="none"/>
      </w:tabs>
    </w:pPr>
    <w:rPr>
      <w:sz w:val="18"/>
    </w:rPr>
  </w:style>
  <w:style w:type="paragraph" w:styleId="727">
    <w:name w:val="Header"/>
    <w:basedOn w:val="701"/>
    <w:link w:val="825"/>
    <w:uiPriority w:val="99"/>
    <w:unhideWhenUsed/>
    <w:qFormat/>
    <w:pPr>
      <w:tabs>
        <w:tab w:val="center" w:pos="7143" w:leader="none"/>
        <w:tab w:val="right" w:pos="14287" w:leader="none"/>
      </w:tabs>
    </w:pPr>
  </w:style>
  <w:style w:type="paragraph" w:styleId="728">
    <w:name w:val="toc 1"/>
    <w:basedOn w:val="701"/>
    <w:next w:val="701"/>
    <w:uiPriority w:val="39"/>
    <w:unhideWhenUsed/>
    <w:qFormat/>
    <w:pPr>
      <w:spacing w:after="57"/>
    </w:pPr>
  </w:style>
  <w:style w:type="paragraph" w:styleId="729">
    <w:name w:val="toc 4"/>
    <w:basedOn w:val="701"/>
    <w:next w:val="701"/>
    <w:uiPriority w:val="39"/>
    <w:unhideWhenUsed/>
    <w:qFormat/>
    <w:pPr>
      <w:ind w:left="850"/>
      <w:spacing w:after="57"/>
    </w:pPr>
  </w:style>
  <w:style w:type="paragraph" w:styleId="730">
    <w:name w:val="Subtitle"/>
    <w:basedOn w:val="701"/>
    <w:next w:val="701"/>
    <w:link w:val="820"/>
    <w:uiPriority w:val="11"/>
    <w:qFormat/>
    <w:pPr>
      <w:spacing w:before="200" w:after="200"/>
    </w:pPr>
    <w:rPr>
      <w:sz w:val="24"/>
    </w:rPr>
  </w:style>
  <w:style w:type="paragraph" w:styleId="731">
    <w:name w:val="footnote text"/>
    <w:basedOn w:val="701"/>
    <w:link w:val="934"/>
    <w:uiPriority w:val="99"/>
    <w:semiHidden/>
    <w:unhideWhenUsed/>
    <w:qFormat/>
    <w:pPr>
      <w:spacing w:after="40"/>
    </w:pPr>
    <w:rPr>
      <w:sz w:val="18"/>
    </w:rPr>
  </w:style>
  <w:style w:type="paragraph" w:styleId="732">
    <w:name w:val="toc 6"/>
    <w:basedOn w:val="701"/>
    <w:next w:val="701"/>
    <w:uiPriority w:val="39"/>
    <w:unhideWhenUsed/>
    <w:qFormat/>
    <w:pPr>
      <w:ind w:left="1417"/>
      <w:spacing w:after="57"/>
    </w:pPr>
  </w:style>
  <w:style w:type="paragraph" w:styleId="733">
    <w:name w:val="table of figures"/>
    <w:basedOn w:val="701"/>
    <w:next w:val="701"/>
    <w:uiPriority w:val="99"/>
    <w:unhideWhenUsed/>
    <w:qFormat/>
  </w:style>
  <w:style w:type="paragraph" w:styleId="734">
    <w:name w:val="toc 2"/>
    <w:basedOn w:val="701"/>
    <w:next w:val="701"/>
    <w:uiPriority w:val="39"/>
    <w:unhideWhenUsed/>
    <w:qFormat/>
    <w:pPr>
      <w:ind w:left="283"/>
      <w:spacing w:after="57"/>
    </w:pPr>
  </w:style>
  <w:style w:type="paragraph" w:styleId="735">
    <w:name w:val="toc 9"/>
    <w:basedOn w:val="701"/>
    <w:next w:val="701"/>
    <w:uiPriority w:val="39"/>
    <w:unhideWhenUsed/>
    <w:qFormat/>
    <w:pPr>
      <w:ind w:left="2268"/>
      <w:spacing w:after="57"/>
    </w:pPr>
  </w:style>
  <w:style w:type="paragraph" w:styleId="736">
    <w:name w:val="Body Text 2"/>
    <w:basedOn w:val="701"/>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737">
    <w:name w:val="Normal (Web)"/>
    <w:basedOn w:val="701"/>
    <w:uiPriority w:val="99"/>
    <w:unhideWhenUsed/>
    <w:qFormat/>
    <w:pPr>
      <w:spacing w:before="100" w:beforeAutospacing="1" w:after="100" w:afterAutospacing="1"/>
    </w:pPr>
    <w:rPr>
      <w:rFonts w:ascii="宋体" w:hAnsi="宋体" w:cs="宋体"/>
      <w:sz w:val="24"/>
    </w:rPr>
  </w:style>
  <w:style w:type="paragraph" w:styleId="738">
    <w:name w:val="Title"/>
    <w:basedOn w:val="701"/>
    <w:next w:val="701"/>
    <w:link w:val="819"/>
    <w:uiPriority w:val="10"/>
    <w:qFormat/>
    <w:pPr>
      <w:contextualSpacing/>
      <w:spacing w:before="300" w:after="200"/>
    </w:pPr>
    <w:rPr>
      <w:sz w:val="48"/>
      <w:szCs w:val="48"/>
    </w:rPr>
  </w:style>
  <w:style w:type="paragraph" w:styleId="739">
    <w:name w:val="annotation subject"/>
    <w:basedOn w:val="717"/>
    <w:next w:val="717"/>
    <w:link w:val="942"/>
    <w:uiPriority w:val="99"/>
    <w:semiHidden/>
    <w:unhideWhenUsed/>
    <w:qFormat/>
    <w:rPr>
      <w:b/>
      <w:bCs/>
    </w:rPr>
  </w:style>
  <w:style w:type="paragraph" w:styleId="740">
    <w:name w:val="Body Text First Indent"/>
    <w:basedOn w:val="718"/>
    <w:uiPriority w:val="0"/>
    <w:qFormat/>
    <w:pPr>
      <w:ind w:firstLine="420"/>
    </w:pPr>
  </w:style>
  <w:style w:type="paragraph" w:styleId="741">
    <w:name w:val="Body Text First Indent 2"/>
    <w:basedOn w:val="719"/>
    <w:uiPriority w:val="0"/>
    <w:qFormat/>
    <w:pPr>
      <w:ind w:left="0" w:firstLine="420"/>
      <w:spacing w:after="0" w:line="360" w:lineRule="auto"/>
    </w:pPr>
    <w:rPr>
      <w:rFonts w:ascii="宋体" w:hAnsi="宋体"/>
      <w:sz w:val="20"/>
    </w:rPr>
  </w:style>
  <w:style w:type="table" w:styleId="742">
    <w:name w:val="Table Grid"/>
    <w:basedOn w:val="7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endnote reference"/>
    <w:basedOn w:val="711"/>
    <w:uiPriority w:val="99"/>
    <w:semiHidden/>
    <w:unhideWhenUsed/>
    <w:qFormat/>
    <w:rPr>
      <w:vertAlign w:val="superscript"/>
    </w:rPr>
  </w:style>
  <w:style w:type="character" w:styleId="744">
    <w:name w:val="FollowedHyperlink"/>
    <w:basedOn w:val="711"/>
    <w:uiPriority w:val="99"/>
    <w:qFormat/>
    <w:rPr>
      <w:color w:val="800080"/>
      <w:u w:val="single"/>
    </w:rPr>
  </w:style>
  <w:style w:type="character" w:styleId="745">
    <w:name w:val="Emphasis"/>
    <w:uiPriority w:val="20"/>
    <w:qFormat/>
    <w:rPr>
      <w:i/>
      <w:iCs/>
    </w:rPr>
  </w:style>
  <w:style w:type="character" w:styleId="746">
    <w:name w:val="Hyperlink"/>
    <w:uiPriority w:val="99"/>
    <w:qFormat/>
    <w:rPr>
      <w:color w:val="0000ff"/>
      <w:u w:val="single"/>
    </w:rPr>
  </w:style>
  <w:style w:type="character" w:styleId="747">
    <w:name w:val="annotation reference"/>
    <w:basedOn w:val="711"/>
    <w:uiPriority w:val="99"/>
    <w:semiHidden/>
    <w:unhideWhenUsed/>
    <w:qFormat/>
    <w:rPr>
      <w:sz w:val="21"/>
      <w:szCs w:val="21"/>
    </w:rPr>
  </w:style>
  <w:style w:type="character" w:styleId="748">
    <w:name w:val="footnote reference"/>
    <w:basedOn w:val="711"/>
    <w:uiPriority w:val="99"/>
    <w:unhideWhenUsed/>
    <w:qFormat/>
    <w:rPr>
      <w:vertAlign w:val="superscript"/>
    </w:rPr>
  </w:style>
  <w:style w:type="table" w:styleId="749" w:customStyle="1">
    <w:name w:val="Plain Table 1"/>
    <w:basedOn w:val="71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71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71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71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71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71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71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3"/>
    <w:basedOn w:val="71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basedOn w:val="71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5 Dark"/>
    <w:basedOn w:val="7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6 Colorful"/>
    <w:basedOn w:val="71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7 Colorful"/>
    <w:basedOn w:val="71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List Table 1 Light"/>
    <w:basedOn w:val="712"/>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2"/>
    <w:basedOn w:val="71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3"/>
    <w:basedOn w:val="71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4"/>
    <w:basedOn w:val="71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5 Dark"/>
    <w:basedOn w:val="71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6 Colorful"/>
    <w:basedOn w:val="712"/>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7" w:customStyle="1">
    <w:name w:val="List Table 7 Colorful"/>
    <w:basedOn w:val="712"/>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8" w:customStyle="1">
    <w:name w:val="TOC Heading"/>
    <w:uiPriority w:val="39"/>
    <w:unhideWhenUsed/>
    <w:rPr>
      <w:rFonts w:hint="default" w:ascii="Times New Roman" w:hAnsi="Times New Roman" w:eastAsia="宋体" w:cs="Times New Roman"/>
    </w:rPr>
  </w:style>
  <w:style w:type="table" w:styleId="769" w:customStyle="1">
    <w:name w:val="无格式表格 1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网格表 3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网格表 5 深色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网格表 6 彩色1"/>
    <w:basedOn w:val="7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网格表 7 彩色1"/>
    <w:basedOn w:val="7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清单表 1 浅色1"/>
    <w:basedOn w:val="71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清单表 21"/>
    <w:basedOn w:val="7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清单表 3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4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5 深色1"/>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清单表 6 彩色1"/>
    <w:basedOn w:val="71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清单表 7 彩色1"/>
    <w:basedOn w:val="71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标题1"/>
    <w:uiPriority w:val="39"/>
    <w:unhideWhenUsed/>
    <w:qFormat/>
    <w:rPr>
      <w:rFonts w:hint="default" w:ascii="Times New Roman" w:hAnsi="Times New Roman" w:eastAsia="宋体" w:cs="Times New Roman"/>
      <w:lang w:val="en-US" w:eastAsia="zh-CN" w:bidi="ar-SA"/>
    </w:rPr>
  </w:style>
  <w:style w:type="paragraph" w:styleId="789" w:customStyle="1">
    <w:name w:val="BodyText"/>
    <w:basedOn w:val="701"/>
    <w:uiPriority w:val="0"/>
    <w:qFormat/>
    <w:pPr>
      <w:spacing w:after="120"/>
    </w:pPr>
  </w:style>
  <w:style w:type="paragraph" w:styleId="790" w:customStyle="1">
    <w:name w:val="TOC 标题112"/>
    <w:uiPriority w:val="39"/>
    <w:unhideWhenUsed/>
    <w:qFormat/>
    <w:rPr>
      <w:rFonts w:hint="default" w:ascii="Times New Roman" w:hAnsi="Times New Roman" w:eastAsia="宋体" w:cs="Times New Roman"/>
      <w:lang w:val="en-US" w:eastAsia="zh-CN" w:bidi="ar-SA"/>
    </w:rPr>
  </w:style>
  <w:style w:type="paragraph" w:styleId="791" w:customStyle="1">
    <w:name w:val="首行缩进"/>
    <w:basedOn w:val="701"/>
    <w:uiPriority w:val="99"/>
    <w:qFormat/>
    <w:pPr>
      <w:ind w:firstLine="480"/>
      <w:spacing w:line="360" w:lineRule="auto"/>
    </w:pPr>
    <w:rPr>
      <w:rFonts w:ascii="宋体" w:hAnsi="宋体"/>
      <w:sz w:val="24"/>
    </w:rPr>
  </w:style>
  <w:style w:type="character" w:styleId="792" w:customStyle="1">
    <w:name w:val="Heading 2 Char"/>
    <w:basedOn w:val="711"/>
    <w:uiPriority w:val="9"/>
    <w:qFormat/>
    <w:rPr>
      <w:rFonts w:ascii="Arial" w:hAnsi="Arial" w:eastAsia="Arial" w:cs="Arial"/>
      <w:sz w:val="34"/>
    </w:rPr>
  </w:style>
  <w:style w:type="character" w:styleId="793" w:customStyle="1">
    <w:name w:val="Heading 3 Char"/>
    <w:basedOn w:val="711"/>
    <w:uiPriority w:val="9"/>
    <w:qFormat/>
    <w:rPr>
      <w:rFonts w:ascii="Arial" w:hAnsi="Arial" w:eastAsia="Arial" w:cs="Arial"/>
      <w:sz w:val="30"/>
      <w:szCs w:val="30"/>
    </w:rPr>
  </w:style>
  <w:style w:type="character" w:styleId="794" w:customStyle="1">
    <w:name w:val="Heading 4 Char"/>
    <w:basedOn w:val="711"/>
    <w:uiPriority w:val="9"/>
    <w:qFormat/>
    <w:rPr>
      <w:rFonts w:ascii="Arial" w:hAnsi="Arial" w:eastAsia="Arial" w:cs="Arial"/>
      <w:b/>
      <w:bCs/>
      <w:sz w:val="26"/>
      <w:szCs w:val="26"/>
    </w:rPr>
  </w:style>
  <w:style w:type="character" w:styleId="795" w:customStyle="1">
    <w:name w:val="Heading 5 Char"/>
    <w:basedOn w:val="711"/>
    <w:uiPriority w:val="9"/>
    <w:qFormat/>
    <w:rPr>
      <w:rFonts w:ascii="Arial" w:hAnsi="Arial" w:eastAsia="Arial" w:cs="Arial"/>
      <w:b/>
      <w:bCs/>
      <w:sz w:val="24"/>
      <w:szCs w:val="24"/>
    </w:rPr>
  </w:style>
  <w:style w:type="character" w:styleId="796" w:customStyle="1">
    <w:name w:val="Heading 6 Char"/>
    <w:basedOn w:val="711"/>
    <w:uiPriority w:val="9"/>
    <w:qFormat/>
    <w:rPr>
      <w:rFonts w:ascii="Arial" w:hAnsi="Arial" w:eastAsia="Arial" w:cs="Arial"/>
      <w:b/>
      <w:bCs/>
      <w:sz w:val="22"/>
      <w:szCs w:val="22"/>
    </w:rPr>
  </w:style>
  <w:style w:type="character" w:styleId="797" w:customStyle="1">
    <w:name w:val="Heading 7 Char"/>
    <w:basedOn w:val="711"/>
    <w:uiPriority w:val="9"/>
    <w:qFormat/>
    <w:rPr>
      <w:rFonts w:ascii="Arial" w:hAnsi="Arial" w:eastAsia="Arial" w:cs="Arial"/>
      <w:b/>
      <w:bCs/>
      <w:i/>
      <w:iCs/>
      <w:sz w:val="22"/>
      <w:szCs w:val="22"/>
    </w:rPr>
  </w:style>
  <w:style w:type="character" w:styleId="798" w:customStyle="1">
    <w:name w:val="Heading 8 Char"/>
    <w:basedOn w:val="711"/>
    <w:uiPriority w:val="9"/>
    <w:qFormat/>
    <w:rPr>
      <w:rFonts w:ascii="Arial" w:hAnsi="Arial" w:eastAsia="Arial" w:cs="Arial"/>
      <w:i/>
      <w:iCs/>
      <w:sz w:val="22"/>
      <w:szCs w:val="22"/>
    </w:rPr>
  </w:style>
  <w:style w:type="character" w:styleId="799" w:customStyle="1">
    <w:name w:val="Heading 9 Char"/>
    <w:basedOn w:val="711"/>
    <w:uiPriority w:val="9"/>
    <w:qFormat/>
    <w:rPr>
      <w:rFonts w:ascii="Arial" w:hAnsi="Arial" w:eastAsia="Arial" w:cs="Arial"/>
      <w:i/>
      <w:iCs/>
      <w:sz w:val="21"/>
      <w:szCs w:val="21"/>
    </w:rPr>
  </w:style>
  <w:style w:type="character" w:styleId="800" w:customStyle="1">
    <w:name w:val="Title Char"/>
    <w:basedOn w:val="711"/>
    <w:uiPriority w:val="10"/>
    <w:qFormat/>
    <w:rPr>
      <w:sz w:val="48"/>
      <w:szCs w:val="48"/>
    </w:rPr>
  </w:style>
  <w:style w:type="character" w:styleId="801" w:customStyle="1">
    <w:name w:val="Subtitle Char"/>
    <w:basedOn w:val="711"/>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Header Char"/>
    <w:basedOn w:val="711"/>
    <w:uiPriority w:val="99"/>
    <w:qFormat/>
  </w:style>
  <w:style w:type="character" w:styleId="805" w:customStyle="1">
    <w:name w:val="Footnote Text Char"/>
    <w:uiPriority w:val="99"/>
    <w:qFormat/>
    <w:rPr>
      <w:sz w:val="18"/>
    </w:rPr>
  </w:style>
  <w:style w:type="character" w:styleId="806" w:customStyle="1">
    <w:name w:val="Endnote Text Char"/>
    <w:uiPriority w:val="99"/>
    <w:qFormat/>
    <w:rPr>
      <w:sz w:val="20"/>
    </w:rPr>
  </w:style>
  <w:style w:type="paragraph" w:styleId="807" w:customStyle="1">
    <w:name w:val="TOC 标题111"/>
    <w:uiPriority w:val="39"/>
    <w:unhideWhenUsed/>
    <w:qFormat/>
    <w:rPr>
      <w:rFonts w:hint="default" w:ascii="Times New Roman" w:hAnsi="Times New Roman" w:eastAsia="宋体" w:cs="Times New Roman"/>
      <w:lang w:val="en-US" w:eastAsia="zh-CN" w:bidi="ar-SA"/>
    </w:rPr>
  </w:style>
  <w:style w:type="paragraph" w:styleId="808">
    <w:name w:val="List Paragraph"/>
    <w:basedOn w:val="701"/>
    <w:uiPriority w:val="34"/>
    <w:qFormat/>
    <w:pPr>
      <w:ind w:firstLine="420"/>
    </w:pPr>
  </w:style>
  <w:style w:type="character" w:styleId="809" w:customStyle="1">
    <w:name w:val="Heading 1 Char"/>
    <w:basedOn w:val="711"/>
    <w:uiPriority w:val="9"/>
    <w:qFormat/>
    <w:rPr>
      <w:rFonts w:ascii="Arial" w:hAnsi="Arial" w:eastAsia="Arial" w:cs="Arial"/>
      <w:sz w:val="40"/>
      <w:szCs w:val="40"/>
    </w:rPr>
  </w:style>
  <w:style w:type="character" w:styleId="810" w:customStyle="1">
    <w:name w:val="标题 2 字符"/>
    <w:basedOn w:val="711"/>
    <w:link w:val="703"/>
    <w:uiPriority w:val="9"/>
    <w:qFormat/>
    <w:rPr>
      <w:rFonts w:ascii="Arial" w:hAnsi="Arial" w:eastAsia="Arial" w:cs="Arial"/>
      <w:sz w:val="34"/>
    </w:rPr>
  </w:style>
  <w:style w:type="character" w:styleId="811" w:customStyle="1">
    <w:name w:val="标题 3 字符"/>
    <w:basedOn w:val="711"/>
    <w:link w:val="704"/>
    <w:uiPriority w:val="9"/>
    <w:qFormat/>
    <w:rPr>
      <w:rFonts w:ascii="Arial" w:hAnsi="Arial" w:eastAsia="Arial" w:cs="Arial"/>
      <w:sz w:val="30"/>
      <w:szCs w:val="30"/>
    </w:rPr>
  </w:style>
  <w:style w:type="character" w:styleId="812" w:customStyle="1">
    <w:name w:val="标题 4 字符"/>
    <w:basedOn w:val="711"/>
    <w:link w:val="705"/>
    <w:uiPriority w:val="9"/>
    <w:qFormat/>
    <w:rPr>
      <w:rFonts w:ascii="Arial" w:hAnsi="Arial" w:eastAsia="Arial" w:cs="Arial"/>
      <w:b/>
      <w:bCs/>
      <w:sz w:val="26"/>
      <w:szCs w:val="26"/>
    </w:rPr>
  </w:style>
  <w:style w:type="character" w:styleId="813" w:customStyle="1">
    <w:name w:val="标题 5 字符"/>
    <w:basedOn w:val="711"/>
    <w:link w:val="706"/>
    <w:uiPriority w:val="9"/>
    <w:qFormat/>
    <w:rPr>
      <w:rFonts w:ascii="Arial" w:hAnsi="Arial" w:eastAsia="Arial" w:cs="Arial"/>
      <w:b/>
      <w:bCs/>
      <w:sz w:val="24"/>
      <w:szCs w:val="24"/>
    </w:rPr>
  </w:style>
  <w:style w:type="character" w:styleId="814" w:customStyle="1">
    <w:name w:val="标题 6 字符"/>
    <w:basedOn w:val="711"/>
    <w:link w:val="707"/>
    <w:uiPriority w:val="9"/>
    <w:qFormat/>
    <w:rPr>
      <w:rFonts w:ascii="Arial" w:hAnsi="Arial" w:eastAsia="Arial" w:cs="Arial"/>
      <w:b/>
      <w:bCs/>
      <w:sz w:val="22"/>
      <w:szCs w:val="22"/>
    </w:rPr>
  </w:style>
  <w:style w:type="character" w:styleId="815" w:customStyle="1">
    <w:name w:val="标题 7 字符"/>
    <w:basedOn w:val="711"/>
    <w:link w:val="708"/>
    <w:uiPriority w:val="9"/>
    <w:qFormat/>
    <w:rPr>
      <w:rFonts w:ascii="Arial" w:hAnsi="Arial" w:eastAsia="Arial" w:cs="Arial"/>
      <w:b/>
      <w:bCs/>
      <w:i/>
      <w:iCs/>
      <w:sz w:val="22"/>
      <w:szCs w:val="22"/>
    </w:rPr>
  </w:style>
  <w:style w:type="character" w:styleId="816" w:customStyle="1">
    <w:name w:val="标题 8 字符"/>
    <w:basedOn w:val="711"/>
    <w:link w:val="709"/>
    <w:uiPriority w:val="9"/>
    <w:qFormat/>
    <w:rPr>
      <w:rFonts w:ascii="Arial" w:hAnsi="Arial" w:eastAsia="Arial" w:cs="Arial"/>
      <w:i/>
      <w:iCs/>
      <w:sz w:val="22"/>
      <w:szCs w:val="22"/>
    </w:rPr>
  </w:style>
  <w:style w:type="character" w:styleId="817" w:customStyle="1">
    <w:name w:val="标题 9 字符"/>
    <w:basedOn w:val="711"/>
    <w:link w:val="710"/>
    <w:uiPriority w:val="9"/>
    <w:qFormat/>
    <w:rPr>
      <w:rFonts w:ascii="Arial" w:hAnsi="Arial" w:eastAsia="Arial" w:cs="Arial"/>
      <w:i/>
      <w:iCs/>
      <w:sz w:val="21"/>
      <w:szCs w:val="21"/>
    </w:rPr>
  </w:style>
  <w:style w:type="paragraph" w:styleId="818">
    <w:name w:val="No Spacing"/>
    <w:uiPriority w:val="1"/>
    <w:qFormat/>
    <w:rPr>
      <w:rFonts w:hint="default" w:asciiTheme="minorHAnsi" w:hAnsiTheme="minorHAnsi" w:eastAsiaTheme="minorEastAsia" w:cstheme="minorBidi"/>
      <w:lang w:val="en-US" w:eastAsia="zh-CN" w:bidi="ar-SA"/>
    </w:rPr>
  </w:style>
  <w:style w:type="character" w:styleId="819" w:customStyle="1">
    <w:name w:val="标题 字符"/>
    <w:basedOn w:val="711"/>
    <w:link w:val="738"/>
    <w:uiPriority w:val="10"/>
    <w:qFormat/>
    <w:rPr>
      <w:sz w:val="48"/>
      <w:szCs w:val="48"/>
    </w:rPr>
  </w:style>
  <w:style w:type="character" w:styleId="820" w:customStyle="1">
    <w:name w:val="副标题 字符"/>
    <w:basedOn w:val="711"/>
    <w:link w:val="730"/>
    <w:uiPriority w:val="11"/>
    <w:qFormat/>
    <w:rPr>
      <w:sz w:val="24"/>
      <w:szCs w:val="24"/>
    </w:rPr>
  </w:style>
  <w:style w:type="paragraph" w:styleId="821">
    <w:name w:val="Quote"/>
    <w:basedOn w:val="701"/>
    <w:next w:val="701"/>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701"/>
    <w:next w:val="701"/>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character" w:styleId="825" w:customStyle="1">
    <w:name w:val="页眉 字符"/>
    <w:basedOn w:val="711"/>
    <w:link w:val="727"/>
    <w:uiPriority w:val="99"/>
    <w:qFormat/>
  </w:style>
  <w:style w:type="character" w:styleId="826" w:customStyle="1">
    <w:name w:val="Footer Char"/>
    <w:basedOn w:val="711"/>
    <w:uiPriority w:val="99"/>
    <w:qFormat/>
  </w:style>
  <w:style w:type="character" w:styleId="827" w:customStyle="1">
    <w:name w:val="Caption Char"/>
    <w:uiPriority w:val="99"/>
    <w:qFormat/>
  </w:style>
  <w:style w:type="table" w:styleId="828" w:customStyle="1">
    <w:name w:val="Table Grid Light"/>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9" w:customStyle="1">
    <w:name w:val="Grid Table 1 Light - Accent 1"/>
    <w:basedOn w:val="7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 Accent 1"/>
    <w:basedOn w:val="7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Grid Table 3 - Accent 1"/>
    <w:basedOn w:val="7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 Accent 1"/>
    <w:basedOn w:val="71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8" w:customStyle="1">
    <w:name w:val="Grid Table 4 - Accent 2"/>
    <w:basedOn w:val="71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9" w:customStyle="1">
    <w:name w:val="Grid Table 4 - Accent 3"/>
    <w:basedOn w:val="71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0" w:customStyle="1">
    <w:name w:val="Grid Table 4 - Accent 4"/>
    <w:basedOn w:val="71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1" w:customStyle="1">
    <w:name w:val="Grid Table 4 - Accent 5"/>
    <w:basedOn w:val="71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2" w:customStyle="1">
    <w:name w:val="Grid Table 4 - Accent 6"/>
    <w:basedOn w:val="71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3" w:customStyle="1">
    <w:name w:val="Grid Table 5 Dark- Accent 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4" w:customStyle="1">
    <w:name w:val="Grid Table 5 Dark - Accent 2"/>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5" w:customStyle="1">
    <w:name w:val="Grid Table 5 Dark - Accent 3"/>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6" w:customStyle="1">
    <w:name w:val="Grid Table 5 Dark- Accent 4"/>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7" w:customStyle="1">
    <w:name w:val="Grid Table 5 Dark - Accent 5"/>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8" w:customStyle="1">
    <w:name w:val="Grid Table 5 Dark - Accent 6"/>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9" w:customStyle="1">
    <w:name w:val="Grid Table 6 Colorful - Accent 1"/>
    <w:basedOn w:val="71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1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2" w:customStyle="1">
    <w:name w:val="Grid Table 6 Colorful - Accent 4"/>
    <w:basedOn w:val="7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1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Grid Table 6 Colorful - Accent 6"/>
    <w:basedOn w:val="71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Grid Table 7 Colorful - Accent 1"/>
    <w:basedOn w:val="71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1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1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1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1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1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 Accent 1"/>
    <w:basedOn w:val="71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1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1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1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1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1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List Table 2 - Accent 1"/>
    <w:basedOn w:val="71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8" w:customStyle="1">
    <w:name w:val="List Table 2 - Accent 2"/>
    <w:basedOn w:val="71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9" w:customStyle="1">
    <w:name w:val="List Table 2 - Accent 3"/>
    <w:basedOn w:val="71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0" w:customStyle="1">
    <w:name w:val="List Table 2 - Accent 4"/>
    <w:basedOn w:val="71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1" w:customStyle="1">
    <w:name w:val="List Table 2 - Accent 5"/>
    <w:basedOn w:val="71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2" w:customStyle="1">
    <w:name w:val="List Table 2 - Accent 6"/>
    <w:basedOn w:val="71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3" w:customStyle="1">
    <w:name w:val="List Table 3 - Accent 1"/>
    <w:basedOn w:val="71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4" w:customStyle="1">
    <w:name w:val="List Table 3 - Accent 2"/>
    <w:basedOn w:val="7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5" w:customStyle="1">
    <w:name w:val="List Table 3 - Accent 3"/>
    <w:basedOn w:val="71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6" w:customStyle="1">
    <w:name w:val="List Table 3 - Accent 4"/>
    <w:basedOn w:val="7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7" w:customStyle="1">
    <w:name w:val="List Table 3 - Accent 5"/>
    <w:basedOn w:val="71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8" w:customStyle="1">
    <w:name w:val="List Table 3 - Accent 6"/>
    <w:basedOn w:val="71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9" w:customStyle="1">
    <w:name w:val="List Table 4 - Accent 1"/>
    <w:basedOn w:val="71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4 - Accent 2"/>
    <w:basedOn w:val="71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1" w:customStyle="1">
    <w:name w:val="List Table 4 - Accent 3"/>
    <w:basedOn w:val="71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2" w:customStyle="1">
    <w:name w:val="List Table 4 - Accent 4"/>
    <w:basedOn w:val="71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3" w:customStyle="1">
    <w:name w:val="List Table 4 - Accent 5"/>
    <w:basedOn w:val="71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4" w:customStyle="1">
    <w:name w:val="List Table 4 - Accent 6"/>
    <w:basedOn w:val="71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5" w:customStyle="1">
    <w:name w:val="List Table 5 Dark - Accent 1"/>
    <w:basedOn w:val="71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basedOn w:val="71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basedOn w:val="71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basedOn w:val="71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basedOn w:val="71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basedOn w:val="71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 Accent 1"/>
    <w:basedOn w:val="71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2" w:customStyle="1">
    <w:name w:val="List Table 6 Colorful - Accent 2"/>
    <w:basedOn w:val="71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3" w:customStyle="1">
    <w:name w:val="List Table 6 Colorful - Accent 3"/>
    <w:basedOn w:val="71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4" w:customStyle="1">
    <w:name w:val="List Table 6 Colorful - Accent 4"/>
    <w:basedOn w:val="71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5" w:customStyle="1">
    <w:name w:val="List Table 6 Colorful - Accent 5"/>
    <w:basedOn w:val="71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6" w:customStyle="1">
    <w:name w:val="List Table 6 Colorful - Accent 6"/>
    <w:basedOn w:val="71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7" w:customStyle="1">
    <w:name w:val="List Table 7 Colorful - Accent 1"/>
    <w:basedOn w:val="71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1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1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1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1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1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5" w:customStyle="1">
    <w:name w:val="Lined - Accent 2"/>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6" w:customStyle="1">
    <w:name w:val="Lined - Accent 3"/>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Lined - Accent 4"/>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8" w:customStyle="1">
    <w:name w:val="Lined - Accent 5"/>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Lined - Accent 6"/>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amp; Lined - Accent"/>
    <w:basedOn w:val="7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1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Bordered &amp; Lined - Accent 2"/>
    <w:basedOn w:val="71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Bordered &amp; Lined - Accent 3"/>
    <w:basedOn w:val="71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Bordered &amp; Lined - Accent 4"/>
    <w:basedOn w:val="71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Bordered &amp; Lined - Accent 5"/>
    <w:basedOn w:val="71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Bordered &amp; Lined - Accent 6"/>
    <w:basedOn w:val="71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w:basedOn w:val="7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9" w:customStyle="1">
    <w:name w:val="Bordered - Accent 2"/>
    <w:basedOn w:val="7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0" w:customStyle="1">
    <w:name w:val="Bordered - Accent 3"/>
    <w:basedOn w:val="7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1" w:customStyle="1">
    <w:name w:val="Bordered - Accent 4"/>
    <w:basedOn w:val="7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2" w:customStyle="1">
    <w:name w:val="Bordered - Accent 5"/>
    <w:basedOn w:val="7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3" w:customStyle="1">
    <w:name w:val="Bordered - Accent 6"/>
    <w:basedOn w:val="7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4" w:customStyle="1">
    <w:name w:val="脚注文本 字符"/>
    <w:link w:val="731"/>
    <w:uiPriority w:val="99"/>
    <w:qFormat/>
    <w:rPr>
      <w:sz w:val="18"/>
    </w:rPr>
  </w:style>
  <w:style w:type="character" w:styleId="935" w:customStyle="1">
    <w:name w:val="尾注文本 字符"/>
    <w:link w:val="725"/>
    <w:uiPriority w:val="99"/>
    <w:qFormat/>
    <w:rPr>
      <w:sz w:val="20"/>
    </w:rPr>
  </w:style>
  <w:style w:type="paragraph" w:styleId="936" w:customStyle="1">
    <w:name w:val="TOC 标题11"/>
    <w:uiPriority w:val="39"/>
    <w:unhideWhenUsed/>
    <w:qFormat/>
    <w:rPr>
      <w:rFonts w:hint="default" w:asciiTheme="minorHAnsi" w:hAnsiTheme="minorHAnsi" w:eastAsiaTheme="minorEastAsia" w:cstheme="minorBidi"/>
      <w:lang w:val="en-US" w:eastAsia="zh-CN" w:bidi="ar-SA"/>
    </w:rPr>
  </w:style>
  <w:style w:type="character" w:styleId="937" w:customStyle="1">
    <w:name w:val="font41"/>
    <w:basedOn w:val="711"/>
    <w:uiPriority w:val="0"/>
    <w:qFormat/>
    <w:rPr>
      <w:rFonts w:hint="eastAsia" w:ascii="宋体" w:hAnsi="宋体" w:eastAsia="宋体" w:cs="宋体"/>
      <w:color w:val="2c42ea"/>
      <w:sz w:val="22"/>
      <w:szCs w:val="22"/>
      <w:u w:val="none"/>
    </w:rPr>
  </w:style>
  <w:style w:type="paragraph" w:styleId="938" w:customStyle="1">
    <w:name w:val="Table Paragraph"/>
    <w:basedOn w:val="701"/>
    <w:uiPriority w:val="1"/>
    <w:qFormat/>
  </w:style>
  <w:style w:type="paragraph" w:styleId="939"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0"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character" w:styleId="941" w:customStyle="1">
    <w:name w:val="批注文字 字符"/>
    <w:basedOn w:val="711"/>
    <w:link w:val="717"/>
    <w:uiPriority w:val="99"/>
    <w:qFormat/>
    <w:rPr>
      <w:rFonts w:asciiTheme="minorHAnsi" w:hAnsiTheme="minorHAnsi" w:eastAsiaTheme="minorEastAsia" w:cstheme="minorBidi"/>
      <w:sz w:val="21"/>
      <w:szCs w:val="24"/>
    </w:rPr>
  </w:style>
  <w:style w:type="character" w:styleId="942" w:customStyle="1">
    <w:name w:val="批注主题 字符"/>
    <w:basedOn w:val="941"/>
    <w:link w:val="739"/>
    <w:uiPriority w:val="99"/>
    <w:semiHidden/>
    <w:qFormat/>
    <w:rPr>
      <w:rFonts w:asciiTheme="minorHAnsi" w:hAnsiTheme="minorHAnsi" w:eastAsiaTheme="minorEastAsia" w:cstheme="minorBidi"/>
      <w:b/>
      <w:bCs/>
      <w:sz w:val="21"/>
      <w:szCs w:val="24"/>
    </w:rPr>
  </w:style>
  <w:style w:type="paragraph" w:styleId="943" w:customStyle="1">
    <w:name w:val="正文文本1"/>
    <w:basedOn w:val="944"/>
    <w:next w:val="701"/>
    <w:uiPriority w:val="0"/>
    <w:qFormat/>
    <w:pPr>
      <w:spacing w:after="120"/>
    </w:pPr>
    <w:rPr>
      <w:sz w:val="28"/>
    </w:rPr>
  </w:style>
  <w:style w:type="paragraph" w:styleId="944" w:customStyle="1">
    <w:name w:val="正文1"/>
    <w:next w:val="943"/>
    <w:uiPriority w:val="0"/>
    <w:qFormat/>
    <w:pPr>
      <w:jc w:val="both"/>
      <w:widowControl w:val="off"/>
    </w:pPr>
    <w:rPr>
      <w:rFonts w:hint="default" w:ascii="Calibri" w:hAnsi="Calibri" w:eastAsia="宋体" w:cs="Times New Roman"/>
      <w:sz w:val="21"/>
      <w:szCs w:val="22"/>
      <w:lang w:val="en-US" w:eastAsia="zh-CN" w:bidi="ar-SA"/>
    </w:rPr>
  </w:style>
  <w:style w:type="character" w:styleId="945" w:customStyle="1">
    <w:name w:val="22 C"/>
    <w:uiPriority w:val="0"/>
    <w:qFormat/>
    <w:rPr>
      <w:rFonts w:ascii="Arial" w:hAnsi="Arial" w:eastAsia="黑体"/>
      <w:b/>
      <w:color w:val="000000"/>
      <w:sz w:val="30"/>
      <w:lang w:val="en-US" w:eastAsia="zh-CN"/>
    </w:rPr>
  </w:style>
  <w:style w:type="table" w:styleId="946" w:customStyle="1">
    <w:name w:val="Table Normal"/>
    <w:uiPriority w:val="0"/>
    <w:qFormat/>
    <w:tblPr>
      <w:tblCellMar>
        <w:left w:w="0" w:type="dxa"/>
        <w:top w:w="0" w:type="dxa"/>
        <w:right w:w="0" w:type="dxa"/>
        <w:bottom w:w="0" w:type="dxa"/>
      </w:tblCellMar>
    </w:tblPr>
  </w:style>
  <w:style w:type="character" w:styleId="947" w:customStyle="1">
    <w:name w:val="style4"/>
    <w:uiPriority w:val="0"/>
    <w:qFormat/>
  </w:style>
  <w:style w:type="paragraph" w:styleId="948" w:customStyle="1">
    <w:name w:val="Table Text"/>
    <w:basedOn w:val="701"/>
    <w:uiPriority w:val="0"/>
    <w:semiHidden/>
    <w:qFormat/>
    <w:rPr>
      <w:rFonts w:ascii="宋体" w:hAnsi="宋体" w:eastAsia="宋体" w:cs="宋体"/>
      <w:szCs w:val="21"/>
      <w:lang w:eastAsia="en-US"/>
    </w:rPr>
  </w:style>
  <w:style w:type="character" w:styleId="949" w:customStyle="1">
    <w:name w:val="页脚 字符"/>
    <w:basedOn w:val="711"/>
    <w:link w:val="726"/>
    <w:uiPriority w:val="99"/>
    <w:qFormat/>
    <w:rPr>
      <w:rFonts w:asciiTheme="minorHAnsi" w:hAnsiTheme="minorHAnsi" w:eastAsiaTheme="minorEastAsia" w:cstheme="minorBidi"/>
      <w:sz w:val="18"/>
      <w:szCs w:val="24"/>
    </w:rPr>
  </w:style>
  <w:style w:type="paragraph" w:styleId="950" w:customStyle="1">
    <w:name w:val="☆ 正文"/>
    <w:basedOn w:val="701"/>
    <w:uiPriority w:val="0"/>
    <w:qFormat/>
    <w:rPr>
      <w:rFonts w:eastAsia="宋体" w:cs="Times New Roman"/>
      <w:szCs w:val="22"/>
    </w:rPr>
  </w:style>
  <w:style w:type="paragraph" w:styleId="951" w:customStyle="1">
    <w:name w:val="普通正文"/>
    <w:basedOn w:val="701"/>
    <w:uiPriority w:val="0"/>
    <w:qFormat/>
    <w:pPr>
      <w:ind w:firstLine="480"/>
      <w:jc w:val="left"/>
      <w:spacing w:before="120" w:after="120" w:line="360" w:lineRule="auto"/>
    </w:pPr>
    <w:rPr>
      <w:rFonts w:ascii="Arial" w:hAnsi="Arial" w:eastAsia="宋体" w:cs="Times New Roman"/>
      <w:sz w:val="24"/>
    </w:rPr>
  </w:style>
  <w:style w:type="paragraph" w:styleId="952" w:customStyle="1">
    <w:name w:val="msonormal"/>
    <w:basedOn w:val="701"/>
    <w:uiPriority w:val="0"/>
    <w:qFormat/>
    <w:pPr>
      <w:jc w:val="left"/>
      <w:spacing w:before="100" w:beforeAutospacing="1" w:after="100" w:afterAutospacing="1"/>
      <w:widowControl/>
    </w:pPr>
    <w:rPr>
      <w:rFonts w:ascii="宋体" w:hAnsi="宋体" w:eastAsia="宋体" w:cs="宋体"/>
      <w:sz w:val="24"/>
    </w:rPr>
  </w:style>
  <w:style w:type="paragraph" w:styleId="953" w:customStyle="1">
    <w:name w:val="font5"/>
    <w:basedOn w:val="701"/>
    <w:uiPriority w:val="0"/>
    <w:qFormat/>
    <w:pPr>
      <w:jc w:val="left"/>
      <w:spacing w:before="100" w:beforeAutospacing="1" w:after="100" w:afterAutospacing="1"/>
      <w:widowControl/>
    </w:pPr>
    <w:rPr>
      <w:rFonts w:ascii="等线" w:hAnsi="等线" w:eastAsia="等线" w:cs="宋体"/>
      <w:sz w:val="18"/>
      <w:szCs w:val="18"/>
    </w:rPr>
  </w:style>
  <w:style w:type="paragraph" w:styleId="954" w:customStyle="1">
    <w:name w:val="font6"/>
    <w:basedOn w:val="701"/>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955" w:customStyle="1">
    <w:name w:val="font7"/>
    <w:basedOn w:val="701"/>
    <w:uiPriority w:val="0"/>
    <w:qFormat/>
    <w:pPr>
      <w:jc w:val="left"/>
      <w:spacing w:before="100" w:beforeAutospacing="1" w:after="100" w:afterAutospacing="1"/>
      <w:widowControl/>
    </w:pPr>
    <w:rPr>
      <w:rFonts w:ascii="宋体" w:hAnsi="宋体" w:eastAsia="宋体" w:cs="宋体"/>
      <w:color w:val="000000"/>
      <w:sz w:val="22"/>
      <w:szCs w:val="22"/>
      <w:u w:val="single"/>
    </w:rPr>
  </w:style>
  <w:style w:type="paragraph" w:styleId="956" w:customStyle="1">
    <w:name w:val="xl64"/>
    <w:basedOn w:val="701"/>
    <w:uiPriority w:val="0"/>
    <w:qFormat/>
    <w:pPr>
      <w:jc w:val="center"/>
      <w:spacing w:before="100" w:beforeAutospacing="1" w:after="100" w:afterAutospacing="1"/>
      <w:shd w:val="clear" w:color="000000" w:fill="ffffff"/>
      <w:widowControl/>
      <w:pBdr>
        <w:top w:val="single" w:color="000000" w:sz="8" w:space="0"/>
        <w:right w:val="single" w:color="000000" w:sz="8" w:space="0"/>
      </w:pBdr>
    </w:pPr>
    <w:rPr>
      <w:rFonts w:ascii="宋体" w:hAnsi="宋体" w:eastAsia="宋体" w:cs="宋体"/>
      <w:b/>
      <w:bCs/>
      <w:color w:val="0000ff"/>
      <w:sz w:val="24"/>
    </w:rPr>
  </w:style>
  <w:style w:type="paragraph" w:styleId="957" w:customStyle="1">
    <w:name w:val="xl65"/>
    <w:basedOn w:val="701"/>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b/>
      <w:bCs/>
      <w:color w:val="0000ff"/>
      <w:sz w:val="24"/>
    </w:rPr>
  </w:style>
  <w:style w:type="paragraph" w:styleId="958" w:customStyle="1">
    <w:name w:val="xl66"/>
    <w:basedOn w:val="701"/>
    <w:uiPriority w:val="0"/>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59" w:customStyle="1">
    <w:name w:val="xl67"/>
    <w:basedOn w:val="701"/>
    <w:uiPriority w:val="0"/>
    <w:qFormat/>
    <w:pPr>
      <w:jc w:val="center"/>
      <w:spacing w:before="100" w:beforeAutospacing="1" w:after="100" w:afterAutospacing="1"/>
      <w:shd w:val="clear" w:color="000000" w:fill="ffffff"/>
      <w:widowControl/>
      <w:pBdr>
        <w:right w:val="single" w:color="000000" w:sz="8" w:space="0"/>
      </w:pBdr>
    </w:pPr>
    <w:rPr>
      <w:rFonts w:ascii="宋体" w:hAnsi="宋体" w:eastAsia="宋体" w:cs="宋体"/>
      <w:color w:val="000000"/>
      <w:sz w:val="24"/>
    </w:rPr>
  </w:style>
  <w:style w:type="paragraph" w:styleId="960" w:customStyle="1">
    <w:name w:val="xl68"/>
    <w:basedOn w:val="701"/>
    <w:uiPriority w:val="0"/>
    <w:qFormat/>
    <w:pP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61" w:customStyle="1">
    <w:name w:val="xl69"/>
    <w:basedOn w:val="701"/>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62" w:customStyle="1">
    <w:name w:val="xl70"/>
    <w:basedOn w:val="701"/>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63" w:customStyle="1">
    <w:name w:val="xl71"/>
    <w:basedOn w:val="701"/>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宋体" w:hAnsi="宋体" w:eastAsia="宋体" w:cs="宋体"/>
      <w:color w:val="000000"/>
      <w:sz w:val="24"/>
    </w:rPr>
  </w:style>
  <w:style w:type="paragraph" w:styleId="964" w:customStyle="1">
    <w:name w:val="xl72"/>
    <w:basedOn w:val="701"/>
    <w:uiPriority w:val="0"/>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65" w:customStyle="1">
    <w:name w:val="xl73"/>
    <w:basedOn w:val="701"/>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66" w:customStyle="1">
    <w:name w:val="xl74"/>
    <w:basedOn w:val="701"/>
    <w:uiPriority w:val="0"/>
    <w:qFormat/>
    <w:pP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67" w:customStyle="1">
    <w:name w:val="xl75"/>
    <w:basedOn w:val="701"/>
    <w:uiPriority w:val="0"/>
    <w:qFormat/>
    <w:pPr>
      <w:jc w:val="center"/>
      <w:spacing w:before="100" w:beforeAutospacing="1" w:after="100" w:afterAutospacing="1"/>
      <w:shd w:val="clear" w:color="000000" w:fill="ffffff"/>
      <w:widowControl/>
      <w:pBdr>
        <w:right w:val="single" w:color="000000" w:sz="8" w:space="0"/>
      </w:pBdr>
    </w:pPr>
    <w:rPr>
      <w:rFonts w:ascii="宋体" w:hAnsi="宋体" w:eastAsia="宋体" w:cs="宋体"/>
      <w:b/>
      <w:bCs/>
      <w:color w:val="000000"/>
      <w:sz w:val="24"/>
    </w:rPr>
  </w:style>
  <w:style w:type="paragraph" w:styleId="968" w:customStyle="1">
    <w:name w:val="xl76"/>
    <w:basedOn w:val="701"/>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b/>
      <w:bCs/>
      <w:color w:val="000000"/>
      <w:sz w:val="24"/>
    </w:rPr>
  </w:style>
  <w:style w:type="paragraph" w:styleId="969" w:customStyle="1">
    <w:name w:val="xl77"/>
    <w:basedOn w:val="701"/>
    <w:uiPriority w:val="0"/>
    <w:qFormat/>
    <w:pPr>
      <w:spacing w:before="100" w:beforeAutospacing="1" w:after="100" w:afterAutospacing="1"/>
      <w:widowControl/>
      <w:pBdr>
        <w:bottom w:val="single" w:color="000000" w:sz="8" w:space="0"/>
        <w:right w:val="single" w:color="000000" w:sz="8" w:space="0"/>
      </w:pBdr>
    </w:pPr>
    <w:rPr>
      <w:rFonts w:ascii="宋体" w:hAnsi="宋体" w:eastAsia="宋体" w:cs="宋体"/>
      <w:color w:val="000000"/>
      <w:sz w:val="24"/>
    </w:rPr>
  </w:style>
  <w:style w:type="paragraph" w:styleId="970" w:customStyle="1">
    <w:name w:val="xl78"/>
    <w:basedOn w:val="701"/>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00"/>
      <w:sz w:val="24"/>
    </w:rPr>
  </w:style>
  <w:style w:type="paragraph" w:styleId="971" w:customStyle="1">
    <w:name w:val="xl79"/>
    <w:basedOn w:val="701"/>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72" w:customStyle="1">
    <w:name w:val="xl80"/>
    <w:basedOn w:val="701"/>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00"/>
      <w:sz w:val="20"/>
      <w:szCs w:val="20"/>
    </w:rPr>
  </w:style>
  <w:style w:type="paragraph" w:styleId="973" w:customStyle="1">
    <w:name w:val="xl81"/>
    <w:basedOn w:val="701"/>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00"/>
      <w:sz w:val="20"/>
      <w:szCs w:val="20"/>
    </w:rPr>
  </w:style>
  <w:style w:type="paragraph" w:styleId="974" w:customStyle="1">
    <w:name w:val="xl82"/>
    <w:basedOn w:val="701"/>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ff"/>
      <w:sz w:val="24"/>
    </w:rPr>
  </w:style>
  <w:style w:type="paragraph" w:styleId="975" w:customStyle="1">
    <w:name w:val="xl83"/>
    <w:basedOn w:val="701"/>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ff"/>
      <w:sz w:val="24"/>
    </w:rPr>
  </w:style>
  <w:style w:type="paragraph" w:styleId="976" w:customStyle="1">
    <w:name w:val="xl84"/>
    <w:basedOn w:val="701"/>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77" w:customStyle="1">
    <w:name w:val="xl85"/>
    <w:basedOn w:val="701"/>
    <w:uiPriority w:val="0"/>
    <w:qFormat/>
    <w:pPr>
      <w:jc w:val="left"/>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78" w:customStyle="1">
    <w:name w:val="xl86"/>
    <w:basedOn w:val="701"/>
    <w:uiPriority w:val="0"/>
    <w:qFormat/>
    <w:pPr>
      <w:jc w:val="left"/>
      <w:spacing w:before="100" w:beforeAutospacing="1" w:after="100" w:afterAutospacing="1"/>
      <w:shd w:val="clear" w:color="000000" w:fill="ffffff"/>
      <w:widowControl/>
      <w:pBdr>
        <w:left w:val="single" w:color="000000" w:sz="8" w:space="0"/>
        <w:right w:val="single" w:color="000000" w:sz="8" w:space="0"/>
      </w:pBdr>
    </w:pPr>
    <w:rPr>
      <w:rFonts w:ascii="宋体" w:hAnsi="宋体" w:eastAsia="宋体" w:cs="宋体"/>
      <w:color w:val="000000"/>
      <w:sz w:val="24"/>
    </w:rPr>
  </w:style>
  <w:style w:type="paragraph" w:styleId="979" w:customStyle="1">
    <w:name w:val="xl87"/>
    <w:basedOn w:val="701"/>
    <w:uiPriority w:val="0"/>
    <w:qFormat/>
    <w:pPr>
      <w:jc w:val="left"/>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80" w:customStyle="1">
    <w:name w:val="xl88"/>
    <w:basedOn w:val="701"/>
    <w:uiPriority w:val="0"/>
    <w:qFormat/>
    <w:pP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81" w:customStyle="1">
    <w:name w:val="xl89"/>
    <w:basedOn w:val="701"/>
    <w:uiPriority w:val="0"/>
    <w:qFormat/>
    <w:pP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82" w:customStyle="1">
    <w:name w:val="xl90"/>
    <w:basedOn w:val="701"/>
    <w:uiPriority w:val="0"/>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pBdr>
    </w:pPr>
    <w:rPr>
      <w:rFonts w:ascii="宋体" w:hAnsi="宋体" w:eastAsia="宋体" w:cs="宋体"/>
      <w:color w:val="000000"/>
      <w:sz w:val="24"/>
    </w:rPr>
  </w:style>
  <w:style w:type="paragraph" w:styleId="983" w:customStyle="1">
    <w:name w:val="xl91"/>
    <w:basedOn w:val="701"/>
    <w:uiPriority w:val="0"/>
    <w:qFormat/>
    <w:pPr>
      <w:jc w:val="center"/>
      <w:spacing w:before="100" w:beforeAutospacing="1" w:after="100" w:afterAutospacing="1"/>
      <w:shd w:val="clear" w:color="000000" w:fill="ffffff"/>
      <w:widowControl/>
      <w:pBdr>
        <w:top w:val="single" w:color="000000" w:sz="8" w:space="0"/>
        <w:bottom w:val="single" w:color="000000" w:sz="8" w:space="0"/>
      </w:pBdr>
    </w:pPr>
    <w:rPr>
      <w:rFonts w:ascii="宋体" w:hAnsi="宋体" w:eastAsia="宋体" w:cs="宋体"/>
      <w:color w:val="000000"/>
      <w:sz w:val="24"/>
    </w:rPr>
  </w:style>
  <w:style w:type="paragraph" w:styleId="984" w:customStyle="1">
    <w:name w:val="xl92"/>
    <w:basedOn w:val="701"/>
    <w:uiPriority w:val="0"/>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85" w:customStyle="1">
    <w:name w:val="xl93"/>
    <w:basedOn w:val="701"/>
    <w:uiPriority w:val="0"/>
    <w:qFormat/>
    <w:pPr>
      <w:jc w:val="left"/>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color w:val="000000"/>
      <w:sz w:val="24"/>
    </w:rPr>
  </w:style>
  <w:style w:type="paragraph" w:styleId="986" w:customStyle="1">
    <w:name w:val="xl94"/>
    <w:basedOn w:val="701"/>
    <w:uiPriority w:val="0"/>
    <w:qFormat/>
    <w:pPr>
      <w:jc w:val="left"/>
      <w:spacing w:before="100" w:beforeAutospacing="1" w:after="100" w:afterAutospacing="1"/>
      <w:widowControl/>
      <w:pBdr>
        <w:top w:val="single" w:color="000000" w:sz="8" w:space="0"/>
        <w:bottom w:val="single" w:color="000000" w:sz="8" w:space="0"/>
      </w:pBdr>
    </w:pPr>
    <w:rPr>
      <w:rFonts w:ascii="宋体" w:hAnsi="宋体" w:eastAsia="宋体" w:cs="宋体"/>
      <w:b/>
      <w:bCs/>
      <w:color w:val="000000"/>
      <w:sz w:val="24"/>
    </w:rPr>
  </w:style>
  <w:style w:type="paragraph" w:styleId="987" w:customStyle="1">
    <w:name w:val="xl95"/>
    <w:basedOn w:val="701"/>
    <w:uiPriority w:val="0"/>
    <w:qFormat/>
    <w:pPr>
      <w:jc w:val="left"/>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88" w:customStyle="1">
    <w:name w:val="xl96"/>
    <w:basedOn w:val="701"/>
    <w:uiPriority w:val="0"/>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color w:val="000000"/>
      <w:sz w:val="24"/>
    </w:rPr>
  </w:style>
  <w:style w:type="paragraph" w:styleId="989" w:customStyle="1">
    <w:name w:val="xl97"/>
    <w:basedOn w:val="701"/>
    <w:uiPriority w:val="0"/>
    <w:qFormat/>
    <w:pPr>
      <w:spacing w:before="100" w:beforeAutospacing="1" w:after="100" w:afterAutospacing="1"/>
      <w:widowControl/>
      <w:pBdr>
        <w:top w:val="single" w:color="000000" w:sz="8" w:space="0"/>
        <w:bottom w:val="single" w:color="000000" w:sz="8" w:space="0"/>
      </w:pBdr>
    </w:pPr>
    <w:rPr>
      <w:rFonts w:ascii="宋体" w:hAnsi="宋体" w:eastAsia="宋体" w:cs="宋体"/>
      <w:b/>
      <w:bCs/>
      <w:color w:val="000000"/>
      <w:sz w:val="24"/>
    </w:rPr>
  </w:style>
  <w:style w:type="paragraph" w:styleId="990" w:customStyle="1">
    <w:name w:val="xl98"/>
    <w:basedOn w:val="701"/>
    <w:uiPriority w:val="0"/>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91" w:customStyle="1">
    <w:name w:val="xl99"/>
    <w:basedOn w:val="701"/>
    <w:uiPriority w:val="0"/>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color w:val="000000"/>
      <w:sz w:val="24"/>
    </w:rPr>
  </w:style>
  <w:style w:type="paragraph" w:styleId="992" w:customStyle="1">
    <w:name w:val="xl100"/>
    <w:basedOn w:val="701"/>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93" w:customStyle="1">
    <w:name w:val="xl101"/>
    <w:basedOn w:val="701"/>
    <w:uiPriority w:val="0"/>
    <w:qFormat/>
    <w:pPr>
      <w:jc w:val="left"/>
      <w:spacing w:before="100" w:beforeAutospacing="1" w:after="100" w:afterAutospacing="1"/>
      <w:shd w:val="clear" w:color="000000" w:fill="ffffff"/>
      <w:widowControl/>
      <w:pBdr>
        <w:top w:val="single" w:color="000000" w:sz="8" w:space="0"/>
        <w:left w:val="single" w:color="000000" w:sz="8" w:space="0"/>
        <w:bottom w:val="single" w:color="000000" w:sz="8" w:space="0"/>
      </w:pBdr>
    </w:pPr>
    <w:rPr>
      <w:rFonts w:ascii="宋体" w:hAnsi="宋体" w:eastAsia="宋体" w:cs="宋体"/>
      <w:b/>
      <w:bCs/>
      <w:color w:val="0000ff"/>
      <w:sz w:val="24"/>
    </w:rPr>
  </w:style>
  <w:style w:type="paragraph" w:styleId="994" w:customStyle="1">
    <w:name w:val="xl102"/>
    <w:basedOn w:val="701"/>
    <w:uiPriority w:val="0"/>
    <w:qFormat/>
    <w:pPr>
      <w:jc w:val="left"/>
      <w:spacing w:before="100" w:beforeAutospacing="1" w:after="100" w:afterAutospacing="1"/>
      <w:shd w:val="clear" w:color="000000" w:fill="ffffff"/>
      <w:widowControl/>
      <w:pBdr>
        <w:top w:val="single" w:color="000000" w:sz="8" w:space="0"/>
        <w:bottom w:val="single" w:color="000000" w:sz="8" w:space="0"/>
      </w:pBdr>
    </w:pPr>
    <w:rPr>
      <w:rFonts w:ascii="宋体" w:hAnsi="宋体" w:eastAsia="宋体" w:cs="宋体"/>
      <w:b/>
      <w:bCs/>
      <w:color w:val="0000ff"/>
      <w:sz w:val="24"/>
    </w:rPr>
  </w:style>
  <w:style w:type="paragraph" w:styleId="995" w:customStyle="1">
    <w:name w:val="xl103"/>
    <w:basedOn w:val="701"/>
    <w:uiPriority w:val="0"/>
    <w:qFormat/>
    <w:pPr>
      <w:jc w:val="left"/>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b/>
      <w:bCs/>
      <w:color w:val="0000ff"/>
      <w:sz w:val="24"/>
    </w:rPr>
  </w:style>
  <w:style w:type="paragraph" w:styleId="996" w:customStyle="1">
    <w:name w:val="xl104"/>
    <w:basedOn w:val="701"/>
    <w:uiPriority w:val="0"/>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sz w:val="24"/>
    </w:rPr>
  </w:style>
  <w:style w:type="paragraph" w:styleId="997" w:customStyle="1">
    <w:name w:val="xl105"/>
    <w:basedOn w:val="701"/>
    <w:uiPriority w:val="0"/>
    <w:qFormat/>
    <w:pPr>
      <w:spacing w:before="100" w:beforeAutospacing="1" w:after="100" w:afterAutospacing="1"/>
      <w:widowControl/>
      <w:pBdr>
        <w:top w:val="single" w:color="000000" w:sz="8" w:space="0"/>
        <w:bottom w:val="single" w:color="000000" w:sz="8" w:space="0"/>
      </w:pBdr>
    </w:pPr>
    <w:rPr>
      <w:rFonts w:ascii="宋体" w:hAnsi="宋体" w:eastAsia="宋体" w:cs="宋体"/>
      <w:sz w:val="24"/>
    </w:rPr>
  </w:style>
  <w:style w:type="paragraph" w:styleId="998" w:customStyle="1">
    <w:name w:val="xl106"/>
    <w:basedOn w:val="701"/>
    <w:uiPriority w:val="0"/>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sz w:val="24"/>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94E29BB-7456-4859-8914-38F36065C2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杨保兰</cp:lastModifiedBy>
  <cp:revision>19</cp:revision>
  <dcterms:created xsi:type="dcterms:W3CDTF">2026-04-14T06:23:00Z</dcterms:created>
  <dcterms:modified xsi:type="dcterms:W3CDTF">2026-05-29T05:44:41Z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33512B909F49483CBC1218771D573B88</vt:lpwstr>
  </property>
  <property fmtid="{D5CDD505-2E9C-101B-9397-08002B2CF9AE}" pid="4" name="KSOTemplateDocerSaveRecord">
    <vt:lpwstr>eyJoZGlkIjoiMzE4Y2ZkMzUwODQ3ZWEyOGU1YWMxYjg4ZTQ0Mjg0YWUiLCJ1c2VySWQiOiIyMzUxNTc5NjkifQ==</vt:lpwstr>
  </property>
</Properties>
</file>