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62"/>
        <w:ind w:firstLine="0"/>
        <w:jc w:val="center"/>
        <w:widowControl w:val="off"/>
        <w:rPr>
          <w:rFonts w:hint="eastAsia" w:hAnsi="宋体" w:cs="宋体"/>
          <w:color w:val="auto"/>
          <w:sz w:val="32"/>
          <w:szCs w:val="32"/>
          <w:highlight w:val="none"/>
        </w:rPr>
      </w:pPr>
      <w:r>
        <w:rPr>
          <w:rFonts w:hint="eastAsia" w:hAnsi="宋体" w:cs="宋体"/>
          <w:color w:val="auto"/>
          <w:sz w:val="32"/>
          <w:szCs w:val="32"/>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采购项目编号：JSZC-321200-JTTZ-C2026-0009</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采购项目名称：泰州市人民医院三维后装机采购项目</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 购 单 位：泰州市人民医院</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采购代理机构：江苏建泰工程项目管理有限公司</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6</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59"/>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42"/>
        <w:keepNext w:val="0"/>
        <w:rPr>
          <w:rFonts w:hint="eastAsia" w:ascii="宋体" w:hAnsi="宋体" w:eastAsia="宋体" w:cs="宋体"/>
          <w:color w:val="auto"/>
          <w:sz w:val="32"/>
          <w:szCs w:val="32"/>
          <w:highlight w:val="none"/>
        </w:rPr>
        <w:sectPr>
          <w:footerReference w:type="default" r:id="rId8"/>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42"/>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spacing w:line="520" w:lineRule="exact"/>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28359012"/>
      <w:r/>
      <w:bookmarkStart w:id="7" w:name="_Toc28359089"/>
      <w:r/>
      <w:bookmarkStart w:id="8" w:name="_Toc35393629"/>
      <w:r/>
      <w:bookmarkStart w:id="9" w:name="_Toc35393798"/>
      <w:r>
        <w:rPr>
          <w:rFonts w:hint="eastAsia" w:ascii="宋体" w:hAnsi="宋体" w:cs="宋体"/>
          <w:b/>
          <w:bCs/>
          <w:color w:val="auto"/>
          <w:szCs w:val="21"/>
          <w:highlight w:val="none"/>
        </w:rPr>
        <w:t xml:space="preserve">项目概况</w:t>
      </w:r>
      <w:r/>
    </w:p>
    <w:p>
      <w:pPr>
        <w:ind w:firstLine="420"/>
        <w:spacing w:line="520" w:lineRule="exact"/>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rPr>
        <w:t xml:space="preserve">泰州市人民医院三维后装机采购项目 </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自行免费下载磋商文件，并于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项目编号：JSZC-321200-JTTZ-C2026-0009</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项目名称：泰州市人民医院三维后装机采购项目</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w:t>
      </w:r>
      <w:r/>
    </w:p>
    <w:p>
      <w:pPr>
        <w:ind w:firstLine="420"/>
        <w:spacing w:line="52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万元，响应报价不得超过采购项目最高限价金额，否则按无效响应处理</w:t>
      </w:r>
      <w:r>
        <w:rPr>
          <w:rFonts w:hint="eastAsia" w:ascii="宋体" w:hAnsi="宋体" w:cs="宋体"/>
          <w:color w:val="auto"/>
          <w:szCs w:val="21"/>
          <w:highlight w:val="none"/>
          <w:lang w:eastAsia="zh-CN"/>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三维后装机</w:t>
      </w:r>
      <w:r>
        <w:rPr>
          <w:rFonts w:hint="eastAsia" w:ascii="宋体" w:hAnsi="宋体" w:cs="宋体"/>
          <w:color w:val="auto"/>
          <w:szCs w:val="21"/>
          <w:highlight w:val="none"/>
          <w:lang w:val="en-US" w:eastAsia="zh-CN"/>
        </w:rPr>
        <w:t xml:space="preserve">1台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配置要求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主机及配套放疗计划系统、多类型施源器、剂量仪及患者转运装置等。具体要求详见第四章项目需求。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合同履行期限：合同签署后，30日内完成供货和安装。</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spacing w:line="520" w:lineRule="exact"/>
        <w:rPr>
          <w:rFonts w:hint="eastAsia" w:ascii="宋体" w:hAnsi="宋体" w:cs="宋体"/>
          <w:b/>
          <w:color w:val="auto"/>
          <w:szCs w:val="21"/>
          <w:highlight w:val="none"/>
        </w:rPr>
      </w:pPr>
      <w:r/>
      <w:bookmarkStart w:id="10" w:name="_Toc28359013"/>
      <w:r/>
      <w:bookmarkStart w:id="11" w:name="_Toc35393799"/>
      <w:r/>
      <w:bookmarkStart w:id="12" w:name="_Toc35393630"/>
      <w:r/>
      <w:bookmarkStart w:id="13" w:name="_Toc28359090"/>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spacing w:line="520" w:lineRule="exact"/>
        <w:rPr>
          <w:rFonts w:hint="eastAsia" w:ascii="宋体" w:hAnsi="宋体" w:cs="宋体"/>
          <w:color w:val="auto"/>
          <w:szCs w:val="21"/>
          <w:highlight w:val="none"/>
        </w:rPr>
      </w:pPr>
      <w:r/>
      <w:bookmarkStart w:id="14" w:name="_Toc28359091"/>
      <w:r/>
      <w:bookmarkStart w:id="15" w:name="_Toc35393800"/>
      <w:r/>
      <w:bookmarkStart w:id="16" w:name="_Toc35393631"/>
      <w:r/>
      <w:bookmarkStart w:id="17" w:name="_Toc28359014"/>
      <w:r>
        <w:rPr>
          <w:rFonts w:hint="eastAsia" w:ascii="宋体" w:hAnsi="宋体" w:cs="宋体"/>
          <w:color w:val="auto"/>
          <w:szCs w:val="21"/>
          <w:highlight w:val="none"/>
        </w:rPr>
        <w:t xml:space="preserve">（一）满足《中华人民共和国政府采购法》第二十二条规定：</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本项目不专门面向中小微企业、监狱企业、残疾人福利性单位，对符合条件的小型和微型企业、残疾人福利单位、监狱企业给予10%的扣除价格，用扣除后的价格参与评审。</w:t>
      </w:r>
      <w:r/>
    </w:p>
    <w:p>
      <w:pPr>
        <w:ind w:firstLine="420"/>
        <w:spacing w:line="5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rPr>
          <w:rFonts w:hint="eastAsia"/>
          <w:color w:val="auto"/>
          <w:highlight w:val="none"/>
        </w:rPr>
        <w:t xml:space="preserve">中华人民共和国实行安装安全认可</w:t>
      </w:r>
      <w:r>
        <w:rPr>
          <w:rFonts w:hint="eastAsia"/>
          <w:strike w:val="0"/>
          <w:color w:val="auto"/>
          <w:highlight w:val="none"/>
        </w:rPr>
        <w:t xml:space="preserve">证</w:t>
      </w:r>
      <w:r>
        <w:rPr>
          <w:rFonts w:hint="eastAsia"/>
          <w:color w:val="auto"/>
          <w:highlight w:val="none"/>
        </w:rPr>
        <w:t xml:space="preserve">，制造、经营许可，强制性认证、准入证制度的产品、行业，必要时提供中华人民共和国有关部门颁发的资质证明文件（如医疗器械经营许可证、产品注册证等）</w:t>
      </w:r>
      <w:r>
        <w:rPr>
          <w:rFonts w:hint="eastAsia" w:ascii="宋体" w:hAnsi="宋体" w:cs="宋体"/>
          <w:color w:val="auto"/>
          <w:szCs w:val="21"/>
          <w:highlight w:val="none"/>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2.供应商单位负责人为同一人或者存在直接控股、管理关系的不同供应商，不得参加同一合同项下的采购活动。</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28359092"/>
      <w:r/>
      <w:bookmarkStart w:id="19" w:name="_Toc35393801"/>
      <w:r/>
      <w:bookmarkStart w:id="20" w:name="_Toc35393632"/>
      <w:r/>
      <w:bookmarkStart w:id="21" w:name="_Toc28359015"/>
      <w:r>
        <w:rPr>
          <w:rFonts w:hint="eastAsia" w:ascii="宋体" w:hAnsi="宋体" w:cs="宋体"/>
          <w:color w:val="auto"/>
          <w:szCs w:val="21"/>
          <w:highlight w:val="none"/>
          <w:lang w:val="en-US" w:eastAsia="zh-CN"/>
        </w:rPr>
        <w:t xml:space="preserve">2026年6月17日0:00至2026年6月25日0:00</w:t>
      </w:r>
      <w:r>
        <w:rPr>
          <w:rFonts w:hint="eastAsia" w:ascii="宋体" w:hAnsi="宋体" w:cs="宋体"/>
          <w:color w:val="auto"/>
          <w:szCs w:val="21"/>
          <w:highlight w:val="none"/>
        </w:rPr>
        <w:t xml:space="preserve">；</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spacing w:line="5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8"/>
      <w:r/>
      <w:bookmarkStart w:id="23" w:name="OLE_LINK37"/>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spacing w:line="520" w:lineRule="exact"/>
        <w:rPr>
          <w:rFonts w:hint="eastAsia" w:ascii="宋体" w:hAnsi="宋体" w:cs="宋体"/>
          <w:b/>
          <w:color w:val="auto"/>
          <w:szCs w:val="21"/>
          <w:highlight w:val="none"/>
        </w:rPr>
      </w:pPr>
      <w:r/>
      <w:bookmarkStart w:id="24" w:name="_Toc35393802"/>
      <w:r/>
      <w:bookmarkStart w:id="25" w:name="_Toc28359016"/>
      <w:r/>
      <w:bookmarkStart w:id="26" w:name="_Toc35393633"/>
      <w:r/>
      <w:bookmarkStart w:id="27" w:name="_Toc28359093"/>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spacing w:line="520" w:lineRule="exact"/>
        <w:rPr>
          <w:rFonts w:hint="eastAsia" w:ascii="宋体" w:hAnsi="宋体" w:cs="宋体"/>
          <w:b/>
          <w:color w:val="auto"/>
          <w:szCs w:val="21"/>
          <w:highlight w:val="none"/>
        </w:rPr>
      </w:pPr>
      <w:r/>
      <w:bookmarkStart w:id="28" w:name="_Toc35393634"/>
      <w:r/>
      <w:bookmarkStart w:id="29" w:name="_Toc28359017"/>
      <w:r/>
      <w:bookmarkStart w:id="30" w:name="_Toc28359094"/>
      <w:r/>
      <w:bookmarkStart w:id="31" w:name="_Toc35393803"/>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520" w:lineRule="exact"/>
        <w:rPr>
          <w:rFonts w:hint="eastAsia" w:ascii="宋体" w:hAnsi="宋体" w:cs="宋体"/>
          <w:b/>
          <w:color w:val="auto"/>
          <w:szCs w:val="21"/>
          <w:highlight w:val="none"/>
        </w:rPr>
      </w:pPr>
      <w:r/>
      <w:bookmarkStart w:id="32" w:name="_Toc35393635"/>
      <w:r/>
      <w:bookmarkStart w:id="33" w:name="_Toc35393804"/>
      <w:r>
        <w:rPr>
          <w:rFonts w:hint="eastAsia" w:ascii="宋体" w:hAnsi="宋体" w:cs="宋体"/>
          <w:b/>
          <w:color w:val="auto"/>
          <w:szCs w:val="21"/>
          <w:highlight w:val="none"/>
        </w:rPr>
        <w:t xml:space="preserve">七、其他补充事宜</w:t>
      </w:r>
      <w:bookmarkEnd w:id="32"/>
      <w:r/>
      <w:bookmarkEnd w:id="33"/>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2.有关本次招标的事项若存在变动或修改，敬请及时关注“江苏政府采购网”发布的更正公告。</w:t>
      </w:r>
      <w:r/>
    </w:p>
    <w:p>
      <w:pPr>
        <w:ind w:firstLine="422"/>
        <w:spacing w:line="520" w:lineRule="exact"/>
        <w:rPr>
          <w:rFonts w:hint="eastAsia" w:ascii="宋体" w:hAnsi="宋体" w:cs="宋体"/>
          <w:b/>
          <w:color w:val="auto"/>
          <w:szCs w:val="21"/>
          <w:highlight w:val="none"/>
        </w:rPr>
      </w:pPr>
      <w:r/>
      <w:bookmarkStart w:id="34" w:name="_Toc35393636"/>
      <w:r/>
      <w:bookmarkStart w:id="35" w:name="_Toc35393805"/>
      <w:r/>
      <w:bookmarkStart w:id="36" w:name="_Toc28359018"/>
      <w:r/>
      <w:bookmarkStart w:id="37" w:name="_Toc28359095"/>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1.采购单位：泰州市人民医院</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地址：泰州市医药高新区太湖路366号</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联系电话：0523-89890040</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2.代理机构：江苏建泰工程项目管理有限公司</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地址：泰州市海陵区华润万象城双子塔东塔52楼5203室</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联系人：周女士</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8" w:name="_Toc28359098"/>
      <w:r/>
      <w:bookmarkStart w:id="39" w:name="_Toc28359021"/>
      <w:r/>
      <w:bookmarkStart w:id="40" w:name="_Toc35393639"/>
      <w:r/>
      <w:bookmarkStart w:id="41" w:name="_Toc35393808"/>
      <w:r>
        <w:rPr>
          <w:rFonts w:hint="eastAsia" w:ascii="宋体" w:hAnsi="宋体" w:cs="宋体"/>
          <w:color w:val="auto"/>
          <w:szCs w:val="21"/>
          <w:highlight w:val="none"/>
        </w:rPr>
        <w:t xml:space="preserve">0523-81908859</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项目联系人：周女士</w:t>
      </w:r>
      <w:r/>
    </w:p>
    <w:p>
      <w:pPr>
        <w:ind w:firstLine="420"/>
        <w:spacing w:line="520" w:lineRule="exact"/>
        <w:rPr>
          <w:rFonts w:hint="eastAsia" w:ascii="宋体" w:hAnsi="宋体" w:cs="宋体"/>
          <w:color w:val="auto"/>
          <w:highlight w:val="none"/>
        </w:rPr>
      </w:pPr>
      <w:r>
        <w:rPr>
          <w:rFonts w:hint="eastAsia" w:ascii="宋体" w:hAnsi="宋体" w:cs="宋体"/>
          <w:color w:val="auto"/>
          <w:szCs w:val="21"/>
          <w:highlight w:val="none"/>
        </w:rPr>
        <w:t xml:space="preserve">电话：0523-81908859</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r/>
      <w:bookmarkStart w:id="43" w:name="_Toc13715"/>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spacing w:line="400" w:lineRule="exact"/>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（参加竞争性磋商的供应商以下简称“磋商供应商”）</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本磋商文件仅适用于</w:t>
      </w:r>
      <w:r>
        <w:rPr>
          <w:rFonts w:hint="eastAsia" w:ascii="宋体" w:hAnsi="宋体" w:cs="宋体"/>
          <w:color w:val="auto"/>
          <w:szCs w:val="21"/>
          <w:highlight w:val="none"/>
        </w:rPr>
        <w:t xml:space="preserve">泰州市人民医院三维后装机采购项目</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3.合格的磋商供应商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3.1满足本磋商文件“竞争性磋商采购公告”中申请人的资格要求的规定。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3.2满足本磋商文件实质性要求和条件的规定。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4.1本项目招标代理费按照《关于印发&lt;江苏省政府采购代理服务收费指导意见&gt;的通知》（苏政采协〔2024〕20号）文件规定的收费标准的10%计取，由采购人支付。</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4.2参加磋商供应商应自行承担所有与参加磋商有关的费用。不论最终的成交结果如何，江苏建泰工程项目管理有限公司（以下简称代理机构）在任何情况下均无义务和责任承担这些费用。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5.磋商文件的约束力</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4" w:name="_Toc462564070"/>
      <w:r/>
      <w:bookmarkStart w:id="45" w:name="_Toc16938527"/>
      <w:r/>
      <w:bookmarkStart w:id="46" w:name="_Toc513029211"/>
      <w:r/>
      <w:bookmarkStart w:id="47" w:name="_Toc20823283"/>
      <w:r>
        <w:rPr>
          <w:rFonts w:hint="eastAsia" w:ascii="宋体" w:hAnsi="宋体" w:cs="宋体"/>
          <w:color w:val="auto"/>
          <w:highlight w:val="none"/>
        </w:rPr>
        <w:t xml:space="preserve">.磋商文件的澄清</w:t>
      </w:r>
      <w:bookmarkEnd w:id="44"/>
      <w:r/>
      <w:bookmarkEnd w:id="45"/>
      <w:r/>
      <w:bookmarkEnd w:id="46"/>
      <w:r/>
      <w:bookmarkEnd w:id="47"/>
      <w:r>
        <w:rPr>
          <w:rFonts w:hint="eastAsia" w:ascii="宋体" w:hAnsi="宋体" w:cs="宋体"/>
          <w:color w:val="auto"/>
          <w:highlight w:val="none"/>
        </w:rPr>
        <w:t xml:space="preserve">及修改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7.合同形式：固定</w:t>
      </w:r>
      <w:r>
        <w:rPr>
          <w:rFonts w:hint="eastAsia" w:ascii="宋体" w:hAnsi="宋体" w:cs="宋体"/>
          <w:color w:val="auto"/>
          <w:highlight w:val="none"/>
          <w:lang w:val="en-US" w:eastAsia="zh-CN"/>
        </w:rPr>
        <w:t xml:space="preserve">总</w:t>
      </w:r>
      <w:r>
        <w:rPr>
          <w:rFonts w:hint="eastAsia" w:ascii="宋体" w:hAnsi="宋体" w:cs="宋体"/>
          <w:color w:val="auto"/>
          <w:highlight w:val="none"/>
        </w:rPr>
        <w:t xml:space="preserve">价合同</w:t>
      </w:r>
      <w:r/>
    </w:p>
    <w:p>
      <w:pPr>
        <w:ind w:firstLine="422"/>
        <w:keepLines w:val="0"/>
        <w:keepNext w:val="0"/>
        <w:pageBreakBefore w:val="0"/>
        <w:spacing w:line="520" w:lineRule="exact"/>
        <w:widowControl w:val="off"/>
        <w:rPr>
          <w:rFonts w:hint="eastAsia" w:ascii="宋体" w:hAnsi="宋体" w:cs="宋体"/>
          <w:b/>
          <w:bCs/>
          <w:color w:val="auto"/>
          <w:highlight w:val="none"/>
        </w:rPr>
      </w:pPr>
      <w:r/>
      <w:bookmarkStart w:id="48" w:name="_Toc61149553"/>
      <w:r/>
      <w:bookmarkStart w:id="49" w:name="_Toc462564072"/>
      <w:r/>
      <w:bookmarkStart w:id="50" w:name="_Toc14577351"/>
      <w:r/>
      <w:bookmarkStart w:id="51" w:name="_Toc513029213"/>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52" w:name="_Hlt26954834"/>
      <w:r/>
      <w:bookmarkEnd w:id="52"/>
      <w:r/>
      <w:bookmarkStart w:id="53" w:name="_Toc14577353"/>
      <w:r/>
      <w:bookmarkStart w:id="54" w:name="_Toc462564074"/>
      <w:r/>
      <w:bookmarkStart w:id="55" w:name="_Toc61149555"/>
      <w:r/>
      <w:bookmarkStart w:id="56" w:name="_Toc513029215"/>
      <w:r/>
      <w:bookmarkStart w:id="57" w:name="_Toc462564073"/>
      <w:r/>
      <w:bookmarkStart w:id="58" w:name="_Toc61149554"/>
      <w:r/>
      <w:bookmarkStart w:id="59" w:name="_Toc513029214"/>
      <w:r/>
      <w:bookmarkStart w:id="60" w:name="_Toc14577352"/>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keepLines w:val="0"/>
        <w:keepNext w:val="0"/>
        <w:pageBreakBefore w:val="0"/>
        <w:spacing w:line="520" w:lineRule="exact"/>
        <w:widowControl w:val="off"/>
        <w:rPr>
          <w:rFonts w:hint="eastAsia" w:ascii="宋体" w:hAnsi="宋体" w:cs="宋体"/>
          <w:color w:val="auto"/>
          <w:highlight w:val="none"/>
        </w:rPr>
      </w:pPr>
      <w:r/>
      <w:bookmarkStart w:id="61" w:name="_Hlt26670357"/>
      <w:r/>
      <w:bookmarkEnd w:id="61"/>
      <w:r/>
      <w:bookmarkStart w:id="62" w:name="_Hlt26954836"/>
      <w:r/>
      <w:bookmarkEnd w:id="62"/>
      <w:r/>
      <w:bookmarkStart w:id="63" w:name="_Toc14577357"/>
      <w:r/>
      <w:bookmarkStart w:id="64" w:name="_Toc61149558"/>
      <w:r/>
      <w:bookmarkStart w:id="65" w:name="_Toc513029219"/>
      <w:r/>
      <w:bookmarkStart w:id="66" w:name="_Toc513029217"/>
      <w:r/>
      <w:bookmarkStart w:id="67" w:name="_Toc14577355"/>
      <w:r/>
      <w:bookmarkStart w:id="68" w:name="_Toc61149557"/>
      <w:r>
        <w:rPr>
          <w:rFonts w:hint="eastAsia" w:ascii="宋体" w:hAnsi="宋体" w:cs="宋体"/>
          <w:color w:val="auto"/>
          <w:highlight w:val="none"/>
        </w:rPr>
        <w:t xml:space="preserve">1.3响应文件构成</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（2）★磋商供应商法定代表人资格证明书</w:t>
      </w:r>
      <w:bookmarkStart w:id="69" w:name="OLE_LINK57"/>
      <w:r/>
      <w:bookmarkStart w:id="70" w:name="OLE_LINK56"/>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（3）★磋商供应商法定代表人授权委托书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（7）★供应商近六个月中任意一个月份（不含磋商当月）的依法缴纳社会保障资金的相关材料（提供相关主管部门证明或银行代扣证明）；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（10）★磋商供应商应提供《中小企业声明函》或《残疾人福利性单位声明函》或省级以上监狱管理局、戒毒管理局（含新疆生产建设兵团）出具的属于监狱企业的证明文件；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52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★磋商供应商应提供《关于符合本国产品标准的声明函》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（3）★首轮响应报价明细表</w:t>
      </w:r>
      <w:r>
        <w:rPr>
          <w:rFonts w:hint="eastAsia" w:ascii="宋体" w:hAnsi="宋体" w:cs="宋体"/>
          <w:b/>
          <w:color w:val="auto"/>
          <w:highlight w:val="none"/>
        </w:rPr>
        <w:t xml:space="preserve">（格式见附件）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3"/>
      <w:r/>
      <w:bookmarkEnd w:id="64"/>
      <w:r/>
      <w:bookmarkEnd w:id="65"/>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1.3.3如标书制作工具中的格式和内容与“江苏政府采购网”发布的磋商文件不一致，请以“江苏政府采购网”发布的磋商文件为准。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本次采购磋商供应商的总报价应包括为完成本项目发生的所有费用，本磋商文件中另有规定的除外。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磋商文件未列明，而磋商供应商认为必需的费用也须列入报价。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2.4 报价采用的货币及方式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响应文件中的单价和总价，无特殊规定的采用人民币报价，以元为单位标注。磋商文件中另有规定的按规定执行。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 磋商响应报价表上的价格应按磋商文件规定填写。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磋商供应商报价超过最高限价的，作为无效标处理。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73" w:name="_Hlt26670425"/>
      <w:r/>
      <w:bookmarkEnd w:id="73"/>
      <w:r/>
      <w:bookmarkStart w:id="74" w:name="_Hlt26954842"/>
      <w:r/>
      <w:bookmarkEnd w:id="74"/>
      <w:r/>
      <w:bookmarkStart w:id="75" w:name="_Hlt26668983"/>
      <w:r/>
      <w:bookmarkEnd w:id="75"/>
      <w:r/>
      <w:bookmarkStart w:id="76" w:name="_Hlt26670486"/>
      <w:r/>
      <w:bookmarkEnd w:id="76"/>
      <w:r/>
      <w:bookmarkStart w:id="77" w:name="_Hlt26670403"/>
      <w:r/>
      <w:bookmarkEnd w:id="77"/>
      <w:r/>
      <w:bookmarkStart w:id="78" w:name="_Hlt26954848"/>
      <w:r/>
      <w:bookmarkEnd w:id="78"/>
      <w:r/>
      <w:bookmarkStart w:id="79" w:name="_Hlt26954852"/>
      <w:r/>
      <w:bookmarkEnd w:id="79"/>
      <w:r/>
      <w:bookmarkStart w:id="80" w:name="_Hlt26670493"/>
      <w:r/>
      <w:bookmarkEnd w:id="80"/>
      <w:r/>
      <w:bookmarkStart w:id="81" w:name="_Hlt26670489"/>
      <w:r/>
      <w:bookmarkEnd w:id="81"/>
      <w:r/>
      <w:bookmarkStart w:id="82" w:name="_Hlt26954846"/>
      <w:r/>
      <w:bookmarkEnd w:id="82"/>
      <w:r/>
      <w:bookmarkStart w:id="83" w:name="_Hlt26670482"/>
      <w:r/>
      <w:bookmarkEnd w:id="83"/>
      <w:r/>
      <w:bookmarkStart w:id="84" w:name="_Hlt26954850"/>
      <w:r/>
      <w:bookmarkEnd w:id="84"/>
      <w:r/>
      <w:bookmarkStart w:id="85" w:name="_Hlt26954749"/>
      <w:r/>
      <w:bookmarkEnd w:id="85"/>
      <w:r/>
      <w:bookmarkStart w:id="86" w:name="_Hlt26954844"/>
      <w:r/>
      <w:bookmarkEnd w:id="86"/>
      <w:r/>
      <w:bookmarkStart w:id="87" w:name="_Hlt26954734"/>
      <w:r/>
      <w:bookmarkEnd w:id="87"/>
      <w:r/>
      <w:bookmarkStart w:id="88" w:name="_Hlt26954854"/>
      <w:r/>
      <w:bookmarkEnd w:id="88"/>
      <w:r/>
      <w:bookmarkStart w:id="89" w:name="_Hlt26954739"/>
      <w:r/>
      <w:bookmarkEnd w:id="89"/>
      <w:r/>
      <w:bookmarkStart w:id="90" w:name="_Hlt26954731"/>
      <w:r/>
      <w:bookmarkEnd w:id="90"/>
      <w:r/>
      <w:bookmarkStart w:id="91" w:name="_Toc61149562"/>
      <w:r/>
      <w:bookmarkStart w:id="92" w:name="_Toc14577362"/>
      <w:r/>
      <w:bookmarkStart w:id="93" w:name="_Toc513029224"/>
      <w:r>
        <w:rPr>
          <w:rFonts w:hint="eastAsia" w:ascii="宋体" w:hAnsi="宋体" w:cs="宋体"/>
          <w:color w:val="auto"/>
          <w:highlight w:val="none"/>
        </w:rPr>
        <w:t xml:space="preserve">3.磋商保证金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依据《关于做好政府采购支持企业发展有关事项的通知》（苏财购〔2020〕52号）文件规定精神，本项目免收磋商保证金。磋商文件中有关磋商保证金的条款均取消。</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keepLines w:val="0"/>
        <w:keepNext w:val="0"/>
        <w:pageBreakBefore w:val="0"/>
        <w:spacing w:line="520" w:lineRule="exact"/>
        <w:widowControl w:val="off"/>
        <w:rPr>
          <w:rFonts w:hint="eastAsia" w:ascii="宋体" w:hAnsi="宋体" w:cs="宋体"/>
          <w:color w:val="auto"/>
          <w:highlight w:val="none"/>
        </w:rPr>
      </w:pPr>
      <w:r/>
      <w:bookmarkStart w:id="94" w:name="_Hlt26954856"/>
      <w:r/>
      <w:bookmarkEnd w:id="94"/>
      <w:r/>
      <w:bookmarkStart w:id="95" w:name="_Toc61149563"/>
      <w:r/>
      <w:bookmarkStart w:id="96" w:name="_Toc462564084"/>
      <w:r/>
      <w:bookmarkStart w:id="97" w:name="_Toc14577363"/>
      <w:r/>
      <w:bookmarkStart w:id="98" w:name="_Toc513029225"/>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电子磋商响应文件的递交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2.1供应商上传电子响应文件的时间不得迟于磋商公告中规定的提交响应文件截止时间。</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520" w:lineRule="exact"/>
        <w:widowControl w:val="off"/>
        <w:rPr>
          <w:rFonts w:hint="eastAsia" w:ascii="宋体" w:hAnsi="宋体" w:cs="宋体"/>
          <w:color w:val="auto"/>
          <w:highlight w:val="none"/>
        </w:rPr>
      </w:pPr>
      <w:r/>
      <w:bookmarkStart w:id="99" w:name="_Hlt26670496"/>
      <w:r/>
      <w:bookmarkEnd w:id="99"/>
      <w:r/>
      <w:bookmarkStart w:id="100" w:name="_Hlt26954752"/>
      <w:r/>
      <w:bookmarkEnd w:id="100"/>
      <w:r/>
      <w:bookmarkStart w:id="101" w:name="_Hlt26954858"/>
      <w:r/>
      <w:bookmarkEnd w:id="101"/>
      <w:r/>
      <w:bookmarkStart w:id="102" w:name="_Toc61149564"/>
      <w:r/>
      <w:bookmarkStart w:id="103" w:name="_Toc513029226"/>
      <w:r/>
      <w:bookmarkStart w:id="104" w:name="_Toc14577364"/>
      <w:r>
        <w:rPr>
          <w:rFonts w:hint="eastAsia" w:ascii="宋体" w:hAnsi="宋体" w:cs="宋体"/>
          <w:color w:val="auto"/>
          <w:highlight w:val="none"/>
        </w:rPr>
        <w:t xml:space="preserve">3.响应文件的拒收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3.1采购人拒绝接收在其规定的提交响应文件截止时间后上传的任何电子响应文件。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4.4在提交响应文件截止时间至磋商文件中规定的磋商有效期满之间的这段时间内，供应商不得撤回其响应文件。</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1.1供应商应当按照《操作手册》规定，在苏采云系统规定的时间内对磋商响应文件进行解密。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5.3未实质性响应磋商文件的情形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5.3.2供应商未按照磋商文件要求上传电子响应文件的；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5.3.4供应商不具备磋商文件中规定的资格要求的；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5.3.6不符合磋商文件中规定的实质性要求和条件的；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5.3.10响应文件未按照磋商文件要求加盖CA电子公章的；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5.4未实质性响应磋商文件的响应文件按无效响应处理。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5.6供应商在项目评审全过程中应保持通讯畅通，并安排专人与采购代理机构及磋商小组联系。</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6.2.2评审标准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详见本磋商文件第五章规定。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6.3.3除本磋商文件第二章第6.1.2条第三款规定的情形外，在采购过程中符合要求的供应商或者最后报价未超过采购预算的供应商不足3家的。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1.3.5不满足本磋商文件规定的实质性要求，但在评审过程中又未被磋商小组发现的。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1.3.6成交后无正当理由拒不与采购人签订政府采购合同或者未按照磋商文件确定的事项签订政府采购合同的。</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2.3质疑函必须按照本磋商文件中《质疑函范本》要求的格式和内容进行填写。</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采购人质疑接收人及联系方式见本磋商文件第一章。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keepLines w:val="0"/>
        <w:keepNext w:val="0"/>
        <w:pageBreakBefore w:val="0"/>
        <w:spacing w:line="520" w:lineRule="exact"/>
        <w:widowControl w:val="off"/>
        <w:rPr>
          <w:rFonts w:hint="eastAsia" w:ascii="宋体" w:hAnsi="宋体" w:cs="宋体"/>
          <w:b/>
          <w:bCs/>
          <w:color w:val="auto"/>
          <w:highlight w:val="none"/>
        </w:rPr>
      </w:pPr>
      <w:r/>
      <w:bookmarkStart w:id="105" w:name="_Toc513029237"/>
      <w:r/>
      <w:bookmarkStart w:id="106" w:name="_Toc20823309"/>
      <w:r/>
      <w:bookmarkStart w:id="107" w:name="_Toc16938553"/>
      <w:r>
        <w:rPr>
          <w:rFonts w:hint="eastAsia" w:ascii="宋体" w:hAnsi="宋体" w:cs="宋体"/>
          <w:b/>
          <w:bCs/>
          <w:color w:val="auto"/>
          <w:highlight w:val="none"/>
        </w:rPr>
        <w:t xml:space="preserve">六、签订、履行合同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1.履约保证金：</w:t>
      </w:r>
      <w:bookmarkStart w:id="108" w:name="OLE_LINK67"/>
      <w:r/>
      <w:bookmarkStart w:id="109" w:name="OLE_LINK69"/>
      <w:r/>
      <w:bookmarkStart w:id="110" w:name="OLE_LINK68"/>
      <w:r>
        <w:rPr>
          <w:rFonts w:hint="eastAsia" w:ascii="宋体" w:hAnsi="宋体" w:cs="宋体"/>
          <w:color w:val="auto"/>
          <w:highlight w:val="none"/>
        </w:rPr>
        <w:t xml:space="preserve">成交单位在合同签订前向采购人缴纳（成交价的10%）履约保证金，</w:t>
      </w:r>
      <w:bookmarkEnd w:id="108"/>
      <w:r/>
      <w:bookmarkEnd w:id="109"/>
      <w:r/>
      <w:bookmarkEnd w:id="110"/>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2.l成交供应商应当在成交通知书发出之日起30日内，按照磋商文件确定的事项与采购人签订政府采购合同。</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2.2磋商文件、成交供应商的响应文件及磋商过程中有关澄清、承诺文件均应作为合同附件。</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5"/>
      <w:r/>
      <w:bookmarkEnd w:id="106"/>
      <w:r/>
      <w:bookmarkEnd w:id="107"/>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（1）本项目对小型和微型企业产品给予10%的扣除价格，用扣除后的价格参与评审。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2.残疾人福利性单位价格扣除政策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（1）本项目对残疾人福利性单位视同小型、微型企业，给予10%的价格扣除，用扣除后的价格参与评审。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（2）残疾人福利性单位需按照采购文件的要求提供《残疾人福利性单位声明函》。</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（3）残疾人福利性单位标准参照《关于促进残疾人就业政府采购政策的通知》（财库〔2017〕141号）。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（3）监狱企业标准参照《关于政府采购支持监狱企业发展有关问题的通知》（财库〔2014〕68号）。</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4.残疾人福利性单位、监狱企业属于小型、微型企业的，不重复享受政策。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8.未按要求提供相关材料的，不享受相关政策。</w:t>
      </w:r>
      <w:r/>
    </w:p>
    <w:p>
      <w:pPr>
        <w:ind w:firstLine="422"/>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520" w:lineRule="exact"/>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520" w:lineRule="exact"/>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2"/>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943"/>
        <w:rPr>
          <w:rFonts w:hint="eastAsia" w:ascii="宋体" w:hAnsi="宋体" w:eastAsia="宋体" w:cs="宋体"/>
          <w:b w:val="0"/>
          <w:bCs/>
          <w:color w:val="auto"/>
          <w:sz w:val="21"/>
          <w:szCs w:val="21"/>
          <w:highlight w:val="none"/>
        </w:rPr>
      </w:pPr>
      <w:r/>
      <w:bookmarkStart w:id="111" w:name="_Toc518041191"/>
      <w:r/>
      <w:bookmarkStart w:id="112" w:name="_Toc434410155"/>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111"/>
      <w:r/>
      <w:bookmarkEnd w:id="112"/>
      <w:r/>
      <w:r/>
    </w:p>
    <w:p>
      <w:pPr>
        <w:jc w:val="center"/>
        <w:keepLines w:val="0"/>
        <w:keepNext w:val="0"/>
        <w:pageBreakBefore w:val="0"/>
        <w:spacing w:line="360" w:lineRule="auto"/>
        <w:widowControl/>
        <w:rPr>
          <w:rFonts w:hint="eastAsia" w:cs="Arial"/>
          <w:b/>
          <w:color w:val="auto"/>
          <w:sz w:val="36"/>
          <w:szCs w:val="36"/>
          <w:highlight w:val="none"/>
          <w:vertAlign w:val="superscript"/>
        </w:rPr>
        <w:suppressLineNumbers w:val="0"/>
      </w:pPr>
      <w:r/>
      <w:bookmarkStart w:id="113" w:name="hetongStart"/>
      <w:r/>
      <w:bookmarkEnd w:id="113"/>
      <w:r>
        <w:rPr>
          <w:rFonts w:hint="eastAsia" w:ascii="黑体" w:hAnsi="Times New Roman" w:eastAsia="黑体" w:cs="Times New Roman"/>
          <w:b/>
          <w:color w:val="auto"/>
          <w:sz w:val="30"/>
          <w:szCs w:val="30"/>
          <w:highlight w:val="none"/>
          <w:lang w:val="en-US" w:eastAsia="zh-CN"/>
        </w:rPr>
        <w:t xml:space="preserve">XX</w:t>
      </w:r>
      <w:r>
        <w:rPr>
          <w:rFonts w:hint="eastAsia" w:ascii="黑体" w:hAnsi="Times New Roman" w:eastAsia="黑体" w:cs="Times New Roman"/>
          <w:b/>
          <w:color w:val="auto"/>
          <w:sz w:val="30"/>
          <w:szCs w:val="30"/>
          <w:highlight w:val="none"/>
        </w:rPr>
        <w:t xml:space="preserve">采购合</w:t>
      </w:r>
      <w:r>
        <w:rPr>
          <w:rFonts w:hint="eastAsia" w:ascii="黑体" w:eastAsia="黑体"/>
          <w:b/>
          <w:color w:val="auto"/>
          <w:sz w:val="30"/>
          <w:szCs w:val="30"/>
          <w:highlight w:val="none"/>
        </w:rPr>
        <w:t xml:space="preserve">同</w:t>
      </w:r>
      <w:r/>
    </w:p>
    <w:p>
      <w:pPr>
        <w:ind w:left="0"/>
        <w:jc w:val="both"/>
        <w:keepLines w:val="0"/>
        <w:keepNext w:val="0"/>
        <w:pageBreakBefore w:val="0"/>
        <w:spacing w:line="5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乙方：</w:t>
      </w:r>
      <w:r>
        <w:rPr>
          <w:rFonts w:hint="eastAsia"/>
          <w:b/>
          <w:color w:val="auto"/>
          <w:sz w:val="21"/>
          <w:highlight w:val="none"/>
          <w:lang w:val="en-US" w:eastAsia="zh-CN"/>
        </w:rPr>
        <w:t xml:space="preserve">XX有限公司</w:t>
      </w:r>
      <w:r/>
    </w:p>
    <w:p>
      <w:pPr>
        <w:ind w:left="0"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经甲、乙双方友好协商，就乙方销售给甲方设备，双方达成如下协议：</w:t>
      </w:r>
      <w:r/>
    </w:p>
    <w:p>
      <w:pPr>
        <w:numPr>
          <w:ilvl w:val="0"/>
          <w:numId w:val="0"/>
        </w:numPr>
        <w:ind w:left="0"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rPr>
        <w:t xml:space="preserve">合同主要信息</w:t>
      </w:r>
      <w:r/>
    </w:p>
    <w:tbl>
      <w:tblPr>
        <w:tblStyle w:val="766"/>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val="en-US" w:eastAsia="zh-CN"/>
              </w:rPr>
              <w:t xml:space="preserve">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合同签订后付合同价的30%，</w:t>
            </w:r>
            <w:r>
              <w:rPr>
                <w:rFonts w:hint="eastAsia" w:ascii="宋体" w:hAnsi="宋体" w:eastAsia="宋体" w:cs="宋体"/>
                <w:color w:val="auto"/>
                <w:sz w:val="21"/>
                <w:szCs w:val="21"/>
                <w:highlight w:val="none"/>
              </w:rPr>
              <w:t xml:space="preserve">货到，安装，验收合格后凭甲方出具的验收报告按甲方财务流程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p>
        </w:tc>
      </w:tr>
    </w:tbl>
    <w:p>
      <w:pPr>
        <w:pStyle w:val="993"/>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rPr>
        <w:t xml:space="preserve">发票与付款前提</w:t>
      </w:r>
      <w:r>
        <w:rPr>
          <w:rFonts w:hint="eastAsia" w:ascii="宋体" w:hAnsi="宋体" w:eastAsia="宋体" w:cs="宋体"/>
          <w:color w:val="auto"/>
          <w:sz w:val="21"/>
          <w:szCs w:val="21"/>
          <w:highlight w:val="none"/>
        </w:rPr>
        <w:t xml:space="preserve">：乙方应在设备验收合格后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、交货期及交货地点：合同</w:t>
      </w:r>
      <w:r>
        <w:rPr>
          <w:rFonts w:hint="eastAsia" w:ascii="宋体" w:hAnsi="宋体" w:eastAsia="宋体" w:cs="宋体"/>
          <w:color w:val="auto"/>
          <w:sz w:val="21"/>
          <w:szCs w:val="21"/>
          <w:highlight w:val="none"/>
          <w:lang w:eastAsia="zh-CN"/>
        </w:rPr>
        <w:t xml:space="preserve">签订之日起</w:t>
      </w:r>
      <w:r>
        <w:rPr>
          <w:rFonts w:hint="eastAsia" w:ascii="宋体" w:hAnsi="宋体" w:eastAsia="宋体" w:cs="宋体"/>
          <w:color w:val="auto"/>
          <w:sz w:val="21"/>
          <w:szCs w:val="21"/>
          <w:highlight w:val="none"/>
          <w:lang w:val="en-US" w:eastAsia="zh-CN"/>
        </w:rPr>
        <w:t xml:space="preserve">30天之</w:t>
      </w:r>
      <w:r>
        <w:rPr>
          <w:rFonts w:hint="eastAsia" w:ascii="宋体" w:hAnsi="宋体" w:eastAsia="宋体" w:cs="宋体"/>
          <w:color w:val="auto"/>
          <w:sz w:val="21"/>
          <w:szCs w:val="21"/>
          <w:highlight w:val="none"/>
        </w:rPr>
        <w:t xml:space="preserve">内货物运抵甲方指定</w:t>
      </w:r>
      <w:r>
        <w:rPr>
          <w:rFonts w:hint="eastAsia" w:ascii="宋体" w:hAnsi="宋体" w:cs="宋体"/>
          <w:color w:val="auto"/>
          <w:sz w:val="21"/>
          <w:szCs w:val="21"/>
          <w:highlight w:val="none"/>
          <w:lang w:val="en-US" w:eastAsia="zh-CN"/>
        </w:rPr>
        <w:t xml:space="preserve">的医院机房</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、乙方保证所供设备全新、型号最新、最近</w:t>
      </w:r>
      <w:r>
        <w:rPr>
          <w:rFonts w:hint="eastAsia"/>
          <w:b/>
          <w:bCs/>
          <w:color w:val="auto"/>
          <w:sz w:val="21"/>
          <w:highlight w:val="none"/>
          <w:u w:val="single"/>
          <w:lang w:val="en-US" w:eastAsia="zh-CN"/>
        </w:rPr>
        <w:t xml:space="preserve">陆个月</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生产、保持完好的原包装，系新机，不可为翻新机，符合国家</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、根据国家规定，对需要提供3C认证证书和标记的设备及有关配置，乙方应当及时提供。</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、乙方所供设备经验收不合格，根据甲方的要求，乙方必须无条件换货或退货，由此引起的一切损失由乙方承担。</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七</w:t>
      </w:r>
      <w:r>
        <w:rPr>
          <w:rFonts w:hint="eastAsia" w:ascii="宋体" w:hAnsi="宋体" w:eastAsia="宋体" w:cs="宋体"/>
          <w:color w:val="auto"/>
          <w:sz w:val="21"/>
          <w:szCs w:val="21"/>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特别条款一：</w:t>
      </w:r>
      <w:r>
        <w:rPr>
          <w:rFonts w:hint="eastAsia" w:ascii="宋体" w:hAnsi="宋体" w:eastAsia="宋体" w:cs="宋体"/>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 xml:space="preserve">提供合法票据（</w:t>
      </w:r>
      <w:r>
        <w:rPr>
          <w:rFonts w:hint="eastAsia" w:ascii="宋体" w:hAnsi="宋体" w:eastAsia="宋体" w:cs="宋体"/>
          <w:color w:val="auto"/>
          <w:sz w:val="21"/>
          <w:szCs w:val="21"/>
          <w:highlight w:val="none"/>
          <w:lang w:val="en-US" w:eastAsia="zh-CN"/>
        </w:rPr>
        <w:t xml:space="preserve">必须是国税部门认可的票据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1"/>
          <w:szCs w:val="21"/>
          <w:highlight w:val="none"/>
        </w:rPr>
        <w:t xml:space="preserve">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r/>
    </w:p>
    <w:p>
      <w:pPr>
        <w:ind w:left="0" w:firstLine="422"/>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特别条款二：</w:t>
      </w:r>
      <w:r>
        <w:rPr>
          <w:rFonts w:hint="eastAsia" w:ascii="宋体" w:hAnsi="宋体" w:eastAsia="宋体" w:cs="宋体"/>
          <w:color w:val="auto"/>
          <w:sz w:val="21"/>
          <w:szCs w:val="21"/>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en-US" w:eastAsia="zh-CN"/>
        </w:rPr>
        <w:t xml:space="preserve">服务条款：</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rPr>
        <w:t xml:space="preserve">免费提前为甲方提供设备安装图纸，</w:t>
      </w:r>
      <w:r>
        <w:rPr>
          <w:rFonts w:hint="eastAsia" w:ascii="宋体" w:hAnsi="宋体" w:eastAsia="宋体" w:cs="宋体"/>
          <w:b w:val="0"/>
          <w:bCs/>
          <w:color w:val="auto"/>
          <w:sz w:val="21"/>
          <w:szCs w:val="21"/>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乙方如逾期交付货物，则按每逾期一天，乙方向甲方支付货款总额5‰的滞纳金；如乙方逾期交货达10天，甲方有权解除合同。</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设备安装、调试结束后，甲方对设备进行</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验收（时间由甲、乙双方另行商定），乙方免费派工程师</w:t>
      </w:r>
      <w:r>
        <w:rPr>
          <w:rFonts w:hint="eastAsia" w:ascii="宋体" w:hAnsi="宋体" w:eastAsia="宋体" w:cs="宋体"/>
          <w:color w:val="auto"/>
          <w:sz w:val="21"/>
          <w:szCs w:val="21"/>
          <w:highlight w:val="none"/>
          <w:lang w:eastAsia="zh-CN"/>
        </w:rPr>
        <w:t xml:space="preserve">到</w:t>
      </w:r>
      <w:r>
        <w:rPr>
          <w:rFonts w:hint="eastAsia" w:ascii="宋体" w:hAnsi="宋体" w:eastAsia="宋体" w:cs="宋体"/>
          <w:color w:val="auto"/>
          <w:sz w:val="21"/>
          <w:szCs w:val="21"/>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自甲方验收合格之日起算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上述设备</w:t>
      </w:r>
      <w:r>
        <w:rPr>
          <w:rFonts w:hint="eastAsia" w:ascii="宋体" w:hAnsi="宋体" w:eastAsia="宋体" w:cs="宋体"/>
          <w:b/>
          <w:bCs/>
          <w:color w:val="auto"/>
          <w:sz w:val="21"/>
          <w:szCs w:val="21"/>
          <w:highlight w:val="none"/>
          <w:u w:val="single"/>
          <w:lang w:val="en-US" w:eastAsia="zh-CN"/>
        </w:rPr>
        <w:t xml:space="preserve">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原厂免费</w:t>
      </w:r>
      <w:r>
        <w:rPr>
          <w:rFonts w:hint="eastAsia" w:ascii="宋体" w:hAnsi="宋体" w:eastAsia="宋体" w:cs="宋体"/>
          <w:color w:val="auto"/>
          <w:sz w:val="21"/>
          <w:szCs w:val="21"/>
          <w:highlight w:val="none"/>
          <w:lang w:val="en-US" w:eastAsia="zh-CN"/>
        </w:rPr>
        <w:t xml:space="preserve">整</w:t>
      </w:r>
      <w:r>
        <w:rPr>
          <w:rFonts w:hint="eastAsia" w:ascii="宋体" w:hAnsi="宋体" w:eastAsia="宋体" w:cs="宋体"/>
          <w:color w:val="auto"/>
          <w:sz w:val="21"/>
          <w:szCs w:val="21"/>
          <w:highlight w:val="none"/>
        </w:rPr>
        <w:t xml:space="preserve">机</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w:t>
      </w:r>
      <w:r>
        <w:rPr>
          <w:rFonts w:hint="eastAsia" w:ascii="宋体" w:hAnsi="宋体" w:eastAsia="宋体" w:cs="宋体"/>
          <w:color w:val="auto"/>
          <w:sz w:val="21"/>
          <w:szCs w:val="21"/>
          <w:highlight w:val="none"/>
          <w:lang w:eastAsia="zh-CN"/>
        </w:rPr>
        <w:t xml:space="preserve">范围</w:t>
      </w:r>
      <w:r>
        <w:rPr>
          <w:rFonts w:hint="eastAsia" w:ascii="宋体" w:hAnsi="宋体" w:eastAsia="宋体" w:cs="宋体"/>
          <w:color w:val="auto"/>
          <w:sz w:val="21"/>
          <w:szCs w:val="21"/>
          <w:highlight w:val="none"/>
        </w:rPr>
        <w:t xml:space="preserve">为全保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以上材料乙方提供由原厂出具的售后服务承诺函</w:t>
      </w:r>
      <w:r>
        <w:rPr>
          <w:rFonts w:hint="eastAsia" w:ascii="宋体" w:hAnsi="宋体" w:eastAsia="宋体" w:cs="宋体"/>
          <w:color w:val="auto"/>
          <w:sz w:val="21"/>
          <w:szCs w:val="21"/>
          <w:highlight w:val="none"/>
        </w:rPr>
        <w:t xml:space="preserve">。保修期满后，乙方对本设备终身负责维修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但只收配件费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免收人工费。</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应当提供</w:t>
      </w:r>
      <w:r>
        <w:rPr>
          <w:rFonts w:hint="eastAsia" w:ascii="宋体" w:hAnsi="宋体" w:eastAsia="宋体" w:cs="宋体"/>
          <w:color w:val="auto"/>
          <w:sz w:val="21"/>
          <w:szCs w:val="21"/>
          <w:highlight w:val="none"/>
          <w:lang w:eastAsia="zh-CN"/>
        </w:rPr>
        <w:t xml:space="preserve">该设备的</w:t>
      </w:r>
      <w:r>
        <w:rPr>
          <w:rFonts w:hint="eastAsia" w:ascii="宋体" w:hAnsi="宋体" w:eastAsia="宋体" w:cs="宋体"/>
          <w:color w:val="auto"/>
          <w:sz w:val="21"/>
          <w:szCs w:val="21"/>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 xml:space="preserve">。</w:t>
      </w:r>
      <w:r>
        <w:rPr>
          <w:rFonts w:hint="eastAsia" w:ascii="宋体" w:hAnsi="宋体" w:eastAsia="宋体" w:cs="宋体"/>
          <w:color w:val="auto"/>
          <w:sz w:val="21"/>
          <w:szCs w:val="21"/>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乙方免费提供全套技术资料（维修说明书包括详细电路图、操作说明书及光盘），如技术资料不全，甲方有权不支付货款。</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 xml:space="preserve">（塑胶封好，挂在设备上）</w:t>
      </w:r>
      <w:r>
        <w:rPr>
          <w:rFonts w:hint="eastAsia" w:ascii="宋体" w:hAnsi="宋体" w:eastAsia="宋体" w:cs="宋体"/>
          <w:color w:val="auto"/>
          <w:sz w:val="21"/>
          <w:szCs w:val="21"/>
          <w:highlight w:val="none"/>
        </w:rPr>
        <w:t xml:space="preserve">，解答甲方人员提出的问题。②正规培训班培训：详见乙方的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文件及承诺书。</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如乙方提供的设备设有维修软件密码，乙方保证无条件地为甲方永久免费打开。</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乙方提供的设备</w:t>
      </w:r>
      <w:r>
        <w:rPr>
          <w:rFonts w:hint="eastAsia" w:ascii="宋体" w:hAnsi="宋体" w:eastAsia="宋体" w:cs="宋体"/>
          <w:color w:val="auto"/>
          <w:sz w:val="21"/>
          <w:szCs w:val="21"/>
          <w:highlight w:val="none"/>
          <w:lang w:eastAsia="zh-CN"/>
        </w:rPr>
        <w:t xml:space="preserve">系统工作站应可以接入医院</w:t>
      </w:r>
      <w:r>
        <w:rPr>
          <w:rFonts w:hint="eastAsia" w:ascii="宋体" w:hAnsi="宋体" w:eastAsia="宋体" w:cs="宋体"/>
          <w:color w:val="auto"/>
          <w:sz w:val="21"/>
          <w:szCs w:val="21"/>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十、</w:t>
      </w:r>
      <w:r>
        <w:rPr>
          <w:rFonts w:hint="eastAsia" w:ascii="宋体" w:hAnsi="宋体" w:eastAsia="宋体" w:cs="宋体"/>
          <w:color w:val="auto"/>
          <w:sz w:val="21"/>
          <w:szCs w:val="21"/>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十一、</w:t>
      </w:r>
      <w:r>
        <w:rPr>
          <w:rFonts w:hint="eastAsia" w:ascii="宋体" w:hAnsi="宋体" w:eastAsia="宋体" w:cs="宋体"/>
          <w:color w:val="auto"/>
          <w:sz w:val="21"/>
          <w:szCs w:val="21"/>
          <w:highlight w:val="none"/>
          <w:lang w:val="en-US" w:eastAsia="zh-CN"/>
        </w:rPr>
        <w:t xml:space="preserve">本合同除签字盖章部分，均为打印文本，凡添加手写内容一律无效，合同自双方签字并盖章后生效。</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协议》作为本合同的附件，具备同等的法律效力，双方需严格遵守《医疗设备采购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w:t>
      </w:r>
      <w:r/>
    </w:p>
    <w:p>
      <w:pPr>
        <w:ind w:left="0" w:firstLine="420"/>
        <w:jc w:val="both"/>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11"/>
        <w:keepLines w:val="0"/>
        <w:keepNext w:val="0"/>
        <w:pageBreakBefore w:val="0"/>
        <w:spacing w:line="520" w:lineRule="exact"/>
        <w:widowControl w:val="off"/>
        <w:rPr>
          <w:rFonts w:hint="eastAsia" w:hAnsi="宋体" w:cs="宋体"/>
          <w:b/>
          <w:color w:val="auto"/>
          <w:szCs w:val="21"/>
          <w:highlight w:val="none"/>
        </w:rPr>
        <w:outlineLvl w:val="9"/>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r/>
    </w:p>
    <w:p>
      <w:pPr>
        <w:ind w:firstLine="210"/>
        <w:keepLines w:val="0"/>
        <w:keepNext w:val="0"/>
        <w:pageBreakBefore w:val="0"/>
        <w:spacing w:line="520" w:lineRule="exact"/>
        <w:widowControl w:val="off"/>
        <w:rPr>
          <w:rFonts w:hint="eastAsia"/>
          <w:color w:val="auto"/>
          <w:highlight w:val="none"/>
        </w:rPr>
        <w:outlineLvl w:val="9"/>
      </w:pP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w:t>
      </w:r>
      <w:r/>
    </w:p>
    <w:p>
      <w:pPr>
        <w:keepLines w:val="0"/>
        <w:keepNext w:val="0"/>
        <w:pageBreakBefore w:val="0"/>
        <w:spacing w:line="520" w:lineRule="exact"/>
        <w:widowControl w:val="off"/>
        <w:rPr>
          <w:rFonts w:hint="eastAsia"/>
          <w:color w:val="auto"/>
          <w:highlight w:val="none"/>
        </w:rPr>
        <w:outlineLvl w:val="9"/>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 xml:space="preserve">业务代表签字：</w:t>
      </w:r>
      <w:r/>
    </w:p>
    <w:p>
      <w:pPr>
        <w:keepLines w:val="0"/>
        <w:keepNext w:val="0"/>
        <w:pageBreakBefore w:val="0"/>
        <w:spacing w:line="520" w:lineRule="exact"/>
        <w:widowControl w:val="off"/>
        <w:rPr>
          <w:rFonts w:hint="default" w:eastAsia="宋体"/>
          <w:color w:val="auto"/>
          <w:highlight w:val="none"/>
          <w:u w:val="single"/>
          <w:lang w:val="en-US" w:eastAsia="zh-CN"/>
        </w:rPr>
        <w:outlineLvl w:val="9"/>
      </w:pP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rPr>
        <w:t xml:space="preserve">  0523-</w:t>
      </w:r>
      <w:r>
        <w:rPr>
          <w:rFonts w:hint="eastAsia"/>
          <w:color w:val="auto"/>
          <w:highlight w:val="none"/>
          <w:u w:val="single"/>
          <w:lang w:val="en-US" w:eastAsia="zh-CN"/>
        </w:rPr>
        <w:t xml:space="preserve">89890057</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lang w:val="en-US" w:eastAsia="zh-CN"/>
        </w:rPr>
        <w:t xml:space="preserve">                  </w:t>
      </w:r>
      <w:r/>
    </w:p>
    <w:p>
      <w:pPr>
        <w:keepLines w:val="0"/>
        <w:keepNext w:val="0"/>
        <w:pageBreakBefore w:val="0"/>
        <w:spacing w:line="520" w:lineRule="exact"/>
        <w:widowControl w:val="off"/>
        <w:rPr>
          <w:rFonts w:hint="eastAsia"/>
          <w:b/>
          <w:bCs/>
          <w:color w:val="auto"/>
          <w:sz w:val="30"/>
          <w:szCs w:val="30"/>
          <w:highlight w:val="none"/>
          <w:lang w:eastAsia="zh-CN"/>
        </w:rPr>
        <w:outlineLvl w:val="9"/>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 xml:space="preserve">附件：</w:t>
      </w:r>
      <w:r/>
    </w:p>
    <w:p>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r/>
    </w:p>
    <w:tbl>
      <w:tblPr>
        <w:tblStyle w:val="98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w:t>
      </w:r>
      <w:r>
        <w:rPr>
          <w:rFonts w:hint="eastAsia" w:ascii="宋体" w:hAnsi="宋体" w:eastAsia="宋体" w:cs="宋体"/>
          <w:color w:val="auto"/>
          <w:sz w:val="21"/>
          <w:szCs w:val="21"/>
          <w:highlight w:val="none"/>
          <w:lang w:eastAsia="zh-CN"/>
        </w:rPr>
        <w:t xml:space="preserve">医疗设备</w:t>
      </w:r>
      <w:r>
        <w:rPr>
          <w:rFonts w:hint="eastAsia" w:ascii="宋体" w:hAnsi="宋体" w:eastAsia="宋体" w:cs="宋体"/>
          <w:color w:val="auto"/>
          <w:sz w:val="21"/>
          <w:szCs w:val="21"/>
          <w:highlight w:val="none"/>
        </w:rPr>
        <w:t xml:space="preserve">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 xml:space="preserve">以下协议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甲乙双方按照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及医药产品购销合同约定购销药品、医用设备、医用耗材等医药产品。</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甲方应当严格执行医药产品购销合同验收、入库制度，对采购医药产品及发票进行查验，不得违反有关规定合同外采购、违价采购或从非规定渠道采购。</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严禁甲方工作人员利用任何途径和方式，为乙方统计医师个人及临床科室有关医药产品用量信息，或为乙方统计提供便利。</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乙方不得以回扣、宴请等方式影响甲方工作人员采购或使用医药产品的选择权，不得在学术活动中提供旅游、超标准支付食宿费用。</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乙方指定</w:t>
      </w:r>
      <w:r>
        <w:rPr>
          <w:rFonts w:hint="eastAsia" w:ascii="宋体" w:hAnsi="宋体" w:eastAsia="宋体" w:cs="宋体"/>
          <w:color w:val="auto"/>
          <w:sz w:val="21"/>
          <w:szCs w:val="21"/>
          <w:highlight w:val="none"/>
          <w:lang w:eastAsia="zh-CN"/>
        </w:rPr>
        <w:t xml:space="preserve">业务代表</w:t>
      </w:r>
      <w:r>
        <w:rPr>
          <w:rFonts w:hint="eastAsia" w:ascii="宋体" w:hAnsi="宋体" w:eastAsia="宋体" w:cs="宋体"/>
          <w:color w:val="auto"/>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乙方如违反本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，一经发现，甲方有权终止</w:t>
      </w:r>
      <w:r>
        <w:rPr>
          <w:rFonts w:hint="eastAsia" w:ascii="宋体" w:hAnsi="宋体" w:cs="宋体"/>
          <w:color w:val="auto"/>
          <w:sz w:val="21"/>
          <w:szCs w:val="21"/>
          <w:highlight w:val="none"/>
          <w:lang w:val="en-US" w:eastAsia="zh-CN"/>
        </w:rPr>
        <w:t xml:space="preserve">购销</w:t>
      </w:r>
      <w:r>
        <w:rPr>
          <w:rFonts w:hint="eastAsia" w:ascii="宋体" w:hAnsi="宋体" w:eastAsia="宋体" w:cs="宋体"/>
          <w:color w:val="auto"/>
          <w:sz w:val="21"/>
          <w:szCs w:val="21"/>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作为</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合同的重要组成部分，与</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合同一并执行，具有同等的法律效力。</w:t>
      </w:r>
      <w:r/>
    </w:p>
    <w:p>
      <w:pPr>
        <w:ind w:firstLine="42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9.甲乙双方均需严格遵守以上协议</w:t>
      </w:r>
      <w:r>
        <w:rPr>
          <w:rFonts w:hint="eastAsia" w:ascii="宋体" w:hAnsi="宋体" w:eastAsia="宋体" w:cs="宋体"/>
          <w:color w:val="auto"/>
          <w:sz w:val="21"/>
          <w:szCs w:val="21"/>
          <w:highlight w:val="none"/>
        </w:rPr>
        <w:t xml:space="preserve">并从签订之日起生效。</w:t>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 xml:space="preserve">第四章  项目需求</w:t>
      </w:r>
      <w:bookmarkEnd w:id="114"/>
      <w:r/>
      <w:r/>
    </w:p>
    <w:p>
      <w:pPr>
        <w:pStyle w:val="973"/>
        <w:ind w:firstLine="420"/>
        <w:spacing w:line="520" w:lineRule="exact"/>
        <w:rPr>
          <w:rFonts w:hint="eastAsia" w:ascii="宋体" w:hAnsi="宋体" w:cs="宋体"/>
          <w:b/>
          <w:bCs/>
          <w:color w:val="auto"/>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b/>
          <w:bCs/>
          <w:color w:val="auto"/>
          <w:highlight w:val="none"/>
        </w:rPr>
        <w:t xml:space="preserve">一、配置需求</w:t>
      </w:r>
      <w:r/>
    </w:p>
    <w:tbl>
      <w:tblPr>
        <w:tblStyle w:val="766"/>
        <w:tblW w:w="9148" w:type="dxa"/>
        <w:jc w:val="center"/>
        <w:tblLayout w:type="autofit"/>
        <w:tblCellMar>
          <w:left w:w="108" w:type="dxa"/>
          <w:top w:w="0" w:type="dxa"/>
          <w:right w:w="108" w:type="dxa"/>
          <w:bottom w:w="0" w:type="dxa"/>
        </w:tblCellMar>
        <w:tblLook w:val="04A0" w:firstRow="1" w:lastRow="0" w:firstColumn="1" w:lastColumn="0" w:noHBand="0" w:noVBand="1"/>
      </w:tblPr>
      <w:tblGrid>
        <w:gridCol w:w="1154"/>
        <w:gridCol w:w="5974"/>
        <w:gridCol w:w="2020"/>
      </w:tblGrid>
      <w:tr>
        <w:trPr>
          <w:jc w:val="center"/>
          <w:trHeight w:val="386"/>
        </w:trPr>
        <w:tc>
          <w:tcPr>
            <w:tcBorders>
              <w:top w:val="singl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配置名称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数量</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主机部分</w:t>
            </w:r>
            <w:r/>
          </w:p>
        </w:tc>
      </w:tr>
      <w:tr>
        <w:trPr>
          <w:jc w:val="center"/>
          <w:trHeight w:val="371"/>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后装治疗机主机</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台</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放射源</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换源工具</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源驻留位置检测尺</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把</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电视监视系统和对讲机</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放射源验证系统</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71"/>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施源器部分</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金属妇科施源器套件</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阴道、直肠施源器套件</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eastAsia="zh-CN"/>
              </w:rPr>
            </w:r>
            <w:r>
              <w:rPr>
                <w:rFonts w:ascii="SimSun" w:hAnsi="SimSun" w:eastAsia="SimSun" w:cs="SimSun"/>
                <w:b/>
                <w:color w:val="000000"/>
                <w:sz w:val="24"/>
                <w:highlight w:val="yellow"/>
                <w:u w:val="single"/>
              </w:rPr>
              <w:t xml:space="preserve">金属插植针及配套数量的插植针芯</w:t>
            </w:r>
            <w:r>
              <w:rPr>
                <w:rFonts w:hint="eastAsia" w:ascii="宋体" w:hAnsi="宋体" w:eastAsia="宋体" w:cs="宋体"/>
                <w:color w:val="auto"/>
                <w:sz w:val="21"/>
                <w:szCs w:val="21"/>
                <w:highlight w:val="yellow"/>
                <w:lang w:eastAsia="zh-CN"/>
              </w:rPr>
            </w:r>
            <w:r>
              <w:rPr>
                <w:highlight w:val="yellow"/>
              </w:rP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eastAsia="zh-CN"/>
              </w:rPr>
            </w:r>
            <w:r>
              <w:rPr>
                <w:rFonts w:ascii="SimSun" w:hAnsi="SimSun" w:eastAsia="SimSun" w:cs="SimSun"/>
                <w:b/>
                <w:color w:val="000000"/>
                <w:sz w:val="24"/>
                <w:highlight w:val="yellow"/>
                <w:u w:val="single"/>
              </w:rPr>
              <w:t xml:space="preserve">60根</w:t>
            </w:r>
            <w:r>
              <w:rPr>
                <w:rFonts w:hint="eastAsia" w:ascii="宋体" w:hAnsi="宋体" w:eastAsia="宋体" w:cs="宋体"/>
                <w:color w:val="auto"/>
                <w:sz w:val="21"/>
                <w:szCs w:val="21"/>
                <w:highlight w:val="yellow"/>
                <w:lang w:eastAsia="zh-CN"/>
              </w:rPr>
            </w:r>
            <w:r>
              <w:rPr>
                <w:highlight w:val="yellow"/>
              </w:rP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柔性插植管</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20套</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治疗计划系统</w:t>
            </w:r>
            <w:r/>
          </w:p>
        </w:tc>
      </w:tr>
      <w:tr>
        <w:trPr>
          <w:jc w:val="center"/>
          <w:trHeight w:val="90"/>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近距离治疗计划系统硬件</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近距离治疗计划软件</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386"/>
        </w:trPr>
        <w:tc>
          <w:tcPr>
            <w:gridSpan w:val="3"/>
            <w:tcBorders>
              <w:top w:val="none" w:color="000000" w:sz="4" w:space="0"/>
              <w:left w:val="single" w:color="000000" w:sz="4" w:space="0"/>
              <w:bottom w:val="single" w:color="000000" w:sz="4" w:space="0"/>
              <w:right w:val="single" w:color="000000" w:sz="4" w:space="0"/>
            </w:tcBorders>
            <w:tcMar>
              <w:left w:w="105" w:type="dxa"/>
              <w:right w:w="105" w:type="dxa"/>
            </w:tcMar>
            <w:tcW w:w="9148"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第三方设备</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转运床</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张</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1154" w:type="dxa"/>
            <w:vAlign w:val="center"/>
            <w:textDirection w:val="lrTb"/>
            <w:noWrap w:val="false"/>
          </w:tcPr>
          <w:p>
            <w:pPr>
              <w:pStyle w:val="99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5974"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控制工作台及工作椅</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2020"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bl>
    <w:p>
      <w:pPr>
        <w:pStyle w:val="973"/>
        <w:ind w:firstLine="422"/>
        <w:spacing w:line="520" w:lineRule="exact"/>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二、技术参数（包含硬件及配套软件技术参数）</w:t>
      </w:r>
      <w:r/>
    </w:p>
    <w:tbl>
      <w:tblPr>
        <w:tblStyle w:val="766"/>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806"/>
        <w:gridCol w:w="6802"/>
      </w:tblGrid>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参数性质</w:t>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序号</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具体技术（参数）要求</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一、采购数量：</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eastAsia="zh-CN"/>
              </w:rPr>
              <w:t xml:space="preserve">台。</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二、技术参数：</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eastAsia="zh-CN"/>
              </w:rPr>
              <w:t xml:space="preserve">总体要求</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r>
              <w:rPr>
                <w:rFonts w:hint="eastAsia" w:ascii="宋体" w:hAnsi="宋体" w:eastAsia="宋体" w:cs="宋体"/>
                <w:color w:val="auto"/>
                <w:sz w:val="21"/>
                <w:szCs w:val="21"/>
                <w:highlight w:val="none"/>
                <w:lang w:eastAsia="zh-CN"/>
              </w:rPr>
              <w:t xml:space="preserve">系统能完成近距离治疗的二维和三维治疗计划的设计和实施。</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r>
              <w:rPr>
                <w:rFonts w:hint="eastAsia" w:ascii="宋体" w:hAnsi="宋体" w:eastAsia="宋体" w:cs="宋体"/>
                <w:color w:val="auto"/>
                <w:sz w:val="21"/>
                <w:szCs w:val="21"/>
                <w:highlight w:val="none"/>
                <w:lang w:eastAsia="zh-CN"/>
              </w:rPr>
              <w:t xml:space="preserve">近距离治疗计划系统能精确重建所用施源器，并精确计算病人体内吸收剂量，将剂量分布结果以二维和三维方式显示。</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设备符合国家卫生健康、生态环境及辐射安全相关法律法规与标准，辐射防护性能与安全指标全面达标。供应商投标时须提供承诺。</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eastAsia="zh-CN"/>
              </w:rPr>
              <w:t xml:space="preserve">后装治疗主机</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rPr>
                <w:rFonts w:hint="eastAsia" w:ascii="宋体" w:hAnsi="宋体" w:eastAsia="宋体" w:cs="宋体"/>
                <w:color w:val="auto"/>
                <w:sz w:val="21"/>
                <w:szCs w:val="21"/>
                <w:highlight w:val="none"/>
                <w:lang w:eastAsia="zh-CN"/>
              </w:rPr>
              <w:t xml:space="preserve">基本要求</w:t>
            </w:r>
            <w:r/>
          </w:p>
        </w:tc>
      </w:tr>
      <w:tr>
        <w:trPr>
          <w:jc w:val="center"/>
          <w:trHeight w:val="30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w:t>
            </w:r>
            <w:r>
              <w:rPr>
                <w:rFonts w:hint="eastAsia" w:ascii="宋体" w:hAnsi="宋体" w:eastAsia="宋体" w:cs="宋体"/>
                <w:color w:val="auto"/>
                <w:sz w:val="21"/>
                <w:szCs w:val="21"/>
                <w:highlight w:val="none"/>
                <w:lang w:eastAsia="zh-CN"/>
              </w:rPr>
              <w:t xml:space="preserve">治疗通道：后装机应具备≥18个治疗通道。</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w:t>
            </w:r>
            <w:r>
              <w:rPr>
                <w:rFonts w:hint="eastAsia" w:ascii="宋体" w:hAnsi="宋体" w:eastAsia="宋体" w:cs="宋体"/>
                <w:color w:val="auto"/>
                <w:sz w:val="21"/>
                <w:szCs w:val="21"/>
                <w:highlight w:val="none"/>
                <w:lang w:eastAsia="zh-CN"/>
              </w:rPr>
              <w:t xml:space="preserve">放射源驻留点数目：每个通道驻留点数应≥</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0个。</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w:t>
            </w:r>
            <w:r>
              <w:rPr>
                <w:rFonts w:hint="eastAsia" w:ascii="宋体" w:hAnsi="宋体" w:eastAsia="宋体" w:cs="宋体"/>
                <w:color w:val="auto"/>
                <w:sz w:val="21"/>
                <w:szCs w:val="21"/>
                <w:highlight w:val="none"/>
                <w:lang w:eastAsia="zh-CN"/>
              </w:rPr>
              <w:t xml:space="preserve">治疗长度：最小步长2.5</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时，治疗长度应可≥29</w:t>
            </w:r>
            <w:r>
              <w:rPr>
                <w:rFonts w:hint="eastAsia" w:ascii="宋体" w:hAnsi="宋体" w:eastAsia="宋体" w:cs="宋体"/>
                <w:color w:val="auto"/>
                <w:sz w:val="21"/>
                <w:szCs w:val="21"/>
                <w:highlight w:val="none"/>
              </w:rPr>
              <w:t xml:space="preserve">0mm</w:t>
            </w:r>
            <w:r>
              <w:rPr>
                <w:rFonts w:hint="eastAsia" w:ascii="宋体" w:hAnsi="宋体" w:eastAsia="宋体" w:cs="宋体"/>
                <w:color w:val="auto"/>
                <w:sz w:val="21"/>
                <w:szCs w:val="21"/>
                <w:highlight w:val="none"/>
                <w:lang w:eastAsia="zh-CN"/>
              </w:rPr>
              <w:t xml:space="preserve">。</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w:t>
            </w:r>
            <w:r>
              <w:rPr>
                <w:rFonts w:hint="eastAsia" w:ascii="宋体" w:hAnsi="宋体" w:eastAsia="宋体" w:cs="宋体"/>
                <w:color w:val="auto"/>
                <w:sz w:val="21"/>
                <w:szCs w:val="21"/>
                <w:highlight w:val="none"/>
                <w:lang w:eastAsia="zh-CN"/>
              </w:rPr>
              <w:t xml:space="preserve">治疗导管长度：所有传输导管都为相同标准长度，可避免传输管长度混淆。</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13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 </w:t>
            </w:r>
            <w:r>
              <w:rPr>
                <w:rFonts w:hint="eastAsia" w:ascii="宋体" w:hAnsi="宋体" w:eastAsia="宋体" w:cs="宋体"/>
                <w:color w:val="auto"/>
                <w:sz w:val="21"/>
                <w:szCs w:val="21"/>
                <w:highlight w:val="none"/>
                <w:lang w:eastAsia="zh-CN"/>
              </w:rPr>
              <w:t xml:space="preserve">主机重量：主机重量≤</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0kg</w:t>
            </w:r>
            <w:r>
              <w:rPr>
                <w:rFonts w:hint="eastAsia" w:ascii="宋体" w:hAnsi="宋体" w:eastAsia="宋体" w:cs="宋体"/>
                <w:color w:val="auto"/>
                <w:sz w:val="21"/>
                <w:szCs w:val="21"/>
                <w:highlight w:val="none"/>
                <w:lang w:eastAsia="zh-CN"/>
              </w:rPr>
              <w:t xml:space="preserve">，便于移动。</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2.1.6 放射源驱动结构：管道滑动式送丝结构</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rPr>
                <w:rFonts w:hint="eastAsia" w:ascii="宋体" w:hAnsi="宋体" w:eastAsia="宋体" w:cs="宋体"/>
                <w:color w:val="auto"/>
                <w:sz w:val="21"/>
                <w:szCs w:val="21"/>
                <w:highlight w:val="none"/>
                <w:lang w:eastAsia="zh-CN"/>
              </w:rPr>
              <w:t xml:space="preserve">放射源</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w:t>
            </w:r>
            <w:r>
              <w:rPr>
                <w:rFonts w:hint="eastAsia" w:ascii="宋体" w:hAnsi="宋体" w:eastAsia="宋体" w:cs="宋体"/>
                <w:color w:val="auto"/>
                <w:sz w:val="21"/>
                <w:szCs w:val="21"/>
                <w:highlight w:val="none"/>
                <w:lang w:eastAsia="zh-CN"/>
              </w:rPr>
              <w:t xml:space="preserve">放射源类型：使用铱</w:t>
            </w:r>
            <w:r>
              <w:rPr>
                <w:rFonts w:hint="eastAsia" w:ascii="宋体" w:hAnsi="宋体" w:eastAsia="宋体" w:cs="宋体"/>
                <w:color w:val="auto"/>
                <w:sz w:val="21"/>
                <w:szCs w:val="21"/>
                <w:highlight w:val="none"/>
              </w:rPr>
              <w:t xml:space="preserve">192</w:t>
            </w:r>
            <w:r>
              <w:rPr>
                <w:rFonts w:hint="eastAsia" w:ascii="宋体" w:hAnsi="宋体" w:eastAsia="宋体" w:cs="宋体"/>
                <w:color w:val="auto"/>
                <w:sz w:val="21"/>
                <w:szCs w:val="21"/>
                <w:highlight w:val="none"/>
                <w:lang w:eastAsia="zh-CN"/>
              </w:rPr>
              <w:t xml:space="preserve">放射源。</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w:t>
            </w:r>
            <w:r>
              <w:rPr>
                <w:rFonts w:hint="eastAsia" w:ascii="宋体" w:hAnsi="宋体" w:eastAsia="宋体" w:cs="宋体"/>
                <w:color w:val="auto"/>
                <w:sz w:val="21"/>
                <w:szCs w:val="21"/>
                <w:highlight w:val="none"/>
                <w:lang w:eastAsia="zh-CN"/>
              </w:rPr>
              <w:t xml:space="preserve">放射源活度：新放射源的活度应为</w:t>
            </w:r>
            <w:r>
              <w:rPr>
                <w:rFonts w:hint="eastAsia" w:ascii="宋体" w:hAnsi="宋体" w:eastAsia="宋体" w:cs="宋体"/>
                <w:color w:val="auto"/>
                <w:sz w:val="21"/>
                <w:szCs w:val="21"/>
                <w:highlight w:val="none"/>
              </w:rPr>
              <w:t xml:space="preserve">10Ci</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p>
        </w:tc>
      </w:tr>
      <w:tr>
        <w:trPr>
          <w:jc w:val="center"/>
          <w:trHeight w:val="359"/>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 </w:t>
            </w:r>
            <w:r>
              <w:rPr>
                <w:rFonts w:hint="eastAsia" w:ascii="宋体" w:hAnsi="宋体" w:eastAsia="宋体" w:cs="宋体"/>
                <w:color w:val="auto"/>
                <w:sz w:val="21"/>
                <w:szCs w:val="21"/>
                <w:highlight w:val="none"/>
                <w:lang w:eastAsia="zh-CN"/>
              </w:rPr>
              <w:t xml:space="preserve">放射源尺寸：放射源包壳尺寸：直径≤1.1</w:t>
            </w:r>
            <w:r>
              <w:rPr>
                <w:rFonts w:hint="eastAsia" w:ascii="宋体" w:hAnsi="宋体" w:eastAsia="宋体" w:cs="宋体"/>
                <w:color w:val="auto"/>
                <w:sz w:val="21"/>
                <w:szCs w:val="21"/>
                <w:highlight w:val="none"/>
              </w:rPr>
              <w:t xml:space="preserve"> mm</w:t>
            </w:r>
            <w:r>
              <w:rPr>
                <w:rFonts w:hint="eastAsia" w:ascii="宋体" w:hAnsi="宋体" w:eastAsia="宋体" w:cs="宋体"/>
                <w:color w:val="auto"/>
                <w:sz w:val="21"/>
                <w:szCs w:val="21"/>
                <w:highlight w:val="none"/>
                <w:lang w:eastAsia="zh-CN"/>
              </w:rPr>
              <w:t xml:space="preserve">，长度≤6.</w:t>
            </w:r>
            <w:r>
              <w:rPr>
                <w:rFonts w:hint="eastAsia" w:ascii="宋体" w:hAnsi="宋体" w:eastAsia="宋体" w:cs="宋体"/>
                <w:color w:val="auto"/>
                <w:sz w:val="21"/>
                <w:szCs w:val="21"/>
                <w:highlight w:val="none"/>
              </w:rPr>
              <w:t xml:space="preserve">5mm</w:t>
            </w:r>
            <w:r>
              <w:rPr>
                <w:rFonts w:hint="eastAsia" w:ascii="宋体" w:hAnsi="宋体" w:eastAsia="宋体" w:cs="宋体"/>
                <w:color w:val="auto"/>
                <w:sz w:val="21"/>
                <w:szCs w:val="21"/>
                <w:highlight w:val="none"/>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 </w:t>
            </w:r>
            <w:r>
              <w:rPr>
                <w:rFonts w:hint="eastAsia" w:ascii="宋体" w:hAnsi="宋体" w:eastAsia="宋体" w:cs="宋体"/>
                <w:color w:val="auto"/>
                <w:sz w:val="21"/>
                <w:szCs w:val="21"/>
                <w:highlight w:val="none"/>
                <w:lang w:eastAsia="zh-CN"/>
              </w:rPr>
              <w:t xml:space="preserve">源线直径尺寸：源线直径≤1.1mm</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20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 </w:t>
            </w:r>
            <w:r>
              <w:rPr>
                <w:rFonts w:hint="eastAsia" w:ascii="宋体" w:hAnsi="宋体" w:eastAsia="宋体" w:cs="宋体"/>
                <w:color w:val="auto"/>
                <w:sz w:val="21"/>
                <w:szCs w:val="21"/>
                <w:highlight w:val="none"/>
                <w:lang w:eastAsia="zh-CN"/>
              </w:rPr>
              <w:t xml:space="preserve">放射源传输：放射源传输30</w:t>
            </w:r>
            <w:r>
              <w:rPr>
                <w:rFonts w:hint="eastAsia" w:ascii="宋体" w:hAnsi="宋体" w:eastAsia="宋体" w:cs="宋体"/>
                <w:color w:val="auto"/>
                <w:sz w:val="21"/>
                <w:szCs w:val="21"/>
                <w:highlight w:val="none"/>
              </w:rPr>
              <w:t xml:space="preserve">,000</w:t>
            </w:r>
            <w:r>
              <w:rPr>
                <w:rFonts w:hint="eastAsia" w:ascii="宋体" w:hAnsi="宋体" w:eastAsia="宋体" w:cs="宋体"/>
                <w:color w:val="auto"/>
                <w:sz w:val="21"/>
                <w:szCs w:val="21"/>
                <w:highlight w:val="none"/>
                <w:lang w:eastAsia="zh-CN"/>
              </w:rPr>
              <w:t xml:space="preserve">次内不卡源</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rPr>
                <w:rFonts w:hint="eastAsia" w:ascii="宋体" w:hAnsi="宋体" w:eastAsia="宋体" w:cs="宋体"/>
                <w:color w:val="auto"/>
                <w:sz w:val="21"/>
                <w:szCs w:val="21"/>
                <w:highlight w:val="none"/>
                <w:lang w:eastAsia="zh-CN"/>
              </w:rPr>
              <w:t xml:space="preserve">放射源驱动系统</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w:t>
            </w:r>
            <w:r>
              <w:rPr>
                <w:rFonts w:hint="eastAsia" w:ascii="宋体" w:hAnsi="宋体" w:eastAsia="宋体" w:cs="宋体"/>
                <w:color w:val="auto"/>
                <w:sz w:val="21"/>
                <w:szCs w:val="21"/>
                <w:highlight w:val="none"/>
                <w:lang w:eastAsia="zh-CN"/>
              </w:rPr>
              <w:t xml:space="preserve">放射源到位精度：放射源到位精度应≤</w:t>
            </w:r>
            <w:r>
              <w:rPr>
                <w:rFonts w:hint="eastAsia" w:ascii="宋体" w:hAnsi="宋体" w:eastAsia="宋体" w:cs="宋体"/>
                <w:color w:val="auto"/>
                <w:sz w:val="21"/>
                <w:szCs w:val="21"/>
                <w:highlight w:val="none"/>
              </w:rPr>
              <w:t xml:space="preserve">0.5mm</w:t>
            </w:r>
            <w:r>
              <w:rPr>
                <w:rFonts w:hint="eastAsia" w:ascii="宋体" w:hAnsi="宋体" w:eastAsia="宋体" w:cs="宋体"/>
                <w:color w:val="auto"/>
                <w:sz w:val="21"/>
                <w:szCs w:val="21"/>
                <w:highlight w:val="none"/>
                <w:lang w:eastAsia="zh-CN"/>
              </w:rPr>
              <w:t xml:space="preserve">。</w:t>
            </w:r>
            <w:r/>
          </w:p>
        </w:tc>
      </w:tr>
      <w:tr>
        <w:trPr>
          <w:jc w:val="center"/>
          <w:trHeight w:val="29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 </w:t>
            </w:r>
            <w:r>
              <w:rPr>
                <w:rFonts w:hint="eastAsia" w:ascii="宋体" w:hAnsi="宋体" w:eastAsia="宋体" w:cs="宋体"/>
                <w:color w:val="auto"/>
                <w:sz w:val="21"/>
                <w:szCs w:val="21"/>
                <w:highlight w:val="none"/>
                <w:lang w:eastAsia="zh-CN"/>
              </w:rPr>
              <w:t xml:space="preserve">放射源最小步进长度：放射源最小步进长度≤2.5</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p>
        </w:tc>
      </w:tr>
      <w:tr>
        <w:trPr>
          <w:jc w:val="center"/>
          <w:trHeight w:val="31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w:t>
            </w:r>
            <w:r>
              <w:rPr>
                <w:rFonts w:hint="eastAsia" w:ascii="宋体" w:hAnsi="宋体" w:eastAsia="宋体" w:cs="宋体"/>
                <w:color w:val="auto"/>
                <w:sz w:val="21"/>
                <w:szCs w:val="21"/>
                <w:highlight w:val="none"/>
                <w:lang w:eastAsia="zh-CN"/>
              </w:rPr>
              <w:t xml:space="preserve">放射源最小治疗半径：源所能通过最小治疗通道半径≤30mm。</w:t>
            </w:r>
            <w:r/>
          </w:p>
        </w:tc>
      </w:tr>
      <w:tr>
        <w:trPr>
          <w:jc w:val="center"/>
          <w:trHeight w:val="31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25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2.3.4驱动电机及驱动器：真假源，双源独立驱动</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w:t>
            </w:r>
            <w:r>
              <w:rPr>
                <w:rFonts w:hint="eastAsia" w:ascii="宋体" w:hAnsi="宋体" w:eastAsia="宋体" w:cs="宋体"/>
                <w:color w:val="auto"/>
                <w:sz w:val="21"/>
                <w:szCs w:val="21"/>
                <w:highlight w:val="none"/>
                <w:lang w:eastAsia="zh-CN"/>
              </w:rPr>
              <w:t xml:space="preserve">辐射漏射</w:t>
            </w:r>
            <w:r/>
          </w:p>
        </w:tc>
      </w:tr>
      <w:tr>
        <w:trPr>
          <w:jc w:val="center"/>
          <w:trHeight w:val="3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w:t>
            </w:r>
            <w:r>
              <w:rPr>
                <w:rFonts w:hint="eastAsia" w:ascii="宋体" w:hAnsi="宋体" w:eastAsia="宋体" w:cs="宋体"/>
                <w:color w:val="auto"/>
                <w:sz w:val="21"/>
                <w:szCs w:val="21"/>
                <w:highlight w:val="none"/>
                <w:lang w:eastAsia="zh-CN"/>
              </w:rPr>
              <w:t xml:space="preserve">装载</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居里放射源时，距离机器表面</w:t>
            </w:r>
            <w:r>
              <w:rPr>
                <w:rFonts w:hint="eastAsia" w:ascii="宋体" w:hAnsi="宋体" w:eastAsia="宋体" w:cs="宋体"/>
                <w:color w:val="auto"/>
                <w:sz w:val="21"/>
                <w:szCs w:val="21"/>
                <w:highlight w:val="none"/>
              </w:rPr>
              <w:t xml:space="preserve">5cm</w:t>
            </w:r>
            <w:r>
              <w:rPr>
                <w:rFonts w:hint="eastAsia" w:ascii="宋体" w:hAnsi="宋体" w:eastAsia="宋体" w:cs="宋体"/>
                <w:color w:val="auto"/>
                <w:sz w:val="21"/>
                <w:szCs w:val="21"/>
                <w:highlight w:val="none"/>
                <w:lang w:eastAsia="zh-CN"/>
              </w:rPr>
              <w:t xml:space="preserve">处的剂量当量率≤</w:t>
            </w:r>
            <w:r>
              <w:rPr>
                <w:rFonts w:hint="eastAsia" w:ascii="宋体" w:hAnsi="宋体" w:eastAsia="宋体" w:cs="宋体"/>
                <w:color w:val="auto"/>
                <w:sz w:val="21"/>
                <w:szCs w:val="21"/>
                <w:highlight w:val="none"/>
              </w:rPr>
              <w:t xml:space="preserve">0.01mSv/h</w:t>
            </w:r>
            <w:r>
              <w:rPr>
                <w:rFonts w:hint="eastAsia" w:ascii="宋体" w:hAnsi="宋体" w:eastAsia="宋体" w:cs="宋体"/>
                <w:color w:val="auto"/>
                <w:sz w:val="21"/>
                <w:szCs w:val="21"/>
                <w:highlight w:val="none"/>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rPr>
                <w:rFonts w:hint="eastAsia" w:ascii="宋体" w:hAnsi="宋体" w:eastAsia="宋体" w:cs="宋体"/>
                <w:color w:val="auto"/>
                <w:sz w:val="21"/>
                <w:szCs w:val="21"/>
                <w:highlight w:val="none"/>
                <w:lang w:eastAsia="zh-CN"/>
              </w:rPr>
              <w:t xml:space="preserve">安全性和质量保证要求</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 </w:t>
            </w:r>
            <w:r>
              <w:rPr>
                <w:rFonts w:hint="eastAsia" w:ascii="宋体" w:hAnsi="宋体" w:eastAsia="宋体" w:cs="宋体"/>
                <w:color w:val="auto"/>
                <w:sz w:val="21"/>
                <w:szCs w:val="21"/>
                <w:highlight w:val="none"/>
                <w:lang w:eastAsia="zh-CN"/>
              </w:rPr>
              <w:t xml:space="preserve">假源线：假源线检测传输导管和施源器连接的通道通畅性。</w:t>
            </w:r>
            <w:r/>
          </w:p>
        </w:tc>
      </w:tr>
      <w:tr>
        <w:trPr>
          <w:jc w:val="center"/>
          <w:trHeight w:val="326"/>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放射源到位精度调整：可在控制系统中对放射源到位精度进行调整。</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31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rPr>
                <w:rFonts w:hint="eastAsia" w:ascii="宋体" w:hAnsi="宋体" w:eastAsia="宋体" w:cs="宋体"/>
                <w:color w:val="auto"/>
                <w:sz w:val="21"/>
                <w:szCs w:val="21"/>
                <w:highlight w:val="none"/>
                <w:lang w:eastAsia="zh-CN"/>
              </w:rPr>
              <w:t xml:space="preserve">治疗控制系统</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 </w:t>
            </w:r>
            <w:r>
              <w:rPr>
                <w:rFonts w:hint="eastAsia" w:ascii="宋体" w:hAnsi="宋体" w:eastAsia="宋体" w:cs="宋体"/>
                <w:color w:val="auto"/>
                <w:sz w:val="21"/>
                <w:szCs w:val="21"/>
                <w:highlight w:val="none"/>
                <w:lang w:eastAsia="zh-CN"/>
              </w:rPr>
              <w:t xml:space="preserve">基本组成：含控制记录用工作站一台和治疗控制面板一套。</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 </w:t>
            </w:r>
            <w:r>
              <w:rPr>
                <w:rFonts w:hint="eastAsia" w:ascii="宋体" w:hAnsi="宋体" w:eastAsia="宋体" w:cs="宋体"/>
                <w:color w:val="auto"/>
                <w:sz w:val="21"/>
                <w:szCs w:val="21"/>
                <w:highlight w:val="none"/>
                <w:lang w:eastAsia="zh-CN"/>
              </w:rPr>
              <w:t xml:space="preserve">控制系统屏幕尺寸≥</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eastAsia="zh-CN"/>
              </w:rPr>
              <w:t xml:space="preserve">英寸，操作系统性能相当于</w:t>
            </w:r>
            <w:r>
              <w:rPr>
                <w:rFonts w:hint="eastAsia" w:ascii="宋体" w:hAnsi="宋体" w:eastAsia="宋体" w:cs="宋体"/>
                <w:color w:val="auto"/>
                <w:sz w:val="21"/>
                <w:szCs w:val="21"/>
                <w:highlight w:val="none"/>
              </w:rPr>
              <w:t xml:space="preserve">Windows 7</w:t>
            </w:r>
            <w:r>
              <w:rPr>
                <w:rFonts w:hint="eastAsia" w:ascii="宋体" w:hAnsi="宋体" w:eastAsia="宋体" w:cs="宋体"/>
                <w:color w:val="auto"/>
                <w:sz w:val="21"/>
                <w:szCs w:val="21"/>
                <w:highlight w:val="none"/>
                <w:lang w:eastAsia="zh-CN"/>
              </w:rPr>
              <w:t xml:space="preserve">或以上系统。</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w:t>
            </w:r>
            <w:r>
              <w:rPr>
                <w:rFonts w:hint="eastAsia" w:ascii="宋体" w:hAnsi="宋体" w:eastAsia="宋体" w:cs="宋体"/>
                <w:color w:val="auto"/>
                <w:sz w:val="21"/>
                <w:szCs w:val="21"/>
                <w:highlight w:val="none"/>
                <w:lang w:eastAsia="zh-CN"/>
              </w:rPr>
              <w:t xml:space="preserve">控制系统模块：治疗控制系统包括治疗、计划管理、维护、报告模块和专门的</w:t>
            </w:r>
            <w:r>
              <w:rPr>
                <w:rFonts w:hint="eastAsia" w:ascii="宋体" w:hAnsi="宋体" w:eastAsia="宋体" w:cs="宋体"/>
                <w:color w:val="auto"/>
                <w:sz w:val="21"/>
                <w:szCs w:val="21"/>
                <w:highlight w:val="none"/>
              </w:rPr>
              <w:t xml:space="preserve">QA</w:t>
            </w:r>
            <w:r>
              <w:rPr>
                <w:rFonts w:hint="eastAsia" w:ascii="宋体" w:hAnsi="宋体" w:eastAsia="宋体" w:cs="宋体"/>
                <w:color w:val="auto"/>
                <w:sz w:val="21"/>
                <w:szCs w:val="21"/>
                <w:highlight w:val="none"/>
                <w:lang w:eastAsia="zh-CN"/>
              </w:rPr>
              <w:t xml:space="preserve">模块。</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 </w:t>
            </w:r>
            <w:r>
              <w:rPr>
                <w:rFonts w:hint="eastAsia" w:ascii="宋体" w:hAnsi="宋体" w:eastAsia="宋体" w:cs="宋体"/>
                <w:color w:val="auto"/>
                <w:sz w:val="21"/>
                <w:szCs w:val="21"/>
                <w:highlight w:val="none"/>
                <w:lang w:eastAsia="zh-CN"/>
              </w:rPr>
              <w:t xml:space="preserve">用户界面信息。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 </w:t>
            </w:r>
            <w:r>
              <w:rPr>
                <w:rFonts w:hint="eastAsia" w:ascii="宋体" w:hAnsi="宋体" w:eastAsia="宋体" w:cs="宋体"/>
                <w:color w:val="auto"/>
                <w:sz w:val="21"/>
                <w:szCs w:val="21"/>
                <w:highlight w:val="none"/>
                <w:lang w:eastAsia="zh-CN"/>
              </w:rPr>
              <w:t xml:space="preserve">用户界面可显示患者和系统的信息。</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2.6.4.2 </w:t>
            </w:r>
            <w:r>
              <w:rPr>
                <w:rFonts w:hint="eastAsia" w:ascii="宋体" w:hAnsi="宋体" w:eastAsia="宋体" w:cs="宋体"/>
                <w:color w:val="auto"/>
                <w:sz w:val="21"/>
                <w:szCs w:val="21"/>
                <w:highlight w:val="none"/>
                <w:lang w:eastAsia="zh-CN"/>
              </w:rPr>
              <w:t xml:space="preserve">具备信息显示栏，显示系统状态和提示下一步需要进行的操作。</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2.6.4.3 </w:t>
            </w:r>
            <w:r>
              <w:rPr>
                <w:rFonts w:hint="eastAsia" w:ascii="宋体" w:hAnsi="宋体" w:eastAsia="宋体" w:cs="宋体"/>
                <w:color w:val="auto"/>
                <w:sz w:val="21"/>
                <w:szCs w:val="21"/>
                <w:highlight w:val="none"/>
                <w:lang w:eastAsia="zh-CN"/>
              </w:rPr>
              <w:t xml:space="preserve">具备检查列表，实时显示系统状态和安全连锁信息。</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39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 </w:t>
            </w:r>
            <w:r>
              <w:rPr>
                <w:rFonts w:hint="eastAsia" w:ascii="宋体" w:hAnsi="宋体" w:eastAsia="宋体" w:cs="宋体"/>
                <w:color w:val="auto"/>
                <w:sz w:val="21"/>
                <w:szCs w:val="21"/>
                <w:highlight w:val="none"/>
                <w:lang w:eastAsia="zh-CN"/>
              </w:rPr>
              <w:t xml:space="preserve">治疗时，彩色动画显示治疗通道、放射源驻留位置和系统状态。</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 </w:t>
            </w:r>
            <w:r>
              <w:rPr>
                <w:rFonts w:hint="eastAsia" w:ascii="宋体" w:hAnsi="宋体" w:eastAsia="宋体" w:cs="宋体"/>
                <w:color w:val="auto"/>
                <w:sz w:val="21"/>
                <w:szCs w:val="21"/>
                <w:highlight w:val="none"/>
                <w:lang w:eastAsia="zh-CN"/>
              </w:rPr>
              <w:t xml:space="preserve">治疗计划修改和编辑：可方便的修改和编辑计划。</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2.6.6 治疗报告：生成治疗前和治疗后报告。</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2.6.7 数据导入：支持通过DICOM自动导入并解析数据。</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 </w:t>
            </w:r>
            <w:r>
              <w:rPr>
                <w:rFonts w:hint="eastAsia" w:ascii="宋体" w:hAnsi="宋体" w:eastAsia="宋体" w:cs="宋体"/>
                <w:color w:val="auto"/>
                <w:sz w:val="21"/>
                <w:szCs w:val="21"/>
                <w:highlight w:val="none"/>
                <w:lang w:eastAsia="zh-CN"/>
              </w:rPr>
              <w:t xml:space="preserve">用户权限管理：可对每个用户单独设置用户权限和密码保护。</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44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 </w:t>
            </w:r>
            <w:r>
              <w:rPr>
                <w:rFonts w:hint="eastAsia" w:ascii="宋体" w:hAnsi="宋体" w:eastAsia="宋体" w:cs="宋体"/>
                <w:color w:val="auto"/>
                <w:sz w:val="21"/>
                <w:szCs w:val="21"/>
                <w:highlight w:val="none"/>
                <w:lang w:eastAsia="zh-CN"/>
              </w:rPr>
              <w:t xml:space="preserve">治疗控制面板</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 </w:t>
            </w:r>
            <w:r>
              <w:rPr>
                <w:rFonts w:hint="eastAsia" w:ascii="宋体" w:hAnsi="宋体" w:eastAsia="宋体" w:cs="宋体"/>
                <w:color w:val="auto"/>
                <w:sz w:val="21"/>
                <w:szCs w:val="21"/>
                <w:highlight w:val="none"/>
                <w:lang w:eastAsia="zh-CN"/>
              </w:rPr>
              <w:t xml:space="preserve">操控方式：治疗控制面板可动态显示各种控制信息。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 </w:t>
            </w:r>
            <w:r>
              <w:rPr>
                <w:rFonts w:hint="eastAsia" w:ascii="宋体" w:hAnsi="宋体" w:eastAsia="宋体" w:cs="宋体"/>
                <w:color w:val="auto"/>
                <w:sz w:val="21"/>
                <w:szCs w:val="21"/>
                <w:highlight w:val="none"/>
                <w:lang w:eastAsia="zh-CN"/>
              </w:rPr>
              <w:t xml:space="preserve">报警</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2.6.9.2.1 </w:t>
            </w:r>
            <w:r>
              <w:rPr>
                <w:rFonts w:hint="eastAsia" w:ascii="宋体" w:hAnsi="宋体" w:eastAsia="宋体" w:cs="宋体"/>
                <w:color w:val="auto"/>
                <w:sz w:val="21"/>
                <w:szCs w:val="21"/>
                <w:highlight w:val="none"/>
                <w:lang w:eastAsia="zh-CN"/>
              </w:rPr>
              <w:t xml:space="preserve">出现报警状况时显示警报和警报信息。</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2.6.9.2.2 </w:t>
            </w:r>
            <w:r>
              <w:rPr>
                <w:rFonts w:hint="eastAsia" w:ascii="宋体" w:hAnsi="宋体" w:eastAsia="宋体" w:cs="宋体"/>
                <w:color w:val="auto"/>
                <w:sz w:val="21"/>
                <w:szCs w:val="21"/>
                <w:highlight w:val="none"/>
                <w:lang w:eastAsia="zh-CN"/>
              </w:rPr>
              <w:t xml:space="preserve">出现报警状态时具有声音报警。</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49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2.6.9.2.3 </w:t>
            </w:r>
            <w:r>
              <w:rPr>
                <w:rFonts w:hint="eastAsia" w:ascii="宋体" w:hAnsi="宋体" w:eastAsia="宋体" w:cs="宋体"/>
                <w:color w:val="auto"/>
                <w:sz w:val="21"/>
                <w:szCs w:val="21"/>
                <w:highlight w:val="none"/>
                <w:lang w:eastAsia="zh-CN"/>
              </w:rPr>
              <w:t xml:space="preserve">治疗状态显示：治疗过程中，动态显示剩余治疗时间和照射状态。</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2.6.9.2.4出源长度自动校准模式</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51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2.6.9.2.5出源长度精确测量</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52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w:t>
            </w:r>
            <w:r>
              <w:rPr>
                <w:rFonts w:hint="eastAsia" w:ascii="宋体" w:hAnsi="宋体" w:eastAsia="宋体" w:cs="宋体"/>
                <w:color w:val="auto"/>
                <w:sz w:val="21"/>
                <w:szCs w:val="21"/>
                <w:highlight w:val="none"/>
                <w:lang w:eastAsia="zh-CN"/>
              </w:rPr>
              <w:t xml:space="preserve">配套工具和设备</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2.7.1 具备应急钳子和剪刀，用于紧急情况下处理放射源。</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w:t>
            </w:r>
            <w:r>
              <w:rPr>
                <w:rFonts w:hint="eastAsia" w:ascii="宋体" w:hAnsi="宋体" w:eastAsia="宋体" w:cs="宋体"/>
                <w:color w:val="auto"/>
                <w:sz w:val="21"/>
                <w:szCs w:val="21"/>
                <w:highlight w:val="none"/>
                <w:lang w:eastAsia="zh-CN"/>
              </w:rPr>
              <w:t xml:space="preserve">具备放射源位置检查尺，精确验证放射源到位精度。</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 </w:t>
            </w:r>
            <w:r>
              <w:rPr>
                <w:rFonts w:hint="eastAsia" w:ascii="宋体" w:hAnsi="宋体" w:eastAsia="宋体" w:cs="宋体"/>
                <w:color w:val="auto"/>
                <w:sz w:val="21"/>
                <w:szCs w:val="21"/>
                <w:highlight w:val="none"/>
                <w:lang w:eastAsia="zh-CN"/>
              </w:rPr>
              <w:t xml:space="preserve">具备放射源位置模拟尺，用于确定治疗位置以及测量施源器的长度。</w:t>
            </w:r>
            <w:r/>
          </w:p>
        </w:tc>
      </w:tr>
      <w:tr>
        <w:trPr>
          <w:jc w:val="center"/>
          <w:trHeight w:val="35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 </w:t>
            </w:r>
            <w:r>
              <w:rPr>
                <w:rFonts w:hint="eastAsia" w:ascii="宋体" w:hAnsi="宋体" w:eastAsia="宋体" w:cs="宋体"/>
                <w:color w:val="auto"/>
                <w:sz w:val="21"/>
                <w:szCs w:val="21"/>
                <w:highlight w:val="none"/>
                <w:lang w:eastAsia="zh-CN"/>
              </w:rPr>
              <w:t xml:space="preserve">具备独立室内辐射监测系统。</w:t>
            </w:r>
            <w:r/>
          </w:p>
        </w:tc>
      </w:tr>
      <w:tr>
        <w:trPr>
          <w:jc w:val="center"/>
          <w:trHeight w:val="174"/>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 </w:t>
            </w:r>
            <w:r>
              <w:rPr>
                <w:rFonts w:hint="eastAsia" w:ascii="宋体" w:hAnsi="宋体" w:eastAsia="宋体" w:cs="宋体"/>
                <w:color w:val="auto"/>
                <w:sz w:val="21"/>
                <w:szCs w:val="21"/>
                <w:highlight w:val="none"/>
                <w:lang w:eastAsia="zh-CN"/>
              </w:rPr>
              <w:t xml:space="preserve">包括彩色闭路监视系统和对讲系统</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套。</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 </w:t>
            </w:r>
            <w:r>
              <w:rPr>
                <w:rFonts w:hint="eastAsia" w:ascii="宋体" w:hAnsi="宋体" w:eastAsia="宋体" w:cs="宋体"/>
                <w:color w:val="auto"/>
                <w:sz w:val="21"/>
                <w:szCs w:val="21"/>
                <w:highlight w:val="none"/>
                <w:lang w:eastAsia="zh-CN"/>
              </w:rPr>
              <w:t xml:space="preserve">提供放射源验证系统，包括井型电离室、静电计、放射源适配器支架、线缆及放射源校准证书。</w:t>
            </w:r>
            <w:r/>
          </w:p>
        </w:tc>
      </w:tr>
      <w:tr>
        <w:trPr>
          <w:jc w:val="center"/>
          <w:trHeight w:val="34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eastAsia="zh-CN"/>
              </w:rPr>
              <w:t xml:space="preserve">近距离治疗计划系统</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3.1 </w:t>
            </w:r>
            <w:r>
              <w:rPr>
                <w:rFonts w:hint="eastAsia" w:ascii="宋体" w:hAnsi="宋体" w:eastAsia="宋体" w:cs="宋体"/>
                <w:color w:val="auto"/>
                <w:sz w:val="21"/>
                <w:szCs w:val="21"/>
                <w:highlight w:val="none"/>
                <w:lang w:eastAsia="zh-CN"/>
              </w:rPr>
              <w:t xml:space="preserve">配套工作站：含一台近距离治疗计划工作站及配套外设设备。配置要求不低于如下标准：</w:t>
            </w:r>
            <w:r>
              <w:rPr>
                <w:rFonts w:hint="eastAsia" w:ascii="宋体" w:hAnsi="宋体" w:eastAsia="宋体" w:cs="宋体"/>
                <w:color w:val="auto"/>
                <w:sz w:val="21"/>
                <w:szCs w:val="21"/>
                <w:highlight w:val="none"/>
              </w:rPr>
              <w:t xml:space="preserve">CPU</w:t>
            </w:r>
            <w:r>
              <w:rPr>
                <w:rFonts w:hint="eastAsia" w:ascii="宋体" w:hAnsi="宋体" w:eastAsia="宋体" w:cs="宋体"/>
                <w:color w:val="auto"/>
                <w:sz w:val="21"/>
                <w:szCs w:val="21"/>
                <w:highlight w:val="none"/>
                <w:lang w:eastAsia="zh-CN"/>
              </w:rPr>
              <w:t xml:space="preserve">主频≥</w:t>
            </w:r>
            <w:r>
              <w:rPr>
                <w:rFonts w:hint="eastAsia" w:ascii="宋体" w:hAnsi="宋体" w:eastAsia="宋体" w:cs="宋体"/>
                <w:color w:val="auto"/>
                <w:sz w:val="21"/>
                <w:szCs w:val="21"/>
                <w:highlight w:val="none"/>
              </w:rPr>
              <w:t xml:space="preserve">3.0GHz</w:t>
            </w:r>
            <w:r>
              <w:rPr>
                <w:rFonts w:hint="eastAsia" w:ascii="宋体" w:hAnsi="宋体" w:eastAsia="宋体" w:cs="宋体"/>
                <w:color w:val="auto"/>
                <w:sz w:val="21"/>
                <w:szCs w:val="21"/>
                <w:highlight w:val="none"/>
                <w:lang w:eastAsia="zh-CN"/>
              </w:rPr>
              <w:t xml:space="preserve">；硬盘</w:t>
            </w:r>
            <w:r>
              <w:rPr>
                <w:rFonts w:hint="eastAsia" w:ascii="宋体" w:hAnsi="宋体" w:eastAsia="宋体" w:cs="宋体"/>
                <w:color w:val="auto"/>
                <w:sz w:val="21"/>
                <w:szCs w:val="21"/>
                <w:highlight w:val="none"/>
              </w:rPr>
              <w:t xml:space="preserve">500GB</w:t>
            </w:r>
            <w:r>
              <w:rPr>
                <w:rFonts w:hint="eastAsia" w:ascii="宋体" w:hAnsi="宋体" w:eastAsia="宋体" w:cs="宋体"/>
                <w:color w:val="auto"/>
                <w:sz w:val="21"/>
                <w:szCs w:val="21"/>
                <w:highlight w:val="none"/>
                <w:lang w:eastAsia="zh-CN"/>
              </w:rPr>
              <w:t xml:space="preserve">以上；彩色图形加速卡，显存≥6</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eastAsia="zh-CN"/>
              </w:rPr>
              <w:t xml:space="preserve">；工作站内存≥32</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eastAsia="zh-CN"/>
              </w:rPr>
              <w:t xml:space="preserve">；彩色图像输出显示装置≥</w:t>
            </w: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lang w:eastAsia="zh-CN"/>
              </w:rPr>
              <w:t xml:space="preserve">英寸；彩色激光图文输出装置；不间断电源。</w:t>
            </w:r>
            <w:r/>
          </w:p>
        </w:tc>
      </w:tr>
      <w:tr>
        <w:trPr>
          <w:jc w:val="center"/>
          <w:trHeight w:val="35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 </w:t>
            </w:r>
            <w:r>
              <w:rPr>
                <w:rFonts w:hint="eastAsia" w:ascii="宋体" w:hAnsi="宋体" w:eastAsia="宋体" w:cs="宋体"/>
                <w:color w:val="auto"/>
                <w:sz w:val="21"/>
                <w:szCs w:val="21"/>
                <w:highlight w:val="none"/>
                <w:lang w:eastAsia="zh-CN"/>
              </w:rPr>
              <w:t xml:space="preserve">具备后装机用近距离治疗计划系统软件。</w:t>
            </w:r>
            <w:r/>
          </w:p>
        </w:tc>
      </w:tr>
      <w:tr>
        <w:trPr>
          <w:jc w:val="center"/>
          <w:trHeight w:val="18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lang w:eastAsia="zh-CN"/>
              </w:rPr>
              <w:t xml:space="preserve">具备 AI全身器官轮廓自动勾画、轮廓线勾画和图像融合功能，可三维重建任意层面，并支持在冠状面、矢状面、横断面及其他任意切面上都可以进行靶区和正常组织勾画。</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3.2.1.1 通过内置模板创建新ROI；基于已有的ROI外扩和内缩创建新的ROI；基于已有的ROI布尔运算（交集、补集、并集）创建新的ROI</w:t>
            </w:r>
            <w:r/>
          </w:p>
        </w:tc>
      </w:tr>
      <w:tr>
        <w:trPr>
          <w:jc w:val="center"/>
          <w:trHeight w:val="309"/>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3.2.1.2 铅笔、钢笔、刷子勾画；矩形、圆形、椭圆等特殊形状勾画。</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3.2.1.3 轮廓二维、三维区域生长修改。</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3.2.1.4 轮廓光滑；碎片清理。</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3.2.1.5 批量删除轮廓线；自动提取体表外轮廓。</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3.2.1.6 支持 PTV、GTV、HRCTV、IRCTV 勾画。</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69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3.2.1.7可外部导入RT STRUCTURE文件。</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3.2.1.8 在CT图像横切面、冠状面、矢状面上勾画施源器。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3.2.1.9 变换CT图像至施源器平面坐标系快速勾画施源器。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3.2.1.10 在重建的DRR图像上以正交、变角等方式快速勾画施源器。</w:t>
            </w:r>
            <w:r/>
          </w:p>
        </w:tc>
      </w:tr>
      <w:tr>
        <w:trPr>
          <w:jc w:val="center"/>
          <w:trHeight w:val="90"/>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3.2.2 </w:t>
            </w:r>
            <w:r>
              <w:rPr>
                <w:rFonts w:hint="eastAsia" w:ascii="宋体" w:hAnsi="宋体" w:eastAsia="宋体" w:cs="宋体"/>
                <w:color w:val="auto"/>
                <w:sz w:val="21"/>
                <w:szCs w:val="21"/>
                <w:highlight w:val="none"/>
                <w:lang w:eastAsia="zh-CN"/>
              </w:rPr>
              <w:t xml:space="preserve">支持多种基于投影图像的二维重建方式：</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正交投影重建；</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半正交投影重建；</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变角投影重建；</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等中心重建。</w:t>
            </w:r>
            <w:r/>
          </w:p>
        </w:tc>
      </w:tr>
      <w:tr>
        <w:trPr>
          <w:jc w:val="center"/>
          <w:trHeight w:val="37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计划模板功能：具备计划模板功能。</w:t>
            </w:r>
            <w:r/>
          </w:p>
        </w:tc>
      </w:tr>
      <w:tr>
        <w:trPr>
          <w:jc w:val="center"/>
          <w:trHeight w:val="945"/>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.4计划评估工具：提供剂量体积直方图</w:t>
            </w:r>
            <w:r>
              <w:rPr>
                <w:rFonts w:hint="eastAsia" w:ascii="宋体" w:hAnsi="宋体" w:eastAsia="宋体" w:cs="宋体"/>
                <w:color w:val="auto"/>
                <w:sz w:val="21"/>
                <w:szCs w:val="21"/>
                <w:highlight w:val="none"/>
              </w:rPr>
              <w:t xml:space="preserve">(DVH)</w:t>
            </w:r>
            <w:r>
              <w:rPr>
                <w:rFonts w:hint="eastAsia" w:ascii="宋体" w:hAnsi="宋体" w:eastAsia="宋体" w:cs="宋体"/>
                <w:color w:val="auto"/>
                <w:sz w:val="21"/>
                <w:szCs w:val="21"/>
                <w:highlight w:val="none"/>
                <w:lang w:eastAsia="zh-CN"/>
              </w:rPr>
              <w:t xml:space="preserve">；任意层面上显示剂量冷点和热点；</w:t>
            </w:r>
            <w:r>
              <w:rPr>
                <w:rFonts w:hint="eastAsia" w:ascii="宋体" w:hAnsi="宋体" w:eastAsia="宋体" w:cs="宋体"/>
                <w:color w:val="auto"/>
                <w:sz w:val="21"/>
                <w:szCs w:val="21"/>
                <w:highlight w:val="none"/>
              </w:rPr>
              <w:t xml:space="preserve">3D</w:t>
            </w:r>
            <w:r>
              <w:rPr>
                <w:rFonts w:hint="eastAsia" w:ascii="宋体" w:hAnsi="宋体" w:eastAsia="宋体" w:cs="宋体"/>
                <w:color w:val="auto"/>
                <w:sz w:val="21"/>
                <w:szCs w:val="21"/>
                <w:highlight w:val="none"/>
                <w:lang w:eastAsia="zh-CN"/>
              </w:rPr>
              <w:t xml:space="preserve">图像的冷点和热点显示；任意平面和</w:t>
            </w:r>
            <w:r>
              <w:rPr>
                <w:rFonts w:hint="eastAsia" w:ascii="宋体" w:hAnsi="宋体" w:eastAsia="宋体" w:cs="宋体"/>
                <w:color w:val="auto"/>
                <w:sz w:val="21"/>
                <w:szCs w:val="21"/>
                <w:highlight w:val="none"/>
              </w:rPr>
              <w:t xml:space="preserve">3D</w:t>
            </w:r>
            <w:r>
              <w:rPr>
                <w:rFonts w:hint="eastAsia" w:ascii="宋体" w:hAnsi="宋体" w:eastAsia="宋体" w:cs="宋体"/>
                <w:color w:val="auto"/>
                <w:sz w:val="21"/>
                <w:szCs w:val="21"/>
                <w:highlight w:val="none"/>
                <w:lang w:eastAsia="zh-CN"/>
              </w:rPr>
              <w:t xml:space="preserve">的实时剂量线和剂量云显示工具；支持多个计划的评估和比较；支持多个计划同步进行比较。</w:t>
            </w:r>
            <w:r/>
          </w:p>
        </w:tc>
      </w:tr>
      <w:tr>
        <w:trPr>
          <w:jc w:val="center"/>
          <w:trHeight w:val="63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具备打印输出功能：支持剂量分布打印输出；用户可自定义打印图形比例；可显示放射源衰减表；显示界面可截图打印。</w:t>
            </w:r>
            <w:r/>
          </w:p>
        </w:tc>
      </w:tr>
      <w:tr>
        <w:trPr>
          <w:jc w:val="center"/>
          <w:trHeight w:val="528"/>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 DICOM</w:t>
            </w:r>
            <w:r>
              <w:rPr>
                <w:rFonts w:hint="eastAsia" w:ascii="宋体" w:hAnsi="宋体" w:eastAsia="宋体" w:cs="宋体"/>
                <w:color w:val="auto"/>
                <w:sz w:val="21"/>
                <w:szCs w:val="21"/>
                <w:highlight w:val="none"/>
                <w:lang w:eastAsia="zh-CN"/>
              </w:rPr>
              <w:t xml:space="preserve">输入和输出接口，支持：</w:t>
            </w:r>
            <w:r>
              <w:rPr>
                <w:rFonts w:hint="eastAsia" w:ascii="宋体" w:hAnsi="宋体" w:eastAsia="宋体" w:cs="宋体"/>
                <w:color w:val="auto"/>
                <w:sz w:val="21"/>
                <w:szCs w:val="21"/>
                <w:highlight w:val="none"/>
              </w:rPr>
              <w:t xml:space="preserve">1) DICOM RT images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DICOM RT structure sets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 DICOM RT plans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 DICOM RT doses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 DICOM query and retrieve</w:t>
            </w:r>
            <w:r>
              <w:rPr>
                <w:rFonts w:hint="eastAsia" w:ascii="宋体" w:hAnsi="宋体" w:eastAsia="宋体" w:cs="宋体"/>
                <w:color w:val="auto"/>
                <w:sz w:val="21"/>
                <w:szCs w:val="21"/>
                <w:highlight w:val="none"/>
                <w:lang w:eastAsia="zh-CN"/>
              </w:rPr>
              <w:t xml:space="preserve">。</w:t>
            </w:r>
            <w:r/>
          </w:p>
        </w:tc>
      </w:tr>
      <w:tr>
        <w:trPr>
          <w:jc w:val="center"/>
          <w:trHeight w:val="522"/>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剂量优化：具有正向和逆向优化功能，能根据临床要求自动设计治疗计划。逆向计划具备锁定指定通道剂量功能、支持剂量线手动优化以及剂量曲线拖动。</w:t>
            </w:r>
            <w:r/>
          </w:p>
        </w:tc>
      </w:tr>
      <w:tr>
        <w:trPr>
          <w:jc w:val="center"/>
          <w:trHeight w:val="363"/>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8剂量叠加：具备内照射不同计划之间的叠加融合，同时也支持内照射与外照射计划的剂量叠加。</w:t>
            </w:r>
            <w:r/>
          </w:p>
        </w:tc>
      </w:tr>
      <w:tr>
        <w:trPr>
          <w:jc w:val="center"/>
          <w:trHeight w:val="36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9形变叠加：支持将已经执行的剂量形变到新的影像的计划上，进行计划的叠加。</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eastAsia="zh-CN"/>
              </w:rPr>
              <w:t xml:space="preserve">10计划比较：支持将多个计划进行比较的功能。</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3.2.11等剂量线模板：支持等剂量曲线模板功能。</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83</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3.2.12自适应计划：支持自适应计划的制作。</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84</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3.2.13 计划系统免费升级</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85</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eastAsia="zh-CN"/>
              </w:rPr>
              <w:t xml:space="preserve">施源器</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86</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4.1 提供钛合金三通道妇科施源器4套，至少配置15度宫腔管4根、30度宫腔管4根、45度宫腔管4根，以及各类形状的卵形帽对≥4对。</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87</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4.2 提供阴道施源器1套，直径≤20mm、≤25mm、≤30mm和≤35mm的圆柱各1套。</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88</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4.3 提供直径≤1.9mm、长度≥200mm的金属插植针至少60根，并提供配套数量的插植针芯至少60根。</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89</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MRI 专用施源器 一支。</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90</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4.4 提供上述施源器所必需配套传输管及标记线。</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rPr>
              <w:t xml:space="preserve">91</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5. 放射源</w:t>
            </w:r>
            <w:r/>
          </w:p>
        </w:tc>
      </w:tr>
      <w:tr>
        <w:trPr>
          <w:jc w:val="center"/>
          <w:trHeight w:val="371"/>
        </w:trPr>
        <w:tc>
          <w:tcPr>
            <w:tcBorders>
              <w:top w:val="single" w:color="auto" w:sz="2" w:space="0"/>
              <w:left w:val="single" w:color="auto" w:sz="2" w:space="0"/>
              <w:bottom w:val="single" w:color="auto" w:sz="2" w:space="0"/>
              <w:right w:val="single" w:color="auto" w:sz="2" w:space="0"/>
            </w:tcBorders>
            <w:tcW w:w="1203" w:type="dxa"/>
            <w:vAlign w:val="center"/>
            <w:textDirection w:val="lrTb"/>
            <w:noWrap w:val="false"/>
          </w:tcPr>
          <w:p>
            <w:pPr>
              <w:pStyle w:val="9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tcBorders>
              <w:top w:val="single" w:color="auto" w:sz="2" w:space="0"/>
              <w:left w:val="single" w:color="auto" w:sz="2" w:space="0"/>
              <w:bottom w:val="single" w:color="auto" w:sz="2" w:space="0"/>
              <w:right w:val="single" w:color="auto" w:sz="2" w:space="0"/>
            </w:tcBorders>
            <w:tcW w:w="806" w:type="dxa"/>
            <w:vAlign w:val="center"/>
            <w:textDirection w:val="lrTb"/>
            <w:noWrap w:val="false"/>
          </w:tcPr>
          <w:p>
            <w:pPr>
              <w:pStyle w:val="994"/>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92</w:t>
            </w:r>
            <w:r/>
          </w:p>
        </w:tc>
        <w:tc>
          <w:tcPr>
            <w:tcBorders>
              <w:top w:val="single" w:color="auto" w:sz="2" w:space="0"/>
              <w:left w:val="single" w:color="auto" w:sz="2" w:space="0"/>
              <w:bottom w:val="single" w:color="auto" w:sz="2" w:space="0"/>
              <w:right w:val="single" w:color="auto" w:sz="2" w:space="0"/>
            </w:tcBorders>
            <w:tcW w:w="6802" w:type="dxa"/>
            <w:vAlign w:val="center"/>
            <w:textDirection w:val="lrTb"/>
            <w:noWrap w:val="false"/>
          </w:tcPr>
          <w:p>
            <w:pPr>
              <w:pStyle w:val="99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5.1 质保期内，</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及设备生产厂家负责落实放射源新源购入和旧源处置所有手续的办理及运输、安装、调校，保障采购人能够安全、顺利使用。</w:t>
            </w:r>
            <w:r/>
          </w:p>
        </w:tc>
      </w:tr>
    </w:tbl>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、供货要求</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需保证所供设备全新、型号最新、保持完好的原包装，系新机，不可为翻新机，符合国家法律法规的规定，其质量技术满足中国国家标准或国际相关行业标准。</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、质保要求</w:t>
      </w:r>
      <w:r/>
    </w:p>
    <w:p>
      <w:pPr>
        <w:pStyle w:val="973"/>
        <w:ind w:firstLine="422"/>
        <w:spacing w:line="520" w:lineRule="exact"/>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免费质保期≥5年</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 </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乙方应在24小时内立即予以免费维修或更换，由此引起的一切费用由乙方承担。</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.质保期外出现产品质量问题，在收到采购人通知后，应派员到问题现场，与采购人协商并及时解决，并酌情收取材料成本费和适当的维修费，采购人可提供协助工作。</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、验收标准</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1.成交供应商按照本文件的有关规定提供合格产品，负责安装和调试，同时必须满足文件中所列出的全部规格、型号、具体配置、技术条件、材料工艺以及供应商承诺的其他指标；</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3.交货过程中如发现不符合本文件所规定产品，供应商无条件退换。</w:t>
      </w:r>
      <w:r/>
    </w:p>
    <w:p>
      <w:pPr>
        <w:pStyle w:val="973"/>
        <w:ind w:firstLine="420"/>
        <w:spacing w:line="5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973"/>
        <w:ind w:firstLine="422"/>
        <w:spacing w:line="52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商务要求</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1.本次招标采用项目总承包方式，磋商报价包括为实施委托项目约定范围内所需的全部费用。供应商要认真阅读磋商文件及各类规范政策，慎重报价，采购人不再支付其他任何费用，如有漏项采购人视同优惠。</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2.合同履行期限：合同签署后，30日内完成供货和安装。</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3.本次投标设最高限价为</w:t>
      </w:r>
      <w:r>
        <w:rPr>
          <w:rFonts w:hint="eastAsia" w:ascii="宋体" w:hAnsi="宋体" w:cs="宋体"/>
          <w:b/>
          <w:bCs/>
          <w:color w:val="auto"/>
          <w:szCs w:val="21"/>
          <w:highlight w:val="none"/>
          <w:u w:val="single"/>
          <w:lang w:val="en-US" w:eastAsia="zh-CN"/>
        </w:rPr>
        <w:t xml:space="preserve">12</w:t>
      </w:r>
      <w:r>
        <w:rPr>
          <w:rFonts w:hint="eastAsia" w:ascii="宋体" w:hAnsi="宋体" w:cs="宋体"/>
          <w:b/>
          <w:bCs/>
          <w:color w:val="auto"/>
          <w:szCs w:val="21"/>
          <w:highlight w:val="none"/>
          <w:u w:val="single"/>
        </w:rPr>
        <w:t xml:space="preserve">0</w:t>
      </w:r>
      <w:r>
        <w:rPr>
          <w:rFonts w:hint="eastAsia" w:ascii="宋体" w:hAnsi="宋体" w:cs="宋体"/>
          <w:color w:val="auto"/>
          <w:szCs w:val="21"/>
          <w:highlight w:val="none"/>
        </w:rPr>
        <w:t xml:space="preserve">万元，各供应商的投标报价不得高于上述限价，否则视为无效响应文件处理。</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4.合同形式：固定</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价合同。</w:t>
      </w:r>
      <w:r/>
    </w:p>
    <w:p>
      <w:pPr>
        <w:pStyle w:val="973"/>
        <w:ind w:firstLine="420"/>
        <w:spacing w:line="520" w:lineRule="exact"/>
        <w:rPr>
          <w:rFonts w:hint="default" w:ascii="宋体" w:hAnsi="宋体" w:eastAsia="宋体" w:cs="宋体"/>
          <w:color w:val="auto"/>
          <w:spacing w:val="15"/>
          <w:szCs w:val="21"/>
          <w:highlight w:val="none"/>
          <w:lang w:val="en-US" w:eastAsia="zh-CN"/>
        </w:rPr>
      </w:pPr>
      <w:r>
        <w:rPr>
          <w:rFonts w:hint="eastAsia" w:ascii="宋体" w:hAnsi="宋体" w:cs="宋体"/>
          <w:color w:val="auto"/>
          <w:szCs w:val="21"/>
          <w:highlight w:val="none"/>
        </w:rPr>
        <w:t xml:space="preserve">5.付款方式：</w:t>
      </w:r>
      <w:r>
        <w:rPr>
          <w:rFonts w:hint="eastAsia" w:ascii="宋体" w:hAnsi="宋体" w:cs="宋体"/>
          <w:color w:val="auto"/>
          <w:sz w:val="21"/>
          <w:szCs w:val="21"/>
          <w:highlight w:val="none"/>
          <w:lang w:val="en-US" w:eastAsia="zh-CN"/>
        </w:rPr>
        <w:t xml:space="preserve">合同签订后付合同价的30%，</w:t>
      </w:r>
      <w:r>
        <w:rPr>
          <w:rFonts w:hint="eastAsia" w:ascii="宋体" w:hAnsi="宋体" w:eastAsia="宋体" w:cs="宋体"/>
          <w:color w:val="auto"/>
          <w:sz w:val="21"/>
          <w:szCs w:val="21"/>
          <w:highlight w:val="none"/>
        </w:rPr>
        <w:t xml:space="preserve">货到，安装，验收合格后凭甲方出具的验收报告按甲方财务流程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6.履约保证金：本项目履约保证金为成交价的10%（供应商自主选择以电汇、转账、支票、汇票、本票</w:t>
      </w:r>
      <w:bookmarkStart w:id="151" w:name="_GoBack"/>
      <w:r/>
      <w:bookmarkEnd w:id="151"/>
      <w:r>
        <w:rPr>
          <w:rFonts w:hint="eastAsia" w:ascii="宋体" w:hAnsi="宋体" w:cs="宋体"/>
          <w:color w:val="auto"/>
          <w:szCs w:val="21"/>
          <w:highlight w:val="none"/>
        </w:rPr>
        <w:t xml:space="preserve">、保函、保证保险等非现金形式缴纳或提交），履约保证金在合同签订前缴纳至采购人指定账号，</w:t>
      </w:r>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pStyle w:val="973"/>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2"/>
        <w:jc w:val="center"/>
        <w:keepNext w:val="0"/>
        <w:spacing w:line="520" w:lineRule="exact"/>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磋商供应商在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因磋商供应商自身原因，在磋商期间，不能及时、完整、有效提供相关原件以供磋商小组查询，由此导致不利于响应文件的磋商后果由磋商供应商承担。</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66"/>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20"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795" w:type="dxa"/>
            <w:vAlign w:val="center"/>
            <w:textDirection w:val="lrTb"/>
            <w:noWrap w:val="false"/>
          </w:tcPr>
          <w:p>
            <w:pPr>
              <w:jc w:val="center"/>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241" w:type="dxa"/>
            <w:vAlign w:val="center"/>
            <w:textDirection w:val="lrTb"/>
            <w:noWrap w:val="false"/>
          </w:tcPr>
          <w:p>
            <w:pPr>
              <w:ind w:firstLine="480"/>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b/>
                <w:bCs/>
                <w:color w:val="auto"/>
                <w:szCs w:val="21"/>
                <w:highlight w:val="none"/>
              </w:rPr>
            </w:pPr>
            <w:r>
              <w:rPr>
                <w:rFonts w:hint="eastAsia" w:ascii="宋体" w:hAnsi="宋体" w:cs="宋体"/>
                <w:color w:val="auto"/>
                <w:szCs w:val="21"/>
                <w:highlight w:val="none"/>
              </w:rPr>
              <w:t xml:space="preserve">一、报价评审（30分）</w:t>
            </w:r>
            <w:r/>
          </w:p>
        </w:tc>
      </w:tr>
      <w:tr>
        <w:trPr>
          <w:jc w:val="center"/>
          <w:trHeight w:val="1010"/>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795"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满足磋商文件要求且最后报价最低的供应商的价格为磋商基准价，其价格分为满分30分。其他供应商的价格分统一按照下列公式计算：磋商报价得分＝（磋商基准价/最后磋商报价）×30分（保留两位小数，四舍五入）。</w:t>
            </w:r>
            <w:r/>
          </w:p>
        </w:tc>
      </w:tr>
      <w:tr>
        <w:trPr>
          <w:jc w:val="center"/>
          <w:trHeight w:val="477"/>
        </w:trPr>
        <w:tc>
          <w:tcPr>
            <w:gridSpan w:val="4"/>
            <w:tcW w:w="8784"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二、商务评审（</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jc w:val="center"/>
          <w:trHeight w:val="477"/>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020"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业绩</w:t>
            </w:r>
            <w:r/>
          </w:p>
        </w:tc>
        <w:tc>
          <w:tcPr>
            <w:tcW w:w="795"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所投产品（同品牌同类型）自2022年1月1日至响应截止时间（以合同签订日期为准）有销售业绩。每提供1份业绩合同得0.5分，本项最多得6分。</w:t>
            </w:r>
            <w:r/>
          </w:p>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提供合同</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未提供或未按要求提供不得分。</w:t>
            </w:r>
            <w:r/>
          </w:p>
        </w:tc>
      </w:tr>
      <w:tr>
        <w:trPr>
          <w:jc w:val="center"/>
          <w:trHeight w:val="477"/>
        </w:trPr>
        <w:tc>
          <w:tcPr>
            <w:tcW w:w="728"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95"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在采购文件要求的免费质保期（5年）的基础上，供应商承诺每增加1年免费质保期得2分，本项最高得6分。提供承诺书加盖公章，格式自拟。</w:t>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三、技术评审（</w:t>
            </w:r>
            <w:r>
              <w:rPr>
                <w:rFonts w:hint="eastAsia" w:ascii="宋体" w:hAnsi="宋体" w:cs="宋体"/>
                <w:color w:val="auto"/>
                <w:szCs w:val="21"/>
                <w:highlight w:val="none"/>
                <w:lang w:val="en-US" w:eastAsia="zh-CN"/>
              </w:rPr>
              <w:t xml:space="preserve">58</w:t>
            </w:r>
            <w:r>
              <w:rPr>
                <w:rFonts w:hint="eastAsia" w:ascii="宋体" w:hAnsi="宋体" w:cs="宋体"/>
                <w:color w:val="auto"/>
                <w:szCs w:val="21"/>
                <w:highlight w:val="none"/>
              </w:rPr>
              <w:t xml:space="preserve">分）</w:t>
            </w:r>
            <w:r/>
          </w:p>
        </w:tc>
      </w:tr>
      <w:tr>
        <w:trPr>
          <w:jc w:val="center"/>
          <w:trHeight w:val="744"/>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020" w:type="dxa"/>
            <w:vAlign w:val="center"/>
            <w:textDirection w:val="lrTb"/>
            <w:noWrap w:val="false"/>
          </w:tcPr>
          <w:p>
            <w:pPr>
              <w:jc w:val="center"/>
              <w:spacing w:line="240" w:lineRule="auto"/>
              <w:rPr>
                <w:rFonts w:hint="eastAsia" w:ascii="宋体" w:hAnsi="宋体" w:cs="宋体"/>
                <w:color w:val="auto"/>
                <w:szCs w:val="21"/>
                <w:highlight w:val="none"/>
              </w:rPr>
              <w:outlineLvl w:val="0"/>
            </w:pPr>
            <w:r>
              <w:rPr>
                <w:rFonts w:hint="eastAsia" w:ascii="宋体" w:hAnsi="宋体"/>
                <w:color w:val="auto"/>
                <w:szCs w:val="21"/>
                <w:highlight w:val="none"/>
              </w:rPr>
              <w:t xml:space="preserve">技术参数响应</w:t>
            </w:r>
            <w:r/>
          </w:p>
        </w:tc>
        <w:tc>
          <w:tcPr>
            <w:tcW w:w="795"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40</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中，加★项为核心条款，存在负偏离的视为无效响应文件；加▲项的参数负偏离的扣6分；未加★和▲项的参数，有一项负偏离的扣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最多扣40</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上述技术参数响应须提供《</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color w:val="auto"/>
                <w:szCs w:val="21"/>
                <w:highlight w:val="none"/>
              </w:rPr>
              <w:t xml:space="preserve">》及相应证明材料（包括制造商盖章的技术白皮书、Data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项目供货建设方案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90"/>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质量保证措施</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根据供应商提供的产品质量保证措施的科学性、合理性、可行性进行综合评审，酌情评定。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spacing w:line="400" w:lineRule="exact"/>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售后服务方案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6</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（1）完整性，可实施性强的，得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（2）完整性，可实施性一般的，得4分；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（3）完整性，可实施性差的，得1分；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0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培训方案</w:t>
            </w:r>
            <w:r/>
          </w:p>
        </w:tc>
        <w:tc>
          <w:tcPr>
            <w:tcW w:w="795"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（1）完整性、清晰性、合理性强的，得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（2）完整性、清晰性、合理性一般的，得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（3）完整性、清晰性、合理性差的，得1分；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bl>
    <w:p>
      <w:pPr>
        <w:spacing w:line="400" w:lineRule="exact"/>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spacing w:line="520" w:lineRule="exact"/>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2.响应文件中如出现前后不一致时，磋商小组有权请磋商供应商澄清说明，澄清说明事项涉及评分时，该项不得分。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3.磋商供应商承诺所提供的商务、技术、业绩资料全部真实，如有伪造，视作磋商供应商自动放弃投标及成交资格，并视作磋商供应商自愿接受相关处罚。</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4.磋商报价超过最高限价的，不得进入评标程序。</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6.供应商应根据国家政策调整规律进行报价，充分考虑服务期内的市场因素和成本变化状况的风险。</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8.本办法未尽事宜，由磋商小组依据有关法规研究解决。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2"/>
        <w:jc w:val="center"/>
        <w:keepNext w:val="0"/>
        <w:rPr>
          <w:rFonts w:hint="eastAsia" w:ascii="黑体" w:hAnsi="黑体" w:eastAsia="黑体" w:cs="黑体"/>
          <w:color w:val="auto"/>
          <w:sz w:val="32"/>
          <w:szCs w:val="32"/>
          <w:highlight w:val="none"/>
        </w:rPr>
      </w:pPr>
      <w:r/>
      <w:bookmarkStart w:id="115" w:name="_Toc29253"/>
      <w:r>
        <w:rPr>
          <w:rFonts w:hint="eastAsia" w:ascii="黑体" w:hAnsi="黑体" w:eastAsia="黑体" w:cs="黑体"/>
          <w:color w:val="auto"/>
          <w:sz w:val="32"/>
          <w:szCs w:val="32"/>
          <w:highlight w:val="none"/>
        </w:rPr>
        <w:t xml:space="preserve">第六章 响应文件的组成和格式</w:t>
      </w:r>
      <w:bookmarkEnd w:id="115"/>
      <w:r/>
      <w:r/>
    </w:p>
    <w:p>
      <w:pPr>
        <w:rPr>
          <w:rFonts w:hint="eastAsia" w:ascii="宋体" w:hAnsi="宋体" w:cs="宋体"/>
          <w:color w:val="auto"/>
          <w:highlight w:val="none"/>
        </w:rPr>
      </w:pPr>
      <w:r>
        <w:rPr>
          <w:rFonts w:hint="eastAsia" w:ascii="宋体" w:hAnsi="宋体" w:cs="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6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66"/>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66"/>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66"/>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66"/>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w:t>
      </w:r>
      <w:r/>
    </w:p>
    <w:p>
      <w:pPr>
        <w:pStyle w:val="975"/>
        <w:ind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本次为首次报价                          货币单位：人民币元</w:t>
      </w:r>
      <w:r/>
    </w:p>
    <w:p>
      <w:pPr>
        <w:pStyle w:val="975"/>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6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bookmarkStart w:id="116" w:name="OLE_LINK18"/>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6"/>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首轮响应报价明细表</w:t>
      </w:r>
      <w:r/>
    </w:p>
    <w:p>
      <w:pPr>
        <w:pStyle w:val="975"/>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                  </w:t>
      </w:r>
      <w:r/>
    </w:p>
    <w:p>
      <w:pPr>
        <w:pStyle w:val="975"/>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r/>
    </w:p>
    <w:tbl>
      <w:tblPr>
        <w:tblStyle w:val="766"/>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hAnsi="宋体" w:cs="宋体"/>
                <w:bCs/>
                <w:color w:val="auto"/>
                <w:sz w:val="21"/>
                <w:szCs w:val="21"/>
                <w:highlight w:val="none"/>
                <w:lang w:eastAsia="zh-CN"/>
              </w:rPr>
              <w:t xml:space="preserve">泰州市人民医院三维后装机采购项目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b w:val="0"/>
                <w:bCs w:val="0"/>
                <w:color w:val="auto"/>
                <w:sz w:val="21"/>
                <w:szCs w:val="21"/>
                <w:highlight w:val="none"/>
              </w:rPr>
            </w:pPr>
            <w:r>
              <w:rPr>
                <w:rFonts w:hint="eastAsia" w:ascii="宋体" w:hAnsi="宋体" w:cs="Arial"/>
                <w:b w:val="0"/>
                <w:bCs w:val="0"/>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合计</w:t>
            </w:r>
            <w:r/>
          </w:p>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三维后装机</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总价：</w:t>
            </w:r>
            <w:r>
              <w:rPr>
                <w:rFonts w:hint="eastAsia" w:ascii="宋体" w:hAnsi="宋体" w:cs="宋体"/>
                <w:b/>
                <w:bCs/>
                <w:color w:val="auto"/>
                <w:sz w:val="21"/>
                <w:szCs w:val="21"/>
                <w:highlight w:val="none"/>
                <w:u w:val="single"/>
                <w:lang w:bidi="ar"/>
              </w:rPr>
              <w:t xml:space="preserve">          </w:t>
            </w:r>
            <w:r>
              <w:rPr>
                <w:rFonts w:hint="eastAsia" w:ascii="宋体" w:hAnsi="宋体" w:cs="宋体"/>
                <w:b/>
                <w:bCs/>
                <w:color w:val="auto"/>
                <w:sz w:val="21"/>
                <w:szCs w:val="21"/>
                <w:highlight w:val="none"/>
                <w:lang w:bidi="ar"/>
              </w:rPr>
              <w:t xml:space="preserve">元</w:t>
            </w:r>
            <w:r>
              <w:rPr>
                <w:rFonts w:hint="eastAsia"/>
                <w:color w:val="auto"/>
                <w:sz w:val="21"/>
                <w:szCs w:val="21"/>
                <w:highlight w:val="none"/>
                <w:lang w:bidi="ar"/>
              </w:rPr>
              <w:t xml:space="preserve"> </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供应商（电子签章）：</w:t>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附件1 ：</w:t>
      </w:r>
      <w:r/>
    </w:p>
    <w:p>
      <w:pPr>
        <w:jc w:val="center"/>
        <w:rPr>
          <w:rFonts w:hint="eastAsia" w:ascii="宋体" w:hAnsi="宋体" w:cs="宋体"/>
          <w:color w:val="auto"/>
          <w:sz w:val="32"/>
          <w:szCs w:val="32"/>
          <w:highlight w:val="none"/>
        </w:rPr>
      </w:pPr>
      <w:r/>
      <w:bookmarkStart w:id="117" w:name="_Toc541"/>
      <w:r>
        <w:rPr>
          <w:rFonts w:hint="eastAsia" w:ascii="宋体" w:hAnsi="宋体" w:cs="宋体"/>
          <w:color w:val="auto"/>
          <w:sz w:val="32"/>
          <w:szCs w:val="32"/>
          <w:highlight w:val="none"/>
        </w:rPr>
        <w:t xml:space="preserve">法定代表人资格证明书</w:t>
      </w:r>
      <w:bookmarkEnd w:id="117"/>
      <w:r/>
      <w:r/>
    </w:p>
    <w:p>
      <w:pPr>
        <w:pStyle w:val="964"/>
        <w:rPr>
          <w:rFonts w:hint="eastAsia" w:ascii="宋体" w:hAnsi="宋体" w:eastAsia="宋体"/>
          <w:color w:val="auto"/>
          <w:highlight w:val="none"/>
        </w:rPr>
      </w:pPr>
      <w:r>
        <w:rPr>
          <w:rFonts w:hint="eastAsia" w:ascii="宋体" w:hAnsi="宋体" w:eastAsia="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64"/>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44"/>
        <w:rPr>
          <w:rFonts w:hint="eastAsia" w:ascii="宋体" w:hAnsi="宋体" w:cs="宋体"/>
          <w:color w:val="auto"/>
          <w:highlight w:val="none"/>
        </w:rPr>
      </w:pPr>
      <w:r>
        <w:rPr>
          <w:rFonts w:hint="eastAsia" w:ascii="宋体" w:hAnsi="宋体" w:cs="宋体"/>
          <w:color w:val="auto"/>
          <w:highlight w:val="none"/>
        </w:rPr>
      </w:r>
      <w:r/>
    </w:p>
    <w:tbl>
      <w:tblPr>
        <w:tblStyle w:val="766"/>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44"/>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44"/>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7422"/>
      <w:r/>
      <w:bookmarkStart w:id="119" w:name="_Toc10173"/>
      <w:r/>
      <w:bookmarkStart w:id="120" w:name="_Toc3508"/>
      <w:r/>
      <w:bookmarkStart w:id="121" w:name="_Toc27742"/>
      <w:r>
        <w:rPr>
          <w:rFonts w:hint="eastAsia" w:ascii="宋体" w:hAnsi="宋体" w:cs="宋体"/>
          <w:color w:val="auto"/>
          <w:sz w:val="24"/>
          <w:highlight w:val="none"/>
        </w:rPr>
        <w:t xml:space="preserve">附件2：</w:t>
      </w:r>
      <w:bookmarkEnd w:id="118"/>
      <w:r/>
      <w:bookmarkEnd w:id="119"/>
      <w:r/>
      <w:bookmarkEnd w:id="120"/>
      <w:r/>
      <w:bookmarkEnd w:id="121"/>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22" w:name="_Toc30840"/>
      <w:r/>
      <w:bookmarkStart w:id="123" w:name="_Toc32139"/>
      <w:r/>
      <w:bookmarkStart w:id="124" w:name="_Toc17493"/>
      <w:r/>
      <w:bookmarkStart w:id="125" w:name="_Toc24313"/>
      <w:r>
        <w:rPr>
          <w:rFonts w:hint="eastAsia" w:ascii="宋体" w:hAnsi="宋体" w:cs="宋体"/>
          <w:color w:val="auto"/>
          <w:sz w:val="32"/>
          <w:szCs w:val="32"/>
          <w:highlight w:val="none"/>
        </w:rPr>
        <w:t xml:space="preserve">法定代表人授权委托书</w:t>
      </w:r>
      <w:bookmarkEnd w:id="122"/>
      <w:r/>
      <w:bookmarkEnd w:id="123"/>
      <w:r/>
      <w:bookmarkEnd w:id="124"/>
      <w:r/>
      <w:bookmarkEnd w:id="125"/>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江苏建泰工程项目管理有限公司：</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color w:val="auto"/>
          <w:highlight w:val="none"/>
        </w:rPr>
      </w:pPr>
      <w:r>
        <w:rPr>
          <w:rFonts w:hint="eastAsia" w:ascii="宋体" w:hAnsi="宋体" w:cs="宋体"/>
          <w:color w:val="auto"/>
          <w:highlight w:val="none"/>
        </w:rPr>
        <w:t xml:space="preserve">被授权代表情况：</w:t>
      </w:r>
      <w:r/>
    </w:p>
    <w:p>
      <w:pPr>
        <w:rPr>
          <w:rFonts w:hint="eastAsia" w:ascii="宋体" w:hAnsi="宋体" w:cs="宋体"/>
          <w:color w:val="auto"/>
          <w:highlight w:val="none"/>
        </w:rPr>
      </w:pPr>
      <w:r>
        <w:rPr>
          <w:rFonts w:hint="eastAsia" w:ascii="宋体" w:hAnsi="宋体" w:cs="宋体"/>
          <w:color w:val="auto"/>
          <w:highlight w:val="none"/>
        </w:rPr>
        <w:t xml:space="preserve">姓名：                       性别：                    电话：               </w:t>
      </w:r>
      <w:r/>
    </w:p>
    <w:p>
      <w:pPr>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44"/>
        <w:rPr>
          <w:rFonts w:hint="eastAsia" w:ascii="宋体" w:hAnsi="宋体" w:cs="宋体"/>
          <w:color w:val="auto"/>
          <w:highlight w:val="none"/>
        </w:rPr>
      </w:pPr>
      <w:r>
        <w:rPr>
          <w:rFonts w:hint="eastAsia" w:ascii="宋体" w:hAnsi="宋体" w:cs="宋体"/>
          <w:color w:val="auto"/>
          <w:highlight w:val="none"/>
        </w:rPr>
      </w:r>
      <w:r/>
    </w:p>
    <w:tbl>
      <w:tblPr>
        <w:tblStyle w:val="766"/>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44"/>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44"/>
              <w:spacing w:line="360" w:lineRule="exact"/>
              <w:rPr>
                <w:rFonts w:hint="eastAsia" w:ascii="宋体" w:hAnsi="宋体" w:cs="宋体"/>
                <w:color w:val="auto"/>
                <w:highlight w:val="none"/>
              </w:rPr>
            </w:pPr>
            <w:r>
              <w:rPr>
                <w:rFonts w:hint="eastAsia" w:ascii="宋体" w:hAnsi="宋体" w:cs="宋体"/>
                <w:color w:val="auto"/>
                <w:highlight w:val="none"/>
              </w:rPr>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加</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盖</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CA</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电</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子</w:t>
            </w:r>
            <w:r/>
          </w:p>
          <w:p>
            <w:pPr>
              <w:spacing w:line="360" w:lineRule="exact"/>
              <w:rPr>
                <w:rFonts w:hint="eastAsia" w:ascii="宋体" w:hAnsi="宋体" w:cs="宋体"/>
                <w:color w:val="auto"/>
                <w:highlight w:val="none"/>
              </w:rPr>
            </w:pPr>
            <w:r>
              <w:rPr>
                <w:rFonts w:hint="eastAsia" w:ascii="宋体" w:hAnsi="宋体" w:cs="宋体"/>
                <w:color w:val="auto"/>
                <w:highlight w:val="none"/>
              </w:rPr>
              <w:t xml:space="preserve">章</w:t>
            </w:r>
            <w:r/>
          </w:p>
          <w:p>
            <w:pPr>
              <w:pStyle w:val="944"/>
              <w:spacing w:line="360" w:lineRule="exact"/>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44"/>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 xml:space="preserve">附件3 ：</w:t>
      </w:r>
      <w:bookmarkEnd w:id="126"/>
      <w:r/>
      <w:r/>
    </w:p>
    <w:p>
      <w:pPr>
        <w:pStyle w:val="977"/>
        <w:rPr>
          <w:rFonts w:hint="eastAsia" w:ascii="宋体" w:hAnsi="宋体" w:cs="宋体"/>
          <w:color w:val="auto"/>
          <w:highlight w:val="none"/>
        </w:rPr>
      </w:pPr>
      <w:r>
        <w:rPr>
          <w:rFonts w:hint="eastAsia" w:ascii="宋体" w:hAnsi="宋体" w:cs="宋体"/>
          <w:color w:val="auto"/>
          <w:highlight w:val="none"/>
        </w:rPr>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7" w:name="_Toc20864"/>
      <w:r/>
      <w:bookmarkStart w:id="128" w:name="_Toc14753"/>
      <w:r/>
      <w:bookmarkStart w:id="129" w:name="_Toc3595"/>
      <w:r/>
      <w:bookmarkStart w:id="130" w:name="_Toc28534"/>
      <w:r>
        <w:rPr>
          <w:rFonts w:hint="eastAsia" w:ascii="宋体" w:hAnsi="宋体" w:cs="宋体"/>
          <w:color w:val="auto"/>
          <w:highlight w:val="none"/>
        </w:rPr>
        <w:t xml:space="preserve">附件4：</w:t>
      </w:r>
      <w:bookmarkEnd w:id="127"/>
      <w:r/>
      <w:bookmarkEnd w:id="128"/>
      <w:r/>
      <w:bookmarkEnd w:id="129"/>
      <w:r/>
      <w:bookmarkEnd w:id="130"/>
      <w:r>
        <w:rPr>
          <w:rFonts w:hint="eastAsia" w:ascii="宋体" w:hAnsi="宋体" w:cs="宋体"/>
          <w:color w:val="auto"/>
          <w:highlight w:val="none"/>
        </w:rPr>
        <w:t xml:space="preserve"> </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 xml:space="preserve">泰州市人民医院</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w:t>
      </w:r>
      <w:r>
        <w:rPr>
          <w:rFonts w:hint="eastAsia" w:ascii="宋体" w:hAnsi="宋体" w:eastAsia="宋体" w:cs="宋体"/>
          <w:bCs/>
          <w:color w:val="auto"/>
          <w:sz w:val="21"/>
          <w:szCs w:val="21"/>
          <w:highlight w:val="none"/>
          <w:lang w:val="en-US" w:eastAsia="zh-CN"/>
        </w:rPr>
        <w:t xml:space="preserve">提供的货物</w:t>
      </w:r>
      <w:r>
        <w:rPr>
          <w:rFonts w:hint="eastAsia" w:ascii="宋体" w:hAnsi="宋体" w:eastAsia="宋体" w:cs="宋体"/>
          <w:bCs/>
          <w:color w:val="auto"/>
          <w:sz w:val="21"/>
          <w:szCs w:val="21"/>
          <w:highlight w:val="none"/>
        </w:rPr>
        <w:t xml:space="preserve">全部由符合政策要求的中小企业</w:t>
      </w:r>
      <w:r>
        <w:rPr>
          <w:rFonts w:hint="eastAsia" w:ascii="宋体" w:hAnsi="宋体" w:eastAsia="宋体" w:cs="宋体"/>
          <w:bCs/>
          <w:color w:val="auto"/>
          <w:sz w:val="21"/>
          <w:szCs w:val="21"/>
          <w:highlight w:val="none"/>
          <w:lang w:val="en-US" w:eastAsia="zh-CN"/>
        </w:rPr>
        <w:t xml:space="preserve">制造</w:t>
      </w:r>
      <w:r>
        <w:rPr>
          <w:rFonts w:hint="eastAsia" w:ascii="宋体" w:hAnsi="宋体" w:eastAsia="宋体" w:cs="宋体"/>
          <w:bCs/>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u w:val="single"/>
          <w:lang w:val="en-US" w:eastAsia="zh-CN"/>
        </w:rPr>
        <w:t xml:space="preserve">工业行业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文件中明确的所属行业）</w:t>
      </w:r>
      <w:r>
        <w:rPr>
          <w:rFonts w:hint="eastAsia" w:ascii="宋体" w:hAnsi="宋体" w:eastAsia="宋体" w:cs="宋体"/>
          <w:bCs/>
          <w:color w:val="auto"/>
          <w:sz w:val="21"/>
          <w:szCs w:val="21"/>
          <w:highlight w:val="none"/>
          <w:u w:val="single"/>
          <w:lang w:val="en-US" w:eastAsia="zh-CN"/>
        </w:rPr>
        <w:t xml:space="preserve">行业</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spacing w:line="360" w:lineRule="auto"/>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rPr>
          <w:rFonts w:hint="eastAsia" w:ascii="宋体" w:hAnsi="宋体" w:cs="宋体"/>
          <w:color w:val="auto"/>
          <w:szCs w:val="21"/>
          <w:highlight w:val="none"/>
        </w:rPr>
      </w:pPr>
      <w:r>
        <w:rPr>
          <w:rFonts w:hint="eastAsia" w:ascii="宋体" w:hAnsi="宋体" w:cs="宋体"/>
          <w:color w:val="auto"/>
          <w:highlight w:val="none"/>
        </w:rPr>
        <w:t xml:space="preserve">2.中小微企业划型标准请对照《关于印发中小企业划型标准规定的通知》（工信部联企业〔2011〕300号），文件网址如下：https://www.miit.gov.cn/jgsj/qyj/wjfb/art/2011/art_235af1ade45c4865957adeed23f9d949.html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p>
    <w:p>
      <w:pPr>
        <w:rPr>
          <w:rFonts w:hint="eastAsia" w:ascii="宋体" w:hAnsi="宋体" w:cs="宋体"/>
          <w:color w:val="auto"/>
          <w:highlight w:val="none"/>
        </w:rPr>
      </w:pP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工</w:t>
      </w:r>
      <w:r>
        <w:rPr>
          <w:rFonts w:hint="eastAsia" w:ascii="宋体" w:hAnsi="宋体" w:cs="宋体"/>
          <w:color w:val="auto"/>
          <w:highlight w:val="none"/>
          <w:u w:val="single"/>
        </w:rPr>
        <w:t xml:space="preserve">业 </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57"/>
        <w:widowControl w:val="off"/>
        <w:rPr>
          <w:rFonts w:hint="eastAsia"/>
          <w:color w:val="auto"/>
          <w:highlight w:val="none"/>
        </w:rPr>
      </w:pPr>
      <w:r>
        <w:rPr>
          <w:rFonts w:hint="eastAsia"/>
          <w:color w:val="auto"/>
          <w:highlight w:val="none"/>
          <w:u w:val="single"/>
        </w:rPr>
        <w:br w:type="page" w:clear="all"/>
      </w:r>
      <w:r>
        <w:rPr>
          <w:rFonts w:hint="eastAsia"/>
          <w:color w:val="auto"/>
          <w:highlight w:val="none"/>
        </w:rPr>
        <w:t xml:space="preserve">附件5：</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51"/>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pStyle w:val="957"/>
        <w:widowControl w:val="off"/>
        <w:rPr>
          <w:rFonts w:hint="eastAsia"/>
          <w:color w:val="auto"/>
          <w:highlight w:val="none"/>
        </w:rPr>
      </w:pPr>
      <w:r>
        <w:rPr>
          <w:rFonts w:hint="eastAsia"/>
          <w:color w:val="auto"/>
          <w:highlight w:val="none"/>
        </w:rPr>
        <w:br w:type="page" w:clear="all"/>
      </w:r>
      <w:r>
        <w:rPr>
          <w:rFonts w:hint="eastAsia"/>
          <w:color w:val="auto"/>
          <w:highlight w:val="none"/>
        </w:rPr>
        <w:t xml:space="preserve">附件6：</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51"/>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51"/>
        <w:rPr>
          <w:rFonts w:hint="eastAsia" w:hAnsi="宋体" w:cs="宋体"/>
          <w:color w:val="auto"/>
          <w:highlight w:val="none"/>
        </w:rPr>
      </w:pPr>
      <w:r>
        <w:rPr>
          <w:rFonts w:hint="eastAsia" w:hAnsi="宋体" w:cs="宋体"/>
          <w:color w:val="auto"/>
          <w:highlight w:val="none"/>
        </w:rPr>
      </w:r>
      <w:r/>
    </w:p>
    <w:p>
      <w:pPr>
        <w:pStyle w:val="951"/>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57"/>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6409114"/>
      <w:r/>
      <w:bookmarkStart w:id="132" w:name="_Toc440442375"/>
      <w:r/>
      <w:bookmarkStart w:id="133" w:name="_Toc56141898"/>
      <w:r/>
      <w:bookmarkStart w:id="134" w:name="_Toc55639393"/>
      <w:r/>
      <w:bookmarkStart w:id="135" w:name="_Toc439777159"/>
      <w:r/>
      <w:bookmarkStart w:id="136" w:name="_Toc59900983"/>
      <w:r/>
      <w:bookmarkStart w:id="137" w:name="_Toc59896715"/>
      <w:r/>
      <w:bookmarkStart w:id="138" w:name="_Toc55707673"/>
      <w:r/>
      <w:bookmarkStart w:id="139" w:name="_Toc54372071"/>
      <w:r/>
      <w:bookmarkStart w:id="140" w:name="_Toc55654540"/>
      <w:r/>
      <w:bookmarkStart w:id="141" w:name="_Toc55705168"/>
      <w:r/>
      <w:bookmarkStart w:id="142" w:name="_Toc439777351"/>
      <w:r/>
      <w:bookmarkStart w:id="143" w:name="_Toc56139088"/>
      <w:r/>
      <w:bookmarkStart w:id="144" w:name="_Toc56153862"/>
      <w:r/>
      <w:bookmarkStart w:id="145" w:name="_Toc434481560"/>
      <w:r/>
      <w:bookmarkStart w:id="146" w:name="_Toc54372237"/>
      <w:r/>
      <w:bookmarkStart w:id="147" w:name="_Toc54372655"/>
      <w:r>
        <w:rPr>
          <w:rFonts w:hint="eastAsia"/>
          <w:color w:val="auto"/>
          <w:highlight w:val="none"/>
        </w:rPr>
        <w:t xml:space="preserve">附件7：</w:t>
      </w:r>
      <w:r/>
    </w:p>
    <w:p>
      <w:pPr>
        <w:pStyle w:val="957"/>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5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49"/>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77"/>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附件8：</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66"/>
        <w:ind w:firstLine="0"/>
        <w:spacing w:line="360" w:lineRule="exact"/>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（姓名和职务）代表我方______________（供应商的名称），全权处理本项目磋商采购的有关事宜。</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1.按磋商文件规定的各项要求，向采购人提供所需服务。</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6.一旦我方成交，我方将根据磋商文件的规定，严格履行合同的责任和义务，并保证在磋商文件规定的时间内完成项目，交付采购人验收、使用。</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7.遵守磋商文件中要求的收费项目和标准。</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77"/>
        <w:ind w:firstLine="420"/>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77"/>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exact"/>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bookmarkStart w:id="148" w:name="_Toc12269"/>
      <w:r/>
      <w:bookmarkStart w:id="149" w:name="_Toc26371"/>
      <w:r/>
      <w:bookmarkStart w:id="150" w:name="_Toc7712"/>
      <w:r>
        <w:rPr>
          <w:rFonts w:hint="eastAsia" w:ascii="宋体" w:hAnsi="宋体" w:cs="宋体"/>
          <w:color w:val="auto"/>
          <w:highlight w:val="none"/>
        </w:rPr>
        <w:t xml:space="preserve">附件9：</w:t>
      </w:r>
      <w:bookmarkEnd w:id="148"/>
      <w:r/>
      <w:bookmarkEnd w:id="149"/>
      <w:r/>
      <w:bookmarkEnd w:id="150"/>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w:t>
      </w:r>
      <w:r>
        <w:rPr>
          <w:rFonts w:hint="eastAsia" w:ascii="宋体" w:hAnsi="宋体" w:cs="宋体"/>
          <w:color w:val="auto"/>
          <w:sz w:val="32"/>
          <w:szCs w:val="32"/>
          <w:highlight w:val="none"/>
          <w:lang w:val="zh-CN"/>
        </w:rPr>
        <w:t xml:space="preserve">及商务响应偏离表</w:t>
      </w:r>
      <w:r/>
    </w:p>
    <w:tbl>
      <w:tblPr>
        <w:tblStyle w:val="766"/>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1.本表即为对本磋商文件中提出的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0"/>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仿宋">
    <w:panose1 w:val="02010609060101010101"/>
  </w:font>
  <w:font w:name="方正黑体_GBK">
    <w:panose1 w:val="020B0503020202020204"/>
  </w:font>
  <w:font w:name="Adobe 仿宋 Std R">
    <w:panose1 w:val="020B0503020202020204"/>
  </w:font>
  <w:font w:name="Cambria">
    <w:panose1 w:val="02040503050406030204"/>
  </w:font>
  <w:font w:name="楷体_GB2312">
    <w:panose1 w:val="02010609060101010101"/>
  </w:font>
  <w:font w:name="Verdana">
    <w:panose1 w:val="020B060403050404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54"/>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54"/>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5"/>
    <w:link w:val="756"/>
    <w:uiPriority w:val="9"/>
    <w:rPr>
      <w:rFonts w:ascii="Arial" w:hAnsi="Arial" w:eastAsia="Arial" w:cs="Arial"/>
      <w:sz w:val="40"/>
      <w:szCs w:val="40"/>
    </w:rPr>
  </w:style>
  <w:style w:type="character" w:styleId="719">
    <w:name w:val="Heading 2 Char"/>
    <w:basedOn w:val="765"/>
    <w:link w:val="757"/>
    <w:uiPriority w:val="9"/>
    <w:rPr>
      <w:rFonts w:ascii="Arial" w:hAnsi="Arial" w:eastAsia="Arial" w:cs="Arial"/>
      <w:sz w:val="34"/>
    </w:rPr>
  </w:style>
  <w:style w:type="character" w:styleId="720">
    <w:name w:val="Heading 3 Char"/>
    <w:basedOn w:val="765"/>
    <w:link w:val="758"/>
    <w:uiPriority w:val="9"/>
    <w:rPr>
      <w:rFonts w:ascii="Arial" w:hAnsi="Arial" w:eastAsia="Arial" w:cs="Arial"/>
      <w:sz w:val="30"/>
      <w:szCs w:val="30"/>
    </w:rPr>
  </w:style>
  <w:style w:type="character" w:styleId="721">
    <w:name w:val="Heading 4 Char"/>
    <w:basedOn w:val="765"/>
    <w:link w:val="759"/>
    <w:uiPriority w:val="9"/>
    <w:rPr>
      <w:rFonts w:ascii="Arial" w:hAnsi="Arial" w:eastAsia="Arial" w:cs="Arial"/>
      <w:b/>
      <w:bCs/>
      <w:sz w:val="26"/>
      <w:szCs w:val="26"/>
    </w:rPr>
  </w:style>
  <w:style w:type="character" w:styleId="722">
    <w:name w:val="Heading 5 Char"/>
    <w:basedOn w:val="765"/>
    <w:link w:val="760"/>
    <w:uiPriority w:val="9"/>
    <w:rPr>
      <w:rFonts w:ascii="Arial" w:hAnsi="Arial" w:eastAsia="Arial" w:cs="Arial"/>
      <w:b/>
      <w:bCs/>
      <w:sz w:val="24"/>
      <w:szCs w:val="24"/>
    </w:rPr>
  </w:style>
  <w:style w:type="character" w:styleId="723">
    <w:name w:val="Heading 6 Char"/>
    <w:basedOn w:val="765"/>
    <w:link w:val="761"/>
    <w:uiPriority w:val="9"/>
    <w:rPr>
      <w:rFonts w:ascii="Arial" w:hAnsi="Arial" w:eastAsia="Arial" w:cs="Arial"/>
      <w:b/>
      <w:bCs/>
      <w:sz w:val="22"/>
      <w:szCs w:val="22"/>
    </w:rPr>
  </w:style>
  <w:style w:type="character" w:styleId="724">
    <w:name w:val="Heading 7 Char"/>
    <w:basedOn w:val="765"/>
    <w:link w:val="762"/>
    <w:uiPriority w:val="9"/>
    <w:rPr>
      <w:rFonts w:ascii="Arial" w:hAnsi="Arial" w:eastAsia="Arial" w:cs="Arial"/>
      <w:b/>
      <w:bCs/>
      <w:i/>
      <w:iCs/>
      <w:sz w:val="22"/>
      <w:szCs w:val="22"/>
    </w:rPr>
  </w:style>
  <w:style w:type="character" w:styleId="725">
    <w:name w:val="Heading 8 Char"/>
    <w:basedOn w:val="765"/>
    <w:link w:val="763"/>
    <w:uiPriority w:val="9"/>
    <w:rPr>
      <w:rFonts w:ascii="Arial" w:hAnsi="Arial" w:eastAsia="Arial" w:cs="Arial"/>
      <w:i/>
      <w:iCs/>
      <w:sz w:val="22"/>
      <w:szCs w:val="22"/>
    </w:rPr>
  </w:style>
  <w:style w:type="character" w:styleId="726">
    <w:name w:val="Heading 9 Char"/>
    <w:basedOn w:val="765"/>
    <w:link w:val="764"/>
    <w:uiPriority w:val="9"/>
    <w:rPr>
      <w:rFonts w:ascii="Arial" w:hAnsi="Arial" w:eastAsia="Arial" w:cs="Arial"/>
      <w:i/>
      <w:iCs/>
      <w:sz w:val="21"/>
      <w:szCs w:val="21"/>
    </w:rPr>
  </w:style>
  <w:style w:type="character" w:styleId="727">
    <w:name w:val="Title Char"/>
    <w:basedOn w:val="765"/>
    <w:link w:val="788"/>
    <w:uiPriority w:val="10"/>
    <w:rPr>
      <w:sz w:val="48"/>
      <w:szCs w:val="48"/>
    </w:rPr>
  </w:style>
  <w:style w:type="character" w:styleId="728">
    <w:name w:val="Subtitle Char"/>
    <w:basedOn w:val="765"/>
    <w:link w:val="781"/>
    <w:uiPriority w:val="11"/>
    <w:rPr>
      <w:sz w:val="24"/>
      <w:szCs w:val="24"/>
    </w:rPr>
  </w:style>
  <w:style w:type="character" w:styleId="729">
    <w:name w:val="Quote Char"/>
    <w:link w:val="807"/>
    <w:uiPriority w:val="29"/>
    <w:rPr>
      <w:i/>
    </w:rPr>
  </w:style>
  <w:style w:type="character" w:styleId="730">
    <w:name w:val="Intense Quote Char"/>
    <w:link w:val="809"/>
    <w:uiPriority w:val="30"/>
    <w:rPr>
      <w:i/>
    </w:rPr>
  </w:style>
  <w:style w:type="character" w:styleId="731">
    <w:name w:val="Header Char"/>
    <w:basedOn w:val="765"/>
    <w:link w:val="778"/>
    <w:uiPriority w:val="99"/>
  </w:style>
  <w:style w:type="character" w:styleId="732">
    <w:name w:val="Caption Char"/>
    <w:basedOn w:val="769"/>
    <w:link w:val="777"/>
    <w:uiPriority w:val="99"/>
  </w:style>
  <w:style w:type="table" w:styleId="733">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2">
    <w:name w:val="Footnote Text Char"/>
    <w:link w:val="782"/>
    <w:uiPriority w:val="99"/>
    <w:rPr>
      <w:sz w:val="18"/>
    </w:rPr>
  </w:style>
  <w:style w:type="character" w:styleId="753">
    <w:name w:val="Endnote Text Char"/>
    <w:link w:val="776"/>
    <w:uiPriority w:val="99"/>
    <w:rPr>
      <w:sz w:val="20"/>
    </w:rPr>
  </w:style>
  <w:style w:type="paragraph" w:styleId="754">
    <w:name w:val="TOC Heading"/>
    <w:uiPriority w:val="39"/>
    <w:unhideWhenUsed/>
  </w:style>
  <w:style w:type="paragraph" w:styleId="755" w:default="1">
    <w:name w:val="Normal"/>
    <w:link w:val="996"/>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756">
    <w:name w:val="Heading 1"/>
    <w:basedOn w:val="755"/>
    <w:next w:val="755"/>
    <w:link w:val="794"/>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5"/>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7"/>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8"/>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799"/>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1"/>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spacing w:after="57"/>
    </w:pPr>
  </w:style>
  <w:style w:type="paragraph" w:styleId="768">
    <w:name w:val="Normal Indent"/>
    <w:basedOn w:val="755"/>
    <w:next w:val="755"/>
    <w:link w:val="991"/>
    <w:uiPriority w:val="0"/>
    <w:qFormat/>
    <w:pPr>
      <w:ind w:firstLine="420"/>
      <w:spacing w:line="240" w:lineRule="auto"/>
    </w:pPr>
    <w:rPr>
      <w:szCs w:val="20"/>
    </w:r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5"/>
    <w:uiPriority w:val="0"/>
    <w:qFormat/>
    <w:pPr>
      <w:jc w:val="left"/>
    </w:pPr>
  </w:style>
  <w:style w:type="paragraph" w:styleId="771">
    <w:name w:val="Body Text"/>
    <w:basedOn w:val="755"/>
    <w:next w:val="772"/>
    <w:uiPriority w:val="0"/>
    <w:qFormat/>
    <w:pPr>
      <w:spacing w:after="120"/>
    </w:pPr>
  </w:style>
  <w:style w:type="paragraph" w:styleId="772">
    <w:name w:val="toc 2"/>
    <w:basedOn w:val="755"/>
    <w:next w:val="755"/>
    <w:uiPriority w:val="39"/>
    <w:unhideWhenUsed/>
    <w:qFormat/>
    <w:pPr>
      <w:ind w:left="283"/>
      <w:spacing w:after="57"/>
    </w:pPr>
  </w:style>
  <w:style w:type="paragraph" w:styleId="773">
    <w:name w:val="toc 5"/>
    <w:basedOn w:val="755"/>
    <w:next w:val="755"/>
    <w:uiPriority w:val="39"/>
    <w:unhideWhenUsed/>
    <w:qFormat/>
    <w:pPr>
      <w:ind w:left="1134"/>
      <w:spacing w:after="57"/>
    </w:pPr>
  </w:style>
  <w:style w:type="paragraph" w:styleId="774">
    <w:name w:val="toc 3"/>
    <w:basedOn w:val="755"/>
    <w:next w:val="755"/>
    <w:uiPriority w:val="39"/>
    <w:unhideWhenUsed/>
    <w:qFormat/>
    <w:pPr>
      <w:ind w:left="567"/>
      <w:spacing w:after="57"/>
    </w:pPr>
  </w:style>
  <w:style w:type="paragraph" w:styleId="775">
    <w:name w:val="toc 8"/>
    <w:basedOn w:val="755"/>
    <w:next w:val="755"/>
    <w:uiPriority w:val="39"/>
    <w:unhideWhenUsed/>
    <w:qFormat/>
    <w:pPr>
      <w:ind w:left="1984"/>
      <w:spacing w:after="57"/>
    </w:pPr>
  </w:style>
  <w:style w:type="paragraph" w:styleId="776">
    <w:name w:val="endnote text"/>
    <w:basedOn w:val="755"/>
    <w:link w:val="940"/>
    <w:uiPriority w:val="99"/>
    <w:semiHidden/>
    <w:unhideWhenUsed/>
    <w:qFormat/>
    <w:pPr>
      <w:spacing w:line="240" w:lineRule="auto"/>
    </w:pPr>
    <w:rPr>
      <w:sz w:val="20"/>
    </w:rPr>
  </w:style>
  <w:style w:type="paragraph" w:styleId="777">
    <w:name w:val="Footer"/>
    <w:basedOn w:val="755"/>
    <w:link w:val="813"/>
    <w:uiPriority w:val="99"/>
    <w:unhideWhenUsed/>
    <w:qFormat/>
    <w:pPr>
      <w:spacing w:line="240" w:lineRule="auto"/>
      <w:tabs>
        <w:tab w:val="center" w:pos="7143" w:leader="none"/>
        <w:tab w:val="right" w:pos="14287" w:leader="none"/>
      </w:tabs>
    </w:pPr>
  </w:style>
  <w:style w:type="paragraph" w:styleId="778">
    <w:name w:val="Header"/>
    <w:basedOn w:val="755"/>
    <w:link w:val="811"/>
    <w:uiPriority w:val="99"/>
    <w:unhideWhenUsed/>
    <w:qFormat/>
    <w:pPr>
      <w:spacing w:line="240" w:lineRule="auto"/>
      <w:tabs>
        <w:tab w:val="center" w:pos="7143" w:leader="none"/>
        <w:tab w:val="right" w:pos="14287" w:leader="none"/>
      </w:tabs>
    </w:pPr>
  </w:style>
  <w:style w:type="paragraph" w:styleId="779">
    <w:name w:val="toc 1"/>
    <w:basedOn w:val="755"/>
    <w:next w:val="755"/>
    <w:uiPriority w:val="39"/>
    <w:unhideWhenUsed/>
    <w:qFormat/>
    <w:pPr>
      <w:spacing w:after="57"/>
    </w:pPr>
  </w:style>
  <w:style w:type="paragraph" w:styleId="780">
    <w:name w:val="toc 4"/>
    <w:basedOn w:val="755"/>
    <w:next w:val="755"/>
    <w:uiPriority w:val="39"/>
    <w:unhideWhenUsed/>
    <w:qFormat/>
    <w:pPr>
      <w:ind w:left="850"/>
      <w:spacing w:after="57"/>
    </w:pPr>
  </w:style>
  <w:style w:type="paragraph" w:styleId="781">
    <w:name w:val="Subtitle"/>
    <w:basedOn w:val="755"/>
    <w:next w:val="755"/>
    <w:link w:val="806"/>
    <w:uiPriority w:val="11"/>
    <w:qFormat/>
    <w:pPr>
      <w:spacing w:before="200" w:after="200"/>
    </w:pPr>
    <w:rPr>
      <w:sz w:val="24"/>
    </w:rPr>
  </w:style>
  <w:style w:type="paragraph" w:styleId="782">
    <w:name w:val="footnote text"/>
    <w:basedOn w:val="755"/>
    <w:link w:val="939"/>
    <w:uiPriority w:val="99"/>
    <w:semiHidden/>
    <w:unhideWhenUsed/>
    <w:qFormat/>
    <w:pPr>
      <w:spacing w:after="40" w:line="240" w:lineRule="auto"/>
    </w:pPr>
    <w:rPr>
      <w:sz w:val="18"/>
    </w:rPr>
  </w:style>
  <w:style w:type="paragraph" w:styleId="783">
    <w:name w:val="toc 6"/>
    <w:basedOn w:val="755"/>
    <w:next w:val="755"/>
    <w:uiPriority w:val="39"/>
    <w:unhideWhenUsed/>
    <w:qFormat/>
    <w:pPr>
      <w:ind w:left="1417"/>
      <w:spacing w:after="57"/>
    </w:pPr>
  </w:style>
  <w:style w:type="paragraph" w:styleId="784">
    <w:name w:val="table of figures"/>
    <w:basedOn w:val="755"/>
    <w:next w:val="755"/>
    <w:uiPriority w:val="99"/>
    <w:unhideWhenUsed/>
    <w:qFormat/>
  </w:style>
  <w:style w:type="paragraph" w:styleId="785">
    <w:name w:val="toc 9"/>
    <w:basedOn w:val="755"/>
    <w:next w:val="755"/>
    <w:uiPriority w:val="39"/>
    <w:unhideWhenUsed/>
    <w:qFormat/>
    <w:pPr>
      <w:ind w:left="2268"/>
      <w:spacing w:after="57"/>
    </w:pPr>
  </w:style>
  <w:style w:type="paragraph" w:styleId="786">
    <w:name w:val="Body Text 2"/>
    <w:uiPriority w:val="0"/>
    <w:qFormat/>
    <w:pPr>
      <w:spacing w:after="120" w:line="480" w:lineRule="auto"/>
    </w:pPr>
    <w:rPr>
      <w:rFonts w:ascii="Arial" w:hAnsi="Arial" w:eastAsia="Arial" w:cs="Arial"/>
      <w:color w:val="000000"/>
      <w:sz w:val="21"/>
      <w:szCs w:val="21"/>
      <w:lang w:val="en-US" w:eastAsia="en-US" w:bidi="ar-SA"/>
    </w:rPr>
  </w:style>
  <w:style w:type="paragraph" w:styleId="787">
    <w:name w:val="HTML Preformatted"/>
    <w:basedOn w:val="755"/>
    <w:link w:val="992"/>
    <w:uiPriority w:val="99"/>
    <w:semiHidden/>
    <w:unhideWhenUsed/>
    <w:qFormat/>
    <w:rPr>
      <w:rFonts w:ascii="Courier New" w:hAnsi="Courier New" w:cs="Courier New"/>
      <w:sz w:val="20"/>
      <w:szCs w:val="20"/>
    </w:rPr>
  </w:style>
  <w:style w:type="paragraph" w:styleId="788">
    <w:name w:val="Title"/>
    <w:basedOn w:val="755"/>
    <w:next w:val="755"/>
    <w:link w:val="805"/>
    <w:uiPriority w:val="10"/>
    <w:qFormat/>
    <w:pPr>
      <w:contextualSpacing/>
      <w:spacing w:before="300" w:after="200"/>
    </w:pPr>
    <w:rPr>
      <w:sz w:val="48"/>
      <w:szCs w:val="48"/>
    </w:rPr>
  </w:style>
  <w:style w:type="paragraph" w:styleId="789">
    <w:name w:val="Body Text First Indent"/>
    <w:basedOn w:val="771"/>
    <w:uiPriority w:val="99"/>
    <w:unhideWhenUsed/>
    <w:qFormat/>
    <w:pPr>
      <w:ind w:firstLine="200"/>
      <w:spacing w:line="360" w:lineRule="auto"/>
    </w:pPr>
    <w:rPr>
      <w:rFonts w:ascii="仿宋_GB2312" w:hAnsi="Times New Roman" w:eastAsia="仿宋_GB2312"/>
      <w:sz w:val="30"/>
      <w:szCs w:val="30"/>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标题 1 字符"/>
    <w:link w:val="756"/>
    <w:uiPriority w:val="9"/>
    <w:qFormat/>
    <w:rPr>
      <w:rFonts w:ascii="Arial" w:hAnsi="Arial" w:eastAsia="Arial" w:cs="Arial"/>
      <w:sz w:val="40"/>
      <w:szCs w:val="40"/>
    </w:rPr>
  </w:style>
  <w:style w:type="character" w:styleId="795" w:customStyle="1">
    <w:name w:val="标题 2 字符"/>
    <w:link w:val="757"/>
    <w:uiPriority w:val="9"/>
    <w:qFormat/>
    <w:rPr>
      <w:rFonts w:ascii="Arial" w:hAnsi="Arial" w:eastAsia="Arial" w:cs="Arial"/>
      <w:sz w:val="34"/>
    </w:rPr>
  </w:style>
  <w:style w:type="character" w:styleId="796" w:customStyle="1">
    <w:name w:val="标题 3 字符"/>
    <w:link w:val="758"/>
    <w:uiPriority w:val="9"/>
    <w:qFormat/>
    <w:rPr>
      <w:rFonts w:ascii="Arial" w:hAnsi="Arial" w:eastAsia="Arial" w:cs="Arial"/>
      <w:sz w:val="30"/>
      <w:szCs w:val="30"/>
    </w:rPr>
  </w:style>
  <w:style w:type="character" w:styleId="797" w:customStyle="1">
    <w:name w:val="标题 4 字符"/>
    <w:link w:val="759"/>
    <w:uiPriority w:val="9"/>
    <w:qFormat/>
    <w:rPr>
      <w:rFonts w:ascii="Arial" w:hAnsi="Arial" w:eastAsia="Arial" w:cs="Arial"/>
      <w:b/>
      <w:bCs/>
      <w:sz w:val="26"/>
      <w:szCs w:val="26"/>
    </w:rPr>
  </w:style>
  <w:style w:type="character" w:styleId="798" w:customStyle="1">
    <w:name w:val="标题 5 字符"/>
    <w:link w:val="760"/>
    <w:uiPriority w:val="9"/>
    <w:qFormat/>
    <w:rPr>
      <w:rFonts w:ascii="Arial" w:hAnsi="Arial" w:eastAsia="Arial" w:cs="Arial"/>
      <w:b/>
      <w:bCs/>
      <w:sz w:val="24"/>
      <w:szCs w:val="24"/>
    </w:rPr>
  </w:style>
  <w:style w:type="character" w:styleId="799" w:customStyle="1">
    <w:name w:val="标题 6 字符"/>
    <w:link w:val="761"/>
    <w:uiPriority w:val="9"/>
    <w:qFormat/>
    <w:rPr>
      <w:rFonts w:ascii="Arial" w:hAnsi="Arial" w:eastAsia="Arial" w:cs="Arial"/>
      <w:b/>
      <w:bCs/>
      <w:sz w:val="22"/>
      <w:szCs w:val="22"/>
    </w:rPr>
  </w:style>
  <w:style w:type="character" w:styleId="800" w:customStyle="1">
    <w:name w:val="标题 7 字符"/>
    <w:link w:val="762"/>
    <w:uiPriority w:val="9"/>
    <w:qFormat/>
    <w:rPr>
      <w:rFonts w:ascii="Arial" w:hAnsi="Arial" w:eastAsia="Arial" w:cs="Arial"/>
      <w:b/>
      <w:bCs/>
      <w:i/>
      <w:iCs/>
      <w:sz w:val="22"/>
      <w:szCs w:val="22"/>
    </w:rPr>
  </w:style>
  <w:style w:type="character" w:styleId="801" w:customStyle="1">
    <w:name w:val="标题 8 字符"/>
    <w:link w:val="763"/>
    <w:uiPriority w:val="9"/>
    <w:qFormat/>
    <w:rPr>
      <w:rFonts w:ascii="Arial" w:hAnsi="Arial" w:eastAsia="Arial" w:cs="Arial"/>
      <w:i/>
      <w:iCs/>
      <w:sz w:val="22"/>
      <w:szCs w:val="22"/>
    </w:rPr>
  </w:style>
  <w:style w:type="character" w:styleId="802" w:customStyle="1">
    <w:name w:val="标题 9 字符"/>
    <w:link w:val="764"/>
    <w:uiPriority w:val="9"/>
    <w:qFormat/>
    <w:rPr>
      <w:rFonts w:ascii="Arial" w:hAnsi="Arial" w:eastAsia="Arial" w:cs="Arial"/>
      <w:i/>
      <w:iCs/>
      <w:sz w:val="21"/>
      <w:szCs w:val="21"/>
    </w:rPr>
  </w:style>
  <w:style w:type="paragraph" w:styleId="803">
    <w:name w:val="List Paragraph"/>
    <w:basedOn w:val="755"/>
    <w:uiPriority w:val="34"/>
    <w:qFormat/>
    <w:pPr>
      <w:contextualSpacing/>
      <w:ind w:left="720"/>
    </w:pPr>
  </w:style>
  <w:style w:type="paragraph" w:styleId="804">
    <w:name w:val="No Spacing"/>
    <w:uiPriority w:val="1"/>
    <w:qFormat/>
    <w:rPr>
      <w:rFonts w:ascii="Times New Roman" w:hAnsi="Times New Roman" w:eastAsia="宋体" w:cs="Times New Roman"/>
      <w:lang w:val="en-US" w:eastAsia="zh-CN" w:bidi="ar-SA"/>
    </w:rPr>
  </w:style>
  <w:style w:type="character" w:styleId="805" w:customStyle="1">
    <w:name w:val="标题 字符"/>
    <w:link w:val="788"/>
    <w:uiPriority w:val="10"/>
    <w:qFormat/>
    <w:rPr>
      <w:sz w:val="48"/>
      <w:szCs w:val="48"/>
    </w:rPr>
  </w:style>
  <w:style w:type="character" w:styleId="806" w:customStyle="1">
    <w:name w:val="副标题 字符"/>
    <w:link w:val="781"/>
    <w:uiPriority w:val="11"/>
    <w:qFormat/>
    <w:rPr>
      <w:sz w:val="24"/>
      <w:szCs w:val="24"/>
    </w:rPr>
  </w:style>
  <w:style w:type="paragraph" w:styleId="807">
    <w:name w:val="Quote"/>
    <w:basedOn w:val="755"/>
    <w:next w:val="755"/>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55"/>
    <w:next w:val="755"/>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78"/>
    <w:uiPriority w:val="99"/>
    <w:qFormat/>
  </w:style>
  <w:style w:type="character" w:styleId="812" w:customStyle="1">
    <w:name w:val="Footer Char"/>
    <w:uiPriority w:val="99"/>
    <w:qFormat/>
  </w:style>
  <w:style w:type="character" w:styleId="813" w:customStyle="1">
    <w:name w:val="页脚 字符"/>
    <w:link w:val="777"/>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82"/>
    <w:uiPriority w:val="99"/>
    <w:qFormat/>
    <w:rPr>
      <w:sz w:val="18"/>
    </w:rPr>
  </w:style>
  <w:style w:type="character" w:styleId="940" w:customStyle="1">
    <w:name w:val="尾注文本 字符"/>
    <w:link w:val="776"/>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paragraph" w:styleId="942" w:customStyle="1">
    <w:name w:val="标题 11"/>
    <w:basedOn w:val="755"/>
    <w:next w:val="755"/>
    <w:uiPriority w:val="0"/>
    <w:qFormat/>
    <w:pPr>
      <w:keepNext/>
      <w:outlineLvl w:val="0"/>
    </w:pPr>
    <w:rPr>
      <w:rFonts w:ascii="楷体_GB2312" w:eastAsia="楷体_GB2312"/>
      <w:sz w:val="28"/>
      <w:szCs w:val="20"/>
    </w:rPr>
  </w:style>
  <w:style w:type="paragraph" w:styleId="943" w:customStyle="1">
    <w:name w:val="标题 21"/>
    <w:basedOn w:val="755"/>
    <w:next w:val="755"/>
    <w:uiPriority w:val="0"/>
    <w:qFormat/>
    <w:pPr>
      <w:jc w:val="center"/>
      <w:keepLines/>
      <w:keepNext/>
      <w:spacing w:before="260" w:after="260" w:line="416" w:lineRule="auto"/>
      <w:outlineLvl w:val="1"/>
    </w:pPr>
    <w:rPr>
      <w:rFonts w:ascii="Arial" w:hAnsi="Arial" w:eastAsia="幼圆"/>
      <w:b/>
      <w:sz w:val="44"/>
      <w:szCs w:val="20"/>
    </w:rPr>
  </w:style>
  <w:style w:type="paragraph" w:styleId="944" w:customStyle="1">
    <w:name w:val="正文缩进1"/>
    <w:basedOn w:val="755"/>
    <w:next w:val="755"/>
    <w:uiPriority w:val="0"/>
    <w:qFormat/>
    <w:pPr>
      <w:ind w:firstLine="420"/>
    </w:pPr>
    <w:rPr>
      <w:szCs w:val="21"/>
    </w:rPr>
  </w:style>
  <w:style w:type="paragraph" w:styleId="945" w:customStyle="1">
    <w:name w:val="标题 41"/>
    <w:basedOn w:val="755"/>
    <w:next w:val="755"/>
    <w:uiPriority w:val="0"/>
    <w:qFormat/>
    <w:pPr>
      <w:keepLines/>
      <w:keepNext/>
      <w:spacing w:before="120" w:after="120"/>
      <w:outlineLvl w:val="3"/>
    </w:pPr>
    <w:rPr>
      <w:rFonts w:ascii="Arial" w:hAnsi="Arial" w:eastAsia="黑体"/>
      <w:b/>
      <w:sz w:val="28"/>
    </w:rPr>
  </w:style>
  <w:style w:type="character" w:styleId="946" w:customStyle="1">
    <w:name w:val="默认段落字体1"/>
    <w:uiPriority w:val="0"/>
    <w:semiHidden/>
    <w:qFormat/>
  </w:style>
  <w:style w:type="table" w:styleId="947" w:customStyle="1">
    <w:name w:val="普通表格1"/>
    <w:uiPriority w:val="0"/>
    <w:semiHidden/>
    <w:qFormat/>
    <w:tblPr>
      <w:tblCellMar>
        <w:left w:w="0" w:type="dxa"/>
        <w:top w:w="0" w:type="dxa"/>
        <w:right w:w="0" w:type="dxa"/>
        <w:bottom w:w="0" w:type="dxa"/>
      </w:tblCellMar>
    </w:tblPr>
  </w:style>
  <w:style w:type="paragraph" w:styleId="948" w:customStyle="1">
    <w:name w:val="批注文字1"/>
    <w:basedOn w:val="755"/>
    <w:uiPriority w:val="0"/>
    <w:qFormat/>
    <w:pPr>
      <w:jc w:val="left"/>
    </w:pPr>
  </w:style>
  <w:style w:type="paragraph" w:styleId="949" w:customStyle="1">
    <w:name w:val="正文文本1"/>
    <w:basedOn w:val="755"/>
    <w:uiPriority w:val="0"/>
    <w:qFormat/>
    <w:rPr>
      <w:rFonts w:ascii="楷体_GB2312" w:hAnsi="Arial" w:eastAsia="楷体_GB2312"/>
      <w:sz w:val="28"/>
      <w:szCs w:val="20"/>
    </w:rPr>
  </w:style>
  <w:style w:type="paragraph" w:styleId="950" w:customStyle="1">
    <w:name w:val="正文文本缩进1"/>
    <w:basedOn w:val="755"/>
    <w:uiPriority w:val="0"/>
    <w:qFormat/>
    <w:pPr>
      <w:ind w:firstLine="645"/>
    </w:pPr>
    <w:rPr>
      <w:rFonts w:ascii="楷体_GB2312" w:eastAsia="楷体_GB2312"/>
      <w:sz w:val="32"/>
      <w:szCs w:val="20"/>
    </w:rPr>
  </w:style>
  <w:style w:type="paragraph" w:styleId="951" w:customStyle="1">
    <w:name w:val="纯文本11"/>
    <w:basedOn w:val="755"/>
    <w:uiPriority w:val="0"/>
    <w:qFormat/>
    <w:rPr>
      <w:rFonts w:ascii="宋体" w:hAnsi="Courier New"/>
      <w:szCs w:val="21"/>
      <w:lang w:val="zh-CN"/>
    </w:rPr>
  </w:style>
  <w:style w:type="paragraph" w:styleId="952" w:customStyle="1">
    <w:name w:val="批注框文本1"/>
    <w:basedOn w:val="755"/>
    <w:link w:val="953"/>
    <w:uiPriority w:val="0"/>
    <w:qFormat/>
    <w:pPr>
      <w:spacing w:line="240" w:lineRule="auto"/>
    </w:pPr>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55"/>
    <w:uiPriority w:val="0"/>
    <w:qFormat/>
    <w:pPr>
      <w:jc w:val="left"/>
      <w:tabs>
        <w:tab w:val="center" w:pos="4153" w:leader="none"/>
        <w:tab w:val="right" w:pos="8306" w:leader="none"/>
      </w:tabs>
    </w:pPr>
    <w:rPr>
      <w:sz w:val="18"/>
      <w:szCs w:val="20"/>
    </w:rPr>
  </w:style>
  <w:style w:type="paragraph" w:styleId="955"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56" w:customStyle="1">
    <w:name w:val="副标题1"/>
    <w:basedOn w:val="755"/>
    <w:next w:val="755"/>
    <w:uiPriority w:val="0"/>
    <w:qFormat/>
    <w:pPr>
      <w:jc w:val="center"/>
      <w:spacing w:before="240" w:after="60" w:line="312" w:lineRule="auto"/>
      <w:outlineLvl w:val="1"/>
    </w:pPr>
    <w:rPr>
      <w:rFonts w:ascii="Cambria" w:hAnsi="Cambria"/>
      <w:b/>
      <w:sz w:val="32"/>
    </w:rPr>
  </w:style>
  <w:style w:type="paragraph" w:styleId="957" w:customStyle="1">
    <w:name w:val="普通(网站)1"/>
    <w:basedOn w:val="755"/>
    <w:uiPriority w:val="0"/>
    <w:qFormat/>
    <w:pPr>
      <w:jc w:val="left"/>
      <w:spacing w:before="100" w:beforeAutospacing="1" w:after="100" w:afterAutospacing="1"/>
      <w:widowControl/>
    </w:pPr>
    <w:rPr>
      <w:rFonts w:ascii="宋体" w:hAnsi="宋体" w:cs="宋体"/>
      <w:sz w:val="24"/>
    </w:rPr>
  </w:style>
  <w:style w:type="paragraph" w:styleId="958" w:customStyle="1">
    <w:name w:val="正文首行缩进1"/>
    <w:basedOn w:val="949"/>
    <w:uiPriority w:val="0"/>
    <w:qFormat/>
    <w:pPr>
      <w:ind w:firstLine="420"/>
      <w:spacing w:after="120"/>
    </w:pPr>
    <w:rPr>
      <w:szCs w:val="24"/>
    </w:rPr>
  </w:style>
  <w:style w:type="paragraph" w:styleId="959" w:customStyle="1">
    <w:name w:val="正文首行缩进 21"/>
    <w:basedOn w:val="950"/>
    <w:uiPriority w:val="0"/>
    <w:semiHidden/>
    <w:qFormat/>
    <w:pPr>
      <w:ind w:firstLine="420"/>
    </w:pPr>
  </w:style>
  <w:style w:type="table" w:styleId="960" w:customStyle="1">
    <w:name w:val="网格型1"/>
    <w:basedOn w:val="947"/>
    <w:uiPriority w:val="0"/>
    <w:qFormat/>
    <w:pPr>
      <w:jc w:val="both"/>
      <w:widowControl w:val="off"/>
    </w:pPr>
    <w:tblPr/>
  </w:style>
  <w:style w:type="character" w:styleId="961" w:customStyle="1">
    <w:name w:val="页码1"/>
    <w:uiPriority w:val="0"/>
    <w:qFormat/>
    <w:rPr>
      <w:rFonts w:ascii="Times New Roman" w:hAnsi="Times New Roman" w:eastAsia="宋体"/>
    </w:rPr>
  </w:style>
  <w:style w:type="paragraph" w:styleId="962" w:customStyle="1">
    <w:name w:val="段"/>
    <w:next w:val="963"/>
    <w:uiPriority w:val="0"/>
    <w:qFormat/>
    <w:pPr>
      <w:ind w:firstLine="200"/>
      <w:jc w:val="both"/>
    </w:pPr>
    <w:rPr>
      <w:rFonts w:ascii="宋体" w:hAnsi="Times New Roman" w:eastAsia="宋体" w:cs="Times New Roman"/>
      <w:sz w:val="21"/>
      <w:lang w:val="en-US" w:eastAsia="zh-CN" w:bidi="ar-SA"/>
    </w:rPr>
  </w:style>
  <w:style w:type="paragraph" w:styleId="963" w:customStyle="1">
    <w:name w:val="正文11"/>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Default"/>
    <w:basedOn w:val="755"/>
    <w:uiPriority w:val="0"/>
    <w:qFormat/>
    <w:pPr>
      <w:jc w:val="left"/>
    </w:pPr>
    <w:rPr>
      <w:rFonts w:ascii="仿宋" w:hAnsi="仿宋" w:eastAsia="仿宋" w:cs="宋体"/>
      <w:color w:val="000000"/>
      <w:sz w:val="24"/>
    </w:rPr>
  </w:style>
  <w:style w:type="paragraph" w:styleId="965" w:customStyle="1">
    <w:name w:val="TOC 71"/>
    <w:basedOn w:val="755"/>
    <w:next w:val="755"/>
    <w:uiPriority w:val="0"/>
    <w:qFormat/>
    <w:pPr>
      <w:ind w:left="2550"/>
      <w:spacing w:before="100" w:beforeAutospacing="1" w:after="100" w:afterAutospacing="1"/>
      <w:widowControl/>
    </w:pPr>
    <w:rPr>
      <w:szCs w:val="21"/>
    </w:rPr>
  </w:style>
  <w:style w:type="paragraph" w:styleId="966" w:customStyle="1">
    <w:name w:val="普通正文"/>
    <w:basedOn w:val="755"/>
    <w:uiPriority w:val="0"/>
    <w:qFormat/>
    <w:pPr>
      <w:ind w:firstLine="480"/>
      <w:jc w:val="left"/>
      <w:spacing w:before="120" w:after="120"/>
    </w:pPr>
    <w:rPr>
      <w:rFonts w:ascii="Arial" w:hAnsi="Arial"/>
      <w:sz w:val="24"/>
    </w:rPr>
  </w:style>
  <w:style w:type="paragraph" w:styleId="967" w:customStyle="1">
    <w:name w:val="WPSOffice手动目录 1"/>
    <w:uiPriority w:val="0"/>
    <w:qFormat/>
    <w:rPr>
      <w:rFonts w:ascii="Times New Roman" w:hAnsi="Times New Roman" w:eastAsia="宋体" w:cs="Times New Roman"/>
      <w:lang w:val="en-US" w:eastAsia="zh-CN" w:bidi="ar-SA"/>
    </w:rPr>
  </w:style>
  <w:style w:type="paragraph" w:styleId="968" w:customStyle="1">
    <w:name w:val="List Paragraph1"/>
    <w:basedOn w:val="755"/>
    <w:uiPriority w:val="0"/>
    <w:qFormat/>
    <w:pPr>
      <w:ind w:firstLine="420"/>
    </w:pPr>
    <w:rPr>
      <w:szCs w:val="22"/>
    </w:rPr>
  </w:style>
  <w:style w:type="paragraph" w:styleId="969" w:customStyle="1">
    <w:name w:val="_Style 21"/>
    <w:basedOn w:val="755"/>
    <w:next w:val="968"/>
    <w:uiPriority w:val="0"/>
    <w:qFormat/>
    <w:pPr>
      <w:ind w:left="890" w:firstLine="420"/>
      <w:jc w:val="left"/>
    </w:pPr>
    <w:rPr>
      <w:rFonts w:ascii="Calibri" w:hAnsi="Calibri"/>
      <w:szCs w:val="22"/>
    </w:rPr>
  </w:style>
  <w:style w:type="paragraph" w:styleId="970" w:customStyle="1">
    <w:name w:val="列出段落1"/>
    <w:basedOn w:val="755"/>
    <w:uiPriority w:val="0"/>
    <w:qFormat/>
    <w:pPr>
      <w:ind w:firstLine="420"/>
    </w:pPr>
    <w:rPr>
      <w:rFonts w:ascii="Calibri" w:hAnsi="Calibri"/>
      <w:szCs w:val="22"/>
    </w:rPr>
  </w:style>
  <w:style w:type="paragraph" w:styleId="971" w:customStyle="1">
    <w:name w:val="正文空2格  1."/>
    <w:basedOn w:val="755"/>
    <w:uiPriority w:val="0"/>
    <w:qFormat/>
    <w:pPr>
      <w:ind w:firstLine="480"/>
    </w:pPr>
    <w:rPr>
      <w:rFonts w:cs="宋体"/>
      <w:sz w:val="28"/>
      <w:szCs w:val="20"/>
    </w:rPr>
  </w:style>
  <w:style w:type="paragraph" w:styleId="972" w:customStyle="1">
    <w:name w:val="_Style 1"/>
    <w:uiPriority w:val="0"/>
    <w:qFormat/>
    <w:rPr>
      <w:rFonts w:ascii="Tahoma" w:hAnsi="Tahoma" w:eastAsia="宋体" w:cs="Times New Roman"/>
      <w:sz w:val="22"/>
      <w:szCs w:val="22"/>
      <w:lang w:val="en-US" w:eastAsia="zh-CN" w:bidi="ar-SA"/>
    </w:rPr>
  </w:style>
  <w:style w:type="paragraph" w:styleId="973" w:customStyle="1">
    <w:name w:val="注释标题1"/>
    <w:basedOn w:val="755"/>
    <w:next w:val="755"/>
    <w:uiPriority w:val="0"/>
    <w:qFormat/>
    <w:rPr>
      <w:rFonts w:ascii="Verdana" w:hAnsi="Verdana"/>
      <w:szCs w:val="20"/>
    </w:rPr>
  </w:style>
  <w:style w:type="paragraph" w:styleId="974" w:customStyle="1">
    <w:name w:val="纯文本1"/>
    <w:basedOn w:val="755"/>
    <w:uiPriority w:val="0"/>
    <w:qFormat/>
    <w:rPr>
      <w:rFonts w:ascii="宋体" w:hAnsi="Courier New" w:eastAsia="楷体_GB2312" w:cs="宋体"/>
      <w:sz w:val="28"/>
      <w:szCs w:val="21"/>
    </w:rPr>
  </w:style>
  <w:style w:type="paragraph" w:styleId="975"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76" w:customStyle="1">
    <w:name w:val="目录 11"/>
    <w:basedOn w:val="963"/>
    <w:next w:val="963"/>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77" w:customStyle="1">
    <w:name w:val="Char"/>
    <w:basedOn w:val="755"/>
    <w:uiPriority w:val="0"/>
    <w:qFormat/>
    <w:pPr>
      <w:tabs>
        <w:tab w:val="left" w:pos="360" w:leader="none"/>
      </w:tabs>
    </w:pPr>
    <w:rPr>
      <w:sz w:val="24"/>
    </w:rPr>
  </w:style>
  <w:style w:type="character" w:styleId="978" w:customStyle="1">
    <w:name w:val="font21"/>
    <w:uiPriority w:val="0"/>
    <w:qFormat/>
    <w:rPr>
      <w:rFonts w:hint="eastAsia" w:ascii="宋体" w:hAnsi="宋体" w:eastAsia="宋体" w:cs="宋体"/>
      <w:color w:val="ff0000"/>
      <w:sz w:val="22"/>
      <w:szCs w:val="22"/>
      <w:u w:val="none"/>
    </w:rPr>
  </w:style>
  <w:style w:type="paragraph" w:styleId="979" w:customStyle="1">
    <w:name w:val="列出段落"/>
    <w:basedOn w:val="755"/>
    <w:uiPriority w:val="34"/>
    <w:qFormat/>
    <w:pPr>
      <w:ind w:firstLine="420"/>
    </w:p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Table Text"/>
    <w:basedOn w:val="755"/>
    <w:uiPriority w:val="0"/>
    <w:semiHidden/>
    <w:qFormat/>
    <w:rPr>
      <w:rFonts w:ascii="Arial" w:hAnsi="Arial" w:eastAsia="Arial" w:cs="Arial"/>
      <w:szCs w:val="21"/>
      <w:lang w:eastAsia="en-US"/>
    </w:rPr>
  </w:style>
  <w:style w:type="paragraph" w:styleId="982" w:customStyle="1">
    <w:name w:val="DAS正文"/>
    <w:basedOn w:val="755"/>
    <w:uiPriority w:val="0"/>
    <w:qFormat/>
    <w:pPr>
      <w:ind w:right="181" w:firstLine="480"/>
    </w:pPr>
    <w:rPr>
      <w:rFonts w:ascii="Verdana" w:hAnsi="Verdana"/>
    </w:rPr>
  </w:style>
  <w:style w:type="character" w:styleId="983" w:customStyle="1">
    <w:name w:val="apple-style-span"/>
    <w:basedOn w:val="765"/>
    <w:uiPriority w:val="0"/>
    <w:qFormat/>
  </w:style>
  <w:style w:type="character" w:styleId="984" w:customStyle="1">
    <w:name w:val="font41"/>
    <w:basedOn w:val="765"/>
    <w:uiPriority w:val="0"/>
    <w:qFormat/>
    <w:rPr>
      <w:rFonts w:hint="default" w:ascii="方正黑体_GBK" w:hAnsi="方正黑体_GBK" w:eastAsia="方正黑体_GBK" w:cs="方正黑体_GBK"/>
      <w:color w:val="000000"/>
      <w:sz w:val="24"/>
      <w:szCs w:val="24"/>
      <w:u w:val="none"/>
    </w:rPr>
  </w:style>
  <w:style w:type="character" w:styleId="985" w:customStyle="1">
    <w:name w:val="font71"/>
    <w:basedOn w:val="765"/>
    <w:uiPriority w:val="0"/>
    <w:qFormat/>
    <w:rPr>
      <w:rFonts w:hint="default" w:ascii="方正黑体_GBK" w:hAnsi="方正黑体_GBK" w:eastAsia="方正黑体_GBK" w:cs="方正黑体_GBK"/>
      <w:color w:val="000000"/>
      <w:sz w:val="22"/>
      <w:szCs w:val="22"/>
      <w:u w:val="none"/>
    </w:rPr>
  </w:style>
  <w:style w:type="character" w:styleId="986" w:customStyle="1">
    <w:name w:val="font51"/>
    <w:basedOn w:val="765"/>
    <w:uiPriority w:val="0"/>
    <w:qFormat/>
    <w:rPr>
      <w:rFonts w:hint="eastAsia" w:ascii="宋体" w:hAnsi="宋体" w:eastAsia="宋体" w:cs="宋体"/>
      <w:color w:val="000000"/>
      <w:sz w:val="24"/>
      <w:szCs w:val="24"/>
      <w:u w:val="none"/>
    </w:rPr>
  </w:style>
  <w:style w:type="character" w:styleId="987" w:customStyle="1">
    <w:name w:val="font81"/>
    <w:basedOn w:val="765"/>
    <w:uiPriority w:val="0"/>
    <w:qFormat/>
    <w:rPr>
      <w:rFonts w:hint="eastAsia" w:ascii="宋体" w:hAnsi="宋体" w:eastAsia="宋体" w:cs="宋体"/>
      <w:color w:val="000000"/>
      <w:sz w:val="20"/>
      <w:szCs w:val="20"/>
      <w:u w:val="none"/>
    </w:rPr>
  </w:style>
  <w:style w:type="character" w:styleId="988" w:customStyle="1">
    <w:name w:val="font61"/>
    <w:basedOn w:val="765"/>
    <w:uiPriority w:val="0"/>
    <w:qFormat/>
    <w:rPr>
      <w:rFonts w:hint="eastAsia" w:ascii="宋体" w:hAnsi="宋体" w:eastAsia="宋体" w:cs="宋体"/>
      <w:color w:val="000000"/>
      <w:sz w:val="20"/>
      <w:szCs w:val="20"/>
      <w:u w:val="none"/>
    </w:rPr>
  </w:style>
  <w:style w:type="character" w:styleId="989" w:customStyle="1">
    <w:name w:val="font01"/>
    <w:basedOn w:val="765"/>
    <w:uiPriority w:val="0"/>
    <w:qFormat/>
    <w:rPr>
      <w:rFonts w:hint="eastAsia" w:ascii="宋体" w:hAnsi="宋体" w:eastAsia="宋体" w:cs="宋体"/>
      <w:color w:val="000000"/>
      <w:sz w:val="22"/>
      <w:szCs w:val="22"/>
      <w:u w:val="none"/>
    </w:rPr>
  </w:style>
  <w:style w:type="paragraph" w:styleId="990" w:customStyle="1">
    <w:name w:val="文档结构图1"/>
    <w:basedOn w:val="755"/>
    <w:uiPriority w:val="0"/>
    <w:qFormat/>
    <w:pPr>
      <w:shd w:val="clear" w:color="auto" w:fill="000080"/>
    </w:pPr>
  </w:style>
  <w:style w:type="character" w:styleId="991" w:customStyle="1">
    <w:name w:val="正文缩进 字符"/>
    <w:link w:val="768"/>
    <w:uiPriority w:val="0"/>
    <w:qFormat/>
    <w:rPr>
      <w:sz w:val="21"/>
    </w:rPr>
  </w:style>
  <w:style w:type="character" w:styleId="992" w:customStyle="1">
    <w:name w:val="HTML 预设格式 字符"/>
    <w:basedOn w:val="765"/>
    <w:link w:val="787"/>
    <w:uiPriority w:val="99"/>
    <w:semiHidden/>
    <w:qFormat/>
    <w:rPr>
      <w:rFonts w:ascii="Courier New" w:hAnsi="Courier New" w:cs="Courier New"/>
    </w:rPr>
  </w:style>
  <w:style w:type="paragraph" w:styleId="993" w:customStyle="1">
    <w:name w:val="p16"/>
    <w:basedOn w:val="755"/>
    <w:uiPriority w:val="0"/>
    <w:qFormat/>
    <w:pPr>
      <w:jc w:val="left"/>
      <w:widowControl/>
    </w:pPr>
    <w:rPr>
      <w:sz w:val="24"/>
      <w:szCs w:val="24"/>
    </w:rPr>
  </w:style>
  <w:style w:type="paragraph" w:styleId="994" w:customStyle="1">
    <w:name w:val="null3"/>
    <w:uiPriority w:val="0"/>
    <w:qFormat/>
    <w:rPr>
      <w:rFonts w:asciiTheme="minorHAnsi" w:hAnsiTheme="minorHAnsi" w:eastAsiaTheme="minorEastAsia" w:cstheme="minorBidi"/>
      <w:lang w:val="en-US" w:eastAsia="zh-Hans" w:bidi="ar-SA"/>
    </w:rPr>
  </w:style>
  <w:style w:type="character" w:styleId="995" w:customStyle="1">
    <w:name w:val="强调1"/>
    <w:basedOn w:val="996"/>
    <w:link w:val="755"/>
    <w:uiPriority w:val="20"/>
    <w:qFormat/>
    <w:rPr>
      <w:rFonts w:ascii="Times New Roman" w:hAnsi="Times New Roman" w:eastAsia="宋体" w:cs="Times New Roman"/>
      <w:sz w:val="21"/>
      <w:szCs w:val="24"/>
      <w:lang w:val="en-US" w:eastAsia="zh-CN" w:bidi="ar-SA"/>
    </w:rPr>
  </w:style>
  <w:style w:type="character" w:styleId="996" w:customStyle="1">
    <w:name w:val="默认段落字体11"/>
    <w:link w:val="755"/>
    <w:uiPriority w:val="0"/>
    <w:semiHidden/>
    <w:qFormat/>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f84b095b-59c3-4edf-b466-69a16c5d5e35</errorID>
      <errorWord>[2025]34号</errorWord>
      <group>L1_Knowledge</group>
      <groupName>知识性问题</groupName>
      <ability>L2_Knowledge</ability>
      <abilityName>其他知识</abilityName>
      <candidateList>
        <item>〔2025〕34号</item>
      </candidateList>
      <explain>发文字号格式错误。</explain>
      <paraID>72C6C7A2</paraID>
      <start>40</start>
      <end>49</end>
      <status>unmodified</status>
      <modifiedWord/>
      <trackRevisions>false</trackRevisions>
    </reviewItem>
    <reviewItem>
      <errorID>175c5975-ec6f-4528-acbd-6551ede2e451</errorID>
      <errorWord>《</errorWord>
      <group>L1_Punc</group>
      <groupName>标点问题</groupName>
      <ability>L2_Punc</ability>
      <abilityName>标点符号检查</abilityName>
      <candidateList/>
      <explain>同一形式括号套用。</explain>
      <paraID>72C6C7A2</paraID>
      <start>58</start>
      <end>59</end>
      <status>unmodified</status>
      <modifiedWord/>
      <trackRevisions>false</trackRevisions>
    </reviewItem>
    <reviewItem>
      <errorID>625fd477-2b17-45fe-93be-524dbedc483b</errorID>
      <errorWord>》</errorWord>
      <group>L1_Punc</group>
      <groupName>标点问题</groupName>
      <ability>L2_Punc</ability>
      <abilityName>标点符号检查</abilityName>
      <candidateList/>
      <explain>同一形式括号套用。</explain>
      <paraID>72C6C7A2</paraID>
      <start>89</start>
      <end>90</end>
      <status>unmodified</status>
      <modifiedWord/>
      <trackRevisions>false</trackRevisions>
    </reviewItem>
    <reviewItem>
      <errorID>dfbbad62-bdb7-4030-8163-e28db9675c08</errorID>
      <errorWord>[2025]30号</errorWord>
      <group>L1_Knowledge</group>
      <groupName>知识性问题</groupName>
      <ability>L2_Knowledge</ability>
      <abilityName>其他知识</abilityName>
      <candidateList>
        <item>〔2025〕30号</item>
      </candidateList>
      <explain>发文字号格式错误。</explain>
      <paraID>72C6C7A2</paraID>
      <start>97</start>
      <end>106</end>
      <status>unmodified</status>
      <modifiedWord/>
      <trackRevisions>false</trackRevisions>
    </reviewItem>
    <reviewItem>
      <errorID>a7d46325-65a4-4589-9a0a-c4e52eb6eeb9</errorID>
      <errorWord>（</errorWord>
      <group>L1_Punc</group>
      <groupName>标点问题</groupName>
      <ability>L2_Punc</ability>
      <abilityName>标点符号检查</abilityName>
      <candidateList/>
      <explain>同一形式括号套用。</explain>
      <paraID>3E0F1CA4</paraID>
      <start>128</start>
      <end>129</end>
      <status>unmodified</status>
      <modifiedWord/>
      <trackRevisions>false</trackRevisions>
    </reviewItem>
    <reviewItem>
      <errorID>db1f8328-8f75-4664-83ed-d6439ad7e586</errorID>
      <errorWord>）</errorWord>
      <group>L1_Punc</group>
      <groupName>标点问题</groupName>
      <ability>L2_Punc</ability>
      <abilityName>标点符号检查</abilityName>
      <candidateList/>
      <explain>同一形式括号套用。</explain>
      <paraID>3E0F1CA4</paraID>
      <start>147</start>
      <end>148</end>
      <status>unmodified</status>
      <modifiedWord/>
      <trackRevisions>false</trackRevisions>
    </reviewItem>
    <reviewItem>
      <errorID>5c132883-fc76-4390-acb0-ffc4e95a7331</errorID>
      <errorWord>（</errorWord>
      <group>L1_Punc</group>
      <groupName>标点问题</groupName>
      <ability>L2_Punc</ability>
      <abilityName>标点符号检查</abilityName>
      <candidateList/>
      <explain>同一形式括号套用。</explain>
      <paraID>3E0F1CA4</paraID>
      <start>188</start>
      <end>189</end>
      <status>unmodified</status>
      <modifiedWord/>
      <trackRevisions>false</trackRevisions>
    </reviewItem>
    <reviewItem>
      <errorID>313c595a-5dd9-40b9-b192-61a3fd0638c8</errorID>
      <errorWord>）</errorWord>
      <group>L1_Punc</group>
      <groupName>标点问题</groupName>
      <ability>L2_Punc</ability>
      <abilityName>标点符号检查</abilityName>
      <candidateList/>
      <explain>同一形式括号套用。</explain>
      <paraID>3E0F1CA4</paraID>
      <start>199</start>
      <end>200</end>
      <status>unmodified</status>
      <modifiedWord/>
      <trackRevisions>false</trackRevisions>
    </reviewItem>
    <reviewItem>
      <errorID>bf436662-45aa-4129-b378-c2eb25c3b987</errorID>
      <errorWord>&lt;</errorWord>
      <group>L1_Format</group>
      <groupName>格式问题</groupName>
      <ability>L2_HalfPunc</ability>
      <abilityName>全半角检查</abilityName>
      <candidateList>
        <item>〈</item>
      </candidateList>
      <explain>文本全半角错误。</explain>
      <paraID>28987A50</paraID>
      <start>18</start>
      <end>19</end>
      <status>unmodified</status>
      <modifiedWord/>
      <trackRevisions>false</trackRevisions>
    </reviewItem>
    <reviewItem>
      <errorID>c4eaff94-9c33-4e96-a039-77e672b168b2</errorID>
      <errorWord>&gt;的通知》</errorWord>
      <group>L1_Punc</group>
      <groupName>标点问题</groupName>
      <ability>L2_Punc</ability>
      <abilityName>标点符号检查</abilityName>
      <candidateList>
        <item>〉的通知》</item>
      </candidateList>
      <explain/>
      <paraID>28987A50</paraID>
      <start>36</start>
      <end>41</end>
      <status>unmodified</status>
      <modifiedWord/>
      <trackRevisions>false</trackRevisions>
    </reviewItem>
    <reviewItem>
      <errorID>09d1ac67-8378-4ca3-904a-b4c8709655b8</errorID>
      <errorWord>作</errorWord>
      <group>L1_Word</group>
      <groupName>字词问题</groupName>
      <ability>L2_Typo</ability>
      <abilityName>字词错误</abilityName>
      <candidateList>
        <item>做</item>
      </candidateList>
      <explain>存在发音相同字词的误用。</explain>
      <paraID>58D1326F</paraID>
      <start>67</start>
      <end>68</end>
      <status>unmodified</status>
      <modifiedWord/>
      <trackRevisions>false</trackRevisions>
    </reviewItem>
    <reviewItem>
      <errorID>370b34c3-2234-4ce9-b466-161e8adb2148</errorID>
      <errorWord>保持通讯畅通</errorWord>
      <group>L1_Word</group>
      <groupName>字词问题</groupName>
      <ability>L2_Typo</ability>
      <abilityName>字词错误</abilityName>
      <candidateList>
        <item>保持通信畅通</item>
      </candidateList>
      <explain/>
      <paraID>67967CBD</paraID>
      <start>16</start>
      <end>22</end>
      <status>unmodified</status>
      <modifiedWord/>
      <trackRevisions>false</trackRevisions>
    </reviewItem>
    <reviewItem>
      <errorID>ee252ebd-cdf5-42c4-a34b-4cff26ff84c1</errorID>
      <errorWord>人确定成交供应商</errorWord>
      <group>L1_Word</group>
      <groupName>字词问题</groupName>
      <ability>L2_Typo</ability>
      <abilityName>字词错误</abilityName>
      <candidateList>
        <item>人在确定成交供应商</item>
      </candidateList>
      <explain/>
      <paraID>1A128956</paraID>
      <start>44</start>
      <end>52</end>
      <status>unmodified</status>
      <modifiedWord/>
      <trackRevisions>false</trackRevisions>
    </reviewItem>
    <reviewItem>
      <errorID>e75e8a82-5e4d-4cf8-88e3-20cd5636bd00</errorID>
      <errorWord>&lt;</errorWord>
      <group>L1_Format</group>
      <groupName>格式问题</groupName>
      <ability>L2_HalfPunc</ability>
      <abilityName>全半角检查</abilityName>
      <candidateList>
        <item>〈</item>
      </candidateList>
      <explain>文本全半角错误。</explain>
      <paraID>7AB94E28</paraID>
      <start>50</start>
      <end>51</end>
      <status>unmodified</status>
      <modifiedWord/>
      <trackRevisions>false</trackRevisions>
    </reviewItem>
    <reviewItem>
      <errorID>b4358a92-cf62-49fe-990d-ce22d5ae0aff</errorID>
      <errorWord>&lt;</errorWord>
      <group>L1_Format</group>
      <groupName>格式问题</groupName>
      <ability>L2_HalfPunc</ability>
      <abilityName>全半角检查</abilityName>
      <candidateList>
        <item>〈</item>
      </candidateList>
      <explain>文本全半角错误。</explain>
      <paraID>1791AEDB</paraID>
      <start>50</start>
      <end>51</end>
      <status>unmodified</status>
      <modifiedWord/>
      <trackRevisions>false</trackRevisions>
    </reviewItem>
    <reviewItem>
      <errorID>7cf8fe6e-693a-4953-ac02-2c1231ebd0c7</errorID>
      <errorWord>&lt;</errorWord>
      <group>L1_Format</group>
      <groupName>格式问题</groupName>
      <ability>L2_HalfPunc</ability>
      <abilityName>全半角检查</abilityName>
      <candidateList>
        <item>〈</item>
      </candidateList>
      <explain>文本全半角错误。</explain>
      <paraID>737D8184</paraID>
      <start>35</start>
      <end>36</end>
      <status>unmodified</status>
      <modifiedWord/>
      <trackRevisions>false</trackRevisions>
    </reviewItem>
    <reviewItem>
      <errorID>d9799ec2-8bb1-4d3f-83bc-47b3bbd873cc</errorID>
      <errorWord>陆个月</errorWord>
      <group>L1_Word</group>
      <groupName>字词问题</groupName>
      <ability>L2_Typo</ability>
      <abilityName>字词错误</abilityName>
      <candidateList>
        <item>六个月</item>
      </candidateList>
      <explain>存在发音相近字词的误用。</explain>
      <paraID>70646FA0</paraID>
      <start>20</start>
      <end>23</end>
      <status>unmodified</status>
      <modifiedWord/>
      <trackRevisions>false</trackRevisions>
    </reviewItem>
    <reviewItem>
      <errorID>96f1ee8f-8f39-403b-a346-f58d4aa9d56e</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69BBD360</paraID>
      <start>181</start>
      <end>190</end>
      <status>unmodified</status>
      <modifiedWord/>
      <trackRevisions>false</trackRevisions>
    </reviewItem>
    <reviewItem>
      <errorID>8dbd6ea9-91d1-41fc-96c9-78d39e199b50</errorID>
      <errorWord>连锁</errorWord>
      <group>L1_Word</group>
      <groupName>字词问题</groupName>
      <ability>L2_Typo</ability>
      <abilityName>字词错误</abilityName>
      <candidateList>
        <item>联锁</item>
      </candidateList>
      <explain>存在发音相同字词的误用。</explain>
      <paraID>58CBB500</paraID>
      <start>26</start>
      <end>28</end>
      <status>unmodified</status>
      <modifiedWord/>
      <trackRevisions>false</trackRevisions>
    </reviewItem>
    <reviewItem>
      <errorID>9a2437bf-68e2-4ffe-add5-ccb532e71fdc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574A19E6</paraID>
      <start>19</start>
      <end>20</end>
      <status>unmodified</status>
      <modifiedWord/>
      <trackRevisions>false</trackRevisions>
    </reviewItem>
    <reviewItem>
      <errorID>206dba8f-5e50-46e9-a021-3c03ed79a753</errorID>
      <errorWord>(</errorWord>
      <group>L1_Format</group>
      <groupName>格式问题</groupName>
      <ability>L2_HalfPunc</ability>
      <abilityName>全半角检查</abilityName>
      <candidateList>
        <item>（</item>
      </candidateList>
      <explain>文本全半角错误。</explain>
      <paraID>185C39B5</paraID>
      <start>21</start>
      <end>22</end>
      <status>unmodified</status>
      <modifiedWord/>
      <trackRevisions>false</trackRevisions>
    </reviewItem>
    <reviewItem>
      <errorID>2089f635-4054-4c9a-8ca5-2a578b767dc2</errorID>
      <errorWord>)</errorWord>
      <group>L1_Format</group>
      <groupName>格式问题</groupName>
      <ability>L2_HalfPunc</ability>
      <abilityName>全半角检查</abilityName>
      <candidateList>
        <item>）</item>
      </candidateList>
      <explain>文本全半角错误。</explain>
      <paraID>185C39B5</paraID>
      <start>25</start>
      <end>26</end>
      <status>unmodified</status>
      <modifiedWord/>
      <trackRevisions>false</trackRevisions>
    </reviewItem>
    <reviewItem>
      <errorID>62a2a59f-abfc-42c3-81b6-478f0595da74</errorID>
      <errorWord>（</errorWord>
      <group>L1_Punc</group>
      <groupName>标点问题</groupName>
      <ability>L2_Punc</ability>
      <abilityName>标点符号检查</abilityName>
      <candidateList/>
      <explain>同一形式括号套用。</explain>
      <paraID>38275928</paraID>
      <start>47</start>
      <end>48</end>
      <status>unmodified</status>
      <modifiedWord/>
      <trackRevisions>false</trackRevisions>
    </reviewItem>
    <reviewItem>
      <errorID>635d9f3b-4b12-402d-b09f-8d706959fb8d</errorID>
      <errorWord>）</errorWord>
      <group>L1_Punc</group>
      <groupName>标点问题</groupName>
      <ability>L2_Punc</ability>
      <abilityName>标点符号检查</abilityName>
      <candidateList/>
      <explain>同一形式括号套用。</explain>
      <paraID>38275928</paraID>
      <start>53</start>
      <end>54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2E59AF-9108-4279-85D5-244766D865C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周纯</cp:lastModifiedBy>
  <cp:revision>5</cp:revision>
  <dcterms:created xsi:type="dcterms:W3CDTF">2026-05-18T09:31:00Z</dcterms:created>
  <dcterms:modified xsi:type="dcterms:W3CDTF">2026-06-24T04:24:54Z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156B107FB25548C2909C63989B738B61_13</vt:lpwstr>
  </property>
  <property fmtid="{D5CDD505-2E9C-101B-9397-08002B2CF9AE}" pid="4" name="KSOTemplateDocerSaveRecord">
    <vt:lpwstr>eyJoZGlkIjoiY2I1ZWQyMDIzMmI2OGYyYzI2YTM3OTg4YjAxOTQ1MWIiLCJ1c2VySWQiOiIzMTU1ODEyOTcifQ==</vt:lpwstr>
  </property>
</Properties>
</file>