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03"/>
        <w:spacing w:line="360" w:lineRule="auto"/>
        <w:tabs>
          <w:tab w:val="left" w:pos="5760" w:leader="none"/>
          <w:tab w:val="left" w:pos="6300" w:leader="none"/>
        </w:tabs>
        <w:rPr>
          <w:rFonts w:hint="eastAsia" w:ascii="仿宋" w:hAnsi="仿宋" w:eastAsia="仿宋" w:cs="仿宋"/>
          <w:b/>
          <w:bCs/>
          <w:sz w:val="40"/>
          <w:szCs w:val="40"/>
          <w:highlight w:val="none"/>
        </w:rPr>
      </w:pPr>
      <w:r>
        <w:rPr>
          <w:rFonts w:hint="eastAsia" w:ascii="仿宋" w:hAnsi="仿宋" w:eastAsia="仿宋" w:cs="仿宋"/>
          <w:b/>
          <w:bCs/>
          <w:sz w:val="40"/>
          <w:szCs w:val="40"/>
          <w:highlight w:val="none"/>
        </w:rPr>
      </w:r>
      <w:r/>
    </w:p>
    <w:p>
      <w:pPr>
        <w:jc w:val="both"/>
        <w:spacing w:line="880" w:lineRule="exact"/>
        <w:rPr>
          <w:rFonts w:hint="eastAsia" w:ascii="仿宋" w:hAnsi="仿宋" w:eastAsia="仿宋" w:cs="仿宋"/>
          <w:b/>
          <w:sz w:val="72"/>
          <w:szCs w:val="72"/>
          <w:highlight w:val="none"/>
        </w:rPr>
      </w:pPr>
      <w:r>
        <w:rPr>
          <w:rFonts w:hint="eastAsia" w:ascii="仿宋" w:hAnsi="仿宋" w:eastAsia="仿宋" w:cs="仿宋"/>
          <w:b/>
          <w:bCs/>
          <w:color w:val="auto"/>
          <w:sz w:val="40"/>
          <w:szCs w:val="40"/>
          <w:highlight w:val="none"/>
          <w:lang w:eastAsia="zh-CN"/>
        </w:rPr>
        <w:t xml:space="preserve">南通市生态环境监测站2026年度监测技术支撑项目（</w:t>
      </w:r>
      <w:r>
        <w:rPr>
          <w:rFonts w:hint="eastAsia" w:ascii="仿宋" w:hAnsi="仿宋" w:eastAsia="仿宋" w:cs="仿宋"/>
          <w:b/>
          <w:bCs/>
          <w:color w:val="auto"/>
          <w:sz w:val="40"/>
          <w:szCs w:val="40"/>
          <w:highlight w:val="none"/>
          <w:lang w:val="en-US" w:eastAsia="zh-CN"/>
        </w:rPr>
        <w:t xml:space="preserve">重新采购</w:t>
      </w:r>
      <w:r>
        <w:rPr>
          <w:rFonts w:hint="eastAsia" w:ascii="仿宋" w:hAnsi="仿宋" w:eastAsia="仿宋" w:cs="仿宋"/>
          <w:b/>
          <w:bCs/>
          <w:color w:val="auto"/>
          <w:sz w:val="40"/>
          <w:szCs w:val="40"/>
          <w:highlight w:val="none"/>
          <w:lang w:eastAsia="zh-CN"/>
        </w:rPr>
        <w:t xml:space="preserve">）</w:t>
      </w:r>
      <w:r/>
    </w:p>
    <w:p>
      <w:pPr>
        <w:ind w:firstLine="1446"/>
        <w:jc w:val="center"/>
        <w:spacing w:line="88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ind w:firstLine="1446"/>
        <w:jc w:val="center"/>
        <w:spacing w:line="88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ind w:firstLine="1446"/>
        <w:jc w:val="center"/>
        <w:spacing w:line="88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t xml:space="preserve">政府采购</w:t>
      </w:r>
      <w:r/>
    </w:p>
    <w:p>
      <w:pPr>
        <w:ind w:firstLine="1446"/>
        <w:jc w:val="center"/>
        <w:spacing w:line="880" w:lineRule="exact"/>
        <w:rPr>
          <w:rFonts w:hint="eastAsia" w:ascii="仿宋" w:hAnsi="仿宋" w:eastAsia="仿宋" w:cs="仿宋"/>
          <w:b/>
          <w:sz w:val="44"/>
          <w:szCs w:val="44"/>
          <w:highlight w:val="none"/>
        </w:rPr>
      </w:pPr>
      <w:r>
        <w:rPr>
          <w:rFonts w:hint="eastAsia" w:ascii="仿宋" w:hAnsi="仿宋" w:eastAsia="仿宋" w:cs="仿宋"/>
          <w:b/>
          <w:sz w:val="72"/>
          <w:szCs w:val="72"/>
          <w:highlight w:val="none"/>
        </w:rPr>
        <w:t xml:space="preserve">竞争性磋商文件</w:t>
      </w:r>
      <w:r/>
    </w:p>
    <w:p>
      <w:pPr>
        <w:ind w:firstLine="643"/>
        <w:jc w:val="center"/>
        <w:spacing w:line="72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643"/>
        <w:jc w:val="center"/>
        <w:spacing w:line="720" w:lineRule="auto"/>
        <w:rPr>
          <w:rFonts w:hint="eastAsia" w:ascii="仿宋" w:hAnsi="仿宋" w:eastAsia="仿宋" w:cs="仿宋"/>
          <w:b/>
          <w:sz w:val="36"/>
          <w:highlight w:val="none"/>
        </w:rPr>
      </w:pPr>
      <w:r>
        <w:rPr>
          <w:rFonts w:hint="eastAsia" w:ascii="仿宋" w:hAnsi="仿宋" w:eastAsia="仿宋" w:cs="仿宋"/>
          <w:b/>
          <w:sz w:val="32"/>
          <w:szCs w:val="32"/>
          <w:highlight w:val="none"/>
        </w:rPr>
        <w:t xml:space="preserve">项目编号：JSZC-320600-CJZD-C2026-0016</w:t>
      </w:r>
      <w:r/>
    </w:p>
    <w:p>
      <w:pPr>
        <w:ind w:firstLine="723"/>
        <w:jc w:val="center"/>
        <w:spacing w:line="360" w:lineRule="auto"/>
        <w:rPr>
          <w:rFonts w:hint="eastAsia" w:ascii="仿宋" w:hAnsi="仿宋" w:eastAsia="仿宋" w:cs="仿宋"/>
          <w:b/>
          <w:sz w:val="36"/>
          <w:highlight w:val="none"/>
        </w:rPr>
      </w:pPr>
      <w:r>
        <w:rPr>
          <w:rFonts w:hint="eastAsia" w:ascii="仿宋" w:hAnsi="仿宋" w:eastAsia="仿宋" w:cs="仿宋"/>
          <w:b/>
          <w:sz w:val="36"/>
          <w:highlight w:val="none"/>
        </w:rPr>
      </w:r>
      <w:r/>
    </w:p>
    <w:p>
      <w:pPr>
        <w:ind w:firstLine="643"/>
        <w:jc w:val="center"/>
        <w:spacing w:line="36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采购单位：</w:t>
      </w:r>
      <w:r>
        <w:rPr>
          <w:rFonts w:hint="eastAsia" w:ascii="仿宋" w:hAnsi="仿宋" w:eastAsia="仿宋" w:cs="仿宋"/>
          <w:b/>
          <w:sz w:val="32"/>
          <w:szCs w:val="32"/>
          <w:highlight w:val="none"/>
          <w:lang w:eastAsia="zh-CN"/>
        </w:rPr>
        <w:t xml:space="preserve">南通市生态环境监测站</w:t>
      </w:r>
      <w:r/>
    </w:p>
    <w:p>
      <w:pPr>
        <w:ind w:firstLine="643"/>
        <w:jc w:val="center"/>
        <w:spacing w:line="36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采购代理机构：</w:t>
      </w:r>
      <w:r>
        <w:rPr>
          <w:rFonts w:hint="eastAsia" w:ascii="仿宋" w:hAnsi="仿宋" w:eastAsia="仿宋" w:cs="仿宋"/>
          <w:b/>
          <w:sz w:val="32"/>
          <w:szCs w:val="32"/>
          <w:highlight w:val="none"/>
          <w:lang w:eastAsia="zh-CN"/>
        </w:rPr>
        <w:t xml:space="preserve">江苏澄建正达工程项目管理有限公司</w:t>
      </w:r>
      <w:r/>
    </w:p>
    <w:p>
      <w:pPr>
        <w:ind w:firstLine="643"/>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二〇二</w:t>
      </w:r>
      <w:r>
        <w:rPr>
          <w:rFonts w:hint="eastAsia" w:ascii="仿宋" w:hAnsi="仿宋" w:eastAsia="仿宋" w:cs="仿宋"/>
          <w:b/>
          <w:sz w:val="32"/>
          <w:szCs w:val="32"/>
          <w:highlight w:val="none"/>
          <w:lang w:val="en-US" w:eastAsia="zh-CN"/>
        </w:rPr>
        <w:t xml:space="preserve">六</w:t>
      </w:r>
      <w:r>
        <w:rPr>
          <w:rFonts w:hint="eastAsia" w:ascii="仿宋" w:hAnsi="仿宋" w:eastAsia="仿宋" w:cs="仿宋"/>
          <w:b/>
          <w:sz w:val="32"/>
          <w:szCs w:val="32"/>
          <w:highlight w:val="none"/>
        </w:rPr>
        <w:t xml:space="preserve">年</w:t>
      </w:r>
      <w:r>
        <w:rPr>
          <w:rFonts w:hint="eastAsia" w:ascii="仿宋" w:hAnsi="仿宋" w:eastAsia="仿宋" w:cs="仿宋"/>
          <w:b/>
          <w:sz w:val="32"/>
          <w:szCs w:val="32"/>
          <w:highlight w:val="none"/>
          <w:lang w:val="en-US" w:eastAsia="zh-CN"/>
        </w:rPr>
        <w:t xml:space="preserve">六</w:t>
      </w:r>
      <w:r>
        <w:rPr>
          <w:rFonts w:hint="eastAsia" w:ascii="仿宋" w:hAnsi="仿宋" w:eastAsia="仿宋" w:cs="仿宋"/>
          <w:b/>
          <w:sz w:val="32"/>
          <w:szCs w:val="32"/>
          <w:highlight w:val="none"/>
        </w:rPr>
        <w:t xml:space="preserve">月</w:t>
      </w:r>
      <w:r/>
    </w:p>
    <w:p>
      <w:pPr>
        <w:pStyle w:val="870"/>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p>
    <w:p>
      <w:pPr>
        <w:pStyle w:val="870"/>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pStyle w:val="870"/>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目  录</w:t>
      </w:r>
      <w:r/>
    </w:p>
    <w:p>
      <w:pPr>
        <w:pStyle w:val="870"/>
        <w:ind w:firstLine="600"/>
        <w:jc w:val="center"/>
        <w:rPr>
          <w:rFonts w:hint="eastAsia" w:ascii="仿宋" w:hAnsi="仿宋" w:eastAsia="仿宋" w:cs="仿宋"/>
          <w:sz w:val="30"/>
          <w:highlight w:val="none"/>
        </w:rPr>
      </w:pPr>
      <w:r>
        <w:rPr>
          <w:rFonts w:hint="eastAsia" w:ascii="仿宋" w:hAnsi="仿宋" w:eastAsia="仿宋" w:cs="仿宋"/>
          <w:sz w:val="30"/>
          <w:highlight w:val="none"/>
        </w:rPr>
      </w:r>
      <w:r/>
    </w:p>
    <w:p>
      <w:pPr>
        <w:pStyle w:val="879"/>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TOC \o "1-1"</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第一章 磋商邀请</w:t>
      </w:r>
      <w:r/>
    </w:p>
    <w:p>
      <w:pPr>
        <w:pStyle w:val="879"/>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第二章 供应商须知</w:t>
      </w:r>
      <w:r/>
    </w:p>
    <w:p>
      <w:pPr>
        <w:pStyle w:val="879"/>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第三章 项目需求</w:t>
      </w:r>
      <w:r/>
    </w:p>
    <w:p>
      <w:pPr>
        <w:pStyle w:val="879"/>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第四章 评审方法和程序</w:t>
      </w:r>
      <w:r/>
    </w:p>
    <w:p>
      <w:pPr>
        <w:pStyle w:val="879"/>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第五章 合同及履约保证</w:t>
      </w:r>
      <w:r/>
    </w:p>
    <w:p>
      <w:pPr>
        <w:pStyle w:val="879"/>
        <w:ind w:firstLine="640"/>
        <w:spacing w:line="1200" w:lineRule="exact"/>
        <w:tabs>
          <w:tab w:val="right" w:pos="952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第六章 响应文件组成及格式</w:t>
      </w:r>
      <w:r>
        <w:rPr>
          <w:rFonts w:hint="eastAsia" w:ascii="仿宋" w:hAnsi="仿宋" w:eastAsia="仿宋" w:cs="仿宋"/>
          <w:sz w:val="32"/>
          <w:szCs w:val="32"/>
          <w:highlight w:val="none"/>
        </w:rPr>
        <w:fldChar w:fldCharType="end"/>
      </w:r>
      <w:r/>
    </w:p>
    <w:p>
      <w:pPr>
        <w:ind w:firstLine="723"/>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723"/>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723"/>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420"/>
        <w:spacing w:line="360" w:lineRule="auto"/>
        <w:rPr>
          <w:rFonts w:hint="eastAsia" w:ascii="仿宋" w:hAnsi="仿宋" w:eastAsia="仿宋" w:cs="仿宋"/>
          <w:b/>
          <w:sz w:val="28"/>
          <w:szCs w:val="28"/>
          <w:highlight w:val="none"/>
        </w:rPr>
      </w:pPr>
      <w:r>
        <w:rPr>
          <w:rFonts w:hint="eastAsia" w:ascii="仿宋" w:hAnsi="仿宋" w:eastAsia="仿宋" w:cs="仿宋"/>
          <w:szCs w:val="44"/>
          <w:highlight w:val="none"/>
        </w:rPr>
        <w:br w:type="page" w:clear="all"/>
      </w:r>
      <w:r>
        <w:rPr>
          <w:rFonts w:hint="eastAsia" w:ascii="仿宋" w:hAnsi="仿宋" w:eastAsia="仿宋" w:cs="仿宋"/>
          <w:b/>
          <w:sz w:val="28"/>
          <w:szCs w:val="28"/>
          <w:highlight w:val="none"/>
        </w:rPr>
        <w:t xml:space="preserve">尊敬的供应商：</w:t>
      </w:r>
      <w:r/>
    </w:p>
    <w:p>
      <w:pPr>
        <w:pStyle w:val="865"/>
        <w:ind w:firstLine="442"/>
        <w:jc w:val="left"/>
        <w:keepLines w:val="0"/>
        <w:keepNext w:val="0"/>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865"/>
        <w:ind w:firstLine="883"/>
        <w:jc w:val="center"/>
        <w:keepLines w:val="0"/>
        <w:keepNext w:val="0"/>
        <w:spacing w:before="0" w:after="0" w:line="800" w:lineRule="exact"/>
        <w:rPr>
          <w:rFonts w:hint="eastAsia" w:ascii="仿宋" w:hAnsi="仿宋" w:eastAsia="仿宋" w:cs="仿宋"/>
          <w:sz w:val="28"/>
          <w:szCs w:val="28"/>
          <w:highlight w:val="none"/>
        </w:rPr>
      </w:pPr>
      <w:r>
        <w:rPr>
          <w:rFonts w:hint="eastAsia" w:ascii="仿宋" w:hAnsi="仿宋" w:eastAsia="仿宋" w:cs="仿宋"/>
          <w:szCs w:val="44"/>
          <w:highlight w:val="none"/>
        </w:rPr>
        <w:t xml:space="preserve">第一章  磋商邀请</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highlight w:val="none"/>
        </w:rPr>
        <w:t xml:space="preserve">项目概况</w:t>
      </w:r>
      <w:r/>
    </w:p>
    <w:p>
      <w:pPr>
        <w:ind w:firstLine="480"/>
        <w:spacing w:line="360" w:lineRule="auto"/>
        <w:rPr>
          <w:rFonts w:hint="eastAsia" w:ascii="仿宋" w:hAnsi="仿宋" w:eastAsia="仿宋" w:cs="仿宋"/>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highlight w:val="none"/>
          <w:u w:val="single"/>
          <w:lang w:eastAsia="zh-CN"/>
        </w:rPr>
        <w:t xml:space="preserve">南通市生态环境监测站2026年度监测技术支撑项目（</w:t>
      </w:r>
      <w:r>
        <w:rPr>
          <w:rFonts w:hint="eastAsia" w:ascii="仿宋" w:hAnsi="仿宋" w:eastAsia="仿宋" w:cs="仿宋"/>
          <w:sz w:val="28"/>
          <w:szCs w:val="28"/>
          <w:highlight w:val="none"/>
          <w:u w:val="single"/>
          <w:lang w:val="en-US" w:eastAsia="zh-CN"/>
        </w:rPr>
        <w:t xml:space="preserve">重新采购</w:t>
      </w:r>
      <w:r>
        <w:rPr>
          <w:rFonts w:hint="eastAsia" w:ascii="仿宋" w:hAnsi="仿宋" w:eastAsia="仿宋" w:cs="仿宋"/>
          <w:sz w:val="28"/>
          <w:szCs w:val="28"/>
          <w:highlight w:val="none"/>
          <w:u w:val="single"/>
          <w:lang w:eastAsia="zh-CN"/>
        </w:rPr>
        <w:t xml:space="preserve">）</w:t>
      </w:r>
      <w:r>
        <w:rPr>
          <w:rFonts w:hint="eastAsia" w:ascii="仿宋" w:hAnsi="仿宋" w:eastAsia="仿宋" w:cs="仿宋"/>
          <w:sz w:val="28"/>
          <w:szCs w:val="28"/>
          <w:highlight w:val="none"/>
        </w:rPr>
        <w:t xml:space="preserve">的潜在供应商应在</w:t>
      </w:r>
      <w:r>
        <w:rPr>
          <w:rFonts w:hint="eastAsia" w:ascii="仿宋" w:hAnsi="仿宋" w:eastAsia="仿宋" w:cs="仿宋"/>
          <w:sz w:val="28"/>
          <w:szCs w:val="28"/>
          <w:highlight w:val="none"/>
          <w:u w:val="single"/>
        </w:rPr>
        <w:t xml:space="preserve">苏采云系统内免费下载磋商文</w:t>
      </w:r>
      <w:r>
        <w:rPr>
          <w:rFonts w:hint="eastAsia" w:ascii="仿宋" w:hAnsi="仿宋" w:eastAsia="仿宋" w:cs="仿宋"/>
          <w:sz w:val="28"/>
          <w:szCs w:val="28"/>
          <w:highlight w:val="none"/>
          <w:u w:val="single"/>
          <w:shd w:val="clear" w:color="auto" w:fill="ffffff" w:themeFill="background1"/>
        </w:rPr>
        <w:t xml:space="preserve">件</w:t>
      </w:r>
      <w:r>
        <w:rPr>
          <w:rFonts w:hint="eastAsia" w:ascii="仿宋" w:hAnsi="仿宋" w:eastAsia="仿宋" w:cs="仿宋"/>
          <w:sz w:val="28"/>
          <w:szCs w:val="28"/>
          <w:highlight w:val="none"/>
          <w:shd w:val="clear" w:color="auto" w:fill="ffffff" w:themeFill="background1"/>
        </w:rPr>
        <w:t xml:space="preserve">，并于</w:t>
      </w:r>
      <w:r>
        <w:rPr>
          <w:rFonts w:hint="eastAsia" w:ascii="仿宋" w:hAnsi="仿宋" w:eastAsia="仿宋" w:cs="仿宋"/>
          <w:sz w:val="28"/>
          <w:szCs w:val="28"/>
          <w:highlight w:val="none"/>
          <w:u w:val="single"/>
          <w:shd w:val="clear" w:color="auto" w:fill="ffffff" w:themeFill="background1"/>
        </w:rPr>
        <w:t xml:space="preserve">202</w:t>
      </w:r>
      <w:r>
        <w:rPr>
          <w:rFonts w:hint="eastAsia" w:ascii="仿宋" w:hAnsi="仿宋" w:eastAsia="仿宋" w:cs="仿宋"/>
          <w:sz w:val="28"/>
          <w:szCs w:val="28"/>
          <w:highlight w:val="none"/>
          <w:u w:val="single"/>
          <w:shd w:val="clear" w:color="auto" w:fill="ffffff" w:themeFill="background1"/>
          <w:lang w:val="en-US" w:eastAsia="zh-CN"/>
        </w:rPr>
        <w:t xml:space="preserve">6</w:t>
      </w:r>
      <w:r>
        <w:rPr>
          <w:rFonts w:hint="eastAsia" w:ascii="仿宋" w:hAnsi="仿宋" w:eastAsia="仿宋" w:cs="仿宋"/>
          <w:sz w:val="28"/>
          <w:szCs w:val="28"/>
          <w:highlight w:val="none"/>
          <w:u w:val="single"/>
          <w:shd w:val="clear" w:color="auto" w:fill="ffffff" w:themeFill="background1"/>
        </w:rPr>
        <w:t xml:space="preserve">年 </w:t>
      </w:r>
      <w:r>
        <w:rPr>
          <w:rFonts w:hint="eastAsia" w:ascii="仿宋" w:hAnsi="仿宋" w:eastAsia="仿宋" w:cs="仿宋"/>
          <w:sz w:val="28"/>
          <w:szCs w:val="28"/>
          <w:highlight w:val="none"/>
          <w:u w:val="single"/>
          <w:shd w:val="clear" w:color="auto" w:fill="ffffff" w:themeFill="background1"/>
          <w:lang w:val="en-US" w:eastAsia="zh-CN"/>
        </w:rPr>
        <w:t xml:space="preserve">06</w:t>
      </w:r>
      <w:r>
        <w:rPr>
          <w:rFonts w:hint="eastAsia" w:ascii="仿宋" w:hAnsi="仿宋" w:eastAsia="仿宋" w:cs="仿宋"/>
          <w:sz w:val="28"/>
          <w:szCs w:val="28"/>
          <w:highlight w:val="none"/>
          <w:u w:val="single"/>
          <w:shd w:val="clear" w:color="auto" w:fill="ffffff" w:themeFill="background1"/>
        </w:rPr>
        <w:t xml:space="preserve">月 </w:t>
      </w:r>
      <w:r>
        <w:rPr>
          <w:rFonts w:hint="eastAsia" w:ascii="仿宋" w:hAnsi="仿宋" w:eastAsia="仿宋" w:cs="仿宋"/>
          <w:sz w:val="28"/>
          <w:szCs w:val="28"/>
          <w:highlight w:val="none"/>
          <w:u w:val="single"/>
          <w:shd w:val="clear" w:color="auto" w:fill="ffffff" w:themeFill="background1"/>
          <w:lang w:val="en-US" w:eastAsia="zh-CN"/>
        </w:rPr>
        <w:t xml:space="preserve">15</w:t>
      </w:r>
      <w:r>
        <w:rPr>
          <w:rFonts w:hint="eastAsia" w:ascii="仿宋" w:hAnsi="仿宋" w:eastAsia="仿宋" w:cs="仿宋"/>
          <w:sz w:val="28"/>
          <w:szCs w:val="28"/>
          <w:highlight w:val="none"/>
          <w:u w:val="single"/>
          <w:shd w:val="clear" w:color="auto" w:fill="ffffff" w:themeFill="background1"/>
        </w:rPr>
        <w:t xml:space="preserve">日</w:t>
      </w:r>
      <w:r>
        <w:rPr>
          <w:rFonts w:hint="eastAsia" w:ascii="仿宋" w:hAnsi="仿宋" w:eastAsia="仿宋" w:cs="仿宋"/>
          <w:sz w:val="28"/>
          <w:szCs w:val="28"/>
          <w:highlight w:val="none"/>
          <w:u w:val="single"/>
          <w:shd w:val="clear" w:color="auto" w:fill="ffffff" w:themeFill="background1"/>
          <w:lang w:val="en-US" w:eastAsia="zh-CN"/>
        </w:rPr>
        <w:t xml:space="preserve">14</w:t>
      </w:r>
      <w:r>
        <w:rPr>
          <w:rFonts w:hint="eastAsia" w:ascii="仿宋" w:hAnsi="仿宋" w:eastAsia="仿宋" w:cs="仿宋"/>
          <w:sz w:val="28"/>
          <w:szCs w:val="28"/>
          <w:highlight w:val="none"/>
          <w:u w:val="single"/>
          <w:shd w:val="clear" w:color="auto" w:fill="ffffff" w:themeFill="background1"/>
        </w:rPr>
        <w:t xml:space="preserve">时</w:t>
      </w:r>
      <w:r>
        <w:rPr>
          <w:rFonts w:hint="eastAsia" w:ascii="仿宋" w:hAnsi="仿宋" w:eastAsia="仿宋" w:cs="仿宋"/>
          <w:sz w:val="28"/>
          <w:szCs w:val="28"/>
          <w:highlight w:val="none"/>
          <w:u w:val="single"/>
          <w:shd w:val="clear" w:color="auto" w:fill="ffffff" w:themeFill="background1"/>
          <w:lang w:val="en-US" w:eastAsia="zh-CN"/>
        </w:rPr>
        <w:t xml:space="preserve">0</w:t>
      </w:r>
      <w:r>
        <w:rPr>
          <w:rFonts w:hint="eastAsia" w:ascii="仿宋" w:hAnsi="仿宋" w:eastAsia="仿宋" w:cs="仿宋"/>
          <w:sz w:val="28"/>
          <w:szCs w:val="28"/>
          <w:highlight w:val="none"/>
          <w:u w:val="single"/>
          <w:shd w:val="clear" w:color="auto" w:fill="ffffff" w:themeFill="background1"/>
        </w:rPr>
        <w:t xml:space="preserve">0分</w:t>
      </w:r>
      <w:r>
        <w:rPr>
          <w:rFonts w:hint="eastAsia" w:ascii="仿宋" w:hAnsi="仿宋" w:eastAsia="仿宋" w:cs="仿宋"/>
          <w:bCs/>
          <w:sz w:val="28"/>
          <w:szCs w:val="28"/>
          <w:highlight w:val="none"/>
        </w:rPr>
        <w:t xml:space="preserve">（北京时间）前提交响应文件</w:t>
      </w:r>
      <w:r>
        <w:rPr>
          <w:rFonts w:hint="eastAsia" w:ascii="仿宋" w:hAnsi="仿宋" w:eastAsia="仿宋" w:cs="仿宋"/>
          <w:sz w:val="28"/>
          <w:szCs w:val="28"/>
          <w:highlight w:val="none"/>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江苏澄建正达工程项目管理有限公司</w:t>
      </w:r>
      <w:r>
        <w:rPr>
          <w:rFonts w:hint="eastAsia" w:ascii="仿宋" w:hAnsi="仿宋" w:eastAsia="仿宋" w:cs="仿宋"/>
          <w:sz w:val="28"/>
          <w:szCs w:val="28"/>
          <w:highlight w:val="none"/>
        </w:rPr>
        <w:t xml:space="preserve">（以下简称代理机构）受</w:t>
      </w:r>
      <w:r>
        <w:rPr>
          <w:rFonts w:hint="eastAsia" w:ascii="仿宋" w:hAnsi="仿宋" w:eastAsia="仿宋" w:cs="仿宋"/>
          <w:sz w:val="28"/>
          <w:szCs w:val="28"/>
          <w:highlight w:val="none"/>
          <w:lang w:eastAsia="zh-CN"/>
        </w:rPr>
        <w:t xml:space="preserve">南通市生态环境监测站</w:t>
      </w:r>
      <w:r>
        <w:rPr>
          <w:rFonts w:hint="eastAsia" w:ascii="仿宋" w:hAnsi="仿宋" w:eastAsia="仿宋" w:cs="仿宋"/>
          <w:sz w:val="28"/>
          <w:szCs w:val="28"/>
          <w:highlight w:val="none"/>
        </w:rPr>
        <w:t xml:space="preserve">（以下简称采购单位）的委托，对</w:t>
      </w:r>
      <w:r>
        <w:rPr>
          <w:rFonts w:hint="eastAsia" w:ascii="仿宋" w:hAnsi="仿宋" w:eastAsia="仿宋" w:cs="仿宋"/>
          <w:sz w:val="28"/>
          <w:szCs w:val="28"/>
          <w:highlight w:val="none"/>
          <w:lang w:eastAsia="zh-CN"/>
        </w:rPr>
        <w:t xml:space="preserve">南通市生态环境监测站2026年度监测技术支撑项目（重新采购）</w:t>
      </w:r>
      <w:r>
        <w:rPr>
          <w:rFonts w:hint="eastAsia" w:ascii="仿宋" w:hAnsi="仿宋" w:eastAsia="仿宋" w:cs="仿宋"/>
          <w:sz w:val="28"/>
          <w:szCs w:val="28"/>
          <w:highlight w:val="none"/>
        </w:rPr>
        <w:t xml:space="preserve">采用竞争性磋商采购，诚邀符合条件的供应商参加该项目的竞争性磋商。</w:t>
      </w:r>
      <w:r/>
    </w:p>
    <w:p>
      <w:pPr>
        <w:pStyle w:val="866"/>
        <w:ind w:firstLine="482"/>
        <w:spacing w:before="0" w:after="0" w:line="360" w:lineRule="auto"/>
        <w:rPr>
          <w:rFonts w:hint="eastAsia" w:ascii="仿宋" w:hAnsi="仿宋" w:eastAsia="仿宋" w:cs="仿宋"/>
          <w:sz w:val="28"/>
          <w:szCs w:val="28"/>
          <w:highlight w:val="none"/>
        </w:rPr>
      </w:pPr>
      <w:r/>
      <w:bookmarkStart w:id="0" w:name="_Toc35393629"/>
      <w:r/>
      <w:bookmarkStart w:id="1" w:name="_Toc28359089"/>
      <w:r/>
      <w:bookmarkStart w:id="2" w:name="_Toc28359012"/>
      <w:r/>
      <w:bookmarkStart w:id="3" w:name="_Toc35393798"/>
      <w:r>
        <w:rPr>
          <w:rFonts w:hint="eastAsia" w:ascii="仿宋" w:hAnsi="仿宋" w:eastAsia="仿宋" w:cs="仿宋"/>
          <w:sz w:val="28"/>
          <w:szCs w:val="28"/>
          <w:highlight w:val="none"/>
        </w:rPr>
        <w:t xml:space="preserve">一、项目基本情况</w:t>
      </w:r>
      <w:bookmarkEnd w:id="0"/>
      <w:r/>
      <w:bookmarkEnd w:id="1"/>
      <w:r/>
      <w:bookmarkEnd w:id="2"/>
      <w:r/>
      <w:bookmarkEnd w:id="3"/>
      <w:r/>
      <w:r/>
    </w:p>
    <w:p>
      <w:pPr>
        <w:ind w:firstLine="480"/>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1.项目编号：JSZC-320600-CJZD-C2026-0016</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2.项目名称：</w:t>
      </w:r>
      <w:r>
        <w:rPr>
          <w:rFonts w:hint="eastAsia" w:ascii="仿宋" w:hAnsi="仿宋" w:eastAsia="仿宋" w:cs="仿宋"/>
          <w:sz w:val="28"/>
          <w:szCs w:val="28"/>
          <w:highlight w:val="none"/>
          <w:lang w:eastAsia="zh-CN"/>
        </w:rPr>
        <w:t xml:space="preserve">南通市生态环境监测站2026年度监测技术支撑项目（重新采购）</w:t>
      </w:r>
      <w:r>
        <w:rPr>
          <w:rFonts w:hint="eastAsia" w:ascii="仿宋" w:hAnsi="仿宋" w:eastAsia="仿宋" w:cs="仿宋"/>
          <w:sz w:val="28"/>
          <w:szCs w:val="28"/>
          <w:highlight w:val="none"/>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3.项目类型：服务；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bookmarkStart w:id="4" w:name="_Toc35393630"/>
      <w:r/>
      <w:bookmarkStart w:id="5" w:name="_Toc28359013"/>
      <w:r/>
      <w:bookmarkStart w:id="6" w:name="_Toc35393799"/>
      <w:r/>
      <w:bookmarkStart w:id="7" w:name="_Toc28359090"/>
      <w:r>
        <w:rPr>
          <w:rFonts w:hint="eastAsia" w:ascii="仿宋" w:hAnsi="仿宋" w:eastAsia="仿宋" w:cs="仿宋"/>
          <w:sz w:val="28"/>
          <w:szCs w:val="28"/>
          <w:highlight w:val="none"/>
        </w:rPr>
        <w:t xml:space="preserve">所属行业：其他未列明行业（科学研究和技术服务业）；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.采购方式：竞争性磋商；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.预算金额：包</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24</w:t>
      </w:r>
      <w:r>
        <w:rPr>
          <w:rFonts w:hint="eastAsia" w:ascii="仿宋" w:hAnsi="仿宋" w:eastAsia="仿宋" w:cs="仿宋"/>
          <w:sz w:val="28"/>
          <w:szCs w:val="28"/>
          <w:highlight w:val="none"/>
          <w:lang w:val="zh-CN"/>
        </w:rPr>
        <w:t xml:space="preserve">万元人民币</w:t>
      </w:r>
      <w:r>
        <w:rPr>
          <w:rFonts w:hint="eastAsia" w:ascii="仿宋" w:hAnsi="仿宋" w:eastAsia="仿宋" w:cs="仿宋"/>
          <w:sz w:val="28"/>
          <w:szCs w:val="28"/>
          <w:highlight w:val="none"/>
        </w:rPr>
        <w:t xml:space="preserve">；包</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22</w:t>
      </w:r>
      <w:r>
        <w:rPr>
          <w:rFonts w:hint="eastAsia" w:ascii="仿宋" w:hAnsi="仿宋" w:eastAsia="仿宋" w:cs="仿宋"/>
          <w:sz w:val="28"/>
          <w:szCs w:val="28"/>
          <w:highlight w:val="none"/>
          <w:lang w:val="zh-CN"/>
        </w:rPr>
        <w:t xml:space="preserve">万元人民币。</w:t>
      </w:r>
      <w:r/>
    </w:p>
    <w:p>
      <w:pPr>
        <w:ind w:firstLine="480"/>
        <w:spacing w:line="360" w:lineRule="auto"/>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.最高限价：</w:t>
      </w:r>
      <w:r>
        <w:rPr>
          <w:rFonts w:hint="eastAsia" w:ascii="仿宋" w:hAnsi="仿宋" w:eastAsia="仿宋" w:cs="仿宋"/>
          <w:b w:val="0"/>
          <w:bCs w:val="0"/>
          <w:color w:val="auto"/>
          <w:sz w:val="28"/>
          <w:szCs w:val="28"/>
          <w:highlight w:val="none"/>
          <w:lang w:val="en-US" w:eastAsia="zh-CN"/>
        </w:rPr>
        <w:t xml:space="preserve">《江苏省环境监测专业服务收费标准》（苏价费[2006]397号）单价为依据，在此基础上报统一优惠率不低于50%。</w:t>
      </w:r>
      <w:r/>
    </w:p>
    <w:p>
      <w:pPr>
        <w:ind w:firstLine="480"/>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注：</w:t>
      </w:r>
      <w:r>
        <w:rPr>
          <w:rFonts w:hint="eastAsia" w:ascii="仿宋" w:hAnsi="仿宋" w:eastAsia="仿宋" w:cs="仿宋"/>
          <w:b/>
          <w:bCs/>
          <w:color w:val="auto"/>
          <w:sz w:val="28"/>
          <w:szCs w:val="28"/>
          <w:highlight w:val="none"/>
        </w:rPr>
        <w:t xml:space="preserve">本项目采用优惠率（%）报价（该优惠率即为下浮率。举例说明：</w:t>
      </w:r>
      <w:r>
        <w:rPr>
          <w:rFonts w:hint="eastAsia" w:ascii="仿宋" w:hAnsi="仿宋" w:eastAsia="仿宋" w:cs="仿宋"/>
          <w:b/>
          <w:bCs/>
          <w:color w:val="auto"/>
          <w:sz w:val="28"/>
          <w:szCs w:val="28"/>
          <w:highlight w:val="none"/>
          <w:lang w:val="en-US" w:eastAsia="zh-CN"/>
        </w:rPr>
        <w:t xml:space="preserve">5</w:t>
      </w:r>
      <w:r>
        <w:rPr>
          <w:rFonts w:hint="eastAsia" w:ascii="仿宋" w:hAnsi="仿宋" w:eastAsia="仿宋" w:cs="仿宋"/>
          <w:b/>
          <w:bCs/>
          <w:color w:val="auto"/>
          <w:sz w:val="28"/>
          <w:szCs w:val="28"/>
          <w:highlight w:val="none"/>
          <w:lang w:eastAsia="zh-CN"/>
        </w:rPr>
        <w:t xml:space="preserve">如中标报价优惠率为60%，即中标下浮率为60%，即为</w:t>
      </w:r>
      <w:r>
        <w:rPr>
          <w:rFonts w:hint="eastAsia" w:ascii="仿宋" w:hAnsi="仿宋" w:eastAsia="仿宋" w:cs="仿宋"/>
          <w:b/>
          <w:bCs/>
          <w:color w:val="auto"/>
          <w:sz w:val="28"/>
          <w:szCs w:val="28"/>
          <w:highlight w:val="none"/>
          <w:lang w:val="zh-CN" w:eastAsia="zh-CN"/>
        </w:rPr>
        <w:t xml:space="preserve">《江苏省环境监测专业服务收费标准》（苏价费[2006]397号）单价</w:t>
      </w:r>
      <w:r>
        <w:rPr>
          <w:rFonts w:hint="eastAsia" w:ascii="仿宋" w:hAnsi="仿宋" w:eastAsia="仿宋" w:cs="仿宋"/>
          <w:b/>
          <w:bCs/>
          <w:color w:val="auto"/>
          <w:sz w:val="28"/>
          <w:szCs w:val="28"/>
          <w:highlight w:val="none"/>
          <w:lang w:eastAsia="zh-CN"/>
        </w:rPr>
        <w:t xml:space="preserve">的4折）</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.采购需求：详见第三部分项目需求；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.合同履行期限：</w:t>
      </w:r>
      <w:r>
        <w:rPr>
          <w:rFonts w:hint="eastAsia" w:ascii="仿宋" w:hAnsi="仿宋" w:eastAsia="仿宋" w:cs="仿宋"/>
          <w:strike w:val="0"/>
          <w:sz w:val="28"/>
          <w:szCs w:val="28"/>
          <w:highlight w:val="none"/>
        </w:rPr>
        <w:t xml:space="preserve">1年</w:t>
      </w:r>
      <w:r>
        <w:rPr>
          <w:rFonts w:hint="eastAsia" w:ascii="仿宋" w:hAnsi="仿宋" w:eastAsia="仿宋" w:cs="仿宋"/>
          <w:sz w:val="28"/>
          <w:szCs w:val="28"/>
          <w:highlight w:val="none"/>
          <w:lang w:val="zh-CN"/>
        </w:rPr>
        <w:t xml:space="preserve">，具体以合同为准，</w:t>
      </w:r>
      <w:r>
        <w:rPr>
          <w:rFonts w:hint="eastAsia" w:ascii="仿宋" w:hAnsi="仿宋" w:eastAsia="仿宋" w:cs="仿宋"/>
          <w:sz w:val="28"/>
          <w:szCs w:val="28"/>
          <w:highlight w:val="none"/>
        </w:rPr>
        <w:t xml:space="preserve">到期后或经费使用完后</w:t>
      </w:r>
      <w:r>
        <w:rPr>
          <w:rFonts w:hint="eastAsia" w:ascii="仿宋" w:hAnsi="仿宋" w:eastAsia="仿宋" w:cs="仿宋"/>
          <w:sz w:val="28"/>
          <w:szCs w:val="28"/>
          <w:highlight w:val="none"/>
          <w:lang w:val="zh-CN"/>
        </w:rPr>
        <w:t xml:space="preserve">合同自动终止</w:t>
      </w:r>
      <w:r>
        <w:rPr>
          <w:rFonts w:hint="eastAsia" w:ascii="仿宋" w:hAnsi="仿宋" w:eastAsia="仿宋" w:cs="仿宋"/>
          <w:sz w:val="28"/>
          <w:szCs w:val="28"/>
          <w:highlight w:val="none"/>
        </w:rPr>
        <w:t xml:space="preserve">。</w:t>
      </w:r>
      <w:r/>
    </w:p>
    <w:p>
      <w:pPr>
        <w:ind w:firstLine="480"/>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.本项目是/否面向中小企业采购：</w:t>
      </w:r>
      <w:r>
        <w:rPr>
          <w:rFonts w:hint="eastAsia" w:ascii="仿宋" w:hAnsi="仿宋" w:eastAsia="仿宋" w:cs="仿宋"/>
          <w:b/>
          <w:bCs/>
          <w:sz w:val="28"/>
          <w:szCs w:val="28"/>
          <w:highlight w:val="none"/>
          <w:lang w:val="en-US" w:eastAsia="zh-CN"/>
        </w:rPr>
        <w:t xml:space="preserve">专门面向中小企业采购。</w:t>
      </w:r>
      <w:r/>
    </w:p>
    <w:p>
      <w:pPr>
        <w:ind w:firstLine="48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.本项目不接受联合体</w:t>
      </w:r>
      <w:r>
        <w:rPr>
          <w:rFonts w:hint="eastAsia" w:ascii="仿宋" w:hAnsi="仿宋" w:eastAsia="仿宋" w:cs="仿宋"/>
          <w:sz w:val="28"/>
          <w:szCs w:val="28"/>
          <w:highlight w:val="none"/>
          <w:lang w:eastAsia="zh-CN"/>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color w:val="000000"/>
          <w:sz w:val="28"/>
          <w:szCs w:val="28"/>
          <w:highlight w:val="none"/>
          <w:lang w:val="en-US" w:eastAsia="zh-CN"/>
        </w:rPr>
        <w:t xml:space="preserve">投标人可自行决定参与一个或多个包的投标，项目允许</w:t>
      </w:r>
      <w:r>
        <w:rPr>
          <w:rFonts w:hint="eastAsia" w:ascii="仿宋" w:hAnsi="仿宋" w:eastAsia="仿宋" w:cs="仿宋"/>
          <w:b/>
          <w:bCs/>
          <w:color w:val="000000"/>
          <w:sz w:val="28"/>
          <w:szCs w:val="28"/>
          <w:highlight w:val="none"/>
          <w:lang w:val="en-US" w:eastAsia="zh-CN"/>
        </w:rPr>
        <w:t xml:space="preserve">兼投兼中</w:t>
      </w:r>
      <w:r>
        <w:rPr>
          <w:rFonts w:hint="eastAsia" w:ascii="仿宋" w:hAnsi="仿宋" w:eastAsia="仿宋" w:cs="仿宋"/>
          <w:color w:val="000000"/>
          <w:sz w:val="28"/>
          <w:szCs w:val="28"/>
          <w:highlight w:val="none"/>
          <w:lang w:val="en-US" w:eastAsia="zh-CN"/>
        </w:rPr>
        <w:t xml:space="preserve">（因首次采购部分采购包有效投标人不足三家，为充分扩大竞争范围，提高采购效率，本次将原兼投不兼中规则调整为允许兼投兼中，“</w:t>
      </w:r>
      <w:r>
        <w:rPr>
          <w:rFonts w:hint="eastAsia" w:ascii="仿宋" w:hAnsi="仿宋" w:eastAsia="仿宋" w:cs="仿宋"/>
          <w:sz w:val="28"/>
          <w:szCs w:val="28"/>
          <w:highlight w:val="none"/>
          <w:lang w:eastAsia="zh-CN"/>
        </w:rPr>
        <w:t xml:space="preserve">南通市生态环境监测站2026年度监测技术支撑项目</w:t>
      </w:r>
      <w:r>
        <w:rPr>
          <w:rFonts w:hint="eastAsia" w:ascii="仿宋" w:hAnsi="仿宋" w:eastAsia="仿宋" w:cs="仿宋"/>
          <w:color w:val="000000"/>
          <w:sz w:val="28"/>
          <w:szCs w:val="28"/>
          <w:highlight w:val="none"/>
          <w:lang w:val="en-US" w:eastAsia="zh-CN"/>
        </w:rPr>
        <w:t xml:space="preserve">”的中标</w:t>
      </w:r>
      <w:r>
        <w:rPr>
          <w:rFonts w:hint="eastAsia" w:ascii="仿宋" w:hAnsi="仿宋" w:eastAsia="仿宋" w:cs="仿宋"/>
          <w:color w:val="000000"/>
          <w:sz w:val="28"/>
          <w:szCs w:val="28"/>
          <w:highlight w:val="none"/>
          <w:lang w:val="en-US" w:eastAsia="zh-CN"/>
        </w:rPr>
        <w:t xml:space="preserve">单位仍然可以参与本次项目投标，但同一家供应商最多中标五个包中两个包）。评标委员会按照</w:t>
      </w:r>
      <w:r>
        <w:rPr>
          <w:rFonts w:hint="eastAsia" w:ascii="仿宋" w:hAnsi="仿宋" w:eastAsia="仿宋" w:cs="仿宋"/>
          <w:sz w:val="28"/>
          <w:szCs w:val="28"/>
          <w:highlight w:val="none"/>
        </w:rPr>
        <w:t xml:space="preserve">包1→包2</w:t>
      </w:r>
      <w:r>
        <w:rPr>
          <w:rFonts w:hint="eastAsia" w:ascii="仿宋" w:hAnsi="仿宋" w:eastAsia="仿宋" w:cs="仿宋"/>
          <w:color w:val="000000"/>
          <w:sz w:val="28"/>
          <w:szCs w:val="28"/>
          <w:highlight w:val="none"/>
          <w:lang w:val="en-US" w:eastAsia="zh-CN"/>
        </w:rPr>
        <w:t xml:space="preserve">的顺序依次开评标，每个包确定1个成交供应商，</w:t>
      </w:r>
      <w:r>
        <w:rPr>
          <w:rFonts w:hint="eastAsia" w:ascii="仿宋" w:hAnsi="仿宋" w:eastAsia="仿宋" w:cs="仿宋"/>
          <w:color w:val="000000"/>
          <w:sz w:val="28"/>
          <w:szCs w:val="28"/>
          <w:highlight w:val="none"/>
          <w:lang w:val="en-US" w:eastAsia="zh-CN"/>
        </w:rPr>
        <w:t xml:space="preserve">已中标两个包的供应商可继续参与后续采购</w:t>
      </w:r>
      <w:bookmarkStart w:id="111" w:name="_GoBack"/>
      <w:r>
        <w:rPr>
          <w:highlight w:val="none"/>
        </w:rPr>
      </w:r>
      <w:bookmarkEnd w:id="111"/>
      <w:r>
        <w:rPr>
          <w:rFonts w:hint="eastAsia" w:ascii="仿宋" w:hAnsi="仿宋" w:eastAsia="仿宋" w:cs="仿宋"/>
          <w:color w:val="000000"/>
          <w:sz w:val="28"/>
          <w:szCs w:val="28"/>
          <w:highlight w:val="none"/>
          <w:lang w:val="en-US" w:eastAsia="zh-CN"/>
        </w:rPr>
        <w:t xml:space="preserve">包评审但不再将其推荐为中标候选人。</w:t>
      </w:r>
      <w:r>
        <w:rPr>
          <w:highlight w:val="none"/>
        </w:rPr>
      </w:r>
    </w:p>
    <w:p>
      <w:pPr>
        <w:pStyle w:val="866"/>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w:t>
      </w:r>
      <w:bookmarkEnd w:id="4"/>
      <w:r/>
      <w:bookmarkEnd w:id="5"/>
      <w:r/>
      <w:bookmarkEnd w:id="6"/>
      <w:r/>
      <w:bookmarkEnd w:id="7"/>
      <w:r>
        <w:rPr>
          <w:rFonts w:hint="eastAsia" w:ascii="仿宋" w:hAnsi="仿宋" w:eastAsia="仿宋" w:cs="仿宋"/>
          <w:sz w:val="28"/>
          <w:szCs w:val="28"/>
          <w:highlight w:val="none"/>
        </w:rPr>
        <w:t xml:space="preserve">申请人的资格要求</w:t>
      </w:r>
      <w:r/>
    </w:p>
    <w:p>
      <w:pPr>
        <w:ind w:firstLine="560"/>
        <w:jc w:val="left"/>
        <w:spacing w:line="360" w:lineRule="auto"/>
        <w:rPr>
          <w:rFonts w:hint="eastAsia" w:ascii="仿宋" w:hAnsi="仿宋" w:eastAsia="仿宋" w:cs="仿宋"/>
          <w:color w:val="000000"/>
          <w:sz w:val="28"/>
          <w:szCs w:val="28"/>
          <w:highlight w:val="none"/>
        </w:rPr>
      </w:pPr>
      <w:r/>
      <w:bookmarkStart w:id="8" w:name="_Toc28359015"/>
      <w:r/>
      <w:bookmarkStart w:id="9" w:name="_Toc35393801"/>
      <w:r/>
      <w:bookmarkStart w:id="10" w:name="_Toc28359092"/>
      <w:r/>
      <w:bookmarkStart w:id="11" w:name="_Toc35393632"/>
      <w:r>
        <w:rPr>
          <w:rFonts w:hint="eastAsia" w:ascii="仿宋" w:hAnsi="仿宋" w:eastAsia="仿宋" w:cs="仿宋"/>
          <w:color w:val="000000"/>
          <w:sz w:val="28"/>
          <w:szCs w:val="28"/>
          <w:highlight w:val="none"/>
        </w:rPr>
        <w:t xml:space="preserve">1.满足《中华人民共和国政府采购法》第二十二条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r/>
    </w:p>
    <w:p>
      <w:pPr>
        <w:ind w:firstLine="560"/>
        <w:jc w:val="left"/>
        <w:spacing w:line="360" w:lineRule="auto"/>
        <w:rPr>
          <w:rFonts w:hint="eastAsia" w:ascii="仿宋" w:hAnsi="仿宋" w:eastAsia="仿宋" w:cs="仿宋"/>
          <w:sz w:val="28"/>
          <w:szCs w:val="28"/>
          <w:highlight w:val="none"/>
          <w:lang w:eastAsia="zh-CN"/>
        </w:rPr>
      </w:pPr>
      <w:r>
        <w:rPr>
          <w:rFonts w:hint="eastAsia" w:ascii="仿宋" w:hAnsi="仿宋" w:eastAsia="仿宋" w:cs="仿宋"/>
          <w:color w:val="000000"/>
          <w:sz w:val="28"/>
          <w:szCs w:val="28"/>
          <w:highlight w:val="none"/>
        </w:rPr>
        <w:t xml:space="preserve">2.落实政府采购政策需满足的资格要求：</w:t>
      </w:r>
      <w:r>
        <w:rPr>
          <w:rFonts w:hint="eastAsia" w:ascii="仿宋" w:hAnsi="仿宋" w:eastAsia="仿宋" w:cs="仿宋"/>
          <w:color w:val="000000"/>
          <w:sz w:val="28"/>
          <w:szCs w:val="28"/>
          <w:highlight w:val="none"/>
          <w:lang w:val="en-US" w:eastAsia="zh-CN"/>
        </w:rPr>
        <w:t xml:space="preserve">包1、包2：</w:t>
      </w:r>
      <w:r>
        <w:rPr>
          <w:rFonts w:hint="eastAsia" w:ascii="仿宋" w:hAnsi="仿宋" w:eastAsia="仿宋" w:cs="仿宋"/>
          <w:b/>
          <w:sz w:val="28"/>
          <w:szCs w:val="28"/>
          <w:highlight w:val="none"/>
          <w:u w:val="single"/>
        </w:rPr>
        <w:t xml:space="preserve">属于专门面向中小企业采购的项目,供应商应为中小微企业、监狱企业或残疾人福利性单位，并按照采购文件要求提供《中小企业声明函》、《残疾人福利性单位声明函》或监狱和戒毒企业证明材料</w:t>
      </w:r>
      <w:r>
        <w:rPr>
          <w:rFonts w:hint="eastAsia" w:ascii="仿宋" w:hAnsi="仿宋" w:eastAsia="仿宋" w:cs="仿宋"/>
          <w:b/>
          <w:sz w:val="28"/>
          <w:szCs w:val="28"/>
          <w:highlight w:val="none"/>
          <w:u w:val="single"/>
          <w:lang w:eastAsia="zh-CN"/>
        </w:rPr>
        <w:t xml:space="preserve">。</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sz w:val="28"/>
          <w:szCs w:val="28"/>
          <w:highlight w:val="none"/>
        </w:rPr>
        <w:t xml:space="preserve">本项目的特定资格要求：</w:t>
      </w:r>
      <w:r/>
    </w:p>
    <w:p>
      <w:pPr>
        <w:ind w:firstLine="562"/>
        <w:jc w:val="left"/>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包1、包2：（1）供应商须满足《生态环境监测条例》第二十八条第一款、第二款规定，且具有</w:t>
      </w:r>
      <w:r>
        <w:rPr>
          <w:rFonts w:hint="eastAsia" w:ascii="仿宋" w:hAnsi="仿宋" w:eastAsia="仿宋" w:cs="仿宋"/>
          <w:b/>
          <w:bCs/>
          <w:sz w:val="28"/>
          <w:szCs w:val="28"/>
          <w:highlight w:val="none"/>
          <w:lang w:eastAsia="zh-CN"/>
        </w:rPr>
        <w:t xml:space="preserve">有效期内的</w:t>
      </w:r>
      <w:r>
        <w:rPr>
          <w:rFonts w:hint="eastAsia" w:ascii="仿宋" w:hAnsi="仿宋" w:eastAsia="仿宋" w:cs="仿宋"/>
          <w:b/>
          <w:bCs/>
          <w:sz w:val="28"/>
          <w:szCs w:val="28"/>
          <w:highlight w:val="none"/>
          <w:lang w:val="en-US" w:eastAsia="zh-CN"/>
        </w:rPr>
        <w:t xml:space="preserve">CMA资质认定证书；</w:t>
      </w:r>
      <w:r/>
    </w:p>
    <w:p>
      <w:pPr>
        <w:pStyle w:val="866"/>
        <w:ind w:firstLine="2004"/>
        <w:spacing w:before="0" w:after="0"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bidi="ar-SA"/>
        </w:rPr>
        <w:t xml:space="preserve">（2）拟派项目负责人为工程师或以上。</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4.其他资格要求：</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（1）未被“信用中国”网站列入失信被执行人、重大税收违法案件当事人名单、政府采购不良行为记录名单；</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法定代表人为同一个人的两个及两个以上法人，母公司、全资子公司及其控股公司，都不得在同一采购项目或同一标段中同时参加投标，一经发现，将视同围标处理。为项目提供整体设计、规范编制或者项目管理、监理、检测等服务的供应商，不得再参加本项目的采购活动；</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（3）未经采购人同意，成交供应商不得采用分包的形式履行合同。</w:t>
      </w:r>
      <w:r/>
    </w:p>
    <w:p>
      <w:pPr>
        <w:ind w:firstLine="562"/>
        <w:spacing w:line="360" w:lineRule="auto"/>
        <w:rPr>
          <w:rFonts w:hint="eastAsia" w:ascii="仿宋" w:hAnsi="仿宋" w:eastAsia="仿宋" w:cs="仿宋"/>
          <w:b/>
          <w:bCs/>
          <w:sz w:val="28"/>
          <w:szCs w:val="28"/>
          <w:highlight w:val="none"/>
          <w:u w:val="single"/>
          <w:lang w:eastAsia="zh-CN"/>
        </w:rPr>
      </w:pPr>
      <w:r>
        <w:rPr>
          <w:rFonts w:hint="eastAsia" w:ascii="仿宋" w:hAnsi="仿宋" w:eastAsia="仿宋" w:cs="仿宋"/>
          <w:b/>
          <w:bCs/>
          <w:sz w:val="28"/>
          <w:szCs w:val="28"/>
          <w:highlight w:val="none"/>
          <w:u w:val="single"/>
        </w:rPr>
        <w:t xml:space="preserve">具体资格要求详见第六章响应文件组成及格式</w:t>
      </w:r>
      <w:r>
        <w:rPr>
          <w:rFonts w:hint="eastAsia" w:ascii="仿宋" w:hAnsi="仿宋" w:eastAsia="仿宋" w:cs="仿宋"/>
          <w:b/>
          <w:bCs/>
          <w:sz w:val="28"/>
          <w:szCs w:val="28"/>
          <w:highlight w:val="none"/>
          <w:u w:val="single"/>
          <w:lang w:val="en-US" w:eastAsia="zh-CN"/>
        </w:rPr>
        <w:t xml:space="preserve">中格审查证明材料</w:t>
      </w:r>
      <w:r>
        <w:rPr>
          <w:rFonts w:hint="eastAsia" w:ascii="仿宋" w:hAnsi="仿宋" w:eastAsia="仿宋" w:cs="仿宋"/>
          <w:b/>
          <w:bCs/>
          <w:sz w:val="28"/>
          <w:szCs w:val="28"/>
          <w:highlight w:val="none"/>
          <w:u w:val="single"/>
          <w:lang w:eastAsia="zh-CN"/>
        </w:rPr>
        <w:t xml:space="preserve">。</w:t>
      </w:r>
      <w:r/>
    </w:p>
    <w:p>
      <w:pPr>
        <w:pStyle w:val="866"/>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三、获取采购文件</w:t>
      </w:r>
      <w:r/>
    </w:p>
    <w:p>
      <w:pPr>
        <w:ind w:firstLine="480"/>
        <w:jc w:val="left"/>
        <w:spacing w:line="360" w:lineRule="auto"/>
        <w:widowControl/>
        <w:rPr>
          <w:rStyle w:val="891"/>
          <w:rFonts w:hint="eastAsia" w:ascii="仿宋" w:hAnsi="仿宋" w:eastAsia="仿宋" w:cs="仿宋"/>
          <w:bCs/>
          <w:sz w:val="28"/>
          <w:szCs w:val="28"/>
          <w:highlight w:val="none"/>
          <w:lang w:eastAsia="zh-CN"/>
        </w:rPr>
      </w:pPr>
      <w:r>
        <w:rPr>
          <w:rStyle w:val="891"/>
          <w:rFonts w:hint="eastAsia" w:ascii="仿宋" w:hAnsi="仿宋" w:eastAsia="仿宋" w:cs="仿宋"/>
          <w:bCs/>
          <w:sz w:val="28"/>
          <w:szCs w:val="28"/>
          <w:highlight w:val="none"/>
        </w:rPr>
        <w:t xml:space="preserve">1.时间：自本公告发布之日起</w:t>
      </w:r>
      <w:r>
        <w:rPr>
          <w:rStyle w:val="891"/>
          <w:rFonts w:hint="eastAsia" w:ascii="仿宋" w:hAnsi="仿宋" w:eastAsia="仿宋" w:cs="仿宋"/>
          <w:bCs/>
          <w:sz w:val="28"/>
          <w:szCs w:val="28"/>
          <w:highlight w:val="none"/>
          <w:lang w:val="en-US" w:eastAsia="zh-CN"/>
        </w:rPr>
        <w:t xml:space="preserve">五个工作日</w:t>
      </w:r>
      <w:r/>
    </w:p>
    <w:p>
      <w:pPr>
        <w:ind w:firstLine="480"/>
        <w:jc w:val="left"/>
        <w:spacing w:line="360" w:lineRule="auto"/>
        <w:widowControl/>
        <w:rPr>
          <w:rStyle w:val="891"/>
          <w:rFonts w:hint="eastAsia" w:ascii="仿宋" w:hAnsi="仿宋" w:eastAsia="仿宋" w:cs="仿宋"/>
          <w:bCs/>
          <w:sz w:val="28"/>
          <w:szCs w:val="28"/>
          <w:highlight w:val="none"/>
        </w:rPr>
      </w:pPr>
      <w:r>
        <w:rPr>
          <w:rStyle w:val="891"/>
          <w:rFonts w:hint="eastAsia" w:ascii="仿宋" w:hAnsi="仿宋" w:eastAsia="仿宋" w:cs="仿宋"/>
          <w:bCs/>
          <w:sz w:val="28"/>
          <w:szCs w:val="28"/>
          <w:highlight w:val="none"/>
        </w:rPr>
        <w:t xml:space="preserve">2.地点：网上注册登记成功后系统内免费下载</w:t>
      </w:r>
      <w:r/>
    </w:p>
    <w:p>
      <w:pPr>
        <w:ind w:firstLine="480"/>
        <w:jc w:val="left"/>
        <w:spacing w:line="360" w:lineRule="auto"/>
        <w:widowControl/>
        <w:rPr>
          <w:rStyle w:val="891"/>
          <w:rFonts w:hint="eastAsia" w:ascii="仿宋" w:hAnsi="仿宋" w:eastAsia="仿宋" w:cs="仿宋"/>
          <w:bCs/>
          <w:sz w:val="28"/>
          <w:szCs w:val="28"/>
          <w:highlight w:val="none"/>
        </w:rPr>
      </w:pPr>
      <w:r>
        <w:rPr>
          <w:rStyle w:val="891"/>
          <w:rFonts w:hint="eastAsia" w:ascii="仿宋" w:hAnsi="仿宋" w:eastAsia="仿宋" w:cs="仿宋"/>
          <w:bCs/>
          <w:sz w:val="28"/>
          <w:szCs w:val="28"/>
          <w:highlight w:val="none"/>
        </w:rPr>
        <w:t xml:space="preserve">3.获取方式：本项目采用网上注册登记方式。</w:t>
      </w:r>
      <w:r/>
    </w:p>
    <w:p>
      <w:pPr>
        <w:ind w:firstLine="480"/>
        <w:jc w:val="left"/>
        <w:spacing w:line="360" w:lineRule="auto"/>
        <w:widowControl/>
        <w:rPr>
          <w:rStyle w:val="891"/>
          <w:rFonts w:hint="eastAsia" w:ascii="仿宋" w:hAnsi="仿宋" w:eastAsia="仿宋" w:cs="仿宋"/>
          <w:bCs/>
          <w:sz w:val="28"/>
          <w:szCs w:val="28"/>
          <w:highlight w:val="none"/>
        </w:rPr>
      </w:pPr>
      <w:r>
        <w:rPr>
          <w:rStyle w:val="891"/>
          <w:rFonts w:hint="eastAsia" w:ascii="仿宋" w:hAnsi="仿宋" w:eastAsia="仿宋" w:cs="仿宋"/>
          <w:bCs/>
          <w:sz w:val="28"/>
          <w:szCs w:val="28"/>
          <w:highlight w:val="none"/>
        </w:rPr>
        <w:t xml:space="preserve">3.1潜在供应商访问电子招标响应交易平台的网络地址和方法：</w:t>
      </w:r>
      <w:r/>
    </w:p>
    <w:p>
      <w:pPr>
        <w:ind w:firstLine="480"/>
        <w:jc w:val="left"/>
        <w:spacing w:line="360" w:lineRule="auto"/>
        <w:widowControl/>
        <w:rPr>
          <w:rStyle w:val="891"/>
          <w:rFonts w:hint="eastAsia" w:ascii="仿宋" w:hAnsi="仿宋" w:eastAsia="仿宋" w:cs="仿宋"/>
          <w:bCs/>
          <w:sz w:val="28"/>
          <w:szCs w:val="28"/>
          <w:highlight w:val="none"/>
        </w:rPr>
      </w:pPr>
      <w:r>
        <w:rPr>
          <w:rStyle w:val="891"/>
          <w:rFonts w:hint="eastAsia" w:ascii="仿宋" w:hAnsi="仿宋" w:eastAsia="仿宋" w:cs="仿宋"/>
          <w:bCs/>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spacing w:line="360" w:lineRule="auto"/>
        <w:widowControl/>
        <w:rPr>
          <w:rStyle w:val="891"/>
          <w:rFonts w:hint="eastAsia" w:ascii="仿宋" w:hAnsi="仿宋" w:eastAsia="仿宋" w:cs="仿宋"/>
          <w:bCs/>
          <w:sz w:val="28"/>
          <w:szCs w:val="28"/>
          <w:highlight w:val="none"/>
          <w:lang w:eastAsia="en-US"/>
        </w:rPr>
      </w:pPr>
      <w:r>
        <w:rPr>
          <w:rStyle w:val="891"/>
          <w:rFonts w:hint="eastAsia" w:ascii="仿宋" w:hAnsi="仿宋" w:eastAsia="仿宋" w:cs="仿宋"/>
          <w:bCs/>
          <w:sz w:val="28"/>
          <w:szCs w:val="28"/>
          <w:highlight w:val="none"/>
          <w:lang w:eastAsia="en-US"/>
        </w:rPr>
        <w:t xml:space="preserve">3.2潜在供应商访问“苏采云”系统的网络地址和方法：“苏采云”系统的网址：http://jszfcg.jsczt.cn/。</w:t>
      </w:r>
      <w:r/>
    </w:p>
    <w:p>
      <w:pPr>
        <w:ind w:firstLine="480"/>
        <w:jc w:val="left"/>
        <w:spacing w:line="360" w:lineRule="auto"/>
        <w:widowControl/>
        <w:rPr>
          <w:rStyle w:val="891"/>
          <w:rFonts w:hint="eastAsia" w:ascii="仿宋" w:hAnsi="仿宋" w:eastAsia="仿宋" w:cs="仿宋"/>
          <w:bCs/>
          <w:sz w:val="28"/>
          <w:szCs w:val="28"/>
          <w:highlight w:val="none"/>
        </w:rPr>
      </w:pPr>
      <w:r>
        <w:rPr>
          <w:rStyle w:val="891"/>
          <w:rFonts w:hint="eastAsia" w:ascii="仿宋" w:hAnsi="仿宋" w:eastAsia="仿宋" w:cs="仿宋"/>
          <w:bCs/>
          <w:sz w:val="28"/>
          <w:szCs w:val="28"/>
          <w:highlight w:val="none"/>
        </w:rPr>
        <w:t xml:space="preserve">3.3“CA数字证书”的获取：</w:t>
      </w:r>
      <w:r/>
    </w:p>
    <w:p>
      <w:pPr>
        <w:ind w:firstLine="480"/>
        <w:jc w:val="left"/>
        <w:spacing w:line="360" w:lineRule="auto"/>
        <w:widowControl/>
        <w:rPr>
          <w:rStyle w:val="891"/>
          <w:rFonts w:hint="eastAsia" w:ascii="仿宋" w:hAnsi="仿宋" w:eastAsia="仿宋" w:cs="仿宋"/>
          <w:bCs/>
          <w:sz w:val="28"/>
          <w:szCs w:val="28"/>
          <w:highlight w:val="none"/>
        </w:rPr>
      </w:pPr>
      <w:r>
        <w:rPr>
          <w:rStyle w:val="891"/>
          <w:rFonts w:hint="eastAsia" w:ascii="仿宋" w:hAnsi="仿宋" w:eastAsia="仿宋" w:cs="仿宋"/>
          <w:bCs/>
          <w:sz w:val="28"/>
          <w:szCs w:val="28"/>
          <w:highlight w:val="none"/>
        </w:rPr>
        <w:t xml:space="preserve">响应供应商需办理“CA 数字证书”，CA办理指南及“苏采云”操作手册可至江苏省政府采购网―办事指南-资料下载中心下载。</w:t>
      </w:r>
      <w:r/>
    </w:p>
    <w:p>
      <w:pPr>
        <w:ind w:firstLine="480"/>
        <w:jc w:val="left"/>
        <w:spacing w:line="360" w:lineRule="auto"/>
        <w:widowControl/>
        <w:rPr>
          <w:rStyle w:val="891"/>
          <w:rFonts w:hint="eastAsia" w:ascii="仿宋" w:hAnsi="仿宋" w:eastAsia="仿宋" w:cs="仿宋"/>
          <w:bCs/>
          <w:sz w:val="28"/>
          <w:szCs w:val="28"/>
          <w:highlight w:val="none"/>
          <w:lang w:eastAsia="en-US"/>
        </w:rPr>
      </w:pPr>
      <w:r>
        <w:rPr>
          <w:rStyle w:val="891"/>
          <w:rFonts w:hint="eastAsia" w:ascii="仿宋" w:hAnsi="仿宋" w:eastAsia="仿宋" w:cs="仿宋"/>
          <w:bCs/>
          <w:sz w:val="28"/>
          <w:szCs w:val="28"/>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widowControl/>
        <w:rPr>
          <w:rStyle w:val="891"/>
          <w:rFonts w:hint="eastAsia" w:ascii="仿宋" w:hAnsi="仿宋" w:eastAsia="仿宋" w:cs="仿宋"/>
          <w:bCs/>
          <w:sz w:val="28"/>
          <w:szCs w:val="28"/>
          <w:highlight w:val="none"/>
        </w:rPr>
      </w:pPr>
      <w:r>
        <w:rPr>
          <w:rStyle w:val="891"/>
          <w:rFonts w:hint="eastAsia" w:ascii="仿宋" w:hAnsi="仿宋" w:eastAsia="仿宋" w:cs="仿宋"/>
          <w:bCs/>
          <w:sz w:val="28"/>
          <w:szCs w:val="28"/>
          <w:highlight w:val="none"/>
        </w:rPr>
        <w:t xml:space="preserve">3.4采购文件（后缀名为“.kedt”）、供应商操作手册及政府采购客户端工具可通过“苏采云”系统--已报名项目--报名详情页面内相应链接进行下载。</w:t>
      </w:r>
      <w:r/>
    </w:p>
    <w:p>
      <w:pPr>
        <w:ind w:firstLine="480"/>
        <w:jc w:val="left"/>
        <w:spacing w:line="360" w:lineRule="auto"/>
        <w:widowControl/>
        <w:rPr>
          <w:rStyle w:val="891"/>
          <w:rFonts w:hint="eastAsia" w:ascii="仿宋" w:hAnsi="仿宋" w:eastAsia="仿宋" w:cs="仿宋"/>
          <w:bCs/>
          <w:sz w:val="28"/>
          <w:szCs w:val="28"/>
          <w:highlight w:val="none"/>
        </w:rPr>
      </w:pPr>
      <w:r>
        <w:rPr>
          <w:rStyle w:val="891"/>
          <w:rFonts w:hint="eastAsia" w:ascii="仿宋" w:hAnsi="仿宋" w:eastAsia="仿宋" w:cs="仿宋"/>
          <w:bCs/>
          <w:sz w:val="28"/>
          <w:szCs w:val="28"/>
          <w:highlight w:val="none"/>
        </w:rPr>
        <w:t xml:space="preserve">3.5采购人或采购代理机构将数据电文形式的采购文件加载至“苏采云”系统，供潜在供应商下载或者查阅。</w:t>
      </w:r>
      <w:r/>
    </w:p>
    <w:p>
      <w:pPr>
        <w:ind w:firstLine="480"/>
        <w:jc w:val="left"/>
        <w:spacing w:line="360" w:lineRule="auto"/>
        <w:widowControl/>
        <w:rPr>
          <w:rStyle w:val="891"/>
          <w:rFonts w:hint="eastAsia" w:ascii="仿宋" w:hAnsi="仿宋" w:eastAsia="仿宋" w:cs="仿宋"/>
          <w:bCs/>
          <w:sz w:val="28"/>
          <w:szCs w:val="28"/>
          <w:highlight w:val="none"/>
        </w:rPr>
      </w:pPr>
      <w:r>
        <w:rPr>
          <w:rStyle w:val="891"/>
          <w:rFonts w:hint="eastAsia" w:ascii="仿宋" w:hAnsi="仿宋" w:eastAsia="仿宋" w:cs="仿宋"/>
          <w:bCs/>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480"/>
        <w:jc w:val="left"/>
        <w:spacing w:line="360" w:lineRule="auto"/>
        <w:widowControl/>
        <w:rPr>
          <w:rStyle w:val="891"/>
          <w:rFonts w:hint="eastAsia" w:ascii="仿宋" w:hAnsi="仿宋" w:eastAsia="仿宋" w:cs="仿宋"/>
          <w:bCs/>
          <w:sz w:val="28"/>
          <w:szCs w:val="28"/>
          <w:highlight w:val="none"/>
        </w:rPr>
      </w:pPr>
      <w:r>
        <w:rPr>
          <w:rStyle w:val="891"/>
          <w:rFonts w:hint="eastAsia" w:ascii="仿宋" w:hAnsi="仿宋" w:eastAsia="仿宋" w:cs="仿宋"/>
          <w:bCs/>
          <w:sz w:val="28"/>
          <w:szCs w:val="28"/>
          <w:highlight w:val="none"/>
        </w:rPr>
        <w:t xml:space="preserve">3.7开评标</w:t>
      </w:r>
      <w:r>
        <w:rPr>
          <w:rStyle w:val="891"/>
          <w:rFonts w:hint="eastAsia" w:ascii="仿宋" w:hAnsi="仿宋" w:eastAsia="仿宋" w:cs="仿宋"/>
          <w:bCs/>
          <w:sz w:val="28"/>
          <w:szCs w:val="28"/>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2"/>
        <w:jc w:val="left"/>
        <w:spacing w:line="360" w:lineRule="auto"/>
        <w:widowControl/>
        <w:rPr>
          <w:rStyle w:val="891"/>
          <w:rFonts w:hint="eastAsia" w:ascii="仿宋" w:hAnsi="仿宋" w:eastAsia="仿宋" w:cs="仿宋"/>
          <w:b/>
          <w:sz w:val="28"/>
          <w:szCs w:val="28"/>
          <w:highlight w:val="none"/>
        </w:rPr>
      </w:pPr>
      <w:r>
        <w:rPr>
          <w:rStyle w:val="891"/>
          <w:rFonts w:hint="eastAsia" w:ascii="仿宋" w:hAnsi="仿宋" w:eastAsia="仿宋" w:cs="仿宋"/>
          <w:b/>
          <w:sz w:val="28"/>
          <w:szCs w:val="28"/>
          <w:highlight w:val="none"/>
        </w:rPr>
        <w:t xml:space="preserve">注：如潜在供应商未按上述要求操作，将自行承担所产生的风险。</w:t>
      </w:r>
      <w:r/>
    </w:p>
    <w:p>
      <w:pPr>
        <w:pStyle w:val="866"/>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四、响应文件提交</w:t>
      </w:r>
      <w:bookmarkEnd w:id="8"/>
      <w:r/>
      <w:bookmarkEnd w:id="9"/>
      <w:r/>
      <w:bookmarkEnd w:id="10"/>
      <w:r/>
      <w:bookmarkEnd w:id="11"/>
      <w:r/>
      <w:r/>
    </w:p>
    <w:p>
      <w:pPr>
        <w:ind w:firstLine="480"/>
        <w:spacing w:line="360" w:lineRule="auto"/>
        <w:rPr>
          <w:rFonts w:hint="eastAsia" w:ascii="仿宋" w:hAnsi="仿宋" w:eastAsia="仿宋" w:cs="仿宋"/>
          <w:sz w:val="28"/>
          <w:szCs w:val="28"/>
          <w:highlight w:val="none"/>
        </w:rPr>
      </w:pPr>
      <w:r/>
      <w:bookmarkStart w:id="12" w:name="_Toc28359093"/>
      <w:r/>
      <w:bookmarkStart w:id="13" w:name="_Toc28359016"/>
      <w:r/>
      <w:bookmarkStart w:id="14" w:name="_Toc35393802"/>
      <w:r/>
      <w:bookmarkStart w:id="15" w:name="_Toc35393633"/>
      <w:r>
        <w:rPr>
          <w:rFonts w:hint="eastAsia" w:ascii="仿宋" w:hAnsi="仿宋" w:eastAsia="仿宋" w:cs="仿宋"/>
          <w:sz w:val="28"/>
          <w:szCs w:val="28"/>
          <w:highlight w:val="none"/>
        </w:rPr>
        <w:t xml:space="preserve">1.响应文件提交截止时间：</w:t>
      </w:r>
      <w:r>
        <w:rPr>
          <w:rFonts w:hint="eastAsia" w:ascii="仿宋" w:hAnsi="仿宋" w:eastAsia="仿宋" w:cs="仿宋"/>
          <w:b/>
          <w:bCs/>
          <w:sz w:val="28"/>
          <w:szCs w:val="28"/>
          <w:highlight w:val="none"/>
        </w:rPr>
        <w:t xml:space="preserve">202</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年</w:t>
      </w:r>
      <w:r>
        <w:rPr>
          <w:rFonts w:hint="eastAsia" w:ascii="仿宋" w:hAnsi="仿宋" w:eastAsia="仿宋" w:cs="仿宋"/>
          <w:b/>
          <w:bCs/>
          <w:sz w:val="28"/>
          <w:szCs w:val="28"/>
          <w:highlight w:val="none"/>
          <w:lang w:val="en-US" w:eastAsia="zh-CN"/>
        </w:rPr>
        <w:t xml:space="preserve">06</w:t>
      </w:r>
      <w:r>
        <w:rPr>
          <w:rFonts w:hint="eastAsia" w:ascii="仿宋" w:hAnsi="仿宋" w:eastAsia="仿宋" w:cs="仿宋"/>
          <w:b/>
          <w:bCs/>
          <w:sz w:val="28"/>
          <w:szCs w:val="28"/>
          <w:highlight w:val="none"/>
        </w:rPr>
        <w:t xml:space="preserve">月</w:t>
      </w:r>
      <w:r>
        <w:rPr>
          <w:rFonts w:hint="eastAsia" w:ascii="仿宋" w:hAnsi="仿宋" w:eastAsia="仿宋" w:cs="仿宋"/>
          <w:b/>
          <w:bCs/>
          <w:sz w:val="28"/>
          <w:szCs w:val="28"/>
          <w:highlight w:val="none"/>
          <w:lang w:val="en-US" w:eastAsia="zh-CN"/>
        </w:rPr>
        <w:t xml:space="preserve">15</w:t>
      </w:r>
      <w:r>
        <w:rPr>
          <w:rFonts w:hint="eastAsia" w:ascii="仿宋" w:hAnsi="仿宋" w:eastAsia="仿宋" w:cs="仿宋"/>
          <w:b/>
          <w:bCs/>
          <w:sz w:val="28"/>
          <w:szCs w:val="28"/>
          <w:highlight w:val="none"/>
        </w:rPr>
        <w:t xml:space="preserve">日</w:t>
      </w:r>
      <w:r>
        <w:rPr>
          <w:rFonts w:hint="eastAsia" w:ascii="仿宋" w:hAnsi="仿宋" w:eastAsia="仿宋" w:cs="仿宋"/>
          <w:b/>
          <w:bCs/>
          <w:sz w:val="28"/>
          <w:szCs w:val="28"/>
          <w:highlight w:val="none"/>
          <w:lang w:val="en-US" w:eastAsia="zh-CN"/>
        </w:rPr>
        <w:t xml:space="preserve">14</w:t>
      </w:r>
      <w:r>
        <w:rPr>
          <w:rFonts w:hint="eastAsia" w:ascii="仿宋" w:hAnsi="仿宋" w:eastAsia="仿宋" w:cs="仿宋"/>
          <w:b/>
          <w:bCs/>
          <w:sz w:val="28"/>
          <w:szCs w:val="28"/>
          <w:highlight w:val="none"/>
        </w:rPr>
        <w:t xml:space="preserve">时</w:t>
      </w:r>
      <w:r>
        <w:rPr>
          <w:rFonts w:hint="eastAsia" w:ascii="仿宋" w:hAnsi="仿宋" w:eastAsia="仿宋" w:cs="仿宋"/>
          <w:b/>
          <w:bCs/>
          <w:sz w:val="28"/>
          <w:szCs w:val="28"/>
          <w:highlight w:val="none"/>
          <w:lang w:val="en-US" w:eastAsia="zh-CN"/>
        </w:rPr>
        <w:t xml:space="preserve">0</w:t>
      </w:r>
      <w:r>
        <w:rPr>
          <w:rFonts w:hint="eastAsia" w:ascii="仿宋" w:hAnsi="仿宋" w:eastAsia="仿宋" w:cs="仿宋"/>
          <w:b/>
          <w:bCs/>
          <w:sz w:val="28"/>
          <w:szCs w:val="28"/>
          <w:highlight w:val="none"/>
        </w:rPr>
        <w:t xml:space="preserve">0分（北京时间）</w:t>
      </w:r>
      <w:r>
        <w:rPr>
          <w:rFonts w:hint="eastAsia" w:ascii="仿宋" w:hAnsi="仿宋" w:eastAsia="仿宋" w:cs="仿宋"/>
          <w:sz w:val="28"/>
          <w:szCs w:val="28"/>
          <w:highlight w:val="none"/>
        </w:rPr>
        <w:t xml:space="preserve">。逾时，“苏采云”系统将拒绝接受上传响应文件电子文档。</w:t>
      </w:r>
      <w:r/>
    </w:p>
    <w:p>
      <w:pPr>
        <w:ind w:firstLine="480"/>
        <w:spacing w:line="360" w:lineRule="auto"/>
        <w:rPr>
          <w:rFonts w:hint="eastAsia" w:ascii="仿宋" w:hAnsi="仿宋" w:eastAsia="仿宋" w:cs="仿宋"/>
          <w:sz w:val="28"/>
          <w:szCs w:val="28"/>
          <w:highlight w:val="none"/>
          <w:lang w:eastAsia="en-US"/>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en-US"/>
        </w:rPr>
        <w:t xml:space="preserve">地点：“苏采云”系统（网址：http://jszfcg.jsczt.cn/）</w:t>
      </w:r>
      <w:r/>
    </w:p>
    <w:p>
      <w:pPr>
        <w:ind w:firstLine="48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五、开启</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1.时间：</w:t>
      </w:r>
      <w:r>
        <w:rPr>
          <w:rFonts w:hint="eastAsia" w:ascii="仿宋" w:hAnsi="仿宋" w:eastAsia="仿宋" w:cs="仿宋"/>
          <w:b/>
          <w:bCs/>
          <w:sz w:val="28"/>
          <w:szCs w:val="28"/>
          <w:highlight w:val="none"/>
        </w:rPr>
        <w:t xml:space="preserve">202</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年</w:t>
      </w:r>
      <w:r>
        <w:rPr>
          <w:rFonts w:hint="eastAsia" w:ascii="仿宋" w:hAnsi="仿宋" w:eastAsia="仿宋" w:cs="仿宋"/>
          <w:b/>
          <w:bCs/>
          <w:sz w:val="28"/>
          <w:szCs w:val="28"/>
          <w:highlight w:val="none"/>
          <w:lang w:val="en-US" w:eastAsia="zh-CN"/>
        </w:rPr>
        <w:t xml:space="preserve"> 06</w:t>
      </w:r>
      <w:r>
        <w:rPr>
          <w:rFonts w:hint="eastAsia" w:ascii="仿宋" w:hAnsi="仿宋" w:eastAsia="仿宋" w:cs="仿宋"/>
          <w:b/>
          <w:bCs/>
          <w:sz w:val="28"/>
          <w:szCs w:val="28"/>
          <w:highlight w:val="none"/>
        </w:rPr>
        <w:t xml:space="preserve">月</w:t>
      </w:r>
      <w:r>
        <w:rPr>
          <w:rFonts w:hint="eastAsia" w:ascii="仿宋" w:hAnsi="仿宋" w:eastAsia="仿宋" w:cs="仿宋"/>
          <w:b/>
          <w:bCs/>
          <w:sz w:val="28"/>
          <w:szCs w:val="28"/>
          <w:highlight w:val="none"/>
          <w:lang w:val="en-US" w:eastAsia="zh-CN"/>
        </w:rPr>
        <w:t xml:space="preserve">15</w:t>
      </w:r>
      <w:r>
        <w:rPr>
          <w:rFonts w:hint="eastAsia" w:ascii="仿宋" w:hAnsi="仿宋" w:eastAsia="仿宋" w:cs="仿宋"/>
          <w:b/>
          <w:bCs/>
          <w:sz w:val="28"/>
          <w:szCs w:val="28"/>
          <w:highlight w:val="none"/>
        </w:rPr>
        <w:t xml:space="preserve">日</w:t>
      </w:r>
      <w:r>
        <w:rPr>
          <w:rFonts w:hint="eastAsia" w:ascii="仿宋" w:hAnsi="仿宋" w:eastAsia="仿宋" w:cs="仿宋"/>
          <w:b/>
          <w:bCs/>
          <w:sz w:val="28"/>
          <w:szCs w:val="28"/>
          <w:highlight w:val="none"/>
          <w:lang w:val="en-US" w:eastAsia="zh-CN"/>
        </w:rPr>
        <w:t xml:space="preserve">14</w:t>
      </w:r>
      <w:r>
        <w:rPr>
          <w:rFonts w:hint="eastAsia" w:ascii="仿宋" w:hAnsi="仿宋" w:eastAsia="仿宋" w:cs="仿宋"/>
          <w:b/>
          <w:bCs/>
          <w:sz w:val="28"/>
          <w:szCs w:val="28"/>
          <w:highlight w:val="none"/>
        </w:rPr>
        <w:t xml:space="preserve">时</w:t>
      </w:r>
      <w:r>
        <w:rPr>
          <w:rFonts w:hint="eastAsia" w:ascii="仿宋" w:hAnsi="仿宋" w:eastAsia="仿宋" w:cs="仿宋"/>
          <w:b/>
          <w:bCs/>
          <w:sz w:val="28"/>
          <w:szCs w:val="28"/>
          <w:highlight w:val="none"/>
          <w:lang w:val="en-US" w:eastAsia="zh-CN"/>
        </w:rPr>
        <w:t xml:space="preserve">0</w:t>
      </w:r>
      <w:r>
        <w:rPr>
          <w:rFonts w:hint="eastAsia" w:ascii="仿宋" w:hAnsi="仿宋" w:eastAsia="仿宋" w:cs="仿宋"/>
          <w:b/>
          <w:bCs/>
          <w:sz w:val="28"/>
          <w:szCs w:val="28"/>
          <w:highlight w:val="none"/>
        </w:rPr>
        <w:t xml:space="preserve">0分（北京时间）</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2.地点：</w:t>
      </w:r>
      <w:r>
        <w:rPr>
          <w:rFonts w:hint="eastAsia" w:ascii="仿宋" w:hAnsi="仿宋" w:eastAsia="仿宋" w:cs="仿宋"/>
          <w:sz w:val="28"/>
          <w:szCs w:val="28"/>
          <w:highlight w:val="none"/>
          <w:lang w:eastAsia="en-US"/>
        </w:rPr>
        <w:t xml:space="preserve">“苏采云”系统（网址：http://jszfcg.jsczt.cn/）“开标大厅”</w:t>
      </w:r>
      <w:r/>
    </w:p>
    <w:p>
      <w:pPr>
        <w:ind w:firstLine="560"/>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仿宋" w:hAnsi="仿宋" w:eastAsia="仿宋" w:cs="仿宋"/>
          <w:b/>
          <w:sz w:val="28"/>
          <w:szCs w:val="28"/>
          <w:highlight w:val="none"/>
        </w:rPr>
        <w:t xml:space="preserve">投标供应商解密限定在开标后</w:t>
      </w:r>
      <w:r>
        <w:rPr>
          <w:rFonts w:hint="eastAsia" w:ascii="仿宋" w:hAnsi="仿宋" w:eastAsia="仿宋" w:cs="仿宋"/>
          <w:b/>
          <w:color w:val="ff0000"/>
          <w:sz w:val="28"/>
          <w:szCs w:val="28"/>
          <w:highlight w:val="none"/>
        </w:rPr>
        <w:t xml:space="preserve">30</w:t>
      </w:r>
      <w:r>
        <w:rPr>
          <w:rFonts w:hint="eastAsia" w:ascii="仿宋" w:hAnsi="仿宋" w:eastAsia="仿宋" w:cs="仿宋"/>
          <w:b/>
          <w:sz w:val="28"/>
          <w:szCs w:val="28"/>
          <w:highlight w:val="none"/>
        </w:rPr>
        <w:t xml:space="preserve">分钟之内完成</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36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注：</w:t>
      </w:r>
      <w:r>
        <w:rPr>
          <w:rFonts w:hint="eastAsia" w:ascii="仿宋" w:hAnsi="仿宋" w:eastAsia="仿宋" w:cs="仿宋"/>
          <w:sz w:val="28"/>
          <w:szCs w:val="28"/>
          <w:highlight w:val="none"/>
        </w:rPr>
        <w:t xml:space="preserve">各供应商请关注开标大厅交流区，在开标结束后，请勿离开开标大厅。采购人或采购代理机构通知最后报价填报后，所有的响应供应商须在</w:t>
      </w:r>
      <w:r>
        <w:rPr>
          <w:rFonts w:hint="eastAsia" w:ascii="仿宋" w:hAnsi="仿宋" w:eastAsia="仿宋" w:cs="仿宋"/>
          <w:color w:val="ff0000"/>
          <w:sz w:val="28"/>
          <w:szCs w:val="28"/>
          <w:highlight w:val="none"/>
        </w:rPr>
        <w:t xml:space="preserve">15</w:t>
      </w:r>
      <w:r>
        <w:rPr>
          <w:rFonts w:hint="eastAsia" w:ascii="仿宋" w:hAnsi="仿宋" w:eastAsia="仿宋" w:cs="仿宋"/>
          <w:sz w:val="28"/>
          <w:szCs w:val="28"/>
          <w:highlight w:val="none"/>
        </w:rPr>
        <w:t xml:space="preserve">分钟内填写并提交最后报价，未在规定时间内提交最后报价的，视作无效响应处理。</w:t>
      </w:r>
      <w:bookmarkEnd w:id="12"/>
      <w:r/>
      <w:bookmarkEnd w:id="13"/>
      <w:r/>
      <w:bookmarkEnd w:id="14"/>
      <w:r/>
      <w:bookmarkEnd w:id="15"/>
      <w:r/>
      <w:r/>
    </w:p>
    <w:p>
      <w:pPr>
        <w:ind w:firstLine="482"/>
        <w:spacing w:line="360" w:lineRule="auto"/>
        <w:rPr>
          <w:rFonts w:hint="eastAsia" w:ascii="仿宋" w:hAnsi="仿宋" w:eastAsia="仿宋" w:cs="仿宋"/>
          <w:bCs/>
          <w:sz w:val="28"/>
          <w:szCs w:val="28"/>
          <w:highlight w:val="none"/>
        </w:rPr>
        <w:outlineLvl w:val="1"/>
      </w:pPr>
      <w:r>
        <w:rPr>
          <w:rFonts w:hint="eastAsia" w:ascii="仿宋" w:hAnsi="仿宋" w:eastAsia="仿宋" w:cs="仿宋"/>
          <w:b/>
          <w:bCs/>
          <w:sz w:val="28"/>
          <w:szCs w:val="28"/>
          <w:highlight w:val="none"/>
        </w:rPr>
        <w:t xml:space="preserve">六、公告期限：</w:t>
      </w:r>
      <w:r>
        <w:rPr>
          <w:rFonts w:hint="eastAsia" w:ascii="仿宋" w:hAnsi="仿宋" w:eastAsia="仿宋" w:cs="仿宋"/>
          <w:sz w:val="28"/>
          <w:szCs w:val="28"/>
          <w:highlight w:val="none"/>
        </w:rPr>
        <w:t xml:space="preserve">自</w:t>
      </w:r>
      <w:r>
        <w:rPr>
          <w:rFonts w:hint="eastAsia" w:ascii="仿宋" w:hAnsi="仿宋" w:eastAsia="仿宋" w:cs="仿宋"/>
          <w:bCs/>
          <w:sz w:val="28"/>
          <w:szCs w:val="28"/>
          <w:highlight w:val="none"/>
        </w:rPr>
        <w:t xml:space="preserve">本公告发布之日起3个工作日。</w:t>
      </w:r>
      <w:bookmarkStart w:id="16" w:name="_Toc35393804"/>
      <w:r/>
      <w:bookmarkEnd w:id="16"/>
      <w:r/>
      <w:bookmarkStart w:id="17" w:name="_Toc35393635"/>
      <w:r/>
      <w:bookmarkEnd w:id="17"/>
      <w:r/>
      <w:r/>
    </w:p>
    <w:p>
      <w:pPr>
        <w:ind w:firstLine="482"/>
        <w:spacing w:line="360" w:lineRule="auto"/>
        <w:rPr>
          <w:rFonts w:hint="eastAsia" w:ascii="仿宋" w:hAnsi="仿宋" w:eastAsia="仿宋" w:cs="仿宋"/>
          <w:b/>
          <w:bCs/>
          <w:sz w:val="28"/>
          <w:szCs w:val="28"/>
          <w:highlight w:val="none"/>
        </w:rPr>
        <w:outlineLvl w:val="1"/>
      </w:pPr>
      <w:r>
        <w:rPr>
          <w:rFonts w:hint="eastAsia" w:ascii="仿宋" w:hAnsi="仿宋" w:eastAsia="仿宋" w:cs="仿宋"/>
          <w:b/>
          <w:bCs/>
          <w:sz w:val="28"/>
          <w:szCs w:val="28"/>
          <w:highlight w:val="none"/>
        </w:rPr>
        <w:t xml:space="preserve">七、其他补充事宜</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1.磋商保证金：免收。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2.项目磋商活动模式：不见面远程磋商模式，供应商在各自地点通过不见面交易系统参加开标会。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3.项目演示、样品、答辩等（如有请描述）：无；</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firstLine="56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pStyle w:val="866"/>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八、凡对本次采购提出询问，请按以下方式联系</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 称：南通市生态环境监测站</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地址：南通市通州区朝霞路99号5号楼</w:t>
      </w:r>
      <w:r/>
    </w:p>
    <w:p>
      <w:pPr>
        <w:ind w:firstLine="560"/>
        <w:jc w:val="left"/>
        <w:spacing w:line="360" w:lineRule="auto"/>
        <w:rPr>
          <w:rFonts w:hint="default" w:ascii="仿宋" w:hAnsi="仿宋" w:eastAsia="仿宋" w:cs="仿宋"/>
          <w:color w:val="0000ff"/>
          <w:sz w:val="28"/>
          <w:szCs w:val="28"/>
          <w:highlight w:val="none"/>
          <w:lang w:val="en-US" w:eastAsia="zh-CN"/>
        </w:rPr>
      </w:pP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val="en-US" w:eastAsia="zh-CN"/>
        </w:rPr>
        <w:t xml:space="preserve">曹先生 （电话：0513-86513263） </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ind w:firstLine="480"/>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lang w:eastAsia="zh-CN"/>
        </w:rPr>
        <w:t xml:space="preserve">江苏澄建正达工程项目管理有限公司</w:t>
      </w:r>
      <w:r/>
    </w:p>
    <w:p>
      <w:pPr>
        <w:ind w:firstLine="48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地址：南通市崇川区</w:t>
      </w:r>
      <w:r>
        <w:rPr>
          <w:rFonts w:hint="eastAsia" w:ascii="仿宋" w:hAnsi="仿宋" w:eastAsia="仿宋" w:cs="仿宋"/>
          <w:sz w:val="28"/>
          <w:szCs w:val="28"/>
          <w:highlight w:val="none"/>
          <w:lang w:val="en-US" w:eastAsia="zh-CN"/>
        </w:rPr>
        <w:t xml:space="preserve">通京大道14号</w:t>
      </w:r>
      <w:r/>
    </w:p>
    <w:p>
      <w:pPr>
        <w:ind w:firstLine="48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郑</w:t>
      </w:r>
      <w:r>
        <w:rPr>
          <w:rFonts w:hint="eastAsia" w:ascii="仿宋" w:hAnsi="仿宋" w:eastAsia="仿宋" w:cs="仿宋"/>
          <w:sz w:val="28"/>
          <w:szCs w:val="28"/>
          <w:highlight w:val="none"/>
        </w:rPr>
        <w:t xml:space="preserve">女士</w:t>
      </w:r>
      <w:r>
        <w:rPr>
          <w:rFonts w:hint="eastAsia" w:ascii="仿宋" w:hAnsi="仿宋" w:eastAsia="仿宋" w:cs="仿宋"/>
          <w:sz w:val="28"/>
          <w:szCs w:val="28"/>
          <w:highlight w:val="none"/>
          <w:lang w:val="en-US" w:eastAsia="zh-CN"/>
        </w:rPr>
        <w:t xml:space="preserve">  18651320756</w:t>
      </w:r>
      <w:r/>
    </w:p>
    <w:p>
      <w:pPr>
        <w:numPr>
          <w:ilvl w:val="0"/>
          <w:numId w:val="0"/>
        </w:numPr>
        <w:ind w:firstLine="1960"/>
        <w:spacing w:line="360" w:lineRule="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王先生  18851386789</w:t>
      </w:r>
      <w:r/>
    </w:p>
    <w:p>
      <w:pPr>
        <w:numPr>
          <w:ilvl w:val="0"/>
          <w:numId w:val="2"/>
        </w:num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软件技术支持：0519-86722801。</w:t>
      </w:r>
      <w:r/>
    </w:p>
    <w:p>
      <w:pPr>
        <w:pStyle w:val="866"/>
        <w:ind w:firstLine="482"/>
        <w:jc w:val="right"/>
        <w:spacing w:before="0" w:after="0"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南通市生态环境监测站</w:t>
      </w:r>
      <w:r/>
    </w:p>
    <w:p>
      <w:pPr>
        <w:pStyle w:val="866"/>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附件:</w:t>
      </w:r>
      <w:r/>
    </w:p>
    <w:p>
      <w:pPr>
        <w:pStyle w:val="866"/>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1.竞争性磋商文件</w:t>
      </w:r>
      <w:r/>
    </w:p>
    <w:p>
      <w:pPr>
        <w:pStyle w:val="866"/>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2.采购人信用承诺书</w:t>
      </w:r>
      <w:r/>
    </w:p>
    <w:p>
      <w:pPr>
        <w:pStyle w:val="866"/>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3.公平竞争审查二维码</w:t>
      </w:r>
      <w:r/>
    </w:p>
    <w:p>
      <w:pPr>
        <w:pStyle w:val="866"/>
        <w:ind w:firstLine="482"/>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4.“苏采云”系统供应商操作手册</w:t>
      </w:r>
      <w:r/>
    </w:p>
    <w:p>
      <w:pPr>
        <w:pStyle w:val="866"/>
        <w:ind w:firstLine="482"/>
        <w:spacing w:before="0" w:after="0"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5.办理政采贷和履约保函（保险）告知函</w:t>
      </w:r>
      <w:r/>
    </w:p>
    <w:p>
      <w:pPr>
        <w:ind w:firstLine="420"/>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865"/>
        <w:ind w:firstLine="883"/>
        <w:jc w:val="center"/>
        <w:keepLines w:val="0"/>
        <w:keepNext w:val="0"/>
        <w:spacing w:before="0" w:after="0" w:line="800" w:lineRule="exact"/>
        <w:rPr>
          <w:rFonts w:hint="eastAsia" w:ascii="仿宋" w:hAnsi="仿宋" w:eastAsia="仿宋" w:cs="仿宋"/>
          <w:sz w:val="32"/>
          <w:szCs w:val="32"/>
          <w:highlight w:val="none"/>
        </w:rPr>
      </w:pPr>
      <w:r>
        <w:rPr>
          <w:rFonts w:hint="eastAsia" w:ascii="仿宋" w:hAnsi="仿宋" w:eastAsia="仿宋" w:cs="仿宋"/>
          <w:szCs w:val="44"/>
          <w:highlight w:val="none"/>
        </w:rPr>
        <w:br w:type="page" w:clear="all"/>
      </w:r>
      <w:r>
        <w:rPr>
          <w:rFonts w:hint="eastAsia" w:ascii="仿宋" w:hAnsi="仿宋" w:eastAsia="仿宋" w:cs="仿宋"/>
          <w:sz w:val="32"/>
          <w:szCs w:val="32"/>
          <w:highlight w:val="none"/>
        </w:rPr>
        <w:t xml:space="preserve">第二章  供应商须知</w:t>
      </w:r>
      <w:r/>
    </w:p>
    <w:p>
      <w:pPr>
        <w:ind w:firstLine="482"/>
        <w:keepLines/>
        <w:keepNext/>
        <w:spacing w:line="360" w:lineRule="auto"/>
        <w:rPr>
          <w:rFonts w:hint="eastAsia" w:ascii="仿宋" w:hAnsi="仿宋" w:eastAsia="仿宋" w:cs="仿宋"/>
          <w:b/>
          <w:bCs/>
          <w:sz w:val="28"/>
          <w:szCs w:val="28"/>
          <w:highlight w:val="none"/>
        </w:rPr>
        <w:outlineLvl w:val="2"/>
      </w:pPr>
      <w:r/>
      <w:bookmarkStart w:id="18" w:name="_Toc16938519"/>
      <w:r/>
      <w:bookmarkStart w:id="19" w:name="_Toc120614214"/>
      <w:r/>
      <w:bookmarkStart w:id="20" w:name="_Toc513029203"/>
      <w:r/>
      <w:bookmarkStart w:id="21" w:name="_Toc20823275"/>
      <w:r/>
      <w:bookmarkStart w:id="22" w:name="_Toc432763305"/>
      <w:r>
        <w:rPr>
          <w:rFonts w:hint="eastAsia" w:ascii="仿宋" w:hAnsi="仿宋" w:eastAsia="仿宋" w:cs="仿宋"/>
          <w:b/>
          <w:bCs/>
          <w:sz w:val="28"/>
          <w:szCs w:val="28"/>
          <w:highlight w:val="none"/>
        </w:rPr>
        <w:t xml:space="preserve">（一）总则</w:t>
      </w:r>
      <w:bookmarkEnd w:id="18"/>
      <w:r/>
      <w:bookmarkEnd w:id="19"/>
      <w:r/>
      <w:bookmarkEnd w:id="20"/>
      <w:r/>
      <w:bookmarkEnd w:id="21"/>
      <w:r/>
      <w:r/>
    </w:p>
    <w:p>
      <w:pPr>
        <w:ind w:firstLine="480"/>
        <w:keepNext/>
        <w:spacing w:line="360" w:lineRule="auto"/>
        <w:rPr>
          <w:rFonts w:hint="eastAsia" w:ascii="仿宋" w:hAnsi="仿宋" w:eastAsia="仿宋" w:cs="仿宋"/>
          <w:b/>
          <w:bCs/>
          <w:sz w:val="28"/>
          <w:szCs w:val="28"/>
          <w:highlight w:val="none"/>
        </w:rPr>
        <w:outlineLvl w:val="3"/>
      </w:pPr>
      <w:r/>
      <w:bookmarkStart w:id="23" w:name="_Hlt16619475"/>
      <w:r/>
      <w:bookmarkEnd w:id="23"/>
      <w:r/>
      <w:bookmarkStart w:id="24" w:name="_Toc458694821"/>
      <w:r/>
      <w:bookmarkStart w:id="25" w:name="_Toc513029204"/>
      <w:r/>
      <w:bookmarkStart w:id="26" w:name="_Toc20823276"/>
      <w:r/>
      <w:bookmarkStart w:id="27" w:name="_Toc16938520"/>
      <w:r>
        <w:rPr>
          <w:rFonts w:hint="eastAsia" w:ascii="仿宋" w:hAnsi="仿宋" w:eastAsia="仿宋" w:cs="仿宋"/>
          <w:sz w:val="28"/>
          <w:szCs w:val="28"/>
          <w:highlight w:val="none"/>
        </w:rPr>
        <w:t xml:space="preserve">1</w:t>
      </w:r>
      <w:bookmarkEnd w:id="24"/>
      <w:r>
        <w:rPr>
          <w:rFonts w:hint="eastAsia" w:ascii="仿宋" w:hAnsi="仿宋" w:eastAsia="仿宋" w:cs="仿宋"/>
          <w:sz w:val="28"/>
          <w:szCs w:val="28"/>
          <w:highlight w:val="none"/>
        </w:rPr>
        <w:t xml:space="preserve">.采购方式</w:t>
      </w:r>
      <w:bookmarkEnd w:id="25"/>
      <w:r/>
      <w:bookmarkEnd w:id="26"/>
      <w:r/>
      <w:bookmarkEnd w:id="27"/>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 本次政府采购活动采取竞争性磋商(以下简称磋商)方式，本磋商文件仅适用于磋商公告中所述项目。</w:t>
      </w:r>
      <w:r/>
    </w:p>
    <w:p>
      <w:pPr>
        <w:ind w:firstLine="480"/>
        <w:keepNext/>
        <w:spacing w:line="360" w:lineRule="auto"/>
        <w:rPr>
          <w:rFonts w:hint="eastAsia" w:ascii="仿宋" w:hAnsi="仿宋" w:eastAsia="仿宋" w:cs="仿宋"/>
          <w:b/>
          <w:bCs/>
          <w:sz w:val="28"/>
          <w:szCs w:val="28"/>
          <w:highlight w:val="none"/>
        </w:rPr>
        <w:outlineLvl w:val="3"/>
      </w:pPr>
      <w:r/>
      <w:bookmarkStart w:id="28" w:name="_Toc513029205"/>
      <w:r/>
      <w:bookmarkStart w:id="29" w:name="_Toc20823277"/>
      <w:r/>
      <w:bookmarkStart w:id="30" w:name="_Toc16938521"/>
      <w:r>
        <w:rPr>
          <w:rFonts w:hint="eastAsia" w:ascii="仿宋" w:hAnsi="仿宋" w:eastAsia="仿宋" w:cs="仿宋"/>
          <w:sz w:val="28"/>
          <w:szCs w:val="28"/>
          <w:highlight w:val="none"/>
        </w:rPr>
        <w:t xml:space="preserve">2.合格的</w:t>
      </w:r>
      <w:bookmarkEnd w:id="28"/>
      <w:r/>
      <w:bookmarkEnd w:id="29"/>
      <w:r/>
      <w:bookmarkEnd w:id="30"/>
      <w:r>
        <w:rPr>
          <w:rFonts w:hint="eastAsia" w:ascii="仿宋" w:hAnsi="仿宋" w:eastAsia="仿宋" w:cs="仿宋"/>
          <w:sz w:val="28"/>
          <w:szCs w:val="28"/>
          <w:highlight w:val="none"/>
        </w:rPr>
        <w:t xml:space="preserve">供应商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2.1满足磋商公告中供应商的资格要求的规定。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 满足本磋商文件实质性要求和条件的规定。</w:t>
      </w:r>
      <w:r/>
    </w:p>
    <w:p>
      <w:pPr>
        <w:ind w:firstLine="480"/>
        <w:keepNext/>
        <w:spacing w:line="360" w:lineRule="auto"/>
        <w:rPr>
          <w:rFonts w:hint="eastAsia" w:ascii="仿宋" w:hAnsi="仿宋" w:eastAsia="仿宋" w:cs="仿宋"/>
          <w:b/>
          <w:bCs/>
          <w:sz w:val="28"/>
          <w:szCs w:val="28"/>
          <w:highlight w:val="none"/>
        </w:rPr>
        <w:outlineLvl w:val="3"/>
      </w:pPr>
      <w:r/>
      <w:bookmarkStart w:id="31" w:name="_Toc20823278"/>
      <w:r/>
      <w:bookmarkStart w:id="32" w:name="_Toc513029206"/>
      <w:r/>
      <w:bookmarkStart w:id="33" w:name="_Toc16938522"/>
      <w:r>
        <w:rPr>
          <w:rFonts w:hint="eastAsia" w:ascii="仿宋" w:hAnsi="仿宋" w:eastAsia="仿宋" w:cs="仿宋"/>
          <w:sz w:val="28"/>
          <w:szCs w:val="28"/>
          <w:highlight w:val="none"/>
        </w:rPr>
        <w:t xml:space="preserve">3.适用法律</w:t>
      </w:r>
      <w:bookmarkEnd w:id="31"/>
      <w:r/>
      <w:bookmarkEnd w:id="32"/>
      <w:r/>
      <w:bookmarkEnd w:id="33"/>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 本次磋商及由此产生的合同受中华人民共和国有关的法律法规制约和保护。</w:t>
      </w:r>
      <w:r/>
    </w:p>
    <w:p>
      <w:pPr>
        <w:ind w:firstLine="480"/>
        <w:keepNext/>
        <w:spacing w:line="360" w:lineRule="auto"/>
        <w:rPr>
          <w:rFonts w:hint="eastAsia" w:ascii="仿宋" w:hAnsi="仿宋" w:eastAsia="仿宋" w:cs="仿宋"/>
          <w:b/>
          <w:bCs/>
          <w:sz w:val="28"/>
          <w:szCs w:val="28"/>
          <w:highlight w:val="none"/>
        </w:rPr>
        <w:outlineLvl w:val="3"/>
      </w:pPr>
      <w:r/>
      <w:bookmarkStart w:id="34" w:name="_Toc16938523"/>
      <w:r/>
      <w:bookmarkStart w:id="35" w:name="_Toc20823279"/>
      <w:r/>
      <w:bookmarkStart w:id="36" w:name="_Toc513029207"/>
      <w:r/>
      <w:bookmarkStart w:id="37" w:name="_Toc462564067"/>
      <w:r>
        <w:rPr>
          <w:rFonts w:hint="eastAsia" w:ascii="仿宋" w:hAnsi="仿宋" w:eastAsia="仿宋" w:cs="仿宋"/>
          <w:sz w:val="28"/>
          <w:szCs w:val="28"/>
          <w:highlight w:val="none"/>
        </w:rPr>
        <w:t xml:space="preserve">4.磋商费用</w:t>
      </w:r>
      <w:bookmarkEnd w:id="34"/>
      <w:r/>
      <w:bookmarkEnd w:id="35"/>
      <w:r/>
      <w:bookmarkEnd w:id="36"/>
      <w:r/>
      <w:bookmarkEnd w:id="37"/>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 供应商应自行承担所有与参加磋商有关的费用，无论磋商过程中的做法和结果如何，采购人及代理机构在任何情况下均无义务和责任承担这些费用。</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4.2本次磋商采购代理服务费</w:t>
      </w:r>
      <w:r>
        <w:rPr>
          <w:rFonts w:hint="eastAsia" w:ascii="仿宋" w:hAnsi="仿宋" w:eastAsia="仿宋" w:cs="仿宋"/>
          <w:sz w:val="28"/>
          <w:szCs w:val="28"/>
          <w:highlight w:val="none"/>
          <w:lang w:val="en-US" w:eastAsia="zh-CN"/>
        </w:rPr>
        <w:t xml:space="preserve">包1、包2：人民币3000元/包</w:t>
      </w:r>
      <w:r>
        <w:rPr>
          <w:rFonts w:hint="eastAsia" w:ascii="仿宋" w:hAnsi="仿宋" w:eastAsia="仿宋" w:cs="仿宋"/>
          <w:sz w:val="28"/>
          <w:szCs w:val="28"/>
          <w:highlight w:val="none"/>
        </w:rPr>
        <w:t xml:space="preserve">，供应商须综合考虑在响应报价内（不得单列），由成交供应商承担并在领取成交通知书前支付给采购代理机构。</w:t>
      </w:r>
      <w:r/>
    </w:p>
    <w:p>
      <w:pPr>
        <w:ind w:firstLine="480"/>
        <w:keepNext/>
        <w:spacing w:line="360" w:lineRule="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5.磋商文件的约束力</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5.1</w:t>
      </w:r>
      <w:r>
        <w:rPr>
          <w:rFonts w:hint="eastAsia" w:ascii="仿宋" w:hAnsi="仿宋" w:eastAsia="仿宋" w:cs="仿宋"/>
          <w:sz w:val="28"/>
          <w:szCs w:val="28"/>
          <w:highlight w:val="none"/>
        </w:rPr>
        <w:t xml:space="preserve"> 供应商一旦参加本项目采购活动，即被认为接受了本磋商文件的规定和约束。</w:t>
      </w:r>
      <w:r/>
    </w:p>
    <w:p>
      <w:pPr>
        <w:ind w:firstLine="480"/>
        <w:keepNext/>
        <w:spacing w:line="360" w:lineRule="auto"/>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6.磋商文件的解释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6.1</w:t>
      </w:r>
      <w:r>
        <w:rPr>
          <w:rFonts w:hint="eastAsia" w:ascii="仿宋" w:hAnsi="仿宋" w:eastAsia="仿宋" w:cs="仿宋"/>
          <w:sz w:val="28"/>
          <w:szCs w:val="28"/>
          <w:highlight w:val="none"/>
        </w:rPr>
        <w:t xml:space="preserve">磋商文件需求部分（供应商资格要求、项目需求、商务技术评分标准）由采购人解释，其它部分由采购代理机构解释。</w:t>
      </w:r>
      <w:r/>
    </w:p>
    <w:p>
      <w:pPr>
        <w:ind w:firstLine="482"/>
        <w:keepLines/>
        <w:keepNext/>
        <w:spacing w:line="360" w:lineRule="auto"/>
        <w:rPr>
          <w:rFonts w:hint="eastAsia" w:ascii="仿宋" w:hAnsi="仿宋" w:eastAsia="仿宋" w:cs="仿宋"/>
          <w:b/>
          <w:bCs/>
          <w:sz w:val="28"/>
          <w:szCs w:val="28"/>
          <w:highlight w:val="none"/>
          <w:lang w:eastAsia="en-US"/>
        </w:rPr>
        <w:outlineLvl w:val="2"/>
      </w:pPr>
      <w:r/>
      <w:bookmarkStart w:id="38" w:name="_Toc513029209"/>
      <w:r/>
      <w:bookmarkStart w:id="39" w:name="_Toc20823281"/>
      <w:r/>
      <w:bookmarkStart w:id="40" w:name="_Toc16938525"/>
      <w:r/>
      <w:bookmarkStart w:id="41" w:name="_Toc120614215"/>
      <w:r>
        <w:rPr>
          <w:rFonts w:hint="eastAsia" w:ascii="仿宋" w:hAnsi="仿宋" w:eastAsia="仿宋" w:cs="仿宋"/>
          <w:b/>
          <w:bCs/>
          <w:sz w:val="28"/>
          <w:szCs w:val="28"/>
          <w:highlight w:val="none"/>
          <w:lang w:eastAsia="en-US"/>
        </w:rPr>
        <w:t xml:space="preserve">（二）磋商文件</w:t>
      </w:r>
      <w:bookmarkEnd w:id="38"/>
      <w:r/>
      <w:bookmarkEnd w:id="39"/>
      <w:r/>
      <w:bookmarkEnd w:id="40"/>
      <w:r/>
      <w:bookmarkEnd w:id="41"/>
      <w:r/>
      <w:r/>
    </w:p>
    <w:p>
      <w:pPr>
        <w:ind w:firstLine="480"/>
        <w:keepNext/>
        <w:spacing w:line="360" w:lineRule="auto"/>
        <w:rPr>
          <w:rFonts w:hint="eastAsia" w:ascii="仿宋" w:hAnsi="仿宋" w:eastAsia="仿宋" w:cs="仿宋"/>
          <w:b/>
          <w:bCs/>
          <w:sz w:val="28"/>
          <w:szCs w:val="28"/>
          <w:highlight w:val="none"/>
          <w:lang w:eastAsia="en-US"/>
        </w:rPr>
        <w:outlineLvl w:val="3"/>
      </w:pPr>
      <w:r/>
      <w:bookmarkStart w:id="42" w:name="_Toc513029210"/>
      <w:r/>
      <w:bookmarkStart w:id="43" w:name="_Toc16938526"/>
      <w:r/>
      <w:bookmarkStart w:id="44" w:name="_Toc20823282"/>
      <w:r>
        <w:rPr>
          <w:rFonts w:hint="eastAsia" w:ascii="仿宋" w:hAnsi="仿宋" w:eastAsia="仿宋" w:cs="仿宋"/>
          <w:sz w:val="28"/>
          <w:szCs w:val="28"/>
          <w:highlight w:val="none"/>
          <w:lang w:eastAsia="en-US"/>
        </w:rPr>
        <w:t xml:space="preserve">1.磋商文件构成</w:t>
      </w:r>
      <w:bookmarkEnd w:id="42"/>
      <w:r/>
      <w:bookmarkEnd w:id="43"/>
      <w:r/>
      <w:bookmarkEnd w:id="44"/>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1.1</w:t>
      </w:r>
      <w:r>
        <w:rPr>
          <w:rFonts w:hint="eastAsia" w:ascii="仿宋" w:hAnsi="仿宋" w:eastAsia="仿宋" w:cs="仿宋"/>
          <w:sz w:val="28"/>
          <w:szCs w:val="28"/>
          <w:highlight w:val="none"/>
        </w:rPr>
        <w:t xml:space="preserve"> 磋商文件由以下部分组成：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（1）磋商邀请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（2）供应商须知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（3）项目需求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（4）评审方法和评审标准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（5）响应文件组成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请仔细检查磋商文件是否齐全，如有缺漏请立即与</w:t>
      </w:r>
      <w:r>
        <w:rPr>
          <w:rFonts w:hint="eastAsia" w:ascii="仿宋" w:hAnsi="仿宋" w:eastAsia="仿宋" w:cs="仿宋"/>
          <w:bCs/>
          <w:sz w:val="28"/>
          <w:szCs w:val="28"/>
          <w:highlight w:val="none"/>
        </w:rPr>
        <w:t xml:space="preserve">采购人或采购代理机构</w:t>
      </w:r>
      <w:r>
        <w:rPr>
          <w:rFonts w:hint="eastAsia" w:ascii="仿宋" w:hAnsi="仿宋" w:eastAsia="仿宋" w:cs="仿宋"/>
          <w:sz w:val="28"/>
          <w:szCs w:val="28"/>
          <w:highlight w:val="none"/>
        </w:rPr>
        <w:t xml:space="preserve">联系解决。</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1.2</w:t>
      </w:r>
      <w:r>
        <w:rPr>
          <w:rFonts w:hint="eastAsia" w:ascii="仿宋" w:hAnsi="仿宋" w:eastAsia="仿宋" w:cs="仿宋"/>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Next/>
        <w:spacing w:line="360" w:lineRule="auto"/>
        <w:rPr>
          <w:rFonts w:hint="eastAsia" w:ascii="仿宋" w:hAnsi="仿宋" w:eastAsia="仿宋" w:cs="仿宋"/>
          <w:b/>
          <w:bCs/>
          <w:sz w:val="28"/>
          <w:szCs w:val="28"/>
          <w:highlight w:val="none"/>
        </w:rPr>
        <w:outlineLvl w:val="3"/>
      </w:pPr>
      <w:r/>
      <w:bookmarkStart w:id="45" w:name="_Toc16938527"/>
      <w:r/>
      <w:bookmarkStart w:id="46" w:name="_Toc513029211"/>
      <w:r/>
      <w:bookmarkStart w:id="47" w:name="_Toc20823283"/>
      <w:r/>
      <w:bookmarkStart w:id="48" w:name="_Toc462564070"/>
      <w:r>
        <w:rPr>
          <w:rFonts w:hint="eastAsia" w:ascii="仿宋" w:hAnsi="仿宋" w:eastAsia="仿宋" w:cs="仿宋"/>
          <w:sz w:val="28"/>
          <w:szCs w:val="28"/>
          <w:highlight w:val="none"/>
        </w:rPr>
        <w:t xml:space="preserve">2.磋商文件的澄清</w:t>
      </w:r>
      <w:bookmarkEnd w:id="45"/>
      <w:r/>
      <w:bookmarkEnd w:id="46"/>
      <w:r/>
      <w:bookmarkEnd w:id="47"/>
      <w:r/>
      <w:bookmarkEnd w:id="48"/>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2.1</w:t>
      </w:r>
      <w:r>
        <w:rPr>
          <w:rFonts w:hint="eastAsia" w:ascii="仿宋" w:hAnsi="仿宋" w:eastAsia="仿宋" w:cs="仿宋"/>
          <w:sz w:val="28"/>
          <w:szCs w:val="28"/>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w:t>
      </w:r>
      <w:r>
        <w:rPr>
          <w:rFonts w:hint="eastAsia" w:ascii="仿宋" w:hAnsi="仿宋" w:eastAsia="仿宋" w:cs="仿宋"/>
          <w:bCs/>
          <w:sz w:val="28"/>
          <w:szCs w:val="28"/>
          <w:highlight w:val="none"/>
        </w:rPr>
        <w:t xml:space="preserve">采购人</w:t>
      </w:r>
      <w:r>
        <w:rPr>
          <w:rFonts w:hint="eastAsia" w:ascii="仿宋" w:hAnsi="仿宋" w:eastAsia="仿宋" w:cs="仿宋"/>
          <w:sz w:val="28"/>
          <w:szCs w:val="28"/>
          <w:highlight w:val="none"/>
        </w:rPr>
        <w:t xml:space="preserve">可以视采购项目的具体情况，组织供应商进行现场考察或召开磋商前答疑会，但不单独或分别组织只有一个供应商参加的现场考察和答疑会。</w:t>
      </w:r>
      <w:r/>
    </w:p>
    <w:p>
      <w:pPr>
        <w:ind w:firstLine="480"/>
        <w:keepNext/>
        <w:spacing w:line="360" w:lineRule="auto"/>
        <w:rPr>
          <w:rFonts w:hint="eastAsia" w:ascii="仿宋" w:hAnsi="仿宋" w:eastAsia="仿宋" w:cs="仿宋"/>
          <w:b/>
          <w:bCs/>
          <w:sz w:val="28"/>
          <w:szCs w:val="28"/>
          <w:highlight w:val="none"/>
        </w:rPr>
        <w:outlineLvl w:val="3"/>
      </w:pPr>
      <w:r/>
      <w:bookmarkStart w:id="49" w:name="_Toc20823284"/>
      <w:r/>
      <w:bookmarkStart w:id="50" w:name="_Toc16938528"/>
      <w:r/>
      <w:bookmarkStart w:id="51" w:name="_Toc513029212"/>
      <w:r/>
      <w:bookmarkStart w:id="52" w:name="_Toc462564071"/>
      <w:r>
        <w:rPr>
          <w:rFonts w:hint="eastAsia" w:ascii="仿宋" w:hAnsi="仿宋" w:eastAsia="仿宋" w:cs="仿宋"/>
          <w:sz w:val="28"/>
          <w:szCs w:val="28"/>
          <w:highlight w:val="none"/>
        </w:rPr>
        <w:t xml:space="preserve">3.磋商文件的修改</w:t>
      </w:r>
      <w:bookmarkEnd w:id="49"/>
      <w:r/>
      <w:bookmarkEnd w:id="50"/>
      <w:r/>
      <w:bookmarkEnd w:id="51"/>
      <w:r/>
      <w:bookmarkEnd w:id="52"/>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3.1 在响应文件提交截止时间前，采购人或采购代理机构可以对磋商文件进行修改</w:t>
      </w:r>
      <w:r>
        <w:rPr>
          <w:rFonts w:hint="eastAsia" w:ascii="仿宋" w:hAnsi="仿宋" w:eastAsia="仿宋" w:cs="仿宋"/>
          <w:sz w:val="28"/>
          <w:szCs w:val="28"/>
          <w:highlight w:val="none"/>
        </w:rPr>
        <w:t xml:space="preserve">, 澄清或者修改的内容作为磋商文件的组成部分。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3.2 采购人或采购代理机构有权按照法定的要求推迟响应文件提交截止日期和磋商日期。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3.3 磋商文件的修改将在江苏政府采购网公布，补充文件将作为磋商文件的组成部分，并对供应商具有约束力</w:t>
      </w:r>
      <w:r>
        <w:rPr>
          <w:rFonts w:hint="eastAsia" w:ascii="仿宋" w:hAnsi="仿宋" w:eastAsia="仿宋" w:cs="仿宋"/>
          <w:sz w:val="28"/>
          <w:szCs w:val="28"/>
          <w:highlight w:val="none"/>
        </w:rPr>
        <w:t xml:space="preserve">。</w:t>
      </w:r>
      <w:r/>
    </w:p>
    <w:p>
      <w:pPr>
        <w:ind w:firstLine="482"/>
        <w:spacing w:line="360" w:lineRule="auto"/>
        <w:rPr>
          <w:rFonts w:hint="eastAsia" w:ascii="仿宋" w:hAnsi="仿宋" w:eastAsia="仿宋" w:cs="仿宋"/>
          <w:b/>
          <w:bCs/>
          <w:sz w:val="28"/>
          <w:szCs w:val="28"/>
          <w:highlight w:val="none"/>
          <w:u w:val="single"/>
        </w:rPr>
      </w:pPr>
      <w:r>
        <w:rPr>
          <w:rFonts w:hint="eastAsia" w:ascii="仿宋" w:hAnsi="仿宋" w:eastAsia="仿宋" w:cs="仿宋"/>
          <w:b/>
          <w:bCs/>
          <w:sz w:val="28"/>
          <w:szCs w:val="28"/>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keepLines/>
        <w:keepNext/>
        <w:spacing w:line="360" w:lineRule="auto"/>
        <w:rPr>
          <w:rFonts w:hint="eastAsia" w:ascii="仿宋" w:hAnsi="仿宋" w:eastAsia="仿宋" w:cs="仿宋"/>
          <w:b/>
          <w:bCs/>
          <w:sz w:val="28"/>
          <w:szCs w:val="28"/>
          <w:highlight w:val="none"/>
        </w:rPr>
        <w:outlineLvl w:val="2"/>
      </w:pPr>
      <w:r/>
      <w:bookmarkStart w:id="53" w:name="_Toc20823285"/>
      <w:r/>
      <w:bookmarkStart w:id="54" w:name="_Toc120614216"/>
      <w:r/>
      <w:bookmarkStart w:id="55" w:name="_Toc513029213"/>
      <w:r/>
      <w:bookmarkStart w:id="56" w:name="_Toc16938529"/>
      <w:r/>
      <w:bookmarkStart w:id="57" w:name="_Toc462564072"/>
      <w:r>
        <w:rPr>
          <w:rFonts w:hint="eastAsia" w:ascii="仿宋" w:hAnsi="仿宋" w:eastAsia="仿宋" w:cs="仿宋"/>
          <w:b/>
          <w:bCs/>
          <w:sz w:val="28"/>
          <w:szCs w:val="28"/>
          <w:highlight w:val="none"/>
        </w:rPr>
        <w:t xml:space="preserve">（三）响应文件的编制</w:t>
      </w:r>
      <w:bookmarkEnd w:id="53"/>
      <w:r/>
      <w:bookmarkEnd w:id="54"/>
      <w:r/>
      <w:bookmarkEnd w:id="55"/>
      <w:r/>
      <w:bookmarkEnd w:id="56"/>
      <w:r/>
      <w:bookmarkEnd w:id="57"/>
      <w:r/>
      <w:r/>
    </w:p>
    <w:p>
      <w:pPr>
        <w:ind w:firstLine="480"/>
        <w:keepNext/>
        <w:spacing w:line="360" w:lineRule="auto"/>
        <w:rPr>
          <w:rFonts w:hint="eastAsia" w:ascii="仿宋" w:hAnsi="仿宋" w:eastAsia="仿宋" w:cs="仿宋"/>
          <w:bCs/>
          <w:sz w:val="28"/>
          <w:szCs w:val="28"/>
          <w:highlight w:val="none"/>
        </w:rPr>
        <w:outlineLvl w:val="3"/>
      </w:pPr>
      <w:r/>
      <w:bookmarkStart w:id="58" w:name="_Toc16938530"/>
      <w:r/>
      <w:bookmarkStart w:id="59" w:name="_Toc513029214"/>
      <w:r/>
      <w:bookmarkStart w:id="60" w:name="_Toc20823286"/>
      <w:r/>
      <w:bookmarkStart w:id="61" w:name="_Toc462564073"/>
      <w:r>
        <w:rPr>
          <w:rFonts w:hint="eastAsia" w:ascii="仿宋" w:hAnsi="仿宋" w:eastAsia="仿宋" w:cs="仿宋"/>
          <w:sz w:val="28"/>
          <w:szCs w:val="28"/>
          <w:highlight w:val="none"/>
        </w:rPr>
        <w:t xml:space="preserve">1.响应文件的语言及度量衡单位</w:t>
      </w:r>
      <w:bookmarkEnd w:id="58"/>
      <w:r/>
      <w:bookmarkEnd w:id="59"/>
      <w:r/>
      <w:bookmarkEnd w:id="60"/>
      <w:r/>
      <w:bookmarkEnd w:id="61"/>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1.2 除技术性能另有规定外，响应文件所使用的度量衡单位，均须采用国家法定计量单位</w:t>
      </w:r>
      <w:r>
        <w:rPr>
          <w:rFonts w:hint="eastAsia" w:ascii="仿宋" w:hAnsi="仿宋" w:eastAsia="仿宋" w:cs="仿宋"/>
          <w:sz w:val="28"/>
          <w:szCs w:val="28"/>
          <w:highlight w:val="none"/>
        </w:rPr>
        <w:t xml:space="preserve">。</w:t>
      </w:r>
      <w:r/>
    </w:p>
    <w:p>
      <w:pPr>
        <w:ind w:firstLine="480"/>
        <w:keepNext/>
        <w:spacing w:line="360" w:lineRule="auto"/>
        <w:rPr>
          <w:rFonts w:hint="eastAsia" w:ascii="仿宋" w:hAnsi="仿宋" w:eastAsia="仿宋" w:cs="仿宋"/>
          <w:b/>
          <w:bCs/>
          <w:sz w:val="28"/>
          <w:szCs w:val="28"/>
          <w:highlight w:val="none"/>
        </w:rPr>
        <w:outlineLvl w:val="3"/>
      </w:pPr>
      <w:r/>
      <w:bookmarkStart w:id="62" w:name="_Toc513029215"/>
      <w:r/>
      <w:bookmarkStart w:id="63" w:name="_Toc16938531"/>
      <w:r/>
      <w:bookmarkStart w:id="64" w:name="_Toc20823287"/>
      <w:r/>
      <w:bookmarkStart w:id="65" w:name="_Toc462564074"/>
      <w:r>
        <w:rPr>
          <w:rFonts w:hint="eastAsia" w:ascii="仿宋" w:hAnsi="仿宋" w:eastAsia="仿宋" w:cs="仿宋"/>
          <w:sz w:val="28"/>
          <w:szCs w:val="28"/>
          <w:highlight w:val="none"/>
        </w:rPr>
        <w:t xml:space="preserve">2.响应文件构成</w:t>
      </w:r>
      <w:bookmarkEnd w:id="62"/>
      <w:r/>
      <w:bookmarkEnd w:id="63"/>
      <w:r/>
      <w:bookmarkEnd w:id="64"/>
      <w:r/>
      <w:bookmarkEnd w:id="65"/>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2.1 供应商编写的响应文件应包括资格审查文件、商务技术响应文件、报价响应文件。供应商按“第六章 响应文件组成”要求编写响应文件</w:t>
      </w:r>
      <w:r>
        <w:rPr>
          <w:rFonts w:hint="eastAsia" w:ascii="仿宋" w:hAnsi="仿宋" w:eastAsia="仿宋" w:cs="仿宋"/>
          <w:sz w:val="28"/>
          <w:szCs w:val="28"/>
          <w:highlight w:val="none"/>
        </w:rPr>
        <w:t xml:space="preserve">。</w:t>
      </w:r>
      <w:r/>
    </w:p>
    <w:p>
      <w:pPr>
        <w:ind w:firstLine="480"/>
        <w:keepNext/>
        <w:spacing w:line="360" w:lineRule="auto"/>
        <w:rPr>
          <w:rFonts w:hint="eastAsia" w:ascii="仿宋" w:hAnsi="仿宋" w:eastAsia="仿宋" w:cs="仿宋"/>
          <w:b/>
          <w:bCs/>
          <w:sz w:val="28"/>
          <w:szCs w:val="28"/>
          <w:highlight w:val="none"/>
        </w:rPr>
        <w:outlineLvl w:val="3"/>
      </w:pPr>
      <w:r/>
      <w:bookmarkStart w:id="66" w:name="_Hlt26954838"/>
      <w:r/>
      <w:bookmarkEnd w:id="66"/>
      <w:r/>
      <w:bookmarkStart w:id="67" w:name="_Hlt26670360"/>
      <w:r/>
      <w:bookmarkEnd w:id="67"/>
      <w:r/>
      <w:bookmarkStart w:id="68" w:name="_Hlt26668975"/>
      <w:r/>
      <w:bookmarkEnd w:id="68"/>
      <w:r/>
      <w:bookmarkStart w:id="69" w:name="_Toc14577360"/>
      <w:r/>
      <w:bookmarkStart w:id="70" w:name="_Toc49090511"/>
      <w:r>
        <w:rPr>
          <w:rFonts w:hint="eastAsia" w:ascii="仿宋" w:hAnsi="仿宋" w:eastAsia="仿宋" w:cs="仿宋"/>
          <w:sz w:val="28"/>
          <w:szCs w:val="28"/>
          <w:highlight w:val="none"/>
        </w:rPr>
        <w:t xml:space="preserve">3.</w:t>
      </w:r>
      <w:bookmarkEnd w:id="69"/>
      <w:r/>
      <w:bookmarkEnd w:id="70"/>
      <w:r>
        <w:rPr>
          <w:rFonts w:hint="eastAsia" w:ascii="仿宋" w:hAnsi="仿宋" w:eastAsia="仿宋" w:cs="仿宋"/>
          <w:sz w:val="28"/>
          <w:szCs w:val="28"/>
          <w:highlight w:val="none"/>
        </w:rPr>
        <w:t xml:space="preserve">磋商响应有效期</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3.1磋商响应有效期为采购文件规定的响应文件</w:t>
      </w:r>
      <w:r>
        <w:rPr>
          <w:rFonts w:hint="eastAsia" w:ascii="仿宋" w:hAnsi="仿宋" w:eastAsia="仿宋" w:cs="仿宋"/>
          <w:sz w:val="28"/>
          <w:szCs w:val="28"/>
          <w:highlight w:val="none"/>
        </w:rPr>
        <w:t xml:space="preserve">提交</w:t>
      </w:r>
      <w:r>
        <w:rPr>
          <w:rFonts w:hint="eastAsia" w:ascii="仿宋" w:hAnsi="仿宋" w:eastAsia="仿宋" w:cs="仿宋"/>
          <w:bCs/>
          <w:sz w:val="28"/>
          <w:szCs w:val="28"/>
          <w:highlight w:val="none"/>
        </w:rPr>
        <w:t xml:space="preserve">截止时间后</w:t>
      </w:r>
      <w:r>
        <w:rPr>
          <w:rFonts w:hint="eastAsia" w:ascii="仿宋" w:hAnsi="仿宋" w:eastAsia="仿宋" w:cs="仿宋"/>
          <w:b/>
          <w:sz w:val="28"/>
          <w:szCs w:val="28"/>
          <w:highlight w:val="none"/>
          <w:u w:val="single"/>
        </w:rPr>
        <w:t xml:space="preserve">六十（60）天</w:t>
      </w:r>
      <w:r>
        <w:rPr>
          <w:rFonts w:hint="eastAsia" w:ascii="仿宋" w:hAnsi="仿宋" w:eastAsia="仿宋" w:cs="仿宋"/>
          <w:bCs/>
          <w:sz w:val="28"/>
          <w:szCs w:val="28"/>
          <w:highlight w:val="none"/>
        </w:rPr>
        <w:t xml:space="preserve">。磋商响应有效期比规定短的将被视为非实质性响应而予以拒绝。</w:t>
      </w:r>
      <w:r/>
    </w:p>
    <w:p>
      <w:pPr>
        <w:ind w:firstLine="480"/>
        <w:keepNext/>
        <w:spacing w:line="360" w:lineRule="auto"/>
        <w:rPr>
          <w:rFonts w:hint="eastAsia" w:ascii="仿宋" w:hAnsi="仿宋" w:eastAsia="仿宋" w:cs="仿宋"/>
          <w:b/>
          <w:bCs/>
          <w:sz w:val="28"/>
          <w:szCs w:val="28"/>
          <w:highlight w:val="none"/>
        </w:rPr>
        <w:outlineLvl w:val="3"/>
      </w:pPr>
      <w:r>
        <w:rPr>
          <w:rFonts w:hint="eastAsia" w:ascii="仿宋" w:hAnsi="仿宋" w:eastAsia="仿宋" w:cs="仿宋"/>
          <w:sz w:val="28"/>
          <w:szCs w:val="28"/>
          <w:highlight w:val="none"/>
        </w:rPr>
        <w:t xml:space="preserve">4. 磋商响应有效期的延长</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hint="eastAsia" w:ascii="仿宋" w:hAnsi="仿宋" w:eastAsia="仿宋" w:cs="仿宋"/>
          <w:bCs/>
          <w:sz w:val="28"/>
          <w:szCs w:val="28"/>
          <w:highlight w:val="none"/>
        </w:rPr>
      </w:pPr>
      <w:r/>
      <w:bookmarkStart w:id="71" w:name="_Hlt26954852"/>
      <w:r/>
      <w:bookmarkEnd w:id="71"/>
      <w:r/>
      <w:bookmarkStart w:id="72" w:name="_Hlt26954739"/>
      <w:r/>
      <w:bookmarkEnd w:id="72"/>
      <w:r/>
      <w:bookmarkStart w:id="73" w:name="_Toc20823296"/>
      <w:r/>
      <w:bookmarkStart w:id="74" w:name="_Toc513029224"/>
      <w:r/>
      <w:bookmarkStart w:id="75" w:name="_Toc16938540"/>
      <w:r/>
      <w:bookmarkStart w:id="76" w:name="_Toc120614217"/>
      <w:r>
        <w:rPr>
          <w:rFonts w:hint="eastAsia" w:ascii="仿宋" w:hAnsi="仿宋" w:eastAsia="仿宋" w:cs="仿宋"/>
          <w:bCs/>
          <w:sz w:val="28"/>
          <w:szCs w:val="28"/>
          <w:highlight w:val="none"/>
        </w:rPr>
        <w:t xml:space="preserve">5.电子响应文件其他要求</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5.1电子招标投标交易平台（即“苏采云”系统）相关要求是本采购文件的组成部分。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5.2供应商应对CA证书妥善保管，如被他人盗用投标，因此带来的结果均由供应商自行承担。</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5.3供应商应当对采购文件提出的实质性要求和条件作出实质性响应，并在电子投标系统逐条应答。</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5.4供应商应对要求提供的资格证明文件（如资质证书、资格证书）、技术资料（如白皮书、彩页、手册、检测报告等）扫描上传至投标系统。 </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keepLines/>
        <w:keepNext/>
        <w:spacing w:line="360" w:lineRule="auto"/>
        <w:rPr>
          <w:rFonts w:hint="eastAsia" w:ascii="仿宋" w:hAnsi="仿宋" w:eastAsia="仿宋" w:cs="仿宋"/>
          <w:b/>
          <w:bCs/>
          <w:sz w:val="28"/>
          <w:szCs w:val="28"/>
          <w:highlight w:val="none"/>
        </w:rPr>
        <w:outlineLvl w:val="2"/>
      </w:pPr>
      <w:r>
        <w:rPr>
          <w:rFonts w:hint="eastAsia" w:ascii="仿宋" w:hAnsi="仿宋" w:eastAsia="仿宋" w:cs="仿宋"/>
          <w:b/>
          <w:bCs/>
          <w:sz w:val="28"/>
          <w:szCs w:val="28"/>
          <w:highlight w:val="none"/>
        </w:rPr>
        <w:t xml:space="preserve">（四）响应文件的提交</w:t>
      </w:r>
      <w:bookmarkEnd w:id="73"/>
      <w:r/>
      <w:bookmarkEnd w:id="74"/>
      <w:r/>
      <w:bookmarkEnd w:id="75"/>
      <w:r/>
      <w:bookmarkEnd w:id="76"/>
      <w:r/>
      <w:r/>
    </w:p>
    <w:p>
      <w:pPr>
        <w:ind w:firstLine="480"/>
        <w:keepNext/>
        <w:spacing w:line="360" w:lineRule="auto"/>
        <w:rPr>
          <w:rFonts w:hint="eastAsia" w:ascii="仿宋" w:hAnsi="仿宋" w:eastAsia="仿宋" w:cs="仿宋"/>
          <w:b/>
          <w:bCs/>
          <w:sz w:val="28"/>
          <w:szCs w:val="28"/>
          <w:highlight w:val="none"/>
        </w:rPr>
        <w:outlineLvl w:val="3"/>
      </w:pPr>
      <w:r/>
      <w:bookmarkStart w:id="77" w:name="_Toc462564084"/>
      <w:r/>
      <w:bookmarkStart w:id="78" w:name="_Toc513029225"/>
      <w:r/>
      <w:bookmarkStart w:id="79" w:name="_Toc16938541"/>
      <w:r/>
      <w:bookmarkStart w:id="80" w:name="_Toc20823297"/>
      <w:r/>
      <w:bookmarkStart w:id="81" w:name="_Toc120614218"/>
      <w:r/>
      <w:bookmarkStart w:id="82" w:name="_Toc16938545"/>
      <w:r/>
      <w:bookmarkStart w:id="83" w:name="_Toc513029229"/>
      <w:r/>
      <w:bookmarkStart w:id="84" w:name="_Toc20823301"/>
      <w:r>
        <w:rPr>
          <w:rFonts w:hint="eastAsia" w:ascii="仿宋" w:hAnsi="仿宋" w:eastAsia="仿宋" w:cs="仿宋"/>
          <w:sz w:val="28"/>
          <w:szCs w:val="28"/>
          <w:highlight w:val="none"/>
        </w:rPr>
        <w:t xml:space="preserve">1.响应文件</w:t>
      </w:r>
      <w:bookmarkEnd w:id="77"/>
      <w:r/>
      <w:bookmarkEnd w:id="78"/>
      <w:r/>
      <w:bookmarkEnd w:id="79"/>
      <w:r/>
      <w:bookmarkEnd w:id="80"/>
      <w:r>
        <w:rPr>
          <w:rFonts w:hint="eastAsia" w:ascii="仿宋" w:hAnsi="仿宋" w:eastAsia="仿宋" w:cs="仿宋"/>
          <w:sz w:val="28"/>
          <w:szCs w:val="28"/>
          <w:highlight w:val="none"/>
        </w:rPr>
        <w:t xml:space="preserve">的提交</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1.1线上提交与接收地点：供应商应当通过“苏采云”系统提交数据电文形式的响应文件（即电子投标），“苏采云”系统自动接收。</w:t>
      </w:r>
      <w:r/>
    </w:p>
    <w:p>
      <w:pPr>
        <w:ind w:firstLine="48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2.提交响应文件截止日期</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2.1 供应商上传电子响应文件的时间不得迟于竞争性磋商公告中规定的响应文件提交截止时间。</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3.响应文件的密封（加密）要求：</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3.2供应商须通过“苏采云”系统提供的政府采购客户端工具（使用“CA数字证书”）加盖电子签章。</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说明：供应商应在用CA数字证书以及自备的能够登录“苏采云”系统的电脑，在达到开标时间后，使用CA数字证书解密各自响应文件。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3.3供应商未按规定加密的响应文件，“苏采云”系统将拒收并提示。</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4.响应文件的拒收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4.1 “苏采云”系统拒绝接收在规定的响应文件提交截止时间后上传的任何响应文件。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 响应文件的撤回和修改</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 响应文件的撤回</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5.1.1 电子响应文件的撤回</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供应商可在响应文件提交截止时间前，撤回其电子响应文件，具体操作方法见“苏采云”系统供应商操作手册。</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5.1.2 供应商撤回电子响应文件，则认为其不再参与本项目竞争性磋商活动。</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5.2 响应文件的修改</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供应商可在响应文件提交截止时间前，对其电子响应文件进行修改。具体操作方法见“苏采云”系统供应商操作手册。</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5.3 在响应文件提交截止时间之后，供应商不得对其电子响应文件作任何修改。</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5.4 在响应文件提交截止时间至磋商文件中规定的磋商响应有效期满之间的这段时间内，供应商不得撤回其响应文件。</w:t>
      </w:r>
      <w:r/>
    </w:p>
    <w:p>
      <w:pPr>
        <w:ind w:firstLine="48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w:t>
      </w:r>
      <w:bookmarkEnd w:id="81"/>
      <w:r/>
      <w:bookmarkEnd w:id="82"/>
      <w:r/>
      <w:bookmarkEnd w:id="83"/>
      <w:r/>
      <w:bookmarkEnd w:id="84"/>
      <w:r/>
      <w:bookmarkStart w:id="85" w:name="_Toc513029230"/>
      <w:r/>
      <w:bookmarkStart w:id="86" w:name="_Toc16938546"/>
      <w:r/>
      <w:bookmarkStart w:id="87" w:name="_Toc20823302"/>
      <w:r>
        <w:rPr>
          <w:rFonts w:hint="eastAsia" w:ascii="仿宋" w:hAnsi="仿宋" w:eastAsia="仿宋" w:cs="仿宋"/>
          <w:b/>
          <w:bCs/>
          <w:sz w:val="28"/>
          <w:szCs w:val="28"/>
          <w:highlight w:val="none"/>
        </w:rPr>
        <w:t xml:space="preserve">磋商与评审</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1.磋商仪式</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1.1采购人或采购代理机构将在磋商公告中规定的时间和地点组织磋商开始仪式。</w:t>
      </w:r>
      <w:r/>
    </w:p>
    <w:p>
      <w:pPr>
        <w:ind w:firstLine="4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仿宋" w:hAnsi="仿宋" w:eastAsia="仿宋" w:cs="仿宋"/>
          <w:b/>
          <w:color w:val="ff0000"/>
          <w:sz w:val="28"/>
          <w:szCs w:val="28"/>
          <w:highlight w:val="none"/>
          <w:u w:val="single"/>
        </w:rPr>
        <w:t xml:space="preserve">30分钟</w:t>
      </w:r>
      <w:r>
        <w:rPr>
          <w:rFonts w:hint="eastAsia" w:ascii="仿宋" w:hAnsi="仿宋" w:eastAsia="仿宋" w:cs="仿宋"/>
          <w:b/>
          <w:sz w:val="28"/>
          <w:szCs w:val="28"/>
          <w:highlight w:val="none"/>
        </w:rPr>
        <w:t xml:space="preserve">之内完成。</w:t>
      </w:r>
      <w:r>
        <w:rPr>
          <w:rFonts w:hint="eastAsia" w:ascii="仿宋" w:hAnsi="仿宋" w:eastAsia="仿宋" w:cs="仿宋"/>
          <w:b/>
          <w:sz w:val="28"/>
          <w:szCs w:val="28"/>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b/>
          <w:sz w:val="28"/>
          <w:szCs w:val="28"/>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 磋商活动的文件解密工作由采购代理机构组织。</w:t>
      </w:r>
      <w:r/>
    </w:p>
    <w:p>
      <w:pPr>
        <w:ind w:firstLine="4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注：各供应商请关注开标大厅交流区，在开标结束后，请勿离开开标大厅，采购人或采购代理机构通知最后报价填报后，所有的响应供应商须在</w:t>
      </w:r>
      <w:r>
        <w:rPr>
          <w:rFonts w:hint="eastAsia" w:ascii="仿宋" w:hAnsi="仿宋" w:eastAsia="仿宋" w:cs="仿宋"/>
          <w:b/>
          <w:color w:val="ff0000"/>
          <w:sz w:val="28"/>
          <w:szCs w:val="28"/>
          <w:highlight w:val="none"/>
          <w:u w:val="single"/>
        </w:rPr>
        <w:t xml:space="preserve">15分钟</w:t>
      </w:r>
      <w:r>
        <w:rPr>
          <w:rFonts w:hint="eastAsia" w:ascii="仿宋" w:hAnsi="仿宋" w:eastAsia="仿宋" w:cs="仿宋"/>
          <w:b/>
          <w:sz w:val="28"/>
          <w:szCs w:val="28"/>
          <w:highlight w:val="none"/>
        </w:rPr>
        <w:t xml:space="preserve">内填写并提交最后报价，未在规定时间内提交最后报价的，视作无效响应处理。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2.磋商小组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2.1磋商开始仪式结束后，采购人或采购代理机构将立即组织磋商小组进行评审。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2.3超过公开招标限额标准的项目，磋商小组应当由5人及以上单数组成。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2.5磋商小组独立工作，负责评审所有响应文件并确定成交候选人。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磋商评审过程的保密与公正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3.2在磋商评审过程中，磋商供应商不得以任何行为影响磋商评审过程，否则其响应文件将被作为无效响应文件。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3.5在评审期间，采购人或采购代理机构将设专门人员与供应商联系。</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4、评审过程的澄清</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4.3 接到磋商小组澄清、说明和更正要求的供应商如未按规定做出澄清、说明和 更正，其风险由供应商自行承担。</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5.对响应文件的审查</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5.1响应文件初审分为资格性审查和符合性审查。</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5.1.1资格性检查：由磋商小组依据法律法规和磋商文件的规定，对响应文件中的资格证明文件进行审查，以确定供应商是否具备参加磋商的资格。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磋商小组在进行资格性审查的同时，将在“信用中国”网站查询供应商的信用记录，以确定供应商是否具备磋商资格。</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5.1.3未通过资格审查或符合性审查的供应商，磋商小组将在</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5.2</w:t>
      </w:r>
      <w:r>
        <w:rPr>
          <w:rFonts w:hint="eastAsia" w:ascii="仿宋" w:hAnsi="仿宋" w:eastAsia="仿宋" w:cs="仿宋"/>
          <w:sz w:val="28"/>
          <w:szCs w:val="28"/>
          <w:highlight w:val="none"/>
        </w:rPr>
        <w:t xml:space="preserve">在详细评审之前</w:t>
      </w:r>
      <w:r>
        <w:rPr>
          <w:rFonts w:hint="eastAsia" w:ascii="仿宋" w:hAnsi="仿宋" w:eastAsia="仿宋" w:cs="仿宋"/>
          <w:bCs/>
          <w:sz w:val="28"/>
          <w:szCs w:val="28"/>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（1）响应文件中报价总表内容与响应文件中相应内容不一致的，以报价总表为准。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（2）大写金额和小写金额不一致的，以大写金额为准。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（3）单价金额小数点或者百分比有明显错位的，以报价总表的总价为准，并修改单价。</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（4）总价金额与按单价汇总金额不一致的，以单价金额计算结果为准。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同时出现两种以上错误的，按照前款规定的顺序修正。</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5.7供应商在评审全过程中应保持通讯畅通，并安排专人与采购人或采购代理机构及磋商小组联系</w:t>
      </w:r>
      <w:r>
        <w:rPr>
          <w:rFonts w:hint="eastAsia" w:ascii="仿宋" w:hAnsi="仿宋" w:eastAsia="仿宋" w:cs="仿宋"/>
          <w:sz w:val="28"/>
          <w:szCs w:val="28"/>
          <w:highlight w:val="none"/>
        </w:rPr>
        <w:t xml:space="preserve">。</w:t>
      </w:r>
      <w:r/>
    </w:p>
    <w:p>
      <w:pPr>
        <w:ind w:firstLine="48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 响应文件线上格式要求</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6.1供应商应当通过“苏采云”系统提交数据电文形式的响应文件（即电子投标）。</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6.2 通过“苏采云”系统提交政府采购客户端工具导出加密的响应文件（后缀名为zip）。响应文件</w:t>
      </w:r>
      <w:r>
        <w:rPr>
          <w:rFonts w:hint="eastAsia" w:ascii="仿宋" w:hAnsi="仿宋" w:eastAsia="仿宋" w:cs="仿宋"/>
          <w:bCs/>
          <w:color w:val="ff0000"/>
          <w:sz w:val="28"/>
          <w:szCs w:val="28"/>
          <w:highlight w:val="none"/>
        </w:rPr>
        <w:t xml:space="preserve">不得超过150M！</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6.3 本项目采用线上投标，即供应商响应文件从政府采购客户端工具制作通过“苏采云”系统提交，未提供线上响应文件的，投标无效。</w:t>
      </w:r>
      <w:bookmarkEnd w:id="85"/>
      <w:r/>
      <w:bookmarkEnd w:id="86"/>
      <w:r/>
      <w:bookmarkEnd w:id="87"/>
      <w:r/>
      <w:bookmarkStart w:id="88" w:name="_Toc120614219"/>
      <w:r/>
      <w:r/>
    </w:p>
    <w:p>
      <w:pPr>
        <w:ind w:firstLine="482"/>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w:t>
      </w:r>
      <w:bookmarkEnd w:id="88"/>
      <w:r>
        <w:rPr>
          <w:rFonts w:hint="eastAsia" w:ascii="仿宋" w:hAnsi="仿宋" w:eastAsia="仿宋" w:cs="仿宋"/>
          <w:b/>
          <w:bCs/>
          <w:sz w:val="28"/>
          <w:szCs w:val="28"/>
          <w:highlight w:val="none"/>
        </w:rPr>
        <w:t xml:space="preserve">成交</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1.确定成交单位</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1.1成交候选供应商的选取原则和数量见磋商文件第四部分规定。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1.2采购人授权磋商小组在成交候选供应商中直接确定成交供应商。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 采购代理机构将在“江苏政府采购网”发布成交结果公告，公告期限为1个工作日。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1.4若有充分证据证明，成交供应商出现下列情况之一的，一经查实，将被取消成交资格：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1.4.1提供虚假材料谋取成交的。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1.4.2向采购人或采购代理机构行贿或者评审专家提供其他不正当利益的。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1.4.3恶意竞争，最后报价明显低于其自身合理成本且又无法提供证明的。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1.4.4属于本文件规定的无效条件，但在评审过程中又未被磋商小组发现的。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1.4.5</w:t>
      </w:r>
      <w:r>
        <w:rPr>
          <w:rFonts w:hint="eastAsia" w:ascii="仿宋" w:hAnsi="仿宋" w:eastAsia="仿宋" w:cs="仿宋"/>
          <w:bCs/>
          <w:sz w:val="28"/>
          <w:szCs w:val="28"/>
          <w:highlight w:val="none"/>
        </w:rPr>
        <w:t xml:space="preserve">与评审专家、采购人、其他供应商或者采购中心工作人员恶意串通的。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1.4.6采取不正当手段诋毁、排挤其他供应商的。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1.4.7成交后无正当理由拒不与采购人签订政府采购合同或者未按照磋商文件确定的事项签订政府采购合同的。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1.4.8将政府采购合同转包的。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1.5.有下列情形之一的，视为供应商串通参与磋商，响应无效：</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1.5.1不同供应商的响应文件由同一单位或者个人编制；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1.5.2不同供应商委托同一单位或者个人办理磋商事宜；</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1.5.3不同供应商的响应文件载明的项目管理成员或者联系人员为同一人；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1.5.4不同供应商的响应文件异常一致或者响应报价呈规律性差异。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2.质疑处理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 提出质疑的供应商应当是参与所质疑项目采购活动的供应商。潜在供应商依法获取其可质疑的磋商文件的，可以对磋商文件提出质疑。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2.2.1对可以质疑的磋商文件提出质疑的，为收到磋商文件之日或者磋商文件公告期限届满之日；</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2.2.2对采购过程提出质疑的，为各采购程序环节结束之日；</w:t>
      </w:r>
      <w:r/>
    </w:p>
    <w:p>
      <w:pPr>
        <w:ind w:firstLine="562"/>
        <w:spacing w:line="360" w:lineRule="auto"/>
        <w:tabs>
          <w:tab w:val="left" w:pos="6555" w:leader="none"/>
          <w:tab w:val="right" w:pos="8306"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2.2.3对成交结果提出质疑的，为成交结果公告期限届满之日。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2.4质疑答复依据《政府采购质疑和投诉办法》（财政部令第94号）。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采购人或采购代理机构质疑接收人及联系方式，见磋商文件第一部分。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 以下情形的质疑不予受理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 内容不符合《政府采购质疑和投诉办法》第十二条规定的质疑。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 超出政府采购法定期限的质疑。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 未参加磋商活动的供应商或在磋商活动中自身权益未受到损害的供应商所提出的质疑。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2.5.4供应商组成联合体参加磋商，联合体中任何一方或多方未按要求签字、盖章、加盖公章的质疑。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（七）成交通知书</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特别说明：成交供应商在下载成交通知书后须提供</w:t>
      </w:r>
      <w:r>
        <w:rPr>
          <w:rFonts w:hint="eastAsia" w:ascii="仿宋" w:hAnsi="仿宋" w:eastAsia="仿宋" w:cs="仿宋"/>
          <w:b/>
          <w:bCs/>
          <w:sz w:val="28"/>
          <w:szCs w:val="28"/>
          <w:highlight w:val="none"/>
          <w:u w:val="single"/>
        </w:rPr>
        <w:t xml:space="preserve">3套</w:t>
      </w:r>
      <w:r>
        <w:rPr>
          <w:rFonts w:hint="eastAsia" w:ascii="仿宋" w:hAnsi="仿宋" w:eastAsia="仿宋" w:cs="仿宋"/>
          <w:b/>
          <w:bCs/>
          <w:sz w:val="28"/>
          <w:szCs w:val="28"/>
          <w:highlight w:val="none"/>
        </w:rPr>
        <w:t xml:space="preserve">加盖红章的系统内打印的纸质响应文件给采购代理机构。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（八）授予合同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1.签订合同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1.l成交供应商应当在成交通知书发出之日起三十日内，按照磋商文件确定的事项与采购人签订政府采购合同。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1.2磋商文件、成交供应商的响应文件及磋商过程中有关澄清、承诺文件均应作为合同附件。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2.标的物的追加</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3.履约保证金：不收取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政府采购合同信用融资扶持政策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4.1.1确定融资意向。成交供应商取得成交通知书后，联系意向金融机构，商治融资事项，确定融资意向。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4.1.3提交融资申请。成交供应商登录“中征平台”进行用户注册，查看“政采贷”融资产品，向确定合作的金融机构提交融资申请。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4.1.4确认回款账户。金融机构填写需要锁定的回款账户信息后成交供应商应登录“中征平台”确认账户信息，以实现回款账户的锁定。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（九）电子招标投标交易平台</w:t>
      </w:r>
      <w:r/>
    </w:p>
    <w:p>
      <w:pPr>
        <w:ind w:firstLine="480"/>
        <w:spacing w:line="360" w:lineRule="auto"/>
        <w:rPr>
          <w:rFonts w:hint="eastAsia" w:ascii="仿宋" w:hAnsi="仿宋" w:eastAsia="仿宋" w:cs="仿宋"/>
          <w:sz w:val="28"/>
          <w:szCs w:val="28"/>
          <w:highlight w:val="none"/>
          <w:lang w:eastAsia="en-US"/>
        </w:rPr>
      </w:pPr>
      <w:r>
        <w:rPr>
          <w:rFonts w:hint="eastAsia" w:ascii="仿宋" w:hAnsi="仿宋" w:eastAsia="仿宋" w:cs="仿宋"/>
          <w:sz w:val="28"/>
          <w:szCs w:val="28"/>
          <w:highlight w:val="none"/>
          <w:lang w:eastAsia="en-US"/>
        </w:rPr>
        <w:t xml:space="preserve">电子招标投标交易平台（即“苏采云”系统，网址：</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"http://jszfcg.jsczt.cn/）相关要求是本采购文件的组成部分。"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lang w:eastAsia="en-US"/>
        </w:rPr>
        <w:t xml:space="preserve">http://jszfcg.jsczt.cn/）相关要求是本采购文件的组成部分。</w:t>
      </w:r>
      <w:r>
        <w:rPr>
          <w:rFonts w:hint="eastAsia" w:ascii="仿宋" w:hAnsi="仿宋" w:eastAsia="仿宋" w:cs="仿宋"/>
          <w:sz w:val="28"/>
          <w:szCs w:val="28"/>
          <w:highlight w:val="none"/>
          <w:lang w:eastAsia="en-US"/>
        </w:rPr>
        <w:fldChar w:fldCharType="end"/>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（十）未尽事宜</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8"/>
          <w:szCs w:val="28"/>
          <w:highlight w:val="none"/>
        </w:rPr>
        <w:t xml:space="preserve">按《中华人民共和国政府采购法》《政府采购竞争性磋商采购方式管理暂行办法》及其他有关法律法规的规定执行。</w:t>
      </w:r>
      <w:r/>
    </w:p>
    <w:p>
      <w:pPr>
        <w:ind w:firstLine="480"/>
        <w:spacing w:line="360" w:lineRule="auto"/>
        <w:rPr>
          <w:rFonts w:hint="eastAsia" w:ascii="仿宋" w:hAnsi="仿宋" w:eastAsia="仿宋" w:cs="仿宋"/>
          <w:sz w:val="24"/>
          <w:szCs w:val="24"/>
          <w:highlight w:val="none"/>
        </w:rPr>
        <w:sectPr>
          <w:headerReference w:type="default" r:id="rId9"/>
          <w:footerReference w:type="default" r:id="rId13"/>
          <w:footnotePr/>
          <w:endnotePr/>
          <w:type w:val="nextPage"/>
          <w:pgSz w:w="11906" w:h="16838" w:orient="portrait"/>
          <w:pgMar w:top="1247" w:right="1418" w:bottom="1247" w:left="1418" w:header="851" w:footer="992" w:gutter="0"/>
          <w:cols w:num="1" w:sep="0" w:space="720" w:equalWidth="1"/>
          <w:docGrid w:linePitch="360"/>
        </w:sectPr>
      </w:pPr>
      <w:r>
        <w:rPr>
          <w:rFonts w:hint="eastAsia" w:ascii="仿宋" w:hAnsi="仿宋" w:eastAsia="仿宋" w:cs="仿宋"/>
          <w:sz w:val="24"/>
          <w:szCs w:val="24"/>
          <w:highlight w:val="none"/>
        </w:rPr>
      </w:r>
      <w:bookmarkEnd w:id="22"/>
      <w:r/>
    </w:p>
    <w:p>
      <w:pPr>
        <w:ind w:firstLine="723"/>
        <w:jc w:val="center"/>
        <w:rPr>
          <w:rFonts w:hint="eastAsia" w:ascii="仿宋" w:hAnsi="仿宋" w:eastAsia="仿宋" w:cs="仿宋"/>
          <w:b/>
          <w:sz w:val="32"/>
          <w:szCs w:val="32"/>
          <w:highlight w:val="none"/>
        </w:rPr>
        <w:outlineLvl w:val="0"/>
      </w:pPr>
      <w:r>
        <w:rPr>
          <w:rFonts w:hint="eastAsia" w:ascii="仿宋" w:hAnsi="仿宋" w:eastAsia="仿宋" w:cs="仿宋"/>
          <w:b/>
          <w:sz w:val="32"/>
          <w:szCs w:val="32"/>
          <w:highlight w:val="none"/>
        </w:rPr>
        <w:t xml:space="preserve">第三章  </w:t>
      </w:r>
      <w:bookmarkStart w:id="89" w:name="_Hlt16619369"/>
      <w:r/>
      <w:bookmarkEnd w:id="89"/>
      <w:r>
        <w:rPr>
          <w:rFonts w:hint="eastAsia" w:ascii="仿宋" w:hAnsi="仿宋" w:eastAsia="仿宋" w:cs="仿宋"/>
          <w:b/>
          <w:sz w:val="32"/>
          <w:szCs w:val="32"/>
          <w:highlight w:val="none"/>
        </w:rPr>
        <w:t xml:space="preserve"> 项目需求</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请供应商在制作响应文件时仔细研究项目需求说明。</w:t>
      </w:r>
      <w:r>
        <w:rPr>
          <w:rFonts w:hint="eastAsia" w:ascii="仿宋" w:hAnsi="仿宋" w:eastAsia="仿宋" w:cs="仿宋"/>
          <w:color w:val="000000" w:themeColor="text1"/>
          <w:sz w:val="28"/>
          <w:szCs w:val="28"/>
          <w:highlight w:val="none"/>
          <w14:textFill>
            <w14:solidFill>
              <w14:schemeClr w14:val="tx1"/>
            </w14:solidFill>
          </w14:textFill>
        </w:rPr>
        <w:t xml:space="preserve">供应商不能简单照搬照抄采购人项目需求说明中的技术、商务要求，必须作实事求是的响应。如照搬照抄项目需求说明中的技术、商务要求的，成交供应商在同采购人签订合同和履约环节中不得提出异议，一切后果和损失由成交供应商承担。如供应商提供的货物和服务同采购人提出的项目需求说明中的技术、商务要求不同的，必须在《技术商务部分正负偏离表》上明示，如不明示的视同完全响应。</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一、项目概况</w:t>
      </w:r>
      <w:r/>
    </w:p>
    <w:p>
      <w:pPr>
        <w:ind w:firstLine="560"/>
        <w:jc w:val="left"/>
        <w:spacing w:line="580" w:lineRule="exact"/>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（一）包</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1</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1、采购预算：</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万元人民币</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本项目采用固定费率预选招标，最终确定1家成交供应商，供应商以《江苏省环境监测专业服务收费标准》（苏价费[2006]397号）单价为依据，在此基础上下浮让利，进行优惠率报价。</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每个监测业务交通费按600元/车/天、人工费按200元/人/天计算（其中以4小时计0.5天工作量），与监测专业服务费一并参与优惠。最终按确认的业务量结算，不再增加其他费用。</w:t>
      </w:r>
      <w:r/>
    </w:p>
    <w:p>
      <w:pPr>
        <w:ind w:firstLine="560"/>
        <w:jc w:val="left"/>
        <w:spacing w:line="580" w:lineRule="exact"/>
        <w:rPr>
          <w:rFonts w:hint="eastAsia" w:ascii="仿宋" w:hAnsi="仿宋" w:eastAsia="仿宋" w:cs="仿宋"/>
          <w:b/>
          <w:bCs/>
          <w:strike w:val="0"/>
          <w:color w:val="000000" w:themeColor="text1"/>
          <w:sz w:val="28"/>
          <w:szCs w:val="28"/>
          <w:highlight w:val="none"/>
          <w:lang w:val="zh-CN"/>
          <w14:textFill>
            <w14:solidFill>
              <w14:schemeClr w14:val="tx1"/>
            </w14:solidFill>
          </w14:textFill>
        </w:rPr>
      </w:pPr>
      <w:r>
        <w:rPr>
          <w:rFonts w:hint="eastAsia" w:ascii="仿宋" w:hAnsi="仿宋" w:eastAsia="仿宋" w:cs="仿宋"/>
          <w:b/>
          <w:bCs/>
          <w:strike w:val="0"/>
          <w:color w:val="000000" w:themeColor="text1"/>
          <w:sz w:val="28"/>
          <w:szCs w:val="28"/>
          <w:highlight w:val="none"/>
          <w14:textFill>
            <w14:solidFill>
              <w14:schemeClr w14:val="tx1"/>
            </w14:solidFill>
          </w14:textFill>
        </w:rPr>
        <w:t xml:space="preserve">注：最终报价优惠率如高于70%，需提供详细的成本核算情况说明及相关证明材料。</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2、采购内容： 主要针对集中式饮用水源地</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水质加测</w:t>
      </w:r>
      <w:r>
        <w:rPr>
          <w:rFonts w:hint="eastAsia" w:ascii="仿宋" w:hAnsi="仿宋" w:eastAsia="仿宋" w:cs="仿宋"/>
          <w:color w:val="000000" w:themeColor="text1"/>
          <w:sz w:val="28"/>
          <w:szCs w:val="28"/>
          <w:highlight w:val="none"/>
          <w14:textFill>
            <w14:solidFill>
              <w14:schemeClr w14:val="tx1"/>
            </w14:solidFill>
          </w14:textFill>
        </w:rPr>
        <w:t xml:space="preserve">、农田灌溉水和溯源监测等监测任务，具体业务量由南通市生态环境监测站根据实际情况确定，完成后按确认的业务量核算。</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3、服务期限：</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1年。</w:t>
      </w:r>
      <w:r/>
    </w:p>
    <w:p>
      <w:pPr>
        <w:ind w:firstLine="560"/>
        <w:jc w:val="left"/>
        <w:spacing w:line="580" w:lineRule="exact"/>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8"/>
          <w:szCs w:val="28"/>
          <w:highlight w:val="none"/>
          <w14:textFill>
            <w14:solidFill>
              <w14:schemeClr w14:val="tx1"/>
            </w14:solidFill>
          </w14:textFill>
        </w:rPr>
        <w:t xml:space="preserve">）包</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1、采购预算：</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万元人民币</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本项目采用固定费率预选招标，最终确定1家成交供应商，供应商以《江苏省环境监测专业服务收费标准》（苏价费[2006]397号）单价为依据，在此基础上下浮让利，进行优惠率报价。</w:t>
      </w:r>
      <w:r/>
    </w:p>
    <w:p>
      <w:pPr>
        <w:ind w:firstLine="560"/>
        <w:jc w:val="left"/>
        <w:spacing w:line="58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每个监测业务交通费按600元/车/天、人工费按200元/人/天计算（其中以4小时计0.5天工作量），与监测专业服务费一并参与优惠。最终按确认的业务量结算，不再增加其他费用。</w:t>
      </w:r>
      <w:r/>
    </w:p>
    <w:p>
      <w:pPr>
        <w:ind w:firstLine="560"/>
        <w:jc w:val="left"/>
        <w:spacing w:line="580" w:lineRule="exact"/>
        <w:rPr>
          <w:rFonts w:hint="eastAsia" w:ascii="仿宋" w:hAnsi="仿宋" w:eastAsia="仿宋" w:cs="仿宋"/>
          <w:strike w:val="0"/>
          <w:color w:val="000000" w:themeColor="text1"/>
          <w:sz w:val="28"/>
          <w:szCs w:val="28"/>
          <w:highlight w:val="none"/>
          <w14:textFill>
            <w14:solidFill>
              <w14:schemeClr w14:val="tx1"/>
            </w14:solidFill>
          </w14:textFill>
        </w:rPr>
      </w:pPr>
      <w:r>
        <w:rPr>
          <w:rFonts w:hint="eastAsia" w:ascii="仿宋" w:hAnsi="仿宋" w:eastAsia="仿宋" w:cs="仿宋"/>
          <w:strike w:val="0"/>
          <w:color w:val="000000" w:themeColor="text1"/>
          <w:sz w:val="28"/>
          <w:szCs w:val="28"/>
          <w:highlight w:val="none"/>
          <w14:textFill>
            <w14:solidFill>
              <w14:schemeClr w14:val="tx1"/>
            </w14:solidFill>
          </w14:textFill>
        </w:rPr>
        <w:t xml:space="preserve">注：</w:t>
      </w:r>
      <w:r>
        <w:rPr>
          <w:rFonts w:hint="eastAsia" w:ascii="仿宋" w:hAnsi="仿宋" w:eastAsia="仿宋" w:cs="仿宋"/>
          <w:b/>
          <w:bCs/>
          <w:strike w:val="0"/>
          <w:color w:val="000000" w:themeColor="text1"/>
          <w:sz w:val="28"/>
          <w:szCs w:val="28"/>
          <w:highlight w:val="none"/>
          <w14:textFill>
            <w14:solidFill>
              <w14:schemeClr w14:val="tx1"/>
            </w14:solidFill>
          </w14:textFill>
        </w:rPr>
        <w:t xml:space="preserve">1.最终报价优惠率如高于70%，需提供详细的成本核算情况说明及相关证明材料；</w:t>
      </w:r>
      <w:r>
        <w:rPr>
          <w:rFonts w:hint="eastAsia" w:ascii="仿宋" w:hAnsi="仿宋" w:eastAsia="仿宋" w:cs="仿宋"/>
          <w:strike w:val="0"/>
          <w:color w:val="000000" w:themeColor="text1"/>
          <w:sz w:val="28"/>
          <w:szCs w:val="28"/>
          <w:highlight w:val="none"/>
          <w:lang w:val="zh-CN"/>
          <w14:textFill>
            <w14:solidFill>
              <w14:schemeClr w14:val="tx1"/>
            </w14:solidFill>
          </w14:textFill>
        </w:rPr>
        <w:t xml:space="preserve">2.柴油车路检路查、入户抽测及非道路移动机械抽测按每辆</w:t>
      </w:r>
      <w:r>
        <w:rPr>
          <w:rFonts w:hint="eastAsia" w:ascii="仿宋" w:hAnsi="仿宋" w:eastAsia="仿宋" w:cs="仿宋"/>
          <w:strike w:val="0"/>
          <w:color w:val="000000" w:themeColor="text1"/>
          <w:sz w:val="28"/>
          <w:szCs w:val="28"/>
          <w:highlight w:val="none"/>
          <w14:textFill>
            <w14:solidFill>
              <w14:schemeClr w14:val="tx1"/>
            </w14:solidFill>
          </w14:textFill>
        </w:rPr>
        <w:t xml:space="preserve">250元计算，</w:t>
      </w:r>
      <w:r>
        <w:rPr>
          <w:rFonts w:hint="eastAsia" w:ascii="仿宋" w:hAnsi="仿宋" w:eastAsia="仿宋" w:cs="仿宋"/>
          <w:strike w:val="0"/>
          <w:color w:val="000000" w:themeColor="text1"/>
          <w:sz w:val="28"/>
          <w:szCs w:val="28"/>
          <w:highlight w:val="none"/>
          <w:lang w:val="zh-CN"/>
          <w14:textFill>
            <w14:solidFill>
              <w14:schemeClr w14:val="tx1"/>
            </w14:solidFill>
          </w14:textFill>
        </w:rPr>
        <w:t xml:space="preserve">最终按确认的业务量结算，不再增加其他费用，柴油车路检路查、入户抽测及非道路移动机械抽测总额不超过7万元。</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strike w:val="0"/>
          <w:color w:val="000000" w:themeColor="text1"/>
          <w:sz w:val="28"/>
          <w:szCs w:val="28"/>
          <w:highlight w:val="none"/>
          <w14:textFill>
            <w14:solidFill>
              <w14:schemeClr w14:val="tx1"/>
            </w14:solidFill>
          </w14:textFill>
        </w:rPr>
        <w:t xml:space="preserve">2、采购内容：</w:t>
      </w:r>
      <w:r>
        <w:rPr>
          <w:rFonts w:hint="eastAsia" w:ascii="仿宋" w:hAnsi="仿宋" w:eastAsia="仿宋" w:cs="仿宋"/>
          <w:color w:val="000000" w:themeColor="text1"/>
          <w:sz w:val="28"/>
          <w:szCs w:val="28"/>
          <w:highlight w:val="none"/>
          <w14:textFill>
            <w14:solidFill>
              <w14:schemeClr w14:val="tx1"/>
            </w14:solidFill>
          </w14:textFill>
        </w:rPr>
        <w:t xml:space="preserve">主要针对柴油车路检路查、入户抽测及非道路移动机械抽测和其他等监测任务，具体业务量由南通市生态环境监测站根据实际情况确定，完成后按确认的业务量核算。</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柴油车路检路查、入户抽测及非道路移动机械抽测服务项目，具体要求如下：</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1、检测设备必须提供相应的检定证书或校准证书（证书复印件放入响应文件中），检定证书或校准证书必须在有效期内。</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2、按照采购人规定的时间、地点、检测数量完成检测服务，在空气质量异常管控期间，能根据采购人需求每天开展检测。</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柴油货车路检路查及入户抽测范围在南通市域范围内，采用自由加速法，检出限值不得高于《柴油车污染物排放限值及测量方法》（自由加速法及加载减速法）（GB3847-2018）表2中限值a，出具的委托检测报告必须符合《柴油车污染物排放限值及测量方法》（自由加速法及加载减速法）（GB3847-2018）表F3要求。</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非道路移动机械检测范围在南通市域范围内，采用不透光烟度法（自由加速法），检出限值不得高于《非道路柴油移动机械排气烟度限值及测量方法》（GB36886-2018）表1中限值，出具的委托检测报告必须符合《非道路柴油移动机械排气烟度限值及测量方法》（GB36886-2018）附录A要求。</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所有检测服务均要求现场出具每辆柴油车或每台非道路移动机械的尾气检测报告，一式2份。每月任务完成后，5个工作日内，出具当月所有检测车辆的数据统计汇总表（格式内容由采购人确定），盖章报给采购人。如当场检测报告未能签字盖章的，需在5个工作日内将签字盖章的检测报告一同交于采购人。全部合同完成后，于7个工作日内，提交年度检测车辆数据汇总表，配合采购方完成项目验收。</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供应商须提供满足上述要求的服务，不得有负偏离，否则作无效标处理。</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二、委托监测的责任</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接受委托的成交供应商应保证必须完全按照采购人</w:t>
      </w:r>
      <w:r>
        <w:rPr>
          <w:rFonts w:hint="eastAsia" w:ascii="仿宋" w:hAnsi="仿宋" w:eastAsia="仿宋" w:cs="仿宋"/>
          <w:color w:val="000000" w:themeColor="text1"/>
          <w:sz w:val="28"/>
          <w:szCs w:val="28"/>
          <w:highlight w:val="none"/>
          <w14:textFill>
            <w14:solidFill>
              <w14:schemeClr w14:val="tx1"/>
            </w14:solidFill>
          </w14:textFill>
        </w:rPr>
        <w:t xml:space="preserve">确定的监测方案（包括质量控制措施）开展监测服务，接受业务时应具备涉及的所有监测内容的监测资质，选用正确的分析方法，采样方法按国家和江苏省相关监测技术规范执行，规范使用采样器材（采样器具和样品容器），采样体积、保存方法（保存剂、冷藏等）、保存期限按规范执行，开展现场监测调查，对样品进行封样。使用地理信息定位、照相或录音录像等辅助手段，对全过程留痕。成交供应商实验室必须接受南通市生态环境监测站标样考核、实验室比对等质控措施。实验中使用的仪器设备必须经具有相关资质部门的检定/校准并在计量检定/校准合格的有效期内。</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成交供应商应确保项目监测质量，按时完成监测工作。项目监测应当严格遵守国家的有关法律、法规、制度规定、有关行业规范及南通市生态环境局、南通市生态环境监测站的要求。成交供应商对监测结果的真实性、完整性、可靠性负责。</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14:textFill>
            <w14:solidFill>
              <w14:schemeClr w14:val="tx1"/>
            </w14:solidFill>
          </w14:textFill>
        </w:rPr>
        <w:t xml:space="preserve">成交供应商的监测数据只向南通市生态环境局、南通市生态环境监测站提供，包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14:textFill>
            <w14:solidFill>
              <w14:schemeClr w14:val="tx1"/>
            </w14:solidFill>
          </w14:textFill>
        </w:rPr>
        <w:t xml:space="preserve">成交供应商的监测数据只向南通市生态环境局、南通市生态环境监控中心、南通市生态环境监测站提供，不得自行提供给其他单位。对提供不实或内容虚假的监测结果以及自行对外提供监测报告的，除由成交供应商自行承担法律责任外，南通市生态环境监测站可采取必要措施终止委托监测，情节严重的，依法提请有关部门追究成交供应商和相关责任人的行政及法律责任。</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成交供应商除应做好服务人员的安全教育外，还应为服务人员提供必要的劳动保护条件，为服务人员办理作业时的人身安全保险和意外伤害险，一切安全责任事故均由成交供应商负责（保险种类由成交供应商自行选择）。</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采购人不保证成交供应商在合同期内承担监测业务的数量。同时有权终止由于政府环境管理要求变化或其它一些不可控原因而取消且还没开展的监测业务。</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三、工作流程</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日常监测（响应时间18小时以内）：采购人提前18小时向成交供应商发出监测需要，成交供应商应根据采购人提供的监测要求制定监测方案（预案），安排监测物资设备及车辆人员，在约定的时间内赶赴集合点或监测现场，并按照监测方案（预案）及技术规范的有关要求，开展工作。</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2、成交供应商现场监测结束后，在5个工作日内向采购人提供分析报告（监测数据汇总表）和原始记录复印件（或扫描件）以及相关材料（如果有特殊项目，可具体协商）。</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应急监测（响应时间2小时以内）：在有特殊任务或发生突发环境事件时，成交供应商应根据采购人提出的需求在2小时内响应，到达现场开展监测。成交供应商现场监测结束后及时提供分析报告（监测数据汇总表）和原始记录复印件（如果有特殊项目，可具体协商）。</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采购人有权对整个监测过程进行现场检查及施加质控措施，成交供应商需接受采购人的监督指导安排。采购人有权要求成交供应商提供监测相关资料（实验室资质认定证书及其附件，采样、分析、报告编制、复核和审核等人员的上岗证，样品采集、交接和分析的原始记录、分析谱图等，仪器设备检定证书及使用记录，标液、标样相关证书，样品采集、加保存剂、冷藏、封样、交接等过程的照片）。</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5、成交供应商按成交时约定报价，每月核算一次费用。</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四、价款支付方式</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技术工作经费由甲方支付乙方，具体支付方式和时间如下：</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（1）合同签订后1个月内，甲方支付计划承接业务金额的50%；</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（2）乙方按甲方提供的要求和时间节点出具监测数据汇总表、监测报告，根据每月实际完成业务量按中标优惠率计算并提交《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监测技术支撑</w:t>
      </w:r>
      <w:r>
        <w:rPr>
          <w:rFonts w:hint="eastAsia" w:ascii="仿宋" w:hAnsi="仿宋" w:eastAsia="仿宋" w:cs="仿宋"/>
          <w:color w:val="000000" w:themeColor="text1"/>
          <w:sz w:val="28"/>
          <w:szCs w:val="28"/>
          <w:highlight w:val="none"/>
          <w14:textFill>
            <w14:solidFill>
              <w14:schemeClr w14:val="tx1"/>
            </w14:solidFill>
          </w14:textFill>
        </w:rPr>
        <w:t xml:space="preserve">业务核算表》（电子版和纸质盖章版），202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年12月甲方支付计划承接业务金额的20%；</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（3）合同期满后1个月内，经甲乙双方确认后，甲方根据乙方已提交的《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监测技术支撑</w:t>
      </w:r>
      <w:r>
        <w:rPr>
          <w:rFonts w:hint="eastAsia" w:ascii="仿宋" w:hAnsi="仿宋" w:eastAsia="仿宋" w:cs="仿宋"/>
          <w:color w:val="000000" w:themeColor="text1"/>
          <w:sz w:val="28"/>
          <w:szCs w:val="28"/>
          <w:highlight w:val="none"/>
          <w14:textFill>
            <w14:solidFill>
              <w14:schemeClr w14:val="tx1"/>
            </w14:solidFill>
          </w14:textFill>
        </w:rPr>
        <w:t xml:space="preserve">业务核算表》，向乙方付清结算表上的合同价款。</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五、违约责任 </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1、供应商在服务过程中，存在违法违规或重大数据偏离情况的，采购人有权终止合同，并报相关职能部门依法查处违法行为。</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供应商在服务过程中，因自身原因无法完成监测任务或出具的监测报告经采购人审查不规范、不合法，采购人不支付当次的服务费用，并从应付给供应商的监测费用中扣500元；如造成相关工作不能继续并造成较大影响的，采购人有权终止合同；如造成复议、诉讼失败的，复议、诉讼费由供应商承担，并赔偿损失，在其后两年内不接受供应商报名参与采购人相关招投标。</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3、供应商未能在监测协议书要求的时间内提交监测报告及相关材料，每次从应付给供应商的监测费用中扣500元；发生两次及以上的，采购人有权终止合同。</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4、供应商未在规定时间内响应监测任务，每次从应付给供应商的监测费用中扣200元，发生四次及以上的，采购人有权终止合同。</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5、采购人和供应商双方任何一方违反合同，造成对方经济损失的，应给予对方经济赔偿。</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6、如在履约期间被市场监督管理部门取消资质或暂停资质的，合同将自动终止，并根据相关部门核查的情况按实结算服务费用。</w:t>
      </w:r>
      <w:r/>
    </w:p>
    <w:p>
      <w:pPr>
        <w:ind w:firstLine="560"/>
        <w:jc w:val="left"/>
        <w:spacing w:line="5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六、其它保证措施</w:t>
      </w:r>
      <w:r/>
    </w:p>
    <w:p>
      <w:pPr>
        <w:ind w:firstLine="560"/>
        <w:jc w:val="left"/>
        <w:spacing w:line="5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为了确保项目监测质量，南通市生态环境监测站将对成交供应商的监测质量等进行综合考核，考核结果将作为下一轮选择供应商的重要依据。考核结果不及格的供应商，有权终止合同，在其后两年内不接受其报名参与相关招投标。</w:t>
      </w:r>
      <w:r/>
    </w:p>
    <w:p>
      <w:pPr>
        <w:numPr>
          <w:ilvl w:val="0"/>
          <w:numId w:val="3"/>
        </w:numPr>
        <w:ind w:firstLine="560"/>
        <w:jc w:val="left"/>
        <w:spacing w:line="580" w:lineRule="exact"/>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其他补充说明</w:t>
      </w:r>
      <w:r/>
    </w:p>
    <w:p>
      <w:pPr>
        <w:numPr>
          <w:ilvl w:val="0"/>
          <w:numId w:val="0"/>
        </w:numPr>
        <w:ind w:firstLine="560"/>
        <w:jc w:val="left"/>
        <w:spacing w:line="5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本项目所有采购包产生的所有监测数据、监测报告及相关成果的知识产权归采购人所有，成交供应商仅享有署名权，未经采购人书面同意，不得擅自使用或向第三方提供。</w:t>
      </w:r>
      <w:r/>
    </w:p>
    <w:p>
      <w:pPr>
        <w:ind w:firstLine="560"/>
        <w:jc w:val="center"/>
        <w:spacing w:line="580" w:lineRule="exact"/>
        <w:rPr>
          <w:rFonts w:hint="eastAsia" w:ascii="仿宋" w:hAnsi="仿宋" w:eastAsia="仿宋" w:cs="仿宋"/>
          <w:sz w:val="32"/>
          <w:szCs w:val="32"/>
          <w:highlight w:val="none"/>
        </w:rPr>
        <w:outlineLvl w:val="0"/>
      </w:pPr>
      <w:r>
        <w:rPr>
          <w:rFonts w:hint="eastAsia" w:ascii="仿宋" w:hAnsi="仿宋" w:eastAsia="仿宋" w:cs="仿宋"/>
          <w:color w:val="000000" w:themeColor="text1"/>
          <w:sz w:val="28"/>
          <w:szCs w:val="28"/>
          <w:highlight w:val="none"/>
          <w14:textFill>
            <w14:solidFill>
              <w14:schemeClr w14:val="tx1"/>
            </w14:solidFill>
          </w14:textFill>
        </w:rPr>
        <w:br w:type="page" w:clear="all"/>
      </w:r>
      <w:r>
        <w:rPr>
          <w:rFonts w:hint="eastAsia" w:ascii="仿宋" w:hAnsi="仿宋" w:eastAsia="仿宋" w:cs="仿宋"/>
          <w:b/>
          <w:sz w:val="32"/>
          <w:szCs w:val="32"/>
          <w:highlight w:val="none"/>
        </w:rPr>
        <w:t xml:space="preserve">第四章  </w:t>
      </w:r>
      <w:bookmarkStart w:id="90" w:name="_Toc43217893"/>
      <w:r/>
      <w:bookmarkStart w:id="91" w:name="_Toc85627670"/>
      <w:r/>
      <w:bookmarkStart w:id="92" w:name="_Toc182848996"/>
      <w:r/>
      <w:bookmarkStart w:id="93" w:name="_Toc37322565"/>
      <w:r/>
      <w:bookmarkStart w:id="94" w:name="_Toc38121794"/>
      <w:r>
        <w:rPr>
          <w:rFonts w:hint="eastAsia" w:ascii="仿宋" w:hAnsi="仿宋" w:eastAsia="仿宋" w:cs="仿宋"/>
          <w:b/>
          <w:sz w:val="32"/>
          <w:szCs w:val="32"/>
          <w:highlight w:val="none"/>
        </w:rPr>
        <w:t xml:space="preserve">评审方法和程序</w:t>
      </w:r>
      <w:bookmarkEnd w:id="90"/>
      <w:r/>
      <w:bookmarkEnd w:id="91"/>
      <w:r/>
      <w:bookmarkEnd w:id="92"/>
      <w:r/>
      <w:bookmarkEnd w:id="93"/>
      <w:r/>
      <w:bookmarkEnd w:id="94"/>
      <w:r/>
      <w:r/>
    </w:p>
    <w:p>
      <w:pPr>
        <w:ind w:firstLine="560"/>
        <w:jc w:val="left"/>
        <w:spacing w:line="360" w:lineRule="auto"/>
        <w:rPr>
          <w:rFonts w:hint="eastAsia" w:ascii="仿宋" w:hAnsi="仿宋" w:eastAsia="仿宋" w:cs="仿宋"/>
          <w:b/>
          <w:sz w:val="28"/>
          <w:szCs w:val="28"/>
          <w:highlight w:val="none"/>
        </w:rPr>
        <w:outlineLvl w:val="1"/>
      </w:pPr>
      <w:r/>
      <w:bookmarkStart w:id="95" w:name="_Toc363573857"/>
      <w:r/>
      <w:bookmarkEnd w:id="95"/>
      <w:r>
        <w:rPr>
          <w:rFonts w:hint="eastAsia" w:ascii="仿宋" w:hAnsi="仿宋" w:eastAsia="仿宋" w:cs="仿宋"/>
          <w:b/>
          <w:sz w:val="28"/>
          <w:szCs w:val="28"/>
          <w:highlight w:val="none"/>
        </w:rPr>
        <w:t xml:space="preserve">一、磋商模式</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不见面远程磋商模式：开标当天各供应商在各自地点通过苏采云系统及时登录不见面开标大厅，参加磋商活动。</w:t>
      </w:r>
      <w:r/>
    </w:p>
    <w:p>
      <w:pPr>
        <w:ind w:firstLine="560"/>
        <w:jc w:val="left"/>
        <w:spacing w:line="360" w:lineRule="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二、磋商组织及磋商小组职责</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2.磋商小组的职责：</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（2）磋商文件内容违反国家有关强制性规定的，磋商小组应当停止评审并向采购人或者采购代理机构说明情况</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（3）磋商小组成员应当遵守评审工作纪律，不得泄露评审情况和评审中获悉的商业秘密，对个人的评审意见承担法律责任；</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（4）磋商小组成员在评审过程中发现供应商有行贿、提供虚假材料或者串通等违法行为的，应当及时向财政部门报告。</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（5）磋商小组成员在评审过程中受到非法干涉的，应当及时向财政、监察等部门举报。</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（6）配合采购单位答复供应商提出的质疑；配合财政部门的投诉处理和监督检查工作。</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3.评审有关记录由磋商小组成员签名，存档备查。</w:t>
      </w:r>
      <w:r/>
    </w:p>
    <w:p>
      <w:pPr>
        <w:ind w:firstLine="560"/>
        <w:spacing w:line="360" w:lineRule="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三、评审步骤</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第一阶段：</w:t>
      </w:r>
      <w:r>
        <w:rPr>
          <w:rFonts w:hint="eastAsia" w:ascii="仿宋" w:hAnsi="仿宋" w:eastAsia="仿宋" w:cs="仿宋"/>
          <w:sz w:val="28"/>
          <w:szCs w:val="28"/>
          <w:highlight w:val="none"/>
        </w:rPr>
        <w:t xml:space="preserve">磋商小组</w:t>
      </w:r>
      <w:r>
        <w:rPr>
          <w:rFonts w:hint="eastAsia" w:ascii="仿宋" w:hAnsi="仿宋" w:eastAsia="仿宋" w:cs="仿宋"/>
          <w:sz w:val="28"/>
          <w:szCs w:val="28"/>
          <w:highlight w:val="none"/>
          <w:lang w:val="zh-CN"/>
        </w:rPr>
        <w:t xml:space="preserve">对每个供应商的资格进行审查。</w:t>
      </w:r>
      <w:r>
        <w:rPr>
          <w:rFonts w:hint="eastAsia" w:ascii="仿宋" w:hAnsi="仿宋" w:eastAsia="仿宋" w:cs="仿宋"/>
          <w:sz w:val="28"/>
          <w:szCs w:val="28"/>
          <w:highlight w:val="none"/>
        </w:rPr>
        <w:t xml:space="preserve">供应商资格不合格的，其响应文件判定为无效响应文件。</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第二阶段：</w:t>
      </w:r>
      <w:r>
        <w:rPr>
          <w:rFonts w:hint="eastAsia" w:ascii="仿宋" w:hAnsi="仿宋" w:eastAsia="仿宋" w:cs="仿宋"/>
          <w:sz w:val="28"/>
          <w:szCs w:val="28"/>
          <w:highlight w:val="none"/>
        </w:rPr>
        <w:t xml:space="preserve">依据磋商文件的规定，由磋商小组</w:t>
      </w:r>
      <w:r>
        <w:rPr>
          <w:rFonts w:hint="eastAsia" w:ascii="仿宋" w:hAnsi="仿宋" w:eastAsia="仿宋" w:cs="仿宋"/>
          <w:sz w:val="28"/>
          <w:szCs w:val="28"/>
          <w:highlight w:val="none"/>
          <w:lang w:val="zh-CN"/>
        </w:rPr>
        <w:t xml:space="preserve">对每个符合资格要求的供应商</w:t>
      </w:r>
      <w:r>
        <w:rPr>
          <w:rFonts w:hint="eastAsia" w:ascii="仿宋" w:hAnsi="仿宋" w:eastAsia="仿宋" w:cs="仿宋"/>
          <w:sz w:val="28"/>
          <w:szCs w:val="28"/>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第三阶段：以供应商价格标文件内的竞争性磋商报价（即首次报价）为基础，磋商小组与供应商单一分别进行磋商。单一分别</w:t>
      </w:r>
      <w:r>
        <w:rPr>
          <w:rFonts w:hint="eastAsia" w:ascii="仿宋" w:hAnsi="仿宋" w:eastAsia="仿宋" w:cs="仿宋"/>
          <w:sz w:val="28"/>
          <w:szCs w:val="28"/>
          <w:highlight w:val="none"/>
        </w:rPr>
        <w:t xml:space="preserve">磋商</w:t>
      </w:r>
      <w:r>
        <w:rPr>
          <w:rFonts w:hint="eastAsia" w:ascii="仿宋" w:hAnsi="仿宋" w:eastAsia="仿宋" w:cs="仿宋"/>
          <w:sz w:val="28"/>
          <w:szCs w:val="28"/>
          <w:highlight w:val="none"/>
          <w:lang w:val="zh-CN"/>
        </w:rPr>
        <w:t xml:space="preserve">结束后，</w:t>
      </w:r>
      <w:r>
        <w:rPr>
          <w:rFonts w:hint="eastAsia" w:ascii="仿宋" w:hAnsi="仿宋" w:eastAsia="仿宋" w:cs="仿宋"/>
          <w:bCs/>
          <w:sz w:val="28"/>
          <w:szCs w:val="28"/>
          <w:highlight w:val="none"/>
        </w:rPr>
        <w:t xml:space="preserve">系统进入报价环节。</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磋商程序见本章第四条</w:t>
      </w:r>
      <w:r>
        <w:rPr>
          <w:rFonts w:hint="eastAsia" w:ascii="仿宋" w:hAnsi="仿宋" w:eastAsia="仿宋" w:cs="仿宋"/>
          <w:sz w:val="28"/>
          <w:szCs w:val="28"/>
          <w:highlight w:val="none"/>
          <w:lang w:val="zh-CN"/>
        </w:rPr>
        <w:t xml:space="preserve">）。</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lang w:val="zh-CN"/>
        </w:rPr>
        <w:t xml:space="preserve">第</w:t>
      </w:r>
      <w:r>
        <w:rPr>
          <w:rFonts w:hint="eastAsia" w:ascii="仿宋" w:hAnsi="仿宋" w:eastAsia="仿宋" w:cs="仿宋"/>
          <w:sz w:val="28"/>
          <w:szCs w:val="28"/>
          <w:highlight w:val="none"/>
        </w:rPr>
        <w:t xml:space="preserve">四</w:t>
      </w:r>
      <w:r>
        <w:rPr>
          <w:rFonts w:hint="eastAsia" w:ascii="仿宋" w:hAnsi="仿宋" w:eastAsia="仿宋" w:cs="仿宋"/>
          <w:sz w:val="28"/>
          <w:szCs w:val="28"/>
          <w:highlight w:val="none"/>
          <w:lang w:val="zh-CN"/>
        </w:rPr>
        <w:t xml:space="preserve">阶段：</w:t>
      </w:r>
      <w:r>
        <w:rPr>
          <w:rFonts w:hint="eastAsia" w:ascii="仿宋" w:hAnsi="仿宋" w:eastAsia="仿宋" w:cs="仿宋"/>
          <w:bCs/>
          <w:sz w:val="28"/>
          <w:szCs w:val="28"/>
          <w:highlight w:val="none"/>
        </w:rPr>
        <w:t xml:space="preserve">系统最后报价环节结束后，磋商小组对响应报价的供应商进行商务技术部分评审。</w:t>
      </w:r>
      <w:r/>
    </w:p>
    <w:p>
      <w:pPr>
        <w:ind w:firstLine="560"/>
        <w:jc w:val="left"/>
        <w:spacing w:line="360" w:lineRule="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四、磋商程序</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在磋商过程中，磋商小组可能根据磋商文件和磋商情况实质性变动的内容有：</w:t>
      </w:r>
      <w:r>
        <w:rPr>
          <w:rFonts w:hint="eastAsia" w:ascii="仿宋" w:hAnsi="仿宋" w:eastAsia="仿宋" w:cs="仿宋"/>
          <w:b/>
          <w:bCs/>
          <w:sz w:val="28"/>
          <w:szCs w:val="28"/>
          <w:highlight w:val="none"/>
          <w:u w:val="single"/>
        </w:rPr>
        <w:t xml:space="preserve">采购需求中的技术、服务要求以及合同草案条款。</w:t>
      </w:r>
      <w:r>
        <w:rPr>
          <w:rFonts w:hint="eastAsia" w:ascii="仿宋" w:hAnsi="仿宋" w:eastAsia="仿宋" w:cs="仿宋"/>
          <w:sz w:val="28"/>
          <w:szCs w:val="28"/>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仿宋" w:hAnsi="仿宋" w:eastAsia="仿宋" w:cs="仿宋"/>
          <w:bCs/>
          <w:sz w:val="28"/>
          <w:szCs w:val="28"/>
          <w:highlight w:val="none"/>
        </w:rPr>
        <w:t xml:space="preserve">在</w:t>
      </w:r>
      <w:r>
        <w:rPr>
          <w:rFonts w:hint="eastAsia" w:ascii="仿宋" w:hAnsi="仿宋" w:eastAsia="仿宋" w:cs="仿宋"/>
          <w:b/>
          <w:sz w:val="28"/>
          <w:szCs w:val="28"/>
          <w:highlight w:val="none"/>
        </w:rPr>
        <w:t xml:space="preserve">15分钟内</w:t>
      </w:r>
      <w:r>
        <w:rPr>
          <w:rFonts w:hint="eastAsia" w:ascii="仿宋" w:hAnsi="仿宋" w:eastAsia="仿宋" w:cs="仿宋"/>
          <w:sz w:val="28"/>
          <w:szCs w:val="28"/>
          <w:highlight w:val="none"/>
        </w:rPr>
        <w:t xml:space="preserve">提交最后报价，未在规定时间内提交最后报价的</w:t>
      </w:r>
      <w:r>
        <w:rPr>
          <w:rFonts w:hint="eastAsia" w:ascii="仿宋" w:hAnsi="仿宋" w:eastAsia="仿宋" w:cs="仿宋"/>
          <w:bCs/>
          <w:sz w:val="28"/>
          <w:szCs w:val="28"/>
          <w:highlight w:val="none"/>
        </w:rPr>
        <w:t xml:space="preserve">，</w:t>
      </w:r>
      <w:r>
        <w:rPr>
          <w:rFonts w:hint="eastAsia" w:ascii="仿宋" w:hAnsi="仿宋" w:eastAsia="仿宋" w:cs="仿宋"/>
          <w:sz w:val="28"/>
          <w:szCs w:val="28"/>
          <w:highlight w:val="none"/>
        </w:rPr>
        <w:t xml:space="preserve">视作无效响应处理。</w:t>
      </w:r>
      <w:r/>
    </w:p>
    <w:p>
      <w:pPr>
        <w:ind w:firstLine="560"/>
        <w:spacing w:line="360" w:lineRule="auto"/>
        <w:tabs>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4.除非在磋商中磋商小组对采购需求中的技术、服务要求以及合同草案条款作了实质性变更，否则</w:t>
      </w:r>
      <w:r>
        <w:rPr>
          <w:rFonts w:hint="eastAsia" w:ascii="仿宋" w:hAnsi="仿宋" w:eastAsia="仿宋" w:cs="仿宋"/>
          <w:b/>
          <w:sz w:val="28"/>
          <w:szCs w:val="28"/>
          <w:highlight w:val="none"/>
        </w:rPr>
        <w:t xml:space="preserve">采购单位不接受供应商高于自己前一轮的磋商报价，否则作无效标处理。</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5.在磋商中，磋商的任何一方不得透露与磋商有关的其他响应磋商的供应商的技术资料、价格及其他信息。</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560"/>
        <w:jc w:val="left"/>
        <w:spacing w:line="360" w:lineRule="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五、评审方法</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评审方法：综合评分法。经磋商确定最终采购需求和提交最后报价的供应商后，由磋商小组采用综合评分法对系统提交最后报价的供应商的响应文件和最后报价进行综合评分。</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sz w:val="28"/>
          <w:szCs w:val="28"/>
          <w:highlight w:val="none"/>
        </w:rPr>
        <w:t xml:space="preserve">（计算结果均四舍五入保留两位小数）。</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3.本次项目磋商的商务技术和报价评审总分值为100分。两部分评审因素比重如下： </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商务技术分值占总分值的比重为</w:t>
      </w:r>
      <w:r>
        <w:rPr>
          <w:rFonts w:hint="eastAsia" w:ascii="仿宋" w:hAnsi="仿宋" w:eastAsia="仿宋" w:cs="仿宋"/>
          <w:b/>
          <w:sz w:val="28"/>
          <w:szCs w:val="28"/>
          <w:highlight w:val="none"/>
          <w:u w:val="single"/>
          <w:lang w:val="en-US" w:eastAsia="zh-CN"/>
        </w:rPr>
        <w:t xml:space="preserve">70</w:t>
      </w:r>
      <w:r>
        <w:rPr>
          <w:rFonts w:hint="eastAsia" w:ascii="仿宋" w:hAnsi="仿宋" w:eastAsia="仿宋" w:cs="仿宋"/>
          <w:b/>
          <w:sz w:val="28"/>
          <w:szCs w:val="28"/>
          <w:highlight w:val="none"/>
          <w:u w:val="single"/>
        </w:rPr>
        <w:t xml:space="preserve">%（权重）</w:t>
      </w:r>
      <w:r>
        <w:rPr>
          <w:rFonts w:hint="eastAsia" w:ascii="仿宋" w:hAnsi="仿宋" w:eastAsia="仿宋" w:cs="仿宋"/>
          <w:sz w:val="28"/>
          <w:szCs w:val="28"/>
          <w:highlight w:val="none"/>
        </w:rPr>
        <w:t xml:space="preserve">（四舍五入保留两位小数）；</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报价分值占总分值的比重为</w:t>
      </w:r>
      <w:r>
        <w:rPr>
          <w:rFonts w:hint="eastAsia" w:ascii="仿宋" w:hAnsi="仿宋" w:eastAsia="仿宋" w:cs="仿宋"/>
          <w:b/>
          <w:sz w:val="28"/>
          <w:szCs w:val="28"/>
          <w:highlight w:val="none"/>
          <w:u w:val="single"/>
          <w:lang w:val="en-US" w:eastAsia="zh-CN"/>
        </w:rPr>
        <w:t xml:space="preserve">30</w:t>
      </w:r>
      <w:r>
        <w:rPr>
          <w:rFonts w:hint="eastAsia" w:ascii="仿宋" w:hAnsi="仿宋" w:eastAsia="仿宋" w:cs="仿宋"/>
          <w:b/>
          <w:sz w:val="28"/>
          <w:szCs w:val="28"/>
          <w:highlight w:val="none"/>
          <w:u w:val="single"/>
        </w:rPr>
        <w:t xml:space="preserve">%（权重）</w:t>
      </w:r>
      <w:r>
        <w:rPr>
          <w:rFonts w:hint="eastAsia" w:ascii="仿宋" w:hAnsi="仿宋" w:eastAsia="仿宋" w:cs="仿宋"/>
          <w:sz w:val="28"/>
          <w:szCs w:val="28"/>
          <w:highlight w:val="none"/>
        </w:rPr>
        <w:t xml:space="preserve">（四舍五入保留两位小数）。</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4.商务技术分按算术平均值计算，分值四舍五入保留两位小数。</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bCs/>
          <w:sz w:val="28"/>
          <w:szCs w:val="28"/>
          <w:highlight w:val="none"/>
        </w:rPr>
        <w:t xml:space="preserve">供应商价格部分和商务技术部分的合计分值，为该供应商的评审总得分</w:t>
      </w:r>
      <w:r>
        <w:rPr>
          <w:rFonts w:hint="eastAsia" w:ascii="仿宋" w:hAnsi="仿宋" w:eastAsia="仿宋" w:cs="仿宋"/>
          <w:sz w:val="28"/>
          <w:szCs w:val="28"/>
          <w:highlight w:val="none"/>
        </w:rPr>
        <w:t xml:space="preserve">（四舍五入保留两位小数）。</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6.评委在认真审阅响应文件的基础上，根据各响应文件的响应程度独立评判，不得统一打分</w:t>
      </w:r>
      <w:r>
        <w:rPr>
          <w:rFonts w:hint="eastAsia" w:ascii="仿宋" w:hAnsi="仿宋" w:eastAsia="仿宋" w:cs="仿宋"/>
          <w:sz w:val="28"/>
          <w:szCs w:val="28"/>
          <w:highlight w:val="none"/>
        </w:rPr>
        <w:t xml:space="preserve">。</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投标人可自行决定参与一个或多个包的投标，项目允许兼投兼中（因首次采购部分采购包有效投标人不足三家，为充分扩大竞争范围，提高采购效率，本次将原兼投不兼中规则调整为允许兼投兼中，“南通市生态环境监测站2026年度监测技术支撑项目”的中标单位仍然可以参与本次项目投标，但同一家供应商最多中标五个包中两个包）。评标委员会按照包1→包2的顺序依次开评标，每个包确定1个成交供应商，已中标两个包的供应商可继续参与后续</w:t>
      </w:r>
      <w:r>
        <w:rPr>
          <w:rFonts w:hint="eastAsia" w:ascii="仿宋" w:hAnsi="仿宋" w:eastAsia="仿宋" w:cs="仿宋"/>
          <w:sz w:val="28"/>
          <w:szCs w:val="28"/>
          <w:highlight w:val="none"/>
          <w:lang w:val="en-US" w:eastAsia="zh-CN"/>
        </w:rPr>
        <w:t xml:space="preserve">采购</w:t>
      </w:r>
      <w:r>
        <w:rPr>
          <w:rFonts w:hint="eastAsia" w:ascii="仿宋" w:hAnsi="仿宋" w:eastAsia="仿宋" w:cs="仿宋"/>
          <w:sz w:val="28"/>
          <w:szCs w:val="28"/>
          <w:highlight w:val="none"/>
        </w:rPr>
        <w:t xml:space="preserve">包评审但不再将其推荐为中标候选人。</w:t>
      </w:r>
      <w:r/>
    </w:p>
    <w:p>
      <w:pPr>
        <w:ind w:firstLine="560"/>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某</w:t>
      </w:r>
      <w:r>
        <w:rPr>
          <w:rFonts w:hint="eastAsia" w:ascii="仿宋" w:hAnsi="仿宋" w:eastAsia="仿宋" w:cs="仿宋"/>
          <w:sz w:val="28"/>
          <w:szCs w:val="28"/>
          <w:highlight w:val="none"/>
          <w:lang w:val="en-US" w:eastAsia="zh-CN"/>
        </w:rPr>
        <w:t xml:space="preserve">包</w:t>
      </w:r>
      <w:r>
        <w:rPr>
          <w:rFonts w:hint="eastAsia" w:ascii="仿宋" w:hAnsi="仿宋" w:eastAsia="仿宋" w:cs="仿宋"/>
          <w:sz w:val="28"/>
          <w:szCs w:val="28"/>
          <w:highlight w:val="none"/>
        </w:rPr>
        <w:t xml:space="preserve">因质疑投诉</w:t>
      </w:r>
      <w:r>
        <w:rPr>
          <w:rFonts w:hint="eastAsia" w:ascii="仿宋" w:hAnsi="仿宋" w:eastAsia="仿宋" w:cs="仿宋"/>
          <w:sz w:val="28"/>
          <w:szCs w:val="28"/>
          <w:highlight w:val="none"/>
          <w:lang w:val="en-US" w:eastAsia="zh-CN"/>
        </w:rPr>
        <w:t xml:space="preserve">成立或</w:t>
      </w:r>
      <w:r>
        <w:rPr>
          <w:rFonts w:hint="eastAsia" w:ascii="仿宋" w:hAnsi="仿宋" w:eastAsia="仿宋" w:cs="仿宋"/>
          <w:sz w:val="28"/>
          <w:szCs w:val="28"/>
          <w:highlight w:val="none"/>
        </w:rPr>
        <w:t xml:space="preserve">出现本招标文件</w:t>
      </w:r>
      <w:r>
        <w:rPr>
          <w:rFonts w:hint="eastAsia" w:ascii="仿宋" w:hAnsi="仿宋" w:eastAsia="仿宋" w:cs="仿宋"/>
          <w:sz w:val="28"/>
          <w:szCs w:val="28"/>
          <w:highlight w:val="none"/>
          <w:lang w:val="en-US" w:eastAsia="zh-CN"/>
        </w:rPr>
        <w:t xml:space="preserve">第二章（六）14.1</w:t>
      </w:r>
      <w:r>
        <w:rPr>
          <w:rFonts w:hint="eastAsia" w:ascii="仿宋" w:hAnsi="仿宋" w:eastAsia="仿宋" w:cs="仿宋"/>
          <w:sz w:val="28"/>
          <w:szCs w:val="28"/>
          <w:highlight w:val="none"/>
        </w:rPr>
        <w:t xml:space="preserve">所述情况</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rPr>
        <w:t xml:space="preserve">取消中标资格，不影响其他</w:t>
      </w:r>
      <w:r>
        <w:rPr>
          <w:rFonts w:hint="eastAsia" w:ascii="仿宋" w:hAnsi="仿宋" w:eastAsia="仿宋" w:cs="仿宋"/>
          <w:sz w:val="28"/>
          <w:szCs w:val="28"/>
          <w:highlight w:val="none"/>
          <w:lang w:val="en-US" w:eastAsia="zh-CN"/>
        </w:rPr>
        <w:t xml:space="preserve">包评审</w:t>
      </w:r>
      <w:r>
        <w:rPr>
          <w:rFonts w:hint="eastAsia" w:ascii="仿宋" w:hAnsi="仿宋" w:eastAsia="仿宋" w:cs="仿宋"/>
          <w:sz w:val="28"/>
          <w:szCs w:val="28"/>
          <w:highlight w:val="none"/>
        </w:rPr>
        <w:t xml:space="preserve">结果</w:t>
      </w:r>
      <w:r>
        <w:rPr>
          <w:rFonts w:hint="eastAsia" w:ascii="仿宋" w:hAnsi="仿宋" w:eastAsia="仿宋" w:cs="仿宋"/>
          <w:sz w:val="28"/>
          <w:szCs w:val="28"/>
          <w:highlight w:val="none"/>
          <w:lang w:val="en-US" w:eastAsia="zh-CN"/>
        </w:rPr>
        <w:t xml:space="preserve">。采购人</w:t>
      </w:r>
      <w:r>
        <w:rPr>
          <w:rFonts w:hint="eastAsia" w:ascii="仿宋" w:hAnsi="仿宋" w:eastAsia="仿宋" w:cs="仿宋"/>
          <w:sz w:val="28"/>
          <w:szCs w:val="28"/>
          <w:highlight w:val="none"/>
        </w:rPr>
        <w:t xml:space="preserve">对相应包重新招标，</w:t>
      </w:r>
      <w:r>
        <w:rPr>
          <w:rFonts w:hint="eastAsia" w:ascii="仿宋" w:hAnsi="仿宋" w:eastAsia="仿宋" w:cs="仿宋"/>
          <w:sz w:val="28"/>
          <w:szCs w:val="28"/>
          <w:highlight w:val="none"/>
          <w:lang w:val="en-US" w:eastAsia="zh-CN"/>
        </w:rPr>
        <w:t xml:space="preserve">被取消中标资格的投标人及</w:t>
      </w:r>
      <w:r>
        <w:rPr>
          <w:rFonts w:hint="eastAsia" w:ascii="仿宋" w:hAnsi="仿宋" w:eastAsia="仿宋" w:cs="仿宋"/>
          <w:sz w:val="28"/>
          <w:szCs w:val="28"/>
          <w:highlight w:val="none"/>
        </w:rPr>
        <w:t xml:space="preserve">其他分包中标候选人</w:t>
      </w:r>
      <w:r>
        <w:rPr>
          <w:rFonts w:hint="eastAsia" w:ascii="仿宋" w:hAnsi="仿宋" w:eastAsia="仿宋" w:cs="仿宋"/>
          <w:sz w:val="28"/>
          <w:szCs w:val="28"/>
          <w:highlight w:val="none"/>
          <w:lang w:val="en-US" w:eastAsia="zh-CN"/>
        </w:rPr>
        <w:t xml:space="preserve">不得参与后续招投标活动</w:t>
      </w:r>
      <w:r>
        <w:rPr>
          <w:rFonts w:hint="eastAsia" w:ascii="仿宋" w:hAnsi="仿宋" w:eastAsia="仿宋" w:cs="仿宋"/>
          <w:sz w:val="28"/>
          <w:szCs w:val="28"/>
          <w:highlight w:val="none"/>
        </w:rPr>
        <w:t xml:space="preserve">；</w:t>
      </w:r>
      <w:r/>
    </w:p>
    <w:p>
      <w:pPr>
        <w:ind w:firstLine="560"/>
        <w:jc w:val="left"/>
        <w:spacing w:line="360" w:lineRule="auto"/>
        <w:rPr>
          <w:rFonts w:hint="eastAsia" w:ascii="仿宋" w:hAnsi="仿宋" w:eastAsia="仿宋" w:cs="仿宋"/>
          <w:b/>
          <w:sz w:val="28"/>
          <w:szCs w:val="28"/>
          <w:highlight w:val="none"/>
        </w:rPr>
        <w:outlineLvl w:val="1"/>
      </w:pPr>
      <w:r>
        <w:rPr>
          <w:rFonts w:hint="eastAsia" w:ascii="仿宋" w:hAnsi="仿宋" w:eastAsia="仿宋" w:cs="仿宋"/>
          <w:b/>
          <w:sz w:val="28"/>
          <w:szCs w:val="28"/>
          <w:highlight w:val="none"/>
        </w:rPr>
        <w:t xml:space="preserve">六、综合评分评审标准</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（一）商务技术分（</w:t>
      </w:r>
      <w:r>
        <w:rPr>
          <w:rFonts w:hint="eastAsia" w:ascii="仿宋" w:hAnsi="仿宋" w:eastAsia="仿宋" w:cs="仿宋"/>
          <w:b/>
          <w:sz w:val="28"/>
          <w:szCs w:val="28"/>
          <w:highlight w:val="none"/>
          <w:lang w:val="en-US" w:eastAsia="zh-CN"/>
        </w:rPr>
        <w:t xml:space="preserve">70</w:t>
      </w:r>
      <w:r>
        <w:rPr>
          <w:rFonts w:hint="eastAsia" w:ascii="仿宋" w:hAnsi="仿宋" w:eastAsia="仿宋" w:cs="仿宋"/>
          <w:b/>
          <w:sz w:val="28"/>
          <w:szCs w:val="28"/>
          <w:highlight w:val="none"/>
        </w:rPr>
        <w:t xml:space="preserve">分）</w:t>
      </w:r>
      <w:r/>
    </w:p>
    <w:p>
      <w:pPr>
        <w:jc w:val="left"/>
        <w:shd w:val="clear" w:color="auto" w:fill="ffffff"/>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包1：</w:t>
      </w:r>
      <w:r/>
    </w:p>
    <w:tbl>
      <w:tblPr>
        <w:tblStyle w:val="869"/>
        <w:tblW w:w="9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709"/>
        <w:gridCol w:w="8125"/>
      </w:tblGrid>
      <w:tr>
        <w:trPr>
          <w:jc w:val="center"/>
          <w:trHeight w:val="463"/>
        </w:trPr>
        <w:tc>
          <w:tcPr>
            <w:tcW w:w="853" w:type="dxa"/>
            <w:vAlign w:val="center"/>
            <w:textDirection w:val="lrTb"/>
            <w:noWrap/>
          </w:tcPr>
          <w:p>
            <w:pPr>
              <w:jc w:val="center"/>
              <w:rPr>
                <w:rFonts w:ascii="Times New Roman" w:hAnsi="Times New Roman"/>
                <w:b/>
                <w:highlight w:val="none"/>
                <w:lang w:val="zh-CN"/>
              </w:rPr>
            </w:pPr>
            <w:r>
              <w:rPr>
                <w:rFonts w:ascii="Times New Roman" w:hAnsi="Times New Roman"/>
                <w:b/>
                <w:highlight w:val="none"/>
                <w:lang w:val="zh-CN"/>
              </w:rPr>
              <w:t xml:space="preserve">评标</w:t>
            </w:r>
            <w:r/>
          </w:p>
          <w:p>
            <w:pPr>
              <w:jc w:val="center"/>
              <w:rPr>
                <w:rFonts w:ascii="Times New Roman" w:hAnsi="Times New Roman"/>
                <w:b/>
                <w:highlight w:val="none"/>
              </w:rPr>
            </w:pPr>
            <w:r>
              <w:rPr>
                <w:rFonts w:ascii="Times New Roman" w:hAnsi="Times New Roman"/>
                <w:b/>
                <w:highlight w:val="none"/>
                <w:lang w:val="zh-CN"/>
              </w:rPr>
              <w:t xml:space="preserve">项目</w:t>
            </w:r>
            <w:r/>
          </w:p>
        </w:tc>
        <w:tc>
          <w:tcPr>
            <w:tcW w:w="709" w:type="dxa"/>
            <w:vAlign w:val="center"/>
            <w:textDirection w:val="lrTb"/>
            <w:noWrap/>
          </w:tcPr>
          <w:p>
            <w:pPr>
              <w:jc w:val="center"/>
              <w:rPr>
                <w:rFonts w:ascii="Times New Roman" w:hAnsi="Times New Roman"/>
                <w:b/>
                <w:highlight w:val="none"/>
              </w:rPr>
            </w:pPr>
            <w:r>
              <w:rPr>
                <w:rFonts w:ascii="Times New Roman" w:hAnsi="Times New Roman"/>
                <w:b/>
                <w:highlight w:val="none"/>
              </w:rPr>
              <w:t xml:space="preserve">分值</w:t>
            </w:r>
            <w:r/>
          </w:p>
        </w:tc>
        <w:tc>
          <w:tcPr>
            <w:tcW w:w="8125" w:type="dxa"/>
            <w:vAlign w:val="center"/>
            <w:textDirection w:val="lrTb"/>
            <w:noWrap/>
          </w:tcPr>
          <w:p>
            <w:pPr>
              <w:jc w:val="center"/>
              <w:rPr>
                <w:rFonts w:ascii="Times New Roman" w:hAnsi="Times New Roman"/>
                <w:b/>
                <w:highlight w:val="none"/>
              </w:rPr>
            </w:pPr>
            <w:r>
              <w:rPr>
                <w:rFonts w:ascii="Times New Roman" w:hAnsi="Times New Roman"/>
                <w:b/>
                <w:highlight w:val="none"/>
              </w:rPr>
              <w:t xml:space="preserve">评分标准</w:t>
            </w:r>
            <w:r/>
          </w:p>
        </w:tc>
      </w:tr>
      <w:tr>
        <w:trPr>
          <w:jc w:val="center"/>
          <w:trHeight w:val="2577"/>
        </w:trPr>
        <w:tc>
          <w:tcPr>
            <w:tcW w:w="853" w:type="dxa"/>
            <w:vAlign w:val="center"/>
            <w:textDirection w:val="lrTb"/>
            <w:noWrap/>
          </w:tcPr>
          <w:p>
            <w:pPr>
              <w:rPr>
                <w:rFonts w:ascii="Times New Roman" w:hAnsi="Times New Roman"/>
                <w:highlight w:val="none"/>
              </w:rPr>
            </w:pPr>
            <w:r>
              <w:rPr>
                <w:rFonts w:ascii="Times New Roman" w:hAnsi="Times New Roman"/>
                <w:highlight w:val="none"/>
              </w:rPr>
              <w:t xml:space="preserve">团队实力及业绩</w:t>
            </w:r>
            <w:r/>
          </w:p>
        </w:tc>
        <w:tc>
          <w:tcPr>
            <w:tcW w:w="709" w:type="dxa"/>
            <w:vAlign w:val="center"/>
            <w:textDirection w:val="lrTb"/>
            <w:noWrap/>
          </w:tcPr>
          <w:p>
            <w:pPr>
              <w:rPr>
                <w:rFonts w:ascii="Times New Roman" w:hAnsi="Times New Roman"/>
                <w:highlight w:val="none"/>
              </w:rPr>
            </w:pPr>
            <w:r>
              <w:rPr>
                <w:rFonts w:ascii="Times New Roman" w:hAnsi="Times New Roman"/>
                <w:highlight w:val="none"/>
              </w:rPr>
              <w:t xml:space="preserve">10分</w:t>
            </w:r>
            <w:r/>
          </w:p>
        </w:tc>
        <w:tc>
          <w:tcPr>
            <w:tcW w:w="8125" w:type="dxa"/>
            <w:vAlign w:val="center"/>
            <w:textDirection w:val="lrTb"/>
            <w:noWrap/>
          </w:tcPr>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1、团队实力（4分）</w:t>
            </w:r>
            <w:r>
              <w:rPr>
                <w:rFonts w:hint="eastAsia" w:ascii="Times New Roman" w:hAnsi="Times New Roman"/>
                <w:szCs w:val="21"/>
                <w:highlight w:val="none"/>
              </w:rPr>
              <w:t xml:space="preserve">：服务本项目团队中拥有环境类或化工类高级工程师职数，副高级工程师每2个得1分，最高3分；团队中拥有环境类或化工类工程师职数，每4个得1分，最高得1分。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2、专业范围（2分）</w:t>
            </w:r>
            <w:r>
              <w:rPr>
                <w:rFonts w:hint="eastAsia" w:ascii="Times New Roman" w:hAnsi="Times New Roman"/>
                <w:szCs w:val="21"/>
                <w:highlight w:val="none"/>
              </w:rPr>
              <w:t xml:space="preserve">：项目团队参与人员专业同时覆盖环境类、生物类、化学类等专业本科及以上学历的得2分，缺1类专业该项不得分。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注：以上项目团队需提供技术人员的劳动合同和社保缴纳证明（必须体现个人姓名及缴纳单位信息，近半年任意一个月））；提供相关证书复印件并加盖供应商公章，原件备查；</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3</w:t>
            </w:r>
            <w:r>
              <w:rPr>
                <w:rFonts w:hint="default" w:ascii="Times New Roman" w:hAnsi="Times New Roman" w:cs="Times New Roman"/>
                <w:b/>
                <w:bCs/>
                <w:sz w:val="21"/>
                <w:szCs w:val="21"/>
                <w:highlight w:val="none"/>
              </w:rPr>
              <w:t xml:space="preserve">格式列表汇总，</w:t>
            </w:r>
            <w:r>
              <w:rPr>
                <w:rFonts w:hint="eastAsia" w:ascii="Times New Roman" w:hAnsi="Times New Roman"/>
                <w:szCs w:val="21"/>
                <w:highlight w:val="none"/>
              </w:rPr>
              <w:t xml:space="preserve">未提供证明材料或材料提供不全不得分。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3、主要业绩（4分）</w:t>
            </w:r>
            <w:r>
              <w:rPr>
                <w:rFonts w:hint="eastAsia" w:ascii="Times New Roman" w:hAnsi="Times New Roman"/>
                <w:szCs w:val="21"/>
                <w:highlight w:val="none"/>
              </w:rPr>
              <w:t xml:space="preserve">： 针对项目需求，提供202</w:t>
            </w:r>
            <w:r>
              <w:rPr>
                <w:rFonts w:ascii="Times New Roman" w:hAnsi="Times New Roman"/>
                <w:szCs w:val="21"/>
                <w:highlight w:val="none"/>
              </w:rPr>
              <w:t xml:space="preserve">4</w:t>
            </w:r>
            <w:r>
              <w:rPr>
                <w:rFonts w:hint="eastAsia" w:ascii="Times New Roman" w:hAnsi="Times New Roman"/>
                <w:szCs w:val="21"/>
                <w:highlight w:val="none"/>
              </w:rPr>
              <w:t xml:space="preserve">年以来承担过类似的监测业务（以合同签订时间为准），每提供一份得1分，最高得4分。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4</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注：1.需提供业绩合同首页、盖章页及表明工作范围内容有效页证明文件的复印件并加盖公章，否则不得分。</w:t>
            </w:r>
            <w:r/>
          </w:p>
          <w:p>
            <w:pPr>
              <w:spacing w:line="320" w:lineRule="exact"/>
              <w:rPr>
                <w:rFonts w:ascii="Times New Roman" w:hAnsi="Times New Roman"/>
                <w:highlight w:val="none"/>
                <w:u w:val="single"/>
              </w:rPr>
            </w:pPr>
            <w:r>
              <w:rPr>
                <w:rFonts w:hint="eastAsia" w:ascii="Times New Roman" w:hAnsi="Times New Roman"/>
                <w:szCs w:val="21"/>
                <w:highlight w:val="none"/>
              </w:rPr>
              <w:t xml:space="preserve">2.合同签订时间在 202</w:t>
            </w:r>
            <w:r>
              <w:rPr>
                <w:rFonts w:ascii="Times New Roman" w:hAnsi="Times New Roman"/>
                <w:szCs w:val="21"/>
                <w:highlight w:val="none"/>
              </w:rPr>
              <w:t xml:space="preserve">4</w:t>
            </w:r>
            <w:r>
              <w:rPr>
                <w:rFonts w:hint="eastAsia" w:ascii="Times New Roman" w:hAnsi="Times New Roman"/>
                <w:szCs w:val="21"/>
                <w:highlight w:val="none"/>
              </w:rPr>
              <w:t xml:space="preserve">年1月1日至投标截止日之间，项目内容与本项目采购的监测服务内容、技术要求相匹配，供应商已完成合同履约。</w:t>
            </w:r>
            <w:r/>
          </w:p>
        </w:tc>
      </w:tr>
      <w:tr>
        <w:trPr>
          <w:jc w:val="center"/>
          <w:trHeight w:val="832"/>
        </w:trPr>
        <w:tc>
          <w:tcPr>
            <w:tcW w:w="853" w:type="dxa"/>
            <w:vAlign w:val="center"/>
            <w:textDirection w:val="lrTb"/>
            <w:noWrap/>
          </w:tcPr>
          <w:p>
            <w:pPr>
              <w:rPr>
                <w:rFonts w:ascii="Times New Roman" w:hAnsi="Times New Roman"/>
                <w:highlight w:val="none"/>
              </w:rPr>
            </w:pPr>
            <w:r>
              <w:rPr>
                <w:rFonts w:ascii="Times New Roman" w:hAnsi="Times New Roman"/>
                <w:highlight w:val="none"/>
              </w:rPr>
              <w:t xml:space="preserve">实验室能力</w:t>
            </w:r>
            <w:r/>
          </w:p>
        </w:tc>
        <w:tc>
          <w:tcPr>
            <w:tcW w:w="709" w:type="dxa"/>
            <w:vAlign w:val="center"/>
            <w:textDirection w:val="lrTb"/>
            <w:noWrap/>
          </w:tcPr>
          <w:p>
            <w:pPr>
              <w:rPr>
                <w:rFonts w:ascii="Times New Roman" w:hAnsi="Times New Roman"/>
                <w:highlight w:val="none"/>
              </w:rPr>
            </w:pPr>
            <w:r>
              <w:rPr>
                <w:rFonts w:hint="eastAsia" w:ascii="Times New Roman" w:hAnsi="Times New Roman"/>
                <w:highlight w:val="none"/>
              </w:rPr>
              <w:t xml:space="preserve">28</w:t>
            </w:r>
            <w:r>
              <w:rPr>
                <w:rFonts w:ascii="Times New Roman" w:hAnsi="Times New Roman"/>
                <w:highlight w:val="none"/>
              </w:rPr>
              <w:t xml:space="preserve">分</w:t>
            </w:r>
            <w:r/>
          </w:p>
        </w:tc>
        <w:tc>
          <w:tcPr>
            <w:tcW w:w="8125" w:type="dxa"/>
            <w:vAlign w:val="center"/>
            <w:textDirection w:val="lrTb"/>
            <w:noWrap/>
          </w:tcPr>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1、实验室面积（4分）：</w:t>
            </w:r>
            <w:r>
              <w:rPr>
                <w:rFonts w:hint="eastAsia" w:ascii="Times New Roman" w:hAnsi="Times New Roman"/>
                <w:szCs w:val="21"/>
                <w:highlight w:val="none"/>
              </w:rPr>
              <w:t xml:space="preserve">拥有独立的实验室，根据实验室面积大小综合比较打分。须提供房产证明或房屋租赁合同、实验室平面图等相关材料。</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1500平米≤实验室面积＜3000平米得1分；3000平米≤实验室面积＜5000平米得2分；5000平米≤实验室面积＜10000平米得3分；10000平米≤实验室面积得4分；未提供相关材料不得分。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注：按投标单位申报生态环境监测资质认定评审时的实验室面积计算，提供最近一次资质认定评审申报材料。</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2、实验室仪器装备（4分）：</w:t>
            </w:r>
            <w:r>
              <w:rPr>
                <w:rFonts w:hint="eastAsia" w:ascii="Times New Roman" w:hAnsi="Times New Roman"/>
                <w:szCs w:val="21"/>
                <w:highlight w:val="none"/>
              </w:rPr>
              <w:t xml:space="preserve">具有以下实验室仪器设备（</w:t>
            </w:r>
            <w:bookmarkStart w:id="96" w:name="OLE_LINK36"/>
            <w:r>
              <w:rPr>
                <w:rFonts w:hint="eastAsia" w:ascii="Times New Roman" w:hAnsi="Times New Roman"/>
                <w:szCs w:val="21"/>
                <w:highlight w:val="none"/>
              </w:rPr>
              <w:t xml:space="preserve">高分辨磁质谱仪、气</w:t>
            </w:r>
            <w:bookmarkStart w:id="97" w:name="OLE_LINK15"/>
            <w:r/>
            <w:bookmarkStart w:id="98" w:name="OLE_LINK8"/>
            <w:r>
              <w:rPr>
                <w:rFonts w:hint="eastAsia" w:ascii="Times New Roman" w:hAnsi="Times New Roman"/>
                <w:szCs w:val="21"/>
                <w:highlight w:val="none"/>
              </w:rPr>
              <w:t xml:space="preserve">相色谱质谱联用仪、全自动有机样品提取装置、液相色谱质谱联用仪、</w:t>
            </w:r>
            <w:bookmarkStart w:id="99" w:name="OLE_LINK7"/>
            <w:r>
              <w:rPr>
                <w:rFonts w:hint="eastAsia" w:ascii="Times New Roman" w:hAnsi="Times New Roman"/>
                <w:szCs w:val="21"/>
                <w:highlight w:val="none"/>
              </w:rPr>
              <w:t xml:space="preserve">电感耦合等离子体质谱仪</w:t>
            </w:r>
            <w:bookmarkEnd w:id="99"/>
            <w:r>
              <w:rPr>
                <w:rFonts w:hint="eastAsia" w:ascii="Times New Roman" w:hAnsi="Times New Roman"/>
                <w:szCs w:val="21"/>
                <w:highlight w:val="none"/>
              </w:rPr>
              <w:t xml:space="preserve">、液相色谱仪、气相色谱仪、离子色谱仪、电感耦合等离子体光谱仪</w:t>
            </w:r>
            <w:bookmarkEnd w:id="96"/>
            <w:r/>
            <w:bookmarkEnd w:id="97"/>
            <w:r/>
            <w:bookmarkEnd w:id="98"/>
            <w:r>
              <w:rPr>
                <w:rFonts w:hint="eastAsia" w:ascii="Times New Roman" w:hAnsi="Times New Roman"/>
                <w:szCs w:val="21"/>
                <w:highlight w:val="none"/>
              </w:rPr>
              <w:t xml:space="preserve">）中的9项得4分，7-8项得2分，5-6项得1分，其他不得分。须提供设备发票或设备使用权、照片等证明文件，未提供相应资料的仪器设备不得分。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5</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3、能力项目（20分）：</w:t>
            </w:r>
            <w:bookmarkStart w:id="100" w:name="OLE_LINK39"/>
            <w:r>
              <w:rPr>
                <w:rFonts w:hint="eastAsia" w:ascii="Times New Roman" w:hAnsi="Times New Roman"/>
                <w:szCs w:val="21"/>
                <w:highlight w:val="none"/>
              </w:rPr>
              <w:t xml:space="preserve">资质认定附表中同时包含水、气、声、土壤、固废、电磁辐射、电离辐射、生活饮用水8小类检测能力的得2分</w:t>
            </w:r>
            <w:bookmarkEnd w:id="100"/>
            <w:r>
              <w:rPr>
                <w:rFonts w:hint="eastAsia" w:ascii="Times New Roman" w:hAnsi="Times New Roman"/>
                <w:szCs w:val="21"/>
                <w:highlight w:val="none"/>
              </w:rPr>
              <w:t xml:space="preserve">；具备集中式饮用水源水《地表水环境质量标准》中的109项检测能力（且检出限不高于表1，I类标准，表2、表3标准）和《农田灌溉水质标准》中36项检测能力（且检出限不高于表1，表2标准）和二噁英检测能力的，得14分，缺1项不得分；通过省市场监督管理局资质认定环境、水质领域检测能力项目数（以方法计），300项以下不得分，以300为基准得2分，每增加100项加1分，最高加2分；</w:t>
            </w:r>
            <w:bookmarkStart w:id="101" w:name="OLE_LINK41"/>
            <w:r/>
            <w:bookmarkStart w:id="102" w:name="OLE_LINK40"/>
            <w:r>
              <w:rPr>
                <w:rFonts w:hint="eastAsia" w:ascii="Times New Roman" w:hAnsi="Times New Roman"/>
                <w:szCs w:val="21"/>
                <w:highlight w:val="none"/>
              </w:rPr>
              <w:t xml:space="preserve">以省市场监督管理局批准的能力表为准，未提供或非省市场监督管理批准的能力表不得分。</w:t>
            </w:r>
            <w:bookmarkEnd w:id="101"/>
            <w:r/>
            <w:bookmarkEnd w:id="102"/>
            <w:r>
              <w:rPr>
                <w:rFonts w:hint="default" w:ascii="Times New Roman" w:hAnsi="Times New Roman" w:cs="Times New Roman"/>
                <w:b/>
                <w:bCs/>
                <w:sz w:val="21"/>
                <w:szCs w:val="21"/>
                <w:highlight w:val="none"/>
              </w:rPr>
              <w:t xml:space="preserve">请按照附件</w:t>
            </w:r>
            <w:r>
              <w:rPr>
                <w:rFonts w:hint="eastAsia" w:cs="Times New Roman"/>
                <w:b/>
                <w:bCs/>
                <w:sz w:val="21"/>
                <w:szCs w:val="21"/>
                <w:highlight w:val="none"/>
                <w:lang w:val="en-US" w:eastAsia="zh-CN"/>
              </w:rPr>
              <w:t xml:space="preserve">16</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20" w:lineRule="exact"/>
              <w:rPr>
                <w:rFonts w:ascii="Times New Roman" w:hAnsi="Times New Roman"/>
                <w:highlight w:val="none"/>
              </w:rPr>
            </w:pPr>
            <w:r>
              <w:rPr>
                <w:rFonts w:hint="eastAsia" w:ascii="Times New Roman" w:hAnsi="Times New Roman"/>
                <w:szCs w:val="21"/>
                <w:highlight w:val="none"/>
              </w:rPr>
              <w:t xml:space="preserve">注：相关检测能力表述以最新的检验检测机构资质认定评审要求为准。</w:t>
            </w:r>
            <w:r/>
          </w:p>
        </w:tc>
      </w:tr>
      <w:tr>
        <w:trPr>
          <w:jc w:val="center"/>
          <w:trHeight w:val="416"/>
        </w:trPr>
        <w:tc>
          <w:tcPr>
            <w:tcW w:w="853" w:type="dxa"/>
            <w:vAlign w:val="center"/>
            <w:textDirection w:val="lrTb"/>
            <w:noWrap/>
          </w:tcPr>
          <w:p>
            <w:pPr>
              <w:rPr>
                <w:rFonts w:ascii="Times New Roman" w:hAnsi="Times New Roman"/>
                <w:highlight w:val="none"/>
              </w:rPr>
            </w:pPr>
            <w:r>
              <w:rPr>
                <w:rFonts w:ascii="Times New Roman" w:hAnsi="Times New Roman"/>
                <w:highlight w:val="none"/>
              </w:rPr>
              <w:t xml:space="preserve">方案与报告编制</w:t>
            </w:r>
            <w:r/>
          </w:p>
        </w:tc>
        <w:tc>
          <w:tcPr>
            <w:tcW w:w="709" w:type="dxa"/>
            <w:vAlign w:val="center"/>
            <w:textDirection w:val="lrTb"/>
            <w:noWrap/>
          </w:tcPr>
          <w:p>
            <w:pPr>
              <w:rPr>
                <w:rFonts w:ascii="Times New Roman" w:hAnsi="Times New Roman"/>
                <w:highlight w:val="none"/>
              </w:rPr>
            </w:pPr>
            <w:r>
              <w:rPr>
                <w:rFonts w:ascii="Times New Roman" w:hAnsi="Times New Roman"/>
                <w:highlight w:val="none"/>
              </w:rPr>
              <w:t xml:space="preserve">10分</w:t>
            </w:r>
            <w:r/>
          </w:p>
        </w:tc>
        <w:tc>
          <w:tcPr>
            <w:tcW w:w="8125" w:type="dxa"/>
            <w:vAlign w:val="center"/>
            <w:textDirection w:val="lrTb"/>
            <w:noWrap/>
          </w:tcPr>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1、工作方案评审（4分）：</w:t>
            </w:r>
            <w:r>
              <w:rPr>
                <w:rFonts w:hint="eastAsia" w:ascii="Times New Roman" w:hAnsi="Times New Roman"/>
                <w:szCs w:val="21"/>
                <w:highlight w:val="none"/>
              </w:rPr>
              <w:t xml:space="preserve">针对包</w:t>
            </w:r>
            <w:r>
              <w:rPr>
                <w:rFonts w:hint="eastAsia"/>
                <w:szCs w:val="21"/>
                <w:highlight w:val="none"/>
                <w:lang w:val="en-US" w:eastAsia="zh-CN"/>
              </w:rPr>
              <w:t xml:space="preserve">1</w:t>
            </w:r>
            <w:r>
              <w:rPr>
                <w:rFonts w:hint="eastAsia" w:ascii="Times New Roman" w:hAnsi="Times New Roman"/>
                <w:szCs w:val="21"/>
                <w:highlight w:val="none"/>
              </w:rPr>
              <w:t xml:space="preserve">项目需求，提供202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投标方认为最能代表单位业务水平的常规监测工作方案1份，由评委根据工作方案的编制质量进行综合评定，结合方案的复杂程度（1分），方案的完整性（1分），方案的可操作性（1分），要素覆盖的全面性（1分）四个方面进行打分。未提供不得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2、应急监测方案评审（2分）：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年度以来，投标方认为最能代表单位业务水平的突发事件应急监测方案1份：由评委根据方案的编制质量，从方案的完整性、合理性、规范性等方面进行综合评定，较好得2分；一般得1分；</w:t>
            </w:r>
            <w:bookmarkStart w:id="103" w:name="OLE_LINK6"/>
            <w:r/>
            <w:bookmarkStart w:id="104" w:name="OLE_LINK5"/>
            <w:r>
              <w:rPr>
                <w:rFonts w:hint="eastAsia" w:ascii="Times New Roman" w:hAnsi="Times New Roman"/>
                <w:szCs w:val="21"/>
                <w:highlight w:val="none"/>
              </w:rPr>
              <w:t xml:space="preserve">较差或</w:t>
            </w:r>
            <w:bookmarkEnd w:id="103"/>
            <w:r/>
            <w:bookmarkEnd w:id="104"/>
            <w:r>
              <w:rPr>
                <w:rFonts w:hint="eastAsia" w:ascii="Times New Roman" w:hAnsi="Times New Roman"/>
                <w:szCs w:val="21"/>
                <w:highlight w:val="none"/>
              </w:rPr>
              <w:t xml:space="preserve">未提供不得分。</w:t>
            </w:r>
            <w:r/>
          </w:p>
          <w:p>
            <w:pPr>
              <w:spacing w:line="320" w:lineRule="exact"/>
              <w:rPr>
                <w:rFonts w:ascii="Times New Roman" w:hAnsi="Times New Roman"/>
                <w:highlight w:val="none"/>
              </w:rPr>
            </w:pPr>
            <w:r>
              <w:rPr>
                <w:rFonts w:hint="eastAsia" w:ascii="Times New Roman" w:hAnsi="Times New Roman"/>
                <w:b/>
                <w:bCs/>
                <w:szCs w:val="21"/>
                <w:highlight w:val="none"/>
              </w:rPr>
              <w:t xml:space="preserve">3、监测报告评审（4分）：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年度以来，最能代表投标方业务水平的监测成果报告5份</w:t>
            </w:r>
            <w:r>
              <w:rPr>
                <w:rFonts w:hint="eastAsia" w:ascii="Times New Roman" w:hAnsi="Times New Roman"/>
                <w:szCs w:val="21"/>
                <w:highlight w:val="none"/>
              </w:rPr>
              <w:t xml:space="preserve">（其中监测成果报告集中式饮用水源水、气、声、土、应急监测各1份，包括监测方案、现场监测原始记录、分析原始记录以及成果报告等相关的资料，必须为实际开展的检测工作），由评委根据报告的编制质量进行综合评定，结合报告的难易程度（较难的得1分，一般得0.5分，较差不得分），报告的规范性（较好的得1分，一般得0.5分，较差不得分），报告引用标准和结论评价的准确性（较好的得1分，一般得0.5分，较差不得分），原始记录及附件支撑材料的规范性（较好的得1分，一般得0.5分，较差不得分）四个方面进行打分；缺1份报告该项不得分。</w:t>
            </w:r>
            <w:r/>
          </w:p>
        </w:tc>
      </w:tr>
      <w:tr>
        <w:trPr>
          <w:jc w:val="center"/>
          <w:trHeight w:val="1550"/>
        </w:trPr>
        <w:tc>
          <w:tcPr>
            <w:tcW w:w="853" w:type="dxa"/>
            <w:vAlign w:val="center"/>
            <w:textDirection w:val="lrTb"/>
            <w:noWrap/>
          </w:tcPr>
          <w:p>
            <w:pPr>
              <w:rPr>
                <w:rFonts w:ascii="Times New Roman" w:hAnsi="Times New Roman"/>
                <w:highlight w:val="none"/>
              </w:rPr>
            </w:pPr>
            <w:r>
              <w:rPr>
                <w:rFonts w:ascii="Times New Roman" w:hAnsi="Times New Roman"/>
                <w:highlight w:val="none"/>
              </w:rPr>
              <w:t xml:space="preserve">质量管理体系运行情况</w:t>
            </w:r>
            <w:r/>
          </w:p>
        </w:tc>
        <w:tc>
          <w:tcPr>
            <w:tcW w:w="709" w:type="dxa"/>
            <w:vAlign w:val="center"/>
            <w:textDirection w:val="lrTb"/>
            <w:noWrap/>
          </w:tcPr>
          <w:p>
            <w:pPr>
              <w:rPr>
                <w:rFonts w:ascii="Times New Roman" w:hAnsi="Times New Roman"/>
                <w:highlight w:val="none"/>
              </w:rPr>
            </w:pPr>
            <w:r>
              <w:rPr>
                <w:rFonts w:ascii="Times New Roman" w:hAnsi="Times New Roman"/>
                <w:highlight w:val="none"/>
              </w:rPr>
              <w:t xml:space="preserve">1</w:t>
            </w:r>
            <w:r>
              <w:rPr>
                <w:rFonts w:hint="eastAsia" w:ascii="Times New Roman" w:hAnsi="Times New Roman"/>
                <w:highlight w:val="none"/>
              </w:rPr>
              <w:t xml:space="preserve">2</w:t>
            </w:r>
            <w:r>
              <w:rPr>
                <w:rFonts w:ascii="Times New Roman" w:hAnsi="Times New Roman"/>
                <w:highlight w:val="none"/>
              </w:rPr>
              <w:t xml:space="preserve">分</w:t>
            </w:r>
            <w:r/>
          </w:p>
        </w:tc>
        <w:tc>
          <w:tcPr>
            <w:tcW w:w="8125" w:type="dxa"/>
            <w:vAlign w:val="center"/>
            <w:textDirection w:val="lrTb"/>
            <w:noWrap/>
          </w:tcPr>
          <w:p>
            <w:pPr>
              <w:spacing w:line="320" w:lineRule="exact"/>
              <w:rPr>
                <w:rFonts w:ascii="Times New Roman" w:hAnsi="Times New Roman"/>
                <w:highlight w:val="none"/>
              </w:rPr>
            </w:pPr>
            <w:r>
              <w:rPr>
                <w:rFonts w:hint="eastAsia" w:ascii="Times New Roman" w:hAnsi="Times New Roman"/>
                <w:szCs w:val="21"/>
                <w:highlight w:val="none"/>
              </w:rPr>
              <w:t xml:space="preserve">投标方须提供现行有效的质量手册</w:t>
            </w:r>
            <w:r>
              <w:rPr>
                <w:rFonts w:hint="eastAsia" w:ascii="Times New Roman" w:hAnsi="Times New Roman"/>
                <w:szCs w:val="21"/>
                <w:highlight w:val="none"/>
                <w:lang w:eastAsia="zh-CN"/>
              </w:rPr>
              <w:t xml:space="preserve">目录</w:t>
            </w:r>
            <w:r>
              <w:rPr>
                <w:rFonts w:hint="eastAsia" w:ascii="Times New Roman" w:hAnsi="Times New Roman"/>
                <w:szCs w:val="21"/>
                <w:highlight w:val="none"/>
              </w:rPr>
              <w:t xml:space="preserve">、程序文件</w:t>
            </w:r>
            <w:r>
              <w:rPr>
                <w:rFonts w:hint="eastAsia" w:ascii="Times New Roman" w:hAnsi="Times New Roman"/>
                <w:szCs w:val="21"/>
                <w:highlight w:val="none"/>
                <w:lang w:eastAsia="zh-CN"/>
              </w:rPr>
              <w:t xml:space="preserve">目录</w:t>
            </w:r>
            <w:r>
              <w:rPr>
                <w:rFonts w:hint="eastAsia" w:ascii="Times New Roman" w:hAnsi="Times New Roman"/>
                <w:szCs w:val="21"/>
                <w:highlight w:val="none"/>
              </w:rPr>
              <w:t xml:space="preserve">、表格表单目录、2026年度质量控制措施、2026年度业务培训计划，2026年度参加能力验证、测量审核计划，2026年度检测能力扩项计划，2026年度监测仪器周期检定/校准计划，2026年度量值溯源和期间核查计划以及最近1次的内审、管理评审记录等进行综合评定，评委将根据《检验检测机构资质认定评审准则》《检验检测机构资质认定生态环境监测机构评审补充要求（2025 年）》等相关要求，对提供材料的完整程度（较好的得3分，一般得1分，较差不得分），适用性（</w:t>
            </w:r>
            <w:bookmarkStart w:id="105" w:name="OLE_LINK11"/>
            <w:r/>
            <w:bookmarkStart w:id="106" w:name="OLE_LINK10"/>
            <w:r>
              <w:rPr>
                <w:rFonts w:hint="eastAsia" w:ascii="Times New Roman" w:hAnsi="Times New Roman"/>
                <w:szCs w:val="21"/>
                <w:highlight w:val="none"/>
              </w:rPr>
              <w:t xml:space="preserve">较好的得3分，一般得1分，较差不得分</w:t>
            </w:r>
            <w:bookmarkEnd w:id="105"/>
            <w:r/>
            <w:bookmarkEnd w:id="106"/>
            <w:r>
              <w:rPr>
                <w:rFonts w:hint="eastAsia" w:ascii="Times New Roman" w:hAnsi="Times New Roman"/>
                <w:szCs w:val="21"/>
                <w:highlight w:val="none"/>
              </w:rPr>
              <w:t xml:space="preserve">），有效性（较好的得3分，一般得1分，较差不得分），持续改进情况（较好的得3分，一般得1分，较差不得分）进行打分；未提供不得分。</w:t>
            </w:r>
            <w:r/>
          </w:p>
        </w:tc>
      </w:tr>
      <w:tr>
        <w:trPr>
          <w:jc w:val="center"/>
          <w:trHeight w:val="866"/>
        </w:trPr>
        <w:tc>
          <w:tcPr>
            <w:tcW w:w="853" w:type="dxa"/>
            <w:vAlign w:val="center"/>
            <w:textDirection w:val="lrTb"/>
            <w:noWrap/>
          </w:tcPr>
          <w:p>
            <w:pPr>
              <w:rPr>
                <w:rFonts w:ascii="Times New Roman" w:hAnsi="Times New Roman"/>
                <w:highlight w:val="none"/>
              </w:rPr>
            </w:pPr>
            <w:r>
              <w:rPr>
                <w:rFonts w:ascii="Times New Roman" w:hAnsi="Times New Roman"/>
                <w:highlight w:val="none"/>
              </w:rPr>
              <w:t xml:space="preserve">服务响应与其他</w:t>
            </w:r>
            <w:r/>
          </w:p>
        </w:tc>
        <w:tc>
          <w:tcPr>
            <w:tcW w:w="709" w:type="dxa"/>
            <w:vAlign w:val="center"/>
            <w:textDirection w:val="lrTb"/>
            <w:noWrap/>
          </w:tcPr>
          <w:p>
            <w:pPr>
              <w:rPr>
                <w:rFonts w:ascii="Times New Roman" w:hAnsi="Times New Roman"/>
                <w:highlight w:val="none"/>
              </w:rPr>
            </w:pPr>
            <w:r>
              <w:rPr>
                <w:rFonts w:ascii="Times New Roman" w:hAnsi="Times New Roman"/>
                <w:highlight w:val="none"/>
              </w:rPr>
              <w:t xml:space="preserve">10分</w:t>
            </w:r>
            <w:r/>
          </w:p>
        </w:tc>
        <w:tc>
          <w:tcPr>
            <w:tcW w:w="8125" w:type="dxa"/>
            <w:vAlign w:val="center"/>
            <w:textDirection w:val="lrTb"/>
            <w:noWrap/>
          </w:tcPr>
          <w:p>
            <w:pPr>
              <w:spacing w:line="320" w:lineRule="exact"/>
              <w:rPr>
                <w:rFonts w:ascii="Times New Roman" w:hAnsi="Times New Roman"/>
                <w:b/>
                <w:bCs/>
                <w:szCs w:val="21"/>
                <w:highlight w:val="none"/>
              </w:rPr>
            </w:pPr>
            <w:r>
              <w:rPr>
                <w:rFonts w:hint="eastAsia" w:ascii="Times New Roman" w:hAnsi="Times New Roman"/>
                <w:b/>
                <w:bCs/>
                <w:szCs w:val="21"/>
                <w:highlight w:val="none"/>
              </w:rPr>
              <w:t xml:space="preserve">1、能保证做出的服务优先级（3分）：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投标人需对以下事项作出承诺或声明：</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（1）保证检测工作真实有效，不弄虚作假。</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（2）保证检测工作符合相关技术规范、标准，发现瑕疵妥善处理。</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（3）接受南通市生态环境局、南通市生态环境监测站的质量监督、检查，就服务内容及时提交报告、原始记录、合同等相关材料。</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4</w:t>
            </w:r>
            <w:r>
              <w:rPr>
                <w:rFonts w:hint="eastAsia" w:ascii="Times New Roman" w:hAnsi="Times New Roman"/>
                <w:szCs w:val="21"/>
                <w:highlight w:val="none"/>
              </w:rPr>
              <w:t xml:space="preserve">）当出现异常时，保证第一时间能开展加密监测等工作，并快速出具报告。</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5</w:t>
            </w:r>
            <w:r>
              <w:rPr>
                <w:rFonts w:hint="eastAsia" w:ascii="Times New Roman" w:hAnsi="Times New Roman"/>
                <w:szCs w:val="21"/>
                <w:highlight w:val="none"/>
              </w:rPr>
              <w:t xml:space="preserve">）</w:t>
            </w:r>
            <w:r>
              <w:rPr>
                <w:rFonts w:ascii="Times New Roman" w:hAnsi="Times New Roman"/>
                <w:szCs w:val="21"/>
                <w:highlight w:val="none"/>
              </w:rPr>
              <w:t xml:space="preserve">将严格按照招标</w:t>
            </w:r>
            <w:r>
              <w:rPr>
                <w:rFonts w:hint="eastAsia" w:ascii="Times New Roman" w:hAnsi="Times New Roman"/>
                <w:szCs w:val="21"/>
                <w:highlight w:val="none"/>
              </w:rPr>
              <w:t xml:space="preserve">人</w:t>
            </w:r>
            <w:r>
              <w:rPr>
                <w:rFonts w:ascii="Times New Roman" w:hAnsi="Times New Roman"/>
                <w:szCs w:val="21"/>
                <w:highlight w:val="none"/>
              </w:rPr>
              <w:t xml:space="preserve">及项目实际需求，保质、保量、按时完成全部服务工作，确保项目顺利实施。</w:t>
            </w:r>
            <w:r/>
          </w:p>
          <w:p>
            <w:pPr>
              <w:spacing w:line="320" w:lineRule="exact"/>
              <w:rPr>
                <w:rFonts w:ascii="Times New Roman" w:hAnsi="Times New Roman"/>
                <w:szCs w:val="21"/>
                <w:highlight w:val="none"/>
              </w:rPr>
            </w:pPr>
            <w:r>
              <w:rPr>
                <w:rFonts w:hint="eastAsia" w:ascii="Times New Roman" w:hAnsi="Times New Roman"/>
                <w:szCs w:val="21"/>
                <w:highlight w:val="none"/>
              </w:rPr>
              <w:t xml:space="preserve">注：以上内容未提供不得分，有任一项缺失不得分。</w:t>
            </w:r>
            <w:r/>
          </w:p>
          <w:p>
            <w:pPr>
              <w:spacing w:line="320" w:lineRule="exact"/>
              <w:rPr>
                <w:rFonts w:ascii="Times New Roman" w:hAnsi="Times New Roman"/>
                <w:szCs w:val="21"/>
                <w:highlight w:val="none"/>
              </w:rPr>
            </w:pPr>
            <w:r>
              <w:rPr>
                <w:rFonts w:hint="eastAsia" w:ascii="Times New Roman" w:hAnsi="Times New Roman"/>
                <w:b/>
                <w:bCs/>
                <w:szCs w:val="21"/>
                <w:highlight w:val="none"/>
              </w:rPr>
              <w:t xml:space="preserve">2、保证服务响应快速（2分）：</w:t>
            </w:r>
            <w:r>
              <w:rPr>
                <w:rFonts w:hint="eastAsia" w:ascii="Times New Roman" w:hAnsi="Times New Roman"/>
                <w:szCs w:val="21"/>
                <w:highlight w:val="none"/>
              </w:rPr>
              <w:t xml:space="preserve">提供服务内容满足时限要求，必要时能在节假日和夜间加班。由评委根据投标方提供接收到指令后各环节流程图（1分），节假日、夜间值班机制（含车辆）（1分）两个方面进行打分。未提供不得分。</w:t>
            </w:r>
            <w:r/>
          </w:p>
          <w:p>
            <w:pPr>
              <w:spacing w:line="300" w:lineRule="exact"/>
              <w:rPr>
                <w:rFonts w:ascii="Times New Roman" w:hAnsi="Times New Roman"/>
                <w:szCs w:val="21"/>
                <w:highlight w:val="none"/>
              </w:rPr>
            </w:pPr>
            <w:r>
              <w:rPr>
                <w:rFonts w:hint="eastAsia" w:ascii="Times New Roman" w:hAnsi="Times New Roman"/>
                <w:b/>
                <w:szCs w:val="21"/>
                <w:highlight w:val="none"/>
              </w:rPr>
              <w:t xml:space="preserve">3、应急监测保障（</w:t>
            </w:r>
            <w:r>
              <w:rPr>
                <w:rFonts w:ascii="Times New Roman" w:hAnsi="Times New Roman"/>
                <w:b/>
                <w:szCs w:val="21"/>
                <w:highlight w:val="none"/>
              </w:rPr>
              <w:t xml:space="preserve">2</w:t>
            </w:r>
            <w:r>
              <w:rPr>
                <w:rFonts w:hint="eastAsia" w:ascii="Times New Roman" w:hAnsi="Times New Roman"/>
                <w:b/>
                <w:szCs w:val="21"/>
                <w:highlight w:val="none"/>
              </w:rPr>
              <w:t xml:space="preserve">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年以来，参与的突发事件应急监测实例，1次得0.5分，最高得</w:t>
            </w:r>
            <w:r>
              <w:rPr>
                <w:rFonts w:ascii="Times New Roman" w:hAnsi="Times New Roman"/>
                <w:szCs w:val="21"/>
                <w:highlight w:val="none"/>
              </w:rPr>
              <w:t xml:space="preserve">2</w:t>
            </w:r>
            <w:r>
              <w:rPr>
                <w:rFonts w:hint="eastAsia" w:ascii="Times New Roman" w:hAnsi="Times New Roman"/>
                <w:szCs w:val="21"/>
                <w:highlight w:val="none"/>
              </w:rPr>
              <w:t xml:space="preserve">分。需提供实例的应急监测报告、事发地生态环境局证明材料等，未提供不得分。</w:t>
            </w:r>
            <w:r/>
          </w:p>
          <w:p>
            <w:pPr>
              <w:spacing w:line="320" w:lineRule="exact"/>
              <w:rPr>
                <w:rFonts w:ascii="Times New Roman" w:hAnsi="Times New Roman"/>
                <w:highlight w:val="none"/>
              </w:rPr>
            </w:pPr>
            <w:r>
              <w:rPr>
                <w:rFonts w:hint="eastAsia" w:ascii="Times New Roman" w:hAnsi="Times New Roman"/>
                <w:b/>
                <w:bCs/>
                <w:szCs w:val="21"/>
                <w:highlight w:val="none"/>
              </w:rPr>
              <w:t xml:space="preserve">4、能力扩项情况（3分）：</w:t>
            </w:r>
            <w:r>
              <w:rPr>
                <w:rFonts w:hint="eastAsia" w:ascii="Times New Roman" w:hAnsi="Times New Roman"/>
                <w:szCs w:val="21"/>
                <w:highlight w:val="none"/>
              </w:rPr>
              <w:t xml:space="preserve">202</w:t>
            </w:r>
            <w:r>
              <w:rPr>
                <w:rFonts w:ascii="Times New Roman" w:hAnsi="Times New Roman"/>
                <w:szCs w:val="21"/>
                <w:highlight w:val="none"/>
              </w:rPr>
              <w:t xml:space="preserve">4</w:t>
            </w:r>
            <w:r>
              <w:rPr>
                <w:rFonts w:hint="eastAsia" w:ascii="Times New Roman" w:hAnsi="Times New Roman"/>
                <w:szCs w:val="21"/>
                <w:highlight w:val="none"/>
              </w:rPr>
              <w:t xml:space="preserve">年以来组织开展检测能力扩项并取得资质的（每次取得资质不得少于50项），每1次得1分，最高</w:t>
            </w:r>
            <w:r>
              <w:rPr>
                <w:rFonts w:ascii="Times New Roman" w:hAnsi="Times New Roman"/>
                <w:szCs w:val="21"/>
                <w:highlight w:val="none"/>
              </w:rPr>
              <w:t xml:space="preserve">3</w:t>
            </w:r>
            <w:r>
              <w:rPr>
                <w:rFonts w:hint="eastAsia" w:ascii="Times New Roman" w:hAnsi="Times New Roman"/>
                <w:szCs w:val="21"/>
                <w:highlight w:val="none"/>
              </w:rPr>
              <w:t xml:space="preserve">分（需提供每次不符合项整改报告以及批准的能力附表等相关资料，未提供或缺项不得分）。</w:t>
            </w:r>
            <w:r/>
          </w:p>
        </w:tc>
      </w:tr>
    </w:tbl>
    <w:p>
      <w:pPr>
        <w:jc w:val="left"/>
        <w:spacing w:line="520" w:lineRule="exact"/>
        <w:rPr>
          <w:rFonts w:hint="eastAsia" w:ascii="Times New Roman" w:hAnsi="Times New Roman" w:eastAsia="仿宋_GB2312"/>
          <w:b/>
          <w:bCs/>
          <w:sz w:val="28"/>
          <w:szCs w:val="36"/>
          <w:highlight w:val="none"/>
        </w:rPr>
      </w:pPr>
      <w:r/>
      <w:bookmarkStart w:id="107" w:name="_Hlk226482800"/>
      <w:r>
        <w:rPr>
          <w:rFonts w:hint="eastAsia" w:ascii="Times New Roman" w:hAnsi="Times New Roman" w:eastAsia="仿宋_GB2312"/>
          <w:b/>
          <w:bCs/>
          <w:sz w:val="28"/>
          <w:szCs w:val="36"/>
          <w:highlight w:val="none"/>
        </w:rPr>
        <w:t xml:space="preserve">包</w:t>
      </w:r>
      <w:r>
        <w:rPr>
          <w:rFonts w:hint="eastAsia" w:eastAsia="仿宋_GB2312"/>
          <w:b/>
          <w:bCs/>
          <w:sz w:val="28"/>
          <w:szCs w:val="36"/>
          <w:highlight w:val="none"/>
          <w:lang w:val="en-US" w:eastAsia="zh-CN"/>
        </w:rPr>
        <w:t xml:space="preserve">2</w:t>
      </w:r>
      <w:r>
        <w:rPr>
          <w:rFonts w:hint="eastAsia" w:ascii="Times New Roman" w:hAnsi="Times New Roman" w:eastAsia="仿宋_GB2312"/>
          <w:b/>
          <w:bCs/>
          <w:sz w:val="28"/>
          <w:szCs w:val="36"/>
          <w:highlight w:val="none"/>
        </w:rPr>
        <w:t xml:space="preserve">：</w:t>
      </w:r>
      <w:bookmarkEnd w:id="107"/>
      <w:r/>
      <w:r/>
    </w:p>
    <w:tbl>
      <w:tblPr>
        <w:tblStyle w:val="869"/>
        <w:tblpPr w:horzAnchor="page" w:tblpXSpec="center" w:vertAnchor="text" w:tblpY="493" w:leftFromText="180" w:topFromText="0" w:rightFromText="180" w:bottomFromText="0"/>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713"/>
        <w:gridCol w:w="7827"/>
      </w:tblGrid>
      <w:tr>
        <w:trPr>
          <w:jc w:val="center"/>
          <w:trHeight w:val="374"/>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spacing w:line="300" w:lineRule="exact"/>
              <w:rPr>
                <w:rFonts w:ascii="Times New Roman" w:hAnsi="Times New Roman"/>
                <w:b/>
                <w:highlight w:val="none"/>
              </w:rPr>
            </w:pPr>
            <w:r>
              <w:rPr>
                <w:rFonts w:ascii="Times New Roman" w:hAnsi="Times New Roman"/>
                <w:b/>
                <w:highlight w:val="none"/>
              </w:rPr>
              <w:t xml:space="preserve">评审</w:t>
            </w:r>
            <w:r/>
          </w:p>
          <w:p>
            <w:pPr>
              <w:jc w:val="center"/>
              <w:spacing w:line="300" w:lineRule="exact"/>
              <w:rPr>
                <w:rFonts w:ascii="Times New Roman" w:hAnsi="Times New Roman"/>
                <w:b/>
                <w:highlight w:val="none"/>
              </w:rPr>
            </w:pPr>
            <w:r>
              <w:rPr>
                <w:rFonts w:ascii="Times New Roman" w:hAnsi="Times New Roman"/>
                <w:b/>
                <w:highlight w:val="none"/>
              </w:rPr>
              <w:t xml:space="preserve">因素</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b/>
                <w:highlight w:val="none"/>
              </w:rPr>
            </w:pPr>
            <w:r>
              <w:rPr>
                <w:rFonts w:ascii="Times New Roman" w:hAnsi="Times New Roman"/>
                <w:b/>
                <w:highlight w:val="none"/>
              </w:rPr>
              <w:t xml:space="preserve">分值</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jc w:val="center"/>
              <w:rPr>
                <w:rFonts w:ascii="Times New Roman" w:hAnsi="Times New Roman"/>
                <w:b/>
                <w:highlight w:val="none"/>
              </w:rPr>
            </w:pPr>
            <w:r>
              <w:rPr>
                <w:rFonts w:ascii="Times New Roman" w:hAnsi="Times New Roman"/>
                <w:b/>
                <w:highlight w:val="none"/>
              </w:rPr>
              <w:t xml:space="preserve">评分标准</w:t>
            </w:r>
            <w:r/>
          </w:p>
        </w:tc>
      </w:tr>
      <w:tr>
        <w:trPr>
          <w:jc w:val="center"/>
          <w:trHeight w:val="1240"/>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团队实力及业绩</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13分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1、团队实力（4分）：</w:t>
            </w:r>
            <w:r>
              <w:rPr>
                <w:rFonts w:hint="eastAsia" w:ascii="Times New Roman" w:hAnsi="Times New Roman"/>
                <w:szCs w:val="21"/>
                <w:highlight w:val="none"/>
              </w:rPr>
              <w:t xml:space="preserve">服务本项目团队中拥有环境类或化工类高级工程师得1分；团队中拥有环境类或化工类工程师职数，每2个得1分，最高得3分。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2、人员要求（6分）：</w:t>
            </w:r>
            <w:r>
              <w:rPr>
                <w:rFonts w:hint="eastAsia" w:ascii="Times New Roman" w:hAnsi="Times New Roman"/>
                <w:szCs w:val="21"/>
                <w:highlight w:val="none"/>
              </w:rPr>
              <w:t xml:space="preserve">项目团队参与人员专业同时覆盖环境类、生物类、化学类等专业本科及以上学历的得2分，缺1类专业该项不得分；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项目组成员应能熟练操作尾气检测设备，具有柴油车和非道路移动机械尾气检测的上岗证或培训合格证，每个得 1分，最高2分（提供上岗证或培训合格证复印件加盖供应商公章）；</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项目组成员中每具备一个A2驾照人员的得1分，每具备一个具有A1驾照人员的得2分，本项最高得2分。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注：以上项目团队需提供技术人员的劳动合同和社保缴纳证明（必须体现个人姓名及缴纳单位信息，近半年任意一个月））；提供相关证书复印件并加盖供应商公章，原件备查；</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3</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rPr>
                <w:rFonts w:hint="eastAsia" w:ascii="Times New Roman" w:hAnsi="Times New Roman"/>
                <w:szCs w:val="21"/>
                <w:highlight w:val="none"/>
              </w:rPr>
              <w:t xml:space="preserve">未提供证明材料或材料提供不全不得分。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3、主要业绩（3分）：</w:t>
            </w:r>
            <w:r>
              <w:rPr>
                <w:rFonts w:hint="eastAsia" w:ascii="Times New Roman" w:hAnsi="Times New Roman"/>
                <w:szCs w:val="21"/>
                <w:highlight w:val="none"/>
              </w:rPr>
              <w:t xml:space="preserve"> 供应商自2024年以来（以合同签订日期为准）承担过机动车或非道路移动机械尾气检测项目，每个得1分，本项最高得3分。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4</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注：1.需提供业绩合同首页、盖章页及表明工作范围内容有效页证明文件的复印件并加盖公章，否则不得分。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2.合同签订时间在 202</w:t>
            </w:r>
            <w:r>
              <w:rPr>
                <w:rFonts w:ascii="Times New Roman" w:hAnsi="Times New Roman"/>
                <w:szCs w:val="21"/>
                <w:highlight w:val="none"/>
              </w:rPr>
              <w:t xml:space="preserve">4</w:t>
            </w:r>
            <w:r>
              <w:rPr>
                <w:rFonts w:hint="eastAsia" w:ascii="Times New Roman" w:hAnsi="Times New Roman"/>
                <w:szCs w:val="21"/>
                <w:highlight w:val="none"/>
              </w:rPr>
              <w:t xml:space="preserve">年1 月1 日至投标截止日之间，项目内容与本项目采购的监测服务内容、技术要求相匹配，供应商已完成合同履约。</w:t>
            </w:r>
            <w:r/>
          </w:p>
        </w:tc>
      </w:tr>
      <w:tr>
        <w:trPr>
          <w:jc w:val="center"/>
          <w:trHeight w:val="5705"/>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实验室能力</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27分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1、实验室面积（4分）：</w:t>
            </w:r>
            <w:r>
              <w:rPr>
                <w:rFonts w:hint="eastAsia" w:ascii="Times New Roman" w:hAnsi="Times New Roman"/>
                <w:szCs w:val="21"/>
                <w:highlight w:val="none"/>
              </w:rPr>
              <w:t xml:space="preserve">拥有独立的实验室，根据实验室面积大小综合比较打分。须提供房产证明或房屋租赁合同、实验室平面图等相关材料。</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1500平米≤实验室面积＜2000平米得2分；2000平米≤实验室面积＜4000平米得3分；4000平米≤实验室面积得4分；未提供相关材料不得分。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2、实验室仪器装备（8分）：</w:t>
            </w:r>
            <w:r>
              <w:rPr>
                <w:rFonts w:hint="eastAsia" w:ascii="Times New Roman" w:hAnsi="Times New Roman"/>
                <w:szCs w:val="21"/>
                <w:highlight w:val="none"/>
              </w:rPr>
              <w:t xml:space="preserve">具有以下实验室仪器设备（气相色谱质谱联用仪、全自动有机样品提取装置、液相色谱仪、气相色谱仪、离子色谱仪、电感耦合等离子体光谱仪、石墨炉原子吸收光谱仪、红外烟气测试仪）中的8项得6分，7-6项得3分，5-4项得1分，其他不得分。具有尾气检测设备，包括不透光烟度计、滤光片、环境参数仪、振动转速器，同时具有的得2分，缺一项不得分。须提供设备发票或设备使用权证明文件，未提供相应资料的仪器设备不得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5</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3、能力项目（15分）：</w:t>
            </w:r>
            <w:r>
              <w:rPr>
                <w:rFonts w:hint="eastAsia" w:ascii="Times New Roman" w:hAnsi="Times New Roman"/>
                <w:szCs w:val="21"/>
                <w:highlight w:val="none"/>
              </w:rPr>
              <w:t xml:space="preserve">资质认定附表中同时包含水、气、土壤和沉积物、非道路移动机械和机动车排放4小类能力的得3分，缺1项不得分；具备海水、固废、水生生物、加油站/储油库大气污染物排放、煤质能力，有1类得1分，最高4分。通过省市场监督管理局资质认定的环境、水质领域检测能力项目数（以方法计），200项以下不得分，以200为基准得2分，每增加50项加1分，最高加6分；以省市场监督管理局批准的能力表为准，未提供或非省市场监督管理批准的能力表不得分。</w:t>
            </w:r>
            <w:r>
              <w:rPr>
                <w:rFonts w:hint="default" w:ascii="Times New Roman" w:hAnsi="Times New Roman" w:cs="Times New Roman"/>
                <w:b/>
                <w:bCs/>
                <w:sz w:val="21"/>
                <w:szCs w:val="21"/>
                <w:highlight w:val="none"/>
              </w:rPr>
              <w:t xml:space="preserve">请按照附件</w:t>
            </w:r>
            <w:r>
              <w:rPr>
                <w:rFonts w:hint="default" w:ascii="Times New Roman" w:hAnsi="Times New Roman" w:cs="Times New Roman"/>
                <w:b/>
                <w:bCs/>
                <w:sz w:val="21"/>
                <w:szCs w:val="21"/>
                <w:highlight w:val="none"/>
                <w:lang w:val="en-US" w:eastAsia="zh-CN"/>
              </w:rPr>
              <w:t xml:space="preserve">1</w:t>
            </w:r>
            <w:r>
              <w:rPr>
                <w:rFonts w:hint="eastAsia" w:cs="Times New Roman"/>
                <w:b/>
                <w:bCs/>
                <w:sz w:val="21"/>
                <w:szCs w:val="21"/>
                <w:highlight w:val="none"/>
                <w:lang w:val="en-US" w:eastAsia="zh-CN"/>
              </w:rPr>
              <w:t xml:space="preserve">6</w:t>
            </w:r>
            <w:r>
              <w:rPr>
                <w:rFonts w:hint="default" w:ascii="Times New Roman" w:hAnsi="Times New Roman" w:cs="Times New Roman"/>
                <w:b/>
                <w:bCs/>
                <w:sz w:val="21"/>
                <w:szCs w:val="21"/>
                <w:highlight w:val="none"/>
              </w:rPr>
              <w:t xml:space="preserve">格式列表汇总</w:t>
            </w:r>
            <w:r>
              <w:rPr>
                <w:rFonts w:hint="default" w:ascii="Times New Roman" w:hAnsi="Times New Roman" w:cs="Times New Roman"/>
                <w:b/>
                <w:bCs/>
                <w:sz w:val="21"/>
                <w:szCs w:val="21"/>
                <w:highlight w:val="none"/>
                <w:lang w:eastAsia="zh-CN"/>
              </w:rPr>
              <w:t xml:space="preserve">。</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注：相关检测能力表述以最新的检验检测机构资质认定评审要求为准。</w:t>
            </w:r>
            <w:r/>
          </w:p>
        </w:tc>
      </w:tr>
      <w:tr>
        <w:trPr>
          <w:jc w:val="center"/>
          <w:trHeight w:val="913"/>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方案与报告编制</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9分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1、工作方案评审（2分）：</w:t>
            </w:r>
            <w:r>
              <w:rPr>
                <w:rFonts w:hint="eastAsia" w:ascii="Times New Roman" w:hAnsi="Times New Roman"/>
                <w:szCs w:val="21"/>
                <w:highlight w:val="none"/>
              </w:rPr>
              <w:t xml:space="preserve">针对</w:t>
            </w:r>
            <w:r>
              <w:rPr>
                <w:rFonts w:hint="eastAsia"/>
                <w:szCs w:val="21"/>
                <w:highlight w:val="none"/>
                <w:lang w:eastAsia="zh-CN"/>
              </w:rPr>
              <w:t xml:space="preserve">包</w:t>
            </w:r>
            <w:r>
              <w:rPr>
                <w:rFonts w:hint="eastAsia"/>
                <w:szCs w:val="21"/>
                <w:highlight w:val="none"/>
                <w:lang w:val="en-US" w:eastAsia="zh-CN"/>
              </w:rPr>
              <w:t xml:space="preserve">2</w:t>
            </w:r>
            <w:r>
              <w:rPr>
                <w:rFonts w:hint="eastAsia" w:ascii="Times New Roman" w:hAnsi="Times New Roman"/>
                <w:szCs w:val="21"/>
                <w:highlight w:val="none"/>
              </w:rPr>
              <w:t xml:space="preserve">项目需求，提供202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投标方认为最能代表单位业务水平的常规监测工作方案1份，由评委根据工作方案的编制质量进行综合评定，结合方案的复杂程度（0.5分），方案的完整性（0.5分），方案的可操作性（0.5分），要素覆盖的全面性（0.5分）四个方面进行打分。未提供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2、应急监测方案评审（2分）：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年度以来，投标方认为最能代表单位业务水平的突发事件应急监测方案1份：由评委根据方案的编制质量，从方案的完整性、合理性、规范性等方面进行综合评定，较好得2分；一般得1分；较差或未提供不得分。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3、监测报告评审（5分）：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年度以来，最能代表投标方业务</w:t>
            </w:r>
            <w:r>
              <w:rPr>
                <w:rFonts w:hint="eastAsia" w:ascii="Times New Roman" w:hAnsi="Times New Roman"/>
                <w:szCs w:val="21"/>
                <w:highlight w:val="none"/>
              </w:rPr>
              <w:t xml:space="preserve">水平的监测成果报告5份（其中监测成果报告水、气、声、土、应急监测各1份，包括监测方案、现场监测原始记录、分析原始记录以及成果报告等相关的资料；必须为实际开展的检测工作），由评委根据报告的编制质量进行综合评定，结合报告的难易程度（较难的得1分，一般得0.5分，较差不得分），报告的规范性（较好的得1分，一般得0.5分，较差不得分），报告引用标准和结论评价的准确性（较好的得1分，一般得0.5分，较差不得分），原始记录及附件支撑材料的规范性（较好的得2分，一般得0.5分，较差不得分）进行打分；缺1份报告该项不得分。</w:t>
            </w:r>
            <w:r/>
          </w:p>
        </w:tc>
      </w:tr>
      <w:tr>
        <w:trPr>
          <w:jc w:val="center"/>
          <w:trHeight w:val="487"/>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质量管理体系运行情况</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11分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00" w:lineRule="exact"/>
              <w:rPr>
                <w:rFonts w:ascii="Times New Roman" w:hAnsi="Times New Roman"/>
                <w:szCs w:val="21"/>
                <w:highlight w:val="none"/>
              </w:rPr>
            </w:pPr>
            <w:r>
              <w:rPr>
                <w:rFonts w:hint="eastAsia" w:ascii="Times New Roman" w:hAnsi="Times New Roman"/>
                <w:szCs w:val="21"/>
                <w:highlight w:val="none"/>
              </w:rPr>
              <w:t xml:space="preserve">投标方须提供现行有效的质量手册</w:t>
            </w:r>
            <w:r>
              <w:rPr>
                <w:rFonts w:hint="eastAsia" w:ascii="Times New Roman" w:hAnsi="Times New Roman"/>
                <w:szCs w:val="21"/>
                <w:highlight w:val="none"/>
                <w:lang w:eastAsia="zh-CN"/>
              </w:rPr>
              <w:t xml:space="preserve">目录</w:t>
            </w:r>
            <w:r>
              <w:rPr>
                <w:rFonts w:hint="eastAsia" w:ascii="Times New Roman" w:hAnsi="Times New Roman"/>
                <w:szCs w:val="21"/>
                <w:highlight w:val="none"/>
              </w:rPr>
              <w:t xml:space="preserve">、程序文件</w:t>
            </w:r>
            <w:r>
              <w:rPr>
                <w:rFonts w:hint="eastAsia" w:ascii="Times New Roman" w:hAnsi="Times New Roman"/>
                <w:szCs w:val="21"/>
                <w:highlight w:val="none"/>
                <w:lang w:eastAsia="zh-CN"/>
              </w:rPr>
              <w:t xml:space="preserve">目录</w:t>
            </w:r>
            <w:r>
              <w:rPr>
                <w:rFonts w:hint="eastAsia" w:ascii="Times New Roman" w:hAnsi="Times New Roman"/>
                <w:szCs w:val="21"/>
                <w:highlight w:val="none"/>
              </w:rPr>
              <w:t xml:space="preserve">、表格表单目录、2026年度质量控制措施、2026年度业务培训计划，2026年度参加能力验证、测量审核计划，2026年</w:t>
            </w:r>
            <w:r>
              <w:rPr>
                <w:rFonts w:hint="eastAsia" w:ascii="Times New Roman" w:hAnsi="Times New Roman"/>
                <w:szCs w:val="21"/>
                <w:highlight w:val="none"/>
              </w:rPr>
              <w:t xml:space="preserve">度检测能力扩项计划，2026年度监测仪器周期检定/校准计划，2026年度量值溯源和期间核查计划以及最近1次的内审、管理评审记录等进行综合评定，评委将根据《检验检测机构资质认定评审准则》《检验检测机构资质认定生态环境监测机构评审补充要求（2025 年）》等相关要求，对提供材料的完整程度（较完整的得2分，一般得0.5分，较差不得分），适用性（较好的得3分，一般得1.5分，较差不得分），有效性（较好的得3分，一般得1.5分，较差不得分），持续改进情况（较好的得3分，一般得1分，较差不得分）进行打分；未提供不得分。</w:t>
            </w:r>
            <w:r/>
          </w:p>
        </w:tc>
      </w:tr>
      <w:tr>
        <w:trPr>
          <w:jc w:val="center"/>
          <w:trHeight w:val="882"/>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服务响应与其他</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10分</w:t>
            </w:r>
            <w:r/>
          </w:p>
        </w:tc>
        <w:tc>
          <w:tcPr>
            <w:tcBorders>
              <w:top w:val="single" w:color="auto" w:sz="4" w:space="0"/>
              <w:left w:val="single" w:color="auto" w:sz="4" w:space="0"/>
              <w:bottom w:val="single" w:color="auto" w:sz="4" w:space="0"/>
              <w:right w:val="single" w:color="auto" w:sz="4" w:space="0"/>
            </w:tcBorders>
            <w:tcW w:w="7827" w:type="dxa"/>
            <w:vAlign w:val="center"/>
            <w:textDirection w:val="lrTb"/>
            <w:noWrap w:val="false"/>
          </w:tcPr>
          <w:p>
            <w:pPr>
              <w:spacing w:line="300" w:lineRule="exact"/>
              <w:rPr>
                <w:rFonts w:ascii="Times New Roman" w:hAnsi="Times New Roman"/>
                <w:b/>
                <w:bCs/>
                <w:szCs w:val="21"/>
                <w:highlight w:val="none"/>
              </w:rPr>
            </w:pPr>
            <w:r>
              <w:rPr>
                <w:rFonts w:hint="eastAsia" w:ascii="Times New Roman" w:hAnsi="Times New Roman"/>
                <w:b/>
                <w:bCs/>
                <w:szCs w:val="21"/>
                <w:highlight w:val="none"/>
              </w:rPr>
              <w:t xml:space="preserve">1、能保证做出的服务优先级（3分）：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投标人需对以下事项作出承诺或声明：</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（1）保证检测工作真实有效，不弄虚作假。</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（2）保证检测工作符合相关技术规范、标准，发现瑕疵妥善处理。</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3</w:t>
            </w:r>
            <w:r>
              <w:rPr>
                <w:rFonts w:hint="eastAsia" w:ascii="Times New Roman" w:hAnsi="Times New Roman"/>
                <w:szCs w:val="21"/>
                <w:highlight w:val="none"/>
              </w:rPr>
              <w:t xml:space="preserve">）接受南通市生态环境局、南通市生态环境监测站的质量监督、检查，就服务内容及时提交报告、原始记录、合同等相关材料。</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4</w:t>
            </w:r>
            <w:r>
              <w:rPr>
                <w:rFonts w:hint="eastAsia" w:ascii="Times New Roman" w:hAnsi="Times New Roman"/>
                <w:szCs w:val="21"/>
                <w:highlight w:val="none"/>
              </w:rPr>
              <w:t xml:space="preserve">）当出现异常时，保证第一时间能开展加密监测等工作，并快速出具报告。</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w:t>
            </w:r>
            <w:r>
              <w:rPr>
                <w:rFonts w:ascii="Times New Roman" w:hAnsi="Times New Roman"/>
                <w:szCs w:val="21"/>
                <w:highlight w:val="none"/>
              </w:rPr>
              <w:t xml:space="preserve">5</w:t>
            </w:r>
            <w:r>
              <w:rPr>
                <w:rFonts w:hint="eastAsia" w:ascii="Times New Roman" w:hAnsi="Times New Roman"/>
                <w:szCs w:val="21"/>
                <w:highlight w:val="none"/>
              </w:rPr>
              <w:t xml:space="preserve">）</w:t>
            </w:r>
            <w:r>
              <w:rPr>
                <w:rFonts w:ascii="Times New Roman" w:hAnsi="Times New Roman"/>
                <w:szCs w:val="21"/>
                <w:highlight w:val="none"/>
              </w:rPr>
              <w:t xml:space="preserve">将严格按照招标</w:t>
            </w:r>
            <w:r>
              <w:rPr>
                <w:rFonts w:hint="eastAsia" w:ascii="Times New Roman" w:hAnsi="Times New Roman"/>
                <w:szCs w:val="21"/>
                <w:highlight w:val="none"/>
              </w:rPr>
              <w:t xml:space="preserve">人</w:t>
            </w:r>
            <w:r>
              <w:rPr>
                <w:rFonts w:ascii="Times New Roman" w:hAnsi="Times New Roman"/>
                <w:szCs w:val="21"/>
                <w:highlight w:val="none"/>
              </w:rPr>
              <w:t xml:space="preserve">及项目实际需求，保质、保量、按时完成全部服务工作，确保项目顺利实施。</w:t>
            </w:r>
            <w:r/>
          </w:p>
          <w:p>
            <w:pPr>
              <w:spacing w:line="300" w:lineRule="exact"/>
              <w:rPr>
                <w:rFonts w:ascii="Times New Roman" w:hAnsi="Times New Roman"/>
                <w:szCs w:val="21"/>
                <w:highlight w:val="none"/>
              </w:rPr>
            </w:pPr>
            <w:r>
              <w:rPr>
                <w:rFonts w:hint="eastAsia" w:ascii="Times New Roman" w:hAnsi="Times New Roman"/>
                <w:szCs w:val="21"/>
                <w:highlight w:val="none"/>
              </w:rPr>
              <w:t xml:space="preserve">注：以上内容未提供不得分，有任一项缺失不得分。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2、保证服务响应快速（2分）：</w:t>
            </w:r>
            <w:r>
              <w:rPr>
                <w:rFonts w:hint="eastAsia" w:ascii="Times New Roman" w:hAnsi="Times New Roman"/>
                <w:szCs w:val="21"/>
                <w:highlight w:val="none"/>
              </w:rPr>
              <w:t xml:space="preserve">提供服务内容满足时限要求，必要时能在节假日和夜间加班。由评委根据投标方提供接收到指令后各环节流程图（1分），节假日、夜间值班机制（含车辆）（1分）两个方面进行打分。未提供不得分。</w:t>
            </w:r>
            <w:r/>
          </w:p>
          <w:p>
            <w:pPr>
              <w:spacing w:line="300" w:lineRule="exact"/>
              <w:rPr>
                <w:rFonts w:ascii="Times New Roman" w:hAnsi="Times New Roman"/>
                <w:szCs w:val="21"/>
                <w:highlight w:val="none"/>
              </w:rPr>
            </w:pPr>
            <w:r>
              <w:rPr>
                <w:rFonts w:hint="eastAsia" w:ascii="Times New Roman" w:hAnsi="Times New Roman"/>
                <w:b/>
                <w:szCs w:val="21"/>
                <w:highlight w:val="none"/>
              </w:rPr>
              <w:t xml:space="preserve">3、应急监测保障（</w:t>
            </w:r>
            <w:r>
              <w:rPr>
                <w:rFonts w:ascii="Times New Roman" w:hAnsi="Times New Roman"/>
                <w:b/>
                <w:szCs w:val="21"/>
                <w:highlight w:val="none"/>
              </w:rPr>
              <w:t xml:space="preserve">2</w:t>
            </w:r>
            <w:r>
              <w:rPr>
                <w:rFonts w:hint="eastAsia" w:ascii="Times New Roman" w:hAnsi="Times New Roman"/>
                <w:b/>
                <w:szCs w:val="21"/>
                <w:highlight w:val="none"/>
              </w:rPr>
              <w:t xml:space="preserve">分）</w:t>
            </w:r>
            <w:r>
              <w:rPr>
                <w:rFonts w:hint="eastAsia" w:ascii="Times New Roman" w:hAnsi="Times New Roman"/>
                <w:szCs w:val="21"/>
                <w:highlight w:val="none"/>
              </w:rPr>
              <w:t xml:space="preserve">：提供202</w:t>
            </w:r>
            <w:r>
              <w:rPr>
                <w:rFonts w:ascii="Times New Roman" w:hAnsi="Times New Roman"/>
                <w:szCs w:val="21"/>
                <w:highlight w:val="none"/>
              </w:rPr>
              <w:t xml:space="preserve">4</w:t>
            </w:r>
            <w:r>
              <w:rPr>
                <w:rFonts w:hint="eastAsia" w:ascii="Times New Roman" w:hAnsi="Times New Roman"/>
                <w:szCs w:val="21"/>
                <w:highlight w:val="none"/>
              </w:rPr>
              <w:t xml:space="preserve">年以来，参与的突发事件应急监测实例，1次得0.5分，最高得</w:t>
            </w:r>
            <w:r>
              <w:rPr>
                <w:rFonts w:ascii="Times New Roman" w:hAnsi="Times New Roman"/>
                <w:szCs w:val="21"/>
                <w:highlight w:val="none"/>
              </w:rPr>
              <w:t xml:space="preserve">2</w:t>
            </w:r>
            <w:r>
              <w:rPr>
                <w:rFonts w:hint="eastAsia" w:ascii="Times New Roman" w:hAnsi="Times New Roman"/>
                <w:szCs w:val="21"/>
                <w:highlight w:val="none"/>
              </w:rPr>
              <w:t xml:space="preserve">分。需提供实例的应急监测报告、事发地生态环境局证明材料等，未提供不得分。</w:t>
            </w:r>
            <w:r/>
          </w:p>
          <w:p>
            <w:pPr>
              <w:spacing w:line="300" w:lineRule="exact"/>
              <w:rPr>
                <w:rFonts w:ascii="Times New Roman" w:hAnsi="Times New Roman"/>
                <w:szCs w:val="21"/>
                <w:highlight w:val="none"/>
              </w:rPr>
            </w:pPr>
            <w:r>
              <w:rPr>
                <w:rFonts w:hint="eastAsia" w:ascii="Times New Roman" w:hAnsi="Times New Roman"/>
                <w:b/>
                <w:bCs/>
                <w:szCs w:val="21"/>
                <w:highlight w:val="none"/>
              </w:rPr>
              <w:t xml:space="preserve">4、能力扩项情况（</w:t>
            </w:r>
            <w:r>
              <w:rPr>
                <w:rFonts w:ascii="Times New Roman" w:hAnsi="Times New Roman"/>
                <w:b/>
                <w:bCs/>
                <w:szCs w:val="21"/>
                <w:highlight w:val="none"/>
              </w:rPr>
              <w:t xml:space="preserve">3</w:t>
            </w:r>
            <w:r>
              <w:rPr>
                <w:rFonts w:hint="eastAsia" w:ascii="Times New Roman" w:hAnsi="Times New Roman"/>
                <w:b/>
                <w:bCs/>
                <w:szCs w:val="21"/>
                <w:highlight w:val="none"/>
              </w:rPr>
              <w:t xml:space="preserve">分）：</w:t>
            </w:r>
            <w:r>
              <w:rPr>
                <w:rFonts w:hint="eastAsia" w:ascii="Times New Roman" w:hAnsi="Times New Roman"/>
                <w:szCs w:val="21"/>
                <w:highlight w:val="none"/>
              </w:rPr>
              <w:t xml:space="preserve">202</w:t>
            </w:r>
            <w:r>
              <w:rPr>
                <w:rFonts w:ascii="Times New Roman" w:hAnsi="Times New Roman"/>
                <w:szCs w:val="21"/>
                <w:highlight w:val="none"/>
              </w:rPr>
              <w:t xml:space="preserve">4</w:t>
            </w:r>
            <w:r>
              <w:rPr>
                <w:rFonts w:hint="eastAsia" w:ascii="Times New Roman" w:hAnsi="Times New Roman"/>
                <w:szCs w:val="21"/>
                <w:highlight w:val="none"/>
              </w:rPr>
              <w:t xml:space="preserve">年以来组织开展检测能力扩项并取得资质的（每次取得资质不得少于50项），每1次得1分，最高</w:t>
            </w:r>
            <w:r>
              <w:rPr>
                <w:rFonts w:ascii="Times New Roman" w:hAnsi="Times New Roman"/>
                <w:szCs w:val="21"/>
                <w:highlight w:val="none"/>
              </w:rPr>
              <w:t xml:space="preserve">3</w:t>
            </w:r>
            <w:r>
              <w:rPr>
                <w:rFonts w:hint="eastAsia" w:ascii="Times New Roman" w:hAnsi="Times New Roman"/>
                <w:szCs w:val="21"/>
                <w:highlight w:val="none"/>
              </w:rPr>
              <w:t xml:space="preserve">分（需提供每次不符合项整改报告以及批准的能力附表等相关资料，未提供或缺项不得分）。</w:t>
            </w:r>
            <w:r/>
          </w:p>
        </w:tc>
      </w:tr>
    </w:tbl>
    <w:p>
      <w:pPr>
        <w:ind w:firstLine="420"/>
        <w:jc w:val="left"/>
        <w:shd w:val="clear" w:color="auto" w:fill="ffffff"/>
        <w:widowControl/>
        <w:rPr>
          <w:rFonts w:ascii="Times New Roman" w:hAnsi="Times New Roman"/>
          <w:b/>
          <w:szCs w:val="24"/>
          <w:highlight w:val="none"/>
        </w:rPr>
      </w:pPr>
      <w:r>
        <w:rPr>
          <w:rFonts w:ascii="Times New Roman" w:hAnsi="Times New Roman"/>
          <w:b/>
          <w:szCs w:val="24"/>
          <w:highlight w:val="none"/>
        </w:rPr>
      </w:r>
      <w:r/>
    </w:p>
    <w:p>
      <w:pPr>
        <w:ind w:firstLine="420"/>
        <w:jc w:val="left"/>
        <w:shd w:val="clear" w:color="auto" w:fill="ffffff"/>
        <w:widowControl/>
        <w:rPr>
          <w:rFonts w:ascii="Times New Roman" w:hAnsi="Times New Roman" w:eastAsia="仿宋"/>
          <w:b/>
          <w:sz w:val="22"/>
          <w:highlight w:val="none"/>
        </w:rPr>
      </w:pPr>
      <w:r>
        <w:rPr>
          <w:rFonts w:ascii="Times New Roman" w:hAnsi="Times New Roman"/>
          <w:b/>
          <w:szCs w:val="24"/>
          <w:highlight w:val="none"/>
        </w:rPr>
        <w:t xml:space="preserve">注：</w:t>
      </w:r>
      <w:r>
        <w:rPr>
          <w:rFonts w:ascii="Times New Roman" w:hAnsi="Times New Roman"/>
          <w:b/>
          <w:sz w:val="21"/>
          <w:szCs w:val="21"/>
          <w:highlight w:val="none"/>
        </w:rPr>
        <w:t xml:space="preserve">评标办法中涉及人员证书、业绩合同等证明材料，如为复印件均须加盖供应商公章，否则该项不得分</w:t>
      </w:r>
      <w:r>
        <w:rPr>
          <w:rFonts w:ascii="Times New Roman" w:hAnsi="Times New Roman"/>
          <w:b/>
          <w:color w:val="000000"/>
          <w:sz w:val="21"/>
          <w:szCs w:val="21"/>
          <w:highlight w:val="none"/>
        </w:rPr>
        <w:t xml:space="preserve">。</w:t>
      </w:r>
      <w:r>
        <w:rPr>
          <w:rFonts w:ascii="Times New Roman" w:hAnsi="Times New Roman"/>
          <w:b/>
          <w:sz w:val="21"/>
          <w:szCs w:val="21"/>
          <w:highlight w:val="none"/>
        </w:rPr>
        <w:t xml:space="preserve">上述涉及可政府或行业协会官网查询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rPr>
          <w:rFonts w:ascii="Times New Roman" w:hAnsi="Times New Roman" w:eastAsia="仿宋"/>
          <w:b/>
          <w:sz w:val="22"/>
          <w:highlight w:val="none"/>
        </w:rPr>
        <w:t xml:space="preserve">。</w:t>
      </w:r>
      <w:r/>
    </w:p>
    <w:p>
      <w:pPr>
        <w:ind w:firstLine="440"/>
        <w:jc w:val="left"/>
        <w:shd w:val="clear" w:color="auto" w:fill="ffffff"/>
        <w:widowControl/>
        <w:rPr>
          <w:rFonts w:hint="eastAsia" w:ascii="Times New Roman" w:hAnsi="Times New Roman" w:eastAsia="仿宋"/>
          <w:b/>
          <w:sz w:val="22"/>
          <w:highlight w:val="none"/>
        </w:rPr>
      </w:pPr>
      <w:r>
        <w:rPr>
          <w:rFonts w:hint="eastAsia" w:ascii="Times New Roman" w:hAnsi="Times New Roman" w:eastAsia="仿宋"/>
          <w:b/>
          <w:sz w:val="22"/>
          <w:highlight w:val="none"/>
        </w:rPr>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（二）报价分：（</w:t>
      </w:r>
      <w:r>
        <w:rPr>
          <w:rFonts w:hint="eastAsia" w:ascii="仿宋" w:hAnsi="仿宋" w:eastAsia="仿宋" w:cs="仿宋"/>
          <w:b/>
          <w:sz w:val="28"/>
          <w:szCs w:val="28"/>
          <w:highlight w:val="none"/>
          <w:lang w:val="en-US" w:eastAsia="zh-CN"/>
        </w:rPr>
        <w:t xml:space="preserve">30</w:t>
      </w:r>
      <w:r>
        <w:rPr>
          <w:rFonts w:hint="eastAsia" w:ascii="仿宋" w:hAnsi="仿宋" w:eastAsia="仿宋" w:cs="仿宋"/>
          <w:b/>
          <w:sz w:val="28"/>
          <w:szCs w:val="28"/>
          <w:highlight w:val="none"/>
        </w:rPr>
        <w:t xml:space="preserve">分）</w:t>
      </w:r>
      <w:r/>
    </w:p>
    <w:p>
      <w:pPr>
        <w:ind w:firstLine="480"/>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b/>
          <w:bCs/>
          <w:sz w:val="28"/>
          <w:szCs w:val="28"/>
          <w:highlight w:val="none"/>
          <w:lang w:val="en-US" w:eastAsia="zh-CN"/>
        </w:rPr>
        <w:t xml:space="preserve">综合评分法中的价格分统一采用低价优先法计算，即满足磋商文件要求且最后报价最低（统一优惠率最高）的供应商的价格为磋商基准价，其价格分为满分。其他供应商的价格分统一按照下列公式计算：</w:t>
      </w:r>
      <w:r/>
    </w:p>
    <w:p>
      <w:pPr>
        <w:ind w:firstLine="480"/>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磋商报价得分=（（1-评标基准价）/（1-最后磋商报价））×权重×100</w:t>
      </w:r>
      <w:r/>
    </w:p>
    <w:p>
      <w:pPr>
        <w:ind w:firstLine="482"/>
        <w:spacing w:line="360" w:lineRule="auto"/>
        <w:rPr>
          <w:rFonts w:hint="eastAsia" w:eastAsia="宋体" w:cs="宋体"/>
          <w:b/>
          <w:color w:val="000000"/>
          <w:sz w:val="24"/>
          <w:szCs w:val="24"/>
          <w:highlight w:val="none"/>
        </w:rPr>
        <w:outlineLvl w:val="0"/>
      </w:pPr>
      <w:r>
        <w:rPr>
          <w:rFonts w:hint="eastAsia" w:eastAsia="宋体" w:cs="宋体"/>
          <w:b/>
          <w:color w:val="000000"/>
          <w:sz w:val="24"/>
          <w:szCs w:val="24"/>
          <w:highlight w:val="none"/>
        </w:rPr>
        <w:t xml:space="preserve">2、针对响应价格异常低价的审查</w:t>
      </w:r>
      <w:r/>
    </w:p>
    <w:p>
      <w:pPr>
        <w:pStyle w:val="882"/>
        <w:ind w:left="0" w:right="0" w:firstLine="645"/>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（一）采购人应当在采购文件中明确，政府采购评审中出现下列情形之一的，评审委员会应当启动异常低价投标（响应）审查程序：</w:t>
      </w:r>
      <w:r/>
    </w:p>
    <w:p>
      <w:pPr>
        <w:pStyle w:val="882"/>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1.投标（响应）报价低于全部通过符合性审查供应商投标（响应）报价平均值50%的，即投标（响应）报价&lt;全部通过符合性审查供应商投标（响应）报价平均值×50%；</w:t>
      </w:r>
      <w:r/>
    </w:p>
    <w:p>
      <w:pPr>
        <w:pStyle w:val="882"/>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2.投标（响应）报价低于通过符合性审查的次低报价供应商投标（响应）报价50%的，即投标（响应）报价&lt;通过符合性审查的次低报价供应商投标（响应）报价×50%；</w:t>
      </w:r>
      <w:r/>
    </w:p>
    <w:p>
      <w:pPr>
        <w:pStyle w:val="882"/>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3.投标（响应）报价低于采购项目最高限价45%的，即投标（响应）报价&lt;采购项目最高限价×45%；</w:t>
      </w:r>
      <w:r/>
    </w:p>
    <w:p>
      <w:pPr>
        <w:ind w:firstLine="480"/>
        <w:jc w:val="left"/>
        <w:spacing w:line="580" w:lineRule="exact"/>
        <w:rPr>
          <w:rFonts w:hint="eastAsia" w:ascii="Calibri" w:hAnsi="Calibri" w:eastAsia="宋体" w:cs="Calibri"/>
          <w:i w:val="0"/>
          <w:iCs w:val="0"/>
          <w:caps w:val="0"/>
          <w:color w:val="333333"/>
          <w:spacing w:val="0"/>
          <w:sz w:val="21"/>
          <w:szCs w:val="21"/>
          <w:highlight w:val="none"/>
          <w:lang w:eastAsia="zh-CN"/>
        </w:rPr>
      </w:pPr>
      <w:r>
        <w:rPr>
          <w:rFonts w:hint="eastAsia" w:ascii="宋体" w:hAnsi="宋体" w:eastAsia="宋体" w:cs="宋体"/>
          <w:i w:val="0"/>
          <w:iCs w:val="0"/>
          <w:caps w:val="0"/>
          <w:color w:val="333333"/>
          <w:spacing w:val="0"/>
          <w:sz w:val="24"/>
          <w:szCs w:val="24"/>
          <w:highlight w:val="none"/>
          <w:shd w:val="clear" w:color="auto" w:fill="ffffff"/>
        </w:rPr>
        <w:t xml:space="preserve">4.评审委员会基于专业判断，认为供应商报价过低，有可能影响产品质量或者不能诚信履约的其他情形。</w:t>
      </w:r>
      <w:r/>
    </w:p>
    <w:p>
      <w:pPr>
        <w:pStyle w:val="882"/>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相关法律法规对供应商报价有规定的，从其规定。</w:t>
      </w:r>
      <w:r/>
    </w:p>
    <w:p>
      <w:pPr>
        <w:pStyle w:val="882"/>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82"/>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2"/>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82"/>
        <w:ind w:left="0" w:right="0" w:firstLine="645"/>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4"/>
        </w:numPr>
        <w:ind w:firstLine="560"/>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政府采购政策功能落实</w:t>
      </w:r>
      <w:r/>
    </w:p>
    <w:p>
      <w:pPr>
        <w:numPr>
          <w:ilvl w:val="0"/>
          <w:numId w:val="0"/>
        </w:numPr>
        <w:ind w:firstLine="560"/>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注：本项目为专门面向中小企业采购不再享受价格扣除优惠。</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1.小微型企业价格扣除</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（1）本项目对小型和微型企业产品给予10%的扣除价格，用扣除后的价格参与评审。</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（2）供应商需按照采购文件的要求提供相应的《小型、微型企业声明函》。</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（3）企业标准请参照《关于印发中小企业划型标准规定的通知》（工信部联企业[2011]300号）文件规定自行填写。</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2.残疾人福利单位价格扣除</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（1）本项目对残疾人福利性单位视同小型、微型企业，给予10%的价格扣除，用扣除后的价格参与评审。</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（2）残疾人福利单位需按照采购文件的要求提供《残疾人福利性单位声明函》。</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（3）残疾人福利单位标准请参照《关于促进残疾人就业政府采购政策的通知》（财库〔2017〕141号）。</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3.监狱和戒毒企业价格扣除</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（1）本项目对监狱和戒毒企业（简称监狱企业）视同小型、微型企业，给予10%的价格扣除，用扣除后的价格参与评审。</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（3）监狱企业标准请参照《关于政府采购支持监狱企业发展有关问题的通知》（财库[2014]68号）。</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4.残疾人福利单位、监狱企业属于小型、微型企业的，不重复享受政策。</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6.联合体各方均为小型、微型企业（残疾人福利单位、监狱企业）的，联合体享受6%价格扣除，用扣除后的价格参与评审。</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7.根据《江苏省政府采购信用管理暂行办法》的规定，对有失信行为的供应商将根据信用评价结果按规定予以扣分或价格加成。</w:t>
      </w:r>
      <w:r/>
    </w:p>
    <w:p>
      <w:pPr>
        <w:ind w:firstLine="482"/>
        <w:spacing w:line="360" w:lineRule="auto"/>
        <w:rPr>
          <w:rFonts w:hint="eastAsia" w:ascii="仿宋" w:hAnsi="仿宋" w:eastAsia="仿宋" w:cs="仿宋"/>
          <w:bCs/>
          <w:sz w:val="28"/>
          <w:szCs w:val="28"/>
          <w:highlight w:val="none"/>
        </w:rPr>
      </w:pPr>
      <w:r>
        <w:rPr>
          <w:rFonts w:hint="eastAsia" w:ascii="仿宋" w:hAnsi="仿宋" w:eastAsia="仿宋" w:cs="仿宋"/>
          <w:b/>
          <w:sz w:val="28"/>
          <w:szCs w:val="28"/>
          <w:highlight w:val="none"/>
        </w:rPr>
        <w:t xml:space="preserve">（四）成交供应商的确定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2.磋商评审时，评委对评审的细则若有争议，由磋商小组集体讨论确定，并对未尽情况有最终解释权。</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3.对落标的供应商不做落标原因的解释。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4.采购人委托磋商小组直接确定排名第一的成交候选人为成交供应商。</w:t>
      </w:r>
      <w:r/>
    </w:p>
    <w:p>
      <w:pPr>
        <w:ind w:firstLine="4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（五）公告成交结果</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自确定成交供应商之日起2个工作日内，在江苏政府采购网公告成交结果，公告期限为1个工作日。</w:t>
      </w:r>
      <w:r/>
    </w:p>
    <w:p>
      <w:pPr>
        <w:ind w:firstLine="482"/>
        <w:spacing w:line="360" w:lineRule="auto"/>
        <w:tabs>
          <w:tab w:val="left" w:pos="6555" w:leader="none"/>
          <w:tab w:val="right" w:pos="8306" w:leader="none"/>
        </w:tabs>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（六） 出现下列情形之一的，作无效响应处理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1.同一供应商提交两个（含两个）以上不同的响应报价的。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2.不具备磋商文件中规定的资格要求的。 </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3.响应报价超过了采购预算或最高限价的。 </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4.未通过符合性检查的。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5.不符合法律、法规和磋商文件中规定的其他实质性要求的。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7.响应文件含有采购人不能接受的附加条件的。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10.响应文件未按照磋商文件要求加盖电子签章。</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11.供应商的商务技术部分得分相差悬殊，磋商小组一致认为得分畸低者有可能影响产品质量或者不能诚信履约的。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12.供应商在系统规定的时间内未成功解密电子响应文件的。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13.供应商在规定的时间内未提交最终报价的。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14.未完整上传响应文件电子文档的,或上传的文件打不开的。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15.不同的供应商响应文件制作机器码、文件创建标识码一致的。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16.其他法律、法规及本磋商文件规定的属无效响应的情形。</w:t>
      </w:r>
      <w:r/>
    </w:p>
    <w:p>
      <w:pPr>
        <w:ind w:firstLine="4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（七）出现下列情形之一的，本次竞争性磋商采购活动将被终止</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1.因情况变化，不再符合规定的竞争性磋商采购方式适用情形的。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2.出现影响采购公正的违法、违规行为的。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4.在苏采云系统规定时间内成功解密电子响应文件的供应商不足3家的。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5.因重大变故，采购任务取消的。</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6.磋商小组认定磋商文件存在歧义、重大缺陷导致评审工作无法进行。</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7.因系统故障原因造成磋商无法继续进行的。</w:t>
      </w:r>
      <w:r/>
    </w:p>
    <w:p>
      <w:pPr>
        <w:ind w:firstLine="482"/>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（八）其他</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ind w:firstLine="482"/>
        <w:spacing w:line="360" w:lineRule="auto"/>
        <w:rPr>
          <w:rFonts w:hint="eastAsia" w:ascii="仿宋" w:hAnsi="仿宋" w:eastAsia="仿宋" w:cs="仿宋"/>
          <w:b/>
          <w:sz w:val="28"/>
          <w:szCs w:val="28"/>
          <w:highlight w:val="none"/>
        </w:rPr>
        <w:sectPr>
          <w:footerReference w:type="default" r:id="rId14"/>
          <w:footerReference w:type="first" r:id="rId15"/>
          <w:footnotePr/>
          <w:endnotePr/>
          <w:type w:val="nextPage"/>
          <w:pgSz w:w="11906" w:h="16838" w:orient="portrait"/>
          <w:pgMar w:top="1440" w:right="1236" w:bottom="1440" w:left="1236" w:header="720" w:footer="720" w:gutter="170"/>
          <w:cols w:num="1" w:sep="0" w:space="720" w:equalWidth="1"/>
          <w:docGrid w:linePitch="360"/>
        </w:sectPr>
      </w:pPr>
      <w:r>
        <w:rPr>
          <w:rFonts w:hint="eastAsia" w:ascii="仿宋" w:hAnsi="仿宋" w:eastAsia="仿宋" w:cs="仿宋"/>
          <w:b/>
          <w:sz w:val="28"/>
          <w:szCs w:val="28"/>
          <w:highlight w:val="none"/>
        </w:rPr>
      </w:r>
      <w:r/>
    </w:p>
    <w:p>
      <w:pPr>
        <w:ind w:firstLine="723"/>
        <w:jc w:val="center"/>
        <w:spacing w:line="300" w:lineRule="auto"/>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t xml:space="preserve">第五章  合同及履约保证</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成交供应商和采购单位在接到《成交通知书》后三十日内签订合同。合同签订后成交供应商方可履约，否则引起的一切后果由成交人自行承担。纸质合同一式肆份，采购人、供应商各贰份。所签合同不得对采购文件作实质性修改。采购单位不得向成交供应商提出不合理的要求作为签订合同的条件，不得与成交供应商私下订立背离采购文件实质性内容的协议。</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采购人按合同约定积极配合成交供应商履约，成交供应商履约到位后，请以书面形式向采购单位提出验收申请，采购人接到申请后原则上在5个工作日内及时组织相关专业技术人员共同参与验收，并出具验收报告，验收合格的原则上5个工作日内支付相应款项。</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562"/>
        <w:jc w:val="left"/>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五、不响应付款方式的，视同响应文件无效处理。</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款项由采购人按相关财务支付规定办理支付手续。</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每次付款前，成交供应商须</w:t>
      </w:r>
      <w:r>
        <w:rPr>
          <w:rFonts w:hint="eastAsia" w:ascii="仿宋" w:hAnsi="仿宋" w:eastAsia="仿宋" w:cs="仿宋"/>
          <w:sz w:val="28"/>
          <w:szCs w:val="28"/>
          <w:highlight w:val="none"/>
        </w:rPr>
        <w:t xml:space="preserve">根据结算金额按国家有关财税规定开出合法发票交采购方办理付款手续。</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643"/>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clear="all"/>
      </w:r>
      <w:r/>
    </w:p>
    <w:p>
      <w:pPr>
        <w:ind w:firstLine="643"/>
        <w:jc w:val="center"/>
        <w:spacing w:line="360" w:lineRule="auto"/>
        <w:rPr>
          <w:rFonts w:hint="eastAsia" w:ascii="仿宋" w:hAnsi="仿宋" w:eastAsia="仿宋" w:cs="仿宋"/>
          <w:sz w:val="28"/>
          <w:szCs w:val="28"/>
          <w:highlight w:val="none"/>
        </w:rPr>
        <w:outlineLvl w:val="0"/>
      </w:pPr>
      <w:r>
        <w:rPr>
          <w:rFonts w:hint="eastAsia" w:ascii="仿宋" w:hAnsi="仿宋" w:eastAsia="仿宋" w:cs="仿宋"/>
          <w:b/>
          <w:sz w:val="32"/>
          <w:szCs w:val="32"/>
          <w:highlight w:val="none"/>
        </w:rPr>
        <w:t xml:space="preserve">第六章  响应文件组成及格式</w:t>
      </w:r>
      <w:r/>
    </w:p>
    <w:p>
      <w:pPr>
        <w:ind w:firstLine="562"/>
        <w:spacing w:line="360" w:lineRule="auto"/>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 xml:space="preserve">由资格审查证明文件、技术响应文件、价格文件</w:t>
      </w:r>
      <w:r>
        <w:rPr>
          <w:rFonts w:hint="eastAsia" w:ascii="仿宋" w:hAnsi="仿宋" w:eastAsia="仿宋" w:cs="仿宋"/>
          <w:b/>
          <w:bCs/>
          <w:sz w:val="28"/>
          <w:szCs w:val="28"/>
          <w:highlight w:val="none"/>
        </w:rPr>
        <w:t xml:space="preserve">三</w:t>
      </w:r>
      <w:r>
        <w:rPr>
          <w:rFonts w:hint="eastAsia" w:ascii="仿宋" w:hAnsi="仿宋" w:eastAsia="仿宋" w:cs="仿宋"/>
          <w:b/>
          <w:bCs/>
          <w:sz w:val="28"/>
          <w:szCs w:val="28"/>
          <w:highlight w:val="none"/>
          <w:lang w:val="zh-CN"/>
        </w:rPr>
        <w:t xml:space="preserve">部分组成。</w:t>
      </w:r>
      <w:r/>
    </w:p>
    <w:p>
      <w:pPr>
        <w:pStyle w:val="894"/>
        <w:contextualSpacing/>
        <w:ind w:firstLine="562"/>
        <w:spacing w:line="360" w:lineRule="auto"/>
        <w:rPr>
          <w:rFonts w:hint="eastAsia" w:ascii="仿宋" w:hAnsi="仿宋" w:eastAsia="仿宋" w:cs="仿宋"/>
          <w:b/>
          <w:bCs/>
          <w:sz w:val="28"/>
          <w:szCs w:val="28"/>
          <w:highlight w:val="none"/>
          <w:lang w:val="zh-CN"/>
        </w:rPr>
        <w:outlineLvl w:val="1"/>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val="zh-CN"/>
        </w:rPr>
        <w:t xml:space="preserve">资格审查证明文件（不能出现商务技术文件、价格文件）</w:t>
      </w:r>
      <w:r/>
    </w:p>
    <w:p>
      <w:pPr>
        <w:pStyle w:val="894"/>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1、关于资格的声明函；（格式详见附件）</w:t>
      </w:r>
      <w:r/>
    </w:p>
    <w:p>
      <w:pPr>
        <w:pStyle w:val="894"/>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2、法定代表人参加投标的，必须提供法定代表人身份证明及法定代表人本人身份证复印件；（格式详见附件）</w:t>
      </w:r>
      <w:r/>
    </w:p>
    <w:p>
      <w:pPr>
        <w:pStyle w:val="894"/>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非法定代表人参加投标的，必须提供法定代表人签名或盖章的授权委托书及</w:t>
      </w:r>
      <w:r>
        <w:rPr>
          <w:rFonts w:hint="eastAsia" w:ascii="仿宋" w:hAnsi="仿宋" w:eastAsia="仿宋" w:cs="仿宋"/>
          <w:b/>
          <w:color w:val="000000"/>
          <w:sz w:val="28"/>
          <w:szCs w:val="28"/>
          <w:highlight w:val="none"/>
        </w:rPr>
        <w:t xml:space="preserve">法定代表人和被授权人两人的身份证复印件</w:t>
      </w:r>
      <w:r>
        <w:rPr>
          <w:rFonts w:hint="eastAsia" w:ascii="仿宋" w:hAnsi="仿宋" w:eastAsia="仿宋" w:cs="仿宋"/>
          <w:color w:val="000000"/>
          <w:sz w:val="28"/>
          <w:szCs w:val="28"/>
          <w:highlight w:val="none"/>
        </w:rPr>
        <w:t xml:space="preserve">（格式详见附件）；</w:t>
      </w:r>
      <w:r/>
    </w:p>
    <w:p>
      <w:pPr>
        <w:pStyle w:val="894"/>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sz w:val="28"/>
          <w:szCs w:val="28"/>
          <w:highlight w:val="none"/>
        </w:rPr>
        <w:t xml:space="preserve">法人或者其他组织的</w:t>
      </w:r>
      <w:r>
        <w:rPr>
          <w:rFonts w:hint="eastAsia" w:ascii="仿宋" w:hAnsi="仿宋" w:eastAsia="仿宋" w:cs="仿宋"/>
          <w:color w:val="000000"/>
          <w:sz w:val="28"/>
          <w:szCs w:val="28"/>
          <w:highlight w:val="none"/>
        </w:rPr>
        <w:t xml:space="preserve">营业执照或事业单位法人证书；</w:t>
      </w:r>
      <w:r/>
    </w:p>
    <w:p>
      <w:pPr>
        <w:pStyle w:val="894"/>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4、供应商</w:t>
      </w:r>
      <w:r>
        <w:rPr>
          <w:rFonts w:hint="eastAsia" w:ascii="仿宋" w:hAnsi="仿宋" w:eastAsia="仿宋" w:cs="仿宋"/>
          <w:sz w:val="28"/>
          <w:szCs w:val="28"/>
          <w:highlight w:val="none"/>
        </w:rPr>
        <w:t xml:space="preserve">符合《政府采购法》第二十二条规定条件的声明函</w:t>
      </w:r>
      <w:r>
        <w:rPr>
          <w:rFonts w:hint="eastAsia" w:ascii="仿宋" w:hAnsi="仿宋" w:eastAsia="仿宋" w:cs="仿宋"/>
          <w:color w:val="000000"/>
          <w:sz w:val="28"/>
          <w:szCs w:val="28"/>
          <w:highlight w:val="none"/>
        </w:rPr>
        <w:t xml:space="preserve">；（格式详见附件）</w:t>
      </w:r>
      <w:r/>
    </w:p>
    <w:p>
      <w:pPr>
        <w:pStyle w:val="894"/>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bCs/>
          <w:sz w:val="28"/>
          <w:szCs w:val="28"/>
          <w:highlight w:val="none"/>
        </w:rPr>
        <w:t xml:space="preserve">参加采购活动前无失信记录的书面声明</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rPr>
        <w:t xml:space="preserve">（格式详见附件）</w:t>
      </w:r>
      <w:r/>
    </w:p>
    <w:p>
      <w:pPr>
        <w:pStyle w:val="894"/>
        <w:contextualSpacing/>
        <w:ind w:firstLine="560"/>
        <w:spacing w:line="360" w:lineRule="auto"/>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sz w:val="28"/>
          <w:szCs w:val="28"/>
          <w:highlight w:val="none"/>
        </w:rPr>
        <w:t xml:space="preserve">本项目的特定资格要求：</w:t>
      </w:r>
      <w:r/>
    </w:p>
    <w:p>
      <w:pPr>
        <w:pStyle w:val="894"/>
        <w:contextualSpacing/>
        <w:ind w:firstLine="562"/>
        <w:spacing w:line="360" w:lineRule="auto"/>
        <w:rPr>
          <w:rFonts w:hint="eastAsia" w:ascii="仿宋" w:hAnsi="仿宋" w:eastAsia="仿宋" w:cs="仿宋"/>
          <w:b/>
          <w:bCs w:val="0"/>
          <w:sz w:val="28"/>
          <w:szCs w:val="28"/>
          <w:highlight w:val="none"/>
          <w:lang w:eastAsia="zh-CN"/>
        </w:rPr>
      </w:pPr>
      <w:r>
        <w:rPr>
          <w:rFonts w:hint="eastAsia" w:ascii="仿宋" w:hAnsi="仿宋" w:eastAsia="仿宋" w:cs="仿宋"/>
          <w:b/>
          <w:bCs/>
          <w:sz w:val="28"/>
          <w:szCs w:val="28"/>
          <w:highlight w:val="none"/>
          <w:lang w:val="en-US" w:eastAsia="zh-CN"/>
        </w:rPr>
        <w:t xml:space="preserve">包1、</w:t>
      </w:r>
      <w:r>
        <w:rPr>
          <w:rFonts w:hint="eastAsia" w:ascii="仿宋" w:hAnsi="仿宋" w:eastAsia="仿宋" w:cs="仿宋"/>
          <w:b/>
          <w:bCs w:val="0"/>
          <w:sz w:val="28"/>
          <w:szCs w:val="28"/>
          <w:highlight w:val="none"/>
          <w:lang w:val="en-US" w:eastAsia="zh-CN"/>
        </w:rPr>
        <w:t xml:space="preserve">包2：</w:t>
      </w:r>
      <w:r>
        <w:rPr>
          <w:rFonts w:hint="eastAsia" w:ascii="仿宋" w:hAnsi="仿宋" w:eastAsia="仿宋" w:cs="仿宋"/>
          <w:b/>
          <w:bCs w:val="0"/>
          <w:sz w:val="28"/>
          <w:szCs w:val="28"/>
          <w:highlight w:val="none"/>
        </w:rPr>
        <w:t xml:space="preserve">（1）供应商须满足《生态环境监测条例》第二十八条第一款、第二款规定，且具有</w:t>
      </w:r>
      <w:r>
        <w:rPr>
          <w:rFonts w:hint="eastAsia" w:ascii="仿宋" w:hAnsi="仿宋" w:eastAsia="仿宋" w:cs="仿宋"/>
          <w:b/>
          <w:bCs/>
          <w:sz w:val="28"/>
          <w:szCs w:val="28"/>
          <w:highlight w:val="none"/>
          <w:lang w:eastAsia="zh-CN"/>
        </w:rPr>
        <w:t xml:space="preserve">有效期内的</w:t>
      </w:r>
      <w:r>
        <w:rPr>
          <w:rFonts w:hint="eastAsia" w:ascii="仿宋" w:hAnsi="仿宋" w:eastAsia="仿宋" w:cs="仿宋"/>
          <w:b/>
          <w:bCs w:val="0"/>
          <w:sz w:val="28"/>
          <w:szCs w:val="28"/>
          <w:highlight w:val="none"/>
        </w:rPr>
        <w:t xml:space="preserve">CMA资质认定证书</w:t>
      </w:r>
      <w:r>
        <w:rPr>
          <w:rFonts w:hint="eastAsia" w:ascii="仿宋" w:hAnsi="仿宋" w:eastAsia="仿宋" w:cs="仿宋"/>
          <w:b/>
          <w:bCs w:val="0"/>
          <w:sz w:val="28"/>
          <w:szCs w:val="28"/>
          <w:highlight w:val="none"/>
          <w:lang w:eastAsia="zh-CN"/>
        </w:rPr>
        <w:t xml:space="preserve">；</w:t>
      </w:r>
      <w:r/>
    </w:p>
    <w:p>
      <w:pPr>
        <w:pStyle w:val="894"/>
        <w:numPr>
          <w:ilvl w:val="0"/>
          <w:numId w:val="0"/>
        </w:numPr>
        <w:contextualSpacing/>
        <w:ind w:firstLine="562"/>
        <w:spacing w:line="360" w:lineRule="auto"/>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bidi="ar-SA"/>
        </w:rPr>
        <w:t xml:space="preserve">（2）</w:t>
      </w:r>
      <w:r>
        <w:rPr>
          <w:rFonts w:hint="eastAsia" w:ascii="仿宋" w:hAnsi="仿宋" w:eastAsia="仿宋" w:cs="仿宋"/>
          <w:b/>
          <w:bCs w:val="0"/>
          <w:sz w:val="28"/>
          <w:szCs w:val="28"/>
          <w:highlight w:val="none"/>
        </w:rPr>
        <w:t xml:space="preserve">拟派项目负责人为工程师或以上</w:t>
      </w:r>
      <w:r/>
    </w:p>
    <w:p>
      <w:pPr>
        <w:pStyle w:val="894"/>
        <w:numPr>
          <w:ilvl w:val="0"/>
          <w:numId w:val="0"/>
        </w:numPr>
        <w:contextualSpacing/>
        <w:ind w:firstLine="560"/>
        <w:spacing w:line="360" w:lineRule="auto"/>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color w:val="000000"/>
          <w:sz w:val="28"/>
          <w:szCs w:val="28"/>
          <w:highlight w:val="none"/>
        </w:rPr>
        <w:t xml:space="preserve">落实政府采购政策需满足的资格要求：</w:t>
      </w:r>
      <w:r>
        <w:rPr>
          <w:rFonts w:hint="eastAsia" w:ascii="仿宋" w:hAnsi="仿宋" w:eastAsia="仿宋" w:cs="仿宋"/>
          <w:color w:val="000000"/>
          <w:sz w:val="28"/>
          <w:szCs w:val="28"/>
          <w:highlight w:val="none"/>
          <w:lang w:val="en-US" w:eastAsia="zh-CN"/>
        </w:rPr>
        <w:t xml:space="preserve">包1、包2：</w:t>
      </w:r>
      <w:r>
        <w:rPr>
          <w:rFonts w:hint="eastAsia" w:ascii="仿宋" w:hAnsi="仿宋" w:eastAsia="仿宋" w:cs="仿宋"/>
          <w:b/>
          <w:sz w:val="28"/>
          <w:szCs w:val="28"/>
          <w:highlight w:val="none"/>
          <w:u w:val="single"/>
        </w:rPr>
        <w:t xml:space="preserve">属于专门面向中小企业采购的项目,供应商应为中小微企业、监狱企业或残疾人福利性单位，并按照采购文件要求提供《中小企业声明函》、《残疾人福利性单位声明函》或监狱和戒毒企业证明材料</w:t>
      </w:r>
      <w:r>
        <w:rPr>
          <w:rFonts w:hint="eastAsia" w:ascii="仿宋" w:hAnsi="仿宋" w:eastAsia="仿宋" w:cs="仿宋"/>
          <w:b/>
          <w:sz w:val="28"/>
          <w:szCs w:val="28"/>
          <w:highlight w:val="none"/>
          <w:u w:val="single"/>
          <w:lang w:eastAsia="zh-CN"/>
        </w:rPr>
        <w:t xml:space="preserve">。</w:t>
      </w:r>
      <w:r/>
    </w:p>
    <w:p>
      <w:pPr>
        <w:pStyle w:val="894"/>
        <w:contextualSpacing/>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en-US" w:eastAsia="zh-CN"/>
        </w:rPr>
        <w:t xml:space="preserve">8、其他资料</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rPr>
        <w:t xml:space="preserve">如采购</w:t>
      </w:r>
      <w:r>
        <w:rPr>
          <w:rFonts w:hint="eastAsia" w:ascii="仿宋" w:hAnsi="仿宋" w:eastAsia="仿宋" w:cs="仿宋"/>
          <w:sz w:val="28"/>
          <w:szCs w:val="28"/>
          <w:highlight w:val="none"/>
          <w:lang w:val="zh-CN"/>
        </w:rPr>
        <w:t xml:space="preserve">文件要求提供的资格审查证明材料中没有对应的接口上传的资料，可以在本部分的其他材料的接口中上传）</w:t>
      </w:r>
      <w:r/>
    </w:p>
    <w:p>
      <w:pPr>
        <w:pStyle w:val="894"/>
        <w:numPr>
          <w:ilvl w:val="0"/>
          <w:numId w:val="5"/>
        </w:numPr>
        <w:contextualSpacing/>
        <w:ind w:firstLine="562"/>
        <w:spacing w:line="360" w:lineRule="auto"/>
        <w:rPr>
          <w:rFonts w:hint="eastAsia" w:ascii="仿宋" w:hAnsi="仿宋" w:eastAsia="仿宋" w:cs="仿宋"/>
          <w:b/>
          <w:sz w:val="28"/>
          <w:szCs w:val="28"/>
          <w:highlight w:val="none"/>
          <w:lang w:val="zh-CN"/>
        </w:rPr>
        <w:outlineLvl w:val="1"/>
      </w:pPr>
      <w:r>
        <w:rPr>
          <w:rFonts w:hint="eastAsia" w:ascii="仿宋" w:hAnsi="仿宋" w:eastAsia="仿宋" w:cs="仿宋"/>
          <w:b/>
          <w:sz w:val="28"/>
          <w:szCs w:val="28"/>
          <w:highlight w:val="none"/>
          <w:lang w:val="zh-CN"/>
        </w:rPr>
        <w:t xml:space="preserve">商务响应文件（不能出现价格文件）</w:t>
      </w:r>
      <w:r/>
    </w:p>
    <w:p>
      <w:pPr>
        <w:ind w:firstLine="480"/>
        <w:spacing w:line="360" w:lineRule="auto"/>
        <w:rPr>
          <w:rFonts w:hint="eastAsia" w:ascii="仿宋" w:hAnsi="仿宋" w:eastAsia="仿宋" w:cs="仿宋"/>
          <w:b/>
          <w:sz w:val="28"/>
          <w:szCs w:val="28"/>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供应商应根据本磋商文件第三章“项目需求”提供的主要技术规范，服务要求标准等，仔细阅读并在理解的基础上结合第四章“评审方法和程序”内的评审细则，编写编制技术磋商响应文件。以下技术磋商响应文件的内容，不得有缺项或漏项。否则将有可能被视为未实质性响应磋商文件要求而作无效投磋商处理，或可能直接影响技术磋商评审的得分；</w:t>
      </w:r>
      <w:r/>
    </w:p>
    <w:p>
      <w:pPr>
        <w:pStyle w:val="894"/>
        <w:contextualSpacing/>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w:t>
      </w:r>
      <w:r>
        <w:rPr>
          <w:rFonts w:hint="eastAsia" w:ascii="仿宋" w:hAnsi="仿宋" w:eastAsia="仿宋" w:cs="仿宋"/>
          <w:color w:val="000000"/>
          <w:sz w:val="28"/>
          <w:szCs w:val="28"/>
          <w:highlight w:val="none"/>
        </w:rPr>
        <w:t xml:space="preserve">、</w:t>
      </w:r>
      <w:r>
        <w:rPr>
          <w:rFonts w:hint="eastAsia" w:ascii="仿宋" w:hAnsi="仿宋" w:eastAsia="仿宋" w:cs="仿宋"/>
          <w:bCs/>
          <w:sz w:val="28"/>
          <w:szCs w:val="28"/>
          <w:highlight w:val="none"/>
        </w:rPr>
        <w:t xml:space="preserve">磋商供应商情况一览表（格式详见附件）；</w:t>
      </w:r>
      <w:r/>
    </w:p>
    <w:p>
      <w:pPr>
        <w:pStyle w:val="894"/>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2、商务技术部分正负偏离表</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rPr>
        <w:t xml:space="preserve">（格式详见附件）</w:t>
      </w:r>
      <w:r/>
    </w:p>
    <w:p>
      <w:pPr>
        <w:pStyle w:val="894"/>
        <w:contextualSpacing/>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填制正负偏离表，完全响应的，请以空白表列示。不完全响应的，必须在偏离表中列示；列示不全的，视同故意隐瞒。</w:t>
      </w:r>
      <w:r/>
    </w:p>
    <w:p>
      <w:pPr>
        <w:pStyle w:val="894"/>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3、商务技术部分评标办法中要求提供的全部资料</w:t>
      </w:r>
      <w:r>
        <w:rPr>
          <w:rFonts w:hint="eastAsia" w:ascii="仿宋" w:hAnsi="仿宋" w:eastAsia="仿宋" w:cs="仿宋"/>
          <w:sz w:val="28"/>
          <w:szCs w:val="28"/>
          <w:highlight w:val="none"/>
        </w:rPr>
        <w:t xml:space="preserve">；</w:t>
      </w:r>
      <w:r/>
    </w:p>
    <w:p>
      <w:pPr>
        <w:pStyle w:val="894"/>
        <w:contextualSpacing/>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4、请供应商按评审办法中所涉及的事项顺序进行编制，可以补充相关材料</w:t>
      </w:r>
      <w:r>
        <w:rPr>
          <w:rFonts w:hint="eastAsia" w:ascii="仿宋" w:hAnsi="仿宋" w:eastAsia="仿宋" w:cs="仿宋"/>
          <w:sz w:val="28"/>
          <w:szCs w:val="28"/>
          <w:highlight w:val="none"/>
        </w:rPr>
        <w:t xml:space="preserve">；</w:t>
      </w:r>
      <w:r/>
    </w:p>
    <w:p>
      <w:pPr>
        <w:pStyle w:val="894"/>
        <w:contextualSpacing/>
        <w:ind w:firstLine="560"/>
        <w:spacing w:after="0" w:afterAutospacing="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5、评审办法中未涉及的事项，供应商认为需要提交的其他资料。</w:t>
      </w:r>
      <w:r/>
    </w:p>
    <w:p>
      <w:pPr>
        <w:pStyle w:val="894"/>
        <w:contextualSpacing/>
        <w:ind w:firstLine="560"/>
        <w:spacing w:line="360" w:lineRule="auto"/>
        <w:rPr>
          <w:rFonts w:hint="eastAsia" w:ascii="仿宋" w:hAnsi="仿宋" w:eastAsia="仿宋" w:cs="仿宋"/>
          <w:bCs/>
          <w:sz w:val="28"/>
          <w:szCs w:val="28"/>
          <w:highlight w:val="none"/>
          <w:lang w:val="zh-CN"/>
        </w:rPr>
      </w:pPr>
      <w:r>
        <w:rPr>
          <w:rFonts w:hint="eastAsia" w:ascii="仿宋" w:hAnsi="仿宋" w:eastAsia="仿宋" w:cs="仿宋"/>
          <w:bCs/>
          <w:sz w:val="28"/>
          <w:szCs w:val="28"/>
          <w:highlight w:val="none"/>
          <w:lang w:val="zh-CN"/>
        </w:rPr>
        <w:t xml:space="preserve">（</w:t>
      </w:r>
      <w:r>
        <w:rPr>
          <w:rFonts w:hint="eastAsia" w:ascii="仿宋" w:hAnsi="仿宋" w:eastAsia="仿宋" w:cs="仿宋"/>
          <w:bCs/>
          <w:sz w:val="28"/>
          <w:szCs w:val="28"/>
          <w:highlight w:val="none"/>
        </w:rPr>
        <w:t xml:space="preserve">如采购</w:t>
      </w:r>
      <w:r>
        <w:rPr>
          <w:rFonts w:hint="eastAsia" w:ascii="仿宋" w:hAnsi="仿宋" w:eastAsia="仿宋" w:cs="仿宋"/>
          <w:bCs/>
          <w:sz w:val="28"/>
          <w:szCs w:val="28"/>
          <w:highlight w:val="none"/>
          <w:lang w:val="zh-CN"/>
        </w:rPr>
        <w:t xml:space="preserve">文件要求提供的商务技术标材料中没有对应的接口上传的资料，可以在本部分的其他材料的接口中上传）</w:t>
      </w:r>
      <w:r/>
    </w:p>
    <w:p>
      <w:pPr>
        <w:ind w:firstLine="562"/>
        <w:spacing w:line="360" w:lineRule="auto"/>
        <w:rPr>
          <w:rFonts w:hint="eastAsia" w:ascii="仿宋" w:hAnsi="仿宋" w:eastAsia="仿宋" w:cs="仿宋"/>
          <w:b/>
          <w:bCs/>
          <w:sz w:val="28"/>
          <w:szCs w:val="28"/>
          <w:highlight w:val="none"/>
          <w:lang w:val="zh-CN"/>
        </w:rPr>
        <w:outlineLvl w:val="1"/>
      </w:pPr>
      <w:r>
        <w:rPr>
          <w:rFonts w:hint="eastAsia" w:ascii="仿宋" w:hAnsi="仿宋" w:eastAsia="仿宋" w:cs="仿宋"/>
          <w:b/>
          <w:bCs/>
          <w:sz w:val="28"/>
          <w:szCs w:val="28"/>
          <w:highlight w:val="none"/>
          <w:lang w:val="zh-CN"/>
        </w:rPr>
        <w:t xml:space="preserve">三、价格文件</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价格标包含：</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1、竞争性磋商响应函（格式详见附件）；</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2、磋商响应报价表；（格式详见附件）；</w:t>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3、磋商响应报价明细表（格式详见附件）。</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（如采购文件要求提供的价格标资料中没有对应的接口上传的资料可以在本部分的其他材料的接口中上传）</w:t>
      </w:r>
      <w:r/>
    </w:p>
    <w:p>
      <w:pPr>
        <w:ind w:firstLine="420"/>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560"/>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br w:type="page" w:clear="all"/>
      </w:r>
      <w:r/>
    </w:p>
    <w:p>
      <w:pPr>
        <w:ind w:firstLine="560"/>
        <w:spacing w:line="360" w:lineRule="auto"/>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附件1</w:t>
      </w:r>
      <w:r/>
    </w:p>
    <w:p>
      <w:pPr>
        <w:ind w:firstLine="482"/>
        <w:jc w:val="center"/>
        <w:spacing w:line="420" w:lineRule="exac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 关于资格的声明函</w:t>
      </w:r>
      <w:r/>
    </w:p>
    <w:p>
      <w:pPr>
        <w:ind w:firstLine="48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lang w:eastAsia="zh-CN"/>
        </w:rPr>
        <w:t xml:space="preserve">南通市生态环境监测站</w:t>
      </w:r>
      <w:r>
        <w:rPr>
          <w:rFonts w:hint="eastAsia" w:ascii="仿宋" w:hAnsi="仿宋" w:eastAsia="仿宋" w:cs="仿宋"/>
          <w:sz w:val="28"/>
          <w:szCs w:val="28"/>
          <w:highlight w:val="none"/>
          <w:u w:val="single"/>
        </w:rPr>
        <w:t xml:space="preserve">：</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本公司愿就由贵单位组织实施的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（采购项目名称及项目编号）的采购活动进行投标。本公司所提交的投标响应文件中所有关于投标资格的文件、证明和陈述均是真实的、准确的。若与真实情况不符，本公司愿意承担由此而产生的一切后果。</w:t>
      </w:r>
      <w:r/>
    </w:p>
    <w:p>
      <w:pPr>
        <w:pStyle w:val="884"/>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竞争性磋商响应单位：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（加盖公章）</w:t>
      </w:r>
      <w:r/>
    </w:p>
    <w:p>
      <w:pPr>
        <w:ind w:firstLine="280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法定代表人或被授权人：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（签字或盖章）</w:t>
      </w:r>
      <w:r/>
    </w:p>
    <w:p>
      <w:pPr>
        <w:ind w:firstLine="48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二〇二</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年      月     日</w:t>
      </w:r>
      <w:r/>
    </w:p>
    <w:p>
      <w:pPr>
        <w:pStyle w:val="884"/>
        <w:ind w:left="0" w:firstLine="42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b/>
          <w:bCs/>
          <w:sz w:val="28"/>
          <w:szCs w:val="28"/>
          <w:highlight w:val="none"/>
        </w:rPr>
        <w:t xml:space="preserve">2、法定代表人身份证明</w:t>
      </w:r>
      <w:r/>
    </w:p>
    <w:p>
      <w:pPr>
        <w:ind w:firstLine="480"/>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（法定代表人参加投标的提供）</w:t>
      </w:r>
      <w:r/>
    </w:p>
    <w:p>
      <w:pPr>
        <w:ind w:firstLine="480"/>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lang w:eastAsia="zh-CN"/>
        </w:rPr>
        <w:t xml:space="preserve">南通市生态环境监测站</w:t>
      </w:r>
      <w:r>
        <w:rPr>
          <w:rFonts w:hint="eastAsia" w:ascii="仿宋" w:hAnsi="仿宋" w:eastAsia="仿宋" w:cs="仿宋"/>
          <w:sz w:val="28"/>
          <w:szCs w:val="28"/>
          <w:highlight w:val="none"/>
          <w:u w:val="single"/>
        </w:rPr>
        <w:t xml:space="preserve">：</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我公司法定代表人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参加贵单位组织的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（竞争性磋商项目名称)项目的磋商活动，全权代表我公司处理该磋商活动的有关事宜。</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附：法定代表人情况：</w:t>
      </w:r>
      <w:r/>
    </w:p>
    <w:p>
      <w:pPr>
        <w:ind w:firstLine="48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身份证号码：</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手机：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单位名称（公章）             法定代表人（签字或盖章）</w:t>
      </w:r>
      <w:r/>
    </w:p>
    <w:p>
      <w:pPr>
        <w:ind w:firstLine="140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月   日                 年   月    日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法定代表人身份证复印件</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6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（粘贴此处）</w:t>
      </w:r>
      <w:r/>
    </w:p>
    <w:p>
      <w:pPr>
        <w:pStyle w:val="884"/>
        <w:ind w:left="0" w:firstLine="482"/>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w:t>
      </w:r>
      <w:r>
        <w:rPr>
          <w:rFonts w:hint="eastAsia" w:ascii="仿宋" w:hAnsi="仿宋" w:eastAsia="仿宋" w:cs="仿宋"/>
          <w:sz w:val="28"/>
          <w:szCs w:val="28"/>
          <w:highlight w:val="none"/>
        </w:rPr>
        <w:br w:type="page" w:clear="all"/>
      </w:r>
      <w:r>
        <w:rPr>
          <w:rFonts w:hint="eastAsia" w:ascii="仿宋" w:hAnsi="仿宋" w:eastAsia="仿宋" w:cs="仿宋"/>
          <w:b/>
          <w:bCs/>
          <w:sz w:val="28"/>
          <w:szCs w:val="28"/>
          <w:highlight w:val="none"/>
        </w:rPr>
        <w:t xml:space="preserve">3、授权委托书</w:t>
      </w:r>
      <w:r/>
    </w:p>
    <w:p>
      <w:pPr>
        <w:ind w:firstLine="480"/>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（委托代理人参加投标提供）</w:t>
      </w:r>
      <w:r/>
    </w:p>
    <w:p>
      <w:pPr>
        <w:ind w:firstLine="48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lang w:eastAsia="zh-CN"/>
        </w:rPr>
        <w:t xml:space="preserve">南通市生态环境监测站</w:t>
      </w:r>
      <w:r>
        <w:rPr>
          <w:rFonts w:hint="eastAsia" w:ascii="仿宋" w:hAnsi="仿宋" w:eastAsia="仿宋" w:cs="仿宋"/>
          <w:sz w:val="28"/>
          <w:szCs w:val="28"/>
          <w:highlight w:val="none"/>
          <w:u w:val="single"/>
        </w:rPr>
        <w:t xml:space="preserve">：</w:t>
      </w:r>
      <w:r/>
    </w:p>
    <w:p>
      <w:pPr>
        <w:ind w:left="1"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兹授权</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被授权人的姓名）代表我公司参加</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（竞争性磋商项目名称）项目的磋商活动，全权处理一切与该项目磋商有关的事务。其在办理上述事宜过程中所签署的所有文件我公司均予以承认。</w:t>
      </w:r>
      <w:r/>
    </w:p>
    <w:p>
      <w:pPr>
        <w:ind w:left="1"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被授权人无转委托权。特此委托。</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附：被授权人情况：</w:t>
      </w:r>
      <w:r/>
    </w:p>
    <w:p>
      <w:pPr>
        <w:ind w:firstLine="48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身份证号码：</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手机：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u w:val="singl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单位名称（公章）             法定代表人（签字或盖章）</w:t>
      </w:r>
      <w:r/>
    </w:p>
    <w:p>
      <w:pPr>
        <w:ind w:firstLine="140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月   日                 年   月    日  </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84"/>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法定代表人身份证复印件加盖公章</w:t>
      </w:r>
      <w:r/>
    </w:p>
    <w:p>
      <w:pPr>
        <w:ind w:firstLine="480"/>
        <w:jc w:val="center"/>
        <w:spacing w:line="520" w:lineRule="exact"/>
        <w:rPr>
          <w:rFonts w:hint="eastAsia" w:ascii="仿宋" w:hAnsi="仿宋" w:eastAsia="仿宋" w:cs="仿宋"/>
          <w:b/>
          <w:bCs/>
          <w:sz w:val="28"/>
          <w:szCs w:val="28"/>
          <w:highlight w:val="none"/>
        </w:rPr>
      </w:pPr>
      <w:r>
        <w:rPr>
          <w:rFonts w:hint="eastAsia" w:ascii="仿宋" w:hAnsi="仿宋" w:eastAsia="仿宋" w:cs="仿宋"/>
          <w:sz w:val="28"/>
          <w:szCs w:val="28"/>
          <w:highlight w:val="none"/>
        </w:rPr>
        <w:t xml:space="preserve">（粘贴此处）</w:t>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被授权人身份证复印件加盖公章</w:t>
      </w:r>
      <w:r/>
    </w:p>
    <w:p>
      <w:pPr>
        <w:ind w:firstLine="480"/>
        <w:jc w:val="cente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（粘贴此处）</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2"/>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w:t>
      </w:r>
      <w:r>
        <w:rPr>
          <w:rFonts w:hint="eastAsia" w:ascii="仿宋" w:hAnsi="仿宋" w:eastAsia="仿宋" w:cs="仿宋"/>
          <w:b/>
          <w:bCs/>
          <w:sz w:val="28"/>
          <w:szCs w:val="28"/>
          <w:highlight w:val="none"/>
        </w:rPr>
        <w:br w:type="page" w:clear="all"/>
      </w:r>
      <w:r>
        <w:rPr>
          <w:rFonts w:hint="eastAsia" w:ascii="仿宋" w:hAnsi="仿宋" w:eastAsia="仿宋" w:cs="仿宋"/>
          <w:b/>
          <w:bCs/>
          <w:sz w:val="28"/>
          <w:szCs w:val="28"/>
          <w:highlight w:val="none"/>
        </w:rPr>
        <w:t xml:space="preserve">4、投标人符合《政府采购法》第二十二条规定条件的声明函</w:t>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我单位参加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（项目编号）投标活动。针对《中华人民共和国政府采购法》第二十二条规定做出如下声明：</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1.我单位具有独立承担民事责任的能力；</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2.我单位具有良好的商业信誉和健全的财务会计制度；</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3.我单位具有履行合同所必需的设备和专业技术能力；</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4.我单位有依法缴纳税收和社会保障资金的良好记录；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6.我单位满足法律、行政法规规定的其他条件。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承诺人名称（公章）：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日期：______年    月    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bookmarkStart w:id="108" w:name="_Toc12562"/>
      <w:r/>
      <w:bookmarkStart w:id="109" w:name="_Toc4170"/>
      <w:r/>
      <w:bookmarkStart w:id="110" w:name="_Toc2139"/>
      <w:r>
        <w:rPr>
          <w:rFonts w:hint="eastAsia" w:ascii="仿宋" w:hAnsi="仿宋" w:eastAsia="仿宋" w:cs="仿宋"/>
          <w:sz w:val="28"/>
          <w:szCs w:val="28"/>
          <w:highlight w:val="none"/>
        </w:rPr>
        <w:br w:type="page" w:clear="all"/>
      </w:r>
      <w:bookmarkEnd w:id="108"/>
      <w:r/>
      <w:bookmarkEnd w:id="109"/>
      <w:r/>
      <w:bookmarkEnd w:id="110"/>
      <w:r>
        <w:rPr>
          <w:rFonts w:hint="eastAsia" w:ascii="仿宋" w:hAnsi="仿宋" w:eastAsia="仿宋" w:cs="仿宋"/>
          <w:b/>
          <w:bCs/>
          <w:sz w:val="28"/>
          <w:szCs w:val="28"/>
          <w:highlight w:val="none"/>
        </w:rPr>
        <w:t xml:space="preserve">5、 参加采购活动前无失信记录的书面声明</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u w:val="single"/>
          <w:lang w:eastAsia="zh-CN"/>
        </w:rPr>
        <w:t xml:space="preserve">南通市生态环境监测站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我公司郑重声明：在磋商截止时间节点，没有被“信用中国”、“中国政府采购网”、“信用江苏”网站列入失信被执行人、重大税收违法案件当事人名单、政府采购严重违法失信行为记录名单。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响应供应商： （加盖公章）</w:t>
      </w:r>
      <w:r/>
    </w:p>
    <w:p>
      <w:pPr>
        <w:ind w:firstLine="56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法定代表人或被授权人：（签字或盖章）</w:t>
      </w:r>
      <w:r/>
    </w:p>
    <w:p>
      <w:pPr>
        <w:ind w:firstLine="560"/>
        <w:jc w:val="righ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月     日</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pStyle w:val="867"/>
        <w:rPr>
          <w:rFonts w:hint="eastAsia" w:ascii="仿宋" w:hAnsi="仿宋" w:eastAsia="仿宋" w:cs="仿宋"/>
          <w:sz w:val="28"/>
          <w:szCs w:val="28"/>
          <w:highlight w:val="none"/>
        </w:rPr>
        <w:sectPr>
          <w:headerReference w:type="default" r:id="rId10"/>
          <w:footerReference w:type="default" r:id="rId16"/>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cs="仿宋"/>
          <w:sz w:val="28"/>
          <w:szCs w:val="28"/>
          <w:highlight w:val="none"/>
        </w:rPr>
      </w:r>
      <w:r/>
    </w:p>
    <w:p>
      <w:pPr>
        <w:spacing w:line="4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 竞争性磋商响应函</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lang w:eastAsia="zh-CN"/>
        </w:rPr>
        <w:t xml:space="preserve">南通市生态环境监测站</w:t>
      </w:r>
      <w:r>
        <w:rPr>
          <w:rFonts w:hint="eastAsia" w:ascii="仿宋" w:hAnsi="仿宋" w:eastAsia="仿宋" w:cs="仿宋"/>
          <w:sz w:val="28"/>
          <w:szCs w:val="28"/>
          <w:highlight w:val="none"/>
          <w:u w:val="single"/>
        </w:rPr>
        <w:t xml:space="preserve">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依据贵单位委托代理机构组织的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（磋商项目名称）项目竞争性磋商的邀请，我方授权</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（职务）为全权代表参加该项目的磋商工作，全权处理本次竞争性磋商的有关事宜。同时，我公司声明如下：</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1、同意并接受竞争性磋商文件的各项要求，遵守竞争性磋商文件中的各项规定，按竞争性磋商文件的要求提供报价。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3、我公司已毫无保留地向贵方提供一切所需的证明材料。</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4、我公司承诺在本次磋商响应中提供的一切文件，无论是原件还是复印件均真实有效，绝无任何虚假、伪造和夸大的成份。否则，愿承担相应的后果和法律责任。</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5、我公司尊重磋商小组所作的评定结果，同时清楚理解到报价最低并非意味着必定获得成交资格。</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6、一旦成交，我方承诺无正当理由拒绝签订合同，将被贵方取消成交资格，同意向贵方支付成交金额的2%作为违约金。</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7、一旦成交，我方将根据竞争性磋商文件的规定，严格履行合同规定的责任和义务。否则，我方同意无条件接受贵单位终止合同的要求。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供应商名称（公章）：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法定代表人或其委托代理人（签字或加盖人名章）：</w:t>
      </w:r>
      <w:r/>
    </w:p>
    <w:p>
      <w:pPr>
        <w:ind w:firstLine="560"/>
        <w:spacing w:line="520" w:lineRule="exact"/>
        <w:rPr>
          <w:rFonts w:hint="eastAsia" w:ascii="仿宋" w:hAnsi="仿宋" w:eastAsia="仿宋" w:cs="仿宋"/>
          <w:sz w:val="28"/>
          <w:szCs w:val="28"/>
          <w:highlight w:val="none"/>
        </w:rP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cs="仿宋"/>
          <w:sz w:val="28"/>
          <w:szCs w:val="28"/>
          <w:highlight w:val="none"/>
        </w:rPr>
        <w:t xml:space="preserve">日    期：     年   月    日</w:t>
      </w:r>
      <w:r/>
    </w:p>
    <w:p>
      <w:pPr>
        <w:spacing w:line="4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7、供应商情况一览表</w:t>
      </w:r>
      <w:r/>
    </w:p>
    <w:p>
      <w:pPr>
        <w:ind w:firstLine="482"/>
        <w:jc w:val="center"/>
        <w:spacing w:line="4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tbl>
      <w:tblPr>
        <w:tblStyle w:val="869"/>
        <w:tblW w:w="94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07"/>
        <w:gridCol w:w="1566"/>
        <w:gridCol w:w="624"/>
        <w:gridCol w:w="1041"/>
        <w:gridCol w:w="1391"/>
        <w:gridCol w:w="166"/>
        <w:gridCol w:w="1304"/>
        <w:gridCol w:w="1160"/>
      </w:tblGrid>
      <w:tr>
        <w:trPr>
          <w:trHeight w:val="437"/>
        </w:trPr>
        <w:tc>
          <w:tcPr>
            <w:gridSpan w:val="2"/>
            <w:tcBorders>
              <w:top w:val="single" w:color="auto" w:sz="4" w:space="0"/>
              <w:left w:val="single" w:color="auto" w:sz="4" w:space="0"/>
            </w:tcBorders>
            <w:tcW w:w="2187"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单位名称</w:t>
            </w:r>
            <w:r/>
          </w:p>
        </w:tc>
        <w:tc>
          <w:tcPr>
            <w:gridSpan w:val="7"/>
            <w:tcBorders>
              <w:top w:val="single" w:color="auto" w:sz="4" w:space="0"/>
              <w:right w:val="single" w:color="auto" w:sz="4" w:space="0"/>
            </w:tcBorders>
            <w:tcW w:w="7252"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811"/>
        </w:trPr>
        <w:tc>
          <w:tcPr>
            <w:gridSpan w:val="2"/>
            <w:tcBorders>
              <w:left w:val="single" w:color="auto" w:sz="4" w:space="0"/>
              <w:right w:val="single" w:color="auto" w:sz="4" w:space="0"/>
            </w:tcBorders>
            <w:tcW w:w="2187" w:type="dxa"/>
            <w:vAlign w:val="center"/>
            <w:textDirection w:val="lrTb"/>
            <w:noWrap w:val="false"/>
          </w:tcPr>
          <w:p>
            <w:pP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单位优势及特长</w:t>
            </w:r>
            <w:r/>
          </w:p>
        </w:tc>
        <w:tc>
          <w:tcPr>
            <w:gridSpan w:val="7"/>
            <w:tcBorders>
              <w:left w:val="single" w:color="auto" w:sz="4" w:space="0"/>
              <w:right w:val="single" w:color="auto" w:sz="4" w:space="0"/>
            </w:tcBorders>
            <w:tcW w:w="7252"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811"/>
        </w:trPr>
        <w:tc>
          <w:tcPr>
            <w:tcBorders>
              <w:left w:val="single" w:color="auto" w:sz="4" w:space="0"/>
            </w:tcBorders>
            <w:tcW w:w="780" w:type="dxa"/>
            <w:vAlign w:val="center"/>
            <w:vMerge w:val="restart"/>
            <w:textDirection w:val="lrTb"/>
            <w:noWrap w:val="false"/>
          </w:tcPr>
          <w:p>
            <w:pPr>
              <w:ind w:left="266" w:hanging="31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p>
            <w:pPr>
              <w:ind w:left="266" w:hanging="31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概况</w:t>
            </w:r>
            <w:r/>
          </w:p>
        </w:tc>
        <w:tc>
          <w:tcPr>
            <w:tcW w:w="1407"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职工总数</w:t>
            </w:r>
            <w:r/>
          </w:p>
        </w:tc>
        <w:tc>
          <w:tcPr>
            <w:tcW w:w="1566" w:type="dxa"/>
            <w:vAlign w:val="center"/>
            <w:textDirection w:val="lrTb"/>
            <w:noWrap w:val="false"/>
          </w:tcPr>
          <w:p>
            <w:pPr>
              <w:ind w:firstLine="480"/>
              <w:jc w:val="right"/>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w:t>
            </w:r>
            <w:r/>
          </w:p>
        </w:tc>
        <w:tc>
          <w:tcPr>
            <w:tcW w:w="624" w:type="dxa"/>
            <w:vAlign w:val="center"/>
            <w:vMerge w:val="restart"/>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上一年主要经济指标</w:t>
            </w:r>
            <w:r/>
          </w:p>
        </w:tc>
        <w:tc>
          <w:tcPr>
            <w:tcW w:w="1041"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营业额</w:t>
            </w:r>
            <w:r/>
          </w:p>
        </w:tc>
        <w:tc>
          <w:tcPr>
            <w:gridSpan w:val="2"/>
            <w:tcW w:w="155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04"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实现利润</w:t>
            </w:r>
            <w:r/>
          </w:p>
        </w:tc>
        <w:tc>
          <w:tcPr>
            <w:tcBorders>
              <w:right w:val="single" w:color="auto" w:sz="4" w:space="0"/>
            </w:tcBorders>
            <w:tcW w:w="116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811"/>
        </w:trPr>
        <w:tc>
          <w:tcPr>
            <w:tcBorders>
              <w:left w:val="single" w:color="auto" w:sz="4" w:space="0"/>
            </w:tcBorders>
            <w:tcW w:w="780" w:type="dxa"/>
            <w:vAlign w:val="center"/>
            <w:vMerge w:val="continue"/>
            <w:textDirection w:val="lrTb"/>
            <w:noWrap w:val="false"/>
          </w:tcPr>
          <w:p>
            <w:pPr>
              <w:ind w:left="266" w:hanging="31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流动资金</w:t>
            </w:r>
            <w:r/>
          </w:p>
        </w:tc>
        <w:tc>
          <w:tcPr>
            <w:tcW w:w="1566" w:type="dxa"/>
            <w:vAlign w:val="center"/>
            <w:textDirection w:val="lrTb"/>
            <w:noWrap w:val="false"/>
          </w:tcPr>
          <w:p>
            <w:pPr>
              <w:ind w:firstLine="480"/>
              <w:jc w:val="right"/>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万元</w:t>
            </w:r>
            <w:r/>
          </w:p>
        </w:tc>
        <w:tc>
          <w:tcPr>
            <w:tcW w:w="624"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41" w:type="dxa"/>
            <w:vAlign w:val="center"/>
            <w:vMerge w:val="restart"/>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主要产品或服务内容</w:t>
            </w:r>
            <w:r/>
          </w:p>
        </w:tc>
        <w:tc>
          <w:tcPr>
            <w:gridSpan w:val="4"/>
            <w:tcBorders>
              <w:right w:val="single" w:color="auto" w:sz="4" w:space="0"/>
            </w:tcBorders>
            <w:tcW w:w="4021" w:type="dxa"/>
            <w:vAlign w:val="center"/>
            <w:textDirection w:val="lrTb"/>
            <w:noWrap w:val="false"/>
          </w:tcPr>
          <w:p>
            <w:pPr>
              <w:ind w:firstLine="480"/>
              <w:spacing w:before="120" w:after="12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r>
      <w:tr>
        <w:trPr>
          <w:cantSplit/>
          <w:trHeight w:val="1610"/>
        </w:trPr>
        <w:tc>
          <w:tcPr>
            <w:tcBorders>
              <w:left w:val="single" w:color="auto" w:sz="4" w:space="0"/>
            </w:tcBorders>
            <w:tcW w:w="780" w:type="dxa"/>
            <w:vAlign w:val="center"/>
            <w:vMerge w:val="continue"/>
            <w:textDirection w:val="lrTb"/>
            <w:noWrap w:val="false"/>
          </w:tcPr>
          <w:p>
            <w:pPr>
              <w:ind w:left="266" w:hanging="31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固定资产</w:t>
            </w:r>
            <w:r/>
          </w:p>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（万元）</w:t>
            </w:r>
            <w:r/>
          </w:p>
        </w:tc>
        <w:tc>
          <w:tcPr>
            <w:tcW w:w="1566" w:type="dxa"/>
            <w:vAlign w:val="center"/>
            <w:textDirection w:val="lrTb"/>
            <w:noWrap w:val="false"/>
          </w:tcPr>
          <w:p>
            <w:pPr>
              <w:ind w:right="-133" w:firstLine="480"/>
              <w:tabs>
                <w:tab w:val="left" w:pos="-48" w:leader="none"/>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原值：</w:t>
            </w:r>
            <w:r/>
          </w:p>
          <w:p>
            <w:pPr>
              <w:ind w:right="-133" w:firstLine="480"/>
              <w:tabs>
                <w:tab w:val="left" w:pos="-48" w:leader="none"/>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净值：</w:t>
            </w:r>
            <w:r/>
          </w:p>
        </w:tc>
        <w:tc>
          <w:tcPr>
            <w:tcW w:w="624"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41" w:type="dxa"/>
            <w:vAlign w:val="center"/>
            <w:vMerge w:val="continue"/>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4"/>
            <w:tcBorders>
              <w:right w:val="single" w:color="auto" w:sz="4" w:space="0"/>
            </w:tcBorders>
            <w:tcW w:w="402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r>
      <w:tr>
        <w:trPr>
          <w:cantSplit/>
          <w:trHeight w:val="811"/>
        </w:trPr>
        <w:tc>
          <w:tcPr>
            <w:tcBorders>
              <w:left w:val="single" w:color="auto" w:sz="4" w:space="0"/>
            </w:tcBorders>
            <w:tcW w:w="780" w:type="dxa"/>
            <w:vAlign w:val="center"/>
            <w:vMerge w:val="continue"/>
            <w:textDirection w:val="lrTb"/>
            <w:noWrap w:val="false"/>
          </w:tcPr>
          <w:p>
            <w:pPr>
              <w:ind w:left="266" w:hanging="31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占地面积</w:t>
            </w:r>
            <w:r/>
          </w:p>
        </w:tc>
        <w:tc>
          <w:tcPr>
            <w:tcW w:w="1566" w:type="dxa"/>
            <w:vAlign w:val="center"/>
            <w:textDirection w:val="lrTb"/>
            <w:noWrap w:val="false"/>
          </w:tcPr>
          <w:p>
            <w:pPr>
              <w:ind w:firstLine="480"/>
              <w:jc w:val="right"/>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M</w:t>
            </w:r>
            <w:r>
              <w:rPr>
                <w:rFonts w:hint="eastAsia" w:ascii="仿宋" w:hAnsi="仿宋" w:eastAsia="仿宋" w:cs="仿宋"/>
                <w:color w:val="000000"/>
                <w:sz w:val="28"/>
                <w:szCs w:val="28"/>
                <w:highlight w:val="none"/>
                <w:vertAlign w:val="superscript"/>
              </w:rPr>
              <w:t xml:space="preserve">2</w:t>
            </w:r>
            <w:r/>
          </w:p>
        </w:tc>
        <w:tc>
          <w:tcPr>
            <w:tcW w:w="624"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041" w:type="dxa"/>
            <w:vAlign w:val="center"/>
            <w:vMerge w:val="continue"/>
            <w:textDirection w:val="lrTb"/>
            <w:noWrap w:val="false"/>
          </w:tcPr>
          <w:p>
            <w:pPr>
              <w:ind w:firstLine="480"/>
              <w:jc w:val="cente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4"/>
            <w:tcBorders>
              <w:right w:val="single" w:color="auto" w:sz="4" w:space="0"/>
            </w:tcBorders>
            <w:tcW w:w="4021" w:type="dxa"/>
            <w:vAlign w:val="center"/>
            <w:textDirection w:val="lrTb"/>
            <w:noWrap w:val="false"/>
          </w:tcPr>
          <w:p>
            <w:pPr>
              <w:ind w:firstLine="480"/>
              <w:spacing w:before="120" w:after="12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r>
      <w:tr>
        <w:trPr>
          <w:cantSplit/>
          <w:trHeight w:val="965"/>
        </w:trPr>
        <w:tc>
          <w:tcPr>
            <w:tcBorders>
              <w:left w:val="single" w:color="auto" w:sz="4" w:space="0"/>
            </w:tcBorders>
            <w:tcMar>
              <w:left w:w="57" w:type="dxa"/>
              <w:right w:w="57" w:type="dxa"/>
            </w:tcMar>
            <w:tcW w:w="780" w:type="dxa"/>
            <w:vAlign w:val="center"/>
            <w:vMerge w:val="restart"/>
            <w:textDirection w:val="lrTb"/>
            <w:noWrap w:val="false"/>
          </w:tcPr>
          <w:p>
            <w:pP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拟派人员情况</w:t>
            </w:r>
            <w:r/>
          </w:p>
        </w:tc>
        <w:tc>
          <w:tcPr>
            <w:tcW w:w="1407" w:type="dxa"/>
            <w:vAlign w:val="center"/>
            <w:textDirection w:val="lrTb"/>
            <w:noWrap w:val="false"/>
          </w:tcPr>
          <w:p>
            <w:pPr>
              <w:ind w:firstLine="480"/>
              <w:jc w:val="center"/>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p>
        </w:tc>
        <w:tc>
          <w:tcPr>
            <w:tcW w:w="1566" w:type="dxa"/>
            <w:vAlign w:val="center"/>
            <w:textDirection w:val="lrTb"/>
            <w:noWrap w:val="false"/>
          </w:tcPr>
          <w:p>
            <w:pPr>
              <w:ind w:firstLine="480"/>
              <w:jc w:val="center"/>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年龄</w:t>
            </w:r>
            <w:r/>
          </w:p>
        </w:tc>
        <w:tc>
          <w:tcPr>
            <w:gridSpan w:val="2"/>
            <w:tcW w:w="1665" w:type="dxa"/>
            <w:vAlign w:val="center"/>
            <w:textDirection w:val="lrTb"/>
            <w:noWrap w:val="false"/>
          </w:tcPr>
          <w:p>
            <w:pPr>
              <w:ind w:firstLine="480"/>
              <w:jc w:val="center"/>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岗位证书</w:t>
            </w:r>
            <w:r/>
          </w:p>
        </w:tc>
        <w:tc>
          <w:tcPr>
            <w:tcW w:w="1391" w:type="dxa"/>
            <w:vAlign w:val="center"/>
            <w:textDirection w:val="lrTb"/>
            <w:noWrap w:val="false"/>
          </w:tcPr>
          <w:p>
            <w:pPr>
              <w:ind w:firstLine="480"/>
              <w:jc w:val="center"/>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p>
        </w:tc>
        <w:tc>
          <w:tcPr>
            <w:gridSpan w:val="3"/>
            <w:tcBorders>
              <w:right w:val="single" w:color="auto" w:sz="4" w:space="0"/>
            </w:tcBorders>
            <w:tcW w:w="2630" w:type="dxa"/>
            <w:vAlign w:val="center"/>
            <w:textDirection w:val="lrTb"/>
            <w:noWrap w:val="false"/>
          </w:tcPr>
          <w:p>
            <w:pPr>
              <w:ind w:firstLine="480"/>
              <w:jc w:val="center"/>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曾获何级何种奖励</w:t>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365"/>
        </w:trPr>
        <w:tc>
          <w:tcPr>
            <w:tcBorders>
              <w:left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7"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66"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2"/>
            <w:tcW w:w="1665"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9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3"/>
            <w:tcBorders>
              <w:right w:val="single" w:color="auto" w:sz="4" w:space="0"/>
            </w:tcBorders>
            <w:tcW w:w="2630"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2962"/>
        </w:trPr>
        <w:tc>
          <w:tcPr>
            <w:tcBorders>
              <w:left w:val="single" w:color="auto" w:sz="4" w:space="0"/>
            </w:tcBorders>
            <w:tcW w:w="780" w:type="dxa"/>
            <w:vAlign w:val="center"/>
            <w:vMerge w:val="restart"/>
            <w:textDirection w:val="lrTb"/>
            <w:noWrap w:val="false"/>
          </w:tcPr>
          <w:p>
            <w:pPr>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其它</w:t>
            </w:r>
            <w:r/>
          </w:p>
        </w:tc>
        <w:tc>
          <w:tcPr>
            <w:gridSpan w:val="4"/>
            <w:tcW w:w="4638" w:type="dxa"/>
            <w:vAlign w:val="center"/>
            <w:textDirection w:val="lrTb"/>
            <w:noWrap w:val="false"/>
          </w:tcPr>
          <w:p>
            <w:pPr>
              <w:ind w:firstLine="480"/>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它人举证成立，其投标资格将被取消）。</w:t>
            </w:r>
            <w:r/>
          </w:p>
        </w:tc>
        <w:tc>
          <w:tcPr>
            <w:gridSpan w:val="4"/>
            <w:tcBorders>
              <w:right w:val="single" w:color="auto" w:sz="4" w:space="0"/>
            </w:tcBorders>
            <w:tcW w:w="4021" w:type="dxa"/>
            <w:vAlign w:val="center"/>
            <w:textDirection w:val="lrTb"/>
            <w:noWrap w:val="false"/>
          </w:tcPr>
          <w:p>
            <w:pPr>
              <w:ind w:firstLine="480"/>
              <w:spacing w:before="60" w:after="6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如有名称变更（非因该单位出现了与资格预审（如果经此程序）时的营业性质的根本改变以至不再满足本次磋商的要求），说明原名称因何种原因变更为现名称，并提供由工商管理部门出具的变更证明文件。</w:t>
            </w:r>
            <w:r/>
          </w:p>
        </w:tc>
      </w:tr>
      <w:tr>
        <w:trPr>
          <w:cantSplit/>
          <w:trHeight w:val="767"/>
        </w:trPr>
        <w:tc>
          <w:tcPr>
            <w:tcBorders>
              <w:left w:val="single" w:color="auto" w:sz="4" w:space="0"/>
              <w:bottom w:val="single" w:color="auto" w:sz="4" w:space="0"/>
            </w:tcBorders>
            <w:tcW w:w="780" w:type="dxa"/>
            <w:vAlign w:val="center"/>
            <w:vMerge w:val="continue"/>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4"/>
            <w:tcBorders>
              <w:bottom w:val="single" w:color="auto" w:sz="4" w:space="0"/>
            </w:tcBorders>
            <w:tcW w:w="4638"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gridSpan w:val="4"/>
            <w:tcBorders>
              <w:bottom w:val="single" w:color="auto" w:sz="4" w:space="0"/>
              <w:right w:val="single" w:color="auto" w:sz="4" w:space="0"/>
            </w:tcBorders>
            <w:tcW w:w="4021" w:type="dxa"/>
            <w:vAlign w:val="center"/>
            <w:textDirection w:val="lrTb"/>
            <w:noWrap w:val="false"/>
          </w:tcPr>
          <w:p>
            <w:pPr>
              <w:ind w:firstLine="480"/>
              <w:tabs>
                <w:tab w:val="left" w:pos="432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4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67"/>
        <w:rPr>
          <w:rFonts w:hint="eastAsia" w:ascii="仿宋" w:hAnsi="仿宋" w:eastAsia="仿宋" w:cs="仿宋"/>
          <w:sz w:val="28"/>
          <w:szCs w:val="28"/>
          <w:highlight w:val="none"/>
        </w:rPr>
        <w:sectPr>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cs="仿宋"/>
          <w:color w:val="000000"/>
          <w:sz w:val="28"/>
          <w:szCs w:val="28"/>
          <w:highlight w:val="none"/>
        </w:rPr>
        <w:br w:type="page" w:clear="all"/>
      </w:r>
      <w:r/>
    </w:p>
    <w:p>
      <w:pPr>
        <w:ind w:firstLine="420"/>
        <w:jc w:val="center"/>
        <w:spacing w:line="420" w:lineRule="exact"/>
        <w:rPr>
          <w:rFonts w:hint="eastAsia" w:ascii="仿宋" w:hAnsi="仿宋" w:eastAsia="仿宋" w:cs="仿宋"/>
          <w:b/>
          <w:bCs/>
          <w:sz w:val="28"/>
          <w:szCs w:val="28"/>
          <w:highlight w:val="none"/>
        </w:rPr>
      </w:pPr>
      <w:r>
        <w:rPr>
          <w:rFonts w:hint="eastAsia" w:ascii="仿宋" w:hAnsi="仿宋" w:eastAsia="仿宋" w:cs="仿宋"/>
          <w:b/>
          <w:sz w:val="28"/>
          <w:szCs w:val="28"/>
          <w:highlight w:val="none"/>
        </w:rPr>
        <w:t xml:space="preserve">8、</w:t>
      </w:r>
      <w:r>
        <w:rPr>
          <w:rFonts w:hint="eastAsia" w:ascii="仿宋" w:hAnsi="仿宋" w:eastAsia="仿宋" w:cs="仿宋"/>
          <w:b/>
          <w:bCs/>
          <w:sz w:val="28"/>
          <w:szCs w:val="28"/>
          <w:highlight w:val="none"/>
        </w:rPr>
        <w:t xml:space="preserve">商务技术部分正负偏离表</w:t>
      </w:r>
      <w:r/>
    </w:p>
    <w:p>
      <w:pPr>
        <w:ind w:firstLine="56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（由供应商据实提交，表格不够自行添加）</w:t>
      </w:r>
      <w:r/>
    </w:p>
    <w:p>
      <w:pPr>
        <w:ind w:firstLine="480"/>
        <w:spacing w:line="32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投标人全称（加盖公章）： </w:t>
      </w:r>
      <w:r/>
    </w:p>
    <w:p>
      <w:pPr>
        <w:ind w:firstLine="480"/>
        <w:spacing w:line="3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项目名称：</w:t>
      </w:r>
      <w:r/>
    </w:p>
    <w:tbl>
      <w:tblPr>
        <w:tblStyle w:val="869"/>
        <w:tblW w:w="943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9"/>
        <w:gridCol w:w="1360"/>
        <w:gridCol w:w="2915"/>
        <w:gridCol w:w="2930"/>
        <w:gridCol w:w="1527"/>
      </w:tblGrid>
      <w:tr>
        <w:trPr>
          <w:trHeight w:val="982"/>
        </w:trPr>
        <w:tc>
          <w:tcPr>
            <w:tcBorders>
              <w:top w:val="single" w:color="auto" w:sz="12" w:space="0"/>
              <w:left w:val="single" w:color="auto" w:sz="12" w:space="0"/>
              <w:bottom w:val="single" w:color="auto" w:sz="6" w:space="0"/>
              <w:right w:val="single" w:color="auto" w:sz="6" w:space="0"/>
            </w:tcBorders>
            <w:tcW w:w="699" w:type="dxa"/>
            <w:vAlign w:val="center"/>
            <w:textDirection w:val="lrTb"/>
            <w:noWrap w:val="false"/>
          </w:tcPr>
          <w:p>
            <w:pP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w:t>
            </w:r>
            <w:r/>
          </w:p>
        </w:tc>
        <w:tc>
          <w:tcPr>
            <w:tcBorders>
              <w:top w:val="single" w:color="auto" w:sz="12" w:space="0"/>
              <w:left w:val="single" w:color="auto" w:sz="6" w:space="0"/>
              <w:bottom w:val="single" w:color="auto" w:sz="6" w:space="0"/>
              <w:right w:val="single" w:color="auto" w:sz="6" w:space="0"/>
            </w:tcBorders>
            <w:tcW w:w="2915"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偏离说明</w:t>
            </w:r>
            <w:r/>
          </w:p>
        </w:tc>
      </w:tr>
      <w:tr>
        <w:trPr>
          <w:trHeight w:val="982"/>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ind w:firstLine="280"/>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15"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982"/>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ind w:firstLine="280"/>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15"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982"/>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ind w:firstLine="280"/>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15" w:type="dxa"/>
            <w:vAlign w:val="center"/>
            <w:textDirection w:val="lrTb"/>
            <w:noWrap w:val="false"/>
          </w:tcPr>
          <w:p>
            <w:pPr>
              <w:ind w:firstLine="56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984"/>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15"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6"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984"/>
        </w:trPr>
        <w:tc>
          <w:tcPr>
            <w:tcBorders>
              <w:top w:val="single" w:color="auto" w:sz="6" w:space="0"/>
              <w:left w:val="single" w:color="auto" w:sz="12" w:space="0"/>
              <w:bottom w:val="single" w:color="auto" w:sz="12" w:space="0"/>
              <w:right w:val="single" w:color="auto" w:sz="6" w:space="0"/>
            </w:tcBorders>
            <w:tcW w:w="699"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12" w:space="0"/>
              <w:right w:val="single" w:color="auto" w:sz="6" w:space="0"/>
            </w:tcBorders>
            <w:tcW w:w="136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12" w:space="0"/>
              <w:right w:val="single" w:color="auto" w:sz="6" w:space="0"/>
            </w:tcBorders>
            <w:tcW w:w="2915"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12" w:space="0"/>
              <w:right w:val="single" w:color="auto" w:sz="6" w:space="0"/>
            </w:tcBorders>
            <w:tcW w:w="2930"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auto" w:sz="6" w:space="0"/>
              <w:left w:val="single" w:color="auto" w:sz="6" w:space="0"/>
              <w:bottom w:val="single" w:color="auto" w:sz="12" w:space="0"/>
              <w:right w:val="single" w:color="auto" w:sz="12" w:space="0"/>
            </w:tcBorders>
            <w:tcW w:w="1527" w:type="dxa"/>
            <w:vAlign w:val="center"/>
            <w:textDirection w:val="lrTb"/>
            <w:noWrap w:val="false"/>
          </w:tcPr>
          <w:p>
            <w:pPr>
              <w:ind w:firstLine="480"/>
              <w:jc w:val="center"/>
              <w:spacing w:line="3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ind w:firstLine="480"/>
        <w:spacing w:line="26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contextualSpacing/>
        <w:ind w:firstLine="482"/>
        <w:spacing w:line="30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contextualSpacing/>
        <w:ind w:firstLine="56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b/>
          <w:sz w:val="28"/>
          <w:szCs w:val="28"/>
          <w:highlight w:val="none"/>
        </w:rPr>
        <w:t xml:space="preserve">、</w:t>
      </w:r>
      <w:r>
        <w:rPr>
          <w:rFonts w:hint="eastAsia" w:ascii="仿宋" w:hAnsi="仿宋" w:eastAsia="仿宋" w:cs="仿宋"/>
          <w:sz w:val="28"/>
          <w:szCs w:val="28"/>
          <w:highlight w:val="none"/>
        </w:rPr>
        <w:t xml:space="preserve">供应商提交的响应文件中与磋商文件第三部分“项目需求说明”中的商务、技术部分的要求有不同时，应逐条填列在偏离表中，否则将认为供应商接受磋商文件的所有要求。</w:t>
      </w:r>
      <w:r/>
    </w:p>
    <w:p>
      <w:pPr>
        <w:contextualSpacing/>
        <w:ind w:firstLine="56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2、“偏离说明”一栏选择“正偏离”、“负偏离”进行填写。正偏离的确认和负偏离的是否响应磋商文件，经三分之二评委认定。</w:t>
      </w:r>
      <w:r/>
    </w:p>
    <w:p>
      <w:pPr>
        <w:contextualSpacing/>
        <w:ind w:firstLine="56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3、供应商如果虚假响应，将承担有关责任及风险。</w:t>
      </w:r>
      <w:r/>
    </w:p>
    <w:p>
      <w:pPr>
        <w:contextualSpacing/>
        <w:ind w:firstLine="560"/>
        <w:spacing w:line="30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4、供应商若提供其他增值服务，可以在表中自行据实填写。</w:t>
      </w:r>
      <w:r/>
    </w:p>
    <w:p>
      <w:pPr>
        <w:ind w:firstLine="48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clear="all"/>
      </w:r>
      <w:r/>
    </w:p>
    <w:p>
      <w:pPr>
        <w:numPr>
          <w:ilvl w:val="0"/>
          <w:numId w:val="6"/>
        </w:numPr>
        <w:ind w:left="358" w:firstLine="482"/>
        <w:jc w:val="center"/>
        <w:spacing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磋商响应报价</w:t>
      </w:r>
      <w:r>
        <w:rPr>
          <w:rFonts w:hint="eastAsia" w:ascii="仿宋" w:hAnsi="仿宋" w:eastAsia="仿宋" w:cs="仿宋"/>
          <w:b/>
          <w:sz w:val="28"/>
          <w:szCs w:val="28"/>
          <w:highlight w:val="none"/>
          <w:lang w:val="en-US" w:eastAsia="zh-CN"/>
        </w:rPr>
        <w:t xml:space="preserve">总</w:t>
      </w:r>
      <w:r>
        <w:rPr>
          <w:rFonts w:hint="eastAsia" w:ascii="仿宋" w:hAnsi="仿宋" w:eastAsia="仿宋" w:cs="仿宋"/>
          <w:b/>
          <w:sz w:val="28"/>
          <w:szCs w:val="28"/>
          <w:highlight w:val="none"/>
        </w:rPr>
        <w:t xml:space="preserve">表</w:t>
      </w:r>
      <w:r/>
    </w:p>
    <w:p>
      <w:pPr>
        <w:jc w:val="center"/>
        <w:spacing w:line="420" w:lineRule="exact"/>
        <w:rPr>
          <w:b/>
          <w:highlight w:val="none"/>
        </w:rPr>
      </w:pPr>
      <w:r>
        <w:rPr>
          <w:rFonts w:hint="eastAsia" w:ascii="Times New Roman" w:hAnsi="Times New Roman" w:cs="Times New Roman"/>
          <w:b/>
          <w:sz w:val="24"/>
          <w:szCs w:val="22"/>
          <w:highlight w:val="none"/>
          <w:lang w:val="en-US" w:eastAsia="zh-CN"/>
        </w:rPr>
        <w:t xml:space="preserve">包</w:t>
      </w:r>
      <w:r>
        <w:rPr>
          <w:rFonts w:hint="eastAsia" w:cs="Times New Roman"/>
          <w:b/>
          <w:sz w:val="24"/>
          <w:szCs w:val="22"/>
          <w:highlight w:val="none"/>
          <w:lang w:val="en-US" w:eastAsia="zh-CN"/>
        </w:rPr>
        <w:t xml:space="preserve">1/</w:t>
      </w:r>
      <w:r>
        <w:rPr>
          <w:rFonts w:hint="eastAsia" w:ascii="Times New Roman" w:hAnsi="Times New Roman" w:cs="Times New Roman"/>
          <w:b/>
          <w:sz w:val="24"/>
          <w:szCs w:val="22"/>
          <w:highlight w:val="none"/>
          <w:lang w:val="en-US" w:eastAsia="zh-CN"/>
        </w:rPr>
        <w:t xml:space="preserve">包</w:t>
      </w:r>
      <w:r>
        <w:rPr>
          <w:rFonts w:hint="eastAsia" w:cs="Times New Roman"/>
          <w:b/>
          <w:sz w:val="24"/>
          <w:szCs w:val="22"/>
          <w:highlight w:val="none"/>
          <w:lang w:val="en-US" w:eastAsia="zh-CN"/>
        </w:rPr>
        <w:t xml:space="preserve">2</w:t>
      </w:r>
      <w:r>
        <w:rPr>
          <w:rFonts w:hint="eastAsia" w:ascii="Times New Roman" w:hAnsi="Times New Roman" w:cs="Times New Roman"/>
          <w:b/>
          <w:sz w:val="24"/>
          <w:szCs w:val="22"/>
          <w:highlight w:val="none"/>
          <w:lang w:val="en-US" w:eastAsia="zh-CN"/>
        </w:rPr>
        <w:t xml:space="preserve">磋商响应报</w:t>
      </w:r>
      <w:r>
        <w:rPr>
          <w:b/>
          <w:sz w:val="24"/>
          <w:szCs w:val="22"/>
          <w:highlight w:val="none"/>
        </w:rPr>
        <w:t xml:space="preserve">价</w:t>
      </w:r>
      <w:r>
        <w:rPr>
          <w:rFonts w:hint="eastAsia"/>
          <w:b/>
          <w:sz w:val="24"/>
          <w:szCs w:val="22"/>
          <w:highlight w:val="none"/>
          <w:lang w:val="en-US" w:eastAsia="zh-CN"/>
        </w:rPr>
        <w:t xml:space="preserve">总</w:t>
      </w:r>
      <w:r>
        <w:rPr>
          <w:b/>
          <w:sz w:val="24"/>
          <w:szCs w:val="22"/>
          <w:highlight w:val="none"/>
        </w:rPr>
        <w:t xml:space="preserve">表</w:t>
      </w:r>
      <w:r/>
    </w:p>
    <w:p>
      <w:pPr>
        <w:pStyle w:val="884"/>
        <w:ind w:left="480" w:firstLine="480"/>
        <w:rPr>
          <w:highlight w:val="none"/>
        </w:rPr>
      </w:pPr>
      <w:r>
        <w:rPr>
          <w:highlight w:val="none"/>
        </w:rPr>
      </w:r>
      <w:r/>
    </w:p>
    <w:tbl>
      <w:tblPr>
        <w:tblStyle w:val="869"/>
        <w:tblW w:w="9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449"/>
      </w:tblGrid>
      <w:tr>
        <w:trPr>
          <w:trHeight w:val="68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480" w:lineRule="exact"/>
              <w:rPr>
                <w:highlight w:val="none"/>
              </w:rPr>
            </w:pPr>
            <w:r>
              <w:rPr>
                <w:highlight w:val="none"/>
              </w:rPr>
              <w:t xml:space="preserve">项目编号</w:t>
            </w:r>
            <w:r/>
          </w:p>
        </w:tc>
        <w:tc>
          <w:tcPr>
            <w:tcBorders>
              <w:top w:val="single" w:color="auto" w:sz="4" w:space="0"/>
              <w:left w:val="single" w:color="auto" w:sz="4" w:space="0"/>
              <w:bottom w:val="single" w:color="auto" w:sz="4" w:space="0"/>
              <w:right w:val="single" w:color="auto" w:sz="4" w:space="0"/>
            </w:tcBorders>
            <w:tcW w:w="8449" w:type="dxa"/>
            <w:vAlign w:val="center"/>
            <w:textDirection w:val="lrTb"/>
            <w:noWrap w:val="false"/>
          </w:tcPr>
          <w:p>
            <w:pPr>
              <w:jc w:val="center"/>
              <w:spacing w:line="480" w:lineRule="exact"/>
              <w:rPr>
                <w:highlight w:val="none"/>
              </w:rPr>
            </w:pPr>
            <w:r>
              <w:rPr>
                <w:highlight w:val="none"/>
              </w:rPr>
            </w:r>
            <w:r/>
          </w:p>
        </w:tc>
      </w:tr>
      <w:tr>
        <w:trPr>
          <w:trHeight w:val="1340"/>
        </w:trPr>
        <w:tc>
          <w:tcPr>
            <w:tcBorders>
              <w:top w:val="single" w:color="auto" w:sz="4" w:space="0"/>
              <w:left w:val="single" w:color="auto" w:sz="4" w:space="0"/>
              <w:right w:val="single" w:color="auto" w:sz="4" w:space="0"/>
            </w:tcBorders>
            <w:tcW w:w="1242" w:type="dxa"/>
            <w:vAlign w:val="center"/>
            <w:textDirection w:val="lrTb"/>
            <w:noWrap w:val="false"/>
          </w:tcPr>
          <w:p>
            <w:pPr>
              <w:jc w:val="center"/>
              <w:spacing w:line="480" w:lineRule="exact"/>
              <w:rPr>
                <w:highlight w:val="none"/>
              </w:rPr>
            </w:pPr>
            <w:r>
              <w:rPr>
                <w:highlight w:val="none"/>
              </w:rPr>
              <w:t xml:space="preserve">项目名称</w:t>
            </w:r>
            <w:r/>
          </w:p>
        </w:tc>
        <w:tc>
          <w:tcPr>
            <w:tcBorders>
              <w:top w:val="single" w:color="auto" w:sz="4" w:space="0"/>
              <w:left w:val="single" w:color="auto" w:sz="4" w:space="0"/>
              <w:bottom w:val="single" w:color="auto" w:sz="4" w:space="0"/>
              <w:right w:val="single" w:color="auto" w:sz="4" w:space="0"/>
            </w:tcBorders>
            <w:tcW w:w="8449" w:type="dxa"/>
            <w:vAlign w:val="center"/>
            <w:textDirection w:val="lrTb"/>
            <w:noWrap w:val="false"/>
          </w:tcPr>
          <w:p>
            <w:pPr>
              <w:jc w:val="center"/>
              <w:spacing w:line="480" w:lineRule="exact"/>
              <w:rPr>
                <w:highlight w:val="none"/>
              </w:rPr>
            </w:pPr>
            <w:r>
              <w:rPr>
                <w:color w:val="000000"/>
                <w:highlight w:val="none"/>
              </w:rPr>
              <w:t xml:space="preserve">南通市生态环境监测站</w:t>
            </w:r>
            <w:r>
              <w:rPr>
                <w:rFonts w:hint="eastAsia"/>
                <w:color w:val="000000"/>
                <w:highlight w:val="none"/>
                <w:lang w:eastAsia="zh-CN"/>
              </w:rPr>
              <w:t xml:space="preserve">2026年度监测技术支撑项目（重新采购）</w:t>
            </w:r>
            <w:r>
              <w:rPr>
                <w:rFonts w:hint="eastAsia"/>
                <w:color w:val="000000"/>
                <w:highlight w:val="none"/>
              </w:rPr>
              <w:t xml:space="preserve">（包</w:t>
            </w:r>
            <w:r>
              <w:rPr>
                <w:rFonts w:hint="eastAsia"/>
                <w:color w:val="000000"/>
                <w:highlight w:val="none"/>
                <w:u w:val="single"/>
              </w:rPr>
              <w:t xml:space="preserve">     </w:t>
            </w:r>
            <w:r>
              <w:rPr>
                <w:rFonts w:hint="eastAsia"/>
                <w:color w:val="000000"/>
                <w:highlight w:val="none"/>
              </w:rPr>
              <w:t xml:space="preserve">）</w:t>
            </w:r>
            <w:r/>
          </w:p>
        </w:tc>
      </w:tr>
      <w:tr>
        <w:trPr>
          <w:trHeight w:val="1535"/>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highlight w:val="none"/>
              </w:rPr>
            </w:pPr>
            <w:r>
              <w:rPr>
                <w:highlight w:val="none"/>
              </w:rPr>
              <w:t xml:space="preserve">磋商报价</w:t>
            </w:r>
            <w:r/>
          </w:p>
        </w:tc>
        <w:tc>
          <w:tcPr>
            <w:tcBorders>
              <w:top w:val="single" w:color="auto" w:sz="4" w:space="0"/>
              <w:left w:val="single" w:color="auto" w:sz="4" w:space="0"/>
              <w:bottom w:val="single" w:color="auto" w:sz="4" w:space="0"/>
              <w:right w:val="single" w:color="auto" w:sz="4" w:space="0"/>
            </w:tcBorders>
            <w:tcW w:w="8449" w:type="dxa"/>
            <w:vAlign w:val="center"/>
            <w:textDirection w:val="lrTb"/>
            <w:noWrap w:val="false"/>
          </w:tcPr>
          <w:p>
            <w:pPr>
              <w:jc w:val="center"/>
              <w:spacing w:line="480" w:lineRule="exact"/>
              <w:rPr>
                <w:color w:val="000000"/>
                <w:highlight w:val="none"/>
              </w:rPr>
            </w:pPr>
            <w:r>
              <w:rPr>
                <w:color w:val="000000"/>
                <w:highlight w:val="none"/>
              </w:rPr>
              <w:t xml:space="preserve">报价为《江苏省环境监测专业服务收费标准》（苏价费[2006]397号）单价</w:t>
            </w:r>
            <w:r>
              <w:rPr>
                <w:rFonts w:hint="eastAsia"/>
                <w:color w:val="000000"/>
                <w:highlight w:val="none"/>
              </w:rPr>
              <w:t xml:space="preserve">基础上优惠</w:t>
            </w:r>
            <w:r>
              <w:rPr>
                <w:color w:val="000000"/>
                <w:highlight w:val="none"/>
                <w:u w:val="single"/>
              </w:rPr>
              <w:t xml:space="preserve">     </w:t>
            </w:r>
            <w:r>
              <w:rPr>
                <w:color w:val="000000"/>
                <w:highlight w:val="none"/>
              </w:rPr>
              <w:t xml:space="preserve">%。</w:t>
            </w:r>
            <w:r/>
          </w:p>
        </w:tc>
      </w:tr>
      <w:tr>
        <w:trPr>
          <w:trHeight w:val="651"/>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480" w:lineRule="exact"/>
              <w:rPr>
                <w:highlight w:val="none"/>
              </w:rPr>
            </w:pPr>
            <w:r>
              <w:rPr>
                <w:highlight w:val="none"/>
              </w:rPr>
              <w:t xml:space="preserve">备注</w:t>
            </w:r>
            <w:r/>
          </w:p>
        </w:tc>
        <w:tc>
          <w:tcPr>
            <w:tcBorders>
              <w:top w:val="single" w:color="auto" w:sz="4" w:space="0"/>
              <w:left w:val="single" w:color="auto" w:sz="4" w:space="0"/>
              <w:bottom w:val="single" w:color="auto" w:sz="4" w:space="0"/>
              <w:right w:val="single" w:color="auto" w:sz="4" w:space="0"/>
            </w:tcBorders>
            <w:tcW w:w="8449" w:type="dxa"/>
            <w:vAlign w:val="center"/>
            <w:textDirection w:val="lrTb"/>
            <w:noWrap w:val="false"/>
          </w:tcPr>
          <w:p>
            <w:pPr>
              <w:ind w:left="2880" w:hanging="2880"/>
              <w:jc w:val="center"/>
              <w:spacing w:line="480" w:lineRule="exact"/>
              <w:rPr>
                <w:highlight w:val="none"/>
              </w:rPr>
            </w:pPr>
            <w:r>
              <w:rPr>
                <w:rFonts w:hint="eastAsia"/>
                <w:highlight w:val="none"/>
              </w:rPr>
              <w:t xml:space="preserve">上述报价即为实际结算价</w:t>
            </w:r>
            <w:r/>
          </w:p>
        </w:tc>
      </w:tr>
    </w:tbl>
    <w:p>
      <w:pPr>
        <w:pStyle w:val="895"/>
        <w:rPr>
          <w:rFonts w:ascii="Times New Roman" w:cs="Times New Roman"/>
          <w:highlight w:val="none"/>
        </w:rPr>
      </w:pPr>
      <w:r>
        <w:rPr>
          <w:rFonts w:ascii="Times New Roman" w:cs="Times New Roman"/>
          <w:highlight w:val="none"/>
        </w:rPr>
      </w:r>
      <w:r/>
    </w:p>
    <w:p>
      <w:pPr>
        <w:jc w:val="right"/>
        <w:spacing w:after="120"/>
        <w:rPr>
          <w:highlight w:val="none"/>
        </w:rPr>
      </w:pPr>
      <w:r>
        <w:rPr>
          <w:highlight w:val="none"/>
        </w:rPr>
        <w:t xml:space="preserve">供应商名称：</w:t>
      </w:r>
      <w:r>
        <w:rPr>
          <w:highlight w:val="none"/>
          <w:u w:val="single"/>
        </w:rPr>
        <w:t xml:space="preserve">                    </w:t>
      </w:r>
      <w:r>
        <w:rPr>
          <w:highlight w:val="none"/>
        </w:rPr>
        <w:t xml:space="preserve">（加盖公章）</w:t>
      </w:r>
      <w:r/>
    </w:p>
    <w:p>
      <w:pPr>
        <w:jc w:val="right"/>
        <w:rPr>
          <w:highlight w:val="none"/>
        </w:rPr>
      </w:pPr>
      <w:r>
        <w:rPr>
          <w:highlight w:val="none"/>
        </w:rPr>
        <w:t xml:space="preserve">法定代表人或被授权人：</w:t>
      </w:r>
      <w:r>
        <w:rPr>
          <w:highlight w:val="none"/>
          <w:u w:val="single"/>
        </w:rPr>
        <w:t xml:space="preserve">        </w:t>
      </w:r>
      <w:r>
        <w:rPr>
          <w:highlight w:val="none"/>
        </w:rPr>
        <w:t xml:space="preserve">（签字或盖章）</w:t>
      </w:r>
      <w:r/>
    </w:p>
    <w:p>
      <w:pPr>
        <w:ind w:firstLine="4080"/>
        <w:spacing w:line="520" w:lineRule="exact"/>
        <w:rPr>
          <w:highlight w:val="none"/>
        </w:rPr>
      </w:pPr>
      <w:r>
        <w:rPr>
          <w:highlight w:val="none"/>
        </w:rPr>
        <w:t xml:space="preserve">日期：</w:t>
      </w:r>
      <w:r/>
    </w:p>
    <w:p>
      <w:pPr>
        <w:spacing w:line="520" w:lineRule="exact"/>
        <w:rPr>
          <w:b/>
          <w:highlight w:val="none"/>
        </w:rPr>
      </w:pPr>
      <w:r>
        <w:rPr>
          <w:b/>
          <w:highlight w:val="none"/>
        </w:rPr>
        <w:t xml:space="preserve">注：</w:t>
      </w:r>
      <w:r/>
    </w:p>
    <w:p>
      <w:pPr>
        <w:numPr>
          <w:ilvl w:val="0"/>
          <w:numId w:val="7"/>
        </w:numPr>
        <w:spacing w:line="520" w:lineRule="exact"/>
        <w:rPr>
          <w:highlight w:val="none"/>
        </w:rPr>
      </w:pPr>
      <w:r>
        <w:rPr>
          <w:highlight w:val="none"/>
        </w:rPr>
        <w:t xml:space="preserve"> 本表为格式表，不得自行改动，必须提供。</w:t>
      </w:r>
      <w:r/>
    </w:p>
    <w:p>
      <w:pPr>
        <w:numPr>
          <w:ilvl w:val="0"/>
          <w:numId w:val="7"/>
        </w:numPr>
        <w:spacing w:line="520" w:lineRule="exact"/>
        <w:rPr>
          <w:highlight w:val="none"/>
        </w:rPr>
      </w:pPr>
      <w:r>
        <w:rPr>
          <w:highlight w:val="none"/>
        </w:rPr>
        <w:t xml:space="preserve">投标总报价（以人民币计价）应</w:t>
      </w:r>
      <w:r>
        <w:rPr>
          <w:color w:val="000000"/>
          <w:highlight w:val="none"/>
        </w:rPr>
        <w:t xml:space="preserve">包括但不限于</w:t>
      </w:r>
      <w:r>
        <w:rPr>
          <w:highlight w:val="none"/>
        </w:rPr>
        <w:t xml:space="preserve">人工费、设备机械使用费、通信费、交通费、</w:t>
      </w:r>
      <w:r>
        <w:rPr>
          <w:rFonts w:hint="eastAsia"/>
          <w:highlight w:val="none"/>
        </w:rPr>
        <w:t xml:space="preserve">报告文件资料</w:t>
      </w:r>
      <w:r>
        <w:rPr>
          <w:highlight w:val="none"/>
        </w:rPr>
        <w:t xml:space="preserve">费、税金及其他有关的为完成本项目发生的所有费用</w:t>
      </w:r>
      <w:r>
        <w:rPr>
          <w:color w:val="000000"/>
          <w:highlight w:val="none"/>
        </w:rPr>
        <w:t xml:space="preserve">。</w:t>
      </w:r>
      <w:r>
        <w:rPr>
          <w:rFonts w:hAnsi="宋体"/>
          <w:bCs/>
          <w:highlight w:val="none"/>
        </w:rPr>
        <w:t xml:space="preserve">即包含响应磋商文件采购要求和为完成本项目服务所发生的全部费用。</w:t>
      </w:r>
      <w:r/>
    </w:p>
    <w:p>
      <w:pPr>
        <w:jc w:val="center"/>
        <w:spacing w:line="420" w:lineRule="exact"/>
        <w:rPr>
          <w:rFonts w:hint="eastAsia" w:ascii="仿宋" w:hAnsi="仿宋" w:eastAsia="仿宋" w:cs="仿宋"/>
          <w:b/>
          <w:color w:val="ff0000"/>
          <w:sz w:val="28"/>
          <w:szCs w:val="28"/>
          <w:highlight w:val="none"/>
        </w:rPr>
      </w:pPr>
      <w:r>
        <w:rPr>
          <w:color w:val="000000"/>
          <w:sz w:val="28"/>
          <w:szCs w:val="28"/>
          <w:highlight w:val="none"/>
        </w:rPr>
        <w:br w:type="page" w:clear="all"/>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color w:val="000000"/>
          <w:highlight w:val="none"/>
        </w:rPr>
      </w:pPr>
      <w:r>
        <w:rPr>
          <w:rFonts w:hint="eastAsia" w:ascii="仿宋" w:hAnsi="仿宋" w:eastAsia="仿宋" w:cs="仿宋"/>
          <w:b/>
          <w:sz w:val="28"/>
          <w:szCs w:val="28"/>
          <w:highlight w:val="none"/>
        </w:rPr>
        <w:t xml:space="preserve">10、磋商响应报价明细表</w:t>
      </w:r>
      <w:r>
        <w:rPr>
          <w:rFonts w:hint="eastAsia" w:ascii="仿宋" w:hAnsi="仿宋" w:eastAsia="仿宋" w:cs="仿宋"/>
          <w:b/>
          <w:sz w:val="28"/>
          <w:szCs w:val="28"/>
          <w:highlight w:val="none"/>
          <w:lang w:eastAsia="zh-CN"/>
        </w:rPr>
        <w:t xml:space="preserve">（</w:t>
      </w:r>
      <w:r>
        <w:rPr>
          <w:rFonts w:hint="eastAsia" w:ascii="仿宋" w:hAnsi="仿宋" w:eastAsia="仿宋" w:cs="仿宋"/>
          <w:b/>
          <w:sz w:val="28"/>
          <w:szCs w:val="28"/>
          <w:highlight w:val="none"/>
          <w:lang w:val="en-US" w:eastAsia="zh-CN"/>
        </w:rPr>
        <w:t xml:space="preserve">包1/包2</w:t>
      </w:r>
      <w:r>
        <w:rPr>
          <w:rFonts w:hint="eastAsia" w:ascii="仿宋" w:hAnsi="仿宋" w:eastAsia="仿宋" w:cs="仿宋"/>
          <w:b/>
          <w:sz w:val="28"/>
          <w:szCs w:val="28"/>
          <w:highlight w:val="none"/>
          <w:lang w:eastAsia="zh-CN"/>
        </w:rPr>
        <w:t xml:space="preserve">）</w:t>
      </w:r>
      <w:r/>
    </w:p>
    <w:p>
      <w:pPr>
        <w:spacing w:line="480" w:lineRule="exact"/>
        <w:rPr>
          <w:highlight w:val="none"/>
        </w:rPr>
      </w:pPr>
      <w:r>
        <w:rPr>
          <w:rFonts w:hint="eastAsia"/>
          <w:color w:val="000000"/>
          <w:highlight w:val="none"/>
        </w:rPr>
        <w:t xml:space="preserve">项目名称：</w:t>
      </w:r>
      <w:r>
        <w:rPr>
          <w:color w:val="000000"/>
          <w:highlight w:val="none"/>
        </w:rPr>
        <w:t xml:space="preserve">南通市生态环境监测站</w:t>
      </w:r>
      <w:r>
        <w:rPr>
          <w:rFonts w:hint="eastAsia"/>
          <w:color w:val="000000"/>
          <w:highlight w:val="none"/>
          <w:lang w:eastAsia="zh-CN"/>
        </w:rPr>
        <w:t xml:space="preserve">2026年度监测技术支撑项目（重新采购）</w:t>
      </w:r>
      <w:r>
        <w:rPr>
          <w:rFonts w:hint="eastAsia"/>
          <w:color w:val="000000"/>
          <w:highlight w:val="none"/>
        </w:rPr>
        <w:t xml:space="preserve">（包</w:t>
      </w:r>
      <w:r>
        <w:rPr>
          <w:rFonts w:hint="eastAsia"/>
          <w:color w:val="000000"/>
          <w:highlight w:val="none"/>
          <w:u w:val="single"/>
        </w:rPr>
        <w:t xml:space="preserve">     </w:t>
      </w:r>
      <w:r>
        <w:rPr>
          <w:rFonts w:hint="eastAsia"/>
          <w:color w:val="000000"/>
          <w:highlight w:val="none"/>
        </w:rPr>
        <w:t xml:space="preserve">）</w:t>
      </w:r>
      <w:r/>
    </w:p>
    <w:p>
      <w:pPr>
        <w:rPr>
          <w:color w:val="000000"/>
          <w:highlight w:val="none"/>
        </w:rPr>
      </w:pPr>
      <w:r>
        <w:rPr>
          <w:color w:val="000000"/>
          <w:highlight w:val="none"/>
        </w:rPr>
        <w:t xml:space="preserve">投标人全称（加盖公章）：</w:t>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0"/>
        <w:gridCol w:w="2693"/>
        <w:gridCol w:w="1948"/>
        <w:gridCol w:w="2696"/>
      </w:tblGrid>
      <w:tr>
        <w:trPr>
          <w:cantSplit/>
          <w:trHeight w:val="577"/>
        </w:trPr>
        <w:tc>
          <w:tcPr>
            <w:tcW w:w="1950" w:type="dxa"/>
            <w:vAlign w:val="center"/>
            <w:textDirection w:val="lrTb"/>
            <w:noWrap w:val="false"/>
          </w:tcPr>
          <w:p>
            <w:pPr>
              <w:jc w:val="center"/>
              <w:rPr>
                <w:color w:val="000000"/>
                <w:highlight w:val="none"/>
              </w:rPr>
            </w:pPr>
            <w:r>
              <w:rPr>
                <w:color w:val="000000"/>
                <w:highlight w:val="none"/>
              </w:rPr>
              <w:t xml:space="preserve">1</w:t>
            </w:r>
            <w:r/>
          </w:p>
        </w:tc>
        <w:tc>
          <w:tcPr>
            <w:tcW w:w="2693" w:type="dxa"/>
            <w:vAlign w:val="center"/>
            <w:textDirection w:val="lrTb"/>
            <w:noWrap w:val="false"/>
          </w:tcPr>
          <w:p>
            <w:pPr>
              <w:jc w:val="center"/>
              <w:rPr>
                <w:color w:val="000000"/>
                <w:highlight w:val="none"/>
              </w:rPr>
            </w:pPr>
            <w:r>
              <w:rPr>
                <w:color w:val="000000"/>
                <w:highlight w:val="none"/>
              </w:rPr>
              <w:t xml:space="preserve">2</w:t>
            </w:r>
            <w:r/>
          </w:p>
        </w:tc>
        <w:tc>
          <w:tcPr>
            <w:tcW w:w="1948" w:type="dxa"/>
            <w:vAlign w:val="center"/>
            <w:textDirection w:val="lrTb"/>
            <w:noWrap w:val="false"/>
          </w:tcPr>
          <w:p>
            <w:pPr>
              <w:jc w:val="center"/>
              <w:rPr>
                <w:color w:val="000000"/>
                <w:highlight w:val="none"/>
              </w:rPr>
            </w:pPr>
            <w:r>
              <w:rPr>
                <w:color w:val="000000"/>
                <w:highlight w:val="none"/>
              </w:rPr>
              <w:t xml:space="preserve">3</w:t>
            </w:r>
            <w:r/>
          </w:p>
        </w:tc>
        <w:tc>
          <w:tcPr>
            <w:tcW w:w="2696" w:type="dxa"/>
            <w:vAlign w:val="center"/>
            <w:textDirection w:val="lrTb"/>
            <w:noWrap w:val="false"/>
          </w:tcPr>
          <w:p>
            <w:pPr>
              <w:jc w:val="center"/>
              <w:rPr>
                <w:color w:val="000000"/>
                <w:highlight w:val="none"/>
              </w:rPr>
            </w:pPr>
            <w:r>
              <w:rPr>
                <w:color w:val="000000"/>
                <w:highlight w:val="none"/>
              </w:rPr>
              <w:t xml:space="preserve">4</w:t>
            </w:r>
            <w:r/>
          </w:p>
        </w:tc>
      </w:tr>
      <w:tr>
        <w:trPr>
          <w:cantSplit/>
        </w:trPr>
        <w:tc>
          <w:tcPr>
            <w:tcW w:w="1950" w:type="dxa"/>
            <w:vAlign w:val="center"/>
            <w:textDirection w:val="lrTb"/>
            <w:noWrap w:val="false"/>
          </w:tcPr>
          <w:p>
            <w:pPr>
              <w:jc w:val="center"/>
              <w:rPr>
                <w:color w:val="000000"/>
                <w:highlight w:val="none"/>
              </w:rPr>
            </w:pPr>
            <w:r>
              <w:rPr>
                <w:color w:val="000000"/>
                <w:highlight w:val="none"/>
              </w:rPr>
              <w:t xml:space="preserve">货物、服务名称及规格、型号</w:t>
            </w:r>
            <w:r/>
          </w:p>
        </w:tc>
        <w:tc>
          <w:tcPr>
            <w:tcW w:w="2693" w:type="dxa"/>
            <w:vAlign w:val="center"/>
            <w:textDirection w:val="lrTb"/>
            <w:noWrap w:val="false"/>
          </w:tcPr>
          <w:p>
            <w:pPr>
              <w:jc w:val="center"/>
              <w:rPr>
                <w:color w:val="000000"/>
                <w:highlight w:val="none"/>
              </w:rPr>
            </w:pPr>
            <w:r>
              <w:rPr>
                <w:color w:val="000000"/>
                <w:highlight w:val="none"/>
              </w:rPr>
              <w:t xml:space="preserve">取费基数</w:t>
            </w:r>
            <w:r/>
          </w:p>
        </w:tc>
        <w:tc>
          <w:tcPr>
            <w:tcW w:w="1948" w:type="dxa"/>
            <w:vAlign w:val="center"/>
            <w:textDirection w:val="lrTb"/>
            <w:noWrap w:val="false"/>
          </w:tcPr>
          <w:p>
            <w:pPr>
              <w:jc w:val="center"/>
              <w:rPr>
                <w:color w:val="000000"/>
                <w:highlight w:val="none"/>
              </w:rPr>
            </w:pPr>
            <w:r>
              <w:rPr>
                <w:rFonts w:hint="eastAsia"/>
                <w:color w:val="000000"/>
                <w:highlight w:val="none"/>
              </w:rPr>
              <w:t xml:space="preserve">优惠</w:t>
            </w:r>
            <w:r>
              <w:rPr>
                <w:color w:val="000000"/>
                <w:highlight w:val="none"/>
              </w:rPr>
              <w:t xml:space="preserve">率</w:t>
            </w:r>
            <w:r/>
          </w:p>
        </w:tc>
        <w:tc>
          <w:tcPr>
            <w:tcW w:w="2696" w:type="dxa"/>
            <w:vAlign w:val="center"/>
            <w:textDirection w:val="lrTb"/>
            <w:noWrap w:val="false"/>
          </w:tcPr>
          <w:p>
            <w:pPr>
              <w:jc w:val="center"/>
              <w:rPr>
                <w:color w:val="000000"/>
                <w:highlight w:val="none"/>
              </w:rPr>
            </w:pPr>
            <w:r>
              <w:rPr>
                <w:color w:val="000000"/>
                <w:highlight w:val="none"/>
              </w:rPr>
              <w:t xml:space="preserve">备注</w:t>
            </w:r>
            <w:r/>
          </w:p>
        </w:tc>
      </w:tr>
      <w:tr>
        <w:trPr>
          <w:cantSplit/>
          <w:trHeight w:val="980"/>
        </w:trPr>
        <w:tc>
          <w:tcPr>
            <w:tcW w:w="1950" w:type="dxa"/>
            <w:vAlign w:val="center"/>
            <w:textDirection w:val="lrTb"/>
            <w:noWrap w:val="false"/>
          </w:tcPr>
          <w:p>
            <w:pPr>
              <w:jc w:val="center"/>
              <w:rPr>
                <w:color w:val="000000"/>
                <w:highlight w:val="none"/>
              </w:rPr>
            </w:pPr>
            <w:r>
              <w:rPr>
                <w:color w:val="000000"/>
                <w:highlight w:val="none"/>
              </w:rPr>
              <w:t xml:space="preserve">监测服务费</w:t>
            </w:r>
            <w:r/>
          </w:p>
        </w:tc>
        <w:tc>
          <w:tcPr>
            <w:tcW w:w="2693" w:type="dxa"/>
            <w:vAlign w:val="center"/>
            <w:textDirection w:val="lrTb"/>
            <w:noWrap w:val="false"/>
          </w:tcPr>
          <w:p>
            <w:pPr>
              <w:jc w:val="center"/>
              <w:rPr>
                <w:color w:val="000000"/>
                <w:highlight w:val="none"/>
              </w:rPr>
            </w:pPr>
            <w:r>
              <w:rPr>
                <w:color w:val="000000"/>
                <w:highlight w:val="none"/>
              </w:rPr>
              <w:t xml:space="preserve">《江苏省环境监测专业服务收费标准》（苏价费[2006]397号）单价</w:t>
            </w:r>
            <w:r/>
          </w:p>
        </w:tc>
        <w:tc>
          <w:tcPr>
            <w:tcW w:w="1948" w:type="dxa"/>
            <w:vAlign w:val="center"/>
            <w:vMerge w:val="restart"/>
            <w:textDirection w:val="lrTb"/>
            <w:noWrap w:val="false"/>
          </w:tcPr>
          <w:p>
            <w:pPr>
              <w:ind w:firstLine="360"/>
              <w:rPr>
                <w:color w:val="000000"/>
                <w:highlight w:val="none"/>
              </w:rPr>
            </w:pPr>
            <w:r>
              <w:rPr>
                <w:color w:val="000000"/>
                <w:highlight w:val="none"/>
                <w:u w:val="single"/>
              </w:rPr>
              <w:t xml:space="preserve">     </w:t>
            </w:r>
            <w:r>
              <w:rPr>
                <w:rFonts w:hint="eastAsia"/>
                <w:color w:val="000000"/>
                <w:highlight w:val="none"/>
              </w:rPr>
              <w:t xml:space="preserve">%</w:t>
            </w:r>
            <w:r/>
          </w:p>
          <w:p>
            <w:pPr>
              <w:jc w:val="center"/>
              <w:rPr>
                <w:color w:val="000000"/>
                <w:highlight w:val="none"/>
              </w:rPr>
            </w:pPr>
            <w:r>
              <w:rPr>
                <w:color w:val="000000"/>
                <w:highlight w:val="none"/>
              </w:rPr>
            </w:r>
            <w:r/>
          </w:p>
          <w:p>
            <w:pPr>
              <w:jc w:val="center"/>
              <w:rPr>
                <w:color w:val="000000"/>
                <w:highlight w:val="none"/>
              </w:rPr>
            </w:pPr>
            <w:r>
              <w:rPr>
                <w:color w:val="000000"/>
                <w:highlight w:val="none"/>
              </w:rPr>
              <w:t xml:space="preserve">（即按取费基数</w:t>
            </w:r>
            <w:r>
              <w:rPr>
                <w:rFonts w:hint="eastAsia"/>
                <w:color w:val="000000"/>
                <w:highlight w:val="none"/>
              </w:rPr>
              <w:t xml:space="preserve">优惠</w:t>
            </w:r>
            <w:r>
              <w:rPr>
                <w:color w:val="000000"/>
                <w:highlight w:val="none"/>
                <w:u w:val="single"/>
              </w:rPr>
              <w:t xml:space="preserve">    </w:t>
            </w:r>
            <w:r>
              <w:rPr>
                <w:color w:val="000000"/>
                <w:highlight w:val="none"/>
              </w:rPr>
              <w:t xml:space="preserve">%</w:t>
            </w:r>
            <w:r/>
          </w:p>
        </w:tc>
        <w:tc>
          <w:tcPr>
            <w:tcW w:w="2696" w:type="dxa"/>
            <w:vAlign w:val="center"/>
            <w:vMerge w:val="restart"/>
            <w:textDirection w:val="lrTb"/>
            <w:noWrap w:val="false"/>
          </w:tcPr>
          <w:p>
            <w:pPr>
              <w:rPr>
                <w:b/>
                <w:bCs/>
                <w:color w:val="000000"/>
                <w:highlight w:val="none"/>
              </w:rPr>
            </w:pPr>
            <w:r>
              <w:rPr>
                <w:rFonts w:hint="eastAsia"/>
                <w:b/>
                <w:bCs/>
                <w:color w:val="000000"/>
                <w:highlight w:val="none"/>
              </w:rPr>
              <w:t xml:space="preserve">1、优惠</w:t>
            </w:r>
            <w:r>
              <w:rPr>
                <w:b/>
                <w:bCs/>
                <w:color w:val="000000"/>
                <w:highlight w:val="none"/>
              </w:rPr>
              <w:t xml:space="preserve">率必须相同。</w:t>
            </w:r>
            <w:r/>
          </w:p>
          <w:p>
            <w:pPr>
              <w:rPr>
                <w:color w:val="000000"/>
                <w:highlight w:val="none"/>
              </w:rPr>
            </w:pPr>
            <w:r>
              <w:rPr>
                <w:b/>
                <w:bCs/>
                <w:color w:val="000000"/>
                <w:highlight w:val="none"/>
              </w:rPr>
              <w:t xml:space="preserve">2、如</w:t>
            </w:r>
            <w:r>
              <w:rPr>
                <w:rFonts w:hint="eastAsia"/>
                <w:b/>
                <w:bCs/>
                <w:color w:val="000000"/>
                <w:highlight w:val="none"/>
              </w:rPr>
              <w:t xml:space="preserve">优惠率高于70%</w:t>
            </w:r>
            <w:r>
              <w:rPr>
                <w:b/>
                <w:bCs/>
                <w:color w:val="000000"/>
                <w:highlight w:val="none"/>
              </w:rPr>
              <w:t xml:space="preserve">须提供详细的成本核算情况说明及相关证明材料。</w:t>
            </w:r>
            <w:r/>
          </w:p>
        </w:tc>
      </w:tr>
      <w:tr>
        <w:trPr>
          <w:cantSplit/>
          <w:trHeight w:val="980"/>
        </w:trPr>
        <w:tc>
          <w:tcPr>
            <w:tcW w:w="1950" w:type="dxa"/>
            <w:vAlign w:val="center"/>
            <w:textDirection w:val="lrTb"/>
            <w:noWrap w:val="false"/>
          </w:tcPr>
          <w:p>
            <w:pPr>
              <w:jc w:val="center"/>
              <w:rPr>
                <w:color w:val="000000"/>
                <w:highlight w:val="none"/>
              </w:rPr>
            </w:pPr>
            <w:r>
              <w:rPr>
                <w:color w:val="000000"/>
                <w:highlight w:val="none"/>
              </w:rPr>
              <w:t xml:space="preserve">人员劳务费</w:t>
            </w:r>
            <w:r/>
          </w:p>
        </w:tc>
        <w:tc>
          <w:tcPr>
            <w:tcW w:w="2693" w:type="dxa"/>
            <w:vAlign w:val="center"/>
            <w:textDirection w:val="lrTb"/>
            <w:noWrap w:val="false"/>
          </w:tcPr>
          <w:p>
            <w:pPr>
              <w:jc w:val="center"/>
              <w:rPr>
                <w:color w:val="000000"/>
                <w:highlight w:val="none"/>
              </w:rPr>
            </w:pPr>
            <w:r>
              <w:rPr>
                <w:color w:val="000000"/>
                <w:highlight w:val="none"/>
              </w:rPr>
              <w:t xml:space="preserve">200元/人/天</w:t>
            </w:r>
            <w:r/>
          </w:p>
        </w:tc>
        <w:tc>
          <w:tcPr>
            <w:tcW w:w="1948" w:type="dxa"/>
            <w:vAlign w:val="center"/>
            <w:vMerge w:val="continue"/>
            <w:textDirection w:val="lrTb"/>
            <w:noWrap w:val="false"/>
          </w:tcPr>
          <w:p>
            <w:pPr>
              <w:rPr>
                <w:color w:val="000000"/>
                <w:highlight w:val="none"/>
              </w:rPr>
            </w:pPr>
            <w:r>
              <w:rPr>
                <w:color w:val="000000"/>
                <w:highlight w:val="none"/>
              </w:rPr>
            </w:r>
            <w:r/>
          </w:p>
        </w:tc>
        <w:tc>
          <w:tcPr>
            <w:tcW w:w="2696" w:type="dxa"/>
            <w:vAlign w:val="center"/>
            <w:vMerge w:val="continue"/>
            <w:textDirection w:val="lrTb"/>
            <w:noWrap w:val="false"/>
          </w:tcPr>
          <w:p>
            <w:pPr>
              <w:rPr>
                <w:color w:val="000000"/>
                <w:highlight w:val="none"/>
              </w:rPr>
            </w:pPr>
            <w:r>
              <w:rPr>
                <w:color w:val="000000"/>
                <w:highlight w:val="none"/>
              </w:rPr>
            </w:r>
            <w:r/>
          </w:p>
        </w:tc>
      </w:tr>
      <w:tr>
        <w:trPr>
          <w:cantSplit/>
          <w:trHeight w:val="980"/>
        </w:trPr>
        <w:tc>
          <w:tcPr>
            <w:tcW w:w="1950" w:type="dxa"/>
            <w:vAlign w:val="center"/>
            <w:textDirection w:val="lrTb"/>
            <w:noWrap w:val="false"/>
          </w:tcPr>
          <w:p>
            <w:pPr>
              <w:jc w:val="center"/>
              <w:rPr>
                <w:color w:val="000000"/>
                <w:highlight w:val="none"/>
              </w:rPr>
            </w:pPr>
            <w:r>
              <w:rPr>
                <w:color w:val="000000"/>
                <w:highlight w:val="none"/>
              </w:rPr>
              <w:t xml:space="preserve">交通费</w:t>
            </w:r>
            <w:r/>
          </w:p>
        </w:tc>
        <w:tc>
          <w:tcPr>
            <w:tcW w:w="2693" w:type="dxa"/>
            <w:vAlign w:val="center"/>
            <w:textDirection w:val="lrTb"/>
            <w:noWrap w:val="false"/>
          </w:tcPr>
          <w:p>
            <w:pPr>
              <w:jc w:val="center"/>
              <w:rPr>
                <w:color w:val="000000"/>
                <w:highlight w:val="none"/>
              </w:rPr>
            </w:pPr>
            <w:r>
              <w:rPr>
                <w:color w:val="000000"/>
                <w:highlight w:val="none"/>
              </w:rPr>
              <w:t xml:space="preserve">600元/车/天</w:t>
            </w:r>
            <w:r/>
          </w:p>
        </w:tc>
        <w:tc>
          <w:tcPr>
            <w:tcW w:w="1948" w:type="dxa"/>
            <w:vAlign w:val="center"/>
            <w:vMerge w:val="continue"/>
            <w:textDirection w:val="lrTb"/>
            <w:noWrap w:val="false"/>
          </w:tcPr>
          <w:p>
            <w:pPr>
              <w:rPr>
                <w:color w:val="000000"/>
                <w:highlight w:val="none"/>
              </w:rPr>
            </w:pPr>
            <w:r>
              <w:rPr>
                <w:color w:val="000000"/>
                <w:highlight w:val="none"/>
              </w:rPr>
            </w:r>
            <w:r/>
          </w:p>
        </w:tc>
        <w:tc>
          <w:tcPr>
            <w:tcW w:w="2696" w:type="dxa"/>
            <w:vAlign w:val="center"/>
            <w:vMerge w:val="continue"/>
            <w:textDirection w:val="lrTb"/>
            <w:noWrap w:val="false"/>
          </w:tcPr>
          <w:p>
            <w:pPr>
              <w:rPr>
                <w:color w:val="000000"/>
                <w:highlight w:val="none"/>
              </w:rPr>
            </w:pPr>
            <w:r>
              <w:rPr>
                <w:color w:val="000000"/>
                <w:highlight w:val="none"/>
              </w:rPr>
            </w:r>
            <w:r/>
          </w:p>
        </w:tc>
      </w:tr>
    </w:tbl>
    <w:p>
      <w:pPr>
        <w:rPr>
          <w:color w:val="000000"/>
          <w:highlight w:val="none"/>
        </w:rPr>
      </w:pPr>
      <w:r>
        <w:rPr>
          <w:color w:val="000000"/>
          <w:highlight w:val="none"/>
        </w:rPr>
      </w:r>
      <w:r/>
    </w:p>
    <w:p>
      <w:pPr>
        <w:rPr>
          <w:color w:val="000000"/>
          <w:highlight w:val="none"/>
        </w:rPr>
      </w:pPr>
      <w:r>
        <w:rPr>
          <w:color w:val="000000"/>
          <w:highlight w:val="none"/>
        </w:rPr>
        <w:t xml:space="preserve">注：以上报价包含采购项目所涉及的所有费用，投标人须综合考虑计入并慎重填报</w:t>
      </w:r>
      <w:r>
        <w:rPr>
          <w:rFonts w:hint="eastAsia"/>
          <w:color w:val="000000"/>
          <w:highlight w:val="none"/>
        </w:rPr>
        <w:t xml:space="preserve">优惠</w:t>
      </w:r>
      <w:r>
        <w:rPr>
          <w:color w:val="000000"/>
          <w:highlight w:val="none"/>
        </w:rPr>
        <w:t xml:space="preserve">率，中标后不再另行结算其它费用。</w:t>
      </w:r>
      <w:r/>
    </w:p>
    <w:p>
      <w:pPr>
        <w:rPr>
          <w:color w:val="000000"/>
          <w:highlight w:val="none"/>
        </w:rPr>
      </w:pPr>
      <w:r>
        <w:rPr>
          <w:color w:val="000000"/>
          <w:highlight w:val="none"/>
        </w:rPr>
      </w:r>
      <w:r/>
    </w:p>
    <w:p>
      <w:pPr>
        <w:rPr>
          <w:color w:val="000000"/>
          <w:highlight w:val="none"/>
        </w:rPr>
      </w:pPr>
      <w:r>
        <w:rPr>
          <w:color w:val="000000"/>
          <w:highlight w:val="none"/>
        </w:rPr>
        <w:t xml:space="preserve">法定代表人或授权代表签字：</w:t>
      </w:r>
      <w:r/>
    </w:p>
    <w:p>
      <w:pPr>
        <w:rPr>
          <w:color w:val="000000"/>
          <w:highlight w:val="none"/>
        </w:rPr>
      </w:pPr>
      <w:r>
        <w:rPr>
          <w:color w:val="000000"/>
          <w:highlight w:val="none"/>
        </w:rPr>
      </w:r>
      <w:r/>
    </w:p>
    <w:p>
      <w:pPr>
        <w:ind w:firstLine="480"/>
        <w:jc w:val="right"/>
        <w:rPr>
          <w:color w:val="000000"/>
          <w:highlight w:val="none"/>
        </w:rPr>
      </w:pPr>
      <w:r>
        <w:rPr>
          <w:color w:val="000000"/>
          <w:highlight w:val="none"/>
        </w:rPr>
        <w:t xml:space="preserve">日期：  </w:t>
      </w:r>
      <w:r>
        <w:rPr>
          <w:color w:val="000000"/>
          <w:highlight w:val="none"/>
          <w:u w:val="single"/>
        </w:rPr>
        <w:t xml:space="preserve">     </w:t>
      </w:r>
      <w:r>
        <w:rPr>
          <w:color w:val="000000"/>
          <w:highlight w:val="none"/>
        </w:rPr>
        <w:t xml:space="preserve">年</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月</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日</w:t>
      </w:r>
      <w:r/>
    </w:p>
    <w:p>
      <w:pPr>
        <w:rPr>
          <w:color w:val="000000"/>
          <w:highlight w:val="none"/>
        </w:rPr>
      </w:pPr>
      <w:r>
        <w:rPr>
          <w:color w:val="000000"/>
          <w:highlight w:val="none"/>
        </w:rPr>
      </w:r>
      <w:r/>
    </w:p>
    <w:p>
      <w:pPr>
        <w:rPr>
          <w:color w:val="000000"/>
          <w:highlight w:val="none"/>
        </w:rPr>
      </w:pPr>
      <w:r>
        <w:rPr>
          <w:color w:val="000000"/>
          <w:highlight w:val="none"/>
        </w:rPr>
        <w:t xml:space="preserve">填写说明：</w:t>
      </w:r>
      <w:r/>
    </w:p>
    <w:p>
      <w:pPr>
        <w:rPr>
          <w:color w:val="000000"/>
          <w:highlight w:val="none"/>
        </w:rPr>
      </w:pPr>
      <w:r>
        <w:rPr>
          <w:color w:val="000000"/>
          <w:highlight w:val="none"/>
        </w:rPr>
        <w:t xml:space="preserve">1、磋商响应报价表和磋商响应报价明细表必须单独密封在报价响应文件中，在投标截止时间前与响应文件其他部分分别递交，否则视为无效投标。</w:t>
      </w:r>
      <w:r/>
    </w:p>
    <w:p>
      <w:pPr>
        <w:rPr>
          <w:color w:val="000000"/>
          <w:highlight w:val="none"/>
        </w:rPr>
      </w:pPr>
      <w:r>
        <w:rPr>
          <w:color w:val="000000"/>
          <w:highlight w:val="none"/>
        </w:rPr>
        <w:t xml:space="preserve">2、磋商响应报价表和磋商响应报价明细表必须加盖投标单位公章（复印件无效）。</w:t>
      </w:r>
      <w:r/>
    </w:p>
    <w:p>
      <w:pPr>
        <w:jc w:val="center"/>
        <w:spacing w:line="420" w:lineRule="exact"/>
        <w:rPr>
          <w:b/>
          <w:bCs/>
          <w:highlight w:val="none"/>
        </w:rPr>
      </w:pPr>
      <w:r>
        <w:rPr>
          <w:b/>
          <w:bCs/>
          <w:highlight w:val="none"/>
        </w:rPr>
      </w:r>
      <w:r/>
    </w:p>
    <w:p>
      <w:pPr>
        <w:rPr>
          <w:rFonts w:hint="default" w:ascii="仿宋" w:hAnsi="仿宋" w:eastAsia="仿宋" w:cs="仿宋"/>
          <w:sz w:val="28"/>
          <w:szCs w:val="28"/>
          <w:highlight w:val="none"/>
          <w:lang w:val="en-US" w:eastAsia="zh-CN"/>
        </w:rPr>
      </w:pPr>
      <w:r>
        <w:rPr>
          <w:rFonts w:hint="eastAsia"/>
          <w:sz w:val="28"/>
          <w:szCs w:val="28"/>
          <w:highlight w:val="none"/>
          <w:lang w:val="zh-CN"/>
        </w:rPr>
        <w:br w:type="page" w:clear="all"/>
      </w:r>
      <w:r/>
    </w:p>
    <w:p>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11、 小微企业、监狱企业、残疾人福利单位的声明函或证明材料</w:t>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本公司郑重声明，根据《政府采购促进中小企业发展管理办法》（财库﹝2020﹞46 号）的规定，本公司（联合体）参加</w:t>
      </w:r>
      <w:r>
        <w:rPr>
          <w:rFonts w:hint="eastAsia" w:ascii="仿宋" w:hAnsi="仿宋" w:eastAsia="仿宋" w:cs="仿宋"/>
          <w:sz w:val="28"/>
          <w:szCs w:val="28"/>
          <w:highlight w:val="none"/>
          <w:u w:val="single"/>
        </w:rPr>
        <w:t xml:space="preserve">  （单位名称）   </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    （项目名称）   </w:t>
      </w:r>
      <w:r>
        <w:rPr>
          <w:rFonts w:hint="eastAsia" w:ascii="仿宋" w:hAnsi="仿宋" w:eastAsia="仿宋" w:cs="仿宋"/>
          <w:sz w:val="28"/>
          <w:szCs w:val="28"/>
          <w:highlight w:val="none"/>
        </w:rPr>
        <w:t xml:space="preserve">采购活动，服务全部由符合政策要求的中小企业承接。相关企业（含联合体中的中小企业、签订分包意向协议的中小企业）的具体情况如下：</w:t>
      </w:r>
      <w:r/>
    </w:p>
    <w:p>
      <w:pPr>
        <w:ind w:firstLine="560"/>
        <w:jc w:val="left"/>
        <w:spacing w:line="500" w:lineRule="exact"/>
        <w:tabs>
          <w:tab w:val="left" w:pos="124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，属</w:t>
      </w:r>
      <w:r>
        <w:rPr>
          <w:rFonts w:hint="eastAsia" w:ascii="仿宋" w:hAnsi="仿宋" w:eastAsia="仿宋" w:cs="仿宋"/>
          <w:sz w:val="28"/>
          <w:szCs w:val="28"/>
          <w:highlight w:val="none"/>
          <w:u w:val="single"/>
        </w:rPr>
        <w:t xml:space="preserve">   其他未列明行业（科学研究和技术服务业）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t xml:space="preserve">承接企业为</w:t>
      </w:r>
      <w:r>
        <w:rPr>
          <w:rFonts w:hint="eastAsia" w:ascii="仿宋" w:hAnsi="仿宋" w:eastAsia="仿宋" w:cs="仿宋"/>
          <w:sz w:val="28"/>
          <w:szCs w:val="28"/>
          <w:highlight w:val="none"/>
          <w:u w:val="single"/>
        </w:rPr>
        <w:t xml:space="preserve">  （企业名称）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 xml:space="preserve">人，营业收入为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"_bookmark0" </w:instrText>
      </w:r>
      <w:r>
        <w:rPr>
          <w:rFonts w:hint="eastAsia" w:ascii="仿宋" w:hAnsi="仿宋" w:eastAsia="仿宋" w:cs="仿宋"/>
          <w:sz w:val="28"/>
          <w:szCs w:val="28"/>
          <w:highlight w:val="none"/>
        </w:rPr>
        <w:fldChar w:fldCharType="separate"/>
      </w:r>
      <w:r>
        <w:rPr>
          <w:rFonts w:hint="eastAsia" w:ascii="仿宋" w:hAnsi="仿宋" w:eastAsia="仿宋" w:cs="仿宋"/>
          <w:position w:val="16"/>
          <w:sz w:val="28"/>
          <w:szCs w:val="28"/>
          <w:highlight w:val="none"/>
        </w:rPr>
        <w:t xml:space="preserve">1</w:t>
      </w:r>
      <w:r>
        <w:rPr>
          <w:rFonts w:hint="eastAsia" w:ascii="仿宋" w:hAnsi="仿宋" w:eastAsia="仿宋" w:cs="仿宋"/>
          <w:position w:val="16"/>
          <w:sz w:val="28"/>
          <w:szCs w:val="28"/>
          <w:highlight w:val="none"/>
        </w:rPr>
        <w:fldChar w:fldCharType="end"/>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   （中型企业、</w:t>
      </w:r>
      <w:r>
        <w:rPr>
          <w:rFonts w:hint="eastAsia" w:ascii="仿宋" w:hAnsi="仿宋" w:eastAsia="仿宋" w:cs="仿宋"/>
          <w:sz w:val="28"/>
          <w:szCs w:val="28"/>
          <w:highlight w:val="none"/>
          <w:u w:val="single"/>
        </w:rPr>
        <w:t xml:space="preserve">小型企业、微型企业） </w:t>
      </w:r>
      <w:r>
        <w:rPr>
          <w:rFonts w:hint="eastAsia" w:ascii="仿宋" w:hAnsi="仿宋" w:eastAsia="仿宋" w:cs="仿宋"/>
          <w:sz w:val="28"/>
          <w:szCs w:val="28"/>
          <w:highlight w:val="none"/>
        </w:rPr>
        <w:t xml:space="preserve">；</w:t>
      </w:r>
      <w:r/>
    </w:p>
    <w:p>
      <w:pPr>
        <w:ind w:firstLine="560"/>
        <w:jc w:val="left"/>
        <w:spacing w:line="500" w:lineRule="exact"/>
        <w:tabs>
          <w:tab w:val="left" w:pos="1243"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，属</w:t>
      </w:r>
      <w:r>
        <w:rPr>
          <w:rFonts w:hint="eastAsia" w:ascii="仿宋" w:hAnsi="仿宋" w:eastAsia="仿宋" w:cs="仿宋"/>
          <w:sz w:val="28"/>
          <w:szCs w:val="28"/>
          <w:highlight w:val="none"/>
          <w:u w:val="single"/>
        </w:rPr>
        <w:t xml:space="preserve">   其他未列明行业（科学研究和技术服务业）</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t xml:space="preserve">承接企业为</w:t>
      </w:r>
      <w:r>
        <w:rPr>
          <w:rFonts w:hint="eastAsia" w:ascii="仿宋" w:hAnsi="仿宋" w:eastAsia="仿宋" w:cs="仿宋"/>
          <w:sz w:val="28"/>
          <w:szCs w:val="28"/>
          <w:highlight w:val="none"/>
          <w:u w:val="single"/>
        </w:rPr>
        <w:t xml:space="preserve">  （企业名称）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 xml:space="preserve">人，营业收入为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万元，属于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 xml:space="preserve">小型企业、微型企业） </w:t>
      </w:r>
      <w:r>
        <w:rPr>
          <w:rFonts w:hint="eastAsia" w:ascii="仿宋" w:hAnsi="仿宋" w:eastAsia="仿宋" w:cs="仿宋"/>
          <w:sz w:val="28"/>
          <w:szCs w:val="28"/>
          <w:highlight w:val="none"/>
        </w:rPr>
        <w:t xml:space="preserve">。</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04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企业名称（盖章）：</w:t>
      </w:r>
      <w:r/>
    </w:p>
    <w:p>
      <w:pPr>
        <w:ind w:firstLine="504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p>
    <w:p>
      <w:pPr>
        <w:ind w:firstLine="48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jc w:val="center"/>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（二）监狱企业证明</w:t>
      </w:r>
      <w:r/>
    </w:p>
    <w:p>
      <w:pPr>
        <w:ind w:firstLine="48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（注：符合条件的监狱企业请提供本函，不符合的不提供本函）</w:t>
      </w:r>
      <w:r/>
    </w:p>
    <w:p>
      <w:pPr>
        <w:pStyle w:val="896"/>
        <w:ind w:firstLine="480"/>
        <w:spacing w:before="1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before="12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省级以上监狱管理局、戒毒管理局（含新疆生产建设兵团）出具的属于监狱企业的证明文件。</w:t>
      </w:r>
      <w:r/>
    </w:p>
    <w:p>
      <w:pPr>
        <w:pStyle w:val="896"/>
        <w:ind w:firstLine="480"/>
        <w:spacing w:before="1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jc w:val="center"/>
        <w:rPr>
          <w:rFonts w:hint="eastAsia" w:ascii="仿宋" w:hAnsi="仿宋" w:eastAsia="仿宋" w:cs="仿宋"/>
          <w:sz w:val="28"/>
          <w:szCs w:val="28"/>
          <w:highlight w:val="none"/>
        </w:rPr>
        <w:outlineLvl w:val="3"/>
      </w:pPr>
      <w:r>
        <w:rPr>
          <w:rFonts w:hint="eastAsia" w:ascii="仿宋" w:hAnsi="仿宋" w:eastAsia="仿宋" w:cs="仿宋"/>
          <w:sz w:val="28"/>
          <w:szCs w:val="28"/>
          <w:highlight w:val="none"/>
        </w:rPr>
        <w:t xml:space="preserve">（三）残疾人福利性单位声明函</w:t>
      </w:r>
      <w:r/>
    </w:p>
    <w:p>
      <w:pPr>
        <w:ind w:firstLine="48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（注：符合条件的残疾人福利性单位请提供本函，不符合的不提供本函）</w:t>
      </w:r>
      <w:r/>
    </w:p>
    <w:p>
      <w:pPr>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88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单位名称（盖章）：</w:t>
      </w:r>
      <w:r/>
    </w:p>
    <w:p>
      <w:pPr>
        <w:ind w:firstLine="48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88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p>
    <w:p>
      <w:pPr>
        <w:ind w:firstLine="560"/>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20"/>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4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560"/>
        <w:spacing w:line="4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560"/>
        <w:spacing w:line="4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560"/>
        <w:spacing w:line="4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spacing w:line="46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rPr>
          <w:rFonts w:hint="eastAsia"/>
          <w:highlight w:val="none"/>
          <w:lang w:val="zh-CN"/>
        </w:rPr>
      </w:pPr>
      <w:r>
        <w:rPr>
          <w:rFonts w:hint="eastAsia"/>
          <w:highlight w:val="none"/>
          <w:lang w:val="zh-CN"/>
        </w:rPr>
      </w:r>
      <w:r/>
    </w:p>
    <w:p>
      <w:pPr>
        <w:rPr>
          <w:highlight w:val="none"/>
        </w:rPr>
      </w:pPr>
      <w:r>
        <w:rPr>
          <w:rFonts w:hint="eastAsia"/>
          <w:highlight w:val="none"/>
          <w:lang w:val="zh-CN"/>
        </w:rPr>
        <w:t xml:space="preserve">附件：</w:t>
      </w:r>
      <w:r>
        <w:rPr>
          <w:rFonts w:hint="eastAsia"/>
          <w:highlight w:val="none"/>
        </w:rPr>
        <w:t xml:space="preserve"> </w:t>
      </w:r>
      <w:r>
        <w:rPr>
          <w:rFonts w:hint="eastAsia"/>
          <w:highlight w:val="none"/>
          <w:lang w:val="en-US" w:eastAsia="zh-CN"/>
        </w:rPr>
        <w:t xml:space="preserve">12</w:t>
      </w:r>
      <w:r>
        <w:rPr>
          <w:rFonts w:hint="eastAsia"/>
          <w:highlight w:val="none"/>
        </w:rPr>
        <w:t xml:space="preserve">   </w:t>
      </w:r>
      <w:r>
        <w:rPr>
          <w:rFonts w:hint="eastAsia"/>
          <w:sz w:val="28"/>
          <w:szCs w:val="24"/>
          <w:highlight w:val="none"/>
        </w:rPr>
        <w:t xml:space="preserve">       </w:t>
      </w:r>
      <w:r>
        <w:rPr>
          <w:sz w:val="28"/>
          <w:szCs w:val="24"/>
          <w:highlight w:val="none"/>
        </w:rPr>
        <w:t xml:space="preserve">评标索引</w:t>
      </w:r>
      <w:r/>
    </w:p>
    <w:p>
      <w:pPr>
        <w:rPr>
          <w:highlight w:val="none"/>
        </w:rPr>
      </w:pPr>
      <w:r>
        <w:rPr>
          <w:highlight w:val="none"/>
        </w:rPr>
        <w:t xml:space="preserve">【本项目建议提供评标索引，</w:t>
      </w:r>
      <w:r>
        <w:rPr>
          <w:spacing w:val="-75"/>
          <w:highlight w:val="none"/>
        </w:rPr>
        <w:t xml:space="preserve"> </w:t>
      </w:r>
      <w:r>
        <w:rPr>
          <w:highlight w:val="none"/>
        </w:rPr>
        <w:t xml:space="preserve">即指明本文件</w:t>
      </w:r>
      <w:r>
        <w:rPr>
          <w:rFonts w:hint="eastAsia"/>
          <w:highlight w:val="none"/>
        </w:rPr>
        <w:t xml:space="preserve">“第四部分 第</w:t>
      </w:r>
      <w:r>
        <w:rPr>
          <w:rFonts w:hint="eastAsia"/>
          <w:highlight w:val="none"/>
          <w:lang w:val="en-US" w:eastAsia="zh-CN"/>
        </w:rPr>
        <w:t xml:space="preserve">六</w:t>
      </w:r>
      <w:r>
        <w:rPr>
          <w:rFonts w:hint="eastAsia"/>
          <w:highlight w:val="none"/>
        </w:rPr>
        <w:t xml:space="preserve"> 评审标准”中</w:t>
      </w:r>
      <w:r>
        <w:rPr>
          <w:spacing w:val="-16"/>
          <w:highlight w:val="none"/>
        </w:rPr>
        <w:t xml:space="preserve">各评审内容所在投标文件页码】</w:t>
      </w:r>
      <w:r/>
    </w:p>
    <w:tbl>
      <w:tblPr>
        <w:tblStyle w:val="899"/>
        <w:tblW w:w="88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3"/>
        <w:gridCol w:w="1365"/>
        <w:gridCol w:w="3136"/>
        <w:gridCol w:w="1969"/>
        <w:gridCol w:w="1749"/>
      </w:tblGrid>
      <w:tr>
        <w:trPr>
          <w:trHeight w:val="588"/>
        </w:trPr>
        <w:tc>
          <w:tcPr>
            <w:tcW w:w="643" w:type="dxa"/>
            <w:textDirection w:val="lrTb"/>
            <w:noWrap w:val="false"/>
          </w:tcPr>
          <w:p>
            <w:pPr>
              <w:rPr>
                <w:highlight w:val="none"/>
              </w:rPr>
            </w:pPr>
            <w:r>
              <w:rPr>
                <w:highlight w:val="none"/>
              </w:rPr>
              <w:t xml:space="preserve">序号</w:t>
            </w:r>
            <w:r/>
          </w:p>
        </w:tc>
        <w:tc>
          <w:tcPr>
            <w:tcW w:w="1365" w:type="dxa"/>
            <w:textDirection w:val="lrTb"/>
            <w:noWrap w:val="false"/>
          </w:tcPr>
          <w:p>
            <w:pPr>
              <w:rPr>
                <w:highlight w:val="none"/>
              </w:rPr>
            </w:pPr>
            <w:r>
              <w:rPr>
                <w:highlight w:val="none"/>
              </w:rPr>
              <w:t xml:space="preserve">评</w:t>
            </w:r>
            <w:r>
              <w:rPr>
                <w:rFonts w:hint="eastAsia"/>
                <w:highlight w:val="none"/>
              </w:rPr>
              <w:t xml:space="preserve">标项目</w:t>
            </w:r>
            <w:r/>
          </w:p>
        </w:tc>
        <w:tc>
          <w:tcPr>
            <w:tcW w:w="3136" w:type="dxa"/>
            <w:textDirection w:val="lrTb"/>
            <w:noWrap w:val="false"/>
          </w:tcPr>
          <w:p>
            <w:pPr>
              <w:rPr>
                <w:highlight w:val="none"/>
              </w:rPr>
            </w:pPr>
            <w:r>
              <w:rPr>
                <w:highlight w:val="none"/>
              </w:rPr>
              <w:t xml:space="preserve">评分标准</w:t>
            </w:r>
            <w:r/>
          </w:p>
        </w:tc>
        <w:tc>
          <w:tcPr>
            <w:tcW w:w="1969" w:type="dxa"/>
            <w:textDirection w:val="lrTb"/>
            <w:noWrap w:val="false"/>
          </w:tcPr>
          <w:p>
            <w:pPr>
              <w:rPr>
                <w:highlight w:val="none"/>
              </w:rPr>
            </w:pPr>
            <w:r>
              <w:rPr>
                <w:highlight w:val="none"/>
              </w:rPr>
              <w:t xml:space="preserve">投标响应情况</w:t>
            </w:r>
            <w:r/>
          </w:p>
          <w:p>
            <w:pPr>
              <w:rPr>
                <w:highlight w:val="none"/>
              </w:rPr>
            </w:pPr>
            <w:r>
              <w:rPr>
                <w:highlight w:val="none"/>
              </w:rPr>
              <w:t xml:space="preserve">简述</w:t>
            </w:r>
            <w:r/>
          </w:p>
        </w:tc>
        <w:tc>
          <w:tcPr>
            <w:tcW w:w="1749" w:type="dxa"/>
            <w:textDirection w:val="lrTb"/>
            <w:noWrap w:val="false"/>
          </w:tcPr>
          <w:p>
            <w:pPr>
              <w:rPr>
                <w:highlight w:val="none"/>
              </w:rPr>
            </w:pPr>
            <w:r>
              <w:rPr>
                <w:highlight w:val="none"/>
              </w:rPr>
              <w:t xml:space="preserve">投标文件对应章</w:t>
            </w:r>
            <w:r>
              <w:rPr>
                <w:spacing w:val="2"/>
                <w:highlight w:val="none"/>
              </w:rPr>
              <w:t xml:space="preserve"> </w:t>
            </w:r>
            <w:r>
              <w:rPr>
                <w:highlight w:val="none"/>
              </w:rPr>
              <w:t xml:space="preserve">节及页码索引</w:t>
            </w:r>
            <w:r/>
          </w:p>
        </w:tc>
      </w:tr>
      <w:tr>
        <w:trPr>
          <w:trHeight w:val="1302"/>
        </w:trPr>
        <w:tc>
          <w:tcPr>
            <w:tcW w:w="643" w:type="dxa"/>
            <w:textDirection w:val="lrTb"/>
            <w:noWrap w:val="false"/>
          </w:tcPr>
          <w:p>
            <w:pPr>
              <w:rPr>
                <w:highlight w:val="none"/>
              </w:rPr>
            </w:pPr>
            <w:r>
              <w:rPr>
                <w:highlight w:val="none"/>
              </w:rPr>
            </w:r>
            <w:r/>
          </w:p>
          <w:p>
            <w:pPr>
              <w:rPr>
                <w:highlight w:val="none"/>
              </w:rPr>
            </w:pPr>
            <w:r>
              <w:rPr>
                <w:highlight w:val="none"/>
              </w:rPr>
            </w:r>
            <w:r/>
          </w:p>
          <w:p>
            <w:pPr>
              <w:rPr>
                <w:highlight w:val="none"/>
              </w:rPr>
            </w:pPr>
            <w:r>
              <w:rPr>
                <w:highlight w:val="none"/>
              </w:rPr>
              <w:t xml:space="preserve">1</w:t>
            </w:r>
            <w:r/>
          </w:p>
        </w:tc>
        <w:tc>
          <w:tcPr>
            <w:tcW w:w="1365" w:type="dxa"/>
            <w:textDirection w:val="lrTb"/>
            <w:noWrap w:val="false"/>
          </w:tcPr>
          <w:p>
            <w:pPr>
              <w:rPr>
                <w:highlight w:val="none"/>
              </w:rPr>
            </w:pPr>
            <w:r>
              <w:rPr>
                <w:highlight w:val="none"/>
              </w:rPr>
              <w:t xml:space="preserve">粘贴</w:t>
            </w:r>
            <w:r>
              <w:rPr>
                <w:rFonts w:hint="eastAsia"/>
                <w:highlight w:val="none"/>
              </w:rPr>
              <w:t xml:space="preserve">第四部分 第</w:t>
            </w:r>
            <w:r>
              <w:rPr>
                <w:rFonts w:hint="eastAsia"/>
                <w:highlight w:val="none"/>
                <w:lang w:val="en-US" w:eastAsia="zh-CN"/>
              </w:rPr>
              <w:t xml:space="preserve">六</w:t>
            </w:r>
            <w:r>
              <w:rPr>
                <w:rFonts w:hint="eastAsia"/>
                <w:highlight w:val="none"/>
              </w:rPr>
              <w:t xml:space="preserve">评审标准</w:t>
            </w:r>
            <w:r>
              <w:rPr>
                <w:spacing w:val="-8"/>
                <w:highlight w:val="none"/>
              </w:rPr>
              <w:t xml:space="preserve">的内容</w:t>
            </w:r>
            <w:r/>
          </w:p>
        </w:tc>
        <w:tc>
          <w:tcPr>
            <w:tcW w:w="3136" w:type="dxa"/>
            <w:textDirection w:val="lrTb"/>
            <w:noWrap w:val="false"/>
          </w:tcPr>
          <w:p>
            <w:pPr>
              <w:rPr>
                <w:highlight w:val="none"/>
              </w:rPr>
            </w:pPr>
            <w:r>
              <w:rPr>
                <w:highlight w:val="none"/>
              </w:rPr>
            </w:r>
            <w:r/>
          </w:p>
          <w:p>
            <w:pPr>
              <w:rPr>
                <w:highlight w:val="none"/>
              </w:rPr>
            </w:pPr>
            <w:r>
              <w:rPr>
                <w:highlight w:val="none"/>
              </w:rPr>
              <w:t xml:space="preserve">粘贴</w:t>
            </w:r>
            <w:r>
              <w:rPr>
                <w:rFonts w:hint="eastAsia"/>
                <w:highlight w:val="none"/>
              </w:rPr>
              <w:t xml:space="preserve">第四部分 第</w:t>
            </w:r>
            <w:r>
              <w:rPr>
                <w:rFonts w:hint="eastAsia"/>
                <w:highlight w:val="none"/>
                <w:lang w:val="en-US" w:eastAsia="zh-CN"/>
              </w:rPr>
              <w:t xml:space="preserve">六</w:t>
            </w:r>
            <w:r>
              <w:rPr>
                <w:rFonts w:hint="eastAsia"/>
                <w:highlight w:val="none"/>
              </w:rPr>
              <w:t xml:space="preserve">评审标准</w:t>
            </w:r>
            <w:r>
              <w:rPr>
                <w:spacing w:val="-8"/>
                <w:highlight w:val="none"/>
              </w:rPr>
              <w:t xml:space="preserve">的内容</w:t>
            </w:r>
            <w:r/>
          </w:p>
        </w:tc>
        <w:tc>
          <w:tcPr>
            <w:tcW w:w="1969" w:type="dxa"/>
            <w:textDirection w:val="lrTb"/>
            <w:noWrap w:val="false"/>
          </w:tcPr>
          <w:p>
            <w:pPr>
              <w:rPr>
                <w:highlight w:val="none"/>
              </w:rPr>
            </w:pPr>
            <w:r>
              <w:rPr>
                <w:highlight w:val="none"/>
              </w:rPr>
              <w:t xml:space="preserve">投标人针对该</w:t>
            </w:r>
            <w:r/>
          </w:p>
          <w:p>
            <w:pPr>
              <w:rPr>
                <w:highlight w:val="none"/>
              </w:rPr>
            </w:pPr>
            <w:r>
              <w:rPr>
                <w:highlight w:val="none"/>
              </w:rPr>
              <w:t xml:space="preserve">评分项的简要</w:t>
            </w:r>
            <w:r/>
          </w:p>
          <w:p>
            <w:pPr>
              <w:rPr>
                <w:highlight w:val="none"/>
              </w:rPr>
            </w:pPr>
            <w:r>
              <w:rPr>
                <w:highlight w:val="none"/>
              </w:rPr>
              <w:t xml:space="preserve">情况，比如</w:t>
            </w:r>
            <w:r>
              <w:rPr>
                <w:rFonts w:eastAsia="Times New Roman"/>
                <w:highlight w:val="none"/>
              </w:rPr>
              <w:t xml:space="preserve">“</w:t>
            </w:r>
            <w:r>
              <w:rPr>
                <w:rFonts w:eastAsia="Times New Roman"/>
                <w:spacing w:val="-14"/>
                <w:highlight w:val="none"/>
              </w:rPr>
              <w:t xml:space="preserve"> </w:t>
            </w:r>
            <w:r>
              <w:rPr>
                <w:highlight w:val="none"/>
              </w:rPr>
              <w:t xml:space="preserve">具</w:t>
            </w:r>
            <w:r/>
          </w:p>
          <w:p>
            <w:pPr>
              <w:rPr>
                <w:highlight w:val="none"/>
              </w:rPr>
            </w:pPr>
            <w:r>
              <w:rPr>
                <w:highlight w:val="none"/>
              </w:rPr>
              <w:t xml:space="preserve">有</w:t>
            </w:r>
            <w:r>
              <w:rPr>
                <w:rFonts w:eastAsia="Times New Roman"/>
                <w:highlight w:val="none"/>
              </w:rPr>
              <w:t xml:space="preserve">X</w:t>
            </w:r>
            <w:r>
              <w:rPr>
                <w:highlight w:val="none"/>
              </w:rPr>
              <w:t xml:space="preserve">个</w:t>
            </w:r>
            <w:r>
              <w:rPr>
                <w:rFonts w:eastAsia="Times New Roman"/>
                <w:highlight w:val="none"/>
              </w:rPr>
              <w:t xml:space="preserve">XXX</w:t>
            </w:r>
            <w:r>
              <w:rPr>
                <w:highlight w:val="none"/>
              </w:rPr>
              <w:t xml:space="preserve">、</w:t>
            </w:r>
            <w:r/>
          </w:p>
          <w:p>
            <w:pPr>
              <w:rPr>
                <w:highlight w:val="none"/>
              </w:rPr>
            </w:pPr>
            <w:r>
              <w:rPr>
                <w:highlight w:val="none"/>
              </w:rPr>
              <w:t xml:space="preserve">XXX</w:t>
            </w:r>
            <w:r>
              <w:rPr>
                <w:spacing w:val="22"/>
                <w:highlight w:val="none"/>
              </w:rPr>
              <w:t xml:space="preserve"> </w:t>
            </w:r>
            <w:r>
              <w:rPr>
                <w:rFonts w:ascii="宋体" w:hAnsi="宋体" w:cs="宋体"/>
                <w:spacing w:val="22"/>
                <w:highlight w:val="none"/>
              </w:rPr>
              <w:t xml:space="preserve">业绩</w:t>
            </w:r>
            <w:r>
              <w:rPr>
                <w:spacing w:val="22"/>
                <w:highlight w:val="none"/>
              </w:rPr>
              <w:t xml:space="preserve">”</w:t>
            </w:r>
            <w:r/>
          </w:p>
        </w:tc>
        <w:tc>
          <w:tcPr>
            <w:tcW w:w="1749" w:type="dxa"/>
            <w:textDirection w:val="lrTb"/>
            <w:noWrap w:val="false"/>
          </w:tcPr>
          <w:p>
            <w:pPr>
              <w:rPr>
                <w:highlight w:val="none"/>
              </w:rPr>
            </w:pPr>
            <w:r>
              <w:rPr>
                <w:highlight w:val="none"/>
              </w:rPr>
              <w:t xml:space="preserve">填写投标文件对</w:t>
            </w:r>
            <w:r/>
          </w:p>
          <w:p>
            <w:pPr>
              <w:rPr>
                <w:highlight w:val="none"/>
              </w:rPr>
            </w:pPr>
            <w:r>
              <w:rPr>
                <w:highlight w:val="none"/>
              </w:rPr>
              <w:t xml:space="preserve">应页码以便评委</w:t>
            </w:r>
            <w:r/>
          </w:p>
          <w:p>
            <w:pPr>
              <w:rPr>
                <w:highlight w:val="none"/>
              </w:rPr>
            </w:pPr>
            <w:r>
              <w:rPr>
                <w:highlight w:val="none"/>
              </w:rPr>
              <w:t xml:space="preserve">翻阅</w:t>
            </w:r>
            <w:r/>
          </w:p>
        </w:tc>
      </w:tr>
      <w:tr>
        <w:trPr>
          <w:trHeight w:val="780"/>
        </w:trPr>
        <w:tc>
          <w:tcPr>
            <w:tcW w:w="643" w:type="dxa"/>
            <w:textDirection w:val="lrTb"/>
            <w:noWrap w:val="false"/>
          </w:tcPr>
          <w:p>
            <w:pPr>
              <w:rPr>
                <w:highlight w:val="none"/>
              </w:rPr>
            </w:pPr>
            <w:r>
              <w:rPr>
                <w:highlight w:val="none"/>
              </w:rPr>
            </w:r>
            <w:r/>
          </w:p>
          <w:p>
            <w:pPr>
              <w:rPr>
                <w:highlight w:val="none"/>
              </w:rPr>
            </w:pPr>
            <w:r>
              <w:rPr>
                <w:highlight w:val="none"/>
              </w:rPr>
              <w:t xml:space="preserve">2</w:t>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r>
        <w:trPr>
          <w:trHeight w:val="779"/>
        </w:trPr>
        <w:tc>
          <w:tcPr>
            <w:tcW w:w="643" w:type="dxa"/>
            <w:textDirection w:val="lrTb"/>
            <w:noWrap w:val="false"/>
          </w:tcPr>
          <w:p>
            <w:pPr>
              <w:rPr>
                <w:highlight w:val="none"/>
              </w:rPr>
            </w:pPr>
            <w:r>
              <w:rPr>
                <w:highlight w:val="none"/>
              </w:rPr>
            </w:r>
            <w:r/>
          </w:p>
          <w:p>
            <w:pPr>
              <w:rPr>
                <w:highlight w:val="none"/>
              </w:rPr>
            </w:pPr>
            <w:r>
              <w:rPr>
                <w:highlight w:val="none"/>
              </w:rPr>
              <w:t xml:space="preserve">3</w:t>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r>
        <w:trPr>
          <w:trHeight w:val="779"/>
        </w:trPr>
        <w:tc>
          <w:tcPr>
            <w:tcW w:w="643" w:type="dxa"/>
            <w:textDirection w:val="lrTb"/>
            <w:noWrap w:val="false"/>
          </w:tcPr>
          <w:p>
            <w:pPr>
              <w:rPr>
                <w:highlight w:val="none"/>
              </w:rPr>
            </w:pPr>
            <w:r>
              <w:rPr>
                <w:highlight w:val="none"/>
              </w:rPr>
            </w:r>
            <w:r/>
          </w:p>
          <w:p>
            <w:pPr>
              <w:rPr>
                <w:highlight w:val="none"/>
              </w:rPr>
            </w:pPr>
            <w:r>
              <w:rPr>
                <w:highlight w:val="none"/>
              </w:rPr>
              <w:t xml:space="preserve">4</w:t>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r>
        <w:trPr>
          <w:trHeight w:val="940"/>
        </w:trPr>
        <w:tc>
          <w:tcPr>
            <w:tcW w:w="643" w:type="dxa"/>
            <w:textDirection w:val="lrTb"/>
            <w:noWrap w:val="false"/>
          </w:tcPr>
          <w:p>
            <w:pPr>
              <w:rPr>
                <w:highlight w:val="none"/>
              </w:rPr>
            </w:pPr>
            <w:r>
              <w:rPr>
                <w:highlight w:val="none"/>
              </w:rPr>
            </w:r>
            <w:r/>
          </w:p>
          <w:p>
            <w:pPr>
              <w:rPr>
                <w:highlight w:val="none"/>
              </w:rPr>
            </w:pPr>
            <w:r>
              <w:rPr>
                <w:highlight w:val="none"/>
              </w:rPr>
              <w:t xml:space="preserve">5</w:t>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r>
        <w:trPr>
          <w:trHeight w:val="991"/>
        </w:trPr>
        <w:tc>
          <w:tcPr>
            <w:tcW w:w="643" w:type="dxa"/>
            <w:textDirection w:val="lrTb"/>
            <w:noWrap w:val="false"/>
          </w:tcPr>
          <w:p>
            <w:pPr>
              <w:rPr>
                <w:highlight w:val="none"/>
              </w:rPr>
            </w:pPr>
            <w:r>
              <w:rPr>
                <w:highlight w:val="none"/>
              </w:rPr>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r>
        <w:trPr>
          <w:trHeight w:val="1002"/>
        </w:trPr>
        <w:tc>
          <w:tcPr>
            <w:tcW w:w="643" w:type="dxa"/>
            <w:textDirection w:val="lrTb"/>
            <w:noWrap w:val="false"/>
          </w:tcPr>
          <w:p>
            <w:pPr>
              <w:rPr>
                <w:highlight w:val="none"/>
              </w:rPr>
            </w:pPr>
            <w:r>
              <w:rPr>
                <w:highlight w:val="none"/>
              </w:rPr>
            </w:r>
            <w:r/>
          </w:p>
        </w:tc>
        <w:tc>
          <w:tcPr>
            <w:tcW w:w="1365" w:type="dxa"/>
            <w:textDirection w:val="lrTb"/>
            <w:noWrap w:val="false"/>
          </w:tcPr>
          <w:p>
            <w:pPr>
              <w:rPr>
                <w:highlight w:val="none"/>
              </w:rPr>
            </w:pPr>
            <w:r>
              <w:rPr>
                <w:highlight w:val="none"/>
              </w:rPr>
            </w:r>
            <w:r/>
          </w:p>
        </w:tc>
        <w:tc>
          <w:tcPr>
            <w:tcW w:w="3136" w:type="dxa"/>
            <w:textDirection w:val="lrTb"/>
            <w:noWrap w:val="false"/>
          </w:tcPr>
          <w:p>
            <w:pPr>
              <w:rPr>
                <w:highlight w:val="none"/>
              </w:rPr>
            </w:pPr>
            <w:r>
              <w:rPr>
                <w:highlight w:val="none"/>
              </w:rPr>
            </w:r>
            <w:r/>
          </w:p>
        </w:tc>
        <w:tc>
          <w:tcPr>
            <w:tcW w:w="1969"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r>
    </w:tbl>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rFonts w:hint="eastAsia"/>
          <w:highlight w:val="none"/>
          <w:lang w:val="zh-CN"/>
        </w:rPr>
        <w:br w:type="page" w:clear="all"/>
      </w:r>
      <w:r/>
    </w:p>
    <w:p>
      <w:pPr>
        <w:rPr>
          <w:highlight w:val="none"/>
        </w:rPr>
      </w:pPr>
      <w:r>
        <w:rPr>
          <w:rFonts w:hint="eastAsia"/>
          <w:highlight w:val="none"/>
          <w:lang w:val="zh-CN"/>
        </w:rPr>
        <w:t xml:space="preserve">附件：</w:t>
      </w:r>
      <w:r>
        <w:rPr>
          <w:rFonts w:hint="eastAsia"/>
          <w:highlight w:val="none"/>
        </w:rPr>
        <w:t xml:space="preserve">1</w:t>
      </w:r>
      <w:r>
        <w:rPr>
          <w:rFonts w:hint="eastAsia"/>
          <w:highlight w:val="none"/>
          <w:lang w:val="en-US" w:eastAsia="zh-CN"/>
        </w:rPr>
        <w:t xml:space="preserve">3</w:t>
      </w:r>
      <w:r>
        <w:rPr>
          <w:rFonts w:hint="eastAsia"/>
          <w:highlight w:val="none"/>
        </w:rPr>
        <w:t xml:space="preserve">                   </w:t>
      </w:r>
      <w:r>
        <w:rPr>
          <w:highlight w:val="none"/>
        </w:rPr>
        <w:t xml:space="preserve">拟投入本项目人员情况表</w:t>
      </w:r>
      <w:r/>
    </w:p>
    <w:p>
      <w:pPr>
        <w:rPr>
          <w:highlight w:val="none"/>
        </w:rPr>
      </w:pPr>
      <w:r>
        <w:rPr>
          <w:highlight w:val="none"/>
        </w:rPr>
      </w:r>
      <w:r/>
    </w:p>
    <w:tbl>
      <w:tblPr>
        <w:tblStyle w:val="899"/>
        <w:tblW w:w="102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7"/>
        <w:gridCol w:w="781"/>
        <w:gridCol w:w="911"/>
        <w:gridCol w:w="1342"/>
        <w:gridCol w:w="932"/>
        <w:gridCol w:w="1152"/>
        <w:gridCol w:w="2230"/>
        <w:gridCol w:w="1060"/>
        <w:gridCol w:w="1060"/>
      </w:tblGrid>
      <w:tr>
        <w:trPr>
          <w:trHeight w:val="800"/>
        </w:trPr>
        <w:tc>
          <w:tcPr>
            <w:tcW w:w="787" w:type="dxa"/>
            <w:vAlign w:val="center"/>
            <w:textDirection w:val="lrTb"/>
            <w:noWrap w:val="false"/>
          </w:tcPr>
          <w:p>
            <w:pPr>
              <w:rPr>
                <w:sz w:val="18"/>
                <w:highlight w:val="none"/>
              </w:rPr>
            </w:pPr>
            <w:r>
              <w:rPr>
                <w:rFonts w:hint="eastAsia"/>
                <w:sz w:val="18"/>
                <w:highlight w:val="none"/>
              </w:rPr>
              <w:t xml:space="preserve">序号</w:t>
            </w:r>
            <w:r/>
          </w:p>
        </w:tc>
        <w:tc>
          <w:tcPr>
            <w:tcW w:w="781" w:type="dxa"/>
            <w:vAlign w:val="center"/>
            <w:textDirection w:val="lrTb"/>
            <w:noWrap w:val="false"/>
          </w:tcPr>
          <w:p>
            <w:pPr>
              <w:rPr>
                <w:sz w:val="18"/>
                <w:highlight w:val="none"/>
              </w:rPr>
            </w:pPr>
            <w:r>
              <w:rPr>
                <w:rFonts w:hint="eastAsia"/>
                <w:sz w:val="18"/>
                <w:highlight w:val="none"/>
              </w:rPr>
              <w:t xml:space="preserve">姓名</w:t>
            </w:r>
            <w:r/>
          </w:p>
        </w:tc>
        <w:tc>
          <w:tcPr>
            <w:tcW w:w="911" w:type="dxa"/>
            <w:vAlign w:val="center"/>
            <w:textDirection w:val="lrTb"/>
            <w:noWrap w:val="false"/>
          </w:tcPr>
          <w:p>
            <w:pPr>
              <w:rPr>
                <w:sz w:val="18"/>
                <w:highlight w:val="none"/>
              </w:rPr>
            </w:pPr>
            <w:r>
              <w:rPr>
                <w:rFonts w:hint="eastAsia"/>
                <w:sz w:val="18"/>
                <w:highlight w:val="none"/>
              </w:rPr>
              <w:t xml:space="preserve">年龄</w:t>
            </w:r>
            <w:r/>
          </w:p>
        </w:tc>
        <w:tc>
          <w:tcPr>
            <w:tcW w:w="1342" w:type="dxa"/>
            <w:vAlign w:val="center"/>
            <w:textDirection w:val="lrTb"/>
            <w:noWrap w:val="false"/>
          </w:tcPr>
          <w:p>
            <w:pPr>
              <w:rPr>
                <w:sz w:val="18"/>
                <w:highlight w:val="none"/>
              </w:rPr>
            </w:pPr>
            <w:r>
              <w:rPr>
                <w:rFonts w:hint="eastAsia"/>
                <w:sz w:val="18"/>
                <w:highlight w:val="none"/>
              </w:rPr>
              <w:t xml:space="preserve">在本项目中的职位</w:t>
            </w:r>
            <w:r/>
          </w:p>
        </w:tc>
        <w:tc>
          <w:tcPr>
            <w:tcW w:w="932" w:type="dxa"/>
            <w:vAlign w:val="center"/>
            <w:textDirection w:val="lrTb"/>
            <w:noWrap w:val="false"/>
          </w:tcPr>
          <w:p>
            <w:pPr>
              <w:rPr>
                <w:sz w:val="18"/>
                <w:highlight w:val="none"/>
              </w:rPr>
            </w:pPr>
            <w:r>
              <w:rPr>
                <w:rFonts w:hint="eastAsia"/>
                <w:sz w:val="18"/>
                <w:highlight w:val="none"/>
              </w:rPr>
              <w:t xml:space="preserve">学历/ 学位</w:t>
            </w:r>
            <w:r/>
          </w:p>
        </w:tc>
        <w:tc>
          <w:tcPr>
            <w:tcW w:w="1152" w:type="dxa"/>
            <w:vAlign w:val="center"/>
            <w:textDirection w:val="lrTb"/>
            <w:noWrap w:val="false"/>
          </w:tcPr>
          <w:p>
            <w:pPr>
              <w:ind w:firstLine="360"/>
              <w:rPr>
                <w:sz w:val="18"/>
                <w:highlight w:val="none"/>
              </w:rPr>
            </w:pPr>
            <w:r>
              <w:rPr>
                <w:rFonts w:hint="eastAsia"/>
                <w:sz w:val="18"/>
                <w:highlight w:val="none"/>
              </w:rPr>
              <w:t xml:space="preserve">专业</w:t>
            </w:r>
            <w:r/>
          </w:p>
        </w:tc>
        <w:tc>
          <w:tcPr>
            <w:tcW w:w="2230" w:type="dxa"/>
            <w:vAlign w:val="center"/>
            <w:textDirection w:val="lrTb"/>
            <w:noWrap w:val="false"/>
          </w:tcPr>
          <w:p>
            <w:pPr>
              <w:rPr>
                <w:sz w:val="18"/>
                <w:highlight w:val="none"/>
              </w:rPr>
            </w:pPr>
            <w:r>
              <w:rPr>
                <w:rFonts w:hint="eastAsia"/>
                <w:sz w:val="18"/>
                <w:highlight w:val="none"/>
              </w:rPr>
              <w:t xml:space="preserve">职称（类别、级别）</w:t>
            </w:r>
            <w:r/>
          </w:p>
        </w:tc>
        <w:tc>
          <w:tcPr>
            <w:tcW w:w="1060" w:type="dxa"/>
            <w:vAlign w:val="center"/>
            <w:textDirection w:val="lrTb"/>
            <w:noWrap w:val="false"/>
          </w:tcPr>
          <w:p>
            <w:pPr>
              <w:rPr>
                <w:sz w:val="18"/>
                <w:highlight w:val="none"/>
              </w:rPr>
            </w:pPr>
            <w:r>
              <w:rPr>
                <w:rFonts w:hint="eastAsia"/>
                <w:sz w:val="18"/>
                <w:highlight w:val="none"/>
              </w:rPr>
              <w:t xml:space="preserve">相关证书</w:t>
            </w:r>
            <w:r/>
          </w:p>
        </w:tc>
        <w:tc>
          <w:tcPr>
            <w:tcW w:w="1060" w:type="dxa"/>
            <w:vAlign w:val="center"/>
            <w:textDirection w:val="lrTb"/>
            <w:noWrap w:val="false"/>
          </w:tcPr>
          <w:p>
            <w:pPr>
              <w:rPr>
                <w:sz w:val="18"/>
                <w:highlight w:val="none"/>
              </w:rPr>
            </w:pPr>
            <w:r>
              <w:rPr>
                <w:rFonts w:hint="eastAsia"/>
                <w:sz w:val="18"/>
                <w:highlight w:val="none"/>
              </w:rPr>
              <w:t xml:space="preserve">证明材料页码</w:t>
            </w:r>
            <w:r/>
          </w:p>
        </w:tc>
      </w:tr>
      <w:tr>
        <w:trPr>
          <w:trHeight w:val="62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sz w:val="18"/>
                <w:highlight w:val="none"/>
              </w:rPr>
            </w:pPr>
            <w:r>
              <w:rPr>
                <w:sz w:val="18"/>
                <w:highlight w:val="none"/>
              </w:rPr>
              <w:t xml:space="preserve">项目</w:t>
            </w:r>
            <w:r>
              <w:rPr>
                <w:rFonts w:hint="eastAsia"/>
                <w:sz w:val="18"/>
                <w:highlight w:val="none"/>
              </w:rPr>
              <w:t xml:space="preserve">负责人</w:t>
            </w:r>
            <w:r/>
          </w:p>
        </w:tc>
        <w:tc>
          <w:tcPr>
            <w:tcW w:w="932" w:type="dxa"/>
            <w:textDirection w:val="lrTb"/>
            <w:noWrap w:val="false"/>
          </w:tcPr>
          <w:p>
            <w:pPr>
              <w:ind w:firstLine="360"/>
              <w:rPr>
                <w:sz w:val="18"/>
                <w:highlight w:val="none"/>
              </w:rPr>
            </w:pPr>
            <w:r>
              <w:rPr>
                <w:sz w:val="18"/>
                <w:highlight w:val="none"/>
              </w:rPr>
            </w:r>
            <w:r/>
          </w:p>
        </w:tc>
        <w:tc>
          <w:tcPr>
            <w:tcW w:w="1152" w:type="dxa"/>
            <w:textDirection w:val="lrTb"/>
            <w:noWrap w:val="false"/>
          </w:tcPr>
          <w:p>
            <w:pPr>
              <w:ind w:firstLine="360"/>
              <w:rPr>
                <w:sz w:val="18"/>
                <w:highlight w:val="none"/>
              </w:rPr>
            </w:pPr>
            <w:r>
              <w:rPr>
                <w:sz w:val="18"/>
                <w:highlight w:val="none"/>
              </w:rPr>
            </w:r>
            <w:r/>
          </w:p>
        </w:tc>
        <w:tc>
          <w:tcPr>
            <w:tcW w:w="2230" w:type="dxa"/>
            <w:textDirection w:val="lrTb"/>
            <w:noWrap w:val="false"/>
          </w:tcPr>
          <w:p>
            <w:pPr>
              <w:ind w:firstLine="360"/>
              <w:rPr>
                <w:rFonts w:ascii="Arial"/>
                <w:sz w:val="18"/>
                <w:highlight w:val="none"/>
              </w:rPr>
            </w:pPr>
            <w:r>
              <w:rPr>
                <w:rFonts w:hint="eastAsia"/>
                <w:sz w:val="18"/>
                <w:highlight w:val="none"/>
              </w:rPr>
              <w:t xml:space="preserve">例：化工类 工程师</w:t>
            </w:r>
            <w:r/>
          </w:p>
        </w:tc>
        <w:tc>
          <w:tcPr>
            <w:tcW w:w="1060" w:type="dxa"/>
            <w:textDirection w:val="lrTb"/>
            <w:noWrap w:val="false"/>
          </w:tcPr>
          <w:p>
            <w:pPr>
              <w:rPr>
                <w:rFonts w:ascii="Arial"/>
                <w:sz w:val="18"/>
                <w:highlight w:val="none"/>
              </w:rPr>
            </w:pPr>
            <w:r>
              <w:rPr>
                <w:rFonts w:hint="eastAsia"/>
                <w:sz w:val="18"/>
                <w:highlight w:val="none"/>
              </w:rPr>
              <w:t xml:space="preserve">例：A2驾驶证</w:t>
            </w:r>
            <w:r/>
          </w:p>
        </w:tc>
        <w:tc>
          <w:tcPr>
            <w:tcW w:w="1060" w:type="dxa"/>
            <w:textDirection w:val="lrTb"/>
            <w:noWrap w:val="false"/>
          </w:tcPr>
          <w:p>
            <w:pPr>
              <w:ind w:firstLine="360"/>
              <w:rPr>
                <w:sz w:val="18"/>
                <w:highlight w:val="none"/>
              </w:rPr>
            </w:pPr>
            <w:r>
              <w:rPr>
                <w:sz w:val="18"/>
                <w:highlight w:val="none"/>
              </w:rPr>
            </w:r>
            <w:r/>
          </w:p>
        </w:tc>
      </w:tr>
      <w:tr>
        <w:trPr>
          <w:trHeight w:val="407"/>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sz w:val="18"/>
                <w:highlight w:val="none"/>
              </w:rPr>
            </w:pPr>
            <w:r>
              <w:rPr>
                <w:rFonts w:hint="eastAsia"/>
                <w:sz w:val="18"/>
                <w:highlight w:val="none"/>
              </w:rPr>
              <w:t xml:space="preserve">技术</w:t>
            </w:r>
            <w:r>
              <w:rPr>
                <w:sz w:val="18"/>
                <w:highlight w:val="none"/>
              </w:rPr>
              <w:t xml:space="preserve">人员</w:t>
            </w:r>
            <w:r/>
          </w:p>
        </w:tc>
        <w:tc>
          <w:tcPr>
            <w:tcW w:w="932" w:type="dxa"/>
            <w:textDirection w:val="lrTb"/>
            <w:noWrap w:val="false"/>
          </w:tcPr>
          <w:p>
            <w:pPr>
              <w:ind w:firstLine="360"/>
              <w:rPr>
                <w:sz w:val="18"/>
                <w:highlight w:val="none"/>
              </w:rPr>
            </w:pPr>
            <w:r>
              <w:rPr>
                <w:sz w:val="18"/>
                <w:highlight w:val="none"/>
              </w:rPr>
            </w:r>
            <w:r/>
          </w:p>
        </w:tc>
        <w:tc>
          <w:tcPr>
            <w:tcW w:w="1152" w:type="dxa"/>
            <w:textDirection w:val="lrTb"/>
            <w:noWrap w:val="false"/>
          </w:tcPr>
          <w:p>
            <w:pPr>
              <w:ind w:firstLine="360"/>
              <w:rPr>
                <w:sz w:val="18"/>
                <w:highlight w:val="none"/>
              </w:rPr>
            </w:pPr>
            <w:r>
              <w:rPr>
                <w:sz w:val="18"/>
                <w:highlight w:val="none"/>
              </w:rPr>
            </w:r>
            <w:r/>
          </w:p>
        </w:tc>
        <w:tc>
          <w:tcPr>
            <w:tcW w:w="2230" w:type="dxa"/>
            <w:textDirection w:val="lrTb"/>
            <w:noWrap w:val="false"/>
          </w:tcPr>
          <w:p>
            <w:pPr>
              <w:ind w:firstLine="360"/>
              <w:rPr>
                <w:sz w:val="18"/>
                <w:highlight w:val="none"/>
              </w:rPr>
            </w:pPr>
            <w:r>
              <w:rPr>
                <w:sz w:val="18"/>
                <w:highlight w:val="none"/>
              </w:rPr>
            </w:r>
            <w:r/>
          </w:p>
        </w:tc>
        <w:tc>
          <w:tcPr>
            <w:tcW w:w="1060" w:type="dxa"/>
            <w:textDirection w:val="lrTb"/>
            <w:noWrap w:val="false"/>
          </w:tcPr>
          <w:p>
            <w:pPr>
              <w:ind w:firstLine="360"/>
              <w:rPr>
                <w:sz w:val="18"/>
                <w:highlight w:val="none"/>
              </w:rPr>
            </w:pPr>
            <w:r>
              <w:rPr>
                <w:sz w:val="18"/>
                <w:highlight w:val="none"/>
              </w:rPr>
            </w:r>
            <w:r/>
          </w:p>
        </w:tc>
        <w:tc>
          <w:tcPr>
            <w:tcW w:w="1060" w:type="dxa"/>
            <w:textDirection w:val="lrTb"/>
            <w:noWrap w:val="false"/>
          </w:tcPr>
          <w:p>
            <w:pPr>
              <w:ind w:firstLine="360"/>
              <w:rPr>
                <w:sz w:val="18"/>
                <w:highlight w:val="none"/>
              </w:rPr>
            </w:pPr>
            <w:r>
              <w:rPr>
                <w:sz w:val="18"/>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58"/>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61"/>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r>
        <w:trPr>
          <w:trHeight w:val="377"/>
        </w:trPr>
        <w:tc>
          <w:tcPr>
            <w:tcW w:w="787" w:type="dxa"/>
            <w:textDirection w:val="lrTb"/>
            <w:noWrap w:val="false"/>
          </w:tcPr>
          <w:p>
            <w:pPr>
              <w:rPr>
                <w:highlight w:val="none"/>
              </w:rPr>
            </w:pPr>
            <w:r>
              <w:rPr>
                <w:highlight w:val="none"/>
              </w:rPr>
            </w:r>
            <w:r/>
          </w:p>
        </w:tc>
        <w:tc>
          <w:tcPr>
            <w:tcW w:w="781" w:type="dxa"/>
            <w:textDirection w:val="lrTb"/>
            <w:noWrap w:val="false"/>
          </w:tcPr>
          <w:p>
            <w:pPr>
              <w:rPr>
                <w:highlight w:val="none"/>
              </w:rPr>
            </w:pPr>
            <w:r>
              <w:rPr>
                <w:highlight w:val="none"/>
              </w:rPr>
            </w:r>
            <w:r/>
          </w:p>
        </w:tc>
        <w:tc>
          <w:tcPr>
            <w:tcW w:w="911" w:type="dxa"/>
            <w:textDirection w:val="lrTb"/>
            <w:noWrap w:val="false"/>
          </w:tcPr>
          <w:p>
            <w:pPr>
              <w:rPr>
                <w:highlight w:val="none"/>
              </w:rPr>
            </w:pPr>
            <w:r>
              <w:rPr>
                <w:highlight w:val="none"/>
              </w:rPr>
            </w:r>
            <w:r/>
          </w:p>
        </w:tc>
        <w:tc>
          <w:tcPr>
            <w:tcW w:w="1342" w:type="dxa"/>
            <w:vAlign w:val="center"/>
            <w:textDirection w:val="lrTb"/>
            <w:noWrap w:val="false"/>
          </w:tcPr>
          <w:p>
            <w:pPr>
              <w:rPr>
                <w:highlight w:val="none"/>
              </w:rPr>
            </w:pPr>
            <w:r>
              <w:rPr>
                <w:highlight w:val="none"/>
              </w:rPr>
            </w:r>
            <w:r/>
          </w:p>
        </w:tc>
        <w:tc>
          <w:tcPr>
            <w:tcW w:w="932" w:type="dxa"/>
            <w:textDirection w:val="lrTb"/>
            <w:noWrap w:val="false"/>
          </w:tcPr>
          <w:p>
            <w:pPr>
              <w:rPr>
                <w:highlight w:val="none"/>
              </w:rPr>
            </w:pPr>
            <w:r>
              <w:rPr>
                <w:highlight w:val="none"/>
              </w:rPr>
            </w:r>
            <w:r/>
          </w:p>
        </w:tc>
        <w:tc>
          <w:tcPr>
            <w:tcW w:w="1152" w:type="dxa"/>
            <w:textDirection w:val="lrTb"/>
            <w:noWrap w:val="false"/>
          </w:tcPr>
          <w:p>
            <w:pPr>
              <w:rPr>
                <w:highlight w:val="none"/>
              </w:rPr>
            </w:pPr>
            <w:r>
              <w:rPr>
                <w:highlight w:val="none"/>
              </w:rPr>
            </w:r>
            <w:r/>
          </w:p>
        </w:tc>
        <w:tc>
          <w:tcPr>
            <w:tcW w:w="223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c>
          <w:tcPr>
            <w:tcW w:w="1060" w:type="dxa"/>
            <w:textDirection w:val="lrTb"/>
            <w:noWrap w:val="false"/>
          </w:tcPr>
          <w:p>
            <w:pPr>
              <w:rPr>
                <w:highlight w:val="none"/>
              </w:rPr>
            </w:pPr>
            <w:r>
              <w:rPr>
                <w:highlight w:val="none"/>
              </w:rPr>
            </w:r>
            <w:r/>
          </w:p>
        </w:tc>
      </w:tr>
    </w:tbl>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br w:type="page" w:clear="all"/>
      </w:r>
      <w:r/>
    </w:p>
    <w:p>
      <w:pPr>
        <w:rPr>
          <w:highlight w:val="none"/>
          <w:lang w:val="zh-CN"/>
        </w:rPr>
        <w:sectPr>
          <w:headerReference w:type="default" r:id="rId11"/>
          <w:footerReference w:type="default" r:id="rId17"/>
          <w:footnotePr/>
          <w:endnotePr/>
          <w:type w:val="nextPage"/>
          <w:pgSz w:w="11906" w:h="16838" w:orient="portrait"/>
          <w:pgMar w:top="1361" w:right="1361" w:bottom="1361" w:left="1361" w:header="851" w:footer="992" w:gutter="0"/>
          <w:cols w:num="1" w:sep="0" w:space="720" w:equalWidth="1"/>
          <w:docGrid w:linePitch="360"/>
        </w:sectPr>
      </w:pPr>
      <w:r>
        <w:rPr>
          <w:highlight w:val="none"/>
          <w:lang w:val="zh-CN"/>
        </w:rPr>
      </w:r>
      <w:r/>
    </w:p>
    <w:p>
      <w:pPr>
        <w:rPr>
          <w:highlight w:val="none"/>
        </w:rPr>
      </w:pPr>
      <w:r>
        <w:rPr>
          <w:rFonts w:hint="eastAsia"/>
          <w:highlight w:val="none"/>
          <w:lang w:val="zh-CN"/>
        </w:rPr>
        <w:t xml:space="preserve">附件：</w:t>
      </w:r>
      <w:r>
        <w:rPr>
          <w:rFonts w:hint="eastAsia"/>
          <w:highlight w:val="none"/>
        </w:rPr>
        <w:t xml:space="preserve">1</w:t>
      </w:r>
      <w:r>
        <w:rPr>
          <w:rFonts w:hint="eastAsia"/>
          <w:highlight w:val="none"/>
          <w:lang w:val="en-US" w:eastAsia="zh-CN"/>
        </w:rPr>
        <w:t xml:space="preserve">4</w:t>
      </w:r>
      <w:r>
        <w:rPr>
          <w:rFonts w:hint="eastAsia"/>
          <w:highlight w:val="none"/>
        </w:rPr>
        <w:t xml:space="preserve">                                          </w:t>
      </w:r>
      <w:r>
        <w:rPr>
          <w:highlight w:val="none"/>
        </w:rPr>
        <w:t xml:space="preserve">投标人类似项目业绩清单</w:t>
      </w:r>
      <w:r/>
    </w:p>
    <w:p>
      <w:pPr>
        <w:rPr>
          <w:highlight w:val="none"/>
        </w:rPr>
      </w:pPr>
      <w:r>
        <w:rPr>
          <w:highlight w:val="none"/>
        </w:rPr>
      </w:r>
      <w:r/>
    </w:p>
    <w:p>
      <w:pPr>
        <w:rPr>
          <w:highlight w:val="none"/>
        </w:rPr>
      </w:pPr>
      <w:r>
        <w:rPr>
          <w:highlight w:val="none"/>
        </w:rPr>
      </w:r>
      <w:r/>
    </w:p>
    <w:tbl>
      <w:tblPr>
        <w:tblStyle w:val="899"/>
        <w:tblW w:w="13147" w:type="dxa"/>
        <w:tblInd w:w="6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6"/>
        <w:gridCol w:w="2501"/>
        <w:gridCol w:w="1947"/>
        <w:gridCol w:w="1404"/>
        <w:gridCol w:w="2759"/>
        <w:gridCol w:w="1843"/>
        <w:gridCol w:w="1687"/>
      </w:tblGrid>
      <w:tr>
        <w:trPr>
          <w:trHeight w:val="629"/>
        </w:trPr>
        <w:tc>
          <w:tcPr>
            <w:tcBorders>
              <w:top w:val="single" w:color="000000" w:sz="10" w:space="0"/>
              <w:left w:val="single" w:color="000000" w:sz="10" w:space="0"/>
            </w:tcBorders>
            <w:tcW w:w="1006" w:type="dxa"/>
            <w:textDirection w:val="lrTb"/>
            <w:noWrap w:val="false"/>
          </w:tcPr>
          <w:p>
            <w:pPr>
              <w:rPr>
                <w:highlight w:val="none"/>
              </w:rPr>
            </w:pPr>
            <w:r>
              <w:rPr>
                <w:highlight w:val="none"/>
              </w:rPr>
              <w:t xml:space="preserve">序号</w:t>
            </w:r>
            <w:r/>
          </w:p>
        </w:tc>
        <w:tc>
          <w:tcPr>
            <w:tcBorders>
              <w:top w:val="single" w:color="000000" w:sz="10" w:space="0"/>
            </w:tcBorders>
            <w:tcW w:w="2501" w:type="dxa"/>
            <w:textDirection w:val="lrTb"/>
            <w:noWrap w:val="false"/>
          </w:tcPr>
          <w:p>
            <w:pPr>
              <w:rPr>
                <w:highlight w:val="none"/>
              </w:rPr>
            </w:pPr>
            <w:r>
              <w:rPr>
                <w:highlight w:val="none"/>
              </w:rPr>
              <w:t xml:space="preserve">服务</w:t>
            </w:r>
            <w:r>
              <w:rPr>
                <w:rFonts w:eastAsia="Times New Roman"/>
                <w:highlight w:val="none"/>
              </w:rPr>
              <w:t xml:space="preserve">/</w:t>
            </w:r>
            <w:r>
              <w:rPr>
                <w:highlight w:val="none"/>
              </w:rPr>
              <w:t xml:space="preserve">合同名称</w:t>
            </w:r>
            <w:r/>
          </w:p>
        </w:tc>
        <w:tc>
          <w:tcPr>
            <w:tcBorders>
              <w:top w:val="single" w:color="000000" w:sz="10" w:space="0"/>
            </w:tcBorders>
            <w:tcW w:w="1947" w:type="dxa"/>
            <w:textDirection w:val="lrTb"/>
            <w:noWrap w:val="false"/>
          </w:tcPr>
          <w:p>
            <w:pPr>
              <w:rPr>
                <w:highlight w:val="none"/>
              </w:rPr>
            </w:pPr>
            <w:r>
              <w:rPr>
                <w:highlight w:val="none"/>
              </w:rPr>
              <w:t xml:space="preserve">合同甲方名称</w:t>
            </w:r>
            <w:r/>
          </w:p>
        </w:tc>
        <w:tc>
          <w:tcPr>
            <w:tcBorders>
              <w:top w:val="single" w:color="000000" w:sz="10" w:space="0"/>
            </w:tcBorders>
            <w:tcW w:w="1404" w:type="dxa"/>
            <w:textDirection w:val="lrTb"/>
            <w:noWrap w:val="false"/>
          </w:tcPr>
          <w:p>
            <w:pPr>
              <w:rPr>
                <w:highlight w:val="none"/>
              </w:rPr>
            </w:pPr>
            <w:r>
              <w:rPr>
                <w:highlight w:val="none"/>
              </w:rPr>
              <w:t xml:space="preserve">合同签署</w:t>
            </w:r>
            <w:r/>
          </w:p>
          <w:p>
            <w:pPr>
              <w:rPr>
                <w:highlight w:val="none"/>
              </w:rPr>
            </w:pPr>
            <w:r>
              <w:rPr>
                <w:highlight w:val="none"/>
              </w:rPr>
              <w:t xml:space="preserve">时间</w:t>
            </w:r>
            <w:r/>
          </w:p>
        </w:tc>
        <w:tc>
          <w:tcPr>
            <w:tcBorders>
              <w:top w:val="single" w:color="000000" w:sz="10" w:space="0"/>
            </w:tcBorders>
            <w:tcW w:w="2759" w:type="dxa"/>
            <w:textDirection w:val="lrTb"/>
            <w:noWrap w:val="false"/>
          </w:tcPr>
          <w:p>
            <w:pPr>
              <w:rPr>
                <w:highlight w:val="none"/>
              </w:rPr>
            </w:pPr>
            <w:r>
              <w:rPr>
                <w:highlight w:val="none"/>
              </w:rPr>
              <w:t xml:space="preserve">合同内容</w:t>
            </w:r>
            <w:r/>
          </w:p>
        </w:tc>
        <w:tc>
          <w:tcPr>
            <w:tcBorders>
              <w:top w:val="single" w:color="000000" w:sz="10" w:space="0"/>
            </w:tcBorders>
            <w:tcW w:w="1843" w:type="dxa"/>
            <w:textDirection w:val="lrTb"/>
            <w:noWrap w:val="false"/>
          </w:tcPr>
          <w:p>
            <w:pPr>
              <w:rPr>
                <w:highlight w:val="none"/>
              </w:rPr>
            </w:pPr>
            <w:r>
              <w:rPr>
                <w:rFonts w:hint="eastAsia"/>
                <w:highlight w:val="none"/>
              </w:rPr>
              <w:t xml:space="preserve">甲方</w:t>
            </w:r>
            <w:r>
              <w:rPr>
                <w:highlight w:val="none"/>
              </w:rPr>
              <w:t xml:space="preserve">联系人及 </w:t>
            </w:r>
            <w:r>
              <w:rPr>
                <w:spacing w:val="-10"/>
                <w:highlight w:val="none"/>
              </w:rPr>
              <w:t xml:space="preserve">电话</w:t>
            </w:r>
            <w:r/>
          </w:p>
        </w:tc>
        <w:tc>
          <w:tcPr>
            <w:tcBorders>
              <w:top w:val="single" w:color="000000" w:sz="10" w:space="0"/>
              <w:right w:val="single" w:color="000000" w:sz="10" w:space="0"/>
            </w:tcBorders>
            <w:tcW w:w="1687" w:type="dxa"/>
            <w:textDirection w:val="lrTb"/>
            <w:noWrap w:val="false"/>
          </w:tcPr>
          <w:p>
            <w:pPr>
              <w:rPr>
                <w:highlight w:val="none"/>
              </w:rPr>
            </w:pPr>
            <w:r>
              <w:rPr>
                <w:highlight w:val="none"/>
              </w:rPr>
              <w:t xml:space="preserve">证明材</w:t>
            </w:r>
            <w:r>
              <w:rPr>
                <w:spacing w:val="-3"/>
                <w:highlight w:val="none"/>
              </w:rPr>
              <w:t xml:space="preserve">料页码</w:t>
            </w:r>
            <w:r/>
          </w:p>
        </w:tc>
      </w:tr>
      <w:tr>
        <w:trPr>
          <w:trHeight w:val="655"/>
        </w:trPr>
        <w:tc>
          <w:tcPr>
            <w:tcBorders>
              <w:left w:val="single" w:color="000000" w:sz="10" w:space="0"/>
            </w:tcBorders>
            <w:tcW w:w="1006" w:type="dxa"/>
            <w:textDirection w:val="lrTb"/>
            <w:noWrap w:val="false"/>
          </w:tcPr>
          <w:p>
            <w:pPr>
              <w:rPr>
                <w:highlight w:val="none"/>
              </w:rPr>
            </w:pPr>
            <w:r>
              <w:rPr>
                <w:highlight w:val="none"/>
              </w:rPr>
            </w:r>
            <w:r/>
          </w:p>
        </w:tc>
        <w:tc>
          <w:tcPr>
            <w:tcW w:w="2501" w:type="dxa"/>
            <w:textDirection w:val="lrTb"/>
            <w:noWrap w:val="false"/>
          </w:tcPr>
          <w:p>
            <w:pPr>
              <w:rPr>
                <w:highlight w:val="none"/>
              </w:rPr>
            </w:pPr>
            <w:r>
              <w:rPr>
                <w:highlight w:val="none"/>
              </w:rPr>
            </w:r>
            <w:r/>
          </w:p>
        </w:tc>
        <w:tc>
          <w:tcPr>
            <w:tcW w:w="1947" w:type="dxa"/>
            <w:textDirection w:val="lrTb"/>
            <w:noWrap w:val="false"/>
          </w:tcPr>
          <w:p>
            <w:pPr>
              <w:rPr>
                <w:highlight w:val="none"/>
              </w:rPr>
            </w:pPr>
            <w:r>
              <w:rPr>
                <w:highlight w:val="none"/>
              </w:rPr>
            </w:r>
            <w:r/>
          </w:p>
        </w:tc>
        <w:tc>
          <w:tcPr>
            <w:tcW w:w="1404" w:type="dxa"/>
            <w:textDirection w:val="lrTb"/>
            <w:noWrap w:val="false"/>
          </w:tcPr>
          <w:p>
            <w:pPr>
              <w:rPr>
                <w:highlight w:val="none"/>
              </w:rPr>
            </w:pPr>
            <w:r>
              <w:rPr>
                <w:highlight w:val="none"/>
              </w:rPr>
            </w:r>
            <w:r/>
          </w:p>
        </w:tc>
        <w:tc>
          <w:tcPr>
            <w:tcW w:w="2759" w:type="dxa"/>
            <w:textDirection w:val="lrTb"/>
            <w:noWrap w:val="false"/>
          </w:tcPr>
          <w:p>
            <w:pPr>
              <w:rPr>
                <w:highlight w:val="none"/>
              </w:rPr>
            </w:pPr>
            <w:r>
              <w:rPr>
                <w:highlight w:val="none"/>
              </w:rPr>
            </w:r>
            <w:r/>
          </w:p>
        </w:tc>
        <w:tc>
          <w:tcPr>
            <w:tcW w:w="1843" w:type="dxa"/>
            <w:textDirection w:val="lrTb"/>
            <w:noWrap w:val="false"/>
          </w:tcPr>
          <w:p>
            <w:pPr>
              <w:rPr>
                <w:highlight w:val="none"/>
              </w:rPr>
            </w:pPr>
            <w:r>
              <w:rPr>
                <w:highlight w:val="none"/>
              </w:rPr>
            </w:r>
            <w:r/>
          </w:p>
        </w:tc>
        <w:tc>
          <w:tcPr>
            <w:tcBorders>
              <w:right w:val="single" w:color="000000" w:sz="10" w:space="0"/>
            </w:tcBorders>
            <w:tcW w:w="1687" w:type="dxa"/>
            <w:textDirection w:val="lrTb"/>
            <w:noWrap w:val="false"/>
          </w:tcPr>
          <w:p>
            <w:pPr>
              <w:rPr>
                <w:highlight w:val="none"/>
              </w:rPr>
            </w:pPr>
            <w:r>
              <w:rPr>
                <w:highlight w:val="none"/>
              </w:rPr>
            </w:r>
            <w:r/>
          </w:p>
        </w:tc>
      </w:tr>
      <w:tr>
        <w:trPr>
          <w:trHeight w:val="656"/>
        </w:trPr>
        <w:tc>
          <w:tcPr>
            <w:tcBorders>
              <w:left w:val="single" w:color="000000" w:sz="10" w:space="0"/>
            </w:tcBorders>
            <w:tcW w:w="1006" w:type="dxa"/>
            <w:textDirection w:val="lrTb"/>
            <w:noWrap w:val="false"/>
          </w:tcPr>
          <w:p>
            <w:pPr>
              <w:rPr>
                <w:highlight w:val="none"/>
              </w:rPr>
            </w:pPr>
            <w:r>
              <w:rPr>
                <w:highlight w:val="none"/>
              </w:rPr>
            </w:r>
            <w:r/>
          </w:p>
        </w:tc>
        <w:tc>
          <w:tcPr>
            <w:tcW w:w="2501" w:type="dxa"/>
            <w:textDirection w:val="lrTb"/>
            <w:noWrap w:val="false"/>
          </w:tcPr>
          <w:p>
            <w:pPr>
              <w:rPr>
                <w:highlight w:val="none"/>
              </w:rPr>
            </w:pPr>
            <w:r>
              <w:rPr>
                <w:highlight w:val="none"/>
              </w:rPr>
            </w:r>
            <w:r/>
          </w:p>
        </w:tc>
        <w:tc>
          <w:tcPr>
            <w:tcW w:w="1947" w:type="dxa"/>
            <w:textDirection w:val="lrTb"/>
            <w:noWrap w:val="false"/>
          </w:tcPr>
          <w:p>
            <w:pPr>
              <w:rPr>
                <w:highlight w:val="none"/>
              </w:rPr>
            </w:pPr>
            <w:r>
              <w:rPr>
                <w:highlight w:val="none"/>
              </w:rPr>
            </w:r>
            <w:r/>
          </w:p>
        </w:tc>
        <w:tc>
          <w:tcPr>
            <w:tcW w:w="1404" w:type="dxa"/>
            <w:textDirection w:val="lrTb"/>
            <w:noWrap w:val="false"/>
          </w:tcPr>
          <w:p>
            <w:pPr>
              <w:rPr>
                <w:highlight w:val="none"/>
              </w:rPr>
            </w:pPr>
            <w:r>
              <w:rPr>
                <w:highlight w:val="none"/>
              </w:rPr>
            </w:r>
            <w:r/>
          </w:p>
        </w:tc>
        <w:tc>
          <w:tcPr>
            <w:tcW w:w="2759" w:type="dxa"/>
            <w:textDirection w:val="lrTb"/>
            <w:noWrap w:val="false"/>
          </w:tcPr>
          <w:p>
            <w:pPr>
              <w:rPr>
                <w:highlight w:val="none"/>
              </w:rPr>
            </w:pPr>
            <w:r>
              <w:rPr>
                <w:highlight w:val="none"/>
              </w:rPr>
            </w:r>
            <w:r/>
          </w:p>
        </w:tc>
        <w:tc>
          <w:tcPr>
            <w:tcW w:w="1843" w:type="dxa"/>
            <w:textDirection w:val="lrTb"/>
            <w:noWrap w:val="false"/>
          </w:tcPr>
          <w:p>
            <w:pPr>
              <w:rPr>
                <w:highlight w:val="none"/>
              </w:rPr>
            </w:pPr>
            <w:r>
              <w:rPr>
                <w:highlight w:val="none"/>
              </w:rPr>
            </w:r>
            <w:r/>
          </w:p>
        </w:tc>
        <w:tc>
          <w:tcPr>
            <w:tcBorders>
              <w:right w:val="single" w:color="000000" w:sz="10" w:space="0"/>
            </w:tcBorders>
            <w:tcW w:w="1687" w:type="dxa"/>
            <w:textDirection w:val="lrTb"/>
            <w:noWrap w:val="false"/>
          </w:tcPr>
          <w:p>
            <w:pPr>
              <w:rPr>
                <w:highlight w:val="none"/>
              </w:rPr>
            </w:pPr>
            <w:r>
              <w:rPr>
                <w:highlight w:val="none"/>
              </w:rPr>
            </w:r>
            <w:r/>
          </w:p>
        </w:tc>
      </w:tr>
      <w:tr>
        <w:trPr>
          <w:trHeight w:val="653"/>
        </w:trPr>
        <w:tc>
          <w:tcPr>
            <w:tcBorders>
              <w:left w:val="single" w:color="000000" w:sz="10" w:space="0"/>
            </w:tcBorders>
            <w:tcW w:w="1006" w:type="dxa"/>
            <w:textDirection w:val="lrTb"/>
            <w:noWrap w:val="false"/>
          </w:tcPr>
          <w:p>
            <w:pPr>
              <w:rPr>
                <w:highlight w:val="none"/>
              </w:rPr>
            </w:pPr>
            <w:r>
              <w:rPr>
                <w:highlight w:val="none"/>
              </w:rPr>
            </w:r>
            <w:r/>
          </w:p>
        </w:tc>
        <w:tc>
          <w:tcPr>
            <w:tcW w:w="2501" w:type="dxa"/>
            <w:textDirection w:val="lrTb"/>
            <w:noWrap w:val="false"/>
          </w:tcPr>
          <w:p>
            <w:pPr>
              <w:rPr>
                <w:highlight w:val="none"/>
              </w:rPr>
            </w:pPr>
            <w:r>
              <w:rPr>
                <w:highlight w:val="none"/>
              </w:rPr>
            </w:r>
            <w:r/>
          </w:p>
        </w:tc>
        <w:tc>
          <w:tcPr>
            <w:tcW w:w="1947" w:type="dxa"/>
            <w:textDirection w:val="lrTb"/>
            <w:noWrap w:val="false"/>
          </w:tcPr>
          <w:p>
            <w:pPr>
              <w:rPr>
                <w:highlight w:val="none"/>
              </w:rPr>
            </w:pPr>
            <w:r>
              <w:rPr>
                <w:highlight w:val="none"/>
              </w:rPr>
            </w:r>
            <w:r/>
          </w:p>
        </w:tc>
        <w:tc>
          <w:tcPr>
            <w:tcW w:w="1404" w:type="dxa"/>
            <w:textDirection w:val="lrTb"/>
            <w:noWrap w:val="false"/>
          </w:tcPr>
          <w:p>
            <w:pPr>
              <w:rPr>
                <w:highlight w:val="none"/>
              </w:rPr>
            </w:pPr>
            <w:r>
              <w:rPr>
                <w:highlight w:val="none"/>
              </w:rPr>
            </w:r>
            <w:r/>
          </w:p>
        </w:tc>
        <w:tc>
          <w:tcPr>
            <w:tcW w:w="2759" w:type="dxa"/>
            <w:textDirection w:val="lrTb"/>
            <w:noWrap w:val="false"/>
          </w:tcPr>
          <w:p>
            <w:pPr>
              <w:rPr>
                <w:highlight w:val="none"/>
              </w:rPr>
            </w:pPr>
            <w:r>
              <w:rPr>
                <w:highlight w:val="none"/>
              </w:rPr>
            </w:r>
            <w:r/>
          </w:p>
        </w:tc>
        <w:tc>
          <w:tcPr>
            <w:tcW w:w="1843" w:type="dxa"/>
            <w:textDirection w:val="lrTb"/>
            <w:noWrap w:val="false"/>
          </w:tcPr>
          <w:p>
            <w:pPr>
              <w:rPr>
                <w:highlight w:val="none"/>
              </w:rPr>
            </w:pPr>
            <w:r>
              <w:rPr>
                <w:highlight w:val="none"/>
              </w:rPr>
            </w:r>
            <w:r/>
          </w:p>
        </w:tc>
        <w:tc>
          <w:tcPr>
            <w:tcBorders>
              <w:right w:val="single" w:color="000000" w:sz="10" w:space="0"/>
            </w:tcBorders>
            <w:tcW w:w="1687" w:type="dxa"/>
            <w:textDirection w:val="lrTb"/>
            <w:noWrap w:val="false"/>
          </w:tcPr>
          <w:p>
            <w:pPr>
              <w:rPr>
                <w:highlight w:val="none"/>
              </w:rPr>
            </w:pPr>
            <w:r>
              <w:rPr>
                <w:highlight w:val="none"/>
              </w:rPr>
            </w:r>
            <w:r/>
          </w:p>
        </w:tc>
      </w:tr>
      <w:tr>
        <w:trPr>
          <w:trHeight w:val="656"/>
        </w:trPr>
        <w:tc>
          <w:tcPr>
            <w:tcBorders>
              <w:left w:val="single" w:color="000000" w:sz="10" w:space="0"/>
            </w:tcBorders>
            <w:tcW w:w="1006" w:type="dxa"/>
            <w:textDirection w:val="lrTb"/>
            <w:noWrap w:val="false"/>
          </w:tcPr>
          <w:p>
            <w:pPr>
              <w:rPr>
                <w:highlight w:val="none"/>
              </w:rPr>
            </w:pPr>
            <w:r>
              <w:rPr>
                <w:highlight w:val="none"/>
              </w:rPr>
            </w:r>
            <w:r/>
          </w:p>
        </w:tc>
        <w:tc>
          <w:tcPr>
            <w:tcW w:w="2501" w:type="dxa"/>
            <w:textDirection w:val="lrTb"/>
            <w:noWrap w:val="false"/>
          </w:tcPr>
          <w:p>
            <w:pPr>
              <w:rPr>
                <w:highlight w:val="none"/>
              </w:rPr>
            </w:pPr>
            <w:r>
              <w:rPr>
                <w:highlight w:val="none"/>
              </w:rPr>
            </w:r>
            <w:r/>
          </w:p>
        </w:tc>
        <w:tc>
          <w:tcPr>
            <w:tcW w:w="1947" w:type="dxa"/>
            <w:textDirection w:val="lrTb"/>
            <w:noWrap w:val="false"/>
          </w:tcPr>
          <w:p>
            <w:pPr>
              <w:rPr>
                <w:highlight w:val="none"/>
              </w:rPr>
            </w:pPr>
            <w:r>
              <w:rPr>
                <w:highlight w:val="none"/>
              </w:rPr>
            </w:r>
            <w:r/>
          </w:p>
        </w:tc>
        <w:tc>
          <w:tcPr>
            <w:tcW w:w="1404" w:type="dxa"/>
            <w:textDirection w:val="lrTb"/>
            <w:noWrap w:val="false"/>
          </w:tcPr>
          <w:p>
            <w:pPr>
              <w:rPr>
                <w:highlight w:val="none"/>
              </w:rPr>
            </w:pPr>
            <w:r>
              <w:rPr>
                <w:highlight w:val="none"/>
              </w:rPr>
            </w:r>
            <w:r/>
          </w:p>
        </w:tc>
        <w:tc>
          <w:tcPr>
            <w:tcW w:w="2759" w:type="dxa"/>
            <w:textDirection w:val="lrTb"/>
            <w:noWrap w:val="false"/>
          </w:tcPr>
          <w:p>
            <w:pPr>
              <w:rPr>
                <w:highlight w:val="none"/>
              </w:rPr>
            </w:pPr>
            <w:r>
              <w:rPr>
                <w:highlight w:val="none"/>
              </w:rPr>
            </w:r>
            <w:r/>
          </w:p>
        </w:tc>
        <w:tc>
          <w:tcPr>
            <w:tcW w:w="1843" w:type="dxa"/>
            <w:textDirection w:val="lrTb"/>
            <w:noWrap w:val="false"/>
          </w:tcPr>
          <w:p>
            <w:pPr>
              <w:rPr>
                <w:highlight w:val="none"/>
              </w:rPr>
            </w:pPr>
            <w:r>
              <w:rPr>
                <w:highlight w:val="none"/>
              </w:rPr>
            </w:r>
            <w:r/>
          </w:p>
        </w:tc>
        <w:tc>
          <w:tcPr>
            <w:tcBorders>
              <w:right w:val="single" w:color="000000" w:sz="10" w:space="0"/>
            </w:tcBorders>
            <w:tcW w:w="1687" w:type="dxa"/>
            <w:textDirection w:val="lrTb"/>
            <w:noWrap w:val="false"/>
          </w:tcPr>
          <w:p>
            <w:pPr>
              <w:rPr>
                <w:highlight w:val="none"/>
              </w:rPr>
            </w:pPr>
            <w:r>
              <w:rPr>
                <w:highlight w:val="none"/>
              </w:rPr>
            </w:r>
            <w:r/>
          </w:p>
        </w:tc>
      </w:tr>
      <w:tr>
        <w:trPr>
          <w:trHeight w:val="677"/>
        </w:trPr>
        <w:tc>
          <w:tcPr>
            <w:tcBorders>
              <w:left w:val="single" w:color="000000" w:sz="10" w:space="0"/>
              <w:bottom w:val="single" w:color="000000" w:sz="10" w:space="0"/>
            </w:tcBorders>
            <w:tcW w:w="1006" w:type="dxa"/>
            <w:textDirection w:val="lrTb"/>
            <w:noWrap w:val="false"/>
          </w:tcPr>
          <w:p>
            <w:pPr>
              <w:rPr>
                <w:highlight w:val="none"/>
              </w:rPr>
            </w:pPr>
            <w:r>
              <w:rPr>
                <w:highlight w:val="none"/>
              </w:rPr>
            </w:r>
            <w:r/>
          </w:p>
        </w:tc>
        <w:tc>
          <w:tcPr>
            <w:tcBorders>
              <w:bottom w:val="single" w:color="000000" w:sz="10" w:space="0"/>
            </w:tcBorders>
            <w:tcW w:w="2501" w:type="dxa"/>
            <w:textDirection w:val="lrTb"/>
            <w:noWrap w:val="false"/>
          </w:tcPr>
          <w:p>
            <w:pPr>
              <w:rPr>
                <w:highlight w:val="none"/>
              </w:rPr>
            </w:pPr>
            <w:r>
              <w:rPr>
                <w:highlight w:val="none"/>
              </w:rPr>
            </w:r>
            <w:r/>
          </w:p>
        </w:tc>
        <w:tc>
          <w:tcPr>
            <w:tcBorders>
              <w:bottom w:val="single" w:color="000000" w:sz="10" w:space="0"/>
            </w:tcBorders>
            <w:tcW w:w="1947" w:type="dxa"/>
            <w:textDirection w:val="lrTb"/>
            <w:noWrap w:val="false"/>
          </w:tcPr>
          <w:p>
            <w:pPr>
              <w:rPr>
                <w:highlight w:val="none"/>
              </w:rPr>
            </w:pPr>
            <w:r>
              <w:rPr>
                <w:highlight w:val="none"/>
              </w:rPr>
            </w:r>
            <w:r/>
          </w:p>
        </w:tc>
        <w:tc>
          <w:tcPr>
            <w:tcBorders>
              <w:bottom w:val="single" w:color="000000" w:sz="10" w:space="0"/>
            </w:tcBorders>
            <w:tcW w:w="1404" w:type="dxa"/>
            <w:textDirection w:val="lrTb"/>
            <w:noWrap w:val="false"/>
          </w:tcPr>
          <w:p>
            <w:pPr>
              <w:rPr>
                <w:highlight w:val="none"/>
              </w:rPr>
            </w:pPr>
            <w:r>
              <w:rPr>
                <w:highlight w:val="none"/>
              </w:rPr>
            </w:r>
            <w:r/>
          </w:p>
        </w:tc>
        <w:tc>
          <w:tcPr>
            <w:tcBorders>
              <w:bottom w:val="single" w:color="000000" w:sz="10" w:space="0"/>
            </w:tcBorders>
            <w:tcW w:w="2759" w:type="dxa"/>
            <w:textDirection w:val="lrTb"/>
            <w:noWrap w:val="false"/>
          </w:tcPr>
          <w:p>
            <w:pPr>
              <w:rPr>
                <w:highlight w:val="none"/>
              </w:rPr>
            </w:pPr>
            <w:r>
              <w:rPr>
                <w:highlight w:val="none"/>
              </w:rPr>
            </w:r>
            <w:r/>
          </w:p>
        </w:tc>
        <w:tc>
          <w:tcPr>
            <w:tcBorders>
              <w:bottom w:val="single" w:color="000000" w:sz="10" w:space="0"/>
            </w:tcBorders>
            <w:tcW w:w="1843" w:type="dxa"/>
            <w:textDirection w:val="lrTb"/>
            <w:noWrap w:val="false"/>
          </w:tcPr>
          <w:p>
            <w:pPr>
              <w:rPr>
                <w:highlight w:val="none"/>
              </w:rPr>
            </w:pPr>
            <w:r>
              <w:rPr>
                <w:highlight w:val="none"/>
              </w:rPr>
            </w:r>
            <w:r/>
          </w:p>
        </w:tc>
        <w:tc>
          <w:tcPr>
            <w:tcBorders>
              <w:bottom w:val="single" w:color="000000" w:sz="10" w:space="0"/>
              <w:right w:val="single" w:color="000000" w:sz="10" w:space="0"/>
            </w:tcBorders>
            <w:tcW w:w="1687" w:type="dxa"/>
            <w:textDirection w:val="lrTb"/>
            <w:noWrap w:val="false"/>
          </w:tcPr>
          <w:p>
            <w:pPr>
              <w:rPr>
                <w:highlight w:val="none"/>
              </w:rPr>
            </w:pPr>
            <w:r>
              <w:rPr>
                <w:highlight w:val="none"/>
              </w:rPr>
            </w:r>
            <w:r/>
          </w:p>
        </w:tc>
      </w:tr>
    </w:tbl>
    <w:p>
      <w:pPr>
        <w:rPr>
          <w:highlight w:val="none"/>
        </w:rPr>
      </w:pPr>
      <w:r>
        <w:rPr>
          <w:highlight w:val="none"/>
        </w:rPr>
        <w:t xml:space="preserve">注：按招标文件粘贴</w:t>
      </w:r>
      <w:r>
        <w:rPr>
          <w:rFonts w:hint="eastAsia"/>
          <w:highlight w:val="none"/>
        </w:rPr>
        <w:t xml:space="preserve">第四部分 第</w:t>
      </w:r>
      <w:r>
        <w:rPr>
          <w:rFonts w:hint="eastAsia"/>
          <w:highlight w:val="none"/>
          <w:lang w:eastAsia="zh-CN"/>
        </w:rPr>
        <w:t xml:space="preserve">六</w:t>
      </w:r>
      <w:r>
        <w:rPr>
          <w:rFonts w:hint="eastAsia"/>
          <w:highlight w:val="none"/>
        </w:rPr>
        <w:t xml:space="preserve"> 评审标准</w:t>
      </w:r>
      <w:r>
        <w:rPr>
          <w:highlight w:val="none"/>
        </w:rPr>
        <w:t xml:space="preserve">要求，提供投标人类似项目业绩清单及证</w:t>
      </w:r>
      <w:r>
        <w:rPr>
          <w:spacing w:val="-2"/>
          <w:highlight w:val="none"/>
        </w:rPr>
        <w:t xml:space="preserve">明材料。</w:t>
      </w:r>
      <w:r/>
    </w:p>
    <w:p>
      <w:pPr>
        <w:pStyle w:val="873"/>
        <w:rPr>
          <w:highlight w:val="none"/>
        </w:rPr>
      </w:pPr>
      <w:r>
        <w:rPr>
          <w:highlight w:val="none"/>
        </w:rPr>
      </w:r>
      <w:r/>
    </w:p>
    <w:p>
      <w:pPr>
        <w:rPr>
          <w:highlight w:val="none"/>
        </w:rPr>
      </w:pPr>
      <w:r>
        <w:rPr>
          <w:highlight w:val="none"/>
        </w:rPr>
        <w:t xml:space="preserve">我单位郑重承诺，本表所填信息及相关证明文件均经我单位核实和确认，保证所有信息的真实性。如有信息与实 际情况不符或提供虚假信息，我单位愿按《中华人民共和国政府采购法》及相关法律规定承担法律责任。</w:t>
      </w:r>
      <w:r/>
    </w:p>
    <w:p>
      <w:pPr>
        <w:pStyle w:val="873"/>
        <w:rPr>
          <w:highlight w:val="none"/>
        </w:rPr>
      </w:pPr>
      <w:r>
        <w:rPr>
          <w:highlight w:val="none"/>
        </w:rPr>
      </w:r>
      <w:r/>
    </w:p>
    <w:p>
      <w:pPr>
        <w:ind w:firstLine="412"/>
        <w:rPr>
          <w:highlight w:val="none"/>
        </w:rPr>
      </w:pPr>
      <w:r>
        <w:rPr>
          <w:spacing w:val="-2"/>
          <w:highlight w:val="none"/>
        </w:rPr>
        <w:t xml:space="preserve">投标人名称（加盖公章）</w:t>
      </w:r>
      <w:r>
        <w:rPr>
          <w:highlight w:val="none"/>
        </w:rPr>
        <w:t xml:space="preserve">                      </w:t>
      </w:r>
      <w:r/>
    </w:p>
    <w:p>
      <w:pPr>
        <w:rPr>
          <w:highlight w:val="none"/>
        </w:rPr>
        <w:sectPr>
          <w:footerReference w:type="default" r:id="rId18"/>
          <w:footnotePr/>
          <w:endnotePr/>
          <w:type w:val="nextPage"/>
          <w:pgSz w:w="16839" w:h="11907" w:orient="landscape"/>
          <w:pgMar w:top="1012" w:right="1317" w:bottom="1159" w:left="1269" w:header="0" w:footer="959" w:gutter="0"/>
          <w:cols w:num="1" w:sep="0" w:space="720" w:equalWidth="1"/>
          <w:docGrid w:linePitch="360"/>
        </w:sectPr>
      </w:pPr>
      <w:r>
        <w:rPr>
          <w:highlight w:val="none"/>
        </w:rPr>
        <w:t xml:space="preserve">法定代表人签署或被授权人签字                   </w:t>
      </w:r>
      <w:r>
        <w:rPr>
          <w:spacing w:val="-1"/>
          <w:highlight w:val="none"/>
        </w:rPr>
        <w:t xml:space="preserve">          </w:t>
      </w:r>
      <w:r>
        <w:rPr>
          <w:highlight w:val="none"/>
        </w:rPr>
        <w:t xml:space="preserve"> </w:t>
      </w:r>
      <w:r>
        <w:rPr>
          <w:spacing w:val="-17"/>
          <w:highlight w:val="none"/>
        </w:rPr>
        <w:t xml:space="preserve">日期：</w:t>
      </w:r>
      <w:r>
        <w:rPr>
          <w:highlight w:val="none"/>
        </w:rPr>
        <w:t xml:space="preserve">                       </w:t>
      </w:r>
      <w:r/>
    </w:p>
    <w:p>
      <w:pPr>
        <w:rPr>
          <w:highlight w:val="none"/>
        </w:rPr>
      </w:pPr>
      <w:r>
        <w:rPr>
          <w:rFonts w:hint="eastAsia"/>
          <w:highlight w:val="none"/>
          <w:lang w:val="zh-CN"/>
        </w:rPr>
        <w:t xml:space="preserve">附件：</w:t>
      </w:r>
      <w:r>
        <w:rPr>
          <w:rFonts w:hint="eastAsia"/>
          <w:highlight w:val="none"/>
        </w:rPr>
        <w:t xml:space="preserve">1</w:t>
      </w:r>
      <w:r>
        <w:rPr>
          <w:rFonts w:hint="eastAsia"/>
          <w:highlight w:val="none"/>
          <w:lang w:val="en-US" w:eastAsia="zh-CN"/>
        </w:rPr>
        <w:t xml:space="preserve">5</w:t>
      </w:r>
      <w:r>
        <w:rPr>
          <w:rFonts w:hint="eastAsia"/>
          <w:highlight w:val="none"/>
        </w:rPr>
        <w:t xml:space="preserve">                       实验室仪器装备</w:t>
      </w:r>
      <w:r>
        <w:rPr>
          <w:highlight w:val="none"/>
        </w:rPr>
        <w:t xml:space="preserve">情况表</w:t>
      </w:r>
      <w:r/>
    </w:p>
    <w:p>
      <w:pPr>
        <w:rPr>
          <w:highlight w:val="none"/>
        </w:rPr>
      </w:pPr>
      <w:r>
        <w:rPr>
          <w:highlight w:val="none"/>
        </w:rPr>
      </w:r>
      <w:r/>
    </w:p>
    <w:tbl>
      <w:tblPr>
        <w:tblStyle w:val="899"/>
        <w:tblW w:w="91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742"/>
        <w:gridCol w:w="1445"/>
        <w:gridCol w:w="1391"/>
        <w:gridCol w:w="1528"/>
        <w:gridCol w:w="1118"/>
        <w:gridCol w:w="1077"/>
      </w:tblGrid>
      <w:tr>
        <w:trPr>
          <w:trHeight w:val="624"/>
        </w:trPr>
        <w:tc>
          <w:tcPr>
            <w:tcW w:w="851" w:type="dxa"/>
            <w:vAlign w:val="center"/>
            <w:textDirection w:val="lrTb"/>
            <w:noWrap w:val="false"/>
          </w:tcPr>
          <w:p>
            <w:pPr>
              <w:rPr>
                <w:highlight w:val="none"/>
              </w:rPr>
            </w:pPr>
            <w:r>
              <w:rPr>
                <w:rFonts w:hint="eastAsia"/>
                <w:highlight w:val="none"/>
              </w:rPr>
              <w:t xml:space="preserve">序号</w:t>
            </w:r>
            <w:r/>
          </w:p>
        </w:tc>
        <w:tc>
          <w:tcPr>
            <w:tcW w:w="1742" w:type="dxa"/>
            <w:vAlign w:val="center"/>
            <w:textDirection w:val="lrTb"/>
            <w:noWrap w:val="false"/>
          </w:tcPr>
          <w:p>
            <w:pPr>
              <w:rPr>
                <w:highlight w:val="none"/>
              </w:rPr>
            </w:pPr>
            <w:r>
              <w:rPr>
                <w:rFonts w:hint="eastAsia"/>
                <w:highlight w:val="none"/>
              </w:rPr>
              <w:t xml:space="preserve">仪器设备名称</w:t>
            </w:r>
            <w:r/>
          </w:p>
        </w:tc>
        <w:tc>
          <w:tcPr>
            <w:tcW w:w="1445" w:type="dxa"/>
            <w:vAlign w:val="center"/>
            <w:textDirection w:val="lrTb"/>
            <w:noWrap w:val="false"/>
          </w:tcPr>
          <w:p>
            <w:pPr>
              <w:rPr>
                <w:highlight w:val="none"/>
              </w:rPr>
            </w:pPr>
            <w:r>
              <w:rPr>
                <w:rFonts w:hint="eastAsia"/>
                <w:highlight w:val="none"/>
              </w:rPr>
              <w:t xml:space="preserve">规格型号</w:t>
            </w:r>
            <w:r/>
          </w:p>
        </w:tc>
        <w:tc>
          <w:tcPr>
            <w:tcW w:w="1391" w:type="dxa"/>
            <w:vAlign w:val="center"/>
            <w:textDirection w:val="lrTb"/>
            <w:noWrap w:val="false"/>
          </w:tcPr>
          <w:p>
            <w:pPr>
              <w:rPr>
                <w:highlight w:val="none"/>
              </w:rPr>
            </w:pPr>
            <w:r>
              <w:rPr>
                <w:rFonts w:hint="eastAsia"/>
                <w:highlight w:val="none"/>
              </w:rPr>
              <w:t xml:space="preserve">出厂编号</w:t>
            </w:r>
            <w:r/>
          </w:p>
        </w:tc>
        <w:tc>
          <w:tcPr>
            <w:tcW w:w="1528" w:type="dxa"/>
            <w:vAlign w:val="center"/>
            <w:textDirection w:val="lrTb"/>
            <w:noWrap w:val="false"/>
          </w:tcPr>
          <w:p>
            <w:pPr>
              <w:rPr>
                <w:highlight w:val="none"/>
              </w:rPr>
            </w:pPr>
            <w:r>
              <w:rPr>
                <w:rFonts w:hint="eastAsia"/>
                <w:highlight w:val="none"/>
              </w:rPr>
              <w:t xml:space="preserve">生产厂家</w:t>
            </w:r>
            <w:r/>
          </w:p>
        </w:tc>
        <w:tc>
          <w:tcPr>
            <w:tcW w:w="1118" w:type="dxa"/>
            <w:vAlign w:val="center"/>
            <w:textDirection w:val="lrTb"/>
            <w:noWrap w:val="false"/>
          </w:tcPr>
          <w:p>
            <w:pPr>
              <w:rPr>
                <w:highlight w:val="none"/>
              </w:rPr>
            </w:pPr>
            <w:r>
              <w:rPr>
                <w:rFonts w:hint="eastAsia"/>
                <w:highlight w:val="none"/>
              </w:rPr>
              <w:t xml:space="preserve">购置日期</w:t>
            </w:r>
            <w:r/>
          </w:p>
        </w:tc>
        <w:tc>
          <w:tcPr>
            <w:tcW w:w="1077" w:type="dxa"/>
            <w:vAlign w:val="center"/>
            <w:textDirection w:val="lrTb"/>
            <w:noWrap w:val="false"/>
          </w:tcPr>
          <w:p>
            <w:pPr>
              <w:rPr>
                <w:highlight w:val="none"/>
              </w:rPr>
            </w:pPr>
            <w:r>
              <w:rPr>
                <w:rFonts w:hint="eastAsia"/>
                <w:highlight w:val="none"/>
              </w:rPr>
              <w:t xml:space="preserve">证明材料页码</w:t>
            </w:r>
            <w:r/>
          </w:p>
        </w:tc>
      </w:tr>
      <w:tr>
        <w:trPr>
          <w:trHeight w:val="436"/>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43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6"/>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r>
        <w:trPr>
          <w:trHeight w:val="400"/>
        </w:trPr>
        <w:tc>
          <w:tcPr>
            <w:tcW w:w="851" w:type="dxa"/>
            <w:textDirection w:val="lrTb"/>
            <w:noWrap w:val="false"/>
          </w:tcPr>
          <w:p>
            <w:pPr>
              <w:rPr>
                <w:highlight w:val="none"/>
              </w:rPr>
            </w:pPr>
            <w:r>
              <w:rPr>
                <w:highlight w:val="none"/>
              </w:rPr>
            </w:r>
            <w:r/>
          </w:p>
        </w:tc>
        <w:tc>
          <w:tcPr>
            <w:tcW w:w="1742" w:type="dxa"/>
            <w:textDirection w:val="lrTb"/>
            <w:noWrap w:val="false"/>
          </w:tcPr>
          <w:p>
            <w:pPr>
              <w:rPr>
                <w:highlight w:val="none"/>
              </w:rPr>
            </w:pPr>
            <w:r>
              <w:rPr>
                <w:highlight w:val="none"/>
              </w:rPr>
            </w:r>
            <w:r/>
          </w:p>
        </w:tc>
        <w:tc>
          <w:tcPr>
            <w:tcW w:w="1445" w:type="dxa"/>
            <w:textDirection w:val="lrTb"/>
            <w:noWrap w:val="false"/>
          </w:tcPr>
          <w:p>
            <w:pPr>
              <w:rPr>
                <w:highlight w:val="none"/>
              </w:rPr>
            </w:pPr>
            <w:r>
              <w:rPr>
                <w:highlight w:val="none"/>
              </w:rPr>
            </w:r>
            <w:r/>
          </w:p>
        </w:tc>
        <w:tc>
          <w:tcPr>
            <w:tcW w:w="1391" w:type="dxa"/>
            <w:textDirection w:val="lrTb"/>
            <w:noWrap w:val="false"/>
          </w:tcPr>
          <w:p>
            <w:pPr>
              <w:rPr>
                <w:highlight w:val="none"/>
              </w:rPr>
            </w:pPr>
            <w:r>
              <w:rPr>
                <w:highlight w:val="none"/>
              </w:rPr>
            </w:r>
            <w:r/>
          </w:p>
        </w:tc>
        <w:tc>
          <w:tcPr>
            <w:tcW w:w="1528" w:type="dxa"/>
            <w:textDirection w:val="lrTb"/>
            <w:noWrap w:val="false"/>
          </w:tcPr>
          <w:p>
            <w:pPr>
              <w:rPr>
                <w:highlight w:val="none"/>
              </w:rPr>
            </w:pPr>
            <w:r>
              <w:rPr>
                <w:highlight w:val="none"/>
              </w:rPr>
            </w:r>
            <w:r/>
          </w:p>
        </w:tc>
        <w:tc>
          <w:tcPr>
            <w:tcW w:w="111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r>
    </w:tbl>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highlight w:val="none"/>
          <w:lang w:val="zh-CN"/>
        </w:rPr>
      </w:r>
      <w:r/>
    </w:p>
    <w:p>
      <w:pPr>
        <w:rPr>
          <w:highlight w:val="none"/>
          <w:lang w:val="zh-CN"/>
        </w:rPr>
      </w:pPr>
      <w:r>
        <w:rPr>
          <w:rFonts w:hint="eastAsia"/>
          <w:highlight w:val="none"/>
          <w:lang w:val="zh-CN"/>
        </w:rPr>
        <w:br w:type="page" w:clear="all"/>
      </w:r>
      <w:r/>
    </w:p>
    <w:p>
      <w:pPr>
        <w:rPr>
          <w:highlight w:val="none"/>
        </w:rPr>
      </w:pPr>
      <w:r>
        <w:rPr>
          <w:rFonts w:hint="eastAsia"/>
          <w:highlight w:val="none"/>
          <w:lang w:val="zh-CN"/>
        </w:rPr>
        <w:t xml:space="preserve">附件：</w:t>
      </w:r>
      <w:r>
        <w:rPr>
          <w:rFonts w:hint="eastAsia"/>
          <w:highlight w:val="none"/>
        </w:rPr>
        <w:t xml:space="preserve">1</w:t>
      </w:r>
      <w:r>
        <w:rPr>
          <w:rFonts w:hint="eastAsia"/>
          <w:highlight w:val="none"/>
          <w:lang w:val="en-US" w:eastAsia="zh-CN"/>
        </w:rPr>
        <w:t xml:space="preserve">6</w:t>
      </w:r>
      <w:r>
        <w:rPr>
          <w:rFonts w:hint="eastAsia"/>
          <w:highlight w:val="none"/>
        </w:rPr>
        <w:t xml:space="preserve">                     能力项目</w:t>
      </w:r>
      <w:r>
        <w:rPr>
          <w:highlight w:val="none"/>
        </w:rPr>
        <w:t xml:space="preserve">情况表</w:t>
      </w:r>
      <w:r/>
    </w:p>
    <w:p>
      <w:pPr>
        <w:rPr>
          <w:highlight w:val="none"/>
        </w:rPr>
      </w:pPr>
      <w:r>
        <w:rPr>
          <w:highlight w:val="none"/>
        </w:rPr>
      </w:r>
      <w:r/>
    </w:p>
    <w:tbl>
      <w:tblPr>
        <w:tblStyle w:val="899"/>
        <w:tblW w:w="92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578"/>
        <w:gridCol w:w="1609"/>
        <w:gridCol w:w="3328"/>
        <w:gridCol w:w="1077"/>
        <w:gridCol w:w="764"/>
      </w:tblGrid>
      <w:tr>
        <w:trPr>
          <w:trHeight w:val="624"/>
        </w:trPr>
        <w:tc>
          <w:tcPr>
            <w:tcW w:w="851" w:type="dxa"/>
            <w:vAlign w:val="center"/>
            <w:textDirection w:val="lrTb"/>
            <w:noWrap w:val="false"/>
          </w:tcPr>
          <w:p>
            <w:pPr>
              <w:rPr>
                <w:highlight w:val="none"/>
              </w:rPr>
            </w:pPr>
            <w:r>
              <w:rPr>
                <w:rFonts w:hint="eastAsia"/>
                <w:highlight w:val="none"/>
              </w:rPr>
              <w:t xml:space="preserve">序号</w:t>
            </w:r>
            <w:r/>
          </w:p>
        </w:tc>
        <w:tc>
          <w:tcPr>
            <w:tcW w:w="1578" w:type="dxa"/>
            <w:vAlign w:val="center"/>
            <w:textDirection w:val="lrTb"/>
            <w:noWrap w:val="false"/>
          </w:tcPr>
          <w:p>
            <w:pPr>
              <w:rPr>
                <w:highlight w:val="none"/>
              </w:rPr>
            </w:pPr>
            <w:r>
              <w:rPr>
                <w:rFonts w:hint="eastAsia"/>
                <w:highlight w:val="none"/>
              </w:rPr>
              <w:t xml:space="preserve">类别</w:t>
            </w:r>
            <w:r/>
          </w:p>
        </w:tc>
        <w:tc>
          <w:tcPr>
            <w:tcW w:w="1609" w:type="dxa"/>
            <w:vAlign w:val="center"/>
            <w:textDirection w:val="lrTb"/>
            <w:noWrap w:val="false"/>
          </w:tcPr>
          <w:p>
            <w:pPr>
              <w:rPr>
                <w:highlight w:val="none"/>
              </w:rPr>
            </w:pPr>
            <w:r>
              <w:rPr>
                <w:rFonts w:hint="eastAsia"/>
                <w:highlight w:val="none"/>
              </w:rPr>
              <w:t xml:space="preserve">监测项目</w:t>
            </w:r>
            <w:r/>
          </w:p>
        </w:tc>
        <w:tc>
          <w:tcPr>
            <w:tcW w:w="3328" w:type="dxa"/>
            <w:vAlign w:val="center"/>
            <w:textDirection w:val="lrTb"/>
            <w:noWrap w:val="false"/>
          </w:tcPr>
          <w:p>
            <w:pPr>
              <w:rPr>
                <w:highlight w:val="none"/>
              </w:rPr>
            </w:pPr>
            <w:r>
              <w:rPr>
                <w:rFonts w:hint="eastAsia"/>
                <w:highlight w:val="none"/>
              </w:rPr>
              <w:t xml:space="preserve">检测标准（方法）名称及编号（含年号）</w:t>
            </w:r>
            <w:r/>
          </w:p>
        </w:tc>
        <w:tc>
          <w:tcPr>
            <w:tcW w:w="1077" w:type="dxa"/>
            <w:vAlign w:val="center"/>
            <w:textDirection w:val="lrTb"/>
            <w:noWrap w:val="false"/>
          </w:tcPr>
          <w:p>
            <w:pPr>
              <w:rPr>
                <w:highlight w:val="none"/>
              </w:rPr>
            </w:pPr>
            <w:r>
              <w:rPr>
                <w:rFonts w:hint="eastAsia"/>
                <w:highlight w:val="none"/>
              </w:rPr>
              <w:t xml:space="preserve">检出限</w:t>
            </w:r>
            <w:r/>
          </w:p>
        </w:tc>
        <w:tc>
          <w:tcPr>
            <w:tcW w:w="764" w:type="dxa"/>
            <w:vAlign w:val="center"/>
            <w:textDirection w:val="lrTb"/>
            <w:noWrap w:val="false"/>
          </w:tcPr>
          <w:p>
            <w:pPr>
              <w:rPr>
                <w:highlight w:val="none"/>
              </w:rPr>
            </w:pPr>
            <w:r>
              <w:rPr>
                <w:rFonts w:hint="eastAsia"/>
                <w:highlight w:val="none"/>
              </w:rPr>
              <w:t xml:space="preserve">证明材料页码</w:t>
            </w:r>
            <w:r/>
          </w:p>
        </w:tc>
      </w:tr>
      <w:tr>
        <w:trPr>
          <w:trHeight w:val="436"/>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43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6"/>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389"/>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r>
        <w:trPr>
          <w:trHeight w:val="400"/>
        </w:trPr>
        <w:tc>
          <w:tcPr>
            <w:tcW w:w="851" w:type="dxa"/>
            <w:textDirection w:val="lrTb"/>
            <w:noWrap w:val="false"/>
          </w:tcPr>
          <w:p>
            <w:pPr>
              <w:rPr>
                <w:highlight w:val="none"/>
              </w:rPr>
            </w:pPr>
            <w:r>
              <w:rPr>
                <w:highlight w:val="none"/>
              </w:rPr>
            </w:r>
            <w:r/>
          </w:p>
        </w:tc>
        <w:tc>
          <w:tcPr>
            <w:tcW w:w="1578" w:type="dxa"/>
            <w:textDirection w:val="lrTb"/>
            <w:noWrap w:val="false"/>
          </w:tcPr>
          <w:p>
            <w:pPr>
              <w:rPr>
                <w:highlight w:val="none"/>
              </w:rPr>
            </w:pPr>
            <w:r>
              <w:rPr>
                <w:highlight w:val="none"/>
              </w:rPr>
            </w:r>
            <w:r/>
          </w:p>
        </w:tc>
        <w:tc>
          <w:tcPr>
            <w:tcW w:w="1609" w:type="dxa"/>
            <w:textDirection w:val="lrTb"/>
            <w:noWrap w:val="false"/>
          </w:tcPr>
          <w:p>
            <w:pPr>
              <w:rPr>
                <w:highlight w:val="none"/>
              </w:rPr>
            </w:pPr>
            <w:r>
              <w:rPr>
                <w:highlight w:val="none"/>
              </w:rPr>
            </w:r>
            <w:r/>
          </w:p>
        </w:tc>
        <w:tc>
          <w:tcPr>
            <w:tcW w:w="3328" w:type="dxa"/>
            <w:textDirection w:val="lrTb"/>
            <w:noWrap w:val="false"/>
          </w:tcPr>
          <w:p>
            <w:pPr>
              <w:rPr>
                <w:highlight w:val="none"/>
              </w:rPr>
            </w:pPr>
            <w:r>
              <w:rPr>
                <w:highlight w:val="none"/>
              </w:rPr>
            </w:r>
            <w:r/>
          </w:p>
        </w:tc>
        <w:tc>
          <w:tcPr>
            <w:tcW w:w="1077" w:type="dxa"/>
            <w:textDirection w:val="lrTb"/>
            <w:noWrap w:val="false"/>
          </w:tcPr>
          <w:p>
            <w:pPr>
              <w:rPr>
                <w:highlight w:val="none"/>
              </w:rPr>
            </w:pPr>
            <w:r>
              <w:rPr>
                <w:highlight w:val="none"/>
              </w:rPr>
            </w:r>
            <w:r/>
          </w:p>
        </w:tc>
        <w:tc>
          <w:tcPr>
            <w:tcW w:w="764" w:type="dxa"/>
            <w:textDirection w:val="lrTb"/>
            <w:noWrap w:val="false"/>
          </w:tcPr>
          <w:p>
            <w:pPr>
              <w:rPr>
                <w:highlight w:val="none"/>
              </w:rPr>
            </w:pPr>
            <w:r>
              <w:rPr>
                <w:highlight w:val="none"/>
              </w:rPr>
            </w:r>
            <w:r/>
          </w:p>
        </w:tc>
      </w:tr>
    </w:tbl>
    <w:p>
      <w:pPr>
        <w:rPr>
          <w:highlight w:val="none"/>
          <w:lang w:val="zh-CN"/>
        </w:rPr>
      </w:pPr>
      <w:r>
        <w:rPr>
          <w:highlight w:val="none"/>
          <w:lang w:val="zh-CN"/>
        </w:rPr>
      </w:r>
      <w:r/>
    </w:p>
    <w:p>
      <w:pPr>
        <w:rPr>
          <w:rFonts w:ascii="宋体" w:hAnsi="宋体" w:cs="宋体"/>
          <w:szCs w:val="24"/>
          <w:highlight w:val="none"/>
          <w:lang w:val="zh-CN"/>
        </w:rPr>
      </w:pPr>
      <w:r>
        <w:rPr>
          <w:rFonts w:hint="eastAsia" w:ascii="宋体" w:hAnsi="宋体" w:cs="宋体"/>
          <w:szCs w:val="24"/>
          <w:highlight w:val="none"/>
          <w:lang w:val="zh-CN"/>
        </w:rPr>
        <w:br w:type="page" w:clear="all"/>
      </w:r>
      <w:r/>
    </w:p>
    <w:p>
      <w:pPr>
        <w:ind w:firstLine="480"/>
        <w:spacing w:line="460" w:lineRule="exact"/>
        <w:rPr>
          <w:rFonts w:hint="eastAsia" w:ascii="宋体" w:hAnsi="宋体" w:eastAsia="宋体" w:cs="宋体"/>
          <w:szCs w:val="24"/>
          <w:highlight w:val="none"/>
          <w:lang w:eastAsia="zh-CN"/>
        </w:rPr>
      </w:pPr>
      <w:r>
        <w:rPr>
          <w:rFonts w:hint="eastAsia" w:ascii="宋体" w:hAnsi="宋体" w:cs="宋体"/>
          <w:szCs w:val="24"/>
          <w:highlight w:val="none"/>
          <w:lang w:val="zh-CN"/>
        </w:rPr>
        <w:t xml:space="preserve">附件</w:t>
      </w:r>
      <w:r>
        <w:rPr>
          <w:rFonts w:hint="eastAsia" w:ascii="宋体" w:hAnsi="宋体" w:cs="宋体"/>
          <w:szCs w:val="24"/>
          <w:highlight w:val="none"/>
        </w:rPr>
        <w:t xml:space="preserve">1</w:t>
      </w:r>
      <w:r>
        <w:rPr>
          <w:rFonts w:hint="eastAsia" w:ascii="宋体" w:hAnsi="宋体" w:cs="宋体"/>
          <w:szCs w:val="24"/>
          <w:highlight w:val="none"/>
          <w:lang w:val="en-US" w:eastAsia="zh-CN"/>
        </w:rPr>
        <w:t xml:space="preserve">7</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质疑函范本</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一、质疑供应商基本信息</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质疑供应商：</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地址：邮编：</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联系人：联系电话：</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授权代表：</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联系电话：</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地址：邮编：</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二、质疑项目基本情况</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质疑项目的名称：</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质疑项目的编号：包号：</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采购人名称：</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采购文件获取日期：</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三、质疑事项具体内容</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质疑事项1：</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事实依据：</w:t>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法律依据：</w:t>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质疑事项2</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四、与质疑事项相关的质疑请求</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请求：</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签字(签章)：                   公章：                      </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日期：    </w:t>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质疑函制作说明：</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1.供应商提出质疑时，应提交质疑函和必要的证明材料。</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3.质疑供应商若对项目的某一分包进行质疑，质疑函中应列明具体分包号。</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4.质疑函的质疑事项应具体、明确，并有必要的事实依据和法律依据。</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5.质疑函的质疑请求应与质疑事项相关。</w:t>
      </w:r>
      <w:r/>
    </w:p>
    <w:p>
      <w:pPr>
        <w:ind w:firstLine="480"/>
        <w:spacing w:line="460" w:lineRule="exact"/>
        <w:rPr>
          <w:rFonts w:ascii="宋体" w:hAnsi="宋体" w:cs="宋体"/>
          <w:szCs w:val="24"/>
          <w:highlight w:val="none"/>
          <w:lang w:val="zh-CN"/>
        </w:rPr>
      </w:pPr>
      <w:r>
        <w:rPr>
          <w:rFonts w:hint="eastAsia" w:ascii="宋体" w:hAnsi="宋体" w:cs="宋体"/>
          <w:szCs w:val="24"/>
          <w:highlight w:val="none"/>
          <w:lang w:val="zh-CN"/>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80"/>
        <w:spacing w:line="460" w:lineRule="exact"/>
        <w:rPr>
          <w:rFonts w:ascii="宋体" w:hAnsi="宋体" w:cs="宋体"/>
          <w:szCs w:val="24"/>
          <w:highlight w:val="none"/>
          <w:lang w:val="zh-CN"/>
        </w:rPr>
      </w:pPr>
      <w:r>
        <w:rPr>
          <w:rFonts w:ascii="宋体" w:hAnsi="宋体" w:cs="宋体"/>
          <w:szCs w:val="24"/>
          <w:highlight w:val="none"/>
          <w:lang w:val="zh-CN"/>
        </w:rPr>
      </w:r>
      <w:r/>
    </w:p>
    <w:p>
      <w:pPr>
        <w:ind w:firstLine="4410"/>
        <w:rPr>
          <w:rFonts w:ascii="宋体" w:hAnsi="宋体" w:cs="宋体"/>
          <w:szCs w:val="24"/>
          <w:highlight w:val="none"/>
        </w:rPr>
      </w:pPr>
      <w:r>
        <w:rPr>
          <w:rFonts w:ascii="宋体" w:hAnsi="宋体" w:cs="宋体"/>
          <w:szCs w:val="24"/>
          <w:highlight w:val="none"/>
        </w:rPr>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sectPr>
      <w:headerReference w:type="default" r:id="rId12"/>
      <w:footerReference w:type="default" r:id="rId19"/>
      <w:footnotePr/>
      <w:endnotePr/>
      <w:type w:val="nextPage"/>
      <w:pgSz w:w="11906" w:h="16838" w:orient="portrait"/>
      <w:pgMar w:top="1361"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方正仿宋_GBK">
    <w:panose1 w:val="020B0503020202020204"/>
  </w:font>
  <w:font w:name="Wingdings">
    <w:panose1 w:val="05000000000000000000"/>
  </w:font>
  <w:font w:name="方正黑体简体">
    <w:panose1 w:val="020B0503020202020204"/>
  </w:font>
  <w:font w:name="Courier New">
    <w:panose1 w:val="02070309020205020404"/>
  </w:font>
  <w:font w:name="仿宋">
    <w:panose1 w:val="0201060906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- 19 -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- 19 -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77"/>
                            <w:jc w:val="center"/>
                          </w:pPr>
                          <w:r>
                            <w:fldChar w:fldCharType="begin"/>
                          </w:r>
                          <w:r>
                            <w:instrText xml:space="preserve"> PAGE   \* MERGEFORMAT </w:instrText>
                          </w:r>
                          <w:r>
                            <w:fldChar w:fldCharType="separate"/>
                          </w:r>
                          <w:r>
                            <w:rPr>
                              <w:lang w:val="zh-CN"/>
                            </w:rPr>
                            <w:t xml:space="preserve">50</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jc w:val="center"/>
                    </w:pPr>
                    <w:r>
                      <w:fldChar w:fldCharType="begin"/>
                    </w:r>
                    <w:r>
                      <w:instrText xml:space="preserve"> PAGE   \* MERGEFORMAT </w:instrText>
                    </w:r>
                    <w:r>
                      <w:fldChar w:fldCharType="separate"/>
                    </w:r>
                    <w:r>
                      <w:rPr>
                        <w:lang w:val="zh-CN"/>
                      </w:rPr>
                      <w:t xml:space="preserve">50</w:t>
                    </w:r>
                    <w:r>
                      <w:rPr>
                        <w:lang w:val="zh-CN"/>
                      </w:rPr>
                      <w:fldChar w:fldCharType="end"/>
                    </w:r>
                    <w:r/>
                  </w:p>
                </w:txbxContent>
              </v:textbox>
            </v:shape>
          </w:pict>
        </mc:Fallback>
      </mc:AlternateContent>
    </w:r>
    <w:r/>
  </w:p>
  <w:p>
    <w:pPr>
      <w:pStyle w:val="8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- 31 -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- 31 -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6005"/>
      <w:rPr/>
    </w:sdtPr>
    <w:sdtContent>
      <w:p>
        <w:pPr>
          <w:pStyle w:val="877"/>
        </w:pPr>
        <w:r>
          <w:fldChar w:fldCharType="begin"/>
        </w:r>
        <w:r>
          <w:instrText xml:space="preserve"> PAGE   \* MERGEFORMAT </w:instrText>
        </w:r>
        <w:r>
          <w:fldChar w:fldCharType="separate"/>
        </w:r>
        <w:r>
          <w:rPr>
            <w:lang w:val="zh-CN"/>
          </w:rPr>
          <w:t xml:space="preserve">9</w:t>
        </w:r>
        <w:r>
          <w:rPr>
            <w:lang w:val="zh-CN"/>
          </w:rP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t xml:space="preserve">76</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- 41 -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- 41 -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tabs>
        <w:tab w:val="left" w:pos="5760" w:leader="none"/>
        <w:tab w:val="left" w:pos="6300" w:leader="none"/>
      </w:tabs>
      <w:rPr>
        <w:sz w:val="8"/>
        <w:szCs w:val="8"/>
        <w:u w:val="single"/>
      </w:rPr>
    </w:pPr>
    <w:r>
      <w:rPr>
        <w:rFonts w:hint="eastAsia" w:ascii="宋体" w:hAnsi="宋体" w:cs="宋体"/>
        <w:szCs w:val="21"/>
        <w:highlight w:val="none"/>
        <w:u w:val="single"/>
        <w:lang w:eastAsia="zh-CN"/>
      </w:rPr>
      <w:t xml:space="preserve">南通市生态环境监测站2026年度监测技术支撑项目（</w:t>
    </w:r>
    <w:r>
      <w:rPr>
        <w:rFonts w:hint="eastAsia" w:ascii="宋体" w:hAnsi="宋体" w:cs="宋体"/>
        <w:szCs w:val="21"/>
        <w:highlight w:val="none"/>
        <w:u w:val="single"/>
        <w:lang w:val="en-US" w:eastAsia="zh-CN"/>
      </w:rPr>
      <w:t xml:space="preserve">重新采购</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               </w:t>
    </w:r>
    <w:r>
      <w:rPr>
        <w:rFonts w:hint="eastAsia" w:ascii="宋体" w:hAnsi="宋体" w:cs="宋体"/>
        <w:szCs w:val="21"/>
        <w:u w:val="single"/>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left"/>
      <w:tabs>
        <w:tab w:val="left" w:pos="1046"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36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ind w:left="3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97"/>
      <w:isLgl w:val="false"/>
      <w:suff w:val="tab"/>
      <w:lvlText w:val="%1、"/>
      <w:lvlJc w:val="left"/>
      <w:pPr>
        <w:ind w:left="425" w:hanging="425"/>
      </w:pPr>
      <w:rPr>
        <w:rFonts w:hint="eastAsia"/>
      </w:rPr>
    </w:lvl>
    <w:lvl w:ilvl="1">
      <w:start w:val="1"/>
      <w:numFmt w:val="chineseCountingThousand"/>
      <w:isLgl w:val="false"/>
      <w:suff w:val="tab"/>
      <w:lvlText w:val="(%2) "/>
      <w:lvlJc w:val="left"/>
      <w:pPr>
        <w:ind w:left="0" w:firstLine="0"/>
      </w:pPr>
      <w:rPr>
        <w:rFonts w:hint="eastAsia"/>
      </w:rPr>
    </w:lvl>
    <w:lvl w:ilvl="2">
      <w:start w:val="1"/>
      <w:numFmt w:val="decimal"/>
      <w:isLgl w:val="false"/>
      <w:suff w:val="tab"/>
      <w:lvlText w:val="%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4"/>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65"/>
    <w:uiPriority w:val="9"/>
    <w:rPr>
      <w:rFonts w:ascii="Arial" w:hAnsi="Arial" w:eastAsia="Arial" w:cs="Arial"/>
      <w:sz w:val="40"/>
      <w:szCs w:val="40"/>
    </w:rPr>
  </w:style>
  <w:style w:type="character" w:styleId="15">
    <w:name w:val="Heading 2 Char"/>
    <w:basedOn w:val="868"/>
    <w:link w:val="866"/>
    <w:uiPriority w:val="9"/>
    <w:rPr>
      <w:rFonts w:ascii="Arial" w:hAnsi="Arial" w:eastAsia="Arial" w:cs="Arial"/>
      <w:sz w:val="34"/>
    </w:rPr>
  </w:style>
  <w:style w:type="character" w:styleId="17">
    <w:name w:val="Heading 3 Char"/>
    <w:basedOn w:val="868"/>
    <w:link w:val="867"/>
    <w:uiPriority w:val="9"/>
    <w:rPr>
      <w:rFonts w:ascii="Arial" w:hAnsi="Arial" w:eastAsia="Arial" w:cs="Arial"/>
      <w:sz w:val="30"/>
      <w:szCs w:val="30"/>
    </w:rPr>
  </w:style>
  <w:style w:type="paragraph" w:styleId="18">
    <w:name w:val="Heading 4"/>
    <w:basedOn w:val="864"/>
    <w:next w:val="8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68"/>
    <w:link w:val="18"/>
    <w:uiPriority w:val="9"/>
    <w:rPr>
      <w:rFonts w:ascii="Arial" w:hAnsi="Arial" w:eastAsia="Arial" w:cs="Arial"/>
      <w:b/>
      <w:bCs/>
      <w:sz w:val="26"/>
      <w:szCs w:val="26"/>
    </w:rPr>
  </w:style>
  <w:style w:type="paragraph" w:styleId="20">
    <w:name w:val="Heading 5"/>
    <w:basedOn w:val="864"/>
    <w:next w:val="8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68"/>
    <w:link w:val="20"/>
    <w:uiPriority w:val="9"/>
    <w:rPr>
      <w:rFonts w:ascii="Arial" w:hAnsi="Arial" w:eastAsia="Arial" w:cs="Arial"/>
      <w:b/>
      <w:bCs/>
      <w:sz w:val="24"/>
      <w:szCs w:val="24"/>
    </w:rPr>
  </w:style>
  <w:style w:type="paragraph" w:styleId="22">
    <w:name w:val="Heading 6"/>
    <w:basedOn w:val="864"/>
    <w:next w:val="8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68"/>
    <w:link w:val="22"/>
    <w:uiPriority w:val="9"/>
    <w:rPr>
      <w:rFonts w:ascii="Arial" w:hAnsi="Arial" w:eastAsia="Arial" w:cs="Arial"/>
      <w:b/>
      <w:bCs/>
      <w:sz w:val="22"/>
      <w:szCs w:val="22"/>
    </w:rPr>
  </w:style>
  <w:style w:type="paragraph" w:styleId="24">
    <w:name w:val="Heading 7"/>
    <w:basedOn w:val="864"/>
    <w:next w:val="8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68"/>
    <w:link w:val="24"/>
    <w:uiPriority w:val="9"/>
    <w:rPr>
      <w:rFonts w:ascii="Arial" w:hAnsi="Arial" w:eastAsia="Arial" w:cs="Arial"/>
      <w:b/>
      <w:bCs/>
      <w:i/>
      <w:iCs/>
      <w:sz w:val="22"/>
      <w:szCs w:val="22"/>
    </w:rPr>
  </w:style>
  <w:style w:type="paragraph" w:styleId="26">
    <w:name w:val="Heading 8"/>
    <w:basedOn w:val="864"/>
    <w:next w:val="8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68"/>
    <w:link w:val="26"/>
    <w:uiPriority w:val="9"/>
    <w:rPr>
      <w:rFonts w:ascii="Arial" w:hAnsi="Arial" w:eastAsia="Arial" w:cs="Arial"/>
      <w:i/>
      <w:iCs/>
      <w:sz w:val="22"/>
      <w:szCs w:val="22"/>
    </w:rPr>
  </w:style>
  <w:style w:type="paragraph" w:styleId="28">
    <w:name w:val="Heading 9"/>
    <w:basedOn w:val="864"/>
    <w:next w:val="8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6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4"/>
    <w:next w:val="864"/>
    <w:link w:val="34"/>
    <w:uiPriority w:val="10"/>
    <w:qFormat/>
    <w:pPr>
      <w:contextualSpacing/>
      <w:spacing w:before="300" w:after="200"/>
    </w:pPr>
    <w:rPr>
      <w:sz w:val="48"/>
      <w:szCs w:val="48"/>
    </w:rPr>
  </w:style>
  <w:style w:type="character" w:styleId="34">
    <w:name w:val="Title Char"/>
    <w:basedOn w:val="868"/>
    <w:link w:val="33"/>
    <w:uiPriority w:val="10"/>
    <w:rPr>
      <w:sz w:val="48"/>
      <w:szCs w:val="48"/>
    </w:rPr>
  </w:style>
  <w:style w:type="paragraph" w:styleId="35">
    <w:name w:val="Subtitle"/>
    <w:basedOn w:val="864"/>
    <w:next w:val="864"/>
    <w:link w:val="36"/>
    <w:uiPriority w:val="11"/>
    <w:qFormat/>
    <w:pPr>
      <w:spacing w:before="200" w:after="200"/>
    </w:pPr>
    <w:rPr>
      <w:sz w:val="24"/>
      <w:szCs w:val="24"/>
    </w:rPr>
  </w:style>
  <w:style w:type="character" w:styleId="36">
    <w:name w:val="Subtitle Char"/>
    <w:basedOn w:val="868"/>
    <w:link w:val="35"/>
    <w:uiPriority w:val="11"/>
    <w:rPr>
      <w:sz w:val="24"/>
      <w:szCs w:val="24"/>
    </w:rPr>
  </w:style>
  <w:style w:type="paragraph" w:styleId="37">
    <w:name w:val="Quote"/>
    <w:basedOn w:val="864"/>
    <w:next w:val="864"/>
    <w:link w:val="38"/>
    <w:uiPriority w:val="29"/>
    <w:qFormat/>
    <w:pPr>
      <w:ind w:left="720" w:right="720"/>
    </w:pPr>
    <w:rPr>
      <w:i/>
    </w:rPr>
  </w:style>
  <w:style w:type="character" w:styleId="38">
    <w:name w:val="Quote Char"/>
    <w:link w:val="37"/>
    <w:uiPriority w:val="29"/>
    <w:rPr>
      <w:i/>
    </w:rPr>
  </w:style>
  <w:style w:type="paragraph" w:styleId="39">
    <w:name w:val="Intense Quote"/>
    <w:basedOn w:val="864"/>
    <w:next w:val="8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68"/>
    <w:link w:val="878"/>
    <w:uiPriority w:val="99"/>
  </w:style>
  <w:style w:type="character" w:styleId="44">
    <w:name w:val="Footer Char"/>
    <w:basedOn w:val="868"/>
    <w:link w:val="877"/>
    <w:uiPriority w:val="99"/>
  </w:style>
  <w:style w:type="paragraph" w:styleId="45">
    <w:name w:val="Caption"/>
    <w:basedOn w:val="864"/>
    <w:next w:val="864"/>
    <w:uiPriority w:val="35"/>
    <w:semiHidden/>
    <w:unhideWhenUsed/>
    <w:qFormat/>
    <w:pPr>
      <w:spacing w:line="276" w:lineRule="auto"/>
    </w:pPr>
    <w:rPr>
      <w:b/>
      <w:bCs/>
      <w:color w:val="4f81bd" w:themeColor="accent1"/>
      <w:sz w:val="18"/>
      <w:szCs w:val="18"/>
    </w:rPr>
  </w:style>
  <w:style w:type="character" w:styleId="46">
    <w:name w:val="Caption Char"/>
    <w:basedOn w:val="45"/>
    <w:link w:val="877"/>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68"/>
    <w:uiPriority w:val="99"/>
    <w:unhideWhenUsed/>
    <w:rPr>
      <w:vertAlign w:val="superscript"/>
    </w:rPr>
  </w:style>
  <w:style w:type="paragraph" w:styleId="177">
    <w:name w:val="endnote text"/>
    <w:basedOn w:val="8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68"/>
    <w:uiPriority w:val="99"/>
    <w:semiHidden/>
    <w:unhideWhenUsed/>
    <w:rPr>
      <w:vertAlign w:val="superscript"/>
    </w:rPr>
  </w:style>
  <w:style w:type="paragraph" w:styleId="181">
    <w:name w:val="toc 2"/>
    <w:basedOn w:val="864"/>
    <w:next w:val="864"/>
    <w:uiPriority w:val="39"/>
    <w:unhideWhenUsed/>
    <w:pPr>
      <w:ind w:left="283" w:right="0" w:firstLine="0"/>
      <w:spacing w:after="57"/>
    </w:pPr>
  </w:style>
  <w:style w:type="paragraph" w:styleId="182">
    <w:name w:val="toc 3"/>
    <w:basedOn w:val="864"/>
    <w:next w:val="864"/>
    <w:uiPriority w:val="39"/>
    <w:unhideWhenUsed/>
    <w:pPr>
      <w:ind w:left="567" w:right="0" w:firstLine="0"/>
      <w:spacing w:after="57"/>
    </w:pPr>
  </w:style>
  <w:style w:type="paragraph" w:styleId="183">
    <w:name w:val="toc 4"/>
    <w:basedOn w:val="864"/>
    <w:next w:val="864"/>
    <w:uiPriority w:val="39"/>
    <w:unhideWhenUsed/>
    <w:pPr>
      <w:ind w:left="850" w:right="0" w:firstLine="0"/>
      <w:spacing w:after="57"/>
    </w:pPr>
  </w:style>
  <w:style w:type="paragraph" w:styleId="184">
    <w:name w:val="toc 5"/>
    <w:basedOn w:val="864"/>
    <w:next w:val="864"/>
    <w:uiPriority w:val="39"/>
    <w:unhideWhenUsed/>
    <w:pPr>
      <w:ind w:left="1134" w:right="0" w:firstLine="0"/>
      <w:spacing w:after="57"/>
    </w:pPr>
  </w:style>
  <w:style w:type="paragraph" w:styleId="185">
    <w:name w:val="toc 6"/>
    <w:basedOn w:val="864"/>
    <w:next w:val="864"/>
    <w:uiPriority w:val="39"/>
    <w:unhideWhenUsed/>
    <w:pPr>
      <w:ind w:left="1417" w:right="0" w:firstLine="0"/>
      <w:spacing w:after="57"/>
    </w:pPr>
  </w:style>
  <w:style w:type="paragraph" w:styleId="186">
    <w:name w:val="toc 7"/>
    <w:basedOn w:val="864"/>
    <w:next w:val="864"/>
    <w:uiPriority w:val="39"/>
    <w:unhideWhenUsed/>
    <w:pPr>
      <w:ind w:left="1701" w:right="0" w:firstLine="0"/>
      <w:spacing w:after="57"/>
    </w:pPr>
  </w:style>
  <w:style w:type="paragraph" w:styleId="187">
    <w:name w:val="toc 8"/>
    <w:basedOn w:val="864"/>
    <w:next w:val="864"/>
    <w:uiPriority w:val="39"/>
    <w:unhideWhenUsed/>
    <w:pPr>
      <w:ind w:left="1984" w:right="0" w:firstLine="0"/>
      <w:spacing w:after="57"/>
    </w:pPr>
  </w:style>
  <w:style w:type="paragraph" w:styleId="188">
    <w:name w:val="toc 9"/>
    <w:basedOn w:val="864"/>
    <w:next w:val="8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4"/>
    <w:next w:val="864"/>
    <w:uiPriority w:val="99"/>
    <w:unhideWhenUsed/>
    <w:pPr>
      <w:spacing w:after="0" w:afterAutospacing="0"/>
    </w:pPr>
  </w:style>
  <w:style w:type="paragraph" w:styleId="86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65">
    <w:name w:val="Heading 1"/>
    <w:basedOn w:val="864"/>
    <w:next w:val="864"/>
    <w:uiPriority w:val="0"/>
    <w:qFormat/>
    <w:pPr>
      <w:keepLines/>
      <w:keepNext/>
      <w:spacing w:before="340" w:after="330" w:line="578" w:lineRule="auto"/>
      <w:outlineLvl w:val="0"/>
    </w:pPr>
    <w:rPr>
      <w:rFonts w:eastAsia="楷体_GB2312"/>
      <w:b/>
      <w:sz w:val="44"/>
    </w:rPr>
  </w:style>
  <w:style w:type="paragraph" w:styleId="866">
    <w:name w:val="Heading 2"/>
    <w:basedOn w:val="864"/>
    <w:next w:val="864"/>
    <w:uiPriority w:val="9"/>
    <w:qFormat/>
    <w:pPr>
      <w:keepLines/>
      <w:keepNext/>
      <w:spacing w:before="260" w:after="260" w:line="415" w:lineRule="auto"/>
      <w:outlineLvl w:val="1"/>
    </w:pPr>
    <w:rPr>
      <w:rFonts w:ascii="Arial" w:hAnsi="Arial" w:eastAsia="黑体"/>
      <w:b/>
      <w:bCs/>
      <w:sz w:val="32"/>
      <w:szCs w:val="32"/>
    </w:rPr>
  </w:style>
  <w:style w:type="paragraph" w:styleId="867">
    <w:name w:val="Heading 3"/>
    <w:basedOn w:val="864"/>
    <w:next w:val="864"/>
    <w:uiPriority w:val="9"/>
    <w:qFormat/>
    <w:pPr>
      <w:ind w:left="220"/>
      <w:outlineLvl w:val="2"/>
    </w:pPr>
    <w:rPr>
      <w:rFonts w:ascii="仿宋" w:hAnsi="仿宋" w:eastAsia="仿宋" w:cs="仿宋"/>
      <w:b/>
      <w:bCs/>
      <w:sz w:val="28"/>
      <w:szCs w:val="28"/>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Normal Indent"/>
    <w:basedOn w:val="864"/>
    <w:uiPriority w:val="0"/>
    <w:qFormat/>
    <w:pPr>
      <w:ind w:firstLine="420"/>
      <w:jc w:val="left"/>
    </w:pPr>
    <w:rPr>
      <w:rFonts w:eastAsia="楷体_GB2312"/>
      <w:sz w:val="24"/>
    </w:rPr>
  </w:style>
  <w:style w:type="paragraph" w:styleId="871">
    <w:name w:val="toa heading"/>
    <w:basedOn w:val="864"/>
    <w:next w:val="864"/>
    <w:uiPriority w:val="0"/>
    <w:qFormat/>
    <w:pPr>
      <w:jc w:val="center"/>
      <w:spacing w:before="200" w:line="360" w:lineRule="atLeast"/>
    </w:pPr>
    <w:rPr>
      <w:rFonts w:ascii="Arial" w:hAnsi="Arial" w:eastAsia="黑体"/>
      <w:sz w:val="44"/>
    </w:rPr>
  </w:style>
  <w:style w:type="paragraph" w:styleId="872">
    <w:name w:val="annotation text"/>
    <w:basedOn w:val="864"/>
    <w:uiPriority w:val="0"/>
    <w:qFormat/>
    <w:pPr>
      <w:jc w:val="left"/>
    </w:pPr>
  </w:style>
  <w:style w:type="paragraph" w:styleId="873">
    <w:name w:val="Body Text"/>
    <w:basedOn w:val="864"/>
    <w:uiPriority w:val="0"/>
    <w:qFormat/>
    <w:pPr>
      <w:spacing w:after="120"/>
    </w:pPr>
  </w:style>
  <w:style w:type="paragraph" w:styleId="874">
    <w:name w:val="Body Text Indent"/>
    <w:basedOn w:val="864"/>
    <w:next w:val="875"/>
    <w:uiPriority w:val="99"/>
    <w:unhideWhenUsed/>
    <w:qFormat/>
    <w:pPr>
      <w:ind w:left="420"/>
      <w:spacing w:after="120"/>
    </w:pPr>
    <w:rPr>
      <w:szCs w:val="24"/>
    </w:rPr>
  </w:style>
  <w:style w:type="paragraph" w:styleId="875">
    <w:name w:val="envelope return"/>
    <w:basedOn w:val="864"/>
    <w:uiPriority w:val="99"/>
    <w:unhideWhenUsed/>
    <w:qFormat/>
    <w:rPr>
      <w:rFonts w:ascii="Arial" w:hAnsi="Arial"/>
    </w:rPr>
  </w:style>
  <w:style w:type="paragraph" w:styleId="876">
    <w:name w:val="Body Text Indent 2"/>
    <w:basedOn w:val="864"/>
    <w:uiPriority w:val="0"/>
    <w:semiHidden/>
    <w:unhideWhenUsed/>
    <w:qFormat/>
    <w:pPr>
      <w:ind w:firstLine="560"/>
      <w:spacing w:line="500" w:lineRule="exact"/>
    </w:pPr>
    <w:rPr>
      <w:rFonts w:eastAsia="仿宋_GB2312"/>
      <w:sz w:val="28"/>
    </w:rPr>
  </w:style>
  <w:style w:type="paragraph" w:styleId="877">
    <w:name w:val="Footer"/>
    <w:basedOn w:val="864"/>
    <w:uiPriority w:val="0"/>
    <w:qFormat/>
    <w:pPr>
      <w:jc w:val="left"/>
      <w:tabs>
        <w:tab w:val="center" w:pos="4153" w:leader="none"/>
        <w:tab w:val="right" w:pos="8306" w:leader="none"/>
      </w:tabs>
    </w:pPr>
    <w:rPr>
      <w:sz w:val="18"/>
      <w:szCs w:val="18"/>
    </w:rPr>
  </w:style>
  <w:style w:type="paragraph" w:styleId="878">
    <w:name w:val="Header"/>
    <w:basedOn w:val="864"/>
    <w:uiPriority w:val="0"/>
    <w:qFormat/>
    <w:pPr>
      <w:jc w:val="center"/>
      <w:tabs>
        <w:tab w:val="center" w:pos="4153" w:leader="none"/>
        <w:tab w:val="right" w:pos="8306" w:leader="none"/>
      </w:tabs>
      <w:pBdr>
        <w:bottom w:val="single" w:color="auto" w:sz="6" w:space="1"/>
      </w:pBdr>
    </w:pPr>
    <w:rPr>
      <w:sz w:val="18"/>
      <w:szCs w:val="18"/>
    </w:rPr>
  </w:style>
  <w:style w:type="paragraph" w:styleId="879">
    <w:name w:val="toc 1"/>
    <w:basedOn w:val="864"/>
    <w:next w:val="864"/>
    <w:uiPriority w:val="0"/>
    <w:qFormat/>
    <w:pPr>
      <w:jc w:val="left"/>
    </w:pPr>
    <w:rPr>
      <w:rFonts w:eastAsia="楷体_GB2312"/>
      <w:sz w:val="24"/>
    </w:rPr>
  </w:style>
  <w:style w:type="paragraph" w:styleId="880">
    <w:name w:val="Body Text Indent 3"/>
    <w:basedOn w:val="864"/>
    <w:next w:val="871"/>
    <w:uiPriority w:val="0"/>
    <w:qFormat/>
    <w:pPr>
      <w:ind w:firstLine="539"/>
      <w:spacing w:line="520" w:lineRule="exact"/>
    </w:pPr>
    <w:rPr>
      <w:rFonts w:ascii="宋体"/>
      <w:b/>
      <w:spacing w:val="6"/>
      <w:sz w:val="28"/>
    </w:rPr>
  </w:style>
  <w:style w:type="paragraph" w:styleId="881">
    <w:name w:val="Body Text 2"/>
    <w:basedOn w:val="864"/>
    <w:uiPriority w:val="0"/>
    <w:qFormat/>
    <w:pPr>
      <w:spacing w:line="440" w:lineRule="exact"/>
    </w:pPr>
    <w:rPr>
      <w:rFonts w:ascii="楷体_GB2312" w:eastAsia="楷体_GB2312"/>
      <w:sz w:val="28"/>
    </w:rPr>
  </w:style>
  <w:style w:type="paragraph" w:styleId="882">
    <w:name w:val="Normal (Web)"/>
    <w:basedOn w:val="864"/>
    <w:uiPriority w:val="0"/>
    <w:qFormat/>
    <w:pPr>
      <w:ind w:left="0" w:right="0"/>
      <w:jc w:val="left"/>
      <w:spacing w:before="0" w:beforeAutospacing="1" w:after="0" w:afterAutospacing="1"/>
    </w:pPr>
    <w:rPr>
      <w:sz w:val="24"/>
      <w:lang w:val="en-US" w:eastAsia="zh-CN" w:bidi="ar"/>
    </w:rPr>
  </w:style>
  <w:style w:type="paragraph" w:styleId="883">
    <w:name w:val="Body Text First Indent"/>
    <w:basedOn w:val="873"/>
    <w:next w:val="884"/>
    <w:uiPriority w:val="0"/>
    <w:qFormat/>
    <w:pPr>
      <w:ind w:firstLine="420"/>
    </w:pPr>
    <w:rPr>
      <w:sz w:val="24"/>
    </w:rPr>
  </w:style>
  <w:style w:type="paragraph" w:styleId="884">
    <w:name w:val="Body Text First Indent 2"/>
    <w:basedOn w:val="874"/>
    <w:next w:val="864"/>
    <w:uiPriority w:val="99"/>
    <w:unhideWhenUsed/>
    <w:qFormat/>
    <w:pPr>
      <w:ind w:firstLine="200"/>
    </w:pPr>
  </w:style>
  <w:style w:type="table" w:styleId="885">
    <w:name w:val="Table Grid"/>
    <w:basedOn w:val="86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Hyperlink"/>
    <w:uiPriority w:val="0"/>
    <w:qFormat/>
    <w:rPr>
      <w:color w:val="333333"/>
      <w:u w:val="none"/>
    </w:rPr>
  </w:style>
  <w:style w:type="paragraph" w:styleId="887" w:customStyle="1">
    <w:name w:val="style4"/>
    <w:basedOn w:val="864"/>
    <w:next w:val="888"/>
    <w:uiPriority w:val="0"/>
    <w:qFormat/>
    <w:pPr>
      <w:spacing w:before="280" w:after="280"/>
      <w:widowControl/>
    </w:pPr>
    <w:rPr>
      <w:rFonts w:ascii="宋体"/>
      <w:sz w:val="18"/>
    </w:rPr>
  </w:style>
  <w:style w:type="paragraph" w:styleId="888" w:customStyle="1">
    <w:name w:val="2"/>
    <w:next w:val="864"/>
    <w:uiPriority w:val="99"/>
    <w:qFormat/>
    <w:pPr>
      <w:jc w:val="both"/>
      <w:widowControl w:val="off"/>
    </w:pPr>
    <w:rPr>
      <w:rFonts w:ascii="Times New Roman" w:hAnsi="Times New Roman" w:eastAsia="宋体" w:cs="Times New Roman"/>
      <w:sz w:val="21"/>
      <w:szCs w:val="21"/>
      <w:lang w:val="en-US" w:eastAsia="zh-CN" w:bidi="ar-SA"/>
    </w:rPr>
  </w:style>
  <w:style w:type="paragraph" w:styleId="889" w:customStyle="1">
    <w:name w:val="正文缩进1"/>
    <w:basedOn w:val="864"/>
    <w:uiPriority w:val="0"/>
    <w:qFormat/>
    <w:pPr>
      <w:ind w:firstLine="420"/>
    </w:pPr>
  </w:style>
  <w:style w:type="paragraph" w:styleId="890" w:customStyle="1">
    <w:name w:val="正文首行缩进 21"/>
    <w:basedOn w:val="874"/>
    <w:uiPriority w:val="99"/>
    <w:unhideWhenUsed/>
    <w:qFormat/>
    <w:pPr>
      <w:ind w:firstLine="200"/>
    </w:pPr>
  </w:style>
  <w:style w:type="character" w:styleId="891" w:customStyle="1">
    <w:name w:val="NormalCharacter"/>
    <w:uiPriority w:val="0"/>
    <w:qFormat/>
  </w:style>
  <w:style w:type="paragraph" w:styleId="892">
    <w:name w:val="List Paragraph"/>
    <w:basedOn w:val="864"/>
    <w:uiPriority w:val="34"/>
    <w:qFormat/>
    <w:pPr>
      <w:ind w:firstLine="420"/>
    </w:pPr>
    <w:rPr>
      <w:szCs w:val="22"/>
    </w:rPr>
  </w:style>
  <w:style w:type="paragraph" w:styleId="893" w:customStyle="1">
    <w:name w:val="正文缩进2格"/>
    <w:basedOn w:val="864"/>
    <w:uiPriority w:val="0"/>
    <w:qFormat/>
    <w:pPr>
      <w:ind w:firstLine="639"/>
      <w:spacing w:line="600" w:lineRule="exact"/>
    </w:pPr>
    <w:rPr>
      <w:rFonts w:ascii="仿宋_GB2312" w:hAnsi="宋体" w:eastAsia="仿宋_GB2312"/>
      <w:sz w:val="31"/>
      <w:szCs w:val="28"/>
    </w:rPr>
  </w:style>
  <w:style w:type="paragraph" w:styleId="894" w:customStyle="1">
    <w:name w:val="msonormalcxspmiddle"/>
    <w:basedOn w:val="864"/>
    <w:uiPriority w:val="0"/>
    <w:qFormat/>
    <w:pPr>
      <w:jc w:val="left"/>
      <w:spacing w:before="100" w:beforeAutospacing="1" w:after="100" w:afterAutospacing="1"/>
      <w:widowControl/>
    </w:pPr>
    <w:rPr>
      <w:rFonts w:ascii="宋体" w:hAnsi="宋体" w:cs="宋体"/>
      <w:sz w:val="24"/>
    </w:rPr>
  </w:style>
  <w:style w:type="paragraph" w:styleId="895"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896" w:customStyle="1">
    <w:name w:val="纯文本1"/>
    <w:basedOn w:val="864"/>
    <w:uiPriority w:val="0"/>
    <w:qFormat/>
    <w:rPr>
      <w:rFonts w:ascii="宋体" w:hAnsi="Courier New" w:cs="Courier New"/>
      <w:szCs w:val="21"/>
    </w:rPr>
  </w:style>
  <w:style w:type="paragraph" w:styleId="897" w:customStyle="1">
    <w:name w:val="TITLE 1"/>
    <w:basedOn w:val="864"/>
    <w:next w:val="864"/>
    <w:uiPriority w:val="0"/>
    <w:qFormat/>
    <w:pPr>
      <w:numPr>
        <w:ilvl w:val="0"/>
        <w:numId w:val="1"/>
      </w:numPr>
      <w:ind w:firstLine="0"/>
      <w:jc w:val="left"/>
      <w:outlineLvl w:val="0"/>
    </w:pPr>
    <w:rPr>
      <w:rFonts w:eastAsia="方正黑体简体"/>
    </w:rPr>
  </w:style>
  <w:style w:type="character" w:styleId="898" w:customStyle="1">
    <w:name w:val="font31"/>
    <w:uiPriority w:val="0"/>
    <w:qFormat/>
    <w:rPr>
      <w:rFonts w:hint="default" w:ascii="方正仿宋_GBK" w:hAnsi="方正仿宋_GBK" w:eastAsia="方正仿宋_GBK" w:cs="方正仿宋_GBK"/>
      <w:color w:val="000000"/>
      <w:sz w:val="22"/>
      <w:szCs w:val="22"/>
      <w:u w:val="none"/>
    </w:rPr>
  </w:style>
  <w:style w:type="table" w:styleId="899" w:customStyle="1">
    <w:name w:val="Table Normal"/>
    <w:uiPriority w:val="2"/>
    <w:unhideWhenUsed/>
    <w:qFormat/>
    <w:tblPr>
      <w:tblCellMar>
        <w:left w:w="0" w:type="dxa"/>
        <w:top w:w="0" w:type="dxa"/>
        <w:right w:w="0" w:type="dxa"/>
        <w:bottom w:w="0" w:type="dxa"/>
      </w:tblCellMar>
    </w:tblPr>
  </w:style>
  <w:style w:type="paragraph" w:styleId="900" w:customStyle="1">
    <w:name w:val="普通正文"/>
    <w:basedOn w:val="864"/>
    <w:uiPriority w:val="0"/>
    <w:qFormat/>
    <w:pPr>
      <w:ind w:firstLine="480"/>
      <w:jc w:val="left"/>
      <w:spacing w:before="120" w:after="120" w:line="360" w:lineRule="auto"/>
    </w:pPr>
    <w:rPr>
      <w:rFonts w:ascii="Arial" w:hAnsi="Arial"/>
      <w:sz w:val="24"/>
      <w:szCs w:val="24"/>
    </w:rPr>
  </w:style>
  <w:style w:type="numbering" w:styleId="10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郑佳佳</cp:lastModifiedBy>
  <cp:revision>5</cp:revision>
  <dcterms:created xsi:type="dcterms:W3CDTF">2024-07-26T06:55:00Z</dcterms:created>
  <dcterms:modified xsi:type="dcterms:W3CDTF">2026-06-02T06:23:48Z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EF256B296BAC4DC7803BD0B917E4C83A_13</vt:lpwstr>
  </property>
  <property fmtid="{D5CDD505-2E9C-101B-9397-08002B2CF9AE}" pid="4" name="KSOTemplateDocerSaveRecord">
    <vt:lpwstr>eyJoZGlkIjoiNTVkMTk0NDllYWQwOTYyMTMxMWRiNjI1MTRjOGFjNDgiLCJ1c2VySWQiOiIxMDc1NjAyNjIzIn0=</vt:lpwstr>
  </property>
</Properties>
</file>