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sz w:val="84"/>
          <w:shd w:val="clear" w:color="ffffff" w:fill="d9d9d9"/>
        </w:rPr>
      </w:pPr>
      <w:r>
        <w:rPr>
          <w:rFonts w:hint="eastAsia" w:eastAsia="黑体"/>
          <w:b/>
          <w:bCs/>
          <w:sz w:val="84"/>
          <w:shd w:val="clear" w:color="ffffff" w:fill="d9d9d9"/>
        </w:rPr>
      </w:r>
      <w:r/>
    </w:p>
    <w:p>
      <w:pPr>
        <w:pStyle w:val="972"/>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2"/>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JSZC-320200-JZCG-G2026-0047</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无锡市公益性公墓（骨灰堂）管理系统项目</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无锡市殡葬服务中心</w:t>
      </w:r>
      <w:r>
        <w:rPr>
          <w:rFonts w:hint="eastAsia" w:ascii="黑体" w:hAnsi="华文中宋" w:eastAsia="黑体"/>
          <w:bCs/>
          <w:color w:val="000000"/>
          <w:sz w:val="32"/>
          <w:szCs w:val="32"/>
          <w:highlight w:val="none"/>
          <w:lang w:eastAsia="zh-CN"/>
        </w:rPr>
      </w:r>
      <w:r/>
    </w:p>
    <w:p>
      <w:pPr>
        <w:pStyle w:val="883"/>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72"/>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2"/>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黑体" w:hAnsi="黑体" w:eastAsia="黑体"/>
          <w:sz w:val="36"/>
          <w:szCs w:val="36"/>
        </w:rPr>
        <w:t xml:space="preserve">总  目  录</w:t>
      </w:r>
      <w:r>
        <w:rPr>
          <w:rFonts w:hint="eastAsia" w:ascii="黑体" w:hAnsi="黑体" w:eastAsia="黑体"/>
          <w:sz w:val="36"/>
          <w:szCs w:val="36"/>
        </w:rPr>
      </w:r>
      <w:r/>
    </w:p>
    <w:p>
      <w:pPr>
        <w:pStyle w:val="883"/>
        <w:jc w:val="center"/>
        <w:spacing w:line="480" w:lineRule="auto"/>
        <w:rPr>
          <w:rFonts w:hint="eastAsia" w:ascii="黑体" w:hAnsi="Arial" w:eastAsia="黑体"/>
          <w:sz w:val="44"/>
        </w:rPr>
        <w:outlineLvl w:val="0"/>
      </w:pPr>
      <w:r>
        <w:rPr>
          <w:rFonts w:hint="eastAsia" w:ascii="黑体" w:hAnsi="Arial" w:eastAsia="黑体"/>
          <w:sz w:val="44"/>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color w:val="000000"/>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3"/>
        <w:ind w:firstLine="480"/>
        <w:spacing w:line="500" w:lineRule="exact"/>
        <w:rPr>
          <w:rFonts w:ascii="宋体" w:hAnsi="宋体"/>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无锡市殡葬服务中心</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无锡市公益性公墓（骨灰堂）管理系统项目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JSZC-320200-JZCG-G2026-0047</w:t>
      </w:r>
      <w:r>
        <w:rPr>
          <w:rFonts w:hint="eastAsia" w:ascii="宋体" w:hAnsi="宋体"/>
          <w:color w:val="000000"/>
          <w:sz w:val="24"/>
          <w:szCs w:val="24"/>
        </w:rPr>
        <w:t xml:space="preserve">）进行公开招标采购，欢迎符合</w:t>
      </w:r>
      <w:r>
        <w:rPr>
          <w:rFonts w:hint="eastAsia" w:ascii="宋体" w:hAnsi="宋体"/>
          <w:sz w:val="24"/>
          <w:szCs w:val="24"/>
        </w:rPr>
        <w:t xml:space="preserve">条件的供应商投标。</w:t>
      </w:r>
      <w:r>
        <w:rPr>
          <w:rFonts w:ascii="宋体" w:hAnsi="宋体"/>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无锡市公益性公墓（骨灰堂）管理系统项目</w:t>
      </w:r>
      <w:r>
        <w:rPr>
          <w:rFonts w:hint="eastAsia" w:ascii="宋体" w:hAnsi="宋体"/>
          <w:color w:val="000000"/>
          <w:sz w:val="24"/>
          <w:szCs w:val="24"/>
        </w:rPr>
        <w:t xml:space="preserve">的潜在投标人应</w:t>
      </w:r>
      <w:r>
        <w:rPr>
          <w:rFonts w:hint="eastAsia" w:ascii="宋体" w:hAnsi="宋体"/>
          <w:sz w:val="24"/>
          <w:szCs w:val="24"/>
        </w:rPr>
        <w:t xml:space="preserve">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6"/>
        <w:ind w:firstLine="452"/>
        <w:keepLines w:val="0"/>
        <w:keepNext w:val="0"/>
        <w:spacing w:before="0" w:after="0" w:line="500" w:lineRule="exact"/>
        <w:rPr>
          <w:sz w:val="30"/>
          <w:szCs w:val="30"/>
        </w:rPr>
      </w:pPr>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sz w:val="24"/>
          <w:szCs w:val="24"/>
        </w:rPr>
        <w:t xml:space="preserve">1.项目编</w:t>
      </w:r>
      <w:r>
        <w:rPr>
          <w:rFonts w:hint="eastAsia" w:ascii="宋体" w:hAnsi="宋体"/>
          <w:color w:val="000000"/>
          <w:sz w:val="24"/>
          <w:szCs w:val="24"/>
        </w:rPr>
        <w:t xml:space="preserve">号：</w:t>
      </w:r>
      <w:r>
        <w:rPr>
          <w:rFonts w:hint="eastAsia" w:ascii="宋体" w:hAnsi="宋体"/>
          <w:color w:val="000000"/>
          <w:sz w:val="24"/>
          <w:szCs w:val="24"/>
          <w:lang w:eastAsia="zh-CN"/>
        </w:rPr>
        <w:t xml:space="preserve">JSZC-320200-JZCG-G2026-0047</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无锡市公益性公墓（骨灰堂）管理系统项目</w:t>
      </w:r>
      <w:r>
        <w:rPr>
          <w:rFonts w:hint="eastAsia" w:ascii="宋体" w:hAnsi="宋体" w:eastAsia="宋体"/>
          <w:color w:val="000000"/>
          <w:sz w:val="24"/>
          <w:szCs w:val="24"/>
          <w:lang w:eastAsia="zh-CN"/>
        </w:rPr>
      </w:r>
      <w:r/>
    </w:p>
    <w:p>
      <w:pPr>
        <w:pStyle w:val="883"/>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3.项目预算金额：84.86万元</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4.项目最高限价：84.86万元</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83"/>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86"/>
        <w:ind w:firstLine="452"/>
        <w:keepLines w:val="0"/>
        <w:keepNext w:val="0"/>
        <w:spacing w:before="0" w:after="0" w:line="500" w:lineRule="exact"/>
        <w:rPr>
          <w:sz w:val="30"/>
          <w:szCs w:val="30"/>
        </w:rPr>
      </w:pPr>
      <w:r/>
      <w:bookmarkStart w:id="12" w:name="_Toc28359080"/>
      <w:r/>
      <w:bookmarkStart w:id="13" w:name="_Toc28359003"/>
      <w:r/>
      <w:bookmarkStart w:id="14" w:name="_Toc35393791"/>
      <w:r/>
      <w:bookmarkStart w:id="15" w:name="_Toc38985264"/>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83"/>
        <w:ind w:firstLine="480"/>
        <w:spacing w:line="500" w:lineRule="exact"/>
        <w:rPr>
          <w:rFonts w:ascii="宋体" w:hAnsi="宋体"/>
          <w:sz w:val="24"/>
          <w:szCs w:val="24"/>
        </w:rPr>
      </w:pPr>
      <w:r/>
      <w:bookmarkStart w:id="17" w:name="_Toc35393792"/>
      <w:r/>
      <w:bookmarkStart w:id="18" w:name="_Toc35393623"/>
      <w:r/>
      <w:bookmarkStart w:id="19" w:name="_Toc28359004"/>
      <w:r/>
      <w:bookmarkStart w:id="20" w:name="_Toc28359081"/>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83"/>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2</w:t>
      </w:r>
      <w:r>
        <w:rPr>
          <w:rFonts w:hint="eastAsia" w:ascii="宋体" w:hAnsi="宋体"/>
          <w:color w:val="000000"/>
          <w:sz w:val="24"/>
          <w:szCs w:val="24"/>
        </w:rPr>
        <w:t xml:space="preserve">.1中小企业政策：无</w:t>
      </w:r>
      <w:r>
        <w:rPr>
          <w:rFonts w:hint="eastAsia" w:ascii="宋体" w:hAnsi="宋体"/>
          <w:color w:val="000000"/>
          <w:sz w:val="24"/>
          <w:szCs w:val="24"/>
          <w:lang w:eastAsia="zh-CN"/>
        </w:rPr>
        <w:t xml:space="preserve">；</w:t>
      </w:r>
      <w:r>
        <w:rPr>
          <w:rFonts w:hint="eastAsia" w:ascii="宋体" w:hAnsi="宋体" w:eastAsia="宋体"/>
          <w:sz w:val="24"/>
          <w:szCs w:val="24"/>
          <w:lang w:eastAsia="zh-CN"/>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883"/>
        <w:ind w:firstLine="480"/>
        <w:spacing w:line="500" w:lineRule="exact"/>
        <w:rPr>
          <w:rFonts w:ascii="宋体" w:hAnsi="宋体" w:cs="宋体"/>
          <w:sz w:val="24"/>
          <w:szCs w:val="24"/>
        </w:rPr>
      </w:pPr>
      <w:r>
        <w:rPr>
          <w:rFonts w:hint="eastAsia" w:ascii="宋体" w:hAnsi="宋体"/>
          <w:sz w:val="24"/>
          <w:szCs w:val="24"/>
        </w:rPr>
        <w:t xml:space="preserve">3.</w:t>
      </w:r>
      <w:r>
        <w:rPr>
          <w:rFonts w:hint="eastAsia" w:ascii="宋体" w:hAnsi="宋体"/>
          <w:color w:val="000000"/>
          <w:sz w:val="24"/>
          <w:szCs w:val="24"/>
        </w:rPr>
        <w:t xml:space="preserve">本项目的特定资格要求：无。</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3"/>
        <w:ind w:firstLine="540"/>
        <w:spacing w:line="500" w:lineRule="exact"/>
        <w:rPr>
          <w:rFonts w:hint="eastAsia" w:ascii="宋体" w:hAnsi="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8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83"/>
        <w:ind w:firstLine="540"/>
        <w:spacing w:line="500" w:lineRule="exact"/>
        <w:rPr>
          <w:rStyle w:val="961"/>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“江苏省政府采购（苏采云）平台”（http://jszfcg.jsczt.cn/）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1"/>
        </w:rPr>
      </w:r>
      <w:r/>
    </w:p>
    <w:p>
      <w:pPr>
        <w:pStyle w:val="88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3"/>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6年7月9日09点30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w:t>
      </w:r>
      <w:r>
        <w:rPr>
          <w:rFonts w:hint="eastAsia" w:ascii="宋体" w:hAnsi="宋体"/>
          <w:bCs/>
          <w:sz w:val="24"/>
          <w:szCs w:val="24"/>
        </w:rPr>
        <w:t xml:space="preserve">时间）</w:t>
      </w:r>
      <w:r>
        <w:rPr>
          <w:rFonts w:hint="eastAsia" w:ascii="宋体" w:hAnsi="宋体"/>
          <w:bCs/>
          <w:sz w:val="24"/>
          <w:szCs w:val="24"/>
        </w:rPr>
      </w:r>
      <w:r/>
    </w:p>
    <w:p>
      <w:pPr>
        <w:pStyle w:val="88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6"/>
        <w:ind w:firstLine="452"/>
        <w:keepLines w:val="0"/>
        <w:keepNext w:val="0"/>
        <w:spacing w:before="0" w:after="0" w:line="500" w:lineRule="exact"/>
        <w:rPr>
          <w:sz w:val="30"/>
          <w:szCs w:val="30"/>
        </w:rPr>
      </w:pPr>
      <w:r/>
      <w:bookmarkStart w:id="27" w:name="_Toc28359007"/>
      <w:r/>
      <w:bookmarkStart w:id="28" w:name="_Toc35393625"/>
      <w:r/>
      <w:bookmarkStart w:id="29" w:name="_Toc38985267"/>
      <w:r/>
      <w:bookmarkStart w:id="30" w:name="_Toc35393794"/>
      <w:r/>
      <w:bookmarkStart w:id="31" w:name="_Toc28359084"/>
      <w:r>
        <w:rPr>
          <w:rFonts w:hint="eastAsia"/>
          <w:sz w:val="30"/>
          <w:szCs w:val="30"/>
        </w:rPr>
        <w:t xml:space="preserve">五、公告期限</w:t>
      </w:r>
      <w:bookmarkEnd w:id="27"/>
      <w:r/>
      <w:bookmarkEnd w:id="28"/>
      <w:r/>
      <w:bookmarkEnd w:id="29"/>
      <w:r/>
      <w:bookmarkEnd w:id="30"/>
      <w:r/>
      <w:bookmarkEnd w:id="31"/>
      <w:r>
        <w:rPr>
          <w:sz w:val="30"/>
          <w:szCs w:val="30"/>
        </w:rPr>
      </w:r>
      <w:r/>
    </w:p>
    <w:p>
      <w:pPr>
        <w:pStyle w:val="883"/>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6"/>
        <w:ind w:firstLine="452"/>
        <w:keepLines w:val="0"/>
        <w:keepNext w:val="0"/>
        <w:spacing w:before="0" w:after="0" w:line="500" w:lineRule="exact"/>
        <w:rPr>
          <w:sz w:val="30"/>
          <w:szCs w:val="30"/>
        </w:rPr>
      </w:pPr>
      <w:r/>
      <w:bookmarkStart w:id="35" w:name="_Toc35393627"/>
      <w:r/>
      <w:bookmarkStart w:id="36" w:name="_Toc35393796"/>
      <w:r/>
      <w:bookmarkStart w:id="37" w:name="_Toc38985269"/>
      <w:r/>
      <w:bookmarkStart w:id="38" w:name="_Toc28359085"/>
      <w:r/>
      <w:bookmarkStart w:id="39" w:name="_Toc28359008"/>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883"/>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无锡市殡葬服务中心</w:t>
      </w:r>
      <w:r>
        <w:rPr>
          <w:rFonts w:hint="eastAsia" w:ascii="宋体" w:hAnsi="宋体" w:eastAsia="宋体" w:cs="宋体"/>
          <w:color w:val="000000"/>
          <w:sz w:val="24"/>
          <w:szCs w:val="24"/>
          <w:lang w:eastAsia="zh-CN"/>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址：无锡市钱荣路183号</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rPr>
          <w:rFonts w:hint="eastAsia" w:ascii="宋体" w:hAnsi="宋体" w:cs="宋体"/>
          <w:color w:val="000000"/>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采购人项目咨询联</w:t>
      </w:r>
      <w:r>
        <w:rPr>
          <w:rFonts w:hint="eastAsia" w:ascii="宋体" w:hAnsi="宋体" w:cs="宋体"/>
          <w:color w:val="000000"/>
          <w:sz w:val="24"/>
          <w:szCs w:val="24"/>
        </w:rPr>
        <w:t xml:space="preserve">系人：徐伟；电话：0510-83019922</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采购人质疑受理联系人：徐伟；电话：0510-83019922</w:t>
      </w:r>
      <w:r>
        <w:rPr>
          <w:rFonts w:hint="eastAsia" w:ascii="宋体" w:hAnsi="宋体" w:cs="宋体"/>
          <w:color w:val="000000"/>
          <w:sz w:val="24"/>
          <w:szCs w:val="24"/>
        </w:rPr>
      </w:r>
      <w:r/>
    </w:p>
    <w:p>
      <w:pPr>
        <w:pStyle w:val="883"/>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8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w:t>
      </w:r>
      <w:r>
        <w:rPr>
          <w:rFonts w:ascii="宋体" w:hAnsi="宋体"/>
          <w:color w:val="000000"/>
          <w:sz w:val="24"/>
          <w:szCs w:val="24"/>
        </w:rPr>
        <w:t xml:space="preserve">http://jszfcg.jsczt.cn/</w:t>
      </w:r>
      <w:r>
        <w:rPr>
          <w:rFonts w:hint="eastAsia" w:ascii="宋体" w:hAnsi="宋体"/>
          <w:color w:val="000000"/>
          <w:sz w:val="24"/>
          <w:szCs w:val="24"/>
        </w:rPr>
        <w:t xml:space="preserve">进入界面。</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6"/>
        <w:ind w:firstLine="452"/>
        <w:keepLines w:val="0"/>
        <w:keepNext w:val="0"/>
        <w:spacing w:before="0" w:after="0" w:line="500" w:lineRule="exact"/>
        <w:rPr>
          <w:rFonts w:hint="eastAsia"/>
          <w:sz w:val="30"/>
          <w:szCs w:val="30"/>
        </w:rPr>
      </w:pPr>
      <w:r/>
      <w:bookmarkStart w:id="47" w:name="_Toc513029203"/>
      <w:r/>
      <w:bookmarkStart w:id="48" w:name="_Toc16938519"/>
      <w:r/>
      <w:bookmarkStart w:id="49" w:name="_Toc20823275"/>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61" w:name="_Toc16938523"/>
      <w:r/>
      <w:bookmarkStart w:id="62" w:name="_Toc20823279"/>
      <w:r/>
      <w:bookmarkStart w:id="63" w:name="_Toc513029207"/>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69" w:name="_Toc513029210"/>
      <w:r/>
      <w:bookmarkStart w:id="70" w:name="_Toc16938526"/>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72" w:name="_Toc16938527"/>
      <w:r/>
      <w:bookmarkStart w:id="73" w:name="_Toc462564070"/>
      <w:r/>
      <w:bookmarkStart w:id="74" w:name="_Toc513029211"/>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color w:val="000000"/>
        </w:rPr>
      </w:pPr>
      <w:r/>
      <w:bookmarkStart w:id="76" w:name="_Toc462564071"/>
      <w:r/>
      <w:bookmarkStart w:id="77" w:name="_Toc513029212"/>
      <w:r/>
      <w:bookmarkStart w:id="78" w:name="_Toc20823284"/>
      <w:r/>
      <w:bookmarkStart w:id="79" w:name="_Toc16938528"/>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6"/>
        <w:ind w:firstLine="452"/>
        <w:keepLines w:val="0"/>
        <w:keepNext w:val="0"/>
        <w:spacing w:before="0" w:after="0" w:line="500" w:lineRule="exact"/>
        <w:rPr>
          <w:rFonts w:hint="eastAsia"/>
          <w:sz w:val="30"/>
          <w:szCs w:val="30"/>
        </w:rPr>
      </w:pPr>
      <w:r/>
      <w:bookmarkStart w:id="80" w:name="_Toc462564072"/>
      <w:r/>
      <w:bookmarkStart w:id="81" w:name="_Toc120614216"/>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85" w:name="_Toc20823286"/>
      <w:r/>
      <w:bookmarkStart w:id="86" w:name="_Toc513029214"/>
      <w:r/>
      <w:bookmarkStart w:id="87" w:name="_Toc462564073"/>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89" w:name="_Toc20823287"/>
      <w:r/>
      <w:bookmarkStart w:id="90" w:name="_Toc16938531"/>
      <w:r/>
      <w:bookmarkStart w:id="91" w:name="_Toc513029215"/>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3"/>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11.1投标人应按照法律法规、规章和规范性文件以及招标文件要求提交证明文件，证明其投标标的符合招标文件规定。</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08" w:name="_Hlt26670425"/>
      <w:r/>
      <w:bookmarkEnd w:id="108"/>
      <w:r/>
      <w:bookmarkStart w:id="109" w:name="_Hlt26954848"/>
      <w:r/>
      <w:bookmarkEnd w:id="109"/>
      <w:r/>
      <w:bookmarkStart w:id="110" w:name="_Hlt26954844"/>
      <w:r/>
      <w:bookmarkEnd w:id="110"/>
      <w:r/>
      <w:bookmarkStart w:id="111" w:name="_Hlt26954842"/>
      <w:r/>
      <w:bookmarkEnd w:id="111"/>
      <w:r/>
      <w:bookmarkStart w:id="112" w:name="_Hlt26954731"/>
      <w:r/>
      <w:bookmarkEnd w:id="112"/>
      <w:r/>
      <w:bookmarkStart w:id="113" w:name="_Hlt26670482"/>
      <w:r/>
      <w:bookmarkEnd w:id="113"/>
      <w:r/>
      <w:bookmarkStart w:id="114" w:name="_Hlt26670403"/>
      <w:r/>
      <w:bookmarkEnd w:id="114"/>
      <w:r/>
      <w:bookmarkStart w:id="115" w:name="_Hlt26668983"/>
      <w:r/>
      <w:bookmarkEnd w:id="115"/>
      <w:r/>
      <w:bookmarkStart w:id="116" w:name="_Hlt26670486"/>
      <w:r/>
      <w:bookmarkEnd w:id="116"/>
      <w:r/>
      <w:bookmarkStart w:id="117" w:name="_Hlt26954846"/>
      <w:r/>
      <w:bookmarkEnd w:id="117"/>
      <w:r>
        <w:rPr>
          <w:rFonts w:hint="eastAsia" w:ascii="宋体" w:hAnsi="宋体" w:eastAsia="宋体"/>
          <w:bCs w:val="0"/>
        </w:rPr>
        <w:t xml:space="preserve">14.投标偏离表</w:t>
      </w:r>
      <w:r>
        <w:rPr>
          <w:rFonts w:hint="eastAsia" w:ascii="宋体" w:hAnsi="宋体" w:eastAsia="宋体"/>
          <w:bCs w:val="0"/>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7"/>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513029224"/>
      <w:r/>
      <w:bookmarkStart w:id="127" w:name="_Toc20823296"/>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29" w:name="_Toc16938541"/>
      <w:r/>
      <w:bookmarkStart w:id="130" w:name="_Toc513029225"/>
      <w:r/>
      <w:bookmarkStart w:id="131" w:name="_Toc462564084"/>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513029229"/>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88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7"/>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3"/>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25.7异常低价投标（响应）审查</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3"/>
        <w:ind w:left="479"/>
        <w:spacing w:line="50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26.1无效投标条款</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26.1.24投标系统中不同投标人的MAC地址一致或标书制作工具客户端标识码一致的。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479757207"/>
      <w:r/>
      <w:bookmarkStart w:id="178" w:name="_Toc16938558"/>
      <w:r/>
      <w:bookmarkStart w:id="179" w:name="_Toc513029242"/>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3"/>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3"/>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21"/>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1"/>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1"/>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1"/>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1"/>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1"/>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21"/>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1"/>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1"/>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921"/>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21"/>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1"/>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21"/>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883"/>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1"/>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1"/>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w:t>
      </w:r>
      <w:r>
        <w:rPr>
          <w:rFonts w:hint="eastAsia" w:hAnsi="宋体" w:cs="Courier New"/>
          <w:bCs/>
          <w:sz w:val="24"/>
          <w:szCs w:val="24"/>
        </w:rPr>
        <w:t xml:space="preserve">，预付款支付比例：</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883"/>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sz w:val="24"/>
          <w:szCs w:val="24"/>
        </w:rPr>
      </w:r>
      <w:r/>
    </w:p>
    <w:p>
      <w:pPr>
        <w:pStyle w:val="883"/>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sz w:val="24"/>
          <w:szCs w:val="24"/>
        </w:rPr>
      </w:r>
      <w:r/>
    </w:p>
    <w:p>
      <w:pPr>
        <w:pStyle w:val="883"/>
        <w:spacing w:line="400" w:lineRule="exact"/>
        <w:rPr>
          <w:rFonts w:hint="eastAsia"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3"/>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rPr>
          <w:rFonts w:hint="eastAsia"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《中华人民共和国民法典》《中华人民共和国政府采购法》等</w:t>
      </w:r>
      <w:r>
        <w:rPr>
          <w:rFonts w:hAnsi="宋体"/>
          <w:sz w:val="24"/>
          <w:szCs w:val="24"/>
        </w:rPr>
        <w:t xml:space="preserve">有关条文执行。</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1"/>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921"/>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1"/>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1"/>
        <w:ind w:firstLine="240"/>
        <w:spacing w:line="400" w:lineRule="exact"/>
        <w:rPr>
          <w:rFonts w:hint="eastAsia"/>
        </w:rPr>
      </w:pPr>
      <w:r>
        <w:rPr>
          <w:rFonts w:hint="eastAsia" w:hAnsi="宋体"/>
          <w:sz w:val="24"/>
          <w:szCs w:val="24"/>
        </w:rPr>
        <w:t xml:space="preserve">联系电话：                    联系电话：          </w:t>
      </w:r>
      <w:r>
        <w:rPr>
          <w:rFonts w:hint="eastAsia"/>
        </w:rPr>
      </w:r>
      <w:r/>
    </w:p>
    <w:p>
      <w:pPr>
        <w:pStyle w:val="883"/>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3"/>
        <w:ind w:firstLine="48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宋体" w:hAnsi="宋体"/>
          <w:color w:val="000000"/>
          <w:sz w:val="24"/>
          <w:szCs w:val="24"/>
        </w:rPr>
        <w:t xml:space="preserve">投标人所投内容必须满足以下要求，不得有负偏离。</w:t>
      </w:r>
      <w:r>
        <w:rPr>
          <w:rFonts w:hint="eastAsia" w:ascii="黑体" w:hAnsi="黑体" w:eastAsia="黑体"/>
          <w:color w:val="000000"/>
          <w:sz w:val="30"/>
          <w:szCs w:val="30"/>
        </w:rPr>
      </w:r>
      <w:r/>
    </w:p>
    <w:p>
      <w:pPr>
        <w:pStyle w:val="883"/>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本项目属性：服务类项目</w:t>
      </w:r>
      <w:r>
        <w:rPr>
          <w:rFonts w:hint="eastAsia" w:ascii="宋体" w:hAnsi="宋体"/>
          <w:b/>
          <w:color w:val="000000"/>
          <w:sz w:val="24"/>
          <w:szCs w:val="24"/>
        </w:rPr>
      </w:r>
      <w:r/>
    </w:p>
    <w:p>
      <w:pPr>
        <w:pStyle w:val="88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本项目标的物所属行业：软件和信息技术服务业</w:t>
      </w:r>
      <w:r>
        <w:rPr>
          <w:rFonts w:hint="eastAsia" w:ascii="宋体" w:hAnsi="宋体"/>
          <w:bCs/>
          <w:color w:val="000000"/>
          <w:sz w:val="24"/>
          <w:szCs w:val="24"/>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8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一、建设背景</w:t>
      </w:r>
      <w:r>
        <w:rPr>
          <w:rFonts w:hint="eastAsia" w:ascii="宋体" w:hAnsi="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为深入贯彻国家、省关于深化殡葬改革、推进“互联网+殡葬服务”的部署要求，落实无锡市殡葬事业发展规划，补齐公益性公墓管理短板，应加快推进全市殡葬管理信息化系统建设。本项目通过数字化手段规范殡葬信息采集、存储与应用，为推动公益性公墓管理规范化、有序化，全面提升行业监管效率和能力，有效统筹全市殡葬信息提供坚实技术支撑。</w:t>
      </w:r>
      <w:r>
        <w:rPr>
          <w:rFonts w:hint="eastAsia" w:ascii="宋体" w:hAnsi="宋体" w:cs="宋体"/>
          <w:sz w:val="24"/>
          <w:szCs w:val="24"/>
        </w:rPr>
      </w:r>
      <w:r/>
    </w:p>
    <w:p>
      <w:pPr>
        <w:pStyle w:val="88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二、建设目标</w:t>
      </w:r>
      <w:r>
        <w:rPr>
          <w:rFonts w:hint="eastAsia" w:ascii="宋体" w:hAnsi="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全面推动无锡市公墓与骨灰堂管理的数字化、智能化进程，以科技赋能提升管理效率和服务质量，为墓园管理提供更加便捷、高效、透明的管理体验。通过构建覆盖公墓业务、骨灰堂业务、海葬管理、查询统计及系统设置等多功能于一体的综合管理系统，并结合移动端应用的灵活便捷性，全面提升公墓与骨灰堂业务管理智能化水平，增强海葬管理规范化与环保性，构建全面查询统计与决策支持系统并确保系统安全与稳定运行。</w:t>
      </w:r>
      <w:r>
        <w:rPr>
          <w:rFonts w:hint="eastAsia" w:ascii="宋体" w:hAnsi="宋体" w:cs="宋体"/>
          <w:sz w:val="24"/>
          <w:szCs w:val="24"/>
        </w:rPr>
      </w:r>
      <w:r/>
    </w:p>
    <w:p>
      <w:pPr>
        <w:pStyle w:val="88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三、建设清单</w:t>
      </w:r>
      <w:r>
        <w:rPr>
          <w:rFonts w:hint="eastAsia" w:ascii="宋体" w:hAnsi="宋体" w:cs="宋体"/>
          <w:b/>
          <w:bCs/>
          <w:sz w:val="24"/>
          <w:szCs w:val="24"/>
        </w:rPr>
      </w:r>
      <w:r/>
    </w:p>
    <w:tbl>
      <w:tblPr>
        <w:tblW w:w="852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1"/>
        <w:gridCol w:w="2554"/>
        <w:gridCol w:w="2021"/>
        <w:gridCol w:w="709"/>
        <w:gridCol w:w="709"/>
        <w:gridCol w:w="1754"/>
      </w:tblGrid>
      <w:tr>
        <w:trPr>
          <w:trHeight w:val="42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pStyle w:val="883"/>
              <w:jc w:val="center"/>
              <w:spacing w:line="360" w:lineRule="auto"/>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tcPr>
          <w:p>
            <w:pPr>
              <w:pStyle w:val="883"/>
              <w:jc w:val="center"/>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标的</w:t>
            </w:r>
            <w:r>
              <w:rPr>
                <w:rFonts w:hint="eastAsia" w:ascii="宋体" w:hAnsi="宋体" w:cs="宋体"/>
                <w:b/>
                <w:bCs/>
                <w:sz w:val="24"/>
                <w:szCs w:val="24"/>
              </w:rPr>
              <w:t xml:space="preserve">名称</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tcPr>
          <w:p>
            <w:pPr>
              <w:pStyle w:val="883"/>
              <w:jc w:val="center"/>
              <w:spacing w:line="360" w:lineRule="auto"/>
              <w:rPr>
                <w:rFonts w:hint="eastAsia" w:ascii="宋体" w:hAnsi="宋体" w:cs="宋体"/>
                <w:b/>
                <w:bCs/>
                <w:sz w:val="24"/>
                <w:szCs w:val="24"/>
              </w:rPr>
            </w:pPr>
            <w:r>
              <w:rPr>
                <w:rFonts w:hint="eastAsia" w:ascii="宋体" w:hAnsi="宋体" w:cs="宋体"/>
                <w:b/>
                <w:bCs/>
                <w:sz w:val="24"/>
                <w:szCs w:val="24"/>
              </w:rPr>
              <w:t xml:space="preserve">招标参数</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spacing w:line="360" w:lineRule="auto"/>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3"/>
              <w:jc w:val="center"/>
              <w:spacing w:line="360" w:lineRule="auto"/>
              <w:rPr>
                <w:rFonts w:hint="eastAsia" w:ascii="宋体" w:hAnsi="宋体" w:cs="宋体"/>
                <w:b/>
                <w:bCs/>
                <w:sz w:val="24"/>
                <w:szCs w:val="24"/>
              </w:rPr>
            </w:pPr>
            <w:r>
              <w:rPr>
                <w:rFonts w:hint="eastAsia" w:ascii="宋体" w:hAnsi="宋体" w:cs="宋体"/>
                <w:b/>
                <w:bCs/>
                <w:sz w:val="24"/>
                <w:szCs w:val="24"/>
              </w:rPr>
              <w:t xml:space="preserve">单位</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tcPr>
          <w:p>
            <w:pPr>
              <w:pStyle w:val="883"/>
              <w:jc w:val="center"/>
              <w:spacing w:line="360" w:lineRule="auto"/>
              <w:rPr>
                <w:rFonts w:hint="eastAsia" w:ascii="宋体" w:hAnsi="宋体" w:cs="宋体"/>
                <w:b/>
                <w:bCs/>
                <w:sz w:val="24"/>
                <w:szCs w:val="24"/>
              </w:rPr>
            </w:pPr>
            <w:r>
              <w:rPr>
                <w:rFonts w:hint="eastAsia" w:ascii="宋体" w:hAnsi="宋体" w:cs="宋体"/>
                <w:b/>
                <w:bCs/>
                <w:sz w:val="24"/>
                <w:szCs w:val="24"/>
              </w:rPr>
              <w:t xml:space="preserve">标的所属行业</w:t>
            </w:r>
            <w:r>
              <w:rPr>
                <w:rFonts w:hint="eastAsia" w:ascii="宋体" w:hAnsi="宋体" w:cs="宋体"/>
                <w:b/>
                <w:bCs/>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b/>
                <w:bCs/>
              </w:rPr>
            </w:pPr>
            <w:r>
              <w:rPr>
                <w:rFonts w:hint="eastAsia" w:ascii="宋体" w:hAnsi="宋体" w:cs="宋体"/>
                <w:b/>
                <w:bCs/>
              </w:rPr>
              <w:t xml:space="preserve">一</w:t>
            </w:r>
            <w:r>
              <w:rPr>
                <w:rFonts w:hint="eastAsia" w:ascii="宋体" w:hAnsi="宋体" w:cs="宋体"/>
                <w:b/>
                <w:bCs/>
              </w:rPr>
            </w:r>
            <w:r/>
          </w:p>
        </w:tc>
        <w:tc>
          <w:tcPr>
            <w:gridSpan w:val="5"/>
            <w:tcBorders>
              <w:top w:val="single" w:color="000000" w:sz="4" w:space="0"/>
              <w:left w:val="single" w:color="000000" w:sz="4" w:space="0"/>
              <w:bottom w:val="single" w:color="000000" w:sz="4" w:space="0"/>
              <w:right w:val="single" w:color="000000" w:sz="4" w:space="0"/>
            </w:tcBorders>
            <w:tcW w:w="7747" w:type="dxa"/>
            <w:vAlign w:val="center"/>
            <w:textDirection w:val="lrTb"/>
            <w:noWrap w:val="false"/>
          </w:tcPr>
          <w:p>
            <w:pPr>
              <w:pStyle w:val="883"/>
              <w:jc w:val="left"/>
              <w:rPr>
                <w:rFonts w:hint="eastAsia" w:ascii="宋体" w:hAnsi="宋体" w:cs="宋体"/>
              </w:rPr>
            </w:pPr>
            <w:r>
              <w:rPr>
                <w:rFonts w:hint="eastAsia" w:ascii="宋体" w:hAnsi="宋体" w:cs="宋体"/>
                <w:b/>
                <w:bCs/>
              </w:rPr>
              <w:t xml:space="preserve">软件系统开发</w:t>
            </w:r>
            <w:r>
              <w:rPr>
                <w:rFonts w:hint="eastAsia" w:ascii="宋体" w:hAnsi="宋体" w:cs="宋体"/>
              </w:rPr>
            </w:r>
            <w:r/>
          </w:p>
        </w:tc>
      </w:tr>
      <w:tr>
        <w:trPr>
          <w:trHeight w:val="7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883"/>
              <w:jc w:val="center"/>
              <w:rPr>
                <w:rFonts w:hint="eastAsia" w:ascii="宋体" w:hAnsi="宋体" w:cs="宋体"/>
              </w:rPr>
            </w:pPr>
            <w:r>
              <w:rPr>
                <w:rFonts w:hint="eastAsia" w:ascii="宋体" w:hAnsi="宋体" w:cs="宋体"/>
                <w:color w:val="000000"/>
              </w:rPr>
              <w:t xml:space="preserve">公墓管理系统PC管理端开发</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详见第四章节建设内容及要求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套</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r>
      <w:tr>
        <w:trPr>
          <w:trHeight w:val="735"/>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883"/>
              <w:jc w:val="center"/>
              <w:rPr>
                <w:rFonts w:hint="eastAsia" w:ascii="宋体" w:hAnsi="宋体" w:cs="宋体"/>
              </w:rPr>
            </w:pPr>
            <w:r>
              <w:rPr>
                <w:rFonts w:hint="eastAsia" w:ascii="宋体" w:hAnsi="宋体" w:cs="宋体"/>
                <w:color w:val="000000"/>
              </w:rPr>
              <w:t xml:space="preserve">公墓管理系统移动端开发</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详见第四章节建设内容及要求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3"/>
              <w:jc w:val="center"/>
              <w:rPr>
                <w:rFonts w:hint="eastAsia" w:ascii="宋体" w:hAnsi="宋体" w:cs="宋体"/>
              </w:rPr>
            </w:pPr>
            <w:r>
              <w:rPr>
                <w:rFonts w:hint="eastAsia" w:ascii="宋体" w:hAnsi="宋体" w:cs="宋体"/>
              </w:rPr>
              <w:t xml:space="preserve">套</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tcPr>
          <w:p>
            <w:pPr>
              <w:pStyle w:val="883"/>
              <w:jc w:val="center"/>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r>
      <w:tr>
        <w:trPr>
          <w:trHeight w:val="787"/>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883"/>
              <w:jc w:val="center"/>
              <w:rPr>
                <w:rFonts w:hint="eastAsia" w:ascii="宋体" w:hAnsi="宋体" w:cs="宋体"/>
              </w:rPr>
            </w:pPr>
            <w:r>
              <w:rPr>
                <w:rFonts w:hint="eastAsia" w:ascii="宋体" w:hAnsi="宋体" w:cs="宋体"/>
                <w:color w:val="000000"/>
              </w:rPr>
              <w:t xml:space="preserve">经营性公墓数据对接</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详见第四章节建设内容及要求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r>
      <w:tr>
        <w:trPr>
          <w:trHeight w:val="72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883"/>
              <w:jc w:val="center"/>
              <w:rPr>
                <w:rFonts w:hint="eastAsia" w:ascii="宋体" w:hAnsi="宋体" w:cs="宋体"/>
              </w:rPr>
            </w:pPr>
            <w:r>
              <w:rPr>
                <w:rFonts w:hint="eastAsia" w:ascii="宋体" w:hAnsi="宋体" w:cs="宋体"/>
                <w:color w:val="000000"/>
              </w:rPr>
              <w:t xml:space="preserve">省火化数据对接及比对服务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详见第四章节建设内容及要求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r>
      <w:tr>
        <w:trPr>
          <w:trHeight w:val="66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883"/>
              <w:jc w:val="center"/>
              <w:rPr>
                <w:rFonts w:hint="eastAsia" w:ascii="宋体" w:hAnsi="宋体" w:cs="宋体"/>
              </w:rPr>
            </w:pPr>
            <w:r>
              <w:rPr>
                <w:rFonts w:hint="eastAsia" w:ascii="宋体" w:hAnsi="宋体" w:cs="宋体"/>
                <w:color w:val="000000"/>
              </w:rPr>
              <w:t xml:space="preserve">省平台数据对接上报服务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详见第四章节建设内容及要求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r>
      <w:tr>
        <w:trPr>
          <w:trHeight w:val="735"/>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883"/>
              <w:jc w:val="center"/>
              <w:rPr>
                <w:rFonts w:hint="eastAsia" w:ascii="宋体" w:hAnsi="宋体" w:cs="宋体"/>
              </w:rPr>
            </w:pPr>
            <w:r>
              <w:rPr>
                <w:rFonts w:hint="eastAsia" w:ascii="宋体" w:hAnsi="宋体" w:cs="宋体"/>
                <w:color w:val="000000"/>
              </w:rPr>
              <w:t xml:space="preserve">灵锡APP内服务上架对接</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详见第四章节建设内容及要求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r>
      <w:tr>
        <w:trPr>
          <w:trHeight w:val="72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rPr>
            </w:pPr>
            <w:r>
              <w:rPr>
                <w:rFonts w:hint="eastAsia" w:ascii="宋体" w:hAnsi="宋体" w:cs="宋体"/>
              </w:rPr>
              <w:t xml:space="preserve">7</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公益性公墓数据治理及初始化入库服务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详见第四章节建设内容及要求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r>
      <w:tr>
        <w:trPr>
          <w:trHeight w:val="52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b/>
                <w:bCs/>
              </w:rPr>
            </w:pPr>
            <w:r>
              <w:rPr>
                <w:rFonts w:hint="eastAsia" w:ascii="宋体" w:hAnsi="宋体" w:cs="宋体"/>
                <w:b/>
                <w:bCs/>
              </w:rPr>
              <w:t xml:space="preserve">二</w:t>
            </w:r>
            <w:r>
              <w:rPr>
                <w:rFonts w:hint="eastAsia" w:ascii="宋体" w:hAnsi="宋体" w:cs="宋体"/>
                <w:b/>
                <w:bCs/>
              </w:rPr>
            </w:r>
            <w:r/>
          </w:p>
        </w:tc>
        <w:tc>
          <w:tcPr>
            <w:gridSpan w:val="5"/>
            <w:tcBorders>
              <w:top w:val="single" w:color="000000" w:sz="4" w:space="0"/>
              <w:left w:val="single" w:color="000000" w:sz="4" w:space="0"/>
              <w:bottom w:val="single" w:color="000000" w:sz="4" w:space="0"/>
              <w:right w:val="single" w:color="000000" w:sz="4" w:space="0"/>
            </w:tcBorders>
            <w:tcW w:w="7747" w:type="dxa"/>
            <w:vAlign w:val="center"/>
            <w:textDirection w:val="lrTb"/>
            <w:noWrap w:val="false"/>
          </w:tcPr>
          <w:p>
            <w:pPr>
              <w:pStyle w:val="883"/>
              <w:jc w:val="left"/>
              <w:rPr>
                <w:rFonts w:hint="eastAsia" w:ascii="宋体" w:hAnsi="宋体" w:cs="宋体"/>
              </w:rPr>
            </w:pPr>
            <w:r>
              <w:rPr>
                <w:rFonts w:hint="eastAsia" w:ascii="宋体" w:hAnsi="宋体" w:cs="宋体"/>
                <w:b/>
                <w:bCs/>
                <w:color w:val="000000"/>
              </w:rPr>
              <w:t xml:space="preserve">其他</w:t>
            </w:r>
            <w:r>
              <w:rPr>
                <w:rFonts w:hint="eastAsia" w:ascii="宋体" w:hAnsi="宋体" w:cs="宋体"/>
              </w:rPr>
            </w:r>
            <w:r/>
          </w:p>
        </w:tc>
      </w:tr>
      <w:tr>
        <w:trPr>
          <w:trHeight w:val="195"/>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应急响应服务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21" w:type="dxa"/>
            <w:vAlign w:val="top"/>
            <w:textDirection w:val="lrTb"/>
            <w:noWrap w:val="false"/>
          </w:tcPr>
          <w:p>
            <w:pPr>
              <w:pStyle w:val="883"/>
              <w:jc w:val="center"/>
              <w:rPr>
                <w:rFonts w:hint="eastAsia" w:ascii="宋体" w:hAnsi="宋体" w:cs="宋体"/>
              </w:rPr>
            </w:pPr>
            <w:r>
              <w:rPr>
                <w:rFonts w:hint="eastAsia" w:ascii="宋体" w:hAnsi="宋体" w:cs="宋体"/>
              </w:rPr>
              <w:t xml:space="preserve">详见第四章节建设内容及要求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项</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r>
      <w:tr>
        <w:trPr>
          <w:trHeight w:val="195"/>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应急演练服务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21" w:type="dxa"/>
            <w:vAlign w:val="top"/>
            <w:textDirection w:val="lrTb"/>
            <w:noWrap w:val="false"/>
          </w:tcPr>
          <w:p>
            <w:pPr>
              <w:pStyle w:val="883"/>
              <w:jc w:val="center"/>
              <w:rPr>
                <w:rFonts w:hint="eastAsia" w:ascii="宋体" w:hAnsi="宋体" w:cs="宋体"/>
              </w:rPr>
            </w:pPr>
            <w:r>
              <w:rPr>
                <w:rFonts w:hint="eastAsia" w:ascii="宋体" w:hAnsi="宋体" w:cs="宋体"/>
              </w:rPr>
              <w:t xml:space="preserve">详见第四章节建设内容及要求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r>
      <w:tr>
        <w:trPr>
          <w:trHeight w:val="195"/>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资产梳理服务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21" w:type="dxa"/>
            <w:vAlign w:val="top"/>
            <w:textDirection w:val="lrTb"/>
            <w:noWrap w:val="false"/>
          </w:tcPr>
          <w:p>
            <w:pPr>
              <w:pStyle w:val="883"/>
              <w:jc w:val="center"/>
              <w:rPr>
                <w:rFonts w:hint="eastAsia" w:ascii="宋体" w:hAnsi="宋体" w:cs="宋体"/>
              </w:rPr>
            </w:pPr>
            <w:r>
              <w:rPr>
                <w:rFonts w:hint="eastAsia" w:ascii="宋体" w:hAnsi="宋体" w:cs="宋体"/>
              </w:rPr>
              <w:t xml:space="preserve">详见第四章节建设内容及要求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r>
      <w:tr>
        <w:trPr>
          <w:trHeight w:val="4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渗透测试服务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21" w:type="dxa"/>
            <w:vAlign w:val="top"/>
            <w:textDirection w:val="lrTb"/>
            <w:noWrap w:val="false"/>
          </w:tcPr>
          <w:p>
            <w:pPr>
              <w:pStyle w:val="883"/>
              <w:jc w:val="center"/>
              <w:rPr>
                <w:rFonts w:hint="eastAsia" w:ascii="宋体" w:hAnsi="宋体" w:cs="宋体"/>
              </w:rPr>
            </w:pPr>
            <w:r>
              <w:rPr>
                <w:rFonts w:hint="eastAsia" w:ascii="宋体" w:hAnsi="宋体" w:cs="宋体"/>
              </w:rPr>
              <w:t xml:space="preserve">详见第四章节建设内容及要求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r>
      <w:tr>
        <w:trPr>
          <w:trHeight w:val="4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基线核查服务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21" w:type="dxa"/>
            <w:vAlign w:val="top"/>
            <w:textDirection w:val="lrTb"/>
            <w:noWrap w:val="false"/>
          </w:tcPr>
          <w:p>
            <w:pPr>
              <w:pStyle w:val="883"/>
              <w:jc w:val="center"/>
              <w:rPr>
                <w:rFonts w:hint="eastAsia" w:ascii="宋体" w:hAnsi="宋体" w:cs="宋体"/>
              </w:rPr>
            </w:pPr>
            <w:r>
              <w:rPr>
                <w:rFonts w:hint="eastAsia" w:ascii="宋体" w:hAnsi="宋体" w:cs="宋体"/>
              </w:rPr>
              <w:t xml:space="preserve">详见第四章节建设内容及要求</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3"/>
              <w:jc w:val="center"/>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r>
      <w:tr>
        <w:trPr>
          <w:trHeight w:val="4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国密浏览器</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21" w:type="dxa"/>
            <w:vAlign w:val="top"/>
            <w:textDirection w:val="lrTb"/>
            <w:noWrap w:val="false"/>
          </w:tcPr>
          <w:p>
            <w:pPr>
              <w:pStyle w:val="883"/>
              <w:jc w:val="center"/>
              <w:rPr>
                <w:rFonts w:hint="eastAsia" w:ascii="宋体" w:hAnsi="宋体" w:cs="宋体"/>
                <w:highlight w:val="yellow"/>
              </w:rPr>
            </w:pPr>
            <w:r>
              <w:rPr>
                <w:rFonts w:hint="eastAsia" w:ascii="宋体" w:hAnsi="宋体" w:cs="宋体"/>
              </w:rPr>
              <w:t xml:space="preserve">详见第四章节建设内容及要求</w:t>
            </w:r>
            <w:r>
              <w:rPr>
                <w:rFonts w:hint="eastAsia" w:ascii="宋体" w:hAnsi="宋体" w:cs="宋体"/>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套</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4" w:type="dxa"/>
            <w:vAlign w:val="top"/>
            <w:textDirection w:val="lrTb"/>
            <w:noWrap w:val="false"/>
          </w:tcPr>
          <w:p>
            <w:pPr>
              <w:pStyle w:val="883"/>
              <w:jc w:val="center"/>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r>
      <w:tr>
        <w:trPr>
          <w:trHeight w:val="4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站点证书</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21" w:type="dxa"/>
            <w:vAlign w:val="top"/>
            <w:textDirection w:val="lrTb"/>
            <w:noWrap w:val="false"/>
          </w:tcPr>
          <w:p>
            <w:pPr>
              <w:pStyle w:val="883"/>
              <w:jc w:val="center"/>
              <w:rPr>
                <w:rFonts w:hint="eastAsia" w:ascii="宋体" w:hAnsi="宋体" w:cs="宋体"/>
                <w:highlight w:val="yellow"/>
              </w:rPr>
            </w:pPr>
            <w:r>
              <w:rPr>
                <w:rFonts w:hint="eastAsia" w:ascii="宋体" w:hAnsi="宋体" w:cs="宋体"/>
              </w:rPr>
              <w:t xml:space="preserve">详见第四章节建设内容及要求</w:t>
            </w:r>
            <w:r>
              <w:rPr>
                <w:rFonts w:hint="eastAsia" w:ascii="宋体" w:hAnsi="宋体" w:cs="宋体"/>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个</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4" w:type="dxa"/>
            <w:vAlign w:val="top"/>
            <w:textDirection w:val="lrTb"/>
            <w:noWrap w:val="false"/>
          </w:tcPr>
          <w:p>
            <w:pPr>
              <w:pStyle w:val="883"/>
              <w:jc w:val="center"/>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r>
      <w:tr>
        <w:trPr>
          <w:trHeight w:val="4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883"/>
              <w:jc w:val="center"/>
              <w:rPr>
                <w:rFonts w:hint="eastAsia" w:ascii="宋体" w:hAnsi="宋体" w:cs="宋体"/>
                <w:color w:val="000000"/>
              </w:rPr>
            </w:pPr>
            <w:r>
              <w:rPr>
                <w:rFonts w:hint="eastAsia" w:ascii="宋体" w:hAnsi="宋体" w:cs="宋体"/>
                <w:color w:val="000000"/>
              </w:rPr>
              <w:t xml:space="preserve">个人安全证书</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021" w:type="dxa"/>
            <w:vAlign w:val="top"/>
            <w:textDirection w:val="lrTb"/>
            <w:noWrap w:val="false"/>
          </w:tcPr>
          <w:p>
            <w:pPr>
              <w:pStyle w:val="883"/>
              <w:jc w:val="center"/>
              <w:rPr>
                <w:rFonts w:hint="eastAsia" w:ascii="宋体" w:hAnsi="宋体" w:cs="宋体"/>
                <w:highlight w:val="yellow"/>
              </w:rPr>
            </w:pPr>
            <w:r>
              <w:rPr>
                <w:rFonts w:hint="eastAsia" w:ascii="宋体" w:hAnsi="宋体" w:cs="宋体"/>
              </w:rPr>
              <w:t xml:space="preserve">详见第四章节建设内容及要求</w:t>
            </w:r>
            <w:r>
              <w:rPr>
                <w:rFonts w:hint="eastAsia" w:ascii="宋体" w:hAnsi="宋体" w:cs="宋体"/>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133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3"/>
              <w:jc w:val="center"/>
              <w:rPr>
                <w:rFonts w:hint="eastAsia" w:ascii="宋体" w:hAnsi="宋体" w:cs="宋体"/>
              </w:rPr>
            </w:pPr>
            <w:r>
              <w:rPr>
                <w:rFonts w:hint="eastAsia" w:ascii="宋体" w:hAnsi="宋体" w:cs="宋体"/>
              </w:rPr>
              <w:t xml:space="preserve">个</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54" w:type="dxa"/>
            <w:vAlign w:val="top"/>
            <w:textDirection w:val="lrTb"/>
            <w:noWrap w:val="false"/>
          </w:tcPr>
          <w:p>
            <w:pPr>
              <w:pStyle w:val="883"/>
              <w:jc w:val="center"/>
              <w:rPr>
                <w:rFonts w:hint="eastAsia" w:ascii="宋体" w:hAnsi="宋体" w:cs="宋体"/>
              </w:rPr>
            </w:pPr>
            <w:r>
              <w:rPr>
                <w:rFonts w:hint="eastAsia" w:ascii="宋体" w:hAnsi="宋体" w:cs="宋体"/>
              </w:rPr>
              <w:t xml:space="preserve">软件和信息技术服务业</w:t>
            </w:r>
            <w:r>
              <w:rPr>
                <w:rFonts w:hint="eastAsia" w:ascii="宋体" w:hAnsi="宋体" w:cs="宋体"/>
              </w:rPr>
            </w:r>
            <w:r/>
          </w:p>
        </w:tc>
      </w:tr>
    </w:tbl>
    <w:p>
      <w:pPr>
        <w:pStyle w:val="88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四、建设内容及要求</w:t>
      </w:r>
      <w:r>
        <w:rPr>
          <w:rFonts w:hint="eastAsia" w:ascii="宋体" w:hAnsi="宋体" w:cs="宋体"/>
          <w:b/>
          <w:bCs/>
          <w:sz w:val="24"/>
          <w:szCs w:val="24"/>
        </w:rPr>
      </w:r>
      <w:r/>
    </w:p>
    <w:p>
      <w:pPr>
        <w:pStyle w:val="883"/>
        <w:ind w:firstLine="480"/>
        <w:spacing w:line="360" w:lineRule="auto"/>
        <w:rPr>
          <w:rFonts w:hint="eastAsia" w:ascii="宋体" w:hAnsi="宋体" w:cs="宋体"/>
          <w:b/>
          <w:bCs/>
          <w:sz w:val="24"/>
          <w:szCs w:val="24"/>
        </w:rPr>
      </w:pPr>
      <w:r>
        <w:rPr>
          <w:rFonts w:hint="eastAsia" w:ascii="宋体" w:hAnsi="宋体" w:cs="宋体"/>
          <w:b/>
          <w:bCs/>
          <w:sz w:val="24"/>
          <w:szCs w:val="24"/>
        </w:rPr>
        <w:t xml:space="preserve">（一）软件系统开发</w:t>
      </w:r>
      <w:r>
        <w:rPr>
          <w:rFonts w:hint="eastAsia" w:ascii="宋体" w:hAnsi="宋体" w:cs="宋体"/>
          <w:b/>
          <w:bCs/>
          <w:sz w:val="24"/>
          <w:szCs w:val="24"/>
        </w:rPr>
      </w:r>
      <w:r/>
    </w:p>
    <w:p>
      <w:pPr>
        <w:pStyle w:val="883"/>
        <w:ind w:firstLine="480"/>
        <w:spacing w:line="360" w:lineRule="auto"/>
        <w:rPr>
          <w:rFonts w:hint="eastAsia" w:ascii="宋体" w:hAnsi="宋体" w:cs="宋体"/>
          <w:b/>
          <w:bCs/>
          <w:sz w:val="24"/>
          <w:szCs w:val="24"/>
        </w:rPr>
      </w:pPr>
      <w:r>
        <w:rPr>
          <w:rFonts w:hint="eastAsia" w:ascii="宋体" w:hAnsi="宋体" w:cs="宋体"/>
          <w:b/>
          <w:bCs/>
          <w:sz w:val="24"/>
          <w:szCs w:val="24"/>
        </w:rPr>
        <w:t xml:space="preserve">1、公墓管理系统PC管理端开发</w:t>
      </w:r>
      <w:r>
        <w:rPr>
          <w:rFonts w:hint="eastAsia" w:ascii="宋体" w:hAnsi="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（1）业务管理</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在业务管理中，主要为公墓业务、骨灰堂业务、历史查询。</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①</w:t>
      </w:r>
      <w:r>
        <w:rPr>
          <w:rFonts w:hint="eastAsia" w:ascii="宋体" w:hAnsi="宋体" w:cs="宋体"/>
          <w:sz w:val="24"/>
          <w:szCs w:val="24"/>
        </w:rPr>
        <w:t xml:space="preserve">公墓业务</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支持统计本公墓各墓区下，每个墓位的相关墓位信息以及安葬人信息。</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公墓业务列表和查询：公墓业务列表展示所选墓区、所选排的每个墓位当前的信息和状态，墓园管理员可在此列表进行购墓、登记、退墓、迁出、查看详情操作。</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②</w:t>
      </w:r>
      <w:r>
        <w:rPr>
          <w:rFonts w:hint="eastAsia" w:ascii="宋体" w:hAnsi="宋体" w:cs="宋体"/>
          <w:sz w:val="24"/>
          <w:szCs w:val="24"/>
        </w:rPr>
        <w:t xml:space="preserve">骨灰堂业务</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骨灰堂业务列表和查询：骨灰堂业务列表展示所选骨灰室、所选排的每个格位当前的信息和状态，墓园管理员可在此列表进行购墓、登记、退墓、迁出、查看详情操作。</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③</w:t>
      </w:r>
      <w:r>
        <w:rPr>
          <w:rFonts w:hint="eastAsia" w:ascii="宋体" w:hAnsi="宋体" w:cs="宋体"/>
          <w:sz w:val="24"/>
          <w:szCs w:val="24"/>
        </w:rPr>
        <w:t xml:space="preserve">历史记录</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墓园管理员可以查看历史的公墓/骨灰堂操作业务记录信息。可以查询某个墓位/格位的历史操作情况，也可以根据墓位/格位类型查询历史的骨灰堂、公墓的相关业务操作。系统支持历史记录导出。</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（2）公墓管理</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公墓管理员可以维护本墓园下的墓区、墓位，对墓区、墓位信息进行新增、修改、删除。</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（3）骨灰堂管理</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公墓管理员可以维护本骨灰堂下的格区、格位，对格区、格位信息进行新增、修改、删除。</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（4）海葬服务</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殡葬服务人员可以维护逝者海葬申请的相关信息。可以登记海葬申请、查看详情、编辑已有的海葬记录、删除已有的海葬记录信息。</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（5）查询统计</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①</w:t>
      </w:r>
      <w:r>
        <w:rPr>
          <w:rFonts w:hint="eastAsia" w:ascii="宋体" w:hAnsi="宋体" w:cs="宋体"/>
          <w:sz w:val="24"/>
          <w:szCs w:val="24"/>
        </w:rPr>
        <w:t xml:space="preserve">墓园统计</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墓园统计，以可视化方式统计各区县的墓园相关信息：业务办理情况、火化情况、安葬统计、墓园统计、墓穴统计、安葬类型统计、各市县区情况统计、近15天登记安葬、墓位状态占比。</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②</w:t>
      </w:r>
      <w:r>
        <w:rPr>
          <w:rFonts w:hint="eastAsia" w:ascii="宋体" w:hAnsi="宋体" w:cs="宋体"/>
          <w:sz w:val="24"/>
          <w:szCs w:val="24"/>
        </w:rPr>
        <w:t xml:space="preserve">墓园查询</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支持市级或者区县管理员查询、查看辖区下所有公墓墓园信息。</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③</w:t>
      </w:r>
      <w:r>
        <w:rPr>
          <w:rFonts w:hint="eastAsia" w:ascii="宋体" w:hAnsi="宋体" w:cs="宋体"/>
          <w:sz w:val="24"/>
          <w:szCs w:val="24"/>
        </w:rPr>
        <w:t xml:space="preserve">墓区查询</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支持市级管理员或者区县管理员查询、查看辖区某家公墓的公墓及骨灰堂的墓区、格区情况。</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④</w:t>
      </w:r>
      <w:r>
        <w:rPr>
          <w:rFonts w:hint="eastAsia" w:ascii="宋体" w:hAnsi="宋体" w:cs="宋体"/>
          <w:sz w:val="24"/>
          <w:szCs w:val="24"/>
        </w:rPr>
        <w:t xml:space="preserve">墓位查询</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支持市级管理员或者区县管理员查询、查看辖区下某家公墓的公墓或者骨灰堂的墓位、格位详细情况。</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⑤</w:t>
      </w:r>
      <w:r>
        <w:rPr>
          <w:rFonts w:hint="eastAsia" w:ascii="宋体" w:hAnsi="宋体" w:cs="宋体"/>
          <w:sz w:val="24"/>
          <w:szCs w:val="24"/>
        </w:rPr>
        <w:t xml:space="preserve">逝者查询</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市级管理员可以在系统中通过模糊搜索的方式查询到对应逝者的安葬位置、安葬信息。</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（6）系统设置</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①</w:t>
      </w:r>
      <w:r>
        <w:rPr>
          <w:rFonts w:hint="eastAsia" w:ascii="宋体" w:hAnsi="宋体" w:cs="宋体"/>
          <w:sz w:val="24"/>
          <w:szCs w:val="24"/>
        </w:rPr>
        <w:t xml:space="preserve">墓园管理</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市级管理员可以维护全市墓园信息，可以新增、修改、删除墓园信息。</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②</w:t>
      </w:r>
      <w:r>
        <w:rPr>
          <w:rFonts w:hint="eastAsia" w:ascii="宋体" w:hAnsi="宋体" w:cs="宋体"/>
          <w:sz w:val="24"/>
          <w:szCs w:val="24"/>
        </w:rPr>
        <w:t xml:space="preserve">墓园用户</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市级管理员可以维护各墓园、各骨灰堂的管理账户，可以用户新增、编辑、删除、重置密码等操作。</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③</w:t>
      </w:r>
      <w:r>
        <w:rPr>
          <w:rFonts w:hint="eastAsia" w:ascii="宋体" w:hAnsi="宋体" w:cs="宋体"/>
          <w:sz w:val="24"/>
          <w:szCs w:val="24"/>
        </w:rPr>
        <w:t xml:space="preserve">系统用户</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系统管理员可以在系统用户中管理维护系统账户、市县区管理员用户账号、海葬管理员账户，可以新增、编辑、删除、重置密码等。</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④</w:t>
      </w:r>
      <w:r>
        <w:rPr>
          <w:rFonts w:hint="eastAsia" w:ascii="宋体" w:hAnsi="宋体" w:cs="宋体"/>
          <w:sz w:val="24"/>
          <w:szCs w:val="24"/>
        </w:rPr>
        <w:t xml:space="preserve">菜单管理</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菜单列表：菜单列表，展示本平台的各类菜单项，包括菜单名称、资源URL、菜单层级、上级菜单、排序等。</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⑤</w:t>
      </w:r>
      <w:r>
        <w:rPr>
          <w:rFonts w:hint="eastAsia" w:ascii="宋体" w:hAnsi="宋体" w:cs="宋体"/>
          <w:sz w:val="24"/>
          <w:szCs w:val="24"/>
        </w:rPr>
        <w:t xml:space="preserve">角色管理</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系统管理员可以在角色权限中管理系统用户功能操作权限，维护公墓管理账户、市级区县账户、海葬账户的功能权限。可新增、编辑、权限设置、删除对应的角色信息。</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⑥</w:t>
      </w:r>
      <w:r>
        <w:rPr>
          <w:rFonts w:hint="eastAsia" w:ascii="宋体" w:hAnsi="宋体" w:cs="宋体"/>
          <w:sz w:val="24"/>
          <w:szCs w:val="24"/>
        </w:rPr>
        <w:t xml:space="preserve">字典管理</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字典列表：字典列表，展示本平台已维护的各字段的字典项，包括字典编码、字典名称、字典项数量、字典值等。</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（7）个人中心</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用户在登录账户后，可以查看当前用户姓名，也可以修改登录密码。</w:t>
      </w:r>
      <w:r>
        <w:rPr>
          <w:rFonts w:hint="eastAsia" w:ascii="宋体" w:hAnsi="宋体" w:cs="宋体"/>
          <w:sz w:val="24"/>
          <w:szCs w:val="24"/>
        </w:rPr>
      </w:r>
      <w:r/>
    </w:p>
    <w:p>
      <w:pPr>
        <w:pStyle w:val="883"/>
        <w:ind w:firstLine="480"/>
        <w:spacing w:line="360" w:lineRule="auto"/>
        <w:rPr>
          <w:rFonts w:hint="eastAsia" w:ascii="宋体" w:hAnsi="宋体" w:cs="宋体"/>
          <w:b/>
          <w:bCs/>
          <w:sz w:val="24"/>
          <w:szCs w:val="24"/>
        </w:rPr>
      </w:pPr>
      <w:r>
        <w:rPr>
          <w:rFonts w:hint="eastAsia" w:ascii="宋体" w:hAnsi="宋体" w:cs="宋体"/>
          <w:b/>
          <w:bCs/>
          <w:sz w:val="24"/>
          <w:szCs w:val="24"/>
        </w:rPr>
        <w:t xml:space="preserve">2、公墓管理系统移动端开发</w:t>
      </w:r>
      <w:r>
        <w:rPr>
          <w:rFonts w:hint="eastAsia" w:ascii="宋体" w:hAnsi="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（1）墓园管理员用户</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①</w:t>
      </w:r>
      <w:r>
        <w:rPr>
          <w:rFonts w:hint="eastAsia" w:ascii="宋体" w:hAnsi="宋体" w:cs="宋体"/>
          <w:sz w:val="24"/>
          <w:szCs w:val="24"/>
        </w:rPr>
        <w:t xml:space="preserve">公墓管理</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公墓管理员在公墓管理中查看该墓园下的所有墓区、墓位信息，可以增加、编辑、删除墓区、墓位信息。</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②</w:t>
      </w:r>
      <w:r>
        <w:rPr>
          <w:rFonts w:hint="eastAsia" w:ascii="宋体" w:hAnsi="宋体" w:cs="宋体"/>
          <w:sz w:val="24"/>
          <w:szCs w:val="24"/>
        </w:rPr>
        <w:t xml:space="preserve">骨灰堂管理</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公墓管理员在骨灰堂管理中可以查看该墓园下所有格区、格位信息，可以对格区、格位进行增删改查。</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③</w:t>
      </w:r>
      <w:r>
        <w:rPr>
          <w:rFonts w:hint="eastAsia" w:ascii="宋体" w:hAnsi="宋体" w:cs="宋体"/>
          <w:sz w:val="24"/>
          <w:szCs w:val="24"/>
        </w:rPr>
        <w:t xml:space="preserve">查询统计</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公墓管理员可以查看本公墓下各墓区下的墓位统计信息，本骨灰堂各格区下的格位统计信息，查看每个墓区/格区的安葬使用情况、购买情况、空置情况等对应数据信息，以饼图形式显示不同情况的占比。</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④</w:t>
      </w:r>
      <w:r>
        <w:rPr>
          <w:rFonts w:hint="eastAsia" w:ascii="宋体" w:hAnsi="宋体" w:cs="宋体"/>
          <w:sz w:val="24"/>
          <w:szCs w:val="24"/>
        </w:rPr>
        <w:t xml:space="preserve">个人中心</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用户在登录账户后，可以查看当前用户的信息，如账户名、姓名、手机号等。也可以修改登录密码。</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（2）市县区管理员用户</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①</w:t>
      </w:r>
      <w:r>
        <w:rPr>
          <w:rFonts w:hint="eastAsia" w:ascii="宋体" w:hAnsi="宋体" w:cs="宋体"/>
          <w:sz w:val="24"/>
          <w:szCs w:val="24"/>
        </w:rPr>
        <w:t xml:space="preserve">首页</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市级区县管理员在登录移动端后，可以在首页中查看到公墓安葬情况的统计概况。</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②</w:t>
      </w:r>
      <w:r>
        <w:rPr>
          <w:rFonts w:hint="eastAsia" w:ascii="宋体" w:hAnsi="宋体" w:cs="宋体"/>
          <w:sz w:val="24"/>
          <w:szCs w:val="24"/>
        </w:rPr>
        <w:t xml:space="preserve">查询</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市区县管理账户可以在查询中查看辖区下的墓园信息及概况，并可以查看单个墓园的详细情况。</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支持市级区县管理账户在公墓管理中查看某家公墓的墓区、墓位详细信息。</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支持市级区县管理账户在骨灰堂管理中查看到某家墓园的骨灰堂格区、格位详情。</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支持市级区县管理账户查看某个墓园下各墓区下的墓位统计信息，骨灰堂各格区下的格位统计信息。</w:t>
      </w:r>
      <w:r>
        <w:rPr>
          <w:rFonts w:hint="eastAsia" w:ascii="宋体" w:hAnsi="宋体" w:cs="宋体"/>
          <w:sz w:val="24"/>
          <w:szCs w:val="24"/>
        </w:rPr>
      </w:r>
      <w:r/>
    </w:p>
    <w:p>
      <w:pPr>
        <w:pStyle w:val="883"/>
        <w:ind w:firstLine="480"/>
        <w:spacing w:line="360" w:lineRule="auto"/>
        <w:rPr>
          <w:rFonts w:hint="eastAsia" w:ascii="宋体" w:hAnsi="宋体" w:cs="宋体"/>
          <w:b/>
          <w:bCs/>
          <w:sz w:val="24"/>
          <w:szCs w:val="24"/>
        </w:rPr>
      </w:pPr>
      <w:r>
        <w:rPr>
          <w:rFonts w:hint="eastAsia" w:ascii="宋体" w:hAnsi="宋体" w:cs="宋体"/>
          <w:b/>
          <w:bCs/>
          <w:sz w:val="24"/>
          <w:szCs w:val="24"/>
        </w:rPr>
        <w:t xml:space="preserve">3、经营性公墓数据对接</w:t>
      </w:r>
      <w:r>
        <w:rPr>
          <w:rFonts w:hint="eastAsia" w:ascii="宋体" w:hAnsi="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接入经营性公墓（如青城公墓、华侨公墓）的数据，并实现动态汇聚和更新，完善公墓数据底册。底册内容涵盖墓区墓位信息、安葬人员情况、联系人信息以及公墓费用等关键数据。基于市级数据治理成果，为省厅平台的对接提供全面、准确的数据支持。</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4、省火化数据对接及比对服务</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对接省火化数据。通过比对和统计系统中安葬数据与火化数据之间的差异，为公墓管理提供精准数据分析，提供可靠的决策依据。</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5、省平台数据对接上报服务</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对接无锡市公益性和经营性公墓（骨灰堂）数据，全面接入省厅公墓管理平台。通过实现市级公墓数据的全覆盖，精准掌握公墓（骨灰堂）的数据底数，为殡葬服务提升提供坚实的技术保障。</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6、灵锡APP内服务上架对接</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将本项目的移动端应用上线灵锡小程序，为公墓管理员提供业务操作和墓园安葬统计查询功能，并为市级和区县管理人员提供公墓数据的查询和统计服务。</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7、公益性公墓数据治理及初始化入库服务</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涉及全市125家公益性公墓（骨灰堂）的公墓数据、安葬数据的数据治理。</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统一数据标准：制定统一的数据格式、字段标准和采集规范，确保所有公墓（骨灰堂）的数据收集口径、指标一致。</w:t>
      </w:r>
      <w:r>
        <w:rPr>
          <w:rFonts w:hint="eastAsia" w:ascii="宋体" w:hAnsi="宋体" w:cs="宋体"/>
          <w:sz w:val="24"/>
          <w:szCs w:val="24"/>
        </w:rPr>
      </w:r>
      <w:r/>
    </w:p>
    <w:p>
      <w:pPr>
        <w:pStyle w:val="883"/>
        <w:ind w:firstLine="480"/>
        <w:spacing w:line="360" w:lineRule="auto"/>
        <w:rPr>
          <w:rFonts w:hint="eastAsia" w:ascii="宋体" w:hAnsi="宋体" w:eastAsia="宋体" w:cs="宋体"/>
          <w:sz w:val="24"/>
          <w:szCs w:val="24"/>
        </w:rPr>
      </w:pPr>
      <w:r>
        <w:rPr>
          <w:rFonts w:hint="eastAsia" w:ascii="宋体" w:hAnsi="宋体" w:cs="宋体"/>
          <w:sz w:val="24"/>
          <w:szCs w:val="24"/>
        </w:rPr>
        <w:t xml:space="preserve">数据核验与更新：人工核验各家公墓上报的数据，筛查异常数据。实行数据更新</w:t>
      </w:r>
      <w:r>
        <w:rPr>
          <w:rFonts w:hint="eastAsia" w:ascii="宋体" w:hAnsi="宋体" w:eastAsia="宋体" w:cs="宋体"/>
          <w:sz w:val="24"/>
          <w:szCs w:val="24"/>
        </w:rPr>
        <w:t xml:space="preserve">机制，新旧数据文档比对验证数据的真实性。</w:t>
      </w:r>
      <w:r>
        <w:rPr>
          <w:rFonts w:hint="eastAsia" w:ascii="宋体" w:hAnsi="宋体" w:eastAsia="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（二）其他</w:t>
      </w:r>
      <w:r>
        <w:rPr>
          <w:rFonts w:hint="eastAsia" w:ascii="宋体" w:hAnsi="宋体" w:eastAsia="宋体" w:cs="宋体"/>
          <w:b/>
          <w:bCs/>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1、应急响应服务</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对本项目提供安全事件预警与通告、安全事件分析与处理、安全事件总结等服务，按需输出《应急响应报告》。</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2、应急演练服务</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依据有关网络安全应急预案，对本项目开展应急演练1次，输出《应急演练报告》。</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3、资产梳理服务</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建立本项目网络资产结构和网络资产清单，输出《网站安全资产梳理报告》。</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4、渗透测试服务</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对本项目提供渗透测试和渗透复测各1次，输出《渗透测试报告》、《渗透测试复测报告》。</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5、基线核查服务</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对本项目提供基线核查1次，输出《基线核查报告》。</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6、国密浏览器</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符合国家密码管理相关规范及国密标准，支持国密算法及国密SSL协议，兼容国产CPU、操作系统及CA证书；提供安装部署、适配调试、培训及售后技术支撑等服务。</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7、站点证书</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符合国家密码管理相关规范及国密标准，支持国密算法，兼容主流浏览器、服务器及现有信息系统。提供证书安装部署、状态查询、证书更新、故障应急及技术支持等服务，确保网站通信安全、可信、稳定运行，满足信息系统等保合规与数据安全要求。</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8、个人安全证书</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符合国家密码管理相关标准及国密规范，支持国密算法，兼容国密浏览器、客户端应用及业务系统，提供证书申请、制作、发放、更新、挂失、注销及技术支撑等全生命周期管理服务，满足数据安全及等保合规要求。</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（三）系统性能要求</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系统对用户操作的响应能力支持：</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1、单个简单对象的增、删、改、查操作的平均响应时间在2秒以内。</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2、批量对象的增、删、改、查操作的平均响应时间&lt;（对象个数*1s），平均响应时间在2秒以内；对于复杂的或数据量比较大的查询平均响应时间在3秒之间；数据下载时间平均在10秒-20秒之间。</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3、基本报表查询平均响应时间在3秒以内，复杂报表、大数据量报表或年度报表在5秒之内。 </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（四）绩效指标要求</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1、系统接入无锡全市公益性公墓125家，覆盖率达到100%；</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2、系统运行期全年无故障率：≥99%</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3、运营服务预警处置及时率：≥98%</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4、一般业务问题响应时间：≤2小时</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5、严重系统故障响应时间：≤15分钟</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6、一般业务问题解决时间：≤8小时</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7、严重系统故障解决时间：≤4小时</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8、全年重大安全事件发生次数：0</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9、业务可追溯率：≥95%</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10、数据标准化率：≥95%</w:t>
      </w:r>
      <w:r>
        <w:rPr>
          <w:rFonts w:hint="eastAsia" w:ascii="宋体" w:hAnsi="宋体" w:cs="宋体"/>
          <w:sz w:val="24"/>
          <w:szCs w:val="24"/>
        </w:rPr>
        <w:tab/>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11、民政部门满意度：≥98%。</w:t>
      </w:r>
      <w:r>
        <w:rPr>
          <w:rFonts w:hint="eastAsia" w:ascii="宋体" w:hAnsi="宋体" w:cs="宋体"/>
          <w:sz w:val="24"/>
          <w:szCs w:val="24"/>
        </w:rPr>
      </w:r>
      <w:r/>
    </w:p>
    <w:p>
      <w:pPr>
        <w:pStyle w:val="88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五、项目实施服务要求</w:t>
      </w:r>
      <w:r>
        <w:rPr>
          <w:rFonts w:hint="eastAsia" w:ascii="宋体" w:hAnsi="宋体" w:cs="宋体"/>
          <w:b/>
          <w:bCs/>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（一）组织实施要求</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中标方</w:t>
      </w:r>
      <w:r>
        <w:rPr>
          <w:rFonts w:hint="eastAsia" w:ascii="宋体" w:hAnsi="宋体" w:cs="宋体"/>
          <w:sz w:val="24"/>
          <w:szCs w:val="24"/>
        </w:rPr>
        <w:t xml:space="preserve">要有明晰的组织机构，项目实施人员齐全，岗位职责明确，在项目实施期间，积极配合采购人完成与其他项目的应用对接，提供相关工作内容的技术支持。系统运行期间，当系统出现故障时，工程师要迅速进行诊断，解决软、硬件问题。</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2、在项目实施过程中，中标方项目实施负责人必须参加由采购人召开的项目推进会，定期向采购人汇报工作进度、问题及下阶段工作计划，确保按时完成项目工作。</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3、在系统开发、调试、运行使用过程中，中标方必须严守保密规定，确保信息数据的安全性，维护采购人合法权益。未经同意，不得将采购人信息数据向任何无关单位和个人提供和泄露，必须有严格的数据保密措施，如因操作不当导致数据泄密应追究相应法律责任。</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4、执行有关项目建设的国家法律法规、规范、标准和制度，履行合同规定的义务和职责；遵守国家的法律和政府的有关条例、规定和办法等。</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val="en-US" w:eastAsia="zh-CN"/>
        </w:rPr>
        <w:t xml:space="preserve">中标方</w:t>
      </w:r>
      <w:r>
        <w:rPr>
          <w:rFonts w:hint="eastAsia" w:ascii="宋体" w:hAnsi="宋体" w:cs="宋体"/>
          <w:sz w:val="24"/>
          <w:szCs w:val="24"/>
        </w:rPr>
        <w:t xml:space="preserve">须按要求提供项目成果资料，应根据信息化项目档案管理和验收要求，及时、全面、保质提供相关资料（包括但不限于涉及系统开发、项目管理、实施等文件、会议记录、台账等）。</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（二）售后服务要求</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1、提供全方位、及时而有效的技术支持和服务。</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中标方</w:t>
      </w:r>
      <w:r>
        <w:rPr>
          <w:rFonts w:hint="eastAsia" w:ascii="宋体" w:hAnsi="宋体" w:cs="宋体"/>
          <w:sz w:val="24"/>
          <w:szCs w:val="24"/>
        </w:rPr>
        <w:t xml:space="preserve">负责对整个系统自竣工验收合格之日起提供三年免费质保服务。售后服务内容包含如下内容：</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①软件升级、维护：为软件正常运行做免费维护期内的必要升级工作，为用户及时解决日常运行中出现的问题。在维护服务期内，如</w:t>
      </w:r>
      <w:r>
        <w:rPr>
          <w:rFonts w:hint="eastAsia" w:ascii="宋体" w:hAnsi="宋体" w:cs="宋体"/>
          <w:sz w:val="24"/>
          <w:szCs w:val="24"/>
          <w:lang w:val="en-US" w:eastAsia="zh-CN"/>
        </w:rPr>
        <w:t xml:space="preserve">中标方</w:t>
      </w:r>
      <w:r>
        <w:rPr>
          <w:rFonts w:hint="eastAsia" w:ascii="宋体" w:hAnsi="宋体" w:cs="宋体"/>
          <w:sz w:val="24"/>
          <w:szCs w:val="24"/>
        </w:rPr>
        <w:t xml:space="preserve">提供的软件有升级，</w:t>
      </w:r>
      <w:r>
        <w:rPr>
          <w:rFonts w:hint="eastAsia" w:ascii="宋体" w:hAnsi="宋体" w:cs="宋体"/>
          <w:sz w:val="24"/>
          <w:szCs w:val="24"/>
          <w:lang w:val="en-US" w:eastAsia="zh-CN"/>
        </w:rPr>
        <w:t xml:space="preserve">中标方</w:t>
      </w:r>
      <w:r>
        <w:rPr>
          <w:rFonts w:hint="eastAsia" w:ascii="宋体" w:hAnsi="宋体" w:cs="宋体"/>
          <w:sz w:val="24"/>
          <w:szCs w:val="24"/>
        </w:rPr>
        <w:t xml:space="preserve">应免费向采购人提供相应的升级服务；如发现软件系统有漏洞（包括在系统验收合格后发现的），</w:t>
      </w:r>
      <w:r>
        <w:rPr>
          <w:rFonts w:hint="eastAsia" w:ascii="宋体" w:hAnsi="宋体" w:cs="宋体"/>
          <w:sz w:val="24"/>
          <w:szCs w:val="24"/>
          <w:lang w:val="en-US" w:eastAsia="zh-CN"/>
        </w:rPr>
        <w:t xml:space="preserve">中标方</w:t>
      </w:r>
      <w:r>
        <w:rPr>
          <w:rFonts w:hint="eastAsia" w:ascii="宋体" w:hAnsi="宋体" w:cs="宋体"/>
          <w:sz w:val="24"/>
          <w:szCs w:val="24"/>
        </w:rPr>
        <w:t xml:space="preserve">应免费提供补丁，并完成升级。</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②现场诊断与客户回访：对诊断发现的问题跟踪解决。</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3、服务响应要求：</w:t>
      </w:r>
      <w:r>
        <w:rPr>
          <w:rFonts w:hint="eastAsia" w:ascii="宋体" w:hAnsi="宋体" w:cs="宋体"/>
          <w:sz w:val="24"/>
          <w:szCs w:val="24"/>
        </w:rPr>
        <w:t xml:space="preserve">在质保期内,</w:t>
      </w:r>
      <w:r>
        <w:rPr>
          <w:rFonts w:hint="eastAsia" w:ascii="宋体" w:hAnsi="宋体" w:cs="宋体"/>
          <w:sz w:val="24"/>
          <w:szCs w:val="24"/>
          <w:lang w:val="en-US" w:eastAsia="zh-CN"/>
        </w:rPr>
        <w:t xml:space="preserve">中标方应提供</w:t>
      </w:r>
      <w:r>
        <w:rPr>
          <w:rFonts w:hint="eastAsia" w:ascii="宋体" w:hAnsi="宋体" w:cs="宋体"/>
          <w:sz w:val="24"/>
          <w:szCs w:val="24"/>
        </w:rPr>
        <w:t xml:space="preserve">7×24小时电话、远程响应及现场服务响应，</w:t>
      </w:r>
      <w:r>
        <w:rPr>
          <w:rFonts w:hint="eastAsia" w:ascii="宋体" w:hAnsi="宋体" w:cs="宋体"/>
          <w:sz w:val="24"/>
          <w:szCs w:val="24"/>
        </w:rPr>
        <w:t xml:space="preserve">系统出现故障时，</w:t>
      </w:r>
      <w:r>
        <w:rPr>
          <w:rFonts w:hint="eastAsia" w:ascii="宋体" w:hAnsi="宋体" w:cs="宋体"/>
          <w:sz w:val="24"/>
          <w:szCs w:val="24"/>
        </w:rPr>
        <w:t xml:space="preserve">0.5小时内做出明确响应安排，4小时内排除故障或采用应急替代方案</w:t>
      </w:r>
      <w:r>
        <w:rPr>
          <w:rFonts w:hint="eastAsia" w:ascii="宋体" w:hAnsi="宋体" w:cs="宋体"/>
          <w:sz w:val="24"/>
          <w:szCs w:val="24"/>
        </w:rPr>
        <w:t xml:space="preserve">，出现系统崩溃、安全缺陷等重大问题时,48小时内必须处理完毕并给出书面情况说明和建议</w:t>
      </w:r>
      <w:r>
        <w:rPr>
          <w:rFonts w:hint="eastAsia" w:ascii="宋体" w:hAnsi="宋体" w:cs="宋体"/>
          <w:sz w:val="24"/>
          <w:szCs w:val="24"/>
        </w:rPr>
        <w:t xml:space="preserve">。在远程支持难以满足服务要求需现场服务的，具有解决故障能力的工程师应在2小时内到达现场。</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中标人应定期征求采购人的意见，反馈采购人的建议，对客户系统运行提供合理化建议。</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（三）培训服务要求</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提供完善的系统使用培训服务，包括对系统管理人员、系统使用人员、系统维护人员等进行必要的使用培训。</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1、应按要求分别列出系统正常运行、管理和使用所需要的培训，包括但不限于：培训内容；培训方式；培训次数；培训讲师安排；培训时间安排等。</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2、培训材料应采用中文撰写，培训的人数、时间、地点应根据采购人的实际情况确定。应提供系统操作手册。</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3、培训采用集中培训与现场操作指导相结合的方式进行。</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（四）运维要求</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为便于平台的推广使用,</w:t>
      </w:r>
      <w:r>
        <w:rPr>
          <w:rFonts w:hint="eastAsia" w:ascii="宋体" w:hAnsi="宋体" w:cs="宋体"/>
          <w:sz w:val="24"/>
          <w:szCs w:val="24"/>
          <w:lang w:val="en-US" w:eastAsia="zh-CN"/>
        </w:rPr>
        <w:t xml:space="preserve">中标方</w:t>
      </w:r>
      <w:r>
        <w:rPr>
          <w:rFonts w:hint="eastAsia" w:ascii="宋体" w:hAnsi="宋体" w:cs="宋体"/>
          <w:sz w:val="24"/>
          <w:szCs w:val="24"/>
        </w:rPr>
        <w:t xml:space="preserve">应免费制作电子或纸质的用户使用手册。</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自系统交付使用后,须指定专门运维人员，进行系统日常维护并随时响应采购人维护需求，如发布系统存在缺陷和漏洞的,须对相关问题提供免费技术维护和升级服务。</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（五）知识产权要求</w:t>
      </w:r>
      <w:r>
        <w:rPr>
          <w:rFonts w:hint="eastAsia" w:ascii="宋体" w:hAnsi="宋体" w:eastAsia="宋体" w:cs="宋体"/>
          <w:b/>
          <w:b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中标方</w:t>
      </w:r>
      <w:r>
        <w:rPr>
          <w:rFonts w:hint="eastAsia" w:ascii="宋体" w:hAnsi="宋体" w:cs="宋体"/>
          <w:sz w:val="24"/>
          <w:szCs w:val="24"/>
        </w:rPr>
        <w:t xml:space="preserve">应保证采购人在使用本项目软件、服务及其任何部分时不受到第三方关于侵犯专利权、商标权或软件著作权等知识产权的指控。任何第三方如果提出侵权指控，投标人应承担可能发生的一切法律责任和费用。</w:t>
      </w:r>
      <w:r>
        <w:rPr>
          <w:rFonts w:hint="eastAsia" w:ascii="宋体" w:hAnsi="宋体" w:cs="宋体"/>
          <w:sz w:val="24"/>
          <w:szCs w:val="24"/>
        </w:rPr>
      </w:r>
      <w:r/>
    </w:p>
    <w:p>
      <w:pPr>
        <w:pStyle w:val="883"/>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（六）工期要求</w:t>
      </w:r>
      <w:r>
        <w:rPr>
          <w:rFonts w:hint="eastAsia" w:ascii="宋体" w:hAnsi="宋体" w:eastAsia="宋体" w:cs="宋体"/>
          <w:b/>
          <w:bCs/>
          <w:sz w:val="24"/>
          <w:szCs w:val="24"/>
        </w:rPr>
      </w:r>
      <w:r/>
    </w:p>
    <w:p>
      <w:pPr>
        <w:pStyle w:val="883"/>
        <w:ind w:firstLine="480"/>
        <w:spacing w:line="360" w:lineRule="auto"/>
        <w:rPr>
          <w:rFonts w:hint="eastAsia" w:ascii="宋体"/>
          <w:bCs/>
          <w:sz w:val="24"/>
          <w:szCs w:val="24"/>
        </w:rPr>
      </w:pPr>
      <w:r>
        <w:rPr>
          <w:rFonts w:hint="eastAsia" w:ascii="宋体"/>
          <w:bCs/>
          <w:sz w:val="24"/>
          <w:szCs w:val="24"/>
        </w:rPr>
        <w:t xml:space="preserve">项目合同签订生效后，</w:t>
      </w:r>
      <w:r>
        <w:rPr>
          <w:rFonts w:hint="eastAsia" w:ascii="宋体" w:eastAsia="宋体"/>
          <w:bCs/>
          <w:sz w:val="24"/>
          <w:szCs w:val="24"/>
          <w:lang w:val="en-US" w:eastAsia="zh-CN"/>
        </w:rPr>
        <w:t xml:space="preserve">7</w:t>
      </w:r>
      <w:r>
        <w:rPr>
          <w:rFonts w:hint="eastAsia" w:ascii="宋体"/>
          <w:bCs/>
          <w:sz w:val="24"/>
          <w:szCs w:val="24"/>
        </w:rPr>
        <w:t xml:space="preserve">个月内完成项目建设（包含试运行3个月）。</w:t>
      </w:r>
      <w:r>
        <w:rPr>
          <w:rFonts w:hint="eastAsia" w:ascii="宋体"/>
          <w:bCs/>
          <w:sz w:val="24"/>
          <w:szCs w:val="24"/>
        </w:rPr>
      </w:r>
      <w:r/>
    </w:p>
    <w:p>
      <w:pPr>
        <w:pStyle w:val="883"/>
        <w:ind w:firstLine="48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eastAsia="zh-CN"/>
        </w:rPr>
        <w:t xml:space="preserve">）履约验收要求</w:t>
      </w:r>
      <w:r>
        <w:rPr>
          <w:rFonts w:hint="eastAsia" w:ascii="宋体" w:hAnsi="宋体" w:eastAsia="宋体" w:cs="宋体"/>
          <w:b/>
          <w:bCs/>
          <w:sz w:val="24"/>
          <w:szCs w:val="24"/>
          <w:lang w:eastAsia="zh-CN"/>
        </w:rPr>
      </w:r>
      <w:r/>
    </w:p>
    <w:p>
      <w:pPr>
        <w:pStyle w:val="883"/>
        <w:ind w:firstLine="480"/>
        <w:spacing w:line="360" w:lineRule="auto"/>
        <w:rPr>
          <w:rFonts w:hint="eastAsia" w:ascii="宋体"/>
          <w:bCs/>
          <w:sz w:val="24"/>
          <w:szCs w:val="24"/>
        </w:rPr>
      </w:pPr>
      <w:r>
        <w:rPr>
          <w:rFonts w:hint="eastAsia" w:ascii="宋体"/>
          <w:bCs/>
          <w:sz w:val="24"/>
          <w:szCs w:val="24"/>
        </w:rPr>
        <w:t xml:space="preserve">履约验收主体：无锡市殡葬服务中心</w:t>
      </w:r>
      <w:r>
        <w:rPr>
          <w:rFonts w:hint="eastAsia" w:ascii="宋体"/>
          <w:bCs/>
          <w:sz w:val="24"/>
          <w:szCs w:val="24"/>
        </w:rPr>
      </w:r>
      <w:r/>
    </w:p>
    <w:p>
      <w:pPr>
        <w:pStyle w:val="883"/>
        <w:ind w:firstLine="480"/>
        <w:spacing w:line="360" w:lineRule="auto"/>
        <w:rPr>
          <w:rFonts w:ascii="宋体" w:eastAsia="宋体"/>
          <w:bCs/>
          <w:sz w:val="24"/>
          <w:szCs w:val="24"/>
          <w:lang w:val="en-US" w:eastAsia="zh-CN"/>
        </w:rPr>
      </w:pPr>
      <w:r>
        <w:rPr>
          <w:rFonts w:hint="eastAsia" w:ascii="宋体"/>
          <w:bCs/>
          <w:sz w:val="24"/>
          <w:szCs w:val="24"/>
        </w:rPr>
        <w:t xml:space="preserve">履约验收时间：</w:t>
      </w:r>
      <w:r>
        <w:rPr>
          <w:rFonts w:hint="eastAsia" w:ascii="宋体"/>
          <w:bCs/>
          <w:sz w:val="24"/>
          <w:szCs w:val="24"/>
          <w:lang w:val="en-US" w:eastAsia="zh-CN"/>
        </w:rPr>
        <w:t xml:space="preserve">初验：在</w:t>
      </w:r>
      <w:r>
        <w:rPr>
          <w:rFonts w:hint="eastAsia" w:ascii="宋体"/>
          <w:bCs/>
          <w:sz w:val="24"/>
          <w:szCs w:val="24"/>
        </w:rPr>
        <w:t xml:space="preserve">项目合同签订生效后4个月内</w:t>
      </w:r>
      <w:r>
        <w:rPr>
          <w:rFonts w:hint="eastAsia" w:ascii="宋体"/>
          <w:bCs/>
          <w:sz w:val="24"/>
          <w:szCs w:val="24"/>
          <w:lang w:val="en-US" w:eastAsia="zh-CN"/>
        </w:rPr>
        <w:t xml:space="preserve">进行；终验:</w:t>
      </w:r>
      <w:r>
        <w:rPr>
          <w:rFonts w:hint="eastAsia" w:ascii="宋体"/>
          <w:bCs/>
          <w:sz w:val="24"/>
          <w:szCs w:val="24"/>
        </w:rPr>
        <w:t xml:space="preserve">试运行3个月</w:t>
      </w:r>
      <w:r>
        <w:rPr>
          <w:rFonts w:hint="eastAsia" w:ascii="宋体"/>
          <w:bCs/>
          <w:sz w:val="24"/>
          <w:szCs w:val="24"/>
          <w:lang w:val="en-US" w:eastAsia="zh-CN"/>
        </w:rPr>
        <w:t xml:space="preserve">后进行。</w:t>
      </w:r>
      <w:r>
        <w:rPr>
          <w:rFonts w:ascii="宋体" w:eastAsia="宋体"/>
          <w:bCs/>
          <w:sz w:val="24"/>
          <w:szCs w:val="24"/>
          <w:lang w:val="en-US" w:eastAsia="zh-CN"/>
        </w:rPr>
      </w:r>
      <w:r/>
    </w:p>
    <w:p>
      <w:pPr>
        <w:pStyle w:val="883"/>
        <w:ind w:firstLine="480"/>
        <w:spacing w:line="360" w:lineRule="auto"/>
        <w:rPr>
          <w:rFonts w:hint="eastAsia" w:ascii="宋体"/>
          <w:bCs/>
          <w:sz w:val="24"/>
          <w:szCs w:val="24"/>
        </w:rPr>
      </w:pPr>
      <w:r>
        <w:rPr>
          <w:rFonts w:hint="eastAsia" w:ascii="宋体"/>
          <w:bCs/>
          <w:sz w:val="24"/>
          <w:szCs w:val="24"/>
        </w:rPr>
        <w:t xml:space="preserve">履约验收方式：分期验收，项目完工后开展初验，初验通过后试运行3个月，试运行结束后组织竣工终验。</w:t>
      </w:r>
      <w:r>
        <w:rPr>
          <w:rFonts w:hint="eastAsia" w:ascii="宋体"/>
          <w:bCs/>
          <w:sz w:val="24"/>
          <w:szCs w:val="24"/>
        </w:rPr>
      </w:r>
      <w:r/>
    </w:p>
    <w:p>
      <w:pPr>
        <w:pStyle w:val="883"/>
        <w:ind w:firstLine="480"/>
        <w:spacing w:line="360" w:lineRule="auto"/>
        <w:rPr>
          <w:rFonts w:hint="eastAsia" w:ascii="宋体" w:eastAsia="宋体" w:cs="Times New Roman"/>
          <w:bCs/>
          <w:sz w:val="24"/>
          <w:szCs w:val="24"/>
          <w:lang w:eastAsia="zh-CN"/>
        </w:rPr>
      </w:pPr>
      <w:r>
        <w:rPr>
          <w:rFonts w:hint="eastAsia" w:ascii="宋体" w:eastAsia="宋体" w:cs="Times New Roman"/>
          <w:bCs/>
          <w:sz w:val="24"/>
          <w:szCs w:val="24"/>
        </w:rPr>
        <w:t xml:space="preserve">履约验收程序：采购方邀请第三方专家，成立验收小组，按照采购合同的约定对乙方的履约情况进行验收</w:t>
      </w:r>
      <w:r>
        <w:rPr>
          <w:rFonts w:hint="eastAsia" w:ascii="宋体" w:eastAsia="宋体" w:cs="Times New Roman"/>
          <w:bCs/>
          <w:sz w:val="24"/>
          <w:szCs w:val="24"/>
          <w:lang w:eastAsia="zh-CN"/>
        </w:rPr>
        <w:t xml:space="preserve">。</w:t>
      </w:r>
      <w:r>
        <w:rPr>
          <w:rFonts w:hint="eastAsia" w:ascii="宋体" w:eastAsia="宋体" w:cs="Times New Roman"/>
          <w:bCs/>
          <w:sz w:val="24"/>
          <w:szCs w:val="24"/>
          <w:lang w:eastAsia="zh-CN"/>
        </w:rPr>
      </w:r>
      <w:r/>
    </w:p>
    <w:p>
      <w:pPr>
        <w:pStyle w:val="883"/>
        <w:ind w:firstLine="480"/>
        <w:spacing w:line="360" w:lineRule="auto"/>
        <w:rPr>
          <w:rFonts w:ascii="宋体" w:hAnsi="宋体"/>
          <w:b/>
          <w:color w:val="000000"/>
          <w:sz w:val="30"/>
          <w:szCs w:val="30"/>
        </w:rPr>
      </w:pPr>
      <w:r>
        <w:rPr>
          <w:rFonts w:hint="eastAsia" w:ascii="宋体" w:eastAsia="宋体" w:cs="Times New Roman"/>
          <w:bCs/>
          <w:sz w:val="24"/>
          <w:szCs w:val="24"/>
        </w:rPr>
        <w:t xml:space="preserve">履约验收内容和标准：验收时，采购方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宋体" w:eastAsia="宋体" w:cs="Times New Roman"/>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hint="eastAsia" w:ascii="宋体"/>
          <w:bCs/>
          <w:color w:val="000000"/>
          <w:sz w:val="24"/>
          <w:szCs w:val="24"/>
        </w:rPr>
        <w:t xml:space="preserve">进口产品是指通过中国海关报关验放进入中国境内且产自关境外的产品。</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/完工期：项目合同签订生效后，7个月内完成项目建设（包含试运行3个月）。</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项目整体质保期：自竣工验收合格之日起</w:t>
      </w:r>
      <w:r>
        <w:rPr>
          <w:rFonts w:hint="eastAsia" w:ascii="宋体"/>
          <w:bCs/>
          <w:color w:val="000000"/>
          <w:sz w:val="24"/>
          <w:szCs w:val="24"/>
          <w:lang w:val="en-US" w:eastAsia="zh-CN"/>
        </w:rPr>
        <w:t xml:space="preserve">三年。</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szCs w:val="24"/>
        </w:rPr>
        <w:t xml:space="preserve">付款方式：合同签约生效后支付合同金额的30%,初验通过后支付至合同金额的70%，终验通过后支付至合同金额的100%。</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本项目合同履行地点：无锡市滨湖区钱荣路183号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具体地点以合同书约定为准。中标方必须按采购人要求将本项目中货物送到指定地点（包括可能的分布范围），并分地实施安装调试。</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2"/>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2"/>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2"/>
        <w:spacing w:before="0" w:after="0" w:line="500" w:lineRule="exact"/>
        <w:rPr>
          <w:rFonts w:hint="eastAsia" w:cs="Arial"/>
        </w:rPr>
      </w:pPr>
      <w:r>
        <w:rPr>
          <w:rFonts w:hint="eastAsia" w:cs="Arial"/>
        </w:rPr>
        <w:t xml:space="preserve">比较与评价采用综合评分法。</w:t>
      </w:r>
      <w:r>
        <w:rPr>
          <w:rFonts w:hint="eastAsia" w:cs="Arial"/>
        </w:rPr>
      </w:r>
      <w:r/>
    </w:p>
    <w:p>
      <w:pPr>
        <w:pStyle w:val="972"/>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72"/>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2"/>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2"/>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3"/>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sz w:val="24"/>
          <w:szCs w:val="24"/>
        </w:rPr>
        <w:t xml:space="preserve">201</w:t>
      </w:r>
      <w:r>
        <w:rPr>
          <w:rFonts w:hint="eastAsia" w:ascii="宋体" w:hAnsi="宋体"/>
          <w:bCs/>
          <w:sz w:val="24"/>
          <w:szCs w:val="24"/>
        </w:rPr>
        <w:t xml:space="preserve">4〕68号）的规定提供由省级以上监狱管理局、戒毒管理局（含新疆生产建设兵团）出具的属于监狱企业的证明文件复印件。</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rPr>
          <w:rFonts w:hint="eastAsia" w:ascii="宋体" w:hAnsi="宋体"/>
          <w:bCs/>
          <w:color w:val="000000"/>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3"/>
        <w:ind w:firstLine="480"/>
        <w:jc w:val="left"/>
        <w:spacing w:line="500" w:lineRule="exact"/>
        <w:rPr>
          <w:rFonts w:hint="eastAsia"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hint="eastAsia" w:ascii="宋体" w:hAnsi="宋体"/>
          <w:bCs/>
          <w:sz w:val="24"/>
          <w:szCs w:val="24"/>
        </w:rPr>
      </w:r>
      <w:r/>
    </w:p>
    <w:p>
      <w:pPr>
        <w:pStyle w:val="972"/>
        <w:ind w:firstLine="360"/>
        <w:spacing w:before="0" w:after="0" w:line="500" w:lineRule="exact"/>
        <w:rPr>
          <w:rFonts w:hint="eastAsia" w:ascii="宋体" w:hAnsi="宋体"/>
          <w:shd w:val="clear" w:color="ffffff" w:fill="d9d9d9"/>
        </w:rPr>
      </w:pPr>
      <w: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color w:val="000000"/>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7</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
          <w:bCs w:val="0"/>
          <w:color w:val="000000"/>
          <w:sz w:val="24"/>
          <w:szCs w:val="24"/>
          <w:lang w:val="en-US" w:eastAsia="zh-CN"/>
        </w:rPr>
        <w:t xml:space="preserve">以下岗位人员不得兼任。</w:t>
      </w:r>
      <w:r>
        <w:rPr>
          <w:rFonts w:ascii="宋体" w:hAnsi="宋体"/>
          <w:b/>
          <w:bCs/>
          <w:color w:val="000000"/>
          <w:sz w:val="24"/>
          <w:szCs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2.1 </w:t>
      </w:r>
      <w:r>
        <w:rPr>
          <w:rFonts w:hint="eastAsia" w:ascii="宋体" w:hAnsi="宋体"/>
          <w:color w:val="000000"/>
          <w:sz w:val="24"/>
        </w:rPr>
        <w:t xml:space="preserve">项目负责人</w:t>
      </w:r>
      <w:r>
        <w:rPr>
          <w:rFonts w:hint="eastAsia" w:ascii="宋体" w:hAnsi="宋体"/>
          <w:color w:val="000000"/>
          <w:sz w:val="24"/>
          <w:lang w:eastAsia="zh-CN"/>
        </w:rPr>
        <w:t xml:space="preserve">（</w:t>
      </w:r>
      <w:r>
        <w:rPr>
          <w:rFonts w:hint="eastAsia" w:ascii="宋体" w:hAnsi="宋体"/>
          <w:color w:val="000000"/>
          <w:sz w:val="24"/>
          <w:lang w:val="en-US" w:eastAsia="zh-CN"/>
        </w:rPr>
        <w:t xml:space="preserve">4分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投标人</w:t>
      </w:r>
      <w:r>
        <w:rPr>
          <w:rFonts w:hint="eastAsia" w:ascii="宋体" w:hAnsi="宋体"/>
          <w:color w:val="000000"/>
          <w:sz w:val="24"/>
        </w:rPr>
        <w:t xml:space="preserve">为本项目配备项目负责人一名，该负责人具有信息系统集成管理（高级）证书的得1分，</w:t>
      </w:r>
      <w:r>
        <w:rPr>
          <w:rFonts w:hint="eastAsia" w:ascii="宋体" w:hAnsi="宋体"/>
          <w:color w:val="000000"/>
          <w:sz w:val="24"/>
          <w:lang w:val="en-US" w:eastAsia="zh-CN"/>
        </w:rPr>
        <w:t xml:space="preserve">具有</w:t>
      </w:r>
      <w:r>
        <w:rPr>
          <w:rFonts w:hint="eastAsia" w:ascii="宋体" w:hAnsi="宋体"/>
          <w:color w:val="000000"/>
          <w:sz w:val="24"/>
        </w:rPr>
        <w:t xml:space="preserve">密码技术应用员四级（中级）及以上证书的得1分，</w:t>
      </w:r>
      <w:r>
        <w:rPr>
          <w:rFonts w:hint="eastAsia" w:ascii="宋体" w:hAnsi="宋体"/>
          <w:color w:val="000000"/>
          <w:sz w:val="24"/>
          <w:lang w:val="en-US" w:eastAsia="zh-CN"/>
        </w:rPr>
        <w:t xml:space="preserve">具有</w:t>
      </w:r>
      <w:r>
        <w:rPr>
          <w:rFonts w:hint="eastAsia" w:ascii="宋体" w:hAnsi="宋体"/>
          <w:color w:val="000000"/>
          <w:sz w:val="24"/>
        </w:rPr>
        <w:t xml:space="preserve">软件测试工程师(高级)的得1分，具有CISP注册信息安全管理人员证书的得1分，本项最多得4分。须提供相应有效证书扫描件</w:t>
      </w:r>
      <w:r>
        <w:rPr>
          <w:rFonts w:hint="eastAsia" w:ascii="宋体" w:hAnsi="宋体"/>
          <w:color w:val="000000"/>
          <w:sz w:val="24"/>
          <w:lang w:val="en-US" w:eastAsia="zh-CN"/>
        </w:rPr>
        <w:t xml:space="preserve">，否则不得分</w:t>
      </w:r>
      <w:r>
        <w:rPr>
          <w:rFonts w:hint="eastAsia" w:ascii="宋体" w:hAnsi="宋体"/>
          <w:color w:val="000000"/>
          <w:sz w:val="24"/>
        </w:rPr>
        <w:t xml:space="preserve">。</w:t>
      </w:r>
      <w:r>
        <w:rPr>
          <w:rFonts w:hint="eastAsia" w:ascii="宋体" w:hAnsi="宋体"/>
          <w:color w:val="000000"/>
          <w:sz w:val="24"/>
        </w:rPr>
      </w:r>
      <w:r/>
    </w:p>
    <w:p>
      <w:pPr>
        <w:pStyle w:val="883"/>
        <w:ind w:firstLine="480"/>
        <w:spacing w:line="500" w:lineRule="exact"/>
        <w:rPr>
          <w:rFonts w:ascii="宋体" w:hAnsi="宋体" w:eastAsia="宋体"/>
          <w:color w:val="000000"/>
          <w:sz w:val="24"/>
          <w:lang w:val="en-US" w:eastAsia="zh-CN"/>
        </w:rPr>
      </w:pPr>
      <w:r>
        <w:rPr>
          <w:rFonts w:hint="eastAsia" w:ascii="宋体" w:hAnsi="宋体"/>
          <w:color w:val="000000"/>
          <w:sz w:val="24"/>
          <w:lang w:val="en-US" w:eastAsia="zh-CN"/>
        </w:rPr>
        <w:t xml:space="preserve">2.2 技术负责人（3分）：投标人为本项目配备技术负责人一名，技术负责人具有互联网与信息系统（高级工程师）的得1分；具有系统架构设计师（高级）证书的得1分；具有系统开发工程师(高级)的得1分；本项最多得3分。须提供相关证书扫描件，否则不得分。</w:t>
      </w:r>
      <w:r>
        <w:rPr>
          <w:rFonts w:ascii="宋体" w:hAnsi="宋体" w:eastAsia="宋体"/>
          <w:color w:val="000000"/>
          <w:sz w:val="24"/>
          <w:lang w:val="en-US" w:eastAsia="zh-CN"/>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8</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3.1 业绩（</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val="en-US" w:eastAsia="zh-CN"/>
        </w:rPr>
        <w:t xml:space="preserve">投标人</w:t>
      </w:r>
      <w:r>
        <w:rPr>
          <w:rFonts w:hint="eastAsia" w:ascii="宋体" w:hAnsi="宋体"/>
          <w:color w:val="000000"/>
          <w:sz w:val="24"/>
        </w:rPr>
        <w:t xml:space="preserve">自20</w:t>
      </w:r>
      <w:r>
        <w:rPr>
          <w:rFonts w:hint="eastAsia" w:ascii="宋体" w:hAnsi="宋体"/>
          <w:color w:val="000000"/>
          <w:sz w:val="24"/>
          <w:lang w:val="en-US" w:eastAsia="zh-CN"/>
        </w:rPr>
        <w:t xml:space="preserve">23</w:t>
      </w:r>
      <w:r>
        <w:rPr>
          <w:rFonts w:hint="eastAsia" w:ascii="宋体" w:hAnsi="宋体"/>
          <w:color w:val="000000"/>
          <w:sz w:val="24"/>
        </w:rPr>
        <w:t xml:space="preserve">年1月1日以来</w:t>
      </w:r>
      <w:r>
        <w:rPr>
          <w:rFonts w:hint="eastAsia" w:ascii="宋体" w:hAnsi="宋体"/>
          <w:color w:val="000000"/>
          <w:sz w:val="24"/>
          <w:lang w:eastAsia="zh-CN"/>
        </w:rPr>
        <w:t xml:space="preserve">（</w:t>
      </w:r>
      <w:r>
        <w:rPr>
          <w:rFonts w:hint="eastAsia" w:ascii="宋体" w:hAnsi="宋体"/>
          <w:color w:val="000000"/>
          <w:sz w:val="24"/>
        </w:rPr>
        <w:t xml:space="preserve">以合同签订时间为准</w:t>
      </w:r>
      <w:r>
        <w:rPr>
          <w:rFonts w:hint="eastAsia" w:ascii="宋体" w:hAnsi="宋体"/>
          <w:color w:val="000000"/>
          <w:sz w:val="24"/>
          <w:lang w:eastAsia="zh-CN"/>
        </w:rPr>
        <w:t xml:space="preserve">）</w:t>
      </w:r>
      <w:r>
        <w:rPr>
          <w:rFonts w:hint="eastAsia" w:ascii="宋体" w:hAnsi="宋体"/>
          <w:color w:val="000000"/>
          <w:sz w:val="24"/>
        </w:rPr>
        <w:t xml:space="preserve">与本项目需求</w:t>
      </w:r>
      <w:r>
        <w:rPr>
          <w:rFonts w:hint="eastAsia" w:ascii="宋体" w:hAnsi="宋体"/>
          <w:color w:val="000000"/>
          <w:sz w:val="24"/>
          <w:lang w:val="en-US" w:eastAsia="zh-CN"/>
        </w:rPr>
        <w:t xml:space="preserve">类似</w:t>
      </w:r>
      <w:r>
        <w:rPr>
          <w:rFonts w:hint="eastAsia" w:ascii="宋体" w:hAnsi="宋体"/>
          <w:color w:val="000000"/>
          <w:sz w:val="24"/>
        </w:rPr>
        <w:t xml:space="preserve">的项目业绩，</w:t>
      </w:r>
      <w:r>
        <w:rPr>
          <w:rFonts w:hint="eastAsia" w:ascii="宋体" w:hAnsi="宋体"/>
          <w:color w:val="000000"/>
          <w:sz w:val="24"/>
        </w:rPr>
        <w:t xml:space="preserve">有一个得</w:t>
      </w:r>
      <w:r>
        <w:rPr>
          <w:rFonts w:hint="eastAsia" w:ascii="宋体" w:hAnsi="宋体"/>
          <w:color w:val="000000"/>
          <w:sz w:val="24"/>
          <w:lang w:val="en-US" w:eastAsia="zh-CN"/>
        </w:rPr>
        <w:t xml:space="preserve">1</w:t>
      </w:r>
      <w:r>
        <w:rPr>
          <w:rFonts w:hint="eastAsia" w:ascii="宋体" w:hAnsi="宋体"/>
          <w:color w:val="000000"/>
          <w:sz w:val="24"/>
        </w:rPr>
        <w:t xml:space="preserve">分，最高得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val="en-US" w:eastAsia="zh-CN"/>
        </w:rPr>
        <w:t xml:space="preserve">须</w:t>
      </w:r>
      <w:r>
        <w:rPr>
          <w:rFonts w:hint="eastAsia" w:ascii="宋体" w:hAnsi="宋体"/>
          <w:color w:val="000000"/>
          <w:sz w:val="24"/>
        </w:rPr>
        <w:t xml:space="preserve">提供有效的合同</w:t>
      </w:r>
      <w:r>
        <w:rPr>
          <w:rFonts w:hint="eastAsia" w:ascii="宋体" w:hAnsi="宋体"/>
          <w:color w:val="000000"/>
          <w:sz w:val="24"/>
          <w:lang w:val="en-US" w:eastAsia="zh-CN"/>
        </w:rPr>
        <w:t xml:space="preserve">扫描件</w:t>
      </w:r>
      <w:r>
        <w:rPr>
          <w:rFonts w:hint="eastAsia" w:ascii="宋体" w:hAnsi="宋体"/>
          <w:color w:val="000000"/>
          <w:sz w:val="24"/>
        </w:rPr>
        <w:t xml:space="preserve">，不提供或未按要求提供不得分）</w:t>
      </w:r>
      <w:r>
        <w:rPr>
          <w:rFonts w:hint="eastAsia" w:ascii="宋体" w:hAnsi="宋体"/>
          <w:color w:val="000000"/>
          <w:sz w:val="24"/>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3.2 体系认证（3分）：</w:t>
      </w:r>
      <w:r>
        <w:rPr>
          <w:rFonts w:hint="eastAsia" w:ascii="宋体" w:hAnsi="宋体"/>
          <w:color w:val="000000"/>
          <w:sz w:val="24"/>
          <w:lang w:val="en-US" w:eastAsia="zh-CN"/>
        </w:rPr>
        <w:t xml:space="preserve">投标人</w:t>
      </w:r>
      <w:r>
        <w:rPr>
          <w:rFonts w:hint="eastAsia" w:ascii="宋体" w:hAnsi="宋体"/>
          <w:color w:val="000000"/>
          <w:sz w:val="24"/>
          <w:lang w:val="en-US" w:eastAsia="zh-CN"/>
        </w:rPr>
        <w:t xml:space="preserve">具备有效期内的信息安全管理体系认证证书、质量管理体系认证证书、培训管理体系认证证书的，每提供1个得1分，最高得3分。（投标文件中须提供相应证书扫描件，否则不得分）</w:t>
      </w:r>
      <w:r>
        <w:rPr>
          <w:rFonts w:hint="eastAsia" w:ascii="宋体" w:hAnsi="宋体"/>
          <w:color w:val="000000"/>
          <w:sz w:val="24"/>
          <w:lang w:val="en-US" w:eastAsia="zh-CN"/>
        </w:rPr>
      </w:r>
      <w:r/>
    </w:p>
    <w:p>
      <w:pPr>
        <w:pStyle w:val="883"/>
        <w:ind w:firstLine="480"/>
        <w:spacing w:line="500" w:lineRule="exact"/>
        <w:rPr>
          <w:rFonts w:ascii="宋体" w:hAnsi="宋体"/>
          <w:color w:val="000000"/>
          <w:sz w:val="24"/>
          <w:lang w:val="en-US" w:eastAsia="zh-CN"/>
        </w:rPr>
      </w:pPr>
      <w:r>
        <w:rPr>
          <w:rFonts w:hint="eastAsia" w:ascii="宋体" w:hAnsi="宋体"/>
          <w:color w:val="000000"/>
          <w:sz w:val="24"/>
          <w:lang w:val="en-US" w:eastAsia="zh-CN"/>
        </w:rPr>
        <w:t xml:space="preserve">3.3 </w:t>
      </w:r>
      <w:r>
        <w:rPr>
          <w:rFonts w:hint="eastAsia" w:ascii="宋体" w:hAnsi="宋体"/>
          <w:color w:val="000000"/>
          <w:sz w:val="24"/>
          <w:lang w:val="en-US" w:eastAsia="zh-CN"/>
        </w:rPr>
        <w:t xml:space="preserve">软件著作权证书（3分）：为实现公墓系统数据初始化治理等功能，</w:t>
      </w:r>
      <w:r>
        <w:rPr>
          <w:rFonts w:hint="eastAsia" w:ascii="宋体" w:hAnsi="宋体"/>
          <w:color w:val="000000"/>
          <w:sz w:val="24"/>
          <w:lang w:val="en-US" w:eastAsia="zh-CN"/>
        </w:rPr>
        <w:t xml:space="preserve">投标人具有“大数据的基层治理数仓”、“大数据情报收集及分析”、“大数据分析可视平台”相关类型的著作权证书，每提供1类得1分，最高得3分。</w:t>
      </w:r>
      <w:r>
        <w:rPr>
          <w:rFonts w:hint="eastAsia" w:ascii="宋体" w:hAnsi="宋体"/>
          <w:color w:val="000000"/>
          <w:sz w:val="24"/>
        </w:rPr>
        <w:t xml:space="preserve">著作权证书名称与上述所列有所不同，但实质内容相关或功能类同的，可视为等同</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投标时须提供相关</w:t>
      </w:r>
      <w:r>
        <w:rPr>
          <w:rFonts w:hint="eastAsia" w:ascii="宋体" w:hAnsi="宋体"/>
          <w:color w:val="000000"/>
          <w:sz w:val="24"/>
        </w:rPr>
        <w:t xml:space="preserve">证书扫描件</w:t>
      </w:r>
      <w:r>
        <w:rPr>
          <w:rFonts w:hint="eastAsia" w:ascii="宋体" w:hAnsi="宋体"/>
          <w:color w:val="000000"/>
          <w:sz w:val="24"/>
          <w:lang w:val="en-US" w:eastAsia="zh-CN"/>
        </w:rPr>
        <w:t xml:space="preserve">，不提供或提供不符合要求均不得分。</w:t>
      </w:r>
      <w:r>
        <w:rPr>
          <w:rFonts w:ascii="宋体" w:hAnsi="宋体"/>
          <w:color w:val="000000"/>
          <w:sz w:val="24"/>
          <w:lang w:val="en-US" w:eastAsia="zh-CN"/>
        </w:rPr>
      </w:r>
      <w:r/>
    </w:p>
    <w:p>
      <w:pPr>
        <w:pStyle w:val="883"/>
        <w:numPr>
          <w:ilvl w:val="4"/>
          <w:numId w:val="7"/>
        </w:numPr>
        <w:ind w:left="0" w:firstLine="482"/>
        <w:spacing w:line="500" w:lineRule="exact"/>
        <w:tabs>
          <w:tab w:val="left" w:pos="525" w:leader="none"/>
          <w:tab w:val="left" w:pos="945" w:leader="none"/>
          <w:tab w:val="left" w:pos="1155" w:leader="none"/>
        </w:tabs>
        <w:rPr>
          <w:rFonts w:ascii="宋体"/>
          <w:b/>
          <w:bCs/>
          <w:sz w:val="24"/>
          <w:szCs w:val="24"/>
        </w:rPr>
      </w:pPr>
      <w:r>
        <w:rPr>
          <w:rFonts w:hint="eastAsia" w:ascii="宋体" w:hAnsi="宋体"/>
          <w:b/>
          <w:bCs/>
          <w:color w:val="000000"/>
          <w:sz w:val="24"/>
          <w:szCs w:val="24"/>
        </w:rPr>
        <w:t xml:space="preserve">演示（</w:t>
      </w:r>
      <w:r>
        <w:rPr>
          <w:rFonts w:hint="eastAsia" w:ascii="宋体" w:hAnsi="宋体"/>
          <w:b/>
          <w:bCs/>
          <w:color w:val="000000"/>
          <w:sz w:val="24"/>
          <w:szCs w:val="24"/>
          <w:lang w:val="en-US" w:eastAsia="zh-CN"/>
        </w:rPr>
        <w:t xml:space="preserve">15</w:t>
      </w:r>
      <w:r>
        <w:rPr>
          <w:rFonts w:hint="eastAsia" w:ascii="宋体" w:hAnsi="宋体"/>
          <w:b/>
          <w:bCs/>
          <w:color w:val="000000"/>
          <w:sz w:val="24"/>
          <w:szCs w:val="24"/>
        </w:rPr>
        <w:t xml:space="preserve">分）：</w:t>
      </w:r>
      <w:r>
        <w:rPr>
          <w:rFonts w:hint="eastAsia" w:ascii="宋体" w:hAnsi="宋体"/>
          <w:bCs/>
          <w:sz w:val="24"/>
          <w:szCs w:val="24"/>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w:t>
      </w:r>
      <w:r>
        <w:rPr>
          <w:rFonts w:hint="eastAsia" w:ascii="宋体" w:hAnsi="宋体"/>
          <w:bCs/>
          <w:sz w:val="24"/>
          <w:szCs w:val="24"/>
          <w:lang w:val="en-US" w:eastAsia="zh-CN"/>
        </w:rPr>
        <w:t xml:space="preserve">0</w:t>
      </w:r>
      <w:r>
        <w:rPr>
          <w:rFonts w:hint="eastAsia" w:ascii="宋体" w:hAnsi="宋体"/>
          <w:bCs/>
          <w:sz w:val="24"/>
          <w:szCs w:val="24"/>
        </w:rPr>
        <w:t xml:space="preserve">分钟。根据投标人视频演示情况和以下功能得分点进行打分，未按要求进行演示或未提供演示视频的不得分。</w:t>
      </w:r>
      <w:r>
        <w:rPr>
          <w:rFonts w:ascii="宋体"/>
          <w:b/>
          <w:bCs/>
          <w:sz w:val="24"/>
          <w:szCs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4.1 </w:t>
      </w:r>
      <w:r>
        <w:rPr>
          <w:rFonts w:hint="eastAsia" w:ascii="宋体" w:hAnsi="宋体"/>
          <w:color w:val="000000"/>
          <w:sz w:val="24"/>
          <w:lang w:val="en-US" w:eastAsia="zh-CN"/>
        </w:rPr>
        <w:t xml:space="preserve"> </w:t>
      </w:r>
      <w:r>
        <w:rPr>
          <w:rFonts w:hint="eastAsia" w:ascii="宋体" w:hAnsi="宋体"/>
          <w:color w:val="000000"/>
          <w:sz w:val="24"/>
        </w:rPr>
        <w:t xml:space="preserve">PC端业务管理功能演示（4分）：列表展示所选墓区、所选排的每个墓位当前的信息和状态，墓园管理员可在此列表进行购墓、登记、退墓、迁出、查看详情操作。列表展示所选骨灰室、所选排的每个格位当前的信息和状态，墓园管理员可在此列表进行购墓、登记、退墓、迁出、查看详情操作。展示所有公墓业务和骨灰堂业务的办理记录，支持历史记录导出，可以导出当前查询后的历史记录excel文件。以上3项功能全部按要求进行演示的得4分；演示功能不全的得1分；与本项目需求演示不匹配或未进行演示的，不得分。</w:t>
      </w:r>
      <w:r>
        <w:rPr>
          <w:rFonts w:hint="eastAsia" w:ascii="宋体" w:hAnsi="宋体"/>
          <w:color w:val="000000"/>
          <w:sz w:val="24"/>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rPr>
        <w:t xml:space="preserve">4.2 公</w:t>
      </w:r>
      <w:r>
        <w:rPr>
          <w:rFonts w:hint="eastAsia" w:ascii="宋体" w:hAnsi="宋体"/>
          <w:color w:val="000000"/>
          <w:sz w:val="24"/>
          <w:highlight w:val="none"/>
        </w:rPr>
        <w:t xml:space="preserve">墓管理功能演示（4分）：公墓管理员可以维护本墓园下的墓区，对墓区信息进行新增、修改、删除。展示本墓区下的墓位及墓位状态。某一排的墓位上展示本墓位的详细信息。以上3项功能全部按要求进行演示的得4分；演示功能不全的得1分；与本项目需求演示不匹配或未进行演示的，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4.3统计功能演示（4分）：支持以可视化方式统计各区县的墓园相关信息，需包含业务办理情况统计。安葬统计。近15天安葬情况统计和各市县区情况统计。以上3项功能全部按要求进行演示的得4分；演示功能不全的得1分；与本项目需求演示不匹配或未进行演示的，不得分。</w:t>
      </w:r>
      <w:r>
        <w:rPr>
          <w:rFonts w:hint="eastAsia" w:ascii="宋体" w:hAnsi="宋体"/>
          <w:color w:val="000000"/>
          <w:sz w:val="24"/>
          <w:highlight w:val="none"/>
        </w:rPr>
      </w:r>
      <w:r/>
    </w:p>
    <w:p>
      <w:pPr>
        <w:pStyle w:val="88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4.4查询功能演示（3分）：支持查询辖区下某墓园的墓区详细信息。支持查询辖区下某墓区的墓位详细信息。支持查询某个骨灰堂格位详细信息。以上3项功能全部按要求进行演示的得3分；演示功能不全的得1分；与本项目需求演示不匹配或未进行演示的，不得分。 </w:t>
      </w:r>
      <w:r>
        <w:rPr>
          <w:rFonts w:hint="eastAsia" w:ascii="宋体" w:hAnsi="宋体"/>
          <w:color w:val="000000"/>
          <w:sz w:val="24"/>
          <w:highlight w:val="non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val="0"/>
          <w:bCs w:val="0"/>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60</w:t>
      </w:r>
      <w:r>
        <w:rPr>
          <w:rFonts w:hint="eastAsia" w:ascii="宋体" w:hAnsi="宋体"/>
          <w:b/>
          <w:bCs/>
          <w:color w:val="000000"/>
          <w:sz w:val="24"/>
          <w:szCs w:val="24"/>
        </w:rPr>
        <w:t xml:space="preserve">分）</w:t>
      </w:r>
      <w:r>
        <w:rPr>
          <w:rFonts w:hint="eastAsia" w:ascii="宋体" w:hAnsi="宋体"/>
          <w:b/>
          <w:bCs/>
          <w:color w:val="000000"/>
          <w:sz w:val="24"/>
          <w:szCs w:val="24"/>
          <w:lang w:eastAsia="zh-CN"/>
        </w:rPr>
        <w:t xml:space="preserve">：</w:t>
      </w:r>
      <w:r>
        <w:rPr>
          <w:rFonts w:hint="eastAsia" w:ascii="宋体" w:hAnsi="宋体"/>
          <w:b w:val="0"/>
          <w:bCs w:val="0"/>
          <w:color w:val="000000"/>
          <w:sz w:val="24"/>
          <w:szCs w:val="24"/>
          <w:lang w:eastAsia="zh-CN"/>
        </w:rPr>
        <w:t xml:space="preserve">考察投标人项目技术方案，在响应采购文件需求的基础上针对下列各部分进行评价，要求体现科学合理性、条理性、可行性、完善性、针对性，无方案不得分。</w:t>
      </w:r>
      <w:r>
        <w:rPr>
          <w:rFonts w:ascii="宋体" w:hAnsi="宋体"/>
          <w:b w:val="0"/>
          <w:bCs w:val="0"/>
          <w:color w:val="000000"/>
          <w:sz w:val="24"/>
          <w:szCs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5.1 </w:t>
      </w:r>
      <w:r>
        <w:rPr>
          <w:rFonts w:hint="eastAsia" w:ascii="宋体" w:hAnsi="宋体"/>
          <w:color w:val="000000"/>
          <w:sz w:val="24"/>
        </w:rPr>
        <w:t xml:space="preserve">需求分析（</w:t>
      </w:r>
      <w:r>
        <w:rPr>
          <w:rFonts w:hint="eastAsia" w:ascii="宋体" w:hAnsi="宋体"/>
          <w:color w:val="000000"/>
          <w:sz w:val="24"/>
          <w:lang w:val="en-US" w:eastAsia="zh-CN"/>
        </w:rPr>
        <w:t xml:space="preserve">6</w:t>
      </w:r>
      <w:r>
        <w:rPr>
          <w:rFonts w:hint="eastAsia" w:ascii="宋体" w:hAnsi="宋体"/>
          <w:color w:val="000000"/>
          <w:sz w:val="24"/>
        </w:rPr>
        <w:t xml:space="preserve">分）：①业务及系统应用现状分析；②业务功能及流程需求分析；③功能需求分析；④性能需求分析。根据方案情况综合打分。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方案清晰、合理、详细、全面、针对性强、可行性强，且4项内容方案均齐全的，得</w:t>
      </w: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方案较清晰、较合理、较详细、较全面、针对性较强、可行性较强，能够提供</w:t>
      </w:r>
      <w:r>
        <w:rPr>
          <w:rFonts w:hint="eastAsia" w:ascii="宋体" w:hAnsi="宋体"/>
          <w:color w:val="000000"/>
          <w:sz w:val="24"/>
          <w:lang w:val="en-US" w:eastAsia="zh-CN"/>
        </w:rPr>
        <w:t xml:space="preserve">3</w:t>
      </w:r>
      <w:r>
        <w:rPr>
          <w:rFonts w:hint="eastAsia" w:ascii="宋体" w:hAnsi="宋体"/>
          <w:color w:val="000000"/>
          <w:sz w:val="24"/>
        </w:rPr>
        <w:t xml:space="preserve">-</w:t>
      </w:r>
      <w:r>
        <w:rPr>
          <w:rFonts w:hint="eastAsia" w:ascii="宋体" w:hAnsi="宋体"/>
          <w:color w:val="000000"/>
          <w:sz w:val="24"/>
          <w:lang w:val="en-US" w:eastAsia="zh-CN"/>
        </w:rPr>
        <w:t xml:space="preserve">4</w:t>
      </w:r>
      <w:r>
        <w:rPr>
          <w:rFonts w:hint="eastAsia" w:ascii="宋体" w:hAnsi="宋体"/>
          <w:color w:val="000000"/>
          <w:sz w:val="24"/>
        </w:rPr>
        <w:t xml:space="preserve">项内容方案的，得4分；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方案清晰度一般、合理性一般、详细性一般、全面性一般、针对性一般、可行性一般，能够提供</w:t>
      </w:r>
      <w:r>
        <w:rPr>
          <w:rFonts w:hint="eastAsia" w:ascii="宋体" w:hAnsi="宋体"/>
          <w:color w:val="000000"/>
          <w:sz w:val="24"/>
          <w:lang w:val="en-US" w:eastAsia="zh-CN"/>
        </w:rPr>
        <w:t xml:space="preserve">2-4</w:t>
      </w:r>
      <w:r>
        <w:rPr>
          <w:rFonts w:hint="eastAsia" w:ascii="宋体" w:hAnsi="宋体"/>
          <w:color w:val="000000"/>
          <w:sz w:val="24"/>
        </w:rPr>
        <w:t xml:space="preserve">项内容方案的，得2分；</w:t>
      </w:r>
      <w:r>
        <w:rPr>
          <w:rFonts w:hint="eastAsia" w:ascii="宋体" w:hAnsi="宋体"/>
          <w:color w:val="000000"/>
          <w:sz w:val="24"/>
        </w:rPr>
      </w:r>
      <w:r/>
    </w:p>
    <w:p>
      <w:pPr>
        <w:pStyle w:val="883"/>
        <w:ind w:firstLine="480"/>
        <w:spacing w:line="500" w:lineRule="exact"/>
        <w:tabs>
          <w:tab w:val="left" w:pos="945" w:leader="none"/>
          <w:tab w:val="left" w:pos="1155" w:leader="none"/>
          <w:tab w:val="left" w:pos="3823" w:leader="none"/>
        </w:tabs>
        <w:rPr>
          <w:rFonts w:hint="eastAsia" w:ascii="宋体" w:hAnsi="宋体"/>
          <w:color w:val="000000"/>
          <w:sz w:val="24"/>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color w:val="000000"/>
          <w:sz w:val="24"/>
        </w:rPr>
        <w:t xml:space="preserve">；</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无方案或者未按要求提供方案的不得分。</w:t>
      </w:r>
      <w:r>
        <w:rPr>
          <w:rFonts w:hint="eastAsia" w:ascii="宋体" w:hAnsi="宋体"/>
          <w:color w:val="000000"/>
          <w:sz w:val="24"/>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5.2 设计方案（30分）：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5.2.1总体方案设计（6分）：考察投标人对本项目的总体方案设计，包括但不限于①总体架构；②技术路线；③网络系统架构。</w:t>
      </w:r>
      <w:r>
        <w:rPr>
          <w:rFonts w:hint="eastAsia" w:ascii="宋体" w:hAnsi="宋体"/>
          <w:color w:val="000000"/>
          <w:sz w:val="24"/>
        </w:rPr>
        <w:t xml:space="preserve">根据方案情况综合打分。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方案清晰、合理、详细、全面、针对性强、可行性强，且3项内容方案均齐全的，得6分；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方案较清晰、较合理、较详细、较全面、针对性较强、可行性较强，能够提供2-3项内容方案的，得4分；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方案清晰度一般、合理性一般、详细性一般、全面性一般、针对性一般、可行性一般，能够提供1-3项内容方案的，得2分；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无方案或者未按要求提供方案的不得分。</w:t>
      </w:r>
      <w:r>
        <w:rPr>
          <w:rFonts w:hint="eastAsia" w:ascii="宋体" w:hAnsi="宋体"/>
          <w:color w:val="000000"/>
          <w:sz w:val="24"/>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5.2.2公益性公墓(骨灰堂)管理系统PC端业务功能（6分）：考察投标人对公益性公墓(骨灰堂)管理系统PC端业务功能方案设计，包括但不限于①业务管理；②公墓管理；③骨灰堂管理；④海葬服务。</w:t>
      </w:r>
      <w:r>
        <w:rPr>
          <w:rFonts w:hint="eastAsia" w:ascii="宋体" w:hAnsi="宋体"/>
          <w:color w:val="000000"/>
          <w:sz w:val="24"/>
        </w:rPr>
        <w:t xml:space="preserve">根据方案情况综合打分。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方案清晰、合理、详细、全面、针对性强、可行性强，且4项内容方案均齐全的，得6分；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方案较清晰、较合理、较详细、较全面、针对性较强、可行性较强，能够提供2-4项内容方案的，得4分；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方案清晰度一般、合理性一般、详细性一般、全面性一般、针对性一般、可行性一般，能够提供1-4项内容方案的，得2分；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无方案或者未按要求提供方案的不得分。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5.2.3 公益性公墓(骨灰堂)管理系统PC端系统功能（6分）：考察投标人对公益性公墓(骨灰堂)管理系统PC端系统功能方案设计，包括但不限于①查询统计；②系统设置；③个人中心。</w:t>
      </w:r>
      <w:r>
        <w:rPr>
          <w:rFonts w:hint="eastAsia" w:ascii="宋体" w:hAnsi="宋体"/>
          <w:color w:val="000000"/>
          <w:sz w:val="24"/>
        </w:rPr>
        <w:t xml:space="preserve">根据方案情况综合打分。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方案清晰、合理、详细、全面、针对性强、可行性强，且3项内容方案均齐全的，得6分；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方案较清晰、较合理、较详细、较全面、针对性较强、可行性较强，能够提供2-3项内容方案的，得4分；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方案清晰度一般、合理性一般、详细性一般、全面性一般、针对性一般、可行性一般，能够提供1-3项内容方案的，得2分；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无方案或者未按要求提供方案的不得分。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5.2.4墓园管理员用户移动公墓功能（6分）：考察投标人对本项目的墓园管理员用户移动公墓功能方案设计，包括但不限于①公墓管理；②骨灰堂管理；③查询统计；④个人中心。</w:t>
      </w:r>
      <w:r>
        <w:rPr>
          <w:rFonts w:hint="eastAsia" w:ascii="宋体" w:hAnsi="宋体"/>
          <w:color w:val="000000"/>
          <w:sz w:val="24"/>
        </w:rPr>
        <w:t xml:space="preserve">根据方案情况综合打分。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方案清晰、合理、详细、全面、针对性强、可行性强，且4项内容方案均齐全的，得6分；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方案较清晰、较合理、较详细、较全面、针对性较强、可行性较强，能够提供2-4项内容方案的，得4分；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方案清晰度一般、合理性一般、详细性一般、全面性一般、针对性一般、可行性一般，能够提供1-4项内容方案的，得2分；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无方案或者未按要求提供方案的不得分。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5.2.5市县区管理用户移动公墓系统功能（6分）：考察投标人对本项目的市县区管理用户移动公墓系统功能方案设计，包括但不限于①用户首页；②查询功能。</w:t>
      </w:r>
      <w:r>
        <w:rPr>
          <w:rFonts w:hint="eastAsia" w:ascii="宋体" w:hAnsi="宋体"/>
          <w:color w:val="000000"/>
          <w:sz w:val="24"/>
        </w:rPr>
        <w:t xml:space="preserve">根据方案情况综合打分。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方案清晰、合理、详细、全面、针对性强、可行性强，且2项内容方案均齐全的，得6分；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方案较清晰、较合理、较详细、较全面、针对性较强、可行性较强，能够提供1-2项内容方案的，得4分；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方案清晰度一般、合理性一般、详细性一般、全面性一般、针对性一般、可行性一般，能够提供1-2项内容方案的，得2分；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无方案或者未按要求提供方案的不得分。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5.3 数据对接和初始化方案（6分）：①经营性公墓数据对接；②省火化数据对接及比对服务；③省平台数据对接上报服务；④公益性公墓数据治理及初始化入库服务。</w:t>
      </w:r>
      <w:r>
        <w:rPr>
          <w:rFonts w:hint="eastAsia" w:ascii="宋体" w:hAnsi="宋体"/>
          <w:color w:val="000000"/>
          <w:sz w:val="24"/>
        </w:rPr>
        <w:t xml:space="preserve">根据方案情况综合打分。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方案清晰、合理、详细、全面、针对性强、可行性强，且4项内容方案均齐全的，得6分；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方案较清晰、较合理、较详细、较全面、针对性较强、可行性较强，能够提供2-4项内容方案的，得4分；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方案清晰度一般、合理性一般、详细性一般、全面性一般、针对性一般、可行性一般，能够提供1-4项内容方案的，得2分；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无方案或者未按要求提供方案的不得分。</w:t>
      </w:r>
      <w:r>
        <w:rPr>
          <w:rFonts w:hint="eastAsia" w:ascii="宋体" w:hAnsi="宋体"/>
          <w:color w:val="000000"/>
          <w:sz w:val="24"/>
          <w:lang w:val="en-US"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.4 项目组织实施方案（</w:t>
      </w:r>
      <w:r>
        <w:rPr>
          <w:rFonts w:hint="eastAsia" w:ascii="宋体" w:hAnsi="宋体"/>
          <w:color w:val="000000"/>
          <w:sz w:val="24"/>
          <w:lang w:val="en-US" w:eastAsia="zh-CN"/>
        </w:rPr>
        <w:t xml:space="preserve">6</w:t>
      </w:r>
      <w:r>
        <w:rPr>
          <w:rFonts w:hint="eastAsia" w:ascii="宋体" w:hAnsi="宋体"/>
          <w:color w:val="000000"/>
          <w:sz w:val="24"/>
        </w:rPr>
        <w:t xml:space="preserve">分）：①项目实施方案；②人员组织安排；③质量保证措施；④实施工期管理。</w:t>
      </w:r>
      <w:r>
        <w:rPr>
          <w:rFonts w:hint="eastAsia" w:ascii="宋体" w:hAnsi="宋体"/>
          <w:color w:val="000000"/>
          <w:sz w:val="24"/>
        </w:rPr>
        <w:t xml:space="preserve">根据方案情况综合打分。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方案清晰、合理、详细、全面、针对性强、可行性强，且4项内容方案均齐全的，得</w:t>
      </w: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方案较清晰、较合理、较详细、较全面、针对性较强、可行性较强，能够提供</w:t>
      </w:r>
      <w:r>
        <w:rPr>
          <w:rFonts w:hint="eastAsia" w:ascii="宋体" w:hAnsi="宋体"/>
          <w:color w:val="000000"/>
          <w:sz w:val="24"/>
          <w:lang w:val="en-US" w:eastAsia="zh-CN"/>
        </w:rPr>
        <w:t xml:space="preserve">3-4</w:t>
      </w:r>
      <w:r>
        <w:rPr>
          <w:rFonts w:hint="eastAsia" w:ascii="宋体" w:hAnsi="宋体"/>
          <w:color w:val="000000"/>
          <w:sz w:val="24"/>
        </w:rPr>
        <w:t xml:space="preserve">项内容方案的，得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方案清晰度一般、合理性一般、详细性一般、全面性一般、针对性一般、可行性一般，能够提供</w:t>
      </w:r>
      <w:r>
        <w:rPr>
          <w:rFonts w:hint="eastAsia" w:ascii="宋体" w:hAnsi="宋体"/>
          <w:color w:val="000000"/>
          <w:sz w:val="24"/>
          <w:lang w:val="en-US" w:eastAsia="zh-CN"/>
        </w:rPr>
        <w:t xml:space="preserve">2-4</w:t>
      </w:r>
      <w:r>
        <w:rPr>
          <w:rFonts w:hint="eastAsia" w:ascii="宋体" w:hAnsi="宋体"/>
          <w:color w:val="000000"/>
          <w:sz w:val="24"/>
        </w:rPr>
        <w:t xml:space="preserve">项内容方案的，得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color w:val="000000"/>
          <w:sz w:val="24"/>
        </w:rPr>
        <w:t xml:space="preserve">；</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无方案或者未按要求提供方案的不得分。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.5 售后服务方案（6分）：①售后服务体系；②售后服务方案及内容；③售后服务方式；④售后服务响应。</w:t>
      </w:r>
      <w:r>
        <w:rPr>
          <w:rFonts w:hint="eastAsia" w:ascii="宋体" w:hAnsi="宋体"/>
          <w:color w:val="000000"/>
          <w:sz w:val="24"/>
        </w:rPr>
        <w:t xml:space="preserve">根据方案情况综合打分。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方案清晰、合理、详细、全面、针对性强、可行性强，且4项内容方案均齐全的，得6分；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方案较清晰、较合理、较详细、较全面、针对性较强、可行性较强，能够提供</w:t>
      </w:r>
      <w:r>
        <w:rPr>
          <w:rFonts w:hint="eastAsia" w:ascii="宋体" w:hAnsi="宋体"/>
          <w:color w:val="000000"/>
          <w:sz w:val="24"/>
          <w:lang w:val="en-US" w:eastAsia="zh-CN"/>
        </w:rPr>
        <w:t xml:space="preserve">3-4</w:t>
      </w:r>
      <w:r>
        <w:rPr>
          <w:rFonts w:hint="eastAsia" w:ascii="宋体" w:hAnsi="宋体"/>
          <w:color w:val="000000"/>
          <w:sz w:val="24"/>
        </w:rPr>
        <w:t xml:space="preserve">项内容方案的，得3分；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方案清晰度一般、合理性一般、详细性一般、全面性一般、针对性一般、可行性一般，能够提供</w:t>
      </w:r>
      <w:r>
        <w:rPr>
          <w:rFonts w:hint="eastAsia" w:ascii="宋体" w:hAnsi="宋体"/>
          <w:color w:val="000000"/>
          <w:sz w:val="24"/>
          <w:lang w:val="en-US" w:eastAsia="zh-CN"/>
        </w:rPr>
        <w:t xml:space="preserve">2-4</w:t>
      </w:r>
      <w:r>
        <w:rPr>
          <w:rFonts w:hint="eastAsia" w:ascii="宋体" w:hAnsi="宋体"/>
          <w:color w:val="000000"/>
          <w:sz w:val="24"/>
        </w:rPr>
        <w:t xml:space="preserve">项内容方案的，2分；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color w:val="000000"/>
          <w:sz w:val="24"/>
        </w:rPr>
        <w:t xml:space="preserve">；</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无方案或者未按要求提供方案的不得分。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.6 运维及培训服务方案（6分）：①运维管理；②运维服务及响应；③培训计划；④培训方式及内容。</w:t>
      </w:r>
      <w:r>
        <w:rPr>
          <w:rFonts w:hint="eastAsia" w:ascii="宋体" w:hAnsi="宋体"/>
          <w:color w:val="000000"/>
          <w:sz w:val="24"/>
        </w:rPr>
        <w:t xml:space="preserve">根据方案情况综合打分。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方案清晰、合理、详细、全面、针对性强、可行性强，且4项内容方案均齐全的，得6分；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方案较清晰、较合理、较详细、较全面、针对性较强、可行性较强，能够提供</w:t>
      </w:r>
      <w:r>
        <w:rPr>
          <w:rFonts w:hint="eastAsia" w:ascii="宋体" w:hAnsi="宋体"/>
          <w:color w:val="000000"/>
          <w:sz w:val="24"/>
          <w:lang w:val="en-US" w:eastAsia="zh-CN"/>
        </w:rPr>
        <w:t xml:space="preserve">3-4</w:t>
      </w:r>
      <w:r>
        <w:rPr>
          <w:rFonts w:hint="eastAsia" w:ascii="宋体" w:hAnsi="宋体"/>
          <w:color w:val="000000"/>
          <w:sz w:val="24"/>
        </w:rPr>
        <w:t xml:space="preserve">项内容方案的，得3分；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方案清晰度一般、合理性一般、详细性一般、全面性一般、针对性一般、可行性一般，能够提供</w:t>
      </w:r>
      <w:r>
        <w:rPr>
          <w:rFonts w:hint="eastAsia" w:ascii="宋体" w:hAnsi="宋体"/>
          <w:color w:val="000000"/>
          <w:sz w:val="24"/>
          <w:lang w:val="en-US" w:eastAsia="zh-CN"/>
        </w:rPr>
        <w:t xml:space="preserve">2-4</w:t>
      </w:r>
      <w:r>
        <w:rPr>
          <w:rFonts w:hint="eastAsia" w:ascii="宋体" w:hAnsi="宋体"/>
          <w:color w:val="000000"/>
          <w:sz w:val="24"/>
        </w:rPr>
        <w:t xml:space="preserve">项内容方案的，得2分；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bCs/>
          <w:color w:val="000000"/>
          <w:sz w:val="24"/>
          <w:szCs w:val="24"/>
          <w:highlight w:val="none"/>
        </w:rPr>
        <w:t xml:space="preserve">方案完整性、科学合理性、设计的清晰详细程度等只能基本满足要求，能够提供上述</w:t>
      </w: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项方案的，得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color w:val="000000"/>
          <w:sz w:val="24"/>
        </w:rPr>
        <w:t xml:space="preserve">；</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无方案或者未按要求提供方案的不得分。</w:t>
      </w:r>
      <w:r>
        <w:rPr>
          <w:rFonts w:hint="eastAsia" w:ascii="宋体" w:hAnsi="宋体"/>
          <w:color w:val="000000"/>
          <w:sz w:val="24"/>
        </w:rPr>
      </w:r>
      <w:r/>
    </w:p>
    <w:p>
      <w:pPr>
        <w:pStyle w:val="883"/>
        <w:ind w:firstLine="480"/>
        <w:spacing w:line="500" w:lineRule="exact"/>
        <w:rPr>
          <w:rFonts w:ascii="宋体" w:hAnsi="宋体"/>
          <w:color w:val="000000"/>
          <w:sz w:val="24"/>
        </w:rPr>
      </w:pPr>
      <w:r>
        <w:rPr>
          <w:rFonts w:ascii="宋体" w:hAnsi="宋体"/>
          <w:color w:val="000000"/>
          <w:sz w:val="24"/>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2"/>
        <w:ind w:firstLine="602"/>
        <w:spacing w:before="0" w:after="0" w:line="500" w:lineRule="exact"/>
        <w:rPr>
          <w:rFonts w:hint="eastAsia" w:cs="Arial"/>
          <w:b/>
          <w:sz w:val="30"/>
          <w:szCs w:val="30"/>
        </w:rPr>
      </w:pPr>
      <w:r/>
      <w:bookmarkStart w:id="196" w:name="_Hlt26671244"/>
      <w:r/>
      <w:bookmarkEnd w:id="196"/>
      <w:r/>
      <w:bookmarkStart w:id="197" w:name="_Toc49090576"/>
      <w:r/>
      <w:bookmarkStart w:id="198" w:name="_Toc120614282"/>
      <w:r/>
      <w:bookmarkStart w:id="199" w:name="_Toc26554094"/>
      <w:r/>
      <w:bookmarkStart w:id="200" w:name="_Hlt26955039"/>
      <w:r/>
      <w:bookmarkEnd w:id="200"/>
      <w:r>
        <w:rPr>
          <w:rFonts w:hint="eastAsia" w:cs="Arial"/>
          <w:b/>
          <w:sz w:val="30"/>
          <w:szCs w:val="30"/>
        </w:rPr>
        <w:t xml:space="preserve">第一部分  投标文件内容</w:t>
      </w:r>
      <w:r>
        <w:rPr>
          <w:rFonts w:hint="eastAsia" w:cs="Arial"/>
          <w:b/>
          <w:sz w:val="30"/>
          <w:szCs w:val="30"/>
        </w:rPr>
      </w:r>
      <w:r/>
    </w:p>
    <w:p>
      <w:pPr>
        <w:pStyle w:val="972"/>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2"/>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1"/>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72"/>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2"/>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2"/>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3"/>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2"/>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3"/>
        <w:rPr>
          <w:rFonts w:hint="eastAsia"/>
          <w:b/>
          <w:color w:val="ff0000"/>
          <w:sz w:val="28"/>
          <w:szCs w:val="28"/>
        </w:rPr>
      </w:pPr>
      <w:r>
        <w:rPr>
          <w:rFonts w:hint="eastAsia"/>
          <w:b/>
          <w:color w:val="ff0000"/>
          <w:sz w:val="28"/>
          <w:szCs w:val="28"/>
        </w:rPr>
      </w:r>
      <w:r/>
    </w:p>
    <w:p>
      <w:pPr>
        <w:pStyle w:val="883"/>
        <w:rPr>
          <w:rFonts w:hint="eastAsia"/>
          <w:b/>
          <w:sz w:val="28"/>
          <w:szCs w:val="28"/>
        </w:rPr>
      </w:pPr>
      <w:r>
        <w:rPr>
          <w:rFonts w:hint="eastAsia"/>
          <w:b/>
          <w:sz w:val="28"/>
          <w:szCs w:val="28"/>
        </w:rPr>
        <w:t xml:space="preserve">（二）其他证明文件</w:t>
      </w:r>
      <w:r>
        <w:rPr>
          <w:rFonts w:hint="eastAsia"/>
          <w:b/>
          <w:sz w:val="28"/>
          <w:szCs w:val="28"/>
        </w:rPr>
      </w:r>
      <w:r/>
    </w:p>
    <w:p>
      <w:pPr>
        <w:pStyle w:val="88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3"/>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83"/>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2"/>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JSZC-320200-JZCG-G2026-0047</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无锡市公益性公墓（骨灰堂）管理系统项目</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3"/>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0"/>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JSZC-320200-JZCG-G2026-0047</w:t>
      </w:r>
      <w:r>
        <w:rPr>
          <w:rFonts w:hint="eastAsia" w:ascii="宋体" w:hAnsi="宋体"/>
          <w:bCs/>
          <w:color w:val="000000"/>
          <w:sz w:val="24"/>
          <w:szCs w:val="24"/>
        </w:rPr>
        <w:t xml:space="preserve">项目，兹授权：</w:t>
      </w:r>
      <w:r>
        <w:rPr>
          <w:rFonts w:hint="eastAsia"/>
          <w:color w:val="000000"/>
          <w:sz w:val="24"/>
          <w:szCs w:val="24"/>
        </w:rPr>
      </w:r>
      <w:r/>
    </w:p>
    <w:p>
      <w:pPr>
        <w:pStyle w:val="970"/>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0"/>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0"/>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0"/>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0"/>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0"/>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0"/>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0"/>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0"/>
        <w:ind w:firstLine="0"/>
        <w:tabs>
          <w:tab w:val="left" w:pos="360" w:leader="none"/>
        </w:tabs>
        <w:rPr>
          <w:rFonts w:hint="eastAsia"/>
          <w:sz w:val="21"/>
          <w:szCs w:val="21"/>
        </w:rPr>
      </w:pPr>
      <w:r>
        <w:rPr>
          <w:rFonts w:hint="eastAsia"/>
          <w:sz w:val="21"/>
          <w:szCs w:val="21"/>
        </w:rPr>
      </w:r>
      <w:r/>
    </w:p>
    <w:p>
      <w:pPr>
        <w:pStyle w:val="970"/>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0"/>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3"/>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3"/>
        <w:jc w:val="center"/>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JSZC-320200-JZCG-G2026-0047</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rPr>
          <w:rFonts w:hint="eastAsia" w:ascii="宋体" w:hAnsi="宋体" w:cs="宋体"/>
          <w:b/>
          <w:sz w:val="28"/>
          <w:szCs w:val="28"/>
        </w:rPr>
      </w:r>
      <w:r/>
    </w:p>
    <w:p>
      <w:pPr>
        <w:pStyle w:val="88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8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3"/>
        <w:ind w:firstLine="420"/>
        <w:spacing w:line="360" w:lineRule="auto"/>
        <w:rPr>
          <w:rFonts w:hint="eastAsia"/>
        </w:rPr>
      </w:pPr>
      <w:r>
        <w:rPr>
          <w:rFonts w:hint="eastAsia"/>
        </w:rPr>
      </w:r>
      <w:r/>
    </w:p>
    <w:p>
      <w:pPr>
        <w:pStyle w:val="88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3"/>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3"/>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3"/>
        <w:ind w:firstLine="482"/>
        <w:spacing w:line="440" w:lineRule="exact"/>
        <w:rPr>
          <w:rFonts w:ascii="Arial" w:hAnsi="Arial"/>
          <w:b/>
          <w:sz w:val="24"/>
        </w:rPr>
      </w:pPr>
      <w:r>
        <w:rPr>
          <w:rFonts w:ascii="Arial" w:hAnsi="Arial"/>
          <w:b/>
          <w:sz w:val="24"/>
        </w:rPr>
      </w:r>
      <w:r/>
    </w:p>
    <w:p>
      <w:pPr>
        <w:pStyle w:val="88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3"/>
        <w:jc w:val="center"/>
        <w:rPr>
          <w:rFonts w:ascii="黑体" w:eastAsia="黑体"/>
          <w:bCs/>
          <w:color w:val="000000"/>
          <w:sz w:val="28"/>
          <w:szCs w:val="28"/>
        </w:rPr>
      </w:pPr>
      <w:r>
        <w:rPr>
          <w:rFonts w:ascii="黑体" w:eastAsia="黑体"/>
          <w:bCs/>
          <w:color w:val="000000"/>
          <w:sz w:val="28"/>
          <w:szCs w:val="28"/>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3"/>
        <w:ind w:firstLine="48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JSZC-320200-JZCG-G2026-0047</w:t>
      </w:r>
      <w:r>
        <w:rPr>
          <w:rFonts w:hint="eastAsia" w:ascii="宋体" w:hAnsi="宋体"/>
          <w:bCs/>
          <w:color w:val="000000"/>
          <w:sz w:val="24"/>
          <w:szCs w:val="24"/>
        </w:rPr>
        <w:t xml:space="preserve">招标文件，经仔细阅读和研究，我</w:t>
      </w:r>
      <w:r>
        <w:rPr>
          <w:rFonts w:hint="eastAsia" w:ascii="宋体" w:hAnsi="宋体"/>
          <w:bCs/>
          <w:color w:val="000000"/>
          <w:sz w:val="24"/>
          <w:szCs w:val="24"/>
        </w:rPr>
        <w:t xml:space="preserve">方决定参加此项目的投标。</w:t>
      </w:r>
      <w:r>
        <w:rPr>
          <w:rFonts w:ascii="宋体"/>
          <w:bCs/>
          <w:color w:val="000000"/>
          <w:sz w:val="24"/>
          <w:szCs w:val="24"/>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9"/>
          <w:bCs/>
          <w:color w:val="000000"/>
        </w:rPr>
      </w:pPr>
      <w:r>
        <w:rPr>
          <w:rFonts w:hint="eastAsia" w:ascii="宋体" w:hAnsi="宋体"/>
          <w:bCs/>
          <w:color w:val="000000"/>
          <w:sz w:val="24"/>
          <w:szCs w:val="24"/>
        </w:rPr>
        <w:t xml:space="preserve">我方愿意提供无锡市公共资源交易中心在招标文件中要求的文件、资料。</w:t>
      </w:r>
      <w:r>
        <w:rPr>
          <w:rStyle w:val="959"/>
          <w:bCs/>
          <w:color w:val="000000"/>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3"/>
        <w:ind w:firstLine="72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3"/>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3"/>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JSZC-320200-JZCG-G2026-0047</w:t>
      </w:r>
      <w:r>
        <w:rPr>
          <w:rFonts w:hint="eastAsia" w:ascii="宋体" w:hAnsi="宋体"/>
          <w:color w:val="000000"/>
          <w:sz w:val="24"/>
          <w:szCs w:val="24"/>
        </w:rPr>
        <w:t xml:space="preserve">在此承诺：</w:t>
      </w:r>
      <w:r>
        <w:rPr>
          <w:rFonts w:ascii="宋体" w:hAnsi="宋体"/>
          <w:color w:val="000000"/>
          <w:sz w:val="24"/>
          <w:szCs w:val="24"/>
        </w:rPr>
      </w:r>
      <w:r/>
    </w:p>
    <w:p>
      <w:pPr>
        <w:pStyle w:val="88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883"/>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3"/>
        <w:ind w:firstLine="5400"/>
        <w:spacing w:line="480" w:lineRule="auto"/>
        <w:rPr>
          <w:rFonts w:ascii="宋体" w:hAnsi="宋体"/>
          <w:bCs/>
          <w:sz w:val="24"/>
          <w:szCs w:val="24"/>
        </w:rPr>
      </w:pPr>
      <w:r>
        <w:rPr>
          <w:rFonts w:ascii="宋体" w:hAnsi="宋体"/>
          <w:bCs/>
          <w:sz w:val="24"/>
          <w:szCs w:val="24"/>
        </w:rPr>
      </w:r>
      <w:r/>
    </w:p>
    <w:p>
      <w:pPr>
        <w:pStyle w:val="88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3"/>
        <w:ind w:firstLine="482"/>
        <w:spacing w:line="440" w:lineRule="exact"/>
        <w:rPr>
          <w:rFonts w:hint="eastAsia" w:ascii="Arial" w:hAnsi="Arial"/>
          <w:b/>
          <w:sz w:val="24"/>
        </w:rPr>
      </w:pPr>
      <w:r>
        <w:rPr>
          <w:rFonts w:hint="eastAsia" w:ascii="Arial" w:hAnsi="Arial"/>
          <w:b/>
          <w:sz w:val="24"/>
        </w:rPr>
      </w:r>
      <w:r/>
    </w:p>
    <w:p>
      <w:pPr>
        <w:pStyle w:val="88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3"/>
        <w:jc w:val="center"/>
        <w:rPr>
          <w:rFonts w:ascii="黑体" w:eastAsia="黑体"/>
          <w:bCs/>
          <w:color w:val="000000"/>
          <w:sz w:val="28"/>
          <w:szCs w:val="28"/>
        </w:rPr>
        <w:outlineLvl w:val="0"/>
      </w:pPr>
      <w:r>
        <w:rPr>
          <w:rFonts w:ascii="黑体" w:eastAsia="黑体"/>
          <w:bCs/>
          <w:color w:val="000000"/>
          <w:sz w:val="28"/>
          <w:szCs w:val="28"/>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JSZC-320200-JZCG-G2026-0047</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998"/>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无锡市公益性公墓（骨灰堂）管理系统项目</w:t>
            </w:r>
            <w:r>
              <w:rPr>
                <w:rFonts w:hint="eastAsia" w:hAnsi="宋体" w:eastAsia="宋体"/>
                <w:bCs/>
                <w:color w:val="000000"/>
                <w:szCs w:val="24"/>
                <w:lang w:eastAsia="zh-CN"/>
              </w:rPr>
            </w:r>
            <w:r/>
          </w:p>
        </w:tc>
        <w:tc>
          <w:tcPr>
            <w:tcW w:w="3188" w:type="dxa"/>
            <w:vAlign w:val="center"/>
            <w:textDirection w:val="lrTb"/>
            <w:noWrap w:val="false"/>
          </w:tcPr>
          <w:p>
            <w:pPr>
              <w:pStyle w:val="998"/>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3"/>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3"/>
        <w:spacing w:line="360" w:lineRule="auto"/>
        <w:rPr>
          <w:rFonts w:hint="eastAsia"/>
          <w:b/>
          <w:color w:val="000000"/>
          <w:sz w:val="30"/>
          <w:szCs w:val="30"/>
        </w:rPr>
      </w:pPr>
      <w:r>
        <w:rPr>
          <w:rFonts w:hint="eastAsia"/>
          <w:b/>
          <w:color w:val="000000"/>
          <w:sz w:val="30"/>
          <w:szCs w:val="30"/>
        </w:rPr>
      </w:r>
      <w:r/>
    </w:p>
    <w:p>
      <w:pPr>
        <w:pStyle w:val="883"/>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JSZC-320200-JZCG-G2026-0047</w:t>
      </w:r>
      <w:r>
        <w:rPr>
          <w:rFonts w:hint="eastAsia" w:ascii="黑体" w:eastAsia="黑体"/>
          <w:bCs/>
          <w:color w:val="000000"/>
          <w:sz w:val="24"/>
          <w:szCs w:val="24"/>
          <w:lang w:eastAsia="zh-CN"/>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930" w:type="dxa"/>
            <w:vAlign w:val="center"/>
            <w:textDirection w:val="lrTb"/>
            <w:noWrap/>
          </w:tcPr>
          <w:p>
            <w:pPr>
              <w:pStyle w:val="883"/>
              <w:jc w:val="center"/>
              <w:spacing w:before="5"/>
              <w:rPr>
                <w:sz w:val="18"/>
              </w:rPr>
            </w:pPr>
            <w:r>
              <w:rPr>
                <w:sz w:val="18"/>
              </w:rPr>
              <w:t xml:space="preserve">服务内容</w:t>
            </w:r>
            <w:r>
              <w:rPr>
                <w:sz w:val="18"/>
              </w:rPr>
            </w:r>
            <w:r/>
          </w:p>
        </w:tc>
        <w:tc>
          <w:tcPr>
            <w:tcW w:w="851" w:type="dxa"/>
            <w:vAlign w:val="center"/>
            <w:textDirection w:val="lrTb"/>
            <w:noWrap w:val="false"/>
          </w:tcPr>
          <w:p>
            <w:pPr>
              <w:pStyle w:val="883"/>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883"/>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883"/>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883"/>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3"/>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3"/>
        <w:spacing w:line="400" w:lineRule="exact"/>
        <w:rPr>
          <w:rFonts w:hint="eastAsia" w:ascii="宋体" w:hAnsi="宋体"/>
          <w:b/>
          <w:color w:val="000000"/>
        </w:rPr>
        <w:outlineLvl w:val="0"/>
      </w:pPr>
      <w:r>
        <w:rPr>
          <w:rFonts w:hint="eastAsia" w:ascii="宋体" w:hAnsi="宋体"/>
          <w:b/>
          <w:color w:val="000000"/>
        </w:rPr>
      </w:r>
      <w:r/>
    </w:p>
    <w:p>
      <w:pPr>
        <w:pStyle w:val="883"/>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883"/>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）“采购需求”中如有明确要求进行分项报价的，投标人应当根据相应要求在上表中详细填写。</w:t>
      </w:r>
      <w:r>
        <w:rPr>
          <w:rFonts w:ascii="宋体"/>
          <w:bCs/>
        </w:rPr>
      </w:r>
      <w:r/>
    </w:p>
    <w:p>
      <w:pPr>
        <w:pStyle w:val="883"/>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hint="eastAsia" w:ascii="宋体" w:hAnsi="宋体"/>
          <w:bCs/>
        </w:rPr>
      </w:r>
      <w:r/>
    </w:p>
    <w:p>
      <w:pPr>
        <w:pStyle w:val="883"/>
        <w:ind w:firstLine="315"/>
        <w:spacing w:line="400" w:lineRule="exact"/>
        <w:rPr>
          <w:rFonts w:hint="eastAsia" w:ascii="宋体" w:hAnsi="宋体"/>
          <w:bCs/>
        </w:rPr>
        <w:outlineLvl w:val="0"/>
      </w:pPr>
      <w:r>
        <w:rPr>
          <w:rFonts w:hint="eastAsia" w:ascii="宋体" w:hAnsi="宋体"/>
          <w:bCs/>
        </w:rPr>
      </w:r>
      <w:r/>
    </w:p>
    <w:p>
      <w:pPr>
        <w:pStyle w:val="883"/>
        <w:ind w:firstLine="315"/>
        <w:spacing w:line="400" w:lineRule="exact"/>
        <w:rPr>
          <w:rFonts w:hint="eastAsia" w:ascii="宋体" w:hAnsi="宋体"/>
          <w:bCs/>
        </w:rPr>
        <w:outlineLvl w:val="0"/>
      </w:pPr>
      <w:r>
        <w:rPr>
          <w:rFonts w:hint="eastAsia" w:ascii="宋体" w:hAnsi="宋体"/>
          <w:bCs/>
        </w:rPr>
      </w:r>
      <w:r/>
    </w:p>
    <w:p>
      <w:pPr>
        <w:pStyle w:val="883"/>
        <w:ind w:firstLine="315"/>
        <w:spacing w:line="400" w:lineRule="exact"/>
        <w:rPr>
          <w:rFonts w:hint="eastAsia" w:ascii="宋体" w:hAnsi="宋体"/>
          <w:bCs/>
        </w:rPr>
        <w:outlineLvl w:val="0"/>
      </w:pPr>
      <w:r>
        <w:rPr>
          <w:rFonts w:hint="eastAsia" w:ascii="宋体" w:hAnsi="宋体"/>
          <w:bCs/>
        </w:rPr>
      </w:r>
      <w:r/>
    </w:p>
    <w:p>
      <w:pPr>
        <w:pStyle w:val="883"/>
        <w:ind w:firstLine="315"/>
        <w:spacing w:line="400" w:lineRule="exact"/>
        <w:rPr>
          <w:rFonts w:hint="eastAsia" w:ascii="宋体" w:hAnsi="宋体"/>
          <w:bCs/>
        </w:rPr>
        <w:outlineLvl w:val="0"/>
      </w:pPr>
      <w:r>
        <w:rPr>
          <w:rFonts w:hint="eastAsia" w:ascii="宋体" w:hAnsi="宋体"/>
          <w:bCs/>
        </w:rPr>
      </w:r>
      <w:r/>
    </w:p>
    <w:p>
      <w:pPr>
        <w:pStyle w:val="883"/>
        <w:ind w:firstLine="315"/>
        <w:spacing w:line="400" w:lineRule="exact"/>
        <w:rPr>
          <w:rFonts w:ascii="宋体" w:hAnsi="宋体"/>
          <w:bCs/>
        </w:rPr>
        <w:outlineLvl w:val="0"/>
      </w:pPr>
      <w:r>
        <w:rPr>
          <w:rFonts w:ascii="宋体" w:hAnsi="宋体"/>
          <w:bCs/>
        </w:rPr>
      </w:r>
      <w:r/>
    </w:p>
    <w:p>
      <w:pPr>
        <w:pStyle w:val="883"/>
        <w:spacing w:line="360" w:lineRule="auto"/>
        <w:rPr>
          <w:rFonts w:hint="eastAsia"/>
          <w:b/>
          <w:sz w:val="28"/>
          <w:szCs w:val="28"/>
        </w:rPr>
      </w:pPr>
      <w:r>
        <w:rPr>
          <w:rFonts w:ascii="宋体" w:hAnsi="宋体"/>
          <w:bCs/>
          <w:color w:val="000000"/>
        </w:rPr>
        <w:br w:type="page" w:clear="all"/>
      </w:r>
      <w:bookmarkEnd w:id="197"/>
      <w:r/>
      <w:bookmarkEnd w:id="198"/>
      <w:r/>
      <w:bookmarkEnd w:id="199"/>
      <w:r/>
      <w:bookmarkStart w:id="202"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JSZC-320200-JZCG-G2026-0047</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rPr>
            </w:pPr>
            <w:r>
              <w:rPr>
                <w:rFonts w:ascii="宋体"/>
                <w:bCs/>
                <w:color w:val="000000"/>
              </w:rPr>
            </w:r>
            <w:r/>
          </w:p>
        </w:tc>
      </w:tr>
    </w:tbl>
    <w:p>
      <w:pPr>
        <w:pStyle w:val="88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3"/>
        <w:rPr>
          <w:rFonts w:ascii="宋体"/>
          <w:bCs/>
          <w:color w:val="000000"/>
          <w:sz w:val="30"/>
        </w:rPr>
      </w:pPr>
      <w:r>
        <w:rPr>
          <w:rFonts w:ascii="宋体"/>
          <w:bCs/>
          <w:color w:val="000000"/>
          <w:sz w:val="30"/>
        </w:rPr>
      </w:r>
      <w:r/>
    </w:p>
    <w:p>
      <w:pPr>
        <w:pStyle w:val="883"/>
        <w:ind w:firstLine="420"/>
        <w:rPr>
          <w:rFonts w:ascii="宋体" w:hAnsi="宋体"/>
          <w:bCs/>
          <w:color w:val="000000"/>
          <w:sz w:val="24"/>
          <w:szCs w:val="24"/>
          <w:highlight w:val="none"/>
        </w:rPr>
        <w:outlineLvl w:val="0"/>
      </w:pPr>
      <w:r/>
      <w:bookmarkEnd w:id="189"/>
      <w:r/>
      <w:bookmarkEnd w:id="190"/>
      <w:r/>
      <w:bookmarkEnd w:id="202"/>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883"/>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针对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采购需求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的内容不得有负偏离</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883"/>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如无任何技术偏离，请于本表 “偏离说明”中注明“无偏离”；</w:t>
      </w:r>
      <w:r>
        <w:rPr>
          <w:rFonts w:hint="eastAsia" w:ascii="宋体" w:hAnsi="宋体"/>
          <w:bCs/>
          <w:color w:val="000000"/>
          <w:sz w:val="24"/>
          <w:szCs w:val="24"/>
          <w:highlight w:val="none"/>
          <w:lang w:eastAsia="zh-CN"/>
        </w:rPr>
      </w:r>
      <w:r/>
    </w:p>
    <w:p>
      <w:pPr>
        <w:pStyle w:val="883"/>
        <w:ind w:firstLine="420"/>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）如有技术</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偏离项，请于本表中列明</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偏离内容，如需要可自行延长，其余无偏离内容</w:t>
      </w:r>
      <w:r>
        <w:rPr>
          <w:rFonts w:hint="eastAsia" w:ascii="宋体" w:hAnsi="宋体"/>
          <w:bCs/>
          <w:color w:val="000000"/>
          <w:sz w:val="24"/>
          <w:szCs w:val="24"/>
          <w:highlight w:val="none"/>
          <w:lang w:val="en-US" w:eastAsia="zh-CN"/>
        </w:rPr>
        <w:t xml:space="preserve">无需</w:t>
      </w:r>
      <w:r>
        <w:rPr>
          <w:rFonts w:hint="eastAsia" w:ascii="宋体" w:hAnsi="宋体"/>
          <w:bCs/>
          <w:color w:val="000000"/>
          <w:sz w:val="24"/>
          <w:szCs w:val="24"/>
          <w:highlight w:val="none"/>
        </w:rPr>
        <w:t xml:space="preserve">赘述</w:t>
      </w:r>
      <w:bookmarkStart w:id="203" w:name="_Hlt26609389"/>
      <w:r/>
      <w:bookmarkEnd w:id="203"/>
      <w:r/>
      <w:bookmarkStart w:id="204" w:name="_Hlt26671374"/>
      <w:r/>
      <w:bookmarkEnd w:id="204"/>
      <w:r/>
      <w:bookmarkStart w:id="205" w:name="_格式2__法定代表人授权书"/>
      <w:r/>
      <w:bookmarkEnd w:id="205"/>
      <w:r/>
      <w:bookmarkStart w:id="206" w:name="_Hlt26955066"/>
      <w:r/>
      <w:bookmarkEnd w:id="206"/>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r>
      <w:r/>
    </w:p>
    <w:p>
      <w:pPr>
        <w:pStyle w:val="883"/>
        <w:spacing w:line="360" w:lineRule="auto"/>
        <w:rPr>
          <w:b/>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sz w:val="28"/>
          <w:szCs w:val="28"/>
        </w:rPr>
      </w:r>
      <w:r/>
    </w:p>
    <w:p>
      <w:pPr>
        <w:pStyle w:val="883"/>
        <w:spacing w:line="400" w:lineRule="exact"/>
        <w:rPr>
          <w:rFonts w:ascii="黑体" w:eastAsia="黑体"/>
          <w:bCs/>
          <w:color w:val="000000"/>
          <w:sz w:val="28"/>
          <w:szCs w:val="28"/>
        </w:rPr>
      </w:pPr>
      <w:r>
        <w:rPr>
          <w:rFonts w:ascii="黑体" w:eastAsia="黑体"/>
          <w:bCs/>
          <w:color w:val="000000"/>
          <w:sz w:val="28"/>
          <w:szCs w:val="28"/>
        </w:rPr>
      </w:r>
      <w:r/>
    </w:p>
    <w:p>
      <w:pPr>
        <w:pStyle w:val="883"/>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883"/>
        <w:jc w:val="center"/>
        <w:spacing w:line="400" w:lineRule="exact"/>
        <w:rPr>
          <w:rFonts w:ascii="黑体" w:eastAsia="黑体"/>
          <w:bCs/>
          <w:color w:val="000000"/>
          <w:sz w:val="28"/>
          <w:szCs w:val="28"/>
        </w:rPr>
      </w:pPr>
      <w:r>
        <w:rPr>
          <w:rFonts w:ascii="黑体" w:eastAsia="黑体"/>
          <w:bCs/>
          <w:color w:val="000000"/>
          <w:sz w:val="28"/>
          <w:szCs w:val="28"/>
        </w:rPr>
      </w:r>
      <w:r/>
    </w:p>
    <w:p>
      <w:pPr>
        <w:pStyle w:val="883"/>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JSZC-320200-JZCG-G2026-0047</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83"/>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83"/>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83"/>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83"/>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bl>
    <w:p>
      <w:pPr>
        <w:pStyle w:val="883"/>
        <w:rPr>
          <w:b/>
          <w:bCs/>
          <w:sz w:val="24"/>
          <w:szCs w:val="24"/>
        </w:rPr>
      </w:pPr>
      <w:r>
        <w:rPr>
          <w:rFonts w:hint="eastAsia" w:ascii="黑体" w:eastAsia="黑体"/>
          <w:bCs/>
          <w:sz w:val="24"/>
          <w:szCs w:val="24"/>
        </w:rPr>
        <w:t xml:space="preserve">投标人名称（盖章）</w:t>
      </w:r>
      <w:r>
        <w:rPr>
          <w:b/>
          <w:bCs/>
          <w:sz w:val="24"/>
          <w:szCs w:val="24"/>
        </w:rPr>
      </w:r>
      <w:r/>
    </w:p>
    <w:p>
      <w:pPr>
        <w:pStyle w:val="883"/>
        <w:rPr>
          <w:rFonts w:hint="eastAsia" w:ascii="宋体" w:hAnsi="宋体"/>
          <w:bCs/>
          <w:color w:val="000000"/>
        </w:rPr>
      </w:pPr>
      <w:r>
        <w:rPr>
          <w:rFonts w:hint="eastAsia" w:ascii="宋体" w:hAnsi="宋体"/>
          <w:bCs/>
          <w:color w:val="000000"/>
        </w:rPr>
      </w:r>
      <w:r/>
    </w:p>
    <w:p>
      <w:pPr>
        <w:pStyle w:val="883"/>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3"/>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883"/>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５</w:t>
    </w:r>
    <w:r>
      <w:rPr>
        <w:rFonts w:ascii="宋体" w:hAnsi="宋体"/>
      </w:rPr>
      <w:fldChar w:fldCharType="end"/>
    </w:r>
    <w:r>
      <w:rPr>
        <w:rStyle w:val="957"/>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4"/>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space"/>
      <w:lvlText w:val="%2."/>
      <w:lvlJc w:val="left"/>
      <w:pPr>
        <w:pStyle w:val="883"/>
        <w:ind w:left="780" w:hanging="360"/>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hint="eastAsia" w:cs="Times New Roman"/>
      </w:rPr>
    </w:lvl>
    <w:lvl w:ilvl="3">
      <w:start w:val="1"/>
      <w:numFmt w:val="decimal"/>
      <w:isLgl w:val="false"/>
      <w:suff w:val="tab"/>
      <w:lvlText w:val="%4."/>
      <w:lvlJc w:val="left"/>
      <w:pPr>
        <w:pStyle w:val="883"/>
        <w:ind w:left="1680" w:hanging="420"/>
        <w:tabs>
          <w:tab w:val="num" w:pos="1680" w:leader="none"/>
        </w:tabs>
      </w:pPr>
      <w:rPr>
        <w:rFonts w:hint="eastAsia" w:cs="Times New Roman"/>
      </w:rPr>
    </w:lvl>
    <w:lvl w:ilvl="4">
      <w:start w:val="1"/>
      <w:numFmt w:val="lowerLetter"/>
      <w:isLgl w:val="false"/>
      <w:suff w:val="tab"/>
      <w:lvlText w:val="%5)"/>
      <w:lvlJc w:val="left"/>
      <w:pPr>
        <w:pStyle w:val="883"/>
        <w:ind w:left="2100" w:hanging="420"/>
        <w:tabs>
          <w:tab w:val="num" w:pos="2100" w:leader="none"/>
        </w:tabs>
      </w:pPr>
      <w:rPr>
        <w:rFonts w:hint="eastAsia" w:cs="Times New Roman"/>
      </w:rPr>
    </w:lvl>
    <w:lvl w:ilvl="5">
      <w:start w:val="1"/>
      <w:numFmt w:val="lowerRoman"/>
      <w:isLgl w:val="false"/>
      <w:suff w:val="tab"/>
      <w:lvlText w:val="%6."/>
      <w:lvlJc w:val="right"/>
      <w:pPr>
        <w:pStyle w:val="883"/>
        <w:ind w:left="2520" w:hanging="420"/>
        <w:tabs>
          <w:tab w:val="num" w:pos="2520" w:leader="none"/>
        </w:tabs>
      </w:pPr>
      <w:rPr>
        <w:rFonts w:hint="eastAsia" w:cs="Times New Roman"/>
      </w:rPr>
    </w:lvl>
    <w:lvl w:ilvl="6">
      <w:start w:val="1"/>
      <w:numFmt w:val="decimal"/>
      <w:isLgl w:val="false"/>
      <w:suff w:val="tab"/>
      <w:lvlText w:val="%7."/>
      <w:lvlJc w:val="left"/>
      <w:pPr>
        <w:pStyle w:val="883"/>
        <w:ind w:left="2940" w:hanging="420"/>
        <w:tabs>
          <w:tab w:val="num" w:pos="2940" w:leader="none"/>
        </w:tabs>
      </w:pPr>
      <w:rPr>
        <w:rFonts w:hint="eastAsia" w:cs="Times New Roman"/>
      </w:rPr>
    </w:lvl>
    <w:lvl w:ilvl="7">
      <w:start w:val="1"/>
      <w:numFmt w:val="lowerLetter"/>
      <w:isLgl w:val="false"/>
      <w:suff w:val="tab"/>
      <w:lvlText w:val="%8)"/>
      <w:lvlJc w:val="left"/>
      <w:pPr>
        <w:pStyle w:val="883"/>
        <w:ind w:left="3360" w:hanging="420"/>
        <w:tabs>
          <w:tab w:val="num" w:pos="3360" w:leader="none"/>
        </w:tabs>
      </w:pPr>
      <w:rPr>
        <w:rFonts w:hint="eastAsia" w:cs="Times New Roman"/>
      </w:rPr>
    </w:lvl>
    <w:lvl w:ilvl="8">
      <w:start w:val="1"/>
      <w:numFmt w:val="lowerRoman"/>
      <w:isLgl w:val="false"/>
      <w:suff w:val="tab"/>
      <w:lvlText w:val="%9."/>
      <w:lvlJc w:val="right"/>
      <w:pPr>
        <w:pStyle w:val="883"/>
        <w:ind w:left="3780" w:hanging="420"/>
        <w:tabs>
          <w:tab w:val="num" w:pos="3780" w:leader="none"/>
        </w:tabs>
      </w:pPr>
      <w:rPr>
        <w:rFonts w:hint="eastAsia" w:cs="Times New Roman"/>
      </w:rPr>
    </w:lvl>
  </w:abstractNum>
  <w:abstractNum w:abstractNumId="5">
    <w:multiLevelType w:val="hybridMultilevel"/>
    <w:lvl w:ilvl="0">
      <w:start w:val="1"/>
      <w:numFmt w:val="decimal"/>
      <w:pStyle w:val="981"/>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hint="eastAsia" w:ascii="宋体" w:hAnsi="宋体" w:eastAsia="宋体" w:cs="Times New Roman"/>
      </w:rPr>
    </w:lvl>
    <w:lvl w:ilvl="4">
      <w:start w:val="1"/>
      <w:numFmt w:val="decimal"/>
      <w:isLgl w:val="false"/>
      <w:suff w:val="space"/>
      <w:lvlText w:val="%5."/>
      <w:lvlJc w:val="left"/>
      <w:pPr>
        <w:pStyle w:val="883"/>
        <w:ind w:left="2250" w:hanging="420"/>
      </w:pPr>
      <w:rPr>
        <w:rFonts w:hint="eastAsia"/>
        <w:b/>
        <w:lang w:val="en-US"/>
      </w:rPr>
    </w:lvl>
    <w:lvl w:ilvl="5">
      <w:start w:val="10"/>
      <w:numFmt w:val="japaneseCounting"/>
      <w:isLgl w:val="false"/>
      <w:suff w:val="tab"/>
      <w:lvlText w:val="（%6）"/>
      <w:lvlJc w:val="left"/>
      <w:pPr>
        <w:pStyle w:val="883"/>
        <w:ind w:left="2970" w:hanging="720"/>
      </w:pPr>
      <w:rPr>
        <w:rFonts w:hint="eastAsia" w:cs="Times New Roman"/>
      </w:rPr>
    </w:lvl>
    <w:lvl w:ilvl="6">
      <w:start w:val="1"/>
      <w:numFmt w:val="decimal"/>
      <w:isLgl w:val="false"/>
      <w:suff w:val="tab"/>
      <w:lvlText w:val="（%7）"/>
      <w:lvlJc w:val="left"/>
      <w:pPr>
        <w:pStyle w:val="883"/>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hint="eastAsia" w:cs="Times New Roman"/>
      </w:rPr>
    </w:lvl>
    <w:lvl w:ilvl="8">
      <w:start w:val="1"/>
      <w:numFmt w:val="lowerRoman"/>
      <w:isLgl w:val="false"/>
      <w:suff w:val="tab"/>
      <w:lvlText w:val="%9."/>
      <w:lvlJc w:val="right"/>
      <w:pPr>
        <w:pStyle w:val="883"/>
        <w:ind w:left="3930" w:hanging="420"/>
        <w:tabs>
          <w:tab w:val="num" w:pos="3930" w:leader="none"/>
        </w:tabs>
      </w:pPr>
      <w:rPr>
        <w:rFonts w:hint="eastAsia" w:cs="Times New Roman"/>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HTML 预设格式"/>
    <w:basedOn w:val="883"/>
    <w:next w:val="945"/>
    <w:link w:val="946"/>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6">
    <w:name w:val="HTML 预设格式 Char"/>
    <w:basedOn w:val="893"/>
    <w:next w:val="946"/>
    <w:link w:val="945"/>
    <w:uiPriority w:val="99"/>
    <w:semiHidden/>
    <w:rPr>
      <w:rFonts w:ascii="宋体" w:hAnsi="宋体" w:cs="宋体"/>
      <w:sz w:val="24"/>
      <w:szCs w:val="24"/>
    </w:rPr>
  </w:style>
  <w:style w:type="paragraph" w:styleId="947">
    <w:name w:val="普通(网站)"/>
    <w:basedOn w:val="883"/>
    <w:next w:val="947"/>
    <w:link w:val="883"/>
    <w:uiPriority w:val="99"/>
    <w:pPr>
      <w:jc w:val="left"/>
      <w:spacing w:before="100" w:beforeAutospacing="1" w:after="100" w:afterAutospacing="1"/>
      <w:widowControl/>
    </w:pPr>
    <w:rPr>
      <w:rFonts w:ascii="宋体" w:hAnsi="宋体" w:cs="宋体"/>
      <w:sz w:val="24"/>
      <w:szCs w:val="24"/>
    </w:rPr>
  </w:style>
  <w:style w:type="paragraph" w:styleId="948">
    <w:name w:val="索引 1"/>
    <w:basedOn w:val="883"/>
    <w:next w:val="883"/>
    <w:link w:val="883"/>
    <w:semiHidden/>
    <w:pPr>
      <w:spacing w:line="240" w:lineRule="atLeast"/>
    </w:pPr>
    <w:rPr>
      <w:b/>
      <w:bCs/>
    </w:rPr>
  </w:style>
  <w:style w:type="paragraph" w:styleId="949">
    <w:name w:val="批注主题"/>
    <w:basedOn w:val="910"/>
    <w:next w:val="910"/>
    <w:link w:val="950"/>
    <w:semiHidden/>
    <w:rPr>
      <w:b/>
      <w:bCs/>
    </w:rPr>
  </w:style>
  <w:style w:type="character" w:styleId="950">
    <w:name w:val="批注主题 Char"/>
    <w:next w:val="950"/>
    <w:link w:val="949"/>
    <w:semiHidden/>
    <w:rPr>
      <w:rFonts w:ascii="Times New Roman" w:hAnsi="Times New Roman" w:eastAsia="宋体" w:cs="Times New Roman"/>
      <w:b/>
      <w:bCs/>
      <w:szCs w:val="21"/>
    </w:rPr>
  </w:style>
  <w:style w:type="paragraph" w:styleId="951">
    <w:name w:val="正文首行缩进"/>
    <w:basedOn w:val="883"/>
    <w:next w:val="951"/>
    <w:link w:val="952"/>
    <w:pPr>
      <w:ind w:firstLine="200"/>
      <w:spacing w:line="360" w:lineRule="auto"/>
    </w:pPr>
    <w:rPr>
      <w:rFonts w:ascii="仿宋_GB2312" w:eastAsia="仿宋_GB2312"/>
      <w:sz w:val="30"/>
      <w:szCs w:val="30"/>
    </w:rPr>
  </w:style>
  <w:style w:type="character" w:styleId="952">
    <w:name w:val="正文首行缩进 Char"/>
    <w:next w:val="952"/>
    <w:link w:val="951"/>
    <w:rPr>
      <w:rFonts w:ascii="仿宋_GB2312" w:hAnsi="Times New Roman" w:eastAsia="仿宋_GB2312" w:cs="Times New Roman"/>
      <w:sz w:val="30"/>
      <w:szCs w:val="30"/>
    </w:rPr>
  </w:style>
  <w:style w:type="paragraph" w:styleId="953">
    <w:name w:val="正文首行缩进 2"/>
    <w:basedOn w:val="916"/>
    <w:next w:val="953"/>
    <w:link w:val="954"/>
    <w:pPr>
      <w:ind w:firstLine="420"/>
      <w:spacing w:line="360" w:lineRule="auto"/>
    </w:pPr>
    <w:rPr>
      <w:rFonts w:ascii="宋体" w:hAnsi="宋体" w:eastAsia="宋体"/>
      <w:szCs w:val="20"/>
    </w:rPr>
  </w:style>
  <w:style w:type="character" w:styleId="954">
    <w:name w:val="正文首行缩进 2 Char"/>
    <w:next w:val="954"/>
    <w:link w:val="953"/>
    <w:rPr>
      <w:rFonts w:ascii="宋体" w:hAnsi="宋体" w:eastAsia="宋体" w:cs="Times New Roman"/>
      <w:sz w:val="32"/>
      <w:szCs w:val="20"/>
    </w:rPr>
  </w:style>
  <w:style w:type="table" w:styleId="955">
    <w:name w:val="网格型"/>
    <w:basedOn w:val="894"/>
    <w:next w:val="955"/>
    <w:link w:val="883"/>
    <w:pPr>
      <w:jc w:val="both"/>
      <w:widowControl w:val="off"/>
    </w:pPr>
    <w:rPr>
      <w:rFonts w:ascii="Times New Roman" w:hAnsi="Times New Roman" w:eastAsia="宋体" w:cs="Times New Roman"/>
      <w:sz w:val="20"/>
      <w:szCs w:val="20"/>
    </w:rPr>
    <w:tblPr/>
  </w:style>
  <w:style w:type="character" w:styleId="956">
    <w:name w:val="要点"/>
    <w:next w:val="956"/>
    <w:link w:val="883"/>
    <w:qFormat/>
    <w:rPr>
      <w:b/>
      <w:bCs/>
    </w:rPr>
  </w:style>
  <w:style w:type="character" w:styleId="957">
    <w:name w:val="页码"/>
    <w:next w:val="957"/>
    <w:link w:val="883"/>
  </w:style>
  <w:style w:type="character" w:styleId="958">
    <w:name w:val="已访问的超链接"/>
    <w:next w:val="958"/>
    <w:link w:val="883"/>
    <w:rPr>
      <w:color w:val="800080"/>
      <w:u w:val="single"/>
    </w:rPr>
  </w:style>
  <w:style w:type="character" w:styleId="959">
    <w:name w:val="HTML 打字机"/>
    <w:next w:val="959"/>
    <w:link w:val="883"/>
    <w:uiPriority w:val="99"/>
    <w:rPr>
      <w:rFonts w:ascii="宋体" w:hAnsi="宋体" w:eastAsia="宋体" w:cs="宋体"/>
      <w:sz w:val="24"/>
      <w:szCs w:val="24"/>
    </w:rPr>
  </w:style>
  <w:style w:type="character" w:styleId="960">
    <w:name w:val="超链接"/>
    <w:next w:val="960"/>
    <w:link w:val="883"/>
    <w:rPr>
      <w:color w:val="0000ff"/>
      <w:u w:val="single"/>
    </w:rPr>
  </w:style>
  <w:style w:type="character" w:styleId="961">
    <w:name w:val="批注引用"/>
    <w:next w:val="961"/>
    <w:link w:val="883"/>
    <w:semiHidden/>
    <w:rPr>
      <w:sz w:val="21"/>
      <w:szCs w:val="21"/>
    </w:rPr>
  </w:style>
  <w:style w:type="character" w:styleId="962">
    <w:name w:val="font5 Char"/>
    <w:next w:val="962"/>
    <w:link w:val="883"/>
    <w:rPr>
      <w:rFonts w:ascii="宋体" w:hAnsi="宋体" w:eastAsia="宋体"/>
      <w:sz w:val="28"/>
      <w:szCs w:val="28"/>
      <w:lang w:val="en-US" w:eastAsia="zh-CN" w:bidi="ar-SA"/>
    </w:rPr>
  </w:style>
  <w:style w:type="character" w:styleId="963">
    <w:name w:val="二级目录 Char"/>
    <w:next w:val="963"/>
    <w:link w:val="964"/>
    <w:rPr>
      <w:b/>
      <w:sz w:val="30"/>
      <w:szCs w:val="28"/>
      <w:lang w:val="en-US" w:eastAsia="zh-CN" w:bidi="ar-SA"/>
    </w:rPr>
  </w:style>
  <w:style w:type="paragraph" w:styleId="964">
    <w:name w:val="二级目录"/>
    <w:next w:val="883"/>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83"/>
    <w:next w:val="966"/>
    <w:link w:val="965"/>
    <w:qFormat/>
    <w:pPr>
      <w:contextualSpacing/>
      <w:ind w:left="720"/>
      <w:jc w:val="left"/>
      <w:widowControl/>
    </w:pPr>
    <w:rPr>
      <w:rFonts w:ascii="Calibri" w:hAnsi="Calibri"/>
      <w:sz w:val="24"/>
      <w:szCs w:val="24"/>
      <w:lang w:eastAsia="en-US" w:bidi="en-US"/>
    </w:rPr>
  </w:style>
  <w:style w:type="paragraph" w:styleId="967">
    <w:name w:val="Body Text(ch)"/>
    <w:basedOn w:val="883"/>
    <w:next w:val="914"/>
    <w:link w:val="883"/>
    <w:pPr>
      <w:spacing w:after="120"/>
    </w:pPr>
    <w:rPr>
      <w:rFonts w:ascii="宋体" w:hAnsi="Arial"/>
      <w:bCs/>
      <w:iCs/>
      <w:szCs w:val="24"/>
    </w:rPr>
  </w:style>
  <w:style w:type="paragraph" w:styleId="968">
    <w:name w:val="xl27"/>
    <w:basedOn w:val="883"/>
    <w:next w:val="968"/>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name w:val="xl26"/>
    <w:basedOn w:val="883"/>
    <w:next w:val="969"/>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name w:val="Char"/>
    <w:basedOn w:val="883"/>
    <w:next w:val="970"/>
    <w:link w:val="883"/>
    <w:pPr>
      <w:ind w:firstLine="200"/>
      <w:tabs>
        <w:tab w:val="left" w:pos="360" w:leader="none"/>
      </w:tabs>
    </w:pPr>
    <w:rPr>
      <w:sz w:val="28"/>
      <w:szCs w:val="30"/>
    </w:rPr>
  </w:style>
  <w:style w:type="paragraph" w:styleId="971">
    <w:name w:val=" Char"/>
    <w:basedOn w:val="908"/>
    <w:next w:val="971"/>
    <w:link w:val="883"/>
    <w:rPr>
      <w:rFonts w:ascii="Tahoma" w:hAnsi="Tahoma"/>
      <w:sz w:val="24"/>
      <w:szCs w:val="24"/>
    </w:rPr>
  </w:style>
  <w:style w:type="paragraph" w:styleId="972">
    <w:name w:val="普通正文"/>
    <w:basedOn w:val="883"/>
    <w:next w:val="972"/>
    <w:link w:val="883"/>
    <w:pPr>
      <w:ind w:firstLine="480"/>
      <w:jc w:val="left"/>
      <w:spacing w:before="120" w:after="120" w:line="360" w:lineRule="auto"/>
    </w:pPr>
    <w:rPr>
      <w:rFonts w:ascii="Arial" w:hAnsi="Arial"/>
      <w:sz w:val="24"/>
      <w:szCs w:val="24"/>
    </w:rPr>
  </w:style>
  <w:style w:type="paragraph" w:styleId="973">
    <w:name w:val="table_lines"/>
    <w:basedOn w:val="883"/>
    <w:next w:val="973"/>
    <w:link w:val="883"/>
    <w:pPr>
      <w:jc w:val="left"/>
      <w:widowControl/>
    </w:pPr>
    <w:rPr>
      <w:sz w:val="20"/>
      <w:szCs w:val="20"/>
      <w:lang w:val="de-DE" w:eastAsia="de-DE"/>
    </w:rPr>
  </w:style>
  <w:style w:type="paragraph" w:styleId="974">
    <w:name w:val="附录1"/>
    <w:next w:val="974"/>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83"/>
    <w:next w:val="975"/>
    <w:link w:val="883"/>
    <w:pPr>
      <w:jc w:val="left"/>
      <w:spacing w:before="100" w:beforeAutospacing="1" w:after="100" w:afterAutospacing="1"/>
      <w:widowControl/>
    </w:pPr>
    <w:rPr>
      <w:rFonts w:hint="eastAsia" w:ascii="宋体" w:hAnsi="宋体"/>
      <w:sz w:val="18"/>
      <w:szCs w:val="18"/>
    </w:rPr>
  </w:style>
  <w:style w:type="paragraph" w:styleId="976">
    <w:name w:val=" Char Char Char Char"/>
    <w:basedOn w:val="908"/>
    <w:next w:val="976"/>
    <w:link w:val="883"/>
    <w:pPr>
      <w:spacing w:line="360" w:lineRule="auto"/>
    </w:pPr>
    <w:rPr>
      <w:rFonts w:ascii="Tahoma" w:hAnsi="Tahoma"/>
      <w:sz w:val="24"/>
      <w:szCs w:val="24"/>
    </w:rPr>
  </w:style>
  <w:style w:type="paragraph" w:styleId="977">
    <w:name w:val="列出段落"/>
    <w:basedOn w:val="883"/>
    <w:next w:val="977"/>
    <w:link w:val="883"/>
    <w:uiPriority w:val="99"/>
    <w:qFormat/>
    <w:pPr>
      <w:contextualSpacing/>
      <w:ind w:left="720"/>
      <w:jc w:val="left"/>
      <w:widowControl/>
    </w:pPr>
    <w:rPr>
      <w:rFonts w:ascii="Calibri" w:hAnsi="Calibri"/>
      <w:sz w:val="24"/>
      <w:szCs w:val="24"/>
      <w:lang w:eastAsia="en-US" w:bidi="en-US"/>
    </w:rPr>
  </w:style>
  <w:style w:type="paragraph" w:styleId="978">
    <w:name w:val="4"/>
    <w:basedOn w:val="883"/>
    <w:next w:val="938"/>
    <w:link w:val="883"/>
    <w:pPr>
      <w:ind w:firstLine="420"/>
      <w:spacing w:line="360" w:lineRule="auto"/>
    </w:pPr>
    <w:rPr>
      <w:color w:val="ff0000"/>
      <w:sz w:val="24"/>
      <w:szCs w:val="24"/>
    </w:rPr>
  </w:style>
  <w:style w:type="paragraph" w:styleId="979">
    <w:name w:val="普通 (Web)"/>
    <w:basedOn w:val="883"/>
    <w:next w:val="979"/>
    <w:link w:val="883"/>
    <w:pPr>
      <w:jc w:val="left"/>
      <w:spacing w:before="100" w:beforeAutospacing="1" w:after="100" w:afterAutospacing="1"/>
      <w:widowControl/>
    </w:pPr>
    <w:rPr>
      <w:rFonts w:ascii="宋体" w:hAnsi="宋体"/>
      <w:sz w:val="24"/>
      <w:szCs w:val="24"/>
    </w:rPr>
  </w:style>
  <w:style w:type="paragraph" w:styleId="980">
    <w:name w:val=" Char Char Char Char Char Char Char Char Char Char"/>
    <w:basedOn w:val="883"/>
    <w:next w:val="980"/>
    <w:link w:val="883"/>
    <w:pPr>
      <w:spacing w:line="360" w:lineRule="auto"/>
    </w:pPr>
    <w:rPr>
      <w:sz w:val="24"/>
      <w:szCs w:val="20"/>
    </w:rPr>
  </w:style>
  <w:style w:type="paragraph" w:styleId="981">
    <w:name w:val="样式1"/>
    <w:basedOn w:val="883"/>
    <w:next w:val="981"/>
    <w:link w:val="883"/>
    <w:pPr>
      <w:numPr>
        <w:ilvl w:val="0"/>
        <w:numId w:val="3"/>
      </w:numPr>
      <w:tabs>
        <w:tab w:val="left" w:pos="709" w:leader="none"/>
      </w:tabs>
    </w:pPr>
    <w:rPr>
      <w:rFonts w:ascii="宋体" w:hAnsi="宋体"/>
    </w:rPr>
  </w:style>
  <w:style w:type="paragraph" w:styleId="982">
    <w:name w:val="font6"/>
    <w:basedOn w:val="883"/>
    <w:next w:val="982"/>
    <w:link w:val="883"/>
    <w:pPr>
      <w:jc w:val="left"/>
      <w:spacing w:before="100" w:beforeAutospacing="1" w:after="100" w:afterAutospacing="1"/>
      <w:widowControl/>
    </w:pPr>
    <w:rPr>
      <w:rFonts w:hint="eastAsia" w:ascii="宋体" w:hAnsi="宋体"/>
      <w:sz w:val="28"/>
      <w:szCs w:val="28"/>
      <w:u w:val="single"/>
    </w:rPr>
  </w:style>
  <w:style w:type="paragraph" w:styleId="983">
    <w:name w:val="xl25"/>
    <w:basedOn w:val="883"/>
    <w:next w:val="983"/>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name w:val="标题3"/>
    <w:basedOn w:val="883"/>
    <w:next w:val="883"/>
    <w:link w:val="883"/>
    <w:pPr>
      <w:ind w:firstLine="624"/>
      <w:spacing w:line="590" w:lineRule="atLeast"/>
    </w:pPr>
    <w:rPr>
      <w:rFonts w:ascii="方正黑体_GBK" w:eastAsia="方正黑体_GBK"/>
      <w:sz w:val="32"/>
      <w:szCs w:val="32"/>
    </w:rPr>
  </w:style>
  <w:style w:type="paragraph" w:styleId="986">
    <w:name w:val="xl24"/>
    <w:basedOn w:val="883"/>
    <w:next w:val="98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xl29"/>
    <w:basedOn w:val="883"/>
    <w:next w:val="987"/>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name w:val="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28"/>
    <w:basedOn w:val="883"/>
    <w:next w:val="989"/>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name w:val=" Char Char Char Char Char Char Char Char"/>
    <w:basedOn w:val="883"/>
    <w:next w:val="990"/>
    <w:link w:val="883"/>
    <w:pPr>
      <w:jc w:val="left"/>
      <w:spacing w:after="160" w:line="240" w:lineRule="exact"/>
      <w:widowControl/>
    </w:pPr>
    <w:rPr>
      <w:rFonts w:ascii="Verdana" w:hAnsi="Verdana"/>
      <w:sz w:val="20"/>
      <w:szCs w:val="20"/>
      <w:lang w:eastAsia="en-US"/>
    </w:rPr>
  </w:style>
  <w:style w:type="paragraph" w:styleId="991">
    <w:name w:val="xl30"/>
    <w:basedOn w:val="883"/>
    <w:next w:val="991"/>
    <w:link w:val="883"/>
    <w:pPr>
      <w:jc w:val="center"/>
      <w:spacing w:before="100" w:beforeAutospacing="1" w:after="100" w:afterAutospacing="1"/>
      <w:widowControl/>
    </w:pPr>
    <w:rPr>
      <w:rFonts w:ascii="宋体" w:hAnsi="宋体"/>
      <w:b/>
      <w:bCs/>
      <w:sz w:val="36"/>
      <w:szCs w:val="36"/>
    </w:rPr>
  </w:style>
  <w:style w:type="paragraph" w:styleId="992">
    <w:name w:val="Char Char Char Char"/>
    <w:basedOn w:val="908"/>
    <w:next w:val="992"/>
    <w:link w:val="883"/>
    <w:pPr>
      <w:spacing w:line="360" w:lineRule="auto"/>
    </w:pPr>
    <w:rPr>
      <w:rFonts w:ascii="Tahoma" w:hAnsi="Tahoma"/>
      <w:sz w:val="24"/>
      <w:szCs w:val="24"/>
    </w:rPr>
  </w:style>
  <w:style w:type="paragraph" w:styleId="993">
    <w:name w:val="table_1stline"/>
    <w:basedOn w:val="883"/>
    <w:next w:val="993"/>
    <w:link w:val="883"/>
    <w:pPr>
      <w:jc w:val="left"/>
      <w:spacing w:before="120"/>
      <w:widowControl/>
    </w:pPr>
    <w:rPr>
      <w:bCs/>
      <w:sz w:val="20"/>
      <w:szCs w:val="20"/>
      <w:lang w:val="de-DE" w:eastAsia="de-DE"/>
    </w:rPr>
  </w:style>
  <w:style w:type="paragraph" w:styleId="994">
    <w:name w:val="font5"/>
    <w:basedOn w:val="883"/>
    <w:next w:val="994"/>
    <w:link w:val="883"/>
    <w:pPr>
      <w:jc w:val="left"/>
      <w:spacing w:before="100" w:beforeAutospacing="1" w:after="100" w:afterAutospacing="1"/>
      <w:widowControl/>
    </w:pPr>
    <w:rPr>
      <w:rFonts w:hint="eastAsia" w:ascii="宋体" w:hAnsi="宋体"/>
      <w:sz w:val="28"/>
      <w:szCs w:val="28"/>
    </w:rPr>
  </w:style>
  <w:style w:type="paragraph" w:styleId="995">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修订"/>
    <w:next w:val="996"/>
    <w:link w:val="883"/>
    <w:uiPriority w:val="99"/>
    <w:semiHidden/>
    <w:rPr>
      <w:rFonts w:ascii="Times New Roman" w:hAnsi="Times New Roman"/>
      <w:sz w:val="21"/>
      <w:szCs w:val="21"/>
      <w:lang w:val="en-US" w:eastAsia="zh-CN" w:bidi="ar-SA"/>
    </w:rPr>
  </w:style>
  <w:style w:type="paragraph" w:styleId="997">
    <w:name w:val="无间隔"/>
    <w:next w:val="997"/>
    <w:link w:val="883"/>
    <w:uiPriority w:val="99"/>
    <w:qFormat/>
    <w:pPr>
      <w:jc w:val="both"/>
      <w:widowControl w:val="off"/>
    </w:pPr>
    <w:rPr>
      <w:rFonts w:ascii="Times New Roman" w:hAnsi="Times New Roman"/>
      <w:sz w:val="21"/>
      <w:szCs w:val="21"/>
      <w:lang w:val="en-US" w:eastAsia="zh-CN" w:bidi="ar-SA"/>
    </w:rPr>
  </w:style>
  <w:style w:type="paragraph" w:styleId="998">
    <w:name w:val="普通文字"/>
    <w:basedOn w:val="883"/>
    <w:next w:val="883"/>
    <w:link w:val="883"/>
    <w:uiPriority w:val="99"/>
    <w:rPr>
      <w:rFonts w:ascii="宋体" w:hAnsi="Times New Roman" w:eastAsia="宋体" w:cs="Times New Roman"/>
      <w:sz w:val="24"/>
      <w:szCs w:val="20"/>
      <w:u w:val="none"/>
    </w:rPr>
  </w:style>
  <w:style w:type="paragraph" w:styleId="999">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73</cp:revision>
  <dcterms:created xsi:type="dcterms:W3CDTF">2023-03-16T02:16:00Z</dcterms:created>
  <dcterms:modified xsi:type="dcterms:W3CDTF">2026-06-10T08:01:24Z</dcterms:modified>
</cp:coreProperties>
</file>