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7A06A">
      <w:pPr>
        <w:jc w:val="center"/>
        <w:rPr>
          <w:rFonts w:cs="宋体" w:asciiTheme="minorEastAsia" w:hAnsiTheme="minorEastAsia" w:eastAsiaTheme="minorEastAsia"/>
          <w:b/>
          <w:bCs/>
          <w:sz w:val="84"/>
          <w:szCs w:val="84"/>
          <w:highlight w:val="none"/>
        </w:rPr>
      </w:pPr>
    </w:p>
    <w:p w14:paraId="2F3E9E28">
      <w:pPr>
        <w:jc w:val="center"/>
        <w:rPr>
          <w:rFonts w:cs="宋体" w:asciiTheme="minorEastAsia" w:hAnsiTheme="minorEastAsia" w:eastAsiaTheme="minorEastAsia"/>
          <w:b/>
          <w:bCs/>
          <w:sz w:val="84"/>
          <w:szCs w:val="84"/>
          <w:highlight w:val="none"/>
        </w:rPr>
      </w:pPr>
    </w:p>
    <w:p w14:paraId="06C6B89A">
      <w:pPr>
        <w:jc w:val="center"/>
        <w:rPr>
          <w:rFonts w:cs="宋体" w:asciiTheme="minorEastAsia" w:hAnsiTheme="minorEastAsia" w:eastAsiaTheme="minorEastAsia"/>
          <w:b/>
          <w:bCs/>
          <w:sz w:val="84"/>
          <w:szCs w:val="84"/>
          <w:highlight w:val="none"/>
        </w:rPr>
      </w:pPr>
      <w:r>
        <w:rPr>
          <w:rFonts w:hint="eastAsia" w:cs="宋体" w:asciiTheme="minorEastAsia" w:hAnsiTheme="minorEastAsia" w:eastAsiaTheme="minorEastAsia"/>
          <w:b/>
          <w:bCs/>
          <w:sz w:val="84"/>
          <w:szCs w:val="84"/>
          <w:highlight w:val="none"/>
        </w:rPr>
        <w:t>招 标 文 件</w:t>
      </w:r>
    </w:p>
    <w:p w14:paraId="4A3A1B12">
      <w:pPr>
        <w:jc w:val="center"/>
        <w:rPr>
          <w:rFonts w:cs="宋体" w:asciiTheme="minorEastAsia" w:hAnsiTheme="minorEastAsia" w:eastAsiaTheme="minorEastAsia"/>
          <w:sz w:val="32"/>
          <w:szCs w:val="32"/>
          <w:highlight w:val="none"/>
        </w:rPr>
      </w:pPr>
    </w:p>
    <w:p w14:paraId="7BBA7E61">
      <w:pPr>
        <w:rPr>
          <w:rFonts w:cs="宋体" w:asciiTheme="minorEastAsia" w:hAnsiTheme="minorEastAsia" w:eastAsiaTheme="minorEastAsia"/>
          <w:sz w:val="36"/>
          <w:szCs w:val="36"/>
          <w:highlight w:val="none"/>
        </w:rPr>
      </w:pPr>
    </w:p>
    <w:p w14:paraId="6E250F5C">
      <w:pPr>
        <w:pStyle w:val="6"/>
        <w:rPr>
          <w:rFonts w:asciiTheme="minorEastAsia" w:hAnsiTheme="minorEastAsia" w:eastAsiaTheme="minorEastAsia"/>
          <w:highlight w:val="none"/>
        </w:rPr>
      </w:pPr>
    </w:p>
    <w:p w14:paraId="59EFCD04">
      <w:pPr>
        <w:spacing w:line="360" w:lineRule="auto"/>
        <w:jc w:val="center"/>
        <w:rPr>
          <w:rFonts w:hint="eastAsia" w:cs="宋体" w:asciiTheme="minorEastAsia" w:hAnsiTheme="minorEastAsia" w:eastAsiaTheme="minorEastAsia"/>
          <w:b/>
          <w:sz w:val="32"/>
          <w:szCs w:val="32"/>
          <w:highlight w:val="none"/>
          <w:lang w:eastAsia="zh-CN"/>
        </w:rPr>
      </w:pPr>
      <w:r>
        <w:rPr>
          <w:rFonts w:hint="eastAsia" w:cs="宋体" w:asciiTheme="minorEastAsia" w:hAnsiTheme="minorEastAsia" w:eastAsiaTheme="minorEastAsia"/>
          <w:b/>
          <w:sz w:val="32"/>
          <w:szCs w:val="32"/>
          <w:highlight w:val="none"/>
        </w:rPr>
        <w:t>项目名称：</w:t>
      </w:r>
      <w:r>
        <w:rPr>
          <w:rFonts w:hint="eastAsia" w:cs="宋体" w:asciiTheme="minorEastAsia" w:hAnsiTheme="minorEastAsia" w:eastAsiaTheme="minorEastAsia"/>
          <w:b/>
          <w:sz w:val="32"/>
          <w:szCs w:val="32"/>
          <w:highlight w:val="none"/>
          <w:lang w:eastAsia="zh-CN"/>
        </w:rPr>
        <w:t>2026年度盐南高新区餐饮油烟在线监控运维服务项目</w:t>
      </w:r>
    </w:p>
    <w:p w14:paraId="6724F04B">
      <w:pPr>
        <w:spacing w:line="360" w:lineRule="auto"/>
        <w:rPr>
          <w:rFonts w:cs="宋体" w:asciiTheme="minorEastAsia" w:hAnsiTheme="minorEastAsia" w:eastAsiaTheme="minorEastAsia"/>
          <w:b/>
          <w:bCs/>
          <w:sz w:val="36"/>
          <w:szCs w:val="36"/>
          <w:highlight w:val="none"/>
        </w:rPr>
      </w:pPr>
    </w:p>
    <w:p w14:paraId="265A8A08">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项目编号：JSZC-320992-RHHH-G2026-0039 </w:t>
      </w:r>
    </w:p>
    <w:p w14:paraId="37FA24C9">
      <w:pPr>
        <w:jc w:val="center"/>
        <w:rPr>
          <w:rFonts w:cs="宋体" w:asciiTheme="minorEastAsia" w:hAnsiTheme="minorEastAsia" w:eastAsiaTheme="minorEastAsia"/>
          <w:sz w:val="30"/>
          <w:szCs w:val="30"/>
          <w:highlight w:val="none"/>
        </w:rPr>
      </w:pPr>
    </w:p>
    <w:p w14:paraId="7F01CDFC">
      <w:pPr>
        <w:jc w:val="center"/>
        <w:rPr>
          <w:rFonts w:cs="宋体" w:asciiTheme="minorEastAsia" w:hAnsiTheme="minorEastAsia" w:eastAsiaTheme="minorEastAsia"/>
          <w:sz w:val="30"/>
          <w:szCs w:val="30"/>
          <w:highlight w:val="none"/>
        </w:rPr>
      </w:pPr>
    </w:p>
    <w:p w14:paraId="2E1A0D03">
      <w:pPr>
        <w:jc w:val="center"/>
        <w:rPr>
          <w:rFonts w:cs="宋体" w:asciiTheme="minorEastAsia" w:hAnsiTheme="minorEastAsia" w:eastAsiaTheme="minorEastAsia"/>
          <w:sz w:val="30"/>
          <w:szCs w:val="30"/>
          <w:highlight w:val="none"/>
        </w:rPr>
      </w:pPr>
    </w:p>
    <w:p w14:paraId="687BB665">
      <w:pPr>
        <w:pStyle w:val="255"/>
        <w:ind w:firstLine="420"/>
        <w:rPr>
          <w:rFonts w:cs="宋体" w:asciiTheme="minorEastAsia" w:hAnsiTheme="minorEastAsia" w:eastAsiaTheme="minorEastAsia"/>
          <w:highlight w:val="none"/>
        </w:rPr>
      </w:pPr>
    </w:p>
    <w:p w14:paraId="6BCA7039">
      <w:pPr>
        <w:pStyle w:val="255"/>
        <w:ind w:firstLine="0"/>
        <w:rPr>
          <w:rFonts w:cs="宋体" w:asciiTheme="minorEastAsia" w:hAnsiTheme="minorEastAsia" w:eastAsiaTheme="minorEastAsia"/>
          <w:highlight w:val="none"/>
        </w:rPr>
      </w:pPr>
    </w:p>
    <w:p w14:paraId="031E1111">
      <w:pPr>
        <w:spacing w:line="360" w:lineRule="auto"/>
        <w:ind w:firstLine="1285"/>
        <w:rPr>
          <w:rFonts w:cs="宋体" w:asciiTheme="minorEastAsia" w:hAnsiTheme="minorEastAsia" w:eastAsiaTheme="minorEastAsia"/>
          <w:b/>
          <w:bCs/>
          <w:sz w:val="32"/>
          <w:szCs w:val="32"/>
          <w:highlight w:val="none"/>
        </w:rPr>
      </w:pPr>
    </w:p>
    <w:p w14:paraId="6DCE0E2A">
      <w:pPr>
        <w:spacing w:line="360" w:lineRule="auto"/>
        <w:ind w:firstLine="1285"/>
        <w:rPr>
          <w:rFonts w:cs="宋体" w:asciiTheme="minorEastAsia" w:hAnsiTheme="minorEastAsia" w:eastAsiaTheme="minorEastAsia"/>
          <w:b/>
          <w:sz w:val="32"/>
          <w:szCs w:val="32"/>
          <w:highlight w:val="none"/>
        </w:rPr>
      </w:pPr>
    </w:p>
    <w:p w14:paraId="42BD6DC3">
      <w:pPr>
        <w:spacing w:line="360" w:lineRule="auto"/>
        <w:ind w:firstLine="1285"/>
        <w:rPr>
          <w:rFonts w:cs="宋体" w:asciiTheme="minorEastAsia" w:hAnsiTheme="minorEastAsia" w:eastAsiaTheme="minorEastAsia"/>
          <w:b/>
          <w:sz w:val="32"/>
          <w:szCs w:val="32"/>
          <w:highlight w:val="none"/>
        </w:rPr>
      </w:pPr>
    </w:p>
    <w:p w14:paraId="7B0B4C9F">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盐城市生态环境局盐南高新区分局</w:t>
      </w:r>
    </w:p>
    <w:p w14:paraId="7253CF53">
      <w:pPr>
        <w:spacing w:line="360" w:lineRule="auto"/>
        <w:jc w:val="center"/>
        <w:rPr>
          <w:rFonts w:asciiTheme="minorEastAsia" w:hAnsiTheme="minorEastAsia" w:eastAsiaTheme="minorEastAsia"/>
          <w:b/>
          <w:bCs/>
          <w:sz w:val="30"/>
          <w:szCs w:val="30"/>
          <w:highlight w:val="none"/>
        </w:rPr>
      </w:pPr>
      <w:r>
        <w:rPr>
          <w:rFonts w:hint="eastAsia" w:cs="宋体" w:asciiTheme="minorEastAsia" w:hAnsiTheme="minorEastAsia" w:eastAsiaTheme="minorEastAsia"/>
          <w:b/>
          <w:sz w:val="32"/>
          <w:szCs w:val="32"/>
          <w:highlight w:val="none"/>
        </w:rPr>
        <w:t>2026</w:t>
      </w:r>
      <w:r>
        <w:rPr>
          <w:rFonts w:cs="宋体" w:asciiTheme="minorEastAsia" w:hAnsiTheme="minorEastAsia" w:eastAsiaTheme="minorEastAsia"/>
          <w:b/>
          <w:sz w:val="32"/>
          <w:szCs w:val="32"/>
          <w:highlight w:val="none"/>
        </w:rPr>
        <w:t>年</w:t>
      </w:r>
      <w:r>
        <w:rPr>
          <w:rFonts w:hint="eastAsia" w:cs="宋体" w:asciiTheme="minorEastAsia" w:hAnsiTheme="minorEastAsia" w:eastAsiaTheme="minorEastAsia"/>
          <w:b/>
          <w:sz w:val="32"/>
          <w:szCs w:val="32"/>
          <w:highlight w:val="none"/>
          <w:lang w:val="en-US" w:eastAsia="zh-CN"/>
        </w:rPr>
        <w:t>6</w:t>
      </w:r>
      <w:r>
        <w:rPr>
          <w:rFonts w:cs="宋体" w:asciiTheme="minorEastAsia" w:hAnsiTheme="minorEastAsia" w:eastAsiaTheme="minorEastAsia"/>
          <w:b/>
          <w:sz w:val="32"/>
          <w:szCs w:val="32"/>
          <w:highlight w:val="none"/>
        </w:rPr>
        <w:t>月</w:t>
      </w:r>
    </w:p>
    <w:p w14:paraId="18B48A30">
      <w:pPr>
        <w:spacing w:line="576" w:lineRule="exact"/>
        <w:rPr>
          <w:rFonts w:cs="宋体" w:asciiTheme="minorEastAsia" w:hAnsiTheme="minorEastAsia" w:eastAsiaTheme="minorEastAsia"/>
          <w:sz w:val="44"/>
          <w:szCs w:val="44"/>
          <w:highlight w:val="none"/>
        </w:rPr>
      </w:pPr>
    </w:p>
    <w:p w14:paraId="1EB89C7D">
      <w:pPr>
        <w:tabs>
          <w:tab w:val="left" w:pos="7474"/>
        </w:tabs>
        <w:spacing w:line="576" w:lineRule="exact"/>
        <w:jc w:val="left"/>
        <w:rPr>
          <w:rFonts w:cs="宋体" w:asciiTheme="minorEastAsia" w:hAnsiTheme="minorEastAsia" w:eastAsiaTheme="minorEastAsia"/>
          <w:sz w:val="44"/>
          <w:szCs w:val="44"/>
          <w:highlight w:val="none"/>
        </w:rPr>
      </w:pPr>
      <w:r>
        <w:rPr>
          <w:rFonts w:asciiTheme="minorEastAsia" w:hAnsiTheme="minorEastAsia" w:eastAsiaTheme="minorEastAsia"/>
          <w:highlight w:val="none"/>
        </w:rPr>
        <w:tab/>
      </w:r>
    </w:p>
    <w:p w14:paraId="45B67830">
      <w:pPr>
        <w:spacing w:line="576" w:lineRule="exact"/>
        <w:jc w:val="center"/>
        <w:rPr>
          <w:rFonts w:cs="宋体" w:asciiTheme="minorEastAsia" w:hAnsiTheme="minorEastAsia" w:eastAsiaTheme="minorEastAsia"/>
          <w:sz w:val="44"/>
          <w:szCs w:val="44"/>
          <w:highlight w:val="none"/>
        </w:rPr>
      </w:pPr>
    </w:p>
    <w:p w14:paraId="2EF408EE">
      <w:pPr>
        <w:spacing w:line="576" w:lineRule="exact"/>
        <w:jc w:val="center"/>
        <w:rPr>
          <w:rFonts w:cs="宋体" w:asciiTheme="minorEastAsia" w:hAnsiTheme="minorEastAsia" w:eastAsiaTheme="minorEastAsia"/>
          <w:sz w:val="44"/>
          <w:szCs w:val="44"/>
          <w:highlight w:val="none"/>
        </w:rPr>
      </w:pPr>
    </w:p>
    <w:p w14:paraId="51F44DDF">
      <w:pPr>
        <w:spacing w:line="576" w:lineRule="exact"/>
        <w:jc w:val="center"/>
        <w:rPr>
          <w:rFonts w:cs="宋体" w:asciiTheme="minorEastAsia" w:hAnsiTheme="minorEastAsia" w:eastAsiaTheme="minorEastAsia"/>
          <w:sz w:val="44"/>
          <w:szCs w:val="44"/>
          <w:highlight w:val="none"/>
        </w:rPr>
      </w:pPr>
      <w:r>
        <w:rPr>
          <w:rFonts w:hint="eastAsia" w:cs="宋体" w:asciiTheme="minorEastAsia" w:hAnsiTheme="minorEastAsia" w:eastAsiaTheme="minorEastAsia"/>
          <w:sz w:val="44"/>
          <w:szCs w:val="44"/>
          <w:highlight w:val="none"/>
        </w:rPr>
        <w:t>目  录</w:t>
      </w:r>
    </w:p>
    <w:p w14:paraId="7454E5A8">
      <w:pPr>
        <w:spacing w:line="576" w:lineRule="exact"/>
        <w:jc w:val="left"/>
        <w:rPr>
          <w:rFonts w:cs="宋体" w:asciiTheme="minorEastAsia" w:hAnsiTheme="minorEastAsia" w:eastAsiaTheme="minorEastAsia"/>
          <w:sz w:val="28"/>
          <w:szCs w:val="28"/>
          <w:highlight w:val="none"/>
        </w:rPr>
      </w:pPr>
    </w:p>
    <w:p w14:paraId="2F5640DA">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第一部分  投标公告………………………………………………3</w:t>
      </w:r>
    </w:p>
    <w:p w14:paraId="7105996C">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第二部分  投标人须知……………………………………………6</w:t>
      </w:r>
    </w:p>
    <w:p w14:paraId="544A065C">
      <w:pPr>
        <w:spacing w:line="720" w:lineRule="auto"/>
        <w:jc w:val="left"/>
        <w:rPr>
          <w:rStyle w:val="51"/>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第三部分  合同文本 ……………………………………………15</w:t>
      </w:r>
    </w:p>
    <w:p w14:paraId="68AAECE2">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第四部分  采购需求 ……………………………………………24</w:t>
      </w:r>
    </w:p>
    <w:p w14:paraId="3E11DC59">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第五部分  评标方式与评标标准…………………………………31</w:t>
      </w:r>
    </w:p>
    <w:p w14:paraId="18D43BEE">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第六部分  投标文件格式…………………………………………</w:t>
      </w:r>
      <w:r>
        <w:rPr>
          <w:rFonts w:cs="宋体" w:asciiTheme="minorEastAsia" w:hAnsiTheme="minorEastAsia" w:eastAsiaTheme="minorEastAsia"/>
          <w:sz w:val="30"/>
          <w:szCs w:val="30"/>
          <w:highlight w:val="none"/>
        </w:rPr>
        <w:t>3</w:t>
      </w:r>
      <w:r>
        <w:rPr>
          <w:rFonts w:hint="eastAsia" w:cs="宋体" w:asciiTheme="minorEastAsia" w:hAnsiTheme="minorEastAsia" w:eastAsiaTheme="minorEastAsia"/>
          <w:sz w:val="30"/>
          <w:szCs w:val="30"/>
          <w:highlight w:val="none"/>
        </w:rPr>
        <w:t>7</w:t>
      </w:r>
    </w:p>
    <w:p w14:paraId="278A3782">
      <w:pPr>
        <w:spacing w:line="360" w:lineRule="auto"/>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8"/>
          <w:szCs w:val="28"/>
          <w:highlight w:val="none"/>
        </w:rPr>
        <w:br w:type="page" w:clear="all"/>
      </w:r>
      <w:r>
        <w:rPr>
          <w:rFonts w:hint="eastAsia" w:cs="宋体" w:asciiTheme="minorEastAsia" w:hAnsiTheme="minorEastAsia" w:eastAsiaTheme="minorEastAsia"/>
          <w:b/>
          <w:bCs/>
          <w:sz w:val="32"/>
          <w:szCs w:val="32"/>
          <w:highlight w:val="none"/>
        </w:rPr>
        <w:t>第一部分  招标公告</w:t>
      </w:r>
    </w:p>
    <w:p w14:paraId="0055FC3D">
      <w:pPr>
        <w:pBdr>
          <w:top w:val="single" w:color="000000" w:sz="4" w:space="1"/>
          <w:left w:val="single" w:color="000000" w:sz="4" w:space="4"/>
          <w:bottom w:val="single" w:color="000000" w:sz="4" w:space="1"/>
          <w:right w:val="single" w:color="000000" w:sz="4" w:space="4"/>
        </w:pBd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项目概况</w:t>
      </w:r>
    </w:p>
    <w:p w14:paraId="134BCF5B">
      <w:pPr>
        <w:pBdr>
          <w:top w:val="single" w:color="000000" w:sz="4" w:space="0"/>
          <w:left w:val="single" w:color="000000" w:sz="4" w:space="3"/>
          <w:bottom w:val="single" w:color="000000" w:sz="4" w:space="0"/>
          <w:right w:val="single" w:color="000000" w:sz="4" w:space="3"/>
        </w:pBd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u w:val="single"/>
          <w:lang w:eastAsia="zh-CN"/>
        </w:rPr>
        <w:t>2026年度盐南高新区餐饮油烟在线监控运维服务项目</w:t>
      </w:r>
      <w:r>
        <w:rPr>
          <w:rFonts w:hint="eastAsia" w:cs="宋体" w:asciiTheme="minorEastAsia" w:hAnsiTheme="minorEastAsia" w:eastAsiaTheme="minorEastAsia"/>
          <w:sz w:val="24"/>
          <w:highlight w:val="none"/>
          <w:u w:val="single"/>
        </w:rPr>
        <w:t>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sz w:val="24"/>
          <w:highlight w:val="none"/>
          <w:u w:val="single"/>
          <w:lang w:val="en-US" w:eastAsia="zh-CN"/>
        </w:rPr>
        <w:t>7</w:t>
      </w:r>
      <w:r>
        <w:rPr>
          <w:rFonts w:hint="eastAsia" w:cs="宋体" w:asciiTheme="minorEastAsia" w:hAnsiTheme="minorEastAsia" w:eastAsiaTheme="minorEastAsia"/>
          <w:sz w:val="24"/>
          <w:highlight w:val="none"/>
          <w:u w:val="single"/>
        </w:rPr>
        <w:t>月</w:t>
      </w:r>
      <w:r>
        <w:rPr>
          <w:rFonts w:hint="eastAsia" w:cs="宋体" w:asciiTheme="minorEastAsia" w:hAnsiTheme="minorEastAsia" w:eastAsiaTheme="minorEastAsia"/>
          <w:sz w:val="24"/>
          <w:highlight w:val="none"/>
          <w:u w:val="single"/>
          <w:lang w:val="en-US" w:eastAsia="zh-CN"/>
        </w:rPr>
        <w:t>16</w:t>
      </w:r>
      <w:r>
        <w:rPr>
          <w:rFonts w:hint="eastAsia" w:cs="宋体" w:asciiTheme="minorEastAsia" w:hAnsiTheme="minorEastAsia" w:eastAsiaTheme="minorEastAsia"/>
          <w:sz w:val="24"/>
          <w:highlight w:val="none"/>
          <w:u w:val="single"/>
        </w:rPr>
        <w:t>日</w:t>
      </w:r>
      <w:r>
        <w:rPr>
          <w:rFonts w:hint="eastAsia" w:cs="宋体" w:asciiTheme="minorEastAsia" w:hAnsiTheme="minorEastAsia" w:eastAsiaTheme="minorEastAsia"/>
          <w:sz w:val="24"/>
          <w:highlight w:val="none"/>
          <w:u w:val="single"/>
          <w:lang w:val="en-US" w:eastAsia="zh-CN"/>
        </w:rPr>
        <w:t>9</w:t>
      </w:r>
      <w:r>
        <w:rPr>
          <w:rFonts w:hint="eastAsia" w:cs="宋体" w:asciiTheme="minorEastAsia" w:hAnsiTheme="minorEastAsia" w:eastAsiaTheme="minorEastAsia"/>
          <w:sz w:val="24"/>
          <w:highlight w:val="none"/>
          <w:u w:val="single"/>
        </w:rPr>
        <w:t>:00（北京时间）前递交投标文件。</w:t>
      </w:r>
    </w:p>
    <w:p w14:paraId="5BD3B2E5">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一、项目基本情况</w:t>
      </w:r>
    </w:p>
    <w:p w14:paraId="60063BFD">
      <w:pPr>
        <w:spacing w:line="440" w:lineRule="exact"/>
        <w:ind w:firstLine="480"/>
        <w:rPr>
          <w:rFonts w:hint="eastAsia" w:cs="宋体" w:asciiTheme="minorEastAsia" w:hAnsiTheme="minorEastAsia" w:eastAsiaTheme="minorEastAsia"/>
          <w:sz w:val="24"/>
          <w:highlight w:val="none"/>
          <w:lang w:eastAsia="zh-CN"/>
        </w:rPr>
      </w:pPr>
      <w:bookmarkStart w:id="0" w:name="OLE_LINK4"/>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lang w:eastAsia="zh-CN"/>
        </w:rPr>
        <w:t>2026年度盐南高新区餐饮油烟在线监控运维服务项目</w:t>
      </w:r>
    </w:p>
    <w:p w14:paraId="26B8CB4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项目编号：JSZC-320992-RHHH-G2026-0039</w:t>
      </w:r>
    </w:p>
    <w:p w14:paraId="2646A7A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项目预算金额：</w:t>
      </w:r>
      <w:r>
        <w:rPr>
          <w:rFonts w:hint="eastAsia" w:cs="宋体" w:asciiTheme="minorEastAsia" w:hAnsiTheme="minorEastAsia" w:eastAsiaTheme="minorEastAsia"/>
          <w:sz w:val="24"/>
          <w:highlight w:val="none"/>
          <w:lang w:val="en-US" w:eastAsia="zh-CN"/>
        </w:rPr>
        <w:t>106</w:t>
      </w:r>
      <w:r>
        <w:rPr>
          <w:rFonts w:hint="eastAsia" w:cs="宋体" w:asciiTheme="minorEastAsia" w:hAnsiTheme="minorEastAsia" w:eastAsiaTheme="minorEastAsia"/>
          <w:sz w:val="24"/>
          <w:highlight w:val="none"/>
        </w:rPr>
        <w:t>万元。</w:t>
      </w:r>
    </w:p>
    <w:p w14:paraId="63250B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最高限价：</w:t>
      </w:r>
      <w:r>
        <w:rPr>
          <w:rFonts w:hint="eastAsia" w:cs="宋体" w:asciiTheme="minorEastAsia" w:hAnsiTheme="minorEastAsia" w:eastAsiaTheme="minorEastAsia"/>
          <w:sz w:val="24"/>
          <w:highlight w:val="none"/>
          <w:lang w:val="en-US" w:eastAsia="zh-CN"/>
        </w:rPr>
        <w:t>106</w:t>
      </w:r>
      <w:r>
        <w:rPr>
          <w:rFonts w:hint="eastAsia" w:cs="宋体" w:asciiTheme="minorEastAsia" w:hAnsiTheme="minorEastAsia" w:eastAsiaTheme="minorEastAsia"/>
          <w:sz w:val="24"/>
          <w:highlight w:val="none"/>
        </w:rPr>
        <w:t>万元。</w:t>
      </w:r>
      <w:bookmarkEnd w:id="0"/>
    </w:p>
    <w:p w14:paraId="466F8A0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采购需求：</w:t>
      </w:r>
      <w:r>
        <w:rPr>
          <w:rFonts w:hint="eastAsia" w:cs="宋体" w:asciiTheme="minorEastAsia" w:hAnsiTheme="minorEastAsia" w:eastAsiaTheme="minorEastAsia"/>
          <w:sz w:val="24"/>
          <w:highlight w:val="none"/>
          <w:lang w:eastAsia="zh-CN"/>
        </w:rPr>
        <w:t>2026年度盐南高新区餐饮油烟在线监控运维服务项目</w:t>
      </w:r>
      <w:r>
        <w:rPr>
          <w:rFonts w:hint="eastAsia" w:cs="宋体" w:asciiTheme="minorEastAsia" w:hAnsiTheme="minorEastAsia" w:eastAsiaTheme="minorEastAsia"/>
          <w:sz w:val="24"/>
          <w:highlight w:val="none"/>
        </w:rPr>
        <w:t>等伴随服务，详细内容见本招标文件第四章项目需求。</w:t>
      </w:r>
    </w:p>
    <w:p w14:paraId="6785AC6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en-US" w:eastAsia="zh-CN"/>
        </w:rPr>
        <w:t>服务</w:t>
      </w:r>
      <w:r>
        <w:rPr>
          <w:rFonts w:hint="eastAsia" w:cs="宋体" w:asciiTheme="minorEastAsia" w:hAnsiTheme="minorEastAsia" w:eastAsiaTheme="minorEastAsia"/>
          <w:sz w:val="24"/>
          <w:highlight w:val="none"/>
        </w:rPr>
        <w:t>期限：1年（合同期满，经甲方考核合格，经双方协商，可续签1年，最多续签不超过2年）。本项目不接受联合体参与投标。</w:t>
      </w:r>
    </w:p>
    <w:p w14:paraId="5CA1EA5D">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二、申请人资格要求</w:t>
      </w:r>
    </w:p>
    <w:p w14:paraId="390C90A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（一）满足《中华人民共和国政府采购法》第二十二条规定，并提供下列材料：</w:t>
      </w:r>
    </w:p>
    <w:p w14:paraId="7546A84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bookmarkStart w:id="1" w:name="OLE_LINK12"/>
      <w:bookmarkStart w:id="2" w:name="OLE_LINK13"/>
      <w:r>
        <w:rPr>
          <w:rFonts w:hint="eastAsia" w:cs="宋体" w:asciiTheme="minorEastAsia" w:hAnsiTheme="minorEastAsia" w:eastAsiaTheme="minorEastAsia"/>
          <w:sz w:val="24"/>
          <w:highlight w:val="none"/>
        </w:rPr>
        <w:t>法人或者其他组织的营业执照等证明文件，自然人的身份证明</w:t>
      </w:r>
      <w:bookmarkEnd w:id="1"/>
      <w:bookmarkEnd w:id="2"/>
      <w:r>
        <w:rPr>
          <w:rFonts w:hint="eastAsia" w:cs="宋体" w:asciiTheme="minorEastAsia" w:hAnsiTheme="minorEastAsia" w:eastAsiaTheme="minorEastAsia"/>
          <w:sz w:val="24"/>
          <w:highlight w:val="none"/>
        </w:rPr>
        <w:t>。</w:t>
      </w:r>
    </w:p>
    <w:p w14:paraId="6C9F51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2.上一年度的财务状况报表（成立不满一年无需提供）。</w:t>
      </w:r>
    </w:p>
    <w:p w14:paraId="75C05C72">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w:t>
      </w:r>
      <w:bookmarkStart w:id="3" w:name="OLE_LINK14"/>
      <w:r>
        <w:rPr>
          <w:rFonts w:hint="eastAsia" w:cs="宋体" w:asciiTheme="minorEastAsia" w:hAnsiTheme="minorEastAsia" w:eastAsiaTheme="minorEastAsia"/>
          <w:sz w:val="24"/>
          <w:highlight w:val="none"/>
        </w:rPr>
        <w:t>具备履行合同所必需的设备和专业技术能力的书面声明</w:t>
      </w:r>
      <w:bookmarkEnd w:id="3"/>
      <w:r>
        <w:rPr>
          <w:rFonts w:hint="eastAsia" w:cs="宋体" w:asciiTheme="minorEastAsia" w:hAnsiTheme="minorEastAsia" w:eastAsiaTheme="minorEastAsia"/>
          <w:sz w:val="24"/>
          <w:highlight w:val="none"/>
        </w:rPr>
        <w:t>。</w:t>
      </w:r>
    </w:p>
    <w:p w14:paraId="2487079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537B7AC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5.参加政府采购活动前3年内在经营活动中没有重大违法记录的书面声明。</w:t>
      </w:r>
    </w:p>
    <w:p w14:paraId="6FBEA69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6.法律、行政法规规定的其他条件。</w:t>
      </w:r>
    </w:p>
    <w:p w14:paraId="7946A780">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30594B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w:t>
      </w:r>
      <w:bookmarkStart w:id="4" w:name="OLE_LINK15"/>
      <w:bookmarkStart w:id="5" w:name="OLE_LINK16"/>
      <w:r>
        <w:rPr>
          <w:rFonts w:hint="eastAsia" w:cs="宋体" w:asciiTheme="minorEastAsia" w:hAnsiTheme="minorEastAsia" w:eastAsiaTheme="minorEastAsia"/>
          <w:sz w:val="24"/>
          <w:highlight w:val="none"/>
        </w:rPr>
        <w:t>单位负责人为同一人或者存在直接控股、管理关系的不同供应商，不得参加同一合同项下的政府采购活动</w:t>
      </w:r>
      <w:bookmarkEnd w:id="4"/>
      <w:bookmarkEnd w:id="5"/>
    </w:p>
    <w:p w14:paraId="721C10F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p>
    <w:p w14:paraId="5EF7F47B">
      <w:pPr>
        <w:spacing w:line="440" w:lineRule="exact"/>
        <w:ind w:firstLine="480"/>
        <w:rPr>
          <w:rFonts w:hint="eastAsia" w:cs="宋体" w:asciiTheme="minorEastAsia" w:hAnsiTheme="minorEastAsia" w:eastAsiaTheme="minorEastAsia"/>
          <w:sz w:val="24"/>
          <w:highlight w:val="none"/>
          <w:lang w:eastAsia="zh-CN"/>
        </w:rPr>
      </w:pPr>
      <w:r>
        <w:rPr>
          <w:rFonts w:hint="eastAsia" w:cs="宋体" w:asciiTheme="minorEastAsia" w:hAnsiTheme="minorEastAsia" w:eastAsiaTheme="minorEastAsia"/>
          <w:sz w:val="24"/>
          <w:highlight w:val="none"/>
        </w:rPr>
        <w:t>（三）本项目的特定资格要求：具备市场监管部门颁发的有效检验检测机构资质认定证书(CMA)，资质认定证书附表包含油烟</w:t>
      </w:r>
      <w:r>
        <w:rPr>
          <w:rFonts w:hint="eastAsia" w:cs="宋体" w:asciiTheme="minorEastAsia" w:hAnsiTheme="minorEastAsia" w:eastAsiaTheme="minorEastAsia"/>
          <w:sz w:val="24"/>
          <w:highlight w:val="none"/>
          <w:lang w:eastAsia="zh-CN"/>
        </w:rPr>
        <w:t>。</w:t>
      </w:r>
    </w:p>
    <w:p w14:paraId="7755009B">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三、</w:t>
      </w:r>
      <w:r>
        <w:rPr>
          <w:rFonts w:hint="eastAsia" w:cs="宋体" w:asciiTheme="minorEastAsia" w:hAnsiTheme="minorEastAsia" w:eastAsiaTheme="minorEastAsia"/>
          <w:b/>
          <w:sz w:val="24"/>
          <w:highlight w:val="none"/>
        </w:rPr>
        <w:t>获取招标文件</w:t>
      </w:r>
    </w:p>
    <w:p w14:paraId="0E6CEB7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1.时间：自招标文件公告发布之日起5个工作日。</w:t>
      </w:r>
    </w:p>
    <w:p w14:paraId="129F91A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2.地点：“苏采云”系统内免费下载（投标人必须在苏采云系统中获取采购文件，方能参与政府采购项目）；</w:t>
      </w:r>
    </w:p>
    <w:p w14:paraId="65A2E04E">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3.方式：本项目采用网上注册登记方式。</w:t>
      </w:r>
    </w:p>
    <w:p w14:paraId="7C51DE13">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4.文件售价：0.00元</w:t>
      </w:r>
    </w:p>
    <w:p w14:paraId="06AF8F5F">
      <w:pPr>
        <w:widowControl/>
        <w:shd w:val="clear" w:color="auto" w:fill="FFFFFF"/>
        <w:spacing w:line="440" w:lineRule="exact"/>
        <w:ind w:firstLine="480"/>
        <w:rPr>
          <w:rFonts w:cs="宋体" w:asciiTheme="minorEastAsia" w:hAnsiTheme="minorEastAsia" w:eastAsiaTheme="minorEastAsia"/>
          <w:bCs/>
          <w:sz w:val="24"/>
          <w:highlight w:val="none"/>
        </w:rPr>
      </w:pPr>
      <w:r>
        <w:rPr>
          <w:rFonts w:hint="eastAsia" w:cs="宋体" w:asciiTheme="minorEastAsia" w:hAnsiTheme="minorEastAsia" w:eastAsiaTheme="minorEastAsia"/>
          <w:b/>
          <w:bCs/>
          <w:sz w:val="24"/>
          <w:highlight w:val="none"/>
        </w:rPr>
        <w:t>四、提交投标文件截止时间、开标时间和地点</w:t>
      </w:r>
    </w:p>
    <w:p w14:paraId="3F982EC8">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时间：2026年</w:t>
      </w:r>
      <w:r>
        <w:rPr>
          <w:rFonts w:hint="eastAsia" w:cs="宋体" w:asciiTheme="minorEastAsia" w:hAnsiTheme="minorEastAsia" w:eastAsiaTheme="minorEastAsia"/>
          <w:sz w:val="24"/>
          <w:highlight w:val="none"/>
          <w:lang w:val="en-US" w:eastAsia="zh-CN"/>
        </w:rPr>
        <w:t>7</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lang w:val="en-US" w:eastAsia="zh-CN"/>
        </w:rPr>
        <w:t>16</w:t>
      </w:r>
      <w:r>
        <w:rPr>
          <w:rFonts w:hint="eastAsia" w:cs="宋体" w:asciiTheme="minorEastAsia" w:hAnsiTheme="minorEastAsia" w:eastAsiaTheme="minorEastAsia"/>
          <w:sz w:val="24"/>
          <w:highlight w:val="none"/>
        </w:rPr>
        <w:t>日</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 xml:space="preserve">：00时（北京时间） </w:t>
      </w:r>
    </w:p>
    <w:p w14:paraId="03C20DE3">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shd w:val="clear" w:color="auto" w:fill="FFFFFF"/>
        </w:rPr>
        <w:t>地点：“苏采云”系统中的“开标大厅”</w:t>
      </w:r>
      <w:r>
        <w:rPr>
          <w:rFonts w:hint="eastAsia" w:cs="宋体" w:asciiTheme="minorEastAsia" w:hAnsiTheme="minorEastAsia" w:eastAsiaTheme="minorEastAsia"/>
          <w:sz w:val="24"/>
          <w:highlight w:val="none"/>
        </w:rPr>
        <w:t>。</w:t>
      </w:r>
    </w:p>
    <w:p w14:paraId="0BEF3B96">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五、公告期限</w:t>
      </w:r>
    </w:p>
    <w:p w14:paraId="15B4601E">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自本公告发布之日起5个工作日。</w:t>
      </w:r>
    </w:p>
    <w:p w14:paraId="2E96E154">
      <w:pPr>
        <w:spacing w:line="440" w:lineRule="exact"/>
        <w:ind w:firstLine="482"/>
        <w:rPr>
          <w:rFonts w:cs="宋体" w:asciiTheme="minorEastAsia" w:hAnsiTheme="minorEastAsia" w:eastAsiaTheme="minorEastAsia"/>
          <w:sz w:val="24"/>
          <w:highlight w:val="none"/>
          <w:shd w:val="clear" w:color="auto" w:fill="FFFFFF"/>
        </w:rPr>
      </w:pPr>
      <w:r>
        <w:rPr>
          <w:rFonts w:hint="eastAsia" w:cs="宋体" w:asciiTheme="minorEastAsia" w:hAnsiTheme="minorEastAsia" w:eastAsiaTheme="minorEastAsia"/>
          <w:b/>
          <w:bCs/>
          <w:sz w:val="24"/>
          <w:highlight w:val="none"/>
        </w:rPr>
        <w:t>六、其他补充事宜</w:t>
      </w:r>
    </w:p>
    <w:p w14:paraId="22F6C706">
      <w:pPr>
        <w:spacing w:line="440" w:lineRule="exact"/>
        <w:ind w:firstLine="540"/>
        <w:rPr>
          <w:rFonts w:ascii="宋体" w:hAnsi="宋体" w:cs="宋体"/>
          <w:sz w:val="24"/>
          <w:szCs w:val="20"/>
          <w:highlight w:val="none"/>
        </w:rPr>
      </w:pPr>
      <w:r>
        <w:rPr>
          <w:rFonts w:hint="eastAsia" w:ascii="宋体" w:hAnsi="宋体" w:cs="宋体"/>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CCD9A5">
      <w:pPr>
        <w:spacing w:line="440" w:lineRule="exact"/>
        <w:ind w:firstLine="540"/>
        <w:rPr>
          <w:rFonts w:ascii="宋体" w:hAnsi="宋体" w:cs="宋体"/>
          <w:sz w:val="24"/>
          <w:szCs w:val="20"/>
          <w:highlight w:val="none"/>
        </w:rPr>
      </w:pPr>
      <w:r>
        <w:rPr>
          <w:rFonts w:hint="eastAsia" w:ascii="宋体" w:hAnsi="宋体" w:cs="宋体"/>
          <w:sz w:val="24"/>
          <w:szCs w:val="20"/>
          <w:highlight w:val="none"/>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cs="宋体"/>
          <w:sz w:val="24"/>
          <w:szCs w:val="20"/>
          <w:highlight w:val="non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2E17A6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2.潜在供应商访问电子招标响应交易平台的网络地址和方法： </w:t>
      </w:r>
    </w:p>
    <w:p w14:paraId="054A83B5">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43E70CF">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2.2 潜在投标人访问“苏采云”系统方法：江苏省政府采购网首页-“苏采云”链接。 </w:t>
      </w:r>
    </w:p>
    <w:p w14:paraId="3881E23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2.3 采购文件（后缀名为“.kedt”）、供应商操作手册及政府采购客户端 工具可通过“苏采云”系统相应链接进行下载。 </w:t>
      </w:r>
    </w:p>
    <w:p w14:paraId="723971E2">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2.4 采购代理机构将数据电文形式的采购文件加载至“苏采云”系统，供潜在供应商下载或者查阅。 </w:t>
      </w:r>
    </w:p>
    <w:p w14:paraId="142E95A6">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2.5 请潜在投标单位提前安装相应的控件（详见《“苏采云”系统供应商操作手册》）并使用谷歌浏览器登录“苏采云”系统参与不见面开评标。 </w:t>
      </w:r>
    </w:p>
    <w:p w14:paraId="626856D8">
      <w:pPr>
        <w:spacing w:line="440" w:lineRule="exact"/>
        <w:ind w:firstLine="540"/>
        <w:rPr>
          <w:rFonts w:ascii="宋体" w:hAnsi="宋体" w:cs="宋体"/>
          <w:sz w:val="24"/>
          <w:szCs w:val="20"/>
          <w:highlight w:val="none"/>
        </w:rPr>
      </w:pPr>
      <w:r>
        <w:rPr>
          <w:rFonts w:hint="eastAsia" w:ascii="宋体" w:hAnsi="宋体" w:cs="宋体"/>
          <w:sz w:val="24"/>
          <w:szCs w:val="20"/>
          <w:highlight w:val="none"/>
        </w:rPr>
        <w:t>如潜在投标人未按上述要求操作，将自行承担所产生的风险。</w:t>
      </w:r>
    </w:p>
    <w:p w14:paraId="7B59C4F5">
      <w:pPr>
        <w:spacing w:line="440" w:lineRule="exact"/>
        <w:ind w:firstLine="540"/>
        <w:rPr>
          <w:rFonts w:ascii="宋体" w:hAnsi="宋体" w:cs="宋体"/>
          <w:sz w:val="24"/>
          <w:szCs w:val="20"/>
          <w:highlight w:val="none"/>
        </w:rPr>
      </w:pPr>
      <w:r>
        <w:rPr>
          <w:rFonts w:hint="eastAsia" w:ascii="宋体" w:hAnsi="宋体" w:cs="宋体"/>
          <w:sz w:val="24"/>
          <w:szCs w:val="20"/>
          <w:highlight w:val="none"/>
        </w:rPr>
        <w:t>3.有关本次招标的事项若存在变动或修改，敬请及时关注盐城市政府采购中心在“中国政府采购网”“江苏政府采购网”“盐城市政府采购网”发布的更正公告。</w:t>
      </w:r>
    </w:p>
    <w:p w14:paraId="7E266F16">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sz w:val="24"/>
          <w:szCs w:val="20"/>
          <w:highlight w:val="none"/>
        </w:rPr>
      </w:pPr>
      <w:r>
        <w:rPr>
          <w:rFonts w:hint="eastAsia" w:ascii="宋体" w:hAnsi="宋体" w:cs="宋体"/>
          <w:sz w:val="24"/>
          <w:szCs w:val="20"/>
          <w:highlight w:val="none"/>
        </w:rPr>
        <w:t>4.本次招标不收取投标保证金，不收取质量保证金。</w:t>
      </w:r>
    </w:p>
    <w:p w14:paraId="38635C5A">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5.监督举报电话信息</w:t>
      </w:r>
    </w:p>
    <w:p w14:paraId="20CCE482">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联系人：盐南高新区纪检监察工委信访室</w:t>
      </w:r>
    </w:p>
    <w:p w14:paraId="0A900DC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联系方式：0515-66661555</w:t>
      </w:r>
    </w:p>
    <w:p w14:paraId="4CE559D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6.政府采购投诉电话信息</w:t>
      </w:r>
    </w:p>
    <w:p w14:paraId="099A4410">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联系人：盐南高新区财政金融局政府采购科</w:t>
      </w:r>
    </w:p>
    <w:p w14:paraId="7604FF4F">
      <w:pPr>
        <w:widowControl/>
        <w:spacing w:line="500" w:lineRule="exact"/>
        <w:ind w:firstLine="482"/>
        <w:rPr>
          <w:rFonts w:hint="eastAsia" w:ascii="宋体" w:hAnsi="宋体" w:cs="宋体"/>
          <w:sz w:val="24"/>
          <w:szCs w:val="20"/>
          <w:highlight w:val="none"/>
        </w:rPr>
      </w:pPr>
      <w:r>
        <w:rPr>
          <w:rFonts w:hint="eastAsia" w:ascii="Times New Roman" w:hAnsi="Times New Roman" w:eastAsia="宋体" w:cs="Times New Roman"/>
          <w:color w:val="auto"/>
          <w:sz w:val="24"/>
          <w:szCs w:val="20"/>
          <w:highlight w:val="none"/>
          <w:lang w:val="en-US" w:eastAsia="zh-CN"/>
        </w:rPr>
        <w:t>联系方式：0515-69938599</w:t>
      </w:r>
    </w:p>
    <w:p w14:paraId="4243346C">
      <w:pPr>
        <w:tabs>
          <w:tab w:val="left" w:pos="900"/>
        </w:tabs>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七、本次采购联系方式</w:t>
      </w:r>
    </w:p>
    <w:p w14:paraId="6417754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1.采购人信息</w:t>
      </w:r>
    </w:p>
    <w:p w14:paraId="3FFB9AE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名    称：盐城市生态环境局盐南高新区分局</w:t>
      </w:r>
    </w:p>
    <w:p w14:paraId="2F45D021">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地    址：盐南高新区新龙广场 6 号楼</w:t>
      </w:r>
    </w:p>
    <w:p w14:paraId="6353FAA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联系人：刘先生</w:t>
      </w:r>
    </w:p>
    <w:p w14:paraId="2FC7168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联系电话：15161909563</w:t>
      </w:r>
    </w:p>
    <w:p w14:paraId="2377F33E">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2.采购代理机构信息</w:t>
      </w:r>
    </w:p>
    <w:p w14:paraId="7D47A5AA">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单位名称：江苏仁禾中衡工程咨询房地产估价有限公司</w:t>
      </w:r>
    </w:p>
    <w:p w14:paraId="68FBB11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单位地址：盐城市人民南路国际创投中心南楼4楼3A06室</w:t>
      </w:r>
    </w:p>
    <w:p w14:paraId="5D78937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联系人：金先生  </w:t>
      </w:r>
    </w:p>
    <w:p w14:paraId="13F2EE4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联系电话：18751447113   </w:t>
      </w:r>
    </w:p>
    <w:p w14:paraId="67ED108D">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3.项目联系方式</w:t>
      </w:r>
    </w:p>
    <w:p w14:paraId="51D9A8F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项目联系人：金先生</w:t>
      </w:r>
    </w:p>
    <w:p w14:paraId="62ACAF20">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联系电话：18751447113</w:t>
      </w:r>
    </w:p>
    <w:p w14:paraId="5B8220D8">
      <w:pPr>
        <w:spacing w:line="480" w:lineRule="exact"/>
        <w:jc w:val="center"/>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br w:type="page" w:clear="all"/>
      </w:r>
      <w:r>
        <w:rPr>
          <w:rFonts w:hint="eastAsia" w:cs="宋体" w:asciiTheme="minorEastAsia" w:hAnsiTheme="minorEastAsia" w:eastAsiaTheme="minorEastAsia"/>
          <w:b/>
          <w:bCs/>
          <w:sz w:val="32"/>
          <w:szCs w:val="32"/>
          <w:highlight w:val="none"/>
        </w:rPr>
        <w:t>第二部分  投标人须知</w:t>
      </w:r>
    </w:p>
    <w:p w14:paraId="7552BE96">
      <w:pPr>
        <w:pStyle w:val="44"/>
        <w:keepNext/>
        <w:keepLines/>
        <w:spacing w:before="145" w:beforeAutospacing="0" w:after="145" w:afterAutospacing="0" w:line="360" w:lineRule="auto"/>
        <w:ind w:firstLine="498"/>
        <w:jc w:val="both"/>
        <w:rPr>
          <w:rFonts w:asciiTheme="minorEastAsia" w:hAnsiTheme="minorEastAsia" w:eastAsiaTheme="minorEastAsia"/>
          <w:highlight w:val="none"/>
        </w:rPr>
      </w:pPr>
      <w:bookmarkStart w:id="6" w:name="_Toc16938519"/>
      <w:bookmarkStart w:id="7" w:name="_Toc20823275"/>
      <w:bookmarkStart w:id="8" w:name="_Toc120614214"/>
      <w:bookmarkStart w:id="9" w:name="_Toc513029203"/>
      <w:r>
        <w:rPr>
          <w:rFonts w:asciiTheme="minorEastAsia" w:hAnsiTheme="minorEastAsia" w:eastAsiaTheme="minorEastAsia"/>
          <w:b/>
          <w:sz w:val="32"/>
          <w:szCs w:val="32"/>
          <w:highlight w:val="none"/>
        </w:rPr>
        <w:t>一、总则</w:t>
      </w:r>
      <w:bookmarkEnd w:id="6"/>
      <w:bookmarkEnd w:id="7"/>
      <w:bookmarkEnd w:id="8"/>
      <w:bookmarkEnd w:id="9"/>
    </w:p>
    <w:p w14:paraId="496ECB7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 w:name="_Toc16938520"/>
      <w:bookmarkStart w:id="11" w:name="_Toc458694821"/>
      <w:bookmarkStart w:id="12" w:name="_Toc20823276"/>
      <w:bookmarkStart w:id="13" w:name="_Toc513029204"/>
      <w:r>
        <w:rPr>
          <w:rFonts w:cs="Arial" w:asciiTheme="minorEastAsia" w:hAnsiTheme="minorEastAsia" w:eastAsiaTheme="minorEastAsia"/>
          <w:b/>
          <w:sz w:val="28"/>
          <w:szCs w:val="28"/>
          <w:highlight w:val="none"/>
        </w:rPr>
        <w:t>1</w:t>
      </w:r>
      <w:bookmarkEnd w:id="10"/>
      <w:r>
        <w:rPr>
          <w:rFonts w:cs="Arial" w:asciiTheme="minorEastAsia" w:hAnsiTheme="minorEastAsia" w:eastAsiaTheme="minorEastAsia"/>
          <w:b/>
          <w:sz w:val="28"/>
          <w:szCs w:val="28"/>
          <w:highlight w:val="none"/>
        </w:rPr>
        <w:t>、招标方式</w:t>
      </w:r>
      <w:bookmarkEnd w:id="11"/>
      <w:bookmarkEnd w:id="12"/>
      <w:bookmarkEnd w:id="13"/>
    </w:p>
    <w:p w14:paraId="3EC6C82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1.1本次招标采取公开招标方式，本招标文件仅适用于招标公告中所述项目。</w:t>
      </w:r>
    </w:p>
    <w:p w14:paraId="041F15FD">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4" w:name="_Toc513029205"/>
      <w:bookmarkStart w:id="15" w:name="_Toc16938521"/>
      <w:bookmarkStart w:id="16" w:name="_Toc20823277"/>
      <w:r>
        <w:rPr>
          <w:rFonts w:cs="Arial" w:asciiTheme="minorEastAsia" w:hAnsiTheme="minorEastAsia" w:eastAsiaTheme="minorEastAsia"/>
          <w:b/>
          <w:sz w:val="28"/>
          <w:szCs w:val="28"/>
          <w:highlight w:val="none"/>
        </w:rPr>
        <w:t>2、合格的投标人</w:t>
      </w:r>
      <w:bookmarkEnd w:id="14"/>
      <w:bookmarkEnd w:id="15"/>
      <w:bookmarkEnd w:id="16"/>
    </w:p>
    <w:p w14:paraId="0E1782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2.1满足招标公告中供应商的资格要求的规定。</w:t>
      </w:r>
    </w:p>
    <w:p w14:paraId="25BA11C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2.2满足本文件实质性要求和条件的规定。</w:t>
      </w:r>
    </w:p>
    <w:p w14:paraId="366F6E0C">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7" w:name="_Toc16938522"/>
      <w:bookmarkStart w:id="18" w:name="_Toc20823278"/>
      <w:bookmarkStart w:id="19" w:name="_Toc513029206"/>
      <w:r>
        <w:rPr>
          <w:rFonts w:cs="Arial" w:asciiTheme="minorEastAsia" w:hAnsiTheme="minorEastAsia" w:eastAsiaTheme="minorEastAsia"/>
          <w:b/>
          <w:sz w:val="28"/>
          <w:szCs w:val="28"/>
          <w:highlight w:val="none"/>
        </w:rPr>
        <w:t>3、适用法律</w:t>
      </w:r>
      <w:bookmarkEnd w:id="17"/>
      <w:bookmarkEnd w:id="18"/>
      <w:bookmarkEnd w:id="19"/>
    </w:p>
    <w:p w14:paraId="60438463">
      <w:pPr>
        <w:pStyle w:val="44"/>
        <w:spacing w:beforeAutospacing="0" w:afterAutospacing="0" w:line="0" w:lineRule="atLeast"/>
        <w:ind w:firstLine="420"/>
        <w:jc w:val="both"/>
        <w:rPr>
          <w:rFonts w:asciiTheme="minorEastAsia" w:hAnsiTheme="minorEastAsia" w:eastAsiaTheme="minorEastAsia"/>
          <w:highlight w:val="none"/>
        </w:rPr>
      </w:pPr>
      <w:r>
        <w:rPr>
          <w:rFonts w:hint="eastAsia" w:asciiTheme="minorEastAsia" w:hAnsiTheme="minorEastAsia" w:eastAsiaTheme="minorEastAsia"/>
          <w:highlight w:val="none"/>
        </w:rPr>
        <w:t>3.1本次招标及由此产生的合同受中华人民共和国有关的法律法规制约和保护。</w:t>
      </w:r>
    </w:p>
    <w:p w14:paraId="77BD8A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0" w:name="_Toc513029207"/>
      <w:bookmarkStart w:id="21" w:name="_Toc20823279"/>
      <w:bookmarkStart w:id="22" w:name="_Toc462564067"/>
      <w:bookmarkStart w:id="23" w:name="_Toc16938523"/>
      <w:r>
        <w:rPr>
          <w:rFonts w:cs="Arial" w:asciiTheme="minorEastAsia" w:hAnsiTheme="minorEastAsia" w:eastAsiaTheme="minorEastAsia"/>
          <w:b/>
          <w:sz w:val="28"/>
          <w:szCs w:val="28"/>
          <w:highlight w:val="none"/>
        </w:rPr>
        <w:t>4、投标费用</w:t>
      </w:r>
      <w:bookmarkEnd w:id="20"/>
      <w:bookmarkEnd w:id="21"/>
      <w:bookmarkEnd w:id="22"/>
      <w:bookmarkEnd w:id="23"/>
    </w:p>
    <w:p w14:paraId="48427D4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4.1投标人应自行承担所有与参加投标有关的费用，无论投标过程中的做法和结果如何，</w:t>
      </w:r>
      <w:r>
        <w:rPr>
          <w:rFonts w:hint="eastAsia" w:asciiTheme="minorEastAsia" w:hAnsiTheme="minorEastAsia" w:eastAsiaTheme="minorEastAsia"/>
          <w:szCs w:val="21"/>
          <w:highlight w:val="none"/>
        </w:rPr>
        <w:t>采购人及采购代理机构</w:t>
      </w:r>
      <w:r>
        <w:rPr>
          <w:rFonts w:hint="eastAsia" w:asciiTheme="minorEastAsia" w:hAnsiTheme="minorEastAsia" w:eastAsiaTheme="minorEastAsia"/>
          <w:highlight w:val="none"/>
        </w:rPr>
        <w:t>（以下简称</w:t>
      </w:r>
      <w:r>
        <w:rPr>
          <w:rFonts w:hint="eastAsia" w:asciiTheme="minorEastAsia" w:hAnsiTheme="minorEastAsia" w:eastAsiaTheme="minorEastAsia"/>
          <w:szCs w:val="21"/>
          <w:highlight w:val="none"/>
        </w:rPr>
        <w:t>代理机构</w:t>
      </w:r>
      <w:r>
        <w:rPr>
          <w:rFonts w:hint="eastAsia" w:asciiTheme="minorEastAsia" w:hAnsiTheme="minorEastAsia" w:eastAsiaTheme="minorEastAsia"/>
          <w:highlight w:val="none"/>
        </w:rPr>
        <w:t>）在任何情况下均无义务和责任承担这些费用。</w:t>
      </w:r>
    </w:p>
    <w:p w14:paraId="277A3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p>
    <w:p w14:paraId="3D10468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5、招标文件的约束力</w:t>
      </w:r>
    </w:p>
    <w:p w14:paraId="77756BE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5.1投标人一旦参加本项目采购活动，即被认为接受了本招标文件的规定和约束。</w:t>
      </w:r>
    </w:p>
    <w:p w14:paraId="26CB12EE">
      <w:pPr>
        <w:pStyle w:val="44"/>
        <w:keepNext/>
        <w:keepLines/>
        <w:spacing w:before="145" w:beforeAutospacing="0" w:after="145" w:afterAutospacing="0" w:line="360" w:lineRule="auto"/>
        <w:ind w:firstLine="321"/>
        <w:jc w:val="both"/>
        <w:rPr>
          <w:rFonts w:asciiTheme="minorEastAsia" w:hAnsiTheme="minorEastAsia" w:eastAsiaTheme="minorEastAsia"/>
          <w:highlight w:val="none"/>
        </w:rPr>
      </w:pPr>
      <w:bookmarkStart w:id="24" w:name="_Toc20823281"/>
      <w:bookmarkStart w:id="25" w:name="_Toc16938525"/>
      <w:bookmarkStart w:id="26" w:name="_Toc120614215"/>
      <w:bookmarkStart w:id="27" w:name="_Toc513029209"/>
      <w:r>
        <w:rPr>
          <w:rFonts w:asciiTheme="minorEastAsia" w:hAnsiTheme="minorEastAsia" w:eastAsiaTheme="minorEastAsia"/>
          <w:b/>
          <w:sz w:val="32"/>
          <w:szCs w:val="32"/>
          <w:highlight w:val="none"/>
        </w:rPr>
        <w:t>二、招标文件</w:t>
      </w:r>
      <w:bookmarkEnd w:id="24"/>
      <w:bookmarkEnd w:id="25"/>
      <w:bookmarkEnd w:id="26"/>
      <w:bookmarkEnd w:id="27"/>
    </w:p>
    <w:p w14:paraId="3BD75B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8" w:name="_Toc16938526"/>
      <w:bookmarkStart w:id="29" w:name="_Toc20823282"/>
      <w:bookmarkStart w:id="30" w:name="_Toc513029210"/>
      <w:r>
        <w:rPr>
          <w:rFonts w:cs="Arial" w:asciiTheme="minorEastAsia" w:hAnsiTheme="minorEastAsia" w:eastAsiaTheme="minorEastAsia"/>
          <w:b/>
          <w:sz w:val="28"/>
          <w:szCs w:val="28"/>
          <w:highlight w:val="none"/>
        </w:rPr>
        <w:t>6、招标文件构成</w:t>
      </w:r>
      <w:bookmarkEnd w:id="28"/>
      <w:bookmarkEnd w:id="29"/>
      <w:bookmarkEnd w:id="30"/>
    </w:p>
    <w:p w14:paraId="4B41389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6.1 招标文件由以下部分组成：</w:t>
      </w:r>
    </w:p>
    <w:p w14:paraId="2984D22F">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（1）招标公告</w:t>
      </w:r>
    </w:p>
    <w:p w14:paraId="42E2A099">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（2）投标人须知</w:t>
      </w:r>
    </w:p>
    <w:p w14:paraId="6899C922">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（3）合同文本</w:t>
      </w:r>
    </w:p>
    <w:p w14:paraId="243FACD4">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（4）采购需求</w:t>
      </w:r>
    </w:p>
    <w:p w14:paraId="5E798BC7">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（5）</w:t>
      </w:r>
      <w:r>
        <w:rPr>
          <w:rFonts w:asciiTheme="minorEastAsia" w:hAnsiTheme="minorEastAsia" w:eastAsiaTheme="minorEastAsia"/>
          <w:highlight w:val="none"/>
        </w:rPr>
        <w:t>评标方法与评标标准</w:t>
      </w:r>
    </w:p>
    <w:p w14:paraId="4CB0B130">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（6）投标文件格式</w:t>
      </w:r>
    </w:p>
    <w:p w14:paraId="1875A7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请仔细检查招标文件是否齐全，如有缺漏请立即与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联系解决。</w:t>
      </w:r>
    </w:p>
    <w:p w14:paraId="3C2D6C9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02A9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1" w:name="_Toc16938527"/>
      <w:bookmarkStart w:id="32" w:name="_Toc462564070"/>
      <w:bookmarkStart w:id="33" w:name="_Toc20823283"/>
      <w:bookmarkStart w:id="34" w:name="_Toc513029211"/>
      <w:r>
        <w:rPr>
          <w:rFonts w:cs="Arial" w:asciiTheme="minorEastAsia" w:hAnsiTheme="minorEastAsia" w:eastAsiaTheme="minorEastAsia"/>
          <w:b/>
          <w:sz w:val="28"/>
          <w:szCs w:val="28"/>
          <w:highlight w:val="none"/>
        </w:rPr>
        <w:t>7、招标文件的澄清</w:t>
      </w:r>
      <w:bookmarkEnd w:id="31"/>
      <w:bookmarkEnd w:id="32"/>
      <w:bookmarkEnd w:id="33"/>
      <w:bookmarkEnd w:id="34"/>
    </w:p>
    <w:p w14:paraId="61B5FD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7.1任何要求对招标文件进行澄清的投标人，应在投标截止期</w:t>
      </w:r>
      <w:r>
        <w:rPr>
          <w:rFonts w:cs="仿宋_GB2312" w:asciiTheme="minorEastAsia" w:hAnsiTheme="minorEastAsia" w:eastAsiaTheme="minorEastAsia"/>
          <w:b/>
          <w:highlight w:val="none"/>
        </w:rPr>
        <w:t>十日</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按招标公告中的通讯地址，以书面形式通知</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w:t>
      </w:r>
    </w:p>
    <w:p w14:paraId="20A9DD9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5" w:name="_Toc513029212"/>
      <w:bookmarkStart w:id="36" w:name="_Toc20823284"/>
      <w:bookmarkStart w:id="37" w:name="_Toc462564071"/>
      <w:bookmarkStart w:id="38" w:name="_Toc16938528"/>
      <w:r>
        <w:rPr>
          <w:rFonts w:cs="Arial" w:asciiTheme="minorEastAsia" w:hAnsiTheme="minorEastAsia" w:eastAsiaTheme="minorEastAsia"/>
          <w:b/>
          <w:sz w:val="28"/>
          <w:szCs w:val="28"/>
          <w:highlight w:val="none"/>
        </w:rPr>
        <w:t>8、招标文件的修改</w:t>
      </w:r>
      <w:bookmarkEnd w:id="35"/>
      <w:bookmarkEnd w:id="36"/>
      <w:bookmarkEnd w:id="37"/>
      <w:bookmarkEnd w:id="38"/>
    </w:p>
    <w:p w14:paraId="259043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8.1在投标截止时间</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，采购人可以对招标文件进行修改。</w:t>
      </w:r>
    </w:p>
    <w:p w14:paraId="322B6E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8.2采购人有权按照法定的要求推迟投标截止日期和开标日期。</w:t>
      </w:r>
    </w:p>
    <w:p w14:paraId="35356F1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8.3招标文件的修改将在“中国政府采购网”、“江苏政府采购网”、“盐城市政府采购网”公布，补充文件将作为招标文件的组成部分，并对投标人具有约束力。</w:t>
      </w:r>
    </w:p>
    <w:p w14:paraId="29E10677">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39" w:name="_Toc462564072"/>
      <w:bookmarkStart w:id="40" w:name="_Toc16938529"/>
      <w:bookmarkStart w:id="41" w:name="_Toc120614216"/>
      <w:bookmarkStart w:id="42" w:name="_Toc20823285"/>
      <w:bookmarkStart w:id="43" w:name="_Toc513029213"/>
      <w:r>
        <w:rPr>
          <w:rFonts w:asciiTheme="minorEastAsia" w:hAnsiTheme="minorEastAsia" w:eastAsiaTheme="minorEastAsia"/>
          <w:b/>
          <w:sz w:val="32"/>
          <w:szCs w:val="32"/>
          <w:highlight w:val="none"/>
        </w:rPr>
        <w:t>三、投标文件的编制</w:t>
      </w:r>
      <w:bookmarkEnd w:id="39"/>
      <w:bookmarkEnd w:id="40"/>
      <w:bookmarkEnd w:id="41"/>
      <w:bookmarkEnd w:id="42"/>
      <w:bookmarkEnd w:id="43"/>
    </w:p>
    <w:p w14:paraId="4D30DF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4" w:name="_Toc513029214"/>
      <w:bookmarkStart w:id="45" w:name="_Toc20823286"/>
      <w:bookmarkStart w:id="46" w:name="_Toc462564073"/>
      <w:bookmarkStart w:id="47" w:name="_Toc16938530"/>
      <w:r>
        <w:rPr>
          <w:rFonts w:cs="Arial" w:asciiTheme="minorEastAsia" w:hAnsiTheme="minorEastAsia" w:eastAsiaTheme="minorEastAsia"/>
          <w:b/>
          <w:sz w:val="28"/>
          <w:szCs w:val="28"/>
          <w:highlight w:val="none"/>
        </w:rPr>
        <w:t>9、投标文件的语言及度量衡单位</w:t>
      </w:r>
      <w:bookmarkEnd w:id="44"/>
      <w:bookmarkEnd w:id="45"/>
      <w:bookmarkEnd w:id="46"/>
      <w:bookmarkEnd w:id="47"/>
    </w:p>
    <w:p w14:paraId="52B06A3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9.1投标人提交的投标文件以及投标人与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就有关投标的所有来往通知、函件和文件均应使用</w:t>
      </w:r>
      <w:r>
        <w:rPr>
          <w:rFonts w:hint="eastAsia" w:asciiTheme="minorEastAsia" w:hAnsiTheme="minorEastAsia" w:eastAsiaTheme="minorEastAsia"/>
          <w:b/>
          <w:highlight w:val="none"/>
        </w:rPr>
        <w:t>简体中文</w:t>
      </w:r>
      <w:r>
        <w:rPr>
          <w:rFonts w:hint="eastAsia" w:asciiTheme="minorEastAsia" w:hAnsiTheme="minorEastAsia" w:eastAsiaTheme="minorEastAsia"/>
          <w:highlight w:val="none"/>
        </w:rPr>
        <w:t>。</w:t>
      </w:r>
    </w:p>
    <w:p w14:paraId="7EF58AE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9.2除技术性能另有规定外，投标文件所使用的度量衡单位，均须采用国家法定计量单位。</w:t>
      </w:r>
    </w:p>
    <w:p w14:paraId="4B943AF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8" w:name="_Toc462564074"/>
      <w:bookmarkStart w:id="49" w:name="_Toc513029215"/>
      <w:bookmarkStart w:id="50" w:name="_Toc16938531"/>
      <w:bookmarkStart w:id="51" w:name="_Toc20823287"/>
      <w:r>
        <w:rPr>
          <w:rFonts w:cs="Arial" w:asciiTheme="minorEastAsia" w:hAnsiTheme="minorEastAsia" w:eastAsiaTheme="minorEastAsia"/>
          <w:b/>
          <w:sz w:val="28"/>
          <w:szCs w:val="28"/>
          <w:highlight w:val="none"/>
        </w:rPr>
        <w:t>10、投标文件构成</w:t>
      </w:r>
      <w:bookmarkEnd w:id="48"/>
      <w:bookmarkEnd w:id="49"/>
      <w:bookmarkEnd w:id="50"/>
      <w:bookmarkEnd w:id="51"/>
    </w:p>
    <w:p w14:paraId="1000E96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10.1投标人编写的投标文件应包括资格证明文件、符合性证明文件、投标分项报价表、技术要求响应及偏离表、商务要求响应及偏离表、其他证明文件、投标函、开标一览表等部分。</w:t>
      </w:r>
    </w:p>
    <w:p w14:paraId="3D7B3CB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B5FF16F">
      <w:pPr>
        <w:pStyle w:val="44"/>
        <w:keepNext/>
        <w:keepLines/>
        <w:spacing w:beforeAutospacing="0" w:afterAutospacing="0"/>
        <w:ind w:firstLine="420"/>
        <w:jc w:val="both"/>
        <w:rPr>
          <w:rFonts w:asciiTheme="minorEastAsia" w:hAnsiTheme="minorEastAsia" w:eastAsiaTheme="minorEastAsia"/>
          <w:highlight w:val="none"/>
        </w:rPr>
      </w:pPr>
      <w:bookmarkStart w:id="52" w:name="_Toc513029219"/>
      <w:bookmarkStart w:id="53" w:name="_Toc49090509"/>
      <w:bookmarkStart w:id="54" w:name="_Toc14577354"/>
      <w:bookmarkStart w:id="55" w:name="_Toc513029216"/>
      <w:bookmarkStart w:id="56" w:name="_Toc49090507"/>
      <w:bookmarkStart w:id="57" w:name="_Toc14577357"/>
      <w:r>
        <w:rPr>
          <w:rFonts w:cs="Arial" w:asciiTheme="minorEastAsia" w:hAnsiTheme="minorEastAsia" w:eastAsiaTheme="minorEastAsia"/>
          <w:b/>
          <w:sz w:val="28"/>
          <w:szCs w:val="28"/>
          <w:highlight w:val="none"/>
        </w:rPr>
        <w:t>11、证明投标人及投标标的符合招标文件规定的文件</w:t>
      </w:r>
      <w:bookmarkEnd w:id="52"/>
      <w:bookmarkEnd w:id="53"/>
      <w:bookmarkEnd w:id="54"/>
      <w:bookmarkEnd w:id="55"/>
      <w:bookmarkEnd w:id="56"/>
      <w:bookmarkEnd w:id="57"/>
      <w:bookmarkStart w:id="58" w:name="_Toc49090508"/>
      <w:bookmarkStart w:id="59" w:name="_Toc14577355"/>
    </w:p>
    <w:p w14:paraId="4F7575F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11.1投标人应按照法律、法规、规章和规范性文件以及招标文件要求提交证明文件，证明其及投标标的符合招标文件规定。</w:t>
      </w:r>
      <w:bookmarkEnd w:id="58"/>
      <w:bookmarkEnd w:id="59"/>
    </w:p>
    <w:p w14:paraId="5F1C8F3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11.2招标文件对证明文件无明确形式要求的，证明文件可以以文字资料、图纸和数据等形式提交。</w:t>
      </w:r>
    </w:p>
    <w:p w14:paraId="5D5950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12、投标分项报价表</w:t>
      </w:r>
    </w:p>
    <w:p w14:paraId="7F6F59A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12.1投标人应按照招标文件规定格式填报投标分项报价表。</w:t>
      </w:r>
    </w:p>
    <w:p w14:paraId="62A6EE8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12.2投标货币。投标文件中的单价和总价无特殊规定的采用人民币报价，以元为单位标注。招标文件中另有规定的按规定执行。</w:t>
      </w:r>
    </w:p>
    <w:p w14:paraId="0B8B188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13、技术要求响应及偏离表、商务要求响应及偏离表</w:t>
      </w:r>
    </w:p>
    <w:p w14:paraId="070C62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13.1投标人需对招标文件中的技术要求与商务要求逐项作出响应或偏离，并说明原因。</w:t>
      </w:r>
    </w:p>
    <w:p w14:paraId="55BD8D84">
      <w:pPr>
        <w:pStyle w:val="44"/>
        <w:tabs>
          <w:tab w:val="left" w:pos="1036"/>
        </w:tabs>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13.2投标人可在投标文件中提供认为需要的其他技术文件或说明。</w:t>
      </w:r>
    </w:p>
    <w:p w14:paraId="5A8B258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0" w:name="_Toc49090510"/>
      <w:bookmarkStart w:id="61" w:name="_Toc14577359"/>
      <w:r>
        <w:rPr>
          <w:rFonts w:cs="Arial" w:asciiTheme="minorEastAsia" w:hAnsiTheme="minorEastAsia" w:eastAsiaTheme="minorEastAsia"/>
          <w:b/>
          <w:sz w:val="28"/>
          <w:szCs w:val="28"/>
          <w:highlight w:val="none"/>
        </w:rPr>
        <w:t>14、投标函和开标一览表</w:t>
      </w:r>
      <w:bookmarkEnd w:id="60"/>
      <w:bookmarkEnd w:id="61"/>
    </w:p>
    <w:p w14:paraId="41519FA8">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14.1投标人应按照招标文件中提供的格式完整、正确填写投标函、开标一览表。</w:t>
      </w:r>
    </w:p>
    <w:p w14:paraId="4F26B80E">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14.2对于采用货币报价的项目，开标一览表中的投标总报价应与投标分项报价表中的投标总报价一致，如不一致，不作为无效投标处理，但评标时按开标一览表中价格为准。</w:t>
      </w:r>
    </w:p>
    <w:p w14:paraId="4987B7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2" w:name="_Toc14577360"/>
      <w:bookmarkStart w:id="63" w:name="_Toc49090511"/>
      <w:r>
        <w:rPr>
          <w:rFonts w:cs="Arial" w:asciiTheme="minorEastAsia" w:hAnsiTheme="minorEastAsia" w:eastAsiaTheme="minorEastAsia"/>
          <w:b/>
          <w:sz w:val="28"/>
          <w:szCs w:val="28"/>
          <w:highlight w:val="none"/>
        </w:rPr>
        <w:t>15、投标有效期</w:t>
      </w:r>
      <w:bookmarkEnd w:id="62"/>
      <w:bookmarkEnd w:id="63"/>
    </w:p>
    <w:p w14:paraId="1C83BEDB">
      <w:pPr>
        <w:spacing w:line="0" w:lineRule="atLeast"/>
        <w:ind w:firstLine="480"/>
        <w:rPr>
          <w:rFonts w:ascii="宋体" w:hAnsi="宋体" w:cs="宋体"/>
          <w:sz w:val="24"/>
          <w:highlight w:val="none"/>
        </w:rPr>
      </w:pPr>
      <w:r>
        <w:rPr>
          <w:rFonts w:hint="eastAsia" w:ascii="宋体" w:hAnsi="宋体" w:cs="宋体"/>
          <w:sz w:val="24"/>
          <w:highlight w:val="none"/>
        </w:rPr>
        <w:t>15.1投标有效期为采购中心规定的开标之日后</w:t>
      </w:r>
      <w:r>
        <w:rPr>
          <w:rFonts w:hint="eastAsia" w:ascii="宋体" w:hAnsi="宋体" w:cs="宋体"/>
          <w:b/>
          <w:sz w:val="24"/>
          <w:highlight w:val="none"/>
          <w:u w:val="single"/>
        </w:rPr>
        <w:t>九十（90）天</w:t>
      </w:r>
      <w:r>
        <w:rPr>
          <w:rFonts w:hint="eastAsia" w:ascii="宋体" w:hAnsi="宋体" w:cs="宋体"/>
          <w:sz w:val="24"/>
          <w:highlight w:val="none"/>
        </w:rPr>
        <w:t>。投标有效期比规定短的将被视为未实质性响应招标文件而予以拒绝。</w:t>
      </w:r>
    </w:p>
    <w:p w14:paraId="0B85AFC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16、投标有效期的延长</w:t>
      </w:r>
    </w:p>
    <w:p w14:paraId="002B15F9">
      <w:pPr>
        <w:spacing w:line="0" w:lineRule="atLeast"/>
        <w:ind w:firstLine="480"/>
        <w:rPr>
          <w:rFonts w:ascii="宋体" w:hAnsi="宋体" w:cs="宋体"/>
          <w:sz w:val="24"/>
          <w:highlight w:val="none"/>
        </w:rPr>
      </w:pPr>
      <w:bookmarkStart w:id="64" w:name="_Toc513029224"/>
      <w:bookmarkStart w:id="65" w:name="_Toc20823296"/>
      <w:bookmarkStart w:id="66" w:name="_Toc16938540"/>
      <w:bookmarkStart w:id="67" w:name="_Toc120614217"/>
      <w:r>
        <w:rPr>
          <w:rFonts w:hint="eastAsia" w:ascii="宋体" w:hAnsi="宋体" w:cs="宋体"/>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25409EF3">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四、投标文件的递交</w:t>
      </w:r>
      <w:bookmarkEnd w:id="64"/>
      <w:bookmarkEnd w:id="65"/>
      <w:bookmarkEnd w:id="66"/>
      <w:bookmarkEnd w:id="67"/>
    </w:p>
    <w:p w14:paraId="7863113A">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8" w:name="_Toc16938541"/>
      <w:bookmarkStart w:id="69" w:name="_Toc462564084"/>
      <w:bookmarkStart w:id="70" w:name="_Toc513029225"/>
      <w:bookmarkStart w:id="71" w:name="_Toc20823297"/>
      <w:r>
        <w:rPr>
          <w:rFonts w:cs="Arial" w:asciiTheme="minorEastAsia" w:hAnsiTheme="minorEastAsia" w:eastAsiaTheme="minorEastAsia"/>
          <w:b/>
          <w:sz w:val="28"/>
          <w:szCs w:val="28"/>
          <w:highlight w:val="none"/>
        </w:rPr>
        <w:t>17、</w:t>
      </w:r>
      <w:r>
        <w:rPr>
          <w:rFonts w:hint="eastAsia" w:cs="Arial" w:asciiTheme="minorEastAsia" w:hAnsiTheme="minorEastAsia" w:eastAsiaTheme="minorEastAsia"/>
          <w:b/>
          <w:sz w:val="28"/>
          <w:szCs w:val="28"/>
          <w:highlight w:val="none"/>
        </w:rPr>
        <w:t>投标文件</w:t>
      </w:r>
      <w:bookmarkEnd w:id="68"/>
      <w:bookmarkEnd w:id="69"/>
      <w:bookmarkEnd w:id="70"/>
      <w:bookmarkEnd w:id="71"/>
      <w:r>
        <w:rPr>
          <w:rFonts w:hint="eastAsia" w:cs="Arial" w:asciiTheme="minorEastAsia" w:hAnsiTheme="minorEastAsia" w:eastAsiaTheme="minorEastAsia"/>
          <w:b/>
          <w:sz w:val="28"/>
          <w:szCs w:val="28"/>
          <w:highlight w:val="none"/>
        </w:rPr>
        <w:t>的递交</w:t>
      </w:r>
    </w:p>
    <w:p w14:paraId="4F83F01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17.1 电子投标文件的递交</w:t>
      </w:r>
    </w:p>
    <w:p w14:paraId="24B37EE4">
      <w:pPr>
        <w:pStyle w:val="44"/>
        <w:spacing w:beforeAutospacing="0" w:afterAutospacing="0"/>
        <w:ind w:left="525"/>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投标人应当按照《操作手册》规定，在投标截止时间前制作并上传电子投标文件。</w:t>
      </w:r>
      <w:bookmarkStart w:id="72" w:name="_Toc20823298"/>
      <w:bookmarkEnd w:id="72"/>
      <w:bookmarkStart w:id="73" w:name="_Toc16938542"/>
      <w:bookmarkEnd w:id="73"/>
    </w:p>
    <w:p w14:paraId="4F2C062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18、投标截止时间</w:t>
      </w:r>
    </w:p>
    <w:p w14:paraId="0B118EE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i/>
          <w:highlight w:val="none"/>
          <w:u w:val="single"/>
        </w:rPr>
        <w:t>18.1投标人上传电子投标文件的时间不得迟于招标公告中规定的投标截止时间。</w:t>
      </w:r>
    </w:p>
    <w:p w14:paraId="31B4E76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投标人应充分考虑到网络环境、网络带宽等风险因素，如因投标人自身原因造成的电子投标文件上传不成功的按照本招标文件第二章第26.1.2条 规定做无效投标处理。</w:t>
      </w:r>
    </w:p>
    <w:p w14:paraId="157D9C4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18.2采购人可以按照规定，通过修改招标文件酌情延长投标截止时间，在此情况下，投标人的所有权利和义务以及投标人受制的截止时间均应以延长后新的截止时间为准。</w:t>
      </w:r>
    </w:p>
    <w:p w14:paraId="3956806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4" w:name="_Toc513029227"/>
      <w:bookmarkStart w:id="75" w:name="_Toc20823299"/>
      <w:bookmarkStart w:id="76" w:name="_Toc16938543"/>
      <w:r>
        <w:rPr>
          <w:rFonts w:cs="Arial" w:asciiTheme="minorEastAsia" w:hAnsiTheme="minorEastAsia" w:eastAsiaTheme="minorEastAsia"/>
          <w:b/>
          <w:sz w:val="28"/>
          <w:szCs w:val="28"/>
          <w:highlight w:val="none"/>
        </w:rPr>
        <w:t>19、投标文件</w:t>
      </w:r>
      <w:bookmarkEnd w:id="74"/>
      <w:bookmarkEnd w:id="75"/>
      <w:bookmarkEnd w:id="76"/>
      <w:r>
        <w:rPr>
          <w:rFonts w:cs="Arial" w:asciiTheme="minorEastAsia" w:hAnsiTheme="minorEastAsia" w:eastAsiaTheme="minorEastAsia"/>
          <w:b/>
          <w:sz w:val="28"/>
          <w:szCs w:val="28"/>
          <w:highlight w:val="none"/>
        </w:rPr>
        <w:t>的拒收</w:t>
      </w:r>
    </w:p>
    <w:p w14:paraId="680172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19.1采购人拒绝接收在其规定的投标截止时间后上传的任何投标文件。</w:t>
      </w:r>
    </w:p>
    <w:p w14:paraId="57C4F1AE">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7" w:name="_Toc513029228"/>
      <w:bookmarkStart w:id="78" w:name="_Toc16938544"/>
      <w:bookmarkStart w:id="79" w:name="_Toc20823300"/>
      <w:r>
        <w:rPr>
          <w:rFonts w:cs="Arial" w:asciiTheme="minorEastAsia" w:hAnsiTheme="minorEastAsia" w:eastAsiaTheme="minorEastAsia"/>
          <w:b/>
          <w:sz w:val="28"/>
          <w:szCs w:val="28"/>
          <w:highlight w:val="none"/>
        </w:rPr>
        <w:t>20、投标文件的撤回和修改</w:t>
      </w:r>
      <w:bookmarkEnd w:id="77"/>
      <w:bookmarkEnd w:id="78"/>
      <w:bookmarkEnd w:id="79"/>
    </w:p>
    <w:p w14:paraId="0C30099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20.1投标文件的撤回</w:t>
      </w:r>
    </w:p>
    <w:p w14:paraId="344F45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21.1.1电子投标文件的撤回</w:t>
      </w:r>
    </w:p>
    <w:p w14:paraId="4077785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投标人可在投标截止时间前，撤回其电子投标文件，具体操作方法见《操作手册》。</w:t>
      </w:r>
    </w:p>
    <w:p w14:paraId="47DB76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21.1.2投标人撤回电子投标文件，则认为其不再参与本项目投标活动。</w:t>
      </w:r>
    </w:p>
    <w:p w14:paraId="3E695A1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 投标文件的修改</w:t>
      </w:r>
    </w:p>
    <w:p w14:paraId="5EF12B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20.2.1投标人可在投标截止时间前，对其电子投标文件进行修改，具体操作方法见《操作手册》。</w:t>
      </w:r>
    </w:p>
    <w:p w14:paraId="1EDE2E1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20.2.2在投标截止时间之后，投标人不得对其电子投标文件作任何修改。</w:t>
      </w:r>
    </w:p>
    <w:p w14:paraId="79B4B9C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20.3在投标截止时间至招标文件中规定的投标有效期满之间的这段时间内，投标人不得撤回其投标。</w:t>
      </w:r>
    </w:p>
    <w:p w14:paraId="499C6B54">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80" w:name="_Toc513029229"/>
      <w:bookmarkStart w:id="81" w:name="_Toc120614218"/>
      <w:bookmarkStart w:id="82" w:name="_Toc16938545"/>
      <w:bookmarkStart w:id="83" w:name="_Toc20823301"/>
      <w:r>
        <w:rPr>
          <w:rFonts w:asciiTheme="minorEastAsia" w:hAnsiTheme="minorEastAsia" w:eastAsiaTheme="minorEastAsia"/>
          <w:b/>
          <w:sz w:val="32"/>
          <w:szCs w:val="32"/>
          <w:highlight w:val="none"/>
        </w:rPr>
        <w:t>五、开标与评标</w:t>
      </w:r>
      <w:bookmarkEnd w:id="80"/>
      <w:bookmarkEnd w:id="81"/>
      <w:bookmarkEnd w:id="82"/>
      <w:bookmarkEnd w:id="83"/>
    </w:p>
    <w:p w14:paraId="64340C0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4" w:name="_Toc16938546"/>
      <w:bookmarkStart w:id="85" w:name="_Toc20823302"/>
      <w:bookmarkStart w:id="86" w:name="_Toc513029230"/>
      <w:r>
        <w:rPr>
          <w:rFonts w:cs="Arial" w:asciiTheme="minorEastAsia" w:hAnsiTheme="minorEastAsia" w:eastAsiaTheme="minorEastAsia"/>
          <w:b/>
          <w:sz w:val="28"/>
          <w:szCs w:val="28"/>
          <w:highlight w:val="none"/>
        </w:rPr>
        <w:t>21、开标</w:t>
      </w:r>
      <w:bookmarkEnd w:id="84"/>
      <w:bookmarkEnd w:id="85"/>
      <w:bookmarkEnd w:id="86"/>
    </w:p>
    <w:p w14:paraId="2141FDDC">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21.1采购人将在招标公告中规定的时间和地点组织公开开标。投标人应当按照《操作手册》规定，参加开标活动和在苏采云系统规定的时间内对投标文件进行解密。</w:t>
      </w:r>
    </w:p>
    <w:p w14:paraId="6EA0F04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21.2开标仪式由采购人或代理机构组织。苏采云系统将自动对项目进行开标，并宣布各投标人名称和投标价格。</w:t>
      </w:r>
    </w:p>
    <w:p w14:paraId="08F077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21.3投标人在开标过程中涉及到的投标文件解密、开标结果确认等工作，应按照《操作手册》规定执行。</w:t>
      </w:r>
    </w:p>
    <w:p w14:paraId="5471E4C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21.4投标人如果对开标过程和开标记录有疑义，应当根据《操作手册》规定提出，如苏采云系统中《开标记录表》宣布后5分钟内未提出的，视同认可开标结果。</w:t>
      </w:r>
    </w:p>
    <w:p w14:paraId="4EB76A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7" w:name="_Toc513029231"/>
      <w:bookmarkStart w:id="88" w:name="_Toc16938547"/>
      <w:bookmarkStart w:id="89" w:name="_Toc20823303"/>
      <w:r>
        <w:rPr>
          <w:rFonts w:cs="Arial" w:asciiTheme="minorEastAsia" w:hAnsiTheme="minorEastAsia" w:eastAsiaTheme="minorEastAsia"/>
          <w:b/>
          <w:sz w:val="28"/>
          <w:szCs w:val="28"/>
          <w:highlight w:val="none"/>
        </w:rPr>
        <w:t>22、评标委员会</w:t>
      </w:r>
      <w:bookmarkEnd w:id="87"/>
      <w:bookmarkEnd w:id="88"/>
      <w:bookmarkEnd w:id="89"/>
    </w:p>
    <w:p w14:paraId="713D10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22.1开标后，采购人将立即组织评标委员会（以下简称评委会）进行评标。</w:t>
      </w:r>
    </w:p>
    <w:p w14:paraId="6988B0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22.2评委会由采购人代表和有关技术、经济等方面的专家组成，且人员构成符合政府采购有关规定。</w:t>
      </w:r>
    </w:p>
    <w:p w14:paraId="476D6EF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22.3评委会独立工作，负责评审所有投标文件并确定中标侯选人。</w:t>
      </w:r>
    </w:p>
    <w:p w14:paraId="13690CF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23、评标过程的保密与公正</w:t>
      </w:r>
    </w:p>
    <w:p w14:paraId="4317AE7D">
      <w:pPr>
        <w:keepNext/>
        <w:keepLines/>
        <w:ind w:firstLine="420"/>
        <w:rPr>
          <w:rFonts w:ascii="宋体" w:hAnsi="宋体" w:cs="宋体"/>
          <w:sz w:val="24"/>
          <w:highlight w:val="none"/>
        </w:rPr>
      </w:pPr>
      <w:bookmarkStart w:id="90" w:name="_Toc16938548"/>
      <w:bookmarkStart w:id="91" w:name="_Toc513029232"/>
      <w:bookmarkStart w:id="92" w:name="_Toc20823304"/>
      <w:r>
        <w:rPr>
          <w:rFonts w:hint="eastAsia" w:ascii="宋体" w:hAnsi="宋体" w:cs="宋体"/>
          <w:sz w:val="24"/>
          <w:highlight w:val="none"/>
        </w:rPr>
        <w:t>23、评标过程的保密与公正</w:t>
      </w:r>
    </w:p>
    <w:p w14:paraId="0223ABBC">
      <w:pPr>
        <w:spacing w:line="0" w:lineRule="atLeast"/>
        <w:ind w:firstLine="480"/>
        <w:rPr>
          <w:rFonts w:ascii="宋体" w:hAnsi="宋体" w:cs="宋体"/>
          <w:sz w:val="24"/>
          <w:highlight w:val="none"/>
        </w:rPr>
      </w:pPr>
      <w:r>
        <w:rPr>
          <w:rFonts w:hint="eastAsia" w:ascii="宋体" w:hAnsi="宋体" w:cs="宋体"/>
          <w:sz w:val="24"/>
          <w:highlight w:val="none"/>
        </w:rPr>
        <w:t>23.1凡是与审查、澄清、评价和比较投标的有关资料以及授标建议等，采购人、评委、采购中心均不得向投标人或与评标无关的其他人员透露。</w:t>
      </w:r>
    </w:p>
    <w:p w14:paraId="13CDD2FE">
      <w:pPr>
        <w:spacing w:line="0" w:lineRule="atLeast"/>
        <w:ind w:firstLine="480"/>
        <w:rPr>
          <w:rFonts w:ascii="宋体" w:hAnsi="宋体" w:cs="宋体"/>
          <w:sz w:val="24"/>
          <w:highlight w:val="none"/>
        </w:rPr>
      </w:pPr>
      <w:r>
        <w:rPr>
          <w:rFonts w:hint="eastAsia" w:ascii="宋体" w:hAnsi="宋体" w:cs="宋体"/>
          <w:sz w:val="24"/>
          <w:highlight w:val="none"/>
        </w:rPr>
        <w:t>23.2在评标过程中，投标人不得以任何行为影响评标过程，否则其投标文件将被作为无效投标文件。</w:t>
      </w:r>
    </w:p>
    <w:p w14:paraId="21214734">
      <w:pPr>
        <w:spacing w:line="0" w:lineRule="atLeast"/>
        <w:ind w:firstLine="480"/>
        <w:rPr>
          <w:rFonts w:ascii="宋体" w:hAnsi="宋体" w:cs="宋体"/>
          <w:sz w:val="24"/>
          <w:highlight w:val="none"/>
        </w:rPr>
      </w:pPr>
      <w:r>
        <w:rPr>
          <w:rFonts w:hint="eastAsia" w:ascii="宋体" w:hAnsi="宋体" w:cs="宋体"/>
          <w:sz w:val="24"/>
          <w:highlight w:val="none"/>
        </w:rPr>
        <w:t>23.3采购中心和评标委员会不向未中标的投标人解释未中标原因，也不公布评标过程中的相关细节。</w:t>
      </w:r>
    </w:p>
    <w:p w14:paraId="2BA73B9B">
      <w:pPr>
        <w:pStyle w:val="44"/>
        <w:keepNext/>
        <w:keepLines/>
        <w:spacing w:beforeAutospacing="0" w:afterAutospacing="0"/>
        <w:ind w:firstLine="420"/>
        <w:jc w:val="both"/>
        <w:rPr>
          <w:highlight w:val="none"/>
        </w:rPr>
      </w:pPr>
      <w:r>
        <w:rPr>
          <w:rFonts w:hint="eastAsia"/>
          <w:highlight w:val="none"/>
        </w:rPr>
        <w:t>23.4采用综合评分法的项目，未中标的投标人可于中标结果公告期限届满之日起通过苏采云系统查看自己的评审得分及排序情况。</w:t>
      </w:r>
    </w:p>
    <w:p w14:paraId="2411D4F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24、投标文件的澄清</w:t>
      </w:r>
      <w:bookmarkEnd w:id="90"/>
      <w:bookmarkEnd w:id="91"/>
      <w:bookmarkEnd w:id="92"/>
    </w:p>
    <w:p w14:paraId="6871F7D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24.1评标期间，评委会对投标文件中含义不明确、同类问题表述不一致或者有明显文字和计算错误的内容 ，有权要求投标人作出必要的澄清、说明或者补正。</w:t>
      </w:r>
    </w:p>
    <w:p w14:paraId="2C16438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投标人的澄清、说明或者补正不得超出投标文件的范围或者改变投标文件的实质性内容。</w:t>
      </w:r>
    </w:p>
    <w:p w14:paraId="37359AE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评标委员会并非对每个投标人都做澄清要求。</w:t>
      </w:r>
    </w:p>
    <w:p w14:paraId="4CF7CD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DB06F1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24.3接到评委会澄清、说明和补正要求的投标人如未按规定做出澄清、说明和补正，其风险由投标人自行承担。</w:t>
      </w:r>
    </w:p>
    <w:p w14:paraId="349D925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93" w:name="_Toc16938549"/>
      <w:bookmarkStart w:id="94" w:name="_Toc513029233"/>
      <w:bookmarkStart w:id="95" w:name="_Toc20823305"/>
      <w:r>
        <w:rPr>
          <w:rFonts w:cs="Arial" w:asciiTheme="minorEastAsia" w:hAnsiTheme="minorEastAsia" w:eastAsiaTheme="minorEastAsia"/>
          <w:b/>
          <w:sz w:val="28"/>
          <w:szCs w:val="28"/>
          <w:highlight w:val="none"/>
        </w:rPr>
        <w:t>25、对投标文件的初审</w:t>
      </w:r>
      <w:bookmarkEnd w:id="93"/>
      <w:bookmarkEnd w:id="94"/>
      <w:bookmarkEnd w:id="95"/>
    </w:p>
    <w:p w14:paraId="2CB2E1FD">
      <w:pPr>
        <w:spacing w:line="0" w:lineRule="atLeast"/>
        <w:ind w:firstLine="480"/>
        <w:rPr>
          <w:rFonts w:cs="宋体" w:asciiTheme="minorEastAsia" w:hAnsiTheme="minorEastAsia" w:eastAsiaTheme="minorEastAsia"/>
          <w:sz w:val="24"/>
          <w:highlight w:val="none"/>
        </w:rPr>
      </w:pPr>
      <w:bookmarkStart w:id="96" w:name="_Toc120614219"/>
      <w:r>
        <w:rPr>
          <w:rFonts w:hint="eastAsia" w:cs="宋体" w:asciiTheme="minorEastAsia" w:hAnsiTheme="minorEastAsia" w:eastAsiaTheme="minorEastAsia"/>
          <w:sz w:val="24"/>
          <w:highlight w:val="none"/>
        </w:rPr>
        <w:t>25.1投标文件初审分为资格审查和符合性审查。</w:t>
      </w:r>
    </w:p>
    <w:p w14:paraId="0290B97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25.1.1资格审查：依据法律法规和招标文件的规定，由采购人对投标文件中的资格证明文件进行审查。资格审查的结论，采购人以书面形式向评委会进行反馈。</w:t>
      </w:r>
    </w:p>
    <w:p w14:paraId="6F9C3D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采购人在进行资格性审查的同时，将在“信用中国”网站（www.creditchina.gov.cn）查询投标人的信用记录，以确定投标人是否具备投标资格,查询结果留存并归档。</w:t>
      </w:r>
    </w:p>
    <w:p w14:paraId="30923CE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9AE700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25.1.2符合性审查：依据招标文件的规定，由评委会从投标文件的有效性、完整性和对招标文件的响应程度进行审查，以确定是否对招标文件的实质性要求作出响应。</w:t>
      </w:r>
    </w:p>
    <w:p w14:paraId="55900AB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05D24FB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06416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46CE17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25.3如果投标文件实质上没有响应招标文件的要求，评委会将予以拒绝，投标人不得通过修改或撤销不合要求的偏离或保留而使其投标成为实质性响应的投标。</w:t>
      </w:r>
    </w:p>
    <w:p w14:paraId="04E61C6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25.4评委会将对确定为实质性响应的投标进行进一步审核，确定其是否有计算上或累加上的算术错误，修正错误的原则如下：</w:t>
      </w:r>
    </w:p>
    <w:p w14:paraId="14B6F4B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（1）投标文件中开标一览表内容与投标文件中相应内容不一致的，以开标一览表为准。</w:t>
      </w:r>
    </w:p>
    <w:p w14:paraId="78BD3C9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（2）大写金额和小写金额不一致的，以大写金额为准。</w:t>
      </w:r>
    </w:p>
    <w:p w14:paraId="7608ACF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（3）单价金额小数点或者百分比有明显错位的，以开标一览表的总价为准，并修改单价。</w:t>
      </w:r>
    </w:p>
    <w:p w14:paraId="5FF1905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（4）总价金额与按单价汇总金额不一致的，以单价金额计算结果为准。</w:t>
      </w:r>
    </w:p>
    <w:p w14:paraId="391C959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同时出现两种以上错误的，按照前款规定的顺序修正。</w:t>
      </w:r>
    </w:p>
    <w:p w14:paraId="18D84D7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3ADD60B">
      <w:pPr>
        <w:spacing w:line="0" w:lineRule="atLeast"/>
        <w:ind w:firstLine="420"/>
        <w:rPr>
          <w:rFonts w:cs="宋体" w:asciiTheme="minorEastAsia" w:hAnsiTheme="minorEastAsia" w:eastAsiaTheme="minorEastAsia"/>
          <w:sz w:val="24"/>
          <w:highlight w:val="none"/>
        </w:rPr>
      </w:pPr>
      <w:bookmarkStart w:id="97" w:name="_Toc16938550"/>
      <w:bookmarkStart w:id="98" w:name="_Toc513029234"/>
      <w:bookmarkStart w:id="99" w:name="_Toc20823306"/>
      <w:r>
        <w:rPr>
          <w:rFonts w:hint="eastAsia" w:cs="宋体" w:asciiTheme="minorEastAsia" w:hAnsiTheme="minorEastAsia" w:eastAsiaTheme="minorEastAsia"/>
          <w:sz w:val="24"/>
          <w:highlight w:val="none"/>
        </w:rPr>
        <w:t>25.6投标人在开、评标全过程中应保持通讯畅通，及时登录苏采云系统查阅、答复相关信息，并安排专人与采购中心及评标委员会联系。</w:t>
      </w:r>
      <w:bookmarkEnd w:id="97"/>
      <w:bookmarkEnd w:id="98"/>
      <w:bookmarkEnd w:id="99"/>
    </w:p>
    <w:p w14:paraId="610B9407">
      <w:pPr>
        <w:keepNext/>
        <w:keepLines/>
        <w:ind w:firstLine="42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26、无效投标条款和废标条款</w:t>
      </w:r>
    </w:p>
    <w:p w14:paraId="7A8CA1D2">
      <w:pPr>
        <w:spacing w:line="0" w:lineRule="atLeast"/>
        <w:ind w:left="479"/>
        <w:rPr>
          <w:rFonts w:cs="宋体" w:asciiTheme="minorEastAsia" w:hAnsiTheme="minorEastAsia" w:eastAsiaTheme="minorEastAsia"/>
          <w:sz w:val="24"/>
          <w:highlight w:val="none"/>
        </w:rPr>
      </w:pPr>
      <w:bookmarkStart w:id="100" w:name="_Toc20823307"/>
      <w:bookmarkStart w:id="101" w:name="_Toc16938551"/>
      <w:bookmarkStart w:id="102" w:name="_Toc513029235"/>
      <w:r>
        <w:rPr>
          <w:rFonts w:hint="eastAsia" w:cs="宋体" w:asciiTheme="minorEastAsia" w:hAnsiTheme="minorEastAsia" w:eastAsiaTheme="minorEastAsia"/>
          <w:sz w:val="24"/>
          <w:highlight w:val="none"/>
        </w:rPr>
        <w:t>26.1无效投标条款</w:t>
      </w:r>
      <w:bookmarkEnd w:id="100"/>
      <w:bookmarkEnd w:id="101"/>
      <w:bookmarkEnd w:id="102"/>
    </w:p>
    <w:p w14:paraId="7EC822B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26.1.1投标人在苏采云系统规定的时间内未成功解密电子投标文件的。</w:t>
      </w:r>
    </w:p>
    <w:p w14:paraId="763D507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26.1.2投标人未按照招标文件要求上传电子投标文件的。</w:t>
      </w:r>
    </w:p>
    <w:p w14:paraId="1966FA31">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26.1.3同一投标人提交两个（含两个）以上不同的投标报价的。</w:t>
      </w:r>
    </w:p>
    <w:p w14:paraId="1C1BB21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26.1.4投标人不具备招标文件中规定资格要求的。</w:t>
      </w:r>
    </w:p>
    <w:p w14:paraId="05CC73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26.1.5投标人的报价超过了采购预算或最高限价的。</w:t>
      </w:r>
    </w:p>
    <w:p w14:paraId="02E622A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26.1.6未通过符合性审查的。</w:t>
      </w:r>
    </w:p>
    <w:p w14:paraId="63DB300B">
      <w:pPr>
        <w:spacing w:line="0" w:lineRule="atLeast"/>
        <w:ind w:firstLine="36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26.1.7不符合招标文件中规定的实质性要求和条件的（本招标文件中斜体且有下划线部分为实质性要求和条件）。</w:t>
      </w:r>
    </w:p>
    <w:p w14:paraId="0BF7F6A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71327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26.1.9投标文件含有采购人不能接受的附加条件的。</w:t>
      </w:r>
    </w:p>
    <w:p w14:paraId="52DBA78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26.1.10投标人不能证明其报价合理性的，评标委员会应当将其作为无效投标处理。</w:t>
      </w:r>
    </w:p>
    <w:p w14:paraId="6F27A046">
      <w:pPr>
        <w:widowControl w:val="0"/>
        <w:spacing w:beforeAutospacing="0" w:afterAutospacing="0" w:line="0" w:lineRule="atLeast"/>
        <w:ind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029D404A">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3.投标（响应）报价低于采购项目最高限价45%的，即投标（响应）报价&lt;采购项目最高限价×45%；</w:t>
      </w:r>
    </w:p>
    <w:p w14:paraId="6B93ED46">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4.评审委员会基于专业判断，认为供应商报价过低，有可能影响产品质量或者不能诚信履约的其他情形。</w:t>
      </w:r>
    </w:p>
    <w:p w14:paraId="6E14DBF3">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相关法律法规对供应商报价有规定的，从其规定。</w:t>
      </w:r>
    </w:p>
    <w:p w14:paraId="209516AE">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widowControl w:val="0"/>
        <w:spacing w:before="0" w:beforeAutospacing="0" w:after="0" w:afterAutospacing="0" w:line="0" w:lineRule="atLeast"/>
        <w:ind w:left="0" w:right="0" w:firstLine="480"/>
        <w:jc w:val="both"/>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9E22EE">
      <w:pPr>
        <w:spacing w:line="0" w:lineRule="atLeast"/>
        <w:ind w:firstLine="480"/>
        <w:rPr>
          <w:rFonts w:cs="宋体" w:asciiTheme="minorEastAsia" w:hAnsiTheme="minorEastAsia" w:eastAsiaTheme="minorEastAsia"/>
          <w:sz w:val="24"/>
          <w:highlight w:val="none"/>
        </w:rPr>
      </w:pPr>
      <w:r>
        <w:rPr>
          <w:rFonts w:hint="eastAsia" w:ascii="宋体" w:hAnsi="宋体" w:eastAsia="宋体" w:cs="宋体"/>
          <w:b/>
          <w:bCs/>
          <w:color w:val="FF0000"/>
          <w:kern w:val="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F3F492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26.1.11投标文件未按照招标文件要求加盖CA电子公章的。</w:t>
      </w:r>
    </w:p>
    <w:p w14:paraId="2072C60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26.1.12其他法律、法规及本招标文件规定的属无效投标的情形。</w:t>
      </w:r>
    </w:p>
    <w:p w14:paraId="2038C1C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26.2废标条款</w:t>
      </w:r>
    </w:p>
    <w:p w14:paraId="7CD5352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26.2.1符合专业条件的供应商或者对招标文件作实质响应的供应商不足三家的。</w:t>
      </w:r>
    </w:p>
    <w:p w14:paraId="3B5DD43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26.2.2出现影响采购公正的违法、违规行为的。</w:t>
      </w:r>
    </w:p>
    <w:p w14:paraId="0310184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26.2.3因重大变故，采购任务取消的。</w:t>
      </w:r>
    </w:p>
    <w:p w14:paraId="6F22E154">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26.2.4评标委员会认定招标文件存在歧义、重大缺陷导致评审工作无法进行。</w:t>
      </w:r>
    </w:p>
    <w:p w14:paraId="3135CE67">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26.2.5因苏采云系统系统故障原因造成开标不成功的。</w:t>
      </w:r>
    </w:p>
    <w:p w14:paraId="4DC25A25">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 投标截止时间结束后参加投标的供应商不足三家的处理：</w:t>
      </w:r>
    </w:p>
    <w:p w14:paraId="5962F3D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26.3.1如出现投标截止时间结束后参加投标的供应商或者在评标期间对招标文件做出实质响应的供应商不足三家情况，按政府采购相关规定执行。</w:t>
      </w:r>
    </w:p>
    <w:p w14:paraId="01F099CA">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六、定标</w:t>
      </w:r>
      <w:bookmarkEnd w:id="96"/>
    </w:p>
    <w:p w14:paraId="3F3A83D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3" w:name="_Toc20823310"/>
      <w:bookmarkStart w:id="104" w:name="_Toc513029238"/>
      <w:bookmarkStart w:id="105" w:name="_Toc16938554"/>
      <w:r>
        <w:rPr>
          <w:rFonts w:hint="eastAsia" w:cs="Arial" w:asciiTheme="minorEastAsia" w:hAnsiTheme="minorEastAsia" w:eastAsiaTheme="minorEastAsia"/>
          <w:b/>
          <w:sz w:val="28"/>
          <w:szCs w:val="28"/>
          <w:highlight w:val="none"/>
        </w:rPr>
        <w:t>27、</w:t>
      </w:r>
      <w:bookmarkEnd w:id="103"/>
      <w:r>
        <w:rPr>
          <w:rFonts w:hint="eastAsia" w:cs="Arial" w:asciiTheme="minorEastAsia" w:hAnsiTheme="minorEastAsia" w:eastAsiaTheme="minorEastAsia"/>
          <w:b/>
          <w:sz w:val="28"/>
          <w:szCs w:val="28"/>
          <w:highlight w:val="none"/>
        </w:rPr>
        <w:t>确定</w:t>
      </w:r>
      <w:bookmarkEnd w:id="104"/>
      <w:bookmarkEnd w:id="105"/>
      <w:r>
        <w:rPr>
          <w:rFonts w:hint="eastAsia" w:cs="Arial" w:asciiTheme="minorEastAsia" w:hAnsiTheme="minorEastAsia" w:eastAsiaTheme="minorEastAsia"/>
          <w:b/>
          <w:sz w:val="28"/>
          <w:szCs w:val="28"/>
          <w:highlight w:val="none"/>
        </w:rPr>
        <w:t>中标单位</w:t>
      </w:r>
    </w:p>
    <w:p w14:paraId="2192CD7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 xml:space="preserve">27.1中标候选人的选取原则和数量见招标文件第五章规定。 </w:t>
      </w:r>
    </w:p>
    <w:p w14:paraId="0C0150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27.2采购人应根据评委会推荐的中标候选人确定中标人。</w:t>
      </w:r>
    </w:p>
    <w:p w14:paraId="38081E6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27.3采购人将在“中国政府采购网”、“江苏政府采购网”、“盐城市政府采购网”发布中标公告，公告期限为1个工作日。</w:t>
      </w:r>
    </w:p>
    <w:p w14:paraId="6AD3DFC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27.4若有充分证据证明，中标人出现下列情况之一的，一经查实，将被取消中标资格：</w:t>
      </w:r>
    </w:p>
    <w:p w14:paraId="45B6DA9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27.4.1提供虚假材料谋取中标的。</w:t>
      </w:r>
    </w:p>
    <w:p w14:paraId="51F43E6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27.4.2向采购人、代理机构行贿或者提供其他不正当利益的。</w:t>
      </w:r>
    </w:p>
    <w:p w14:paraId="1204B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27.4.3属于本文件规定的无效条件，但在评标过程中又未被评委会发现的。</w:t>
      </w:r>
    </w:p>
    <w:p w14:paraId="7612FA9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27.4.4与采购人或者其他供应商恶意串通的。</w:t>
      </w:r>
    </w:p>
    <w:p w14:paraId="13334D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27.4.5采取不正当手段诋毁、排挤其他供应商的。</w:t>
      </w:r>
    </w:p>
    <w:p w14:paraId="4283E6D2">
      <w:pPr>
        <w:pStyle w:val="44"/>
        <w:spacing w:beforeAutospacing="0" w:afterAutospacing="0" w:line="0" w:lineRule="atLeast"/>
        <w:ind w:firstLine="480"/>
        <w:jc w:val="both"/>
        <w:rPr>
          <w:rFonts w:asciiTheme="minorEastAsia" w:hAnsiTheme="minorEastAsia" w:eastAsiaTheme="minorEastAsia"/>
          <w:highlight w:val="none"/>
        </w:rPr>
      </w:pPr>
      <w:bookmarkStart w:id="106" w:name="_Toc200451960"/>
      <w:r>
        <w:rPr>
          <w:rFonts w:hint="eastAsia" w:asciiTheme="minorEastAsia" w:hAnsiTheme="minorEastAsia" w:eastAsiaTheme="minorEastAsia"/>
          <w:highlight w:val="none"/>
        </w:rPr>
        <w:t xml:space="preserve">27.5 </w:t>
      </w:r>
      <w:r>
        <w:rPr>
          <w:rFonts w:asciiTheme="minorEastAsia" w:hAnsiTheme="minorEastAsia" w:eastAsiaTheme="minorEastAsia"/>
          <w:highlight w:val="none"/>
        </w:rPr>
        <w:t>有下列情形之一的，视为投标人串通投标，投标无效：</w:t>
      </w:r>
      <w:bookmarkEnd w:id="106"/>
    </w:p>
    <w:p w14:paraId="327C6B1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27.5.1不同投标人的投标文件由同一单位或者个人编制。</w:t>
      </w:r>
    </w:p>
    <w:p w14:paraId="2D3BA2E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27.5.2不同投标人委托同一单位或者个人办理投标事宜。</w:t>
      </w:r>
    </w:p>
    <w:p w14:paraId="1716B4E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27.5.3不同投标人的投标文件载明的项目管理成员或者联系人员为同一人。</w:t>
      </w:r>
    </w:p>
    <w:p w14:paraId="5D93AC6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27.5.4不同投标人的投标文件异常一致或者投标报价呈规律性差异。</w:t>
      </w:r>
    </w:p>
    <w:p w14:paraId="105593E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28、质疑处理</w:t>
      </w:r>
    </w:p>
    <w:p w14:paraId="7935D6D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28.1提出质疑的供应商应当是参与所质疑项目采购活动的供应商。潜在供应商依法获取其可质疑的采购文件的，可以对采购文件提出质疑。</w:t>
      </w:r>
    </w:p>
    <w:p w14:paraId="324D6B7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提出质疑。上述应知其权益受到损害之日，是指：</w:t>
      </w:r>
    </w:p>
    <w:p w14:paraId="4DBF29A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28.2.1</w:t>
      </w:r>
      <w:r>
        <w:rPr>
          <w:rFonts w:asciiTheme="minorEastAsia" w:hAnsiTheme="minorEastAsia" w:eastAsiaTheme="minorEastAsia"/>
          <w:highlight w:val="none"/>
        </w:rPr>
        <w:t>对可以质疑的采购文件提出质疑的，为收到采购文件之日或者采购文件公告期限届满之日；</w:t>
      </w:r>
    </w:p>
    <w:p w14:paraId="49DD552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28.2.2</w:t>
      </w:r>
      <w:r>
        <w:rPr>
          <w:rFonts w:asciiTheme="minorEastAsia" w:hAnsiTheme="minorEastAsia" w:eastAsiaTheme="minorEastAsia"/>
          <w:highlight w:val="none"/>
        </w:rPr>
        <w:t>对采购过程提出质疑的，为各采购程序环节结束之日；</w:t>
      </w:r>
    </w:p>
    <w:p w14:paraId="1E164C9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28.2.3</w:t>
      </w:r>
      <w:r>
        <w:rPr>
          <w:rFonts w:asciiTheme="minorEastAsia" w:hAnsiTheme="minorEastAsia" w:eastAsiaTheme="minorEastAsia"/>
          <w:highlight w:val="none"/>
        </w:rPr>
        <w:t>对中标或者成交结果提出质疑的，为中标或者成交结果公告期限届满之日。</w:t>
      </w:r>
    </w:p>
    <w:p w14:paraId="1CF2F32A">
      <w:pPr>
        <w:pStyle w:val="44"/>
        <w:spacing w:beforeAutospacing="0" w:afterAutospacing="0" w:line="0" w:lineRule="atLeast"/>
        <w:ind w:firstLine="480"/>
        <w:jc w:val="both"/>
        <w:rPr>
          <w:rFonts w:asciiTheme="minorEastAsia" w:hAnsiTheme="minorEastAsia" w:eastAsiaTheme="minorEastAsia"/>
          <w:highlight w:val="none"/>
        </w:rPr>
      </w:pPr>
      <w:r>
        <w:rPr>
          <w:rFonts w:asciiTheme="minorEastAsia" w:hAnsiTheme="minorEastAsia" w:eastAsiaTheme="minorEastAsia"/>
          <w:highlight w:val="none"/>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highlight w:val="none"/>
        </w:rPr>
        <w:t>采购人、代理机构</w:t>
      </w:r>
      <w:r>
        <w:rPr>
          <w:rFonts w:asciiTheme="minorEastAsia" w:hAnsiTheme="minorEastAsia" w:eastAsiaTheme="minorEastAsia"/>
          <w:highlight w:val="none"/>
        </w:rPr>
        <w:t>将只对供应商第一次质疑作出答复。</w:t>
      </w:r>
    </w:p>
    <w:p w14:paraId="2AD7E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AFF5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 以下情形的质疑不予受理</w:t>
      </w:r>
    </w:p>
    <w:p w14:paraId="08B5638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28.4.1内容不符合《政府采购质疑和投诉办法》第十二条规定的质疑。</w:t>
      </w:r>
    </w:p>
    <w:p w14:paraId="505CF7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28.4.2超出政府采购法定期限的质疑。</w:t>
      </w:r>
    </w:p>
    <w:p w14:paraId="5CEA866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28.4.3以传真、电子邮件等方式递交的非原件形式的质疑。</w:t>
      </w:r>
    </w:p>
    <w:p w14:paraId="5D48DC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28.4.4未参加投标活动的供应商或在投标活动中自身权益未受到损害的供应商所提出的质疑。</w:t>
      </w:r>
    </w:p>
    <w:p w14:paraId="330E4F3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28.4.5供应商组成联合体参加投标，联合体中任何一方或多方未按要求签字、盖章、加盖公章的质疑。</w:t>
      </w:r>
    </w:p>
    <w:p w14:paraId="7EED97DE">
      <w:pPr>
        <w:pStyle w:val="44"/>
        <w:keepNext/>
        <w:keepLines/>
        <w:spacing w:beforeAutospacing="0" w:afterAutospacing="0"/>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D646E71">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29、中标通知书</w:t>
      </w:r>
    </w:p>
    <w:p w14:paraId="7024B49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9501AD">
      <w:pPr>
        <w:pStyle w:val="44"/>
        <w:spacing w:beforeAutospacing="0" w:afterAutospacing="0" w:line="0" w:lineRule="atLeast"/>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29.2中标通知书将是合同的一个组成部分。对采购人和中标人均具有法律效力。中标通知书发出后，采购人改变中标结果的，或者中标人放弃中标项目的，应当依法承担法律责任。</w:t>
      </w:r>
    </w:p>
    <w:p w14:paraId="71062EDC">
      <w:pPr>
        <w:pStyle w:val="44"/>
        <w:keepNext/>
        <w:keepLines/>
        <w:spacing w:before="145" w:beforeAutospacing="0" w:after="145" w:afterAutospacing="0" w:line="360" w:lineRule="auto"/>
        <w:jc w:val="both"/>
        <w:rPr>
          <w:rFonts w:asciiTheme="minorEastAsia" w:hAnsiTheme="minorEastAsia" w:eastAsiaTheme="minorEastAsia"/>
          <w:highlight w:val="none"/>
        </w:rPr>
      </w:pPr>
      <w:bookmarkStart w:id="107" w:name="_Toc513029236"/>
      <w:bookmarkStart w:id="108" w:name="_Toc16938552"/>
      <w:bookmarkStart w:id="109" w:name="_Toc20823308"/>
      <w:bookmarkStart w:id="110" w:name="_Toc120614220"/>
      <w:r>
        <w:rPr>
          <w:rFonts w:asciiTheme="minorEastAsia" w:hAnsiTheme="minorEastAsia" w:eastAsiaTheme="minorEastAsia"/>
          <w:b/>
          <w:sz w:val="32"/>
          <w:szCs w:val="32"/>
          <w:highlight w:val="none"/>
        </w:rPr>
        <w:t>七、授予合同</w:t>
      </w:r>
      <w:bookmarkEnd w:id="107"/>
      <w:bookmarkEnd w:id="108"/>
      <w:bookmarkEnd w:id="109"/>
      <w:bookmarkEnd w:id="110"/>
    </w:p>
    <w:p w14:paraId="16461E3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11" w:name="_Toc16938553"/>
      <w:bookmarkStart w:id="112" w:name="_Toc20823309"/>
      <w:bookmarkStart w:id="113" w:name="_Toc513029237"/>
      <w:r>
        <w:rPr>
          <w:rFonts w:hint="eastAsia" w:cs="Arial" w:asciiTheme="minorEastAsia" w:hAnsiTheme="minorEastAsia" w:eastAsiaTheme="minorEastAsia"/>
          <w:b/>
          <w:sz w:val="28"/>
          <w:szCs w:val="28"/>
          <w:highlight w:val="none"/>
        </w:rPr>
        <w:t>30.签订合同</w:t>
      </w:r>
      <w:bookmarkEnd w:id="111"/>
      <w:bookmarkEnd w:id="112"/>
      <w:bookmarkEnd w:id="113"/>
    </w:p>
    <w:p w14:paraId="5DF6B440">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30.签订合同</w:t>
      </w:r>
    </w:p>
    <w:p w14:paraId="7CFBBB12">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30.l中标人应当在中标通知书发出之日起三十日内，按照招标文件确定的事项与采购人签订政府采购合同。</w:t>
      </w:r>
    </w:p>
    <w:p w14:paraId="1370FC5B">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30.2招标文件、中标人的投标文件及招标过程中有关澄清、承诺文件均应作为合同附件。</w:t>
      </w:r>
    </w:p>
    <w:p w14:paraId="5207DC16">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DD77A62">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31、服务（包含与服务相关的货物）的追加</w:t>
      </w:r>
    </w:p>
    <w:p w14:paraId="493856A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FEE7437">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32.政府采购政策功能落实</w:t>
      </w:r>
    </w:p>
    <w:p w14:paraId="2DC64C98">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32.1政府采购线上合同信用融资政策</w:t>
      </w:r>
    </w:p>
    <w:p w14:paraId="38A7A2F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9BE8171">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32.2进口产品</w:t>
      </w:r>
    </w:p>
    <w:p w14:paraId="5EDF02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9D021C">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32.3中小企业、监狱企业及残疾人福利性单位</w:t>
      </w:r>
    </w:p>
    <w:p w14:paraId="59FCAAE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32.3.1中小企业定义：</w:t>
      </w:r>
    </w:p>
    <w:p w14:paraId="37512F5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BE891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32.3.2供应商提供的货物、工程或者服务符合下列情形的，享受中小企业扶持政策：</w:t>
      </w:r>
    </w:p>
    <w:p w14:paraId="0C5FFB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32.3.2.1在货物采购项目中，货物由中小企业制造，即货物由中小企业生产且使用该中小企业商号或者注册商标；</w:t>
      </w:r>
    </w:p>
    <w:p w14:paraId="3994A1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32.3.2.2在工程采购项目中，工程由中小企业承建，即工程施工单位为中小企业；</w:t>
      </w:r>
    </w:p>
    <w:p w14:paraId="56AE0C0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32.3.2.3在服务采购项目中，服务由中小企业承接，即提供服务的人员为中小企业依照《中华人民共和国劳动合同法》订立劳动合同的从业人员。</w:t>
      </w:r>
    </w:p>
    <w:p w14:paraId="38E1DF1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32.3.3在货物采购项目中，供应商提供的货物既有中小企业制造货物，也有大型企业制造货物的，不享受中小企业扶持政策。</w:t>
      </w:r>
    </w:p>
    <w:p w14:paraId="7CB1A0E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32.3.4以联合体形式参加政府采购活动，联合体各方均为中小企业的，联合体视同中小企业。其中，联合体各方均为小微企业的，联合体视同小微企业。</w:t>
      </w:r>
    </w:p>
    <w:p w14:paraId="1C005CF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F3B0A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32.3.6残疾人福利单位定义：享受政府采购支持政策的残疾人福利性单位应当同时满足以下条件：</w:t>
      </w:r>
    </w:p>
    <w:p w14:paraId="01F30F1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32.3.6.1安置的残疾人占本单位在职职工人数的比例不低于25%（含25%），并且安置的残疾人人数不少于10 人（含10 人）；</w:t>
      </w:r>
    </w:p>
    <w:p w14:paraId="63E573F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32.3.6.2依法与安置的每位残疾人签订了一年以上（含一年）的劳动合同或服务协议；</w:t>
      </w:r>
    </w:p>
    <w:p w14:paraId="55AAF29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32.3.6.3为安置的每位残疾人按月足额缴纳了基本养老保险、基本医疗保险、失业保险、工伤保险和生育保险等社会保险费；</w:t>
      </w:r>
    </w:p>
    <w:p w14:paraId="49022B8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32.3.6.4通过银行等金融机构向安置的每位残疾人，按月支付了不低于单位所在区县适用的经省级人民政府批准的月最低工资标准的工资；</w:t>
      </w:r>
    </w:p>
    <w:p w14:paraId="13A9F51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32.3.6.5提供本单位制造的货物、承担的工程或者服务（以下简称产品），或者提供其他残疾人福利性单位制造的货物（不包括使用非残疾人福利性单位注册商标的货物）；</w:t>
      </w:r>
    </w:p>
    <w:p w14:paraId="3FF6007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81BB9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32.3.7本项目是否专门面向中小企业预留采购份额见第一章《招标公告》。</w:t>
      </w:r>
    </w:p>
    <w:p w14:paraId="7B76D82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32.3.8采购标的对应的中小企业划分标准所属行业见第四章《采购需求》。</w:t>
      </w:r>
    </w:p>
    <w:p w14:paraId="3F16AB4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32.3.9小微企业价格评审优惠的政策：见第五章《评标方法和评标标准》。</w:t>
      </w:r>
    </w:p>
    <w:p w14:paraId="646ABCE3">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32.4政府采购节能产品、环境标志产品</w:t>
      </w:r>
    </w:p>
    <w:p w14:paraId="64DC639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48257D">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9F016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32.5绿色包装</w:t>
      </w:r>
    </w:p>
    <w:p w14:paraId="3FDCBC9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32B1F5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32.6政府采购创新产品</w:t>
      </w:r>
    </w:p>
    <w:p w14:paraId="5B0CEB5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采购人优先采购各级政府部门公开发布的有效期内的创新产品、创新服务、首台套、首购首用等《目录》的创新产品。</w:t>
      </w:r>
    </w:p>
    <w:p w14:paraId="0C69A1F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32.7绿色数据中心政策 </w:t>
      </w:r>
    </w:p>
    <w:p w14:paraId="55089855">
      <w:pPr>
        <w:spacing w:line="0" w:lineRule="atLeast"/>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FE8439">
      <w:pPr>
        <w:spacing w:line="0" w:lineRule="atLeast"/>
        <w:ind w:firstLine="480"/>
        <w:rPr>
          <w:rFonts w:hint="eastAsia" w:cs="宋体" w:asciiTheme="minorEastAsia" w:hAnsiTheme="minorEastAsia" w:eastAsiaTheme="minorEastAsia"/>
          <w:sz w:val="24"/>
          <w:highlight w:val="none"/>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13EB56B">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履约保证金政策</w:t>
      </w:r>
    </w:p>
    <w:p w14:paraId="2E1ABB1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确需收取履约保证金的，履约保证金的缴纳形式：</w:t>
      </w:r>
    </w:p>
    <w:p w14:paraId="176F62E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E576A4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如以履约保函（保险）形式缴纳履约保证金，供应商可通过政府采购电子履约保函（保险）平台（www.jsdzbh.com）在线申请履约保函（保险）。</w:t>
      </w:r>
    </w:p>
    <w:p w14:paraId="02369EB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A1B719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33. 预付款制度</w:t>
      </w:r>
    </w:p>
    <w:p w14:paraId="37A6D6F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本项目落实预付款制度，预付款比例为</w:t>
      </w:r>
      <w:r>
        <w:rPr>
          <w:rFonts w:hint="eastAsia" w:cs="宋体" w:asciiTheme="minorEastAsia" w:hAnsiTheme="minorEastAsia" w:eastAsiaTheme="minorEastAsia"/>
          <w:sz w:val="24"/>
          <w:highlight w:val="none"/>
          <w:u w:val="single"/>
        </w:rPr>
        <w:t xml:space="preserve">30 </w:t>
      </w:r>
      <w:r>
        <w:rPr>
          <w:rFonts w:hint="eastAsia" w:cs="宋体" w:asciiTheme="minorEastAsia" w:hAnsiTheme="minorEastAsia" w:eastAsiaTheme="minorEastAsia"/>
          <w:sz w:val="24"/>
          <w:highlight w:val="none"/>
        </w:rPr>
        <w:t>%。在签订合同时，中标、成交供应商明确书面表示无需预付款或者主动要求降低预付款比例的，采购人可就预付款比例作相应调整。</w:t>
      </w:r>
    </w:p>
    <w:p w14:paraId="293DB5F6">
      <w:pPr>
        <w:spacing w:line="0" w:lineRule="atLeast"/>
        <w:ind w:firstLine="480"/>
        <w:rPr>
          <w:rFonts w:cs="宋体" w:asciiTheme="minorEastAsia" w:hAnsiTheme="minorEastAsia" w:eastAsiaTheme="minorEastAsia"/>
          <w:sz w:val="24"/>
          <w:highlight w:val="none"/>
        </w:rPr>
      </w:pPr>
    </w:p>
    <w:p w14:paraId="38AB0735">
      <w:pPr>
        <w:numPr>
          <w:ilvl w:val="0"/>
          <w:numId w:val="3"/>
        </w:numPr>
        <w:spacing w:line="360" w:lineRule="auto"/>
        <w:ind w:firstLine="422"/>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4"/>
          <w:highlight w:val="none"/>
        </w:rPr>
        <w:br w:type="page" w:clear="all"/>
      </w:r>
      <w:r>
        <w:rPr>
          <w:rFonts w:hint="eastAsia" w:cs="宋体" w:asciiTheme="minorEastAsia" w:hAnsiTheme="minorEastAsia" w:eastAsiaTheme="minorEastAsia"/>
          <w:b/>
          <w:bCs/>
          <w:sz w:val="32"/>
          <w:szCs w:val="32"/>
          <w:highlight w:val="none"/>
        </w:rPr>
        <w:t xml:space="preserve"> 合同文本</w:t>
      </w:r>
    </w:p>
    <w:p w14:paraId="3243C6F9">
      <w:pPr>
        <w:pStyle w:val="44"/>
        <w:spacing w:beforeAutospacing="0" w:afterAutospacing="0" w:line="0" w:lineRule="atLeast"/>
        <w:ind w:firstLine="480"/>
        <w:jc w:val="both"/>
        <w:rPr>
          <w:rFonts w:cs="仿宋" w:asciiTheme="minorEastAsia" w:hAnsiTheme="minorEastAsia" w:eastAsiaTheme="minorEastAsia"/>
          <w:highlight w:val="none"/>
        </w:rPr>
      </w:pPr>
      <w:bookmarkStart w:id="114" w:name="_Toc16938559"/>
      <w:bookmarkStart w:id="115" w:name="_Toc513029243"/>
      <w:bookmarkStart w:id="116" w:name="_Toc20823315"/>
      <w:r>
        <w:rPr>
          <w:rFonts w:hint="eastAsia" w:cs="仿宋" w:asciiTheme="minorEastAsia" w:hAnsiTheme="minorEastAsia" w:eastAsiaTheme="minorEastAsia"/>
          <w:highlight w:val="none"/>
        </w:rPr>
        <w:t>以下为中标后签定本项目合同的通用条款，中标人不得提出实质性的修改。</w:t>
      </w:r>
      <w:bookmarkEnd w:id="114"/>
      <w:bookmarkEnd w:id="115"/>
      <w:bookmarkEnd w:id="116"/>
    </w:p>
    <w:p w14:paraId="1909BF4B">
      <w:pPr>
        <w:spacing w:line="480" w:lineRule="exact"/>
        <w:jc w:val="center"/>
        <w:outlineLvl w:val="0"/>
        <w:rPr>
          <w:rFonts w:asciiTheme="minorEastAsia" w:hAnsiTheme="minorEastAsia" w:eastAsiaTheme="minorEastAsia"/>
          <w:b/>
          <w:bCs/>
          <w:sz w:val="24"/>
          <w:highlight w:val="none"/>
        </w:rPr>
      </w:pPr>
      <w:r>
        <w:rPr>
          <w:rFonts w:hint="eastAsia" w:asciiTheme="minorEastAsia" w:hAnsiTheme="minorEastAsia" w:eastAsiaTheme="minorEastAsia"/>
          <w:b/>
          <w:sz w:val="24"/>
          <w:highlight w:val="none"/>
        </w:rPr>
        <w:t>政府采购合同（合同编号）</w:t>
      </w:r>
    </w:p>
    <w:p w14:paraId="454BC537">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项目名称：</w:t>
      </w:r>
      <w:r>
        <w:rPr>
          <w:rFonts w:hint="eastAsia" w:ascii="宋体" w:hAnsi="宋体" w:cs="宋体"/>
          <w:kern w:val="2"/>
          <w:sz w:val="24"/>
          <w:szCs w:val="24"/>
          <w:highlight w:val="none"/>
          <w:u w:val="single"/>
          <w:lang w:val="en-US" w:eastAsia="zh-CN" w:bidi="ar-SA"/>
        </w:rPr>
        <w:t>2026年度盐南高新区餐饮油烟在线监控运维服务项目</w:t>
      </w:r>
      <w:r>
        <w:rPr>
          <w:rFonts w:hint="eastAsia" w:ascii="宋体" w:hAnsi="宋体" w:eastAsia="宋体" w:cs="宋体"/>
          <w:kern w:val="2"/>
          <w:sz w:val="24"/>
          <w:szCs w:val="24"/>
          <w:highlight w:val="none"/>
          <w:lang w:val="en-US" w:eastAsia="zh-CN" w:bidi="ar-SA"/>
        </w:rPr>
        <w:t xml:space="preserve">  </w:t>
      </w:r>
    </w:p>
    <w:p w14:paraId="7FB54426">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项目编号：</w:t>
      </w:r>
      <w:r>
        <w:rPr>
          <w:rFonts w:hint="eastAsia" w:ascii="宋体" w:hAnsi="宋体" w:eastAsia="宋体" w:cs="宋体"/>
          <w:kern w:val="2"/>
          <w:sz w:val="24"/>
          <w:szCs w:val="24"/>
          <w:highlight w:val="none"/>
          <w:u w:val="single"/>
          <w:lang w:val="en-US" w:eastAsia="zh-CN" w:bidi="ar-SA"/>
        </w:rPr>
        <w:t xml:space="preserve">                            </w:t>
      </w:r>
    </w:p>
    <w:p w14:paraId="6B7E526D">
      <w:pPr>
        <w:widowControl w:val="0"/>
        <w:snapToGrid w:val="0"/>
        <w:spacing w:before="120" w:after="120" w:line="460" w:lineRule="exact"/>
        <w:jc w:val="both"/>
        <w:rPr>
          <w:rFonts w:hint="default" w:ascii="宋体" w:hAnsi="宋体" w:eastAsia="宋体" w:cs="宋体"/>
          <w:bCs/>
          <w:kern w:val="2"/>
          <w:sz w:val="24"/>
          <w:szCs w:val="24"/>
          <w:highlight w:val="none"/>
          <w:u w:val="single"/>
          <w:lang w:val="en-US" w:eastAsia="zh-CN" w:bidi="ar-SA"/>
        </w:rPr>
      </w:pPr>
      <w:r>
        <w:rPr>
          <w:rFonts w:hint="eastAsia" w:ascii="宋体" w:hAnsi="宋体" w:eastAsia="宋体" w:cs="宋体"/>
          <w:kern w:val="2"/>
          <w:sz w:val="24"/>
          <w:szCs w:val="24"/>
          <w:highlight w:val="none"/>
          <w:lang w:val="en-US" w:eastAsia="zh-CN" w:bidi="ar-SA"/>
        </w:rPr>
        <w:t>甲    方：</w:t>
      </w:r>
      <w:r>
        <w:rPr>
          <w:rFonts w:hint="eastAsia" w:ascii="宋体" w:hAnsi="宋体" w:eastAsia="宋体" w:cs="宋体"/>
          <w:bCs/>
          <w:kern w:val="2"/>
          <w:sz w:val="24"/>
          <w:szCs w:val="24"/>
          <w:highlight w:val="none"/>
          <w:u w:val="single"/>
          <w:lang w:val="en-US" w:eastAsia="zh-CN" w:bidi="ar-SA"/>
        </w:rPr>
        <w:t xml:space="preserve">                             </w:t>
      </w:r>
    </w:p>
    <w:p w14:paraId="729CC1EA">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乙    方：</w:t>
      </w:r>
      <w:r>
        <w:rPr>
          <w:rFonts w:hint="eastAsia" w:ascii="宋体" w:hAnsi="宋体" w:eastAsia="宋体" w:cs="宋体"/>
          <w:kern w:val="2"/>
          <w:sz w:val="24"/>
          <w:szCs w:val="24"/>
          <w:highlight w:val="none"/>
          <w:u w:val="single"/>
          <w:lang w:val="en-US" w:eastAsia="zh-CN" w:bidi="ar-SA"/>
        </w:rPr>
        <w:t xml:space="preserve">                              </w:t>
      </w:r>
    </w:p>
    <w:p w14:paraId="122E2E91">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甲方组织的</w:t>
      </w:r>
      <w:r>
        <w:rPr>
          <w:rFonts w:hint="eastAsia" w:ascii="宋体" w:hAnsi="宋体" w:cs="宋体"/>
          <w:kern w:val="2"/>
          <w:sz w:val="24"/>
          <w:szCs w:val="24"/>
          <w:highlight w:val="none"/>
          <w:u w:val="single"/>
          <w:lang w:val="en-US" w:eastAsia="zh-CN" w:bidi="ar-SA"/>
        </w:rPr>
        <w:t>2026年度盐南高新区餐饮油烟在线监控运维服务项目</w:t>
      </w:r>
      <w:r>
        <w:rPr>
          <w:rFonts w:hint="eastAsia" w:ascii="宋体" w:hAnsi="宋体" w:eastAsia="宋体" w:cs="宋体"/>
          <w:kern w:val="2"/>
          <w:sz w:val="24"/>
          <w:szCs w:val="24"/>
          <w:highlight w:val="none"/>
          <w:lang w:val="en-US" w:eastAsia="zh-CN" w:bidi="ar-SA"/>
        </w:rPr>
        <w:t>的招标活动，确认乙方为中标供应商。现依据《中华人民共和国民法典》和其他有关法规，经甲、乙双方充分协商，特订立本合同，以便共同遵守。</w:t>
      </w:r>
    </w:p>
    <w:p w14:paraId="3958E06B">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一、服务内容</w:t>
      </w:r>
    </w:p>
    <w:p w14:paraId="56A53445">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 名称：</w:t>
      </w:r>
      <w:r>
        <w:rPr>
          <w:rFonts w:hint="eastAsia" w:ascii="宋体" w:hAnsi="宋体" w:cs="宋体"/>
          <w:kern w:val="2"/>
          <w:sz w:val="24"/>
          <w:szCs w:val="24"/>
          <w:highlight w:val="none"/>
          <w:u w:val="single"/>
          <w:lang w:val="en-US" w:eastAsia="zh-CN" w:bidi="ar-SA"/>
        </w:rPr>
        <w:t>2026年度盐南高新区餐饮油烟在线监控运维服务项目</w:t>
      </w:r>
    </w:p>
    <w:p w14:paraId="49FB175A">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1.2服务地点：</w:t>
      </w:r>
      <w:r>
        <w:rPr>
          <w:rFonts w:hint="eastAsia" w:ascii="宋体" w:hAnsi="宋体" w:eastAsia="宋体" w:cs="宋体"/>
          <w:kern w:val="2"/>
          <w:sz w:val="24"/>
          <w:szCs w:val="24"/>
          <w:highlight w:val="none"/>
          <w:u w:val="single"/>
          <w:lang w:val="en-US" w:eastAsia="zh-CN" w:bidi="ar-SA"/>
        </w:rPr>
        <w:t>盐城市盐南高新区</w:t>
      </w:r>
    </w:p>
    <w:p w14:paraId="13D4F6F4">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二、合同金额</w:t>
      </w:r>
    </w:p>
    <w:p w14:paraId="3B0DEECE">
      <w:pPr>
        <w:widowControl w:val="0"/>
        <w:snapToGrid w:val="0"/>
        <w:spacing w:before="120" w:after="120" w:line="460" w:lineRule="exact"/>
        <w:ind w:left="410" w:hanging="410" w:hangingChars="171"/>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 本合同金额为：人民币（大写）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元整</w:t>
      </w:r>
      <w:r>
        <w:rPr>
          <w:rFonts w:hint="eastAsia" w:ascii="宋体" w:hAnsi="宋体" w:eastAsia="宋体" w:cs="宋体"/>
          <w:kern w:val="2"/>
          <w:sz w:val="24"/>
          <w:szCs w:val="20"/>
          <w:highlight w:val="none"/>
          <w:lang w:val="en-US" w:eastAsia="zh-CN" w:bidi="ar-SA"/>
        </w:rPr>
        <w:t>（ ￥：</w:t>
      </w:r>
      <w:r>
        <w:rPr>
          <w:rFonts w:hint="eastAsia" w:ascii="宋体" w:hAnsi="宋体" w:eastAsia="宋体" w:cs="宋体"/>
          <w:kern w:val="2"/>
          <w:sz w:val="24"/>
          <w:szCs w:val="20"/>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元）</w:t>
      </w:r>
    </w:p>
    <w:p w14:paraId="56A3C8DD">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三、技术资料</w:t>
      </w:r>
    </w:p>
    <w:p w14:paraId="035DD9D6">
      <w:pPr>
        <w:widowControl w:val="0"/>
        <w:snapToGrid w:val="0"/>
        <w:spacing w:before="120" w:after="120" w:line="460" w:lineRule="exact"/>
        <w:ind w:left="410" w:hanging="410" w:hangingChars="171"/>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3.1乙方应按</w:t>
      </w:r>
      <w:r>
        <w:rPr>
          <w:rFonts w:hint="eastAsia" w:ascii="宋体" w:hAnsi="宋体" w:cs="宋体"/>
          <w:kern w:val="2"/>
          <w:sz w:val="24"/>
          <w:szCs w:val="24"/>
          <w:highlight w:val="none"/>
          <w:lang w:val="en-US" w:eastAsia="zh-CN" w:bidi="ar-SA"/>
        </w:rPr>
        <w:t>招标</w:t>
      </w:r>
      <w:r>
        <w:rPr>
          <w:rFonts w:hint="eastAsia" w:ascii="宋体" w:hAnsi="宋体" w:eastAsia="宋体" w:cs="宋体"/>
          <w:kern w:val="2"/>
          <w:sz w:val="24"/>
          <w:szCs w:val="24"/>
          <w:highlight w:val="none"/>
          <w:lang w:val="en-US" w:eastAsia="zh-CN" w:bidi="ar-SA"/>
        </w:rPr>
        <w:t>文件规定的时间向甲方提供使用服务的有关技术资料。</w:t>
      </w:r>
    </w:p>
    <w:p w14:paraId="18AFA356">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507BD67">
      <w:pPr>
        <w:widowControl w:val="0"/>
        <w:snapToGrid w:val="0"/>
        <w:spacing w:before="120" w:after="120" w:line="460" w:lineRule="exact"/>
        <w:ind w:left="412" w:hanging="412" w:hangingChars="171"/>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四、知识产权</w:t>
      </w:r>
    </w:p>
    <w:p w14:paraId="7869FCE7">
      <w:pPr>
        <w:spacing w:line="460" w:lineRule="exact"/>
        <w:rPr>
          <w:rFonts w:hint="eastAsia" w:ascii="宋体" w:hAnsi="宋体" w:cs="宋体"/>
          <w:kern w:val="0"/>
          <w:sz w:val="24"/>
          <w:highlight w:val="none"/>
        </w:rPr>
      </w:pPr>
      <w:r>
        <w:rPr>
          <w:rFonts w:hint="eastAsia" w:ascii="宋体" w:hAnsi="宋体" w:cs="宋体"/>
          <w:kern w:val="0"/>
          <w:sz w:val="24"/>
          <w:highlight w:val="none"/>
        </w:rPr>
        <w:t>4.1甲乙双方有义务保守本协议及其以后签署的附属协议有关内容（如有）的秘密，未经对方书面许可，不允许任何一方擅自向第三方公开、展示、泄露有关本协议的内容。</w:t>
      </w:r>
    </w:p>
    <w:p w14:paraId="08916713">
      <w:pPr>
        <w:spacing w:line="460" w:lineRule="exact"/>
        <w:rPr>
          <w:rFonts w:hint="eastAsia" w:ascii="宋体" w:hAnsi="宋体" w:cs="宋体"/>
          <w:kern w:val="0"/>
          <w:sz w:val="24"/>
          <w:highlight w:val="none"/>
        </w:rPr>
      </w:pPr>
      <w:r>
        <w:rPr>
          <w:rFonts w:hint="eastAsia" w:ascii="宋体" w:hAnsi="宋体" w:cs="宋体"/>
          <w:kern w:val="0"/>
          <w:sz w:val="24"/>
          <w:highlight w:val="none"/>
        </w:rPr>
        <w:t>4.2供应商保证响应文件及资料均未侵犯他人的知识产权，否则必须承担由此引起的全部法律责任和经济责任。</w:t>
      </w:r>
    </w:p>
    <w:p w14:paraId="6A7B7B81">
      <w:pPr>
        <w:spacing w:line="460" w:lineRule="exact"/>
        <w:rPr>
          <w:rFonts w:ascii="宋体" w:hAnsi="宋体" w:cs="宋体"/>
          <w:kern w:val="0"/>
          <w:sz w:val="24"/>
          <w:highlight w:val="none"/>
        </w:rPr>
      </w:pPr>
      <w:r>
        <w:rPr>
          <w:rFonts w:hint="eastAsia" w:ascii="宋体" w:hAnsi="宋体" w:cs="宋体"/>
          <w:kern w:val="0"/>
          <w:sz w:val="24"/>
          <w:highlight w:val="none"/>
        </w:rPr>
        <w:t>4.3若供应商的项目使用了他人的专利、专有技术，涉及的费用由供应商负责。</w:t>
      </w:r>
    </w:p>
    <w:p w14:paraId="1010685B">
      <w:pPr>
        <w:spacing w:line="460" w:lineRule="exact"/>
        <w:rPr>
          <w:rFonts w:ascii="宋体" w:hAnsi="宋体"/>
          <w:kern w:val="2"/>
          <w:sz w:val="24"/>
          <w:highlight w:val="none"/>
        </w:rPr>
      </w:pPr>
      <w:r>
        <w:rPr>
          <w:rFonts w:hint="eastAsia" w:ascii="宋体" w:hAnsi="宋体" w:cs="宋体"/>
          <w:kern w:val="0"/>
          <w:sz w:val="24"/>
          <w:highlight w:val="none"/>
        </w:rPr>
        <w:t>4.4</w:t>
      </w:r>
      <w:r>
        <w:rPr>
          <w:rFonts w:ascii="宋体" w:hAnsi="宋体"/>
          <w:kern w:val="2"/>
          <w:sz w:val="24"/>
          <w:highlight w:val="none"/>
        </w:rPr>
        <w:t>本项目</w:t>
      </w:r>
      <w:r>
        <w:rPr>
          <w:rFonts w:hint="eastAsia" w:ascii="宋体" w:hAnsi="宋体"/>
          <w:kern w:val="2"/>
          <w:sz w:val="24"/>
          <w:highlight w:val="none"/>
        </w:rPr>
        <w:t>涉及到的</w:t>
      </w:r>
      <w:r>
        <w:rPr>
          <w:rFonts w:ascii="宋体" w:hAnsi="宋体"/>
          <w:kern w:val="2"/>
          <w:sz w:val="24"/>
          <w:highlight w:val="none"/>
        </w:rPr>
        <w:t>知识产权的归属、转让和实施技术成果所产生的经济利益的分享，除双方另有约定外，按国家和省、市有关法规执行。</w:t>
      </w:r>
    </w:p>
    <w:p w14:paraId="0D33F45A">
      <w:pPr>
        <w:spacing w:line="460" w:lineRule="exact"/>
        <w:rPr>
          <w:rFonts w:hint="eastAsia" w:ascii="宋体" w:hAnsi="宋体"/>
          <w:kern w:val="2"/>
          <w:sz w:val="24"/>
          <w:highlight w:val="none"/>
        </w:rPr>
      </w:pPr>
      <w:r>
        <w:rPr>
          <w:rFonts w:hint="eastAsia" w:ascii="宋体" w:hAnsi="宋体"/>
          <w:kern w:val="2"/>
          <w:sz w:val="24"/>
          <w:highlight w:val="none"/>
        </w:rPr>
        <w:t>4.5</w:t>
      </w:r>
      <w:r>
        <w:rPr>
          <w:rFonts w:ascii="宋体" w:hAnsi="宋体"/>
          <w:kern w:val="2"/>
          <w:sz w:val="24"/>
          <w:highlight w:val="none"/>
        </w:rPr>
        <w:t>乙方保证所提供产品等涉及到的知识产权和所提供的成果资料是合法取得，并享有完整的知识产权，不会因为甲方的使用而被责令停止使用、追偿或要求赔偿损失， 如出现此情况，一切经济和法律责任均由乙方承担</w:t>
      </w:r>
      <w:r>
        <w:rPr>
          <w:rFonts w:hint="eastAsia" w:ascii="宋体" w:hAnsi="宋体"/>
          <w:kern w:val="2"/>
          <w:sz w:val="24"/>
          <w:highlight w:val="none"/>
        </w:rPr>
        <w:t>。</w:t>
      </w:r>
    </w:p>
    <w:p w14:paraId="5B941379">
      <w:pPr>
        <w:spacing w:line="460" w:lineRule="exact"/>
        <w:rPr>
          <w:rFonts w:hint="eastAsia" w:ascii="宋体" w:hAnsi="宋体" w:cs="宋体"/>
          <w:kern w:val="0"/>
          <w:sz w:val="24"/>
          <w:highlight w:val="none"/>
        </w:rPr>
      </w:pPr>
      <w:r>
        <w:rPr>
          <w:rFonts w:hint="eastAsia" w:ascii="宋体" w:hAnsi="宋体" w:cs="宋体"/>
          <w:kern w:val="0"/>
          <w:sz w:val="24"/>
          <w:highlight w:val="none"/>
        </w:rPr>
        <w:t>4.6供应商不接受上述条款的，采购人有权解除本合同。</w:t>
      </w:r>
    </w:p>
    <w:p w14:paraId="5232642E">
      <w:pPr>
        <w:widowControl w:val="0"/>
        <w:snapToGrid w:val="0"/>
        <w:spacing w:before="120" w:after="120" w:line="460" w:lineRule="exact"/>
        <w:jc w:val="both"/>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b/>
          <w:kern w:val="2"/>
          <w:sz w:val="24"/>
          <w:szCs w:val="24"/>
          <w:highlight w:val="none"/>
          <w:lang w:val="en-US" w:eastAsia="zh-CN" w:bidi="ar-SA"/>
        </w:rPr>
        <w:t>五、产权担保</w:t>
      </w:r>
    </w:p>
    <w:p w14:paraId="64E1F5C5">
      <w:pPr>
        <w:widowControl w:val="0"/>
        <w:snapToGrid w:val="0"/>
        <w:spacing w:before="120" w:after="120" w:line="460" w:lineRule="exact"/>
        <w:jc w:val="both"/>
        <w:rPr>
          <w:rFonts w:hint="eastAsia" w:ascii="宋体" w:hAnsi="宋体" w:eastAsia="宋体" w:cs="宋体"/>
          <w:kern w:val="2"/>
          <w:sz w:val="24"/>
          <w:szCs w:val="24"/>
          <w:highlight w:val="none"/>
          <w:u w:val="single"/>
          <w:lang w:val="en-US" w:eastAsia="zh-CN" w:bidi="ar-SA"/>
        </w:rPr>
      </w:pPr>
      <w:r>
        <w:rPr>
          <w:rFonts w:hint="eastAsia" w:ascii="宋体" w:hAnsi="宋体" w:eastAsia="宋体" w:cs="宋体"/>
          <w:kern w:val="2"/>
          <w:sz w:val="24"/>
          <w:szCs w:val="24"/>
          <w:highlight w:val="none"/>
          <w:lang w:val="en-US" w:eastAsia="zh-CN" w:bidi="ar-SA"/>
        </w:rPr>
        <w:t>5.1 乙方保证所交付的服务的所有权完全属于乙方且无任何抵押、查封等产权瑕疵。</w:t>
      </w:r>
    </w:p>
    <w:p w14:paraId="549AE50D">
      <w:pPr>
        <w:widowControl w:val="0"/>
        <w:snapToGrid w:val="0"/>
        <w:spacing w:before="120" w:after="120" w:line="460" w:lineRule="exact"/>
        <w:ind w:left="410" w:hanging="410" w:hangingChars="170"/>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六、履约保证金</w:t>
      </w:r>
    </w:p>
    <w:p w14:paraId="6B491689">
      <w:pPr>
        <w:widowControl w:val="0"/>
        <w:snapToGrid w:val="0"/>
        <w:spacing w:before="120" w:after="120" w:line="460" w:lineRule="exact"/>
        <w:jc w:val="both"/>
        <w:rPr>
          <w:rFonts w:hint="eastAsia" w:ascii="宋体" w:hAnsi="宋体" w:eastAsia="宋体" w:cs="宋体"/>
          <w:kern w:val="0"/>
          <w:sz w:val="24"/>
          <w:szCs w:val="20"/>
          <w:highlight w:val="none"/>
          <w:lang w:val="en-US" w:eastAsia="zh-CN" w:bidi="ar-SA"/>
        </w:rPr>
      </w:pPr>
      <w:r>
        <w:rPr>
          <w:rFonts w:hint="eastAsia" w:ascii="宋体" w:hAnsi="宋体" w:eastAsia="宋体" w:cs="宋体"/>
          <w:kern w:val="2"/>
          <w:sz w:val="24"/>
          <w:szCs w:val="24"/>
          <w:highlight w:val="none"/>
          <w:lang w:val="en-US" w:eastAsia="zh-CN" w:bidi="ar-SA"/>
        </w:rPr>
        <w:t>6.1</w:t>
      </w:r>
      <w:r>
        <w:rPr>
          <w:rFonts w:hint="eastAsia" w:ascii="宋体" w:hAnsi="宋体" w:eastAsia="宋体" w:cs="宋体"/>
          <w:kern w:val="0"/>
          <w:sz w:val="24"/>
          <w:szCs w:val="20"/>
          <w:highlight w:val="none"/>
          <w:lang w:val="en-US" w:eastAsia="zh-CN" w:bidi="ar-SA"/>
        </w:rPr>
        <w:t>履约保证金由乙方在签订合同前向甲方缴纳</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w:t>
      </w:r>
      <w:r>
        <w:rPr>
          <w:rFonts w:hint="eastAsia" w:ascii="宋体" w:hAnsi="宋体" w:eastAsia="宋体" w:cs="宋体"/>
          <w:kern w:val="2"/>
          <w:sz w:val="24"/>
          <w:szCs w:val="20"/>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 xml:space="preserve"> 元）</w:t>
      </w:r>
      <w:r>
        <w:rPr>
          <w:rFonts w:hint="eastAsia" w:ascii="宋体" w:hAnsi="宋体" w:eastAsia="宋体" w:cs="宋体"/>
          <w:kern w:val="2"/>
          <w:sz w:val="24"/>
          <w:szCs w:val="24"/>
          <w:highlight w:val="none"/>
          <w:lang w:val="en-US" w:eastAsia="zh-CN" w:bidi="ar-SA"/>
        </w:rPr>
        <w:t>作为本合同的履约保证金（合同金额的</w:t>
      </w: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w:t>
      </w:r>
      <w:r>
        <w:rPr>
          <w:rFonts w:hint="default" w:ascii="Times New Roman" w:hAnsi="Times New Roman" w:eastAsia="宋体" w:cs="Times New Roman"/>
          <w:kern w:val="2"/>
          <w:sz w:val="24"/>
          <w:szCs w:val="24"/>
          <w:highlight w:val="none"/>
          <w:lang w:val="en-US" w:eastAsia="zh-CN" w:bidi="ar-SA"/>
        </w:rPr>
        <w:t>乙方在签订合</w:t>
      </w:r>
      <w:r>
        <w:rPr>
          <w:rFonts w:hint="eastAsia" w:ascii="Times New Roman" w:hAnsi="Times New Roman" w:eastAsia="宋体" w:cs="Times New Roman"/>
          <w:kern w:val="2"/>
          <w:sz w:val="24"/>
          <w:szCs w:val="24"/>
          <w:highlight w:val="none"/>
          <w:lang w:val="en-US" w:eastAsia="zh-CN" w:bidi="ar-SA"/>
        </w:rPr>
        <w:t>前</w:t>
      </w:r>
      <w:r>
        <w:rPr>
          <w:rFonts w:hint="default" w:ascii="Times New Roman" w:hAnsi="Times New Roman" w:eastAsia="宋体" w:cs="Times New Roman"/>
          <w:kern w:val="2"/>
          <w:sz w:val="24"/>
          <w:szCs w:val="24"/>
          <w:highlight w:val="none"/>
          <w:lang w:val="en-US" w:eastAsia="zh-CN" w:bidi="ar-SA"/>
        </w:rPr>
        <w:t>以转帐或电汇或网汇形式汇转至甲方指定帐户</w:t>
      </w:r>
      <w:r>
        <w:rPr>
          <w:rFonts w:hint="default" w:ascii="Times New Roman" w:hAnsi="Times New Roman" w:eastAsia="宋体" w:cs="Times New Roman"/>
          <w:kern w:val="0"/>
          <w:sz w:val="24"/>
          <w:szCs w:val="20"/>
          <w:highlight w:val="none"/>
          <w:lang w:val="en-US" w:eastAsia="zh-CN" w:bidi="ar-SA"/>
        </w:rPr>
        <w:t>，户名：</w:t>
      </w:r>
      <w:r>
        <w:rPr>
          <w:rFonts w:hint="eastAsia" w:ascii="Times New Roman" w:hAnsi="Times New Roman" w:eastAsia="宋体" w:cs="Times New Roman"/>
          <w:bCs/>
          <w:color w:val="000000"/>
          <w:kern w:val="2"/>
          <w:sz w:val="24"/>
          <w:szCs w:val="24"/>
          <w:highlight w:val="none"/>
          <w:u w:val="single"/>
          <w:lang w:val="en-US" w:eastAsia="zh-CN" w:bidi="ar-SA"/>
        </w:rPr>
        <w:t xml:space="preserve">             </w:t>
      </w:r>
      <w:r>
        <w:rPr>
          <w:rFonts w:hint="eastAsia" w:ascii="Times New Roman" w:hAnsi="Times New Roman" w:eastAsia="宋体" w:cs="Times New Roman"/>
          <w:kern w:val="0"/>
          <w:sz w:val="24"/>
          <w:szCs w:val="20"/>
          <w:highlight w:val="none"/>
          <w:lang w:val="en-US" w:eastAsia="zh-CN" w:bidi="ar-SA"/>
        </w:rPr>
        <w:t>，</w:t>
      </w:r>
      <w:r>
        <w:rPr>
          <w:rFonts w:hint="default" w:ascii="Times New Roman" w:hAnsi="Times New Roman" w:eastAsia="宋体" w:cs="Times New Roman"/>
          <w:kern w:val="0"/>
          <w:sz w:val="24"/>
          <w:szCs w:val="20"/>
          <w:highlight w:val="none"/>
          <w:lang w:val="en-US" w:eastAsia="zh-CN" w:bidi="ar-SA"/>
        </w:rPr>
        <w:t>账号：</w:t>
      </w:r>
      <w:r>
        <w:rPr>
          <w:rFonts w:hint="eastAsia" w:ascii="Times New Roman" w:hAnsi="Times New Roman" w:eastAsia="宋体" w:cs="Times New Roman"/>
          <w:kern w:val="0"/>
          <w:sz w:val="24"/>
          <w:szCs w:val="20"/>
          <w:highlight w:val="none"/>
          <w:u w:val="single"/>
          <w:lang w:val="en-US" w:eastAsia="zh-CN" w:bidi="ar-SA"/>
        </w:rPr>
        <w:t xml:space="preserve">           </w:t>
      </w:r>
      <w:r>
        <w:rPr>
          <w:rFonts w:hint="default" w:ascii="Times New Roman" w:hAnsi="Times New Roman" w:eastAsia="宋体" w:cs="Times New Roman"/>
          <w:kern w:val="0"/>
          <w:sz w:val="24"/>
          <w:szCs w:val="20"/>
          <w:highlight w:val="none"/>
          <w:lang w:val="en-US" w:eastAsia="zh-CN" w:bidi="ar-SA"/>
        </w:rPr>
        <w:t>，开户行：</w:t>
      </w:r>
      <w:r>
        <w:rPr>
          <w:rFonts w:hint="eastAsia" w:ascii="Times New Roman" w:hAnsi="Times New Roman" w:eastAsia="宋体" w:cs="Times New Roman"/>
          <w:kern w:val="0"/>
          <w:sz w:val="24"/>
          <w:szCs w:val="20"/>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385440C8">
      <w:pPr>
        <w:tabs>
          <w:tab w:val="left" w:pos="900"/>
        </w:tabs>
        <w:spacing w:after="143" w:afterLines="50" w:line="500" w:lineRule="exact"/>
        <w:ind w:firstLine="480" w:firstLineChars="200"/>
        <w:rPr>
          <w:rFonts w:hint="eastAsia" w:ascii="宋体" w:hAnsi="宋体"/>
          <w:kern w:val="2"/>
          <w:sz w:val="24"/>
          <w:highlight w:val="none"/>
        </w:rPr>
      </w:pPr>
      <w:r>
        <w:rPr>
          <w:rFonts w:hint="eastAsia" w:ascii="Times New Roman" w:hAnsi="宋体" w:cs="宋体"/>
          <w:kern w:val="0"/>
          <w:sz w:val="24"/>
          <w:highlight w:val="none"/>
        </w:rPr>
        <w:t>注：</w:t>
      </w:r>
      <w:r>
        <w:rPr>
          <w:rFonts w:hint="eastAsia" w:ascii="宋体" w:hAnsi="宋体"/>
          <w:kern w:val="2"/>
          <w:sz w:val="24"/>
          <w:highlight w:val="none"/>
        </w:rPr>
        <w:t>采购人对AA评级及以上政府采购供应商（需提供信用管理部门备案的第三方信用报告），降低履约保证金缴纳比例</w:t>
      </w:r>
      <w:r>
        <w:rPr>
          <w:rFonts w:hint="eastAsia" w:ascii="宋体" w:hAnsi="宋体"/>
          <w:kern w:val="2"/>
          <w:sz w:val="24"/>
          <w:highlight w:val="none"/>
          <w:lang w:val="en-US" w:eastAsia="zh-CN"/>
        </w:rPr>
        <w:t>为</w:t>
      </w:r>
      <w:r>
        <w:rPr>
          <w:rFonts w:hint="eastAsia" w:ascii="宋体" w:hAnsi="宋体" w:eastAsia="宋体" w:cs="宋体"/>
          <w:kern w:val="2"/>
          <w:sz w:val="24"/>
          <w:szCs w:val="24"/>
          <w:highlight w:val="none"/>
          <w:lang w:val="en-US" w:eastAsia="zh-CN" w:bidi="ar-SA"/>
        </w:rPr>
        <w:t>合同金额的</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w:t>
      </w:r>
      <w:r>
        <w:rPr>
          <w:rFonts w:hint="eastAsia" w:ascii="宋体" w:hAnsi="宋体"/>
          <w:kern w:val="2"/>
          <w:sz w:val="24"/>
          <w:highlight w:val="none"/>
        </w:rPr>
        <w:t>。</w:t>
      </w:r>
    </w:p>
    <w:p w14:paraId="11E1642B">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6.2确需收取履约保证金的，履约保证金的缴纳形式：</w:t>
      </w:r>
    </w:p>
    <w:p w14:paraId="3EDCFA05">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BA6E94">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6.2.2 如以履约保函（保险）形式缴纳履约保证金，供应商可通过政府采购电子履约保函（保险）平台（www.jsdzbh.com）在线申请履约保函（保险）。</w:t>
      </w:r>
    </w:p>
    <w:p w14:paraId="7DD7165C">
      <w:pPr>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08" w:hanging="408"/>
        <w:jc w:val="both"/>
        <w:textAlignment w:val="auto"/>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6.3合同履行结束后，甲方应及时退还交纳的履约保证金。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履约保证金的退还：</w:t>
      </w:r>
    </w:p>
    <w:p w14:paraId="221D2B3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.4不予退还情形：</w:t>
      </w:r>
    </w:p>
    <w:p w14:paraId="2DFF7CF7">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（6）中标人故意捏造事实或伪造证明材料，进行虚假恶意投诉或反映的。</w:t>
      </w:r>
    </w:p>
    <w:p w14:paraId="07F367AE">
      <w:pPr>
        <w:tabs>
          <w:tab w:val="left" w:pos="900"/>
        </w:tabs>
        <w:spacing w:after="143" w:afterLines="50" w:line="500" w:lineRule="exact"/>
        <w:rPr>
          <w:rFonts w:hint="eastAsia" w:ascii="Times New Roman" w:hAnsi="Times New Roman"/>
          <w:kern w:val="2"/>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1B4C3004">
      <w:pPr>
        <w:snapToGrid w:val="0"/>
        <w:spacing w:before="143" w:beforeLines="50" w:after="143" w:afterLines="50" w:line="460" w:lineRule="exact"/>
        <w:rPr>
          <w:rFonts w:hint="eastAsia" w:ascii="宋体" w:hAnsi="宋体" w:cs="宋体"/>
          <w:b/>
          <w:kern w:val="2"/>
          <w:sz w:val="24"/>
          <w:highlight w:val="none"/>
        </w:rPr>
      </w:pPr>
      <w:r>
        <w:rPr>
          <w:rFonts w:hint="eastAsia" w:ascii="宋体" w:hAnsi="宋体" w:cs="宋体"/>
          <w:b/>
          <w:kern w:val="2"/>
          <w:sz w:val="24"/>
          <w:highlight w:val="none"/>
        </w:rPr>
        <w:t>七、转包或分包</w:t>
      </w:r>
    </w:p>
    <w:p w14:paraId="04516FE0">
      <w:pPr>
        <w:snapToGrid w:val="0"/>
        <w:spacing w:before="143" w:beforeLines="50" w:after="143" w:afterLines="50" w:line="460" w:lineRule="exact"/>
        <w:rPr>
          <w:rFonts w:hint="eastAsia" w:ascii="宋体" w:hAnsi="宋体" w:cs="宋体"/>
          <w:kern w:val="2"/>
          <w:sz w:val="24"/>
          <w:highlight w:val="none"/>
        </w:rPr>
      </w:pPr>
      <w:r>
        <w:rPr>
          <w:rFonts w:hint="eastAsia" w:ascii="宋体" w:hAnsi="宋体" w:cs="宋体"/>
          <w:kern w:val="2"/>
          <w:sz w:val="24"/>
          <w:highlight w:val="none"/>
        </w:rPr>
        <w:t>7.1本合同范围的服务，应由乙方直接完成，不得转让他人。</w:t>
      </w:r>
    </w:p>
    <w:p w14:paraId="30B35C87">
      <w:pPr>
        <w:snapToGrid w:val="0"/>
        <w:spacing w:before="143" w:beforeLines="50" w:after="143" w:afterLines="50" w:line="460" w:lineRule="exact"/>
        <w:rPr>
          <w:rFonts w:hint="eastAsia" w:ascii="宋体" w:hAnsi="宋体" w:cs="宋体"/>
          <w:kern w:val="2"/>
          <w:sz w:val="24"/>
          <w:highlight w:val="none"/>
        </w:rPr>
      </w:pPr>
      <w:r>
        <w:rPr>
          <w:rFonts w:hint="eastAsia" w:ascii="宋体" w:hAnsi="宋体" w:cs="宋体"/>
          <w:kern w:val="2"/>
          <w:sz w:val="24"/>
          <w:highlight w:val="none"/>
        </w:rPr>
        <w:t>7.2 如有转让和未经甲方同意的分包行为，甲方有权给予终止合同。</w:t>
      </w:r>
    </w:p>
    <w:p w14:paraId="6192D83B">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 xml:space="preserve">八、项目验收及培训 </w:t>
      </w:r>
    </w:p>
    <w:p w14:paraId="3A8BA496">
      <w:pPr>
        <w:spacing w:line="460" w:lineRule="exact"/>
        <w:contextualSpacing/>
        <w:rPr>
          <w:rFonts w:ascii="宋体" w:hAnsi="宋体"/>
          <w:kern w:val="2"/>
          <w:sz w:val="24"/>
          <w:highlight w:val="none"/>
        </w:rPr>
      </w:pPr>
      <w:r>
        <w:rPr>
          <w:rFonts w:hint="eastAsia" w:ascii="宋体" w:hAnsi="宋体"/>
          <w:kern w:val="2"/>
          <w:sz w:val="24"/>
          <w:highlight w:val="none"/>
        </w:rPr>
        <w:t>8.1验收依据、验收内容、培训内容及培训要求见竞争性磋商文件及乙方运维方案。</w:t>
      </w:r>
      <w:r>
        <w:rPr>
          <w:rFonts w:ascii="宋体" w:hAnsi="宋体"/>
          <w:kern w:val="2"/>
          <w:sz w:val="24"/>
          <w:highlight w:val="none"/>
        </w:rPr>
        <w:t xml:space="preserve"> </w:t>
      </w:r>
    </w:p>
    <w:p w14:paraId="5D415AE4">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九、服务期、服务方式及地点</w:t>
      </w:r>
    </w:p>
    <w:p w14:paraId="7D08F24C">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9.1 服务期：</w:t>
      </w:r>
      <w:r>
        <w:rPr>
          <w:rFonts w:hint="eastAsia" w:ascii="宋体" w:hAnsi="宋体" w:eastAsia="宋体" w:cs="宋体"/>
          <w:kern w:val="2"/>
          <w:sz w:val="24"/>
          <w:szCs w:val="20"/>
          <w:highlight w:val="none"/>
          <w:u w:val="single"/>
          <w:lang w:val="en-US" w:eastAsia="zh-CN" w:bidi="ar-SA"/>
        </w:rPr>
        <w:t>一年（合同期满，无服务、无质量问题的，顺延执行，顺延时间不超过贰年）</w:t>
      </w:r>
      <w:r>
        <w:rPr>
          <w:rFonts w:hint="eastAsia" w:ascii="宋体" w:hAnsi="宋体" w:eastAsia="宋体" w:cs="宋体"/>
          <w:kern w:val="2"/>
          <w:sz w:val="24"/>
          <w:szCs w:val="20"/>
          <w:highlight w:val="none"/>
          <w:lang w:val="en-US" w:eastAsia="zh-CN" w:bidi="ar-SA"/>
        </w:rPr>
        <w:t>。</w:t>
      </w:r>
    </w:p>
    <w:p w14:paraId="34C65A4A">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9.2 服务方式：</w:t>
      </w:r>
      <w:r>
        <w:rPr>
          <w:rFonts w:hint="eastAsia" w:ascii="宋体" w:hAnsi="宋体" w:eastAsia="宋体" w:cs="宋体"/>
          <w:bCs/>
          <w:kern w:val="2"/>
          <w:sz w:val="24"/>
          <w:szCs w:val="24"/>
          <w:highlight w:val="none"/>
          <w:u w:val="single"/>
          <w:lang w:val="en-US" w:eastAsia="zh-CN" w:bidi="ar-SA"/>
        </w:rPr>
        <w:t>详见采购文件</w:t>
      </w:r>
      <w:r>
        <w:rPr>
          <w:rFonts w:hint="eastAsia" w:ascii="宋体" w:hAnsi="宋体" w:eastAsia="宋体" w:cs="宋体"/>
          <w:kern w:val="2"/>
          <w:sz w:val="24"/>
          <w:szCs w:val="24"/>
          <w:highlight w:val="none"/>
          <w:lang w:val="en-US" w:eastAsia="zh-CN" w:bidi="ar-SA"/>
        </w:rPr>
        <w:t>。</w:t>
      </w:r>
    </w:p>
    <w:p w14:paraId="41992A3E">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9.3服务地点：</w:t>
      </w:r>
      <w:r>
        <w:rPr>
          <w:rFonts w:hint="eastAsia" w:ascii="宋体" w:hAnsi="宋体" w:eastAsia="宋体" w:cs="宋体"/>
          <w:kern w:val="2"/>
          <w:sz w:val="24"/>
          <w:szCs w:val="24"/>
          <w:highlight w:val="none"/>
          <w:u w:val="single"/>
          <w:lang w:val="en-US" w:eastAsia="zh-CN" w:bidi="ar-SA"/>
        </w:rPr>
        <w:t>甲方指定的具体地点</w:t>
      </w:r>
      <w:r>
        <w:rPr>
          <w:rFonts w:hint="eastAsia" w:ascii="宋体" w:hAnsi="宋体" w:eastAsia="宋体" w:cs="宋体"/>
          <w:kern w:val="2"/>
          <w:sz w:val="24"/>
          <w:szCs w:val="24"/>
          <w:highlight w:val="none"/>
          <w:lang w:val="en-US" w:eastAsia="zh-CN" w:bidi="ar-SA"/>
        </w:rPr>
        <w:t>。</w:t>
      </w:r>
    </w:p>
    <w:p w14:paraId="65A61F67">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十、货款支付</w:t>
      </w:r>
    </w:p>
    <w:p w14:paraId="02F01693">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10.1</w:t>
      </w:r>
      <w:r>
        <w:rPr>
          <w:rFonts w:hint="eastAsia" w:ascii="宋体" w:hAnsi="宋体" w:eastAsia="宋体" w:cs="宋体"/>
          <w:color w:val="000000"/>
          <w:sz w:val="24"/>
          <w:szCs w:val="24"/>
          <w:highlight w:val="none"/>
          <w:u w:val="none"/>
        </w:rPr>
        <w:t>合</w:t>
      </w:r>
      <w:r>
        <w:rPr>
          <w:rFonts w:hint="eastAsia" w:ascii="宋体" w:hAnsi="宋体" w:eastAsia="宋体" w:cs="宋体"/>
          <w:color w:val="000000"/>
          <w:sz w:val="24"/>
          <w:szCs w:val="24"/>
          <w:highlight w:val="none"/>
        </w:rPr>
        <w:t>同签订后</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采购人收到</w:t>
      </w:r>
      <w:r>
        <w:rPr>
          <w:rFonts w:hint="eastAsia" w:ascii="宋体" w:hAnsi="宋体" w:eastAsia="宋体" w:cs="宋体"/>
          <w:color w:val="000000"/>
          <w:sz w:val="24"/>
          <w:szCs w:val="24"/>
          <w:highlight w:val="none"/>
          <w:lang w:eastAsia="zh-CN"/>
        </w:rPr>
        <w:t>预付款</w:t>
      </w:r>
      <w:r>
        <w:rPr>
          <w:rFonts w:hint="eastAsia" w:ascii="宋体" w:hAnsi="宋体" w:eastAsia="宋体" w:cs="宋体"/>
          <w:color w:val="000000"/>
          <w:sz w:val="24"/>
          <w:szCs w:val="24"/>
          <w:highlight w:val="none"/>
        </w:rPr>
        <w:t>发票后10个工作日内，</w:t>
      </w:r>
      <w:r>
        <w:rPr>
          <w:rFonts w:hint="eastAsia" w:ascii="宋体" w:hAnsi="宋体" w:eastAsia="宋体" w:cs="宋体"/>
          <w:kern w:val="2"/>
          <w:sz w:val="24"/>
          <w:szCs w:val="24"/>
          <w:highlight w:val="none"/>
          <w:lang w:val="en-US" w:eastAsia="zh-CN" w:bidi="ar-SA"/>
        </w:rPr>
        <w:t xml:space="preserve">支付合同价的 </w:t>
      </w: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0%作为预付款；（如合同签订后，供应商明确表示无需预付款或者主动要求降低预付款比例的，由双方另行商定。）</w:t>
      </w:r>
    </w:p>
    <w:p w14:paraId="6F3AA553">
      <w:pPr>
        <w:widowControl w:val="0"/>
        <w:snapToGrid w:val="0"/>
        <w:spacing w:before="120" w:after="120" w:line="460" w:lineRule="exact"/>
        <w:jc w:val="both"/>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10.2</w:t>
      </w:r>
      <w:r>
        <w:rPr>
          <w:rFonts w:hint="eastAsia" w:ascii="宋体" w:hAnsi="宋体" w:eastAsia="宋体" w:cs="宋体"/>
          <w:kern w:val="2"/>
          <w:sz w:val="24"/>
          <w:szCs w:val="24"/>
          <w:highlight w:val="none"/>
          <w:lang w:val="en-US" w:eastAsia="zh-CN" w:bidi="ar-SA"/>
        </w:rPr>
        <w:t>剩余合同款项按季度支付，每完成</w:t>
      </w:r>
      <w:r>
        <w:rPr>
          <w:rFonts w:hint="eastAsia" w:ascii="宋体" w:hAnsi="宋体" w:cs="宋体"/>
          <w:kern w:val="2"/>
          <w:sz w:val="24"/>
          <w:szCs w:val="24"/>
          <w:highlight w:val="none"/>
          <w:lang w:val="en-US" w:eastAsia="zh-CN" w:bidi="ar-SA"/>
        </w:rPr>
        <w:t>一</w:t>
      </w:r>
      <w:r>
        <w:rPr>
          <w:rFonts w:hint="eastAsia" w:ascii="宋体" w:hAnsi="宋体" w:eastAsia="宋体" w:cs="宋体"/>
          <w:kern w:val="2"/>
          <w:sz w:val="24"/>
          <w:szCs w:val="24"/>
          <w:highlight w:val="none"/>
          <w:lang w:val="en-US" w:eastAsia="zh-CN" w:bidi="ar-SA"/>
        </w:rPr>
        <w:t>季度工作，支付合同总价</w:t>
      </w:r>
      <w:r>
        <w:rPr>
          <w:rFonts w:hint="eastAsia" w:ascii="宋体" w:hAnsi="宋体" w:cs="宋体"/>
          <w:kern w:val="2"/>
          <w:sz w:val="24"/>
          <w:szCs w:val="24"/>
          <w:highlight w:val="none"/>
          <w:lang w:val="en-US" w:eastAsia="zh-CN" w:bidi="ar-SA"/>
        </w:rPr>
        <w:t>15</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，服务期满一年后，</w:t>
      </w:r>
      <w:r>
        <w:rPr>
          <w:rFonts w:hint="eastAsia" w:ascii="宋体" w:hAnsi="宋体" w:eastAsia="宋体" w:cs="宋体"/>
          <w:color w:val="000000"/>
          <w:sz w:val="24"/>
          <w:szCs w:val="24"/>
          <w:highlight w:val="none"/>
          <w:u w:val="none"/>
        </w:rPr>
        <w:t>采购人收到发票后10个工作日内，</w:t>
      </w:r>
      <w:r>
        <w:rPr>
          <w:rFonts w:hint="eastAsia" w:ascii="宋体" w:hAnsi="宋体" w:cs="宋体"/>
          <w:kern w:val="2"/>
          <w:sz w:val="24"/>
          <w:szCs w:val="24"/>
          <w:highlight w:val="none"/>
          <w:lang w:val="en-US" w:eastAsia="zh-CN" w:bidi="ar-SA"/>
        </w:rPr>
        <w:t>一次性付清余款。</w:t>
      </w:r>
    </w:p>
    <w:p w14:paraId="3289E00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以上付款均不计任何利息和相关费用，付款一律通过银行结转，乙方提供等额发票，甲方在财政拨款后完成支付。</w:t>
      </w:r>
    </w:p>
    <w:p w14:paraId="128DB523">
      <w:pPr>
        <w:snapToGrid w:val="0"/>
        <w:spacing w:before="143" w:beforeLines="50" w:after="143" w:afterLines="50" w:line="460" w:lineRule="exact"/>
        <w:rPr>
          <w:rFonts w:hint="eastAsia" w:ascii="宋体" w:hAnsi="宋体" w:cs="宋体"/>
          <w:b/>
          <w:kern w:val="2"/>
          <w:sz w:val="24"/>
          <w:highlight w:val="none"/>
        </w:rPr>
      </w:pPr>
      <w:r>
        <w:rPr>
          <w:rFonts w:hint="eastAsia" w:ascii="宋体" w:hAnsi="宋体" w:cs="宋体"/>
          <w:b/>
          <w:kern w:val="2"/>
          <w:sz w:val="24"/>
          <w:highlight w:val="none"/>
        </w:rPr>
        <w:t>十一、税费</w:t>
      </w:r>
    </w:p>
    <w:p w14:paraId="5112FFCF">
      <w:pPr>
        <w:snapToGrid w:val="0"/>
        <w:spacing w:before="143" w:beforeLines="50" w:after="143" w:afterLines="50" w:line="460" w:lineRule="exact"/>
        <w:rPr>
          <w:rFonts w:hint="eastAsia" w:ascii="宋体" w:hAnsi="宋体" w:cs="宋体"/>
          <w:kern w:val="2"/>
          <w:sz w:val="24"/>
          <w:highlight w:val="none"/>
        </w:rPr>
      </w:pPr>
      <w:r>
        <w:rPr>
          <w:rFonts w:hint="eastAsia" w:ascii="宋体" w:hAnsi="宋体" w:cs="宋体"/>
          <w:kern w:val="2"/>
          <w:sz w:val="24"/>
          <w:highlight w:val="none"/>
        </w:rPr>
        <w:t>11.1本合同执行中相关的一切税费均由乙方负担。</w:t>
      </w:r>
    </w:p>
    <w:p w14:paraId="264F9C76">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十二、违约责任</w:t>
      </w:r>
    </w:p>
    <w:p w14:paraId="4141F76F">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12.1 甲方无正当理由拒绝验收的，甲方向乙方偿付拒收货款总值的百分之五违约金。</w:t>
      </w:r>
    </w:p>
    <w:p w14:paraId="2316BBD8">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12.2 甲方无故逾期验收和办理支付手续的,甲方应按逾期付款总额每日万分之五向乙方支付违约金。</w:t>
      </w:r>
    </w:p>
    <w:p w14:paraId="5751022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12.3 乙方逾期完成服务的，乙方应按逾期服务总额每日千分之六向甲方支付违约金，由甲方从待付款项中扣除。逾期超过约定日期10个工作日不能完成服务的，甲方可解除本合同。乙方因逾期完成服务或因其他违约行为导致甲方解除合同的，乙方应向甲方支付合同总值5%的违约金，如造成甲方损失超过违约金的，超出部分由乙方继续承担赔偿责任。</w:t>
      </w:r>
    </w:p>
    <w:p w14:paraId="2027100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12.4 乙方所交的运维内容、质量不符合合同规定及磋商文件规定标准的，甲方有权拒收，乙方愿意逾期完成服务的，按乙方逾期处理。乙方拒绝完成服务的，甲方可单方面解除合同。</w:t>
      </w:r>
    </w:p>
    <w:p w14:paraId="6110E767">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十三、不可抗力事件处理</w:t>
      </w:r>
    </w:p>
    <w:p w14:paraId="7459A17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13.1 在合同有效期内，任何一方因不可抗力事件导致不能履行合同，则合同履行期可延长，其延长期与不可抗力影响期相同。</w:t>
      </w:r>
    </w:p>
    <w:p w14:paraId="1DC87E20">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13.2 不可抗力事件发生后，应立即通知对方，并寄送有关权威机构出具的证明。</w:t>
      </w:r>
    </w:p>
    <w:p w14:paraId="25FA8575">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13.3 不可抗力事件延续120天以上，双方应通过友好协商，确定是否继续履行合同。</w:t>
      </w:r>
    </w:p>
    <w:p w14:paraId="6F8CF374">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十四、诉讼</w:t>
      </w:r>
    </w:p>
    <w:p w14:paraId="446E77D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14.1 双方在执行合同中所发生的一切争议，应通过协商解决。如协商不成，可向合同签订地法院起诉，合同签订地在此约定为</w:t>
      </w:r>
      <w:r>
        <w:rPr>
          <w:rFonts w:hint="eastAsia" w:ascii="宋体" w:hAnsi="宋体" w:eastAsia="宋体" w:cs="宋体"/>
          <w:b/>
          <w:bCs/>
          <w:kern w:val="2"/>
          <w:sz w:val="24"/>
          <w:szCs w:val="24"/>
          <w:highlight w:val="none"/>
          <w:lang w:val="en-US" w:eastAsia="zh-CN" w:bidi="ar-SA"/>
        </w:rPr>
        <w:t>盐城市</w:t>
      </w:r>
      <w:r>
        <w:rPr>
          <w:rFonts w:hint="eastAsia" w:ascii="宋体" w:hAnsi="宋体" w:eastAsia="宋体" w:cs="宋体"/>
          <w:kern w:val="2"/>
          <w:sz w:val="24"/>
          <w:szCs w:val="24"/>
          <w:highlight w:val="none"/>
          <w:lang w:val="en-US" w:eastAsia="zh-CN" w:bidi="ar-SA"/>
        </w:rPr>
        <w:t>。</w:t>
      </w:r>
    </w:p>
    <w:p w14:paraId="51C2EF3D">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十五、其它约定事项</w:t>
      </w:r>
    </w:p>
    <w:p w14:paraId="3384EE3F">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15.1乙方应加强安全管理，增强现场运营、操作人员安全意识，并为相应人员配备有关安全作业保护设备，以确保安全生产。在运营服务范围内乙方承担安全生产全责，并投保安全生产责任险。如合同履行过程中的发生任何安全问题，一切责任由乙方自行承担，同时甲方将追究乙方的违约责任。在运营、操作期间，若环保部门发现不符合标准，由乙方承担一切责任及处罚费用。同时保持工作生活环境整洁，设备卫生管理到位。</w:t>
      </w:r>
    </w:p>
    <w:p w14:paraId="257B6999">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15.2自觉接受甲方对本项目监督和管理。甲方发现或者认定乙方存在不符合竞争性磋商文件、服务合同、国家相关技术规范和其他约定等问题，有权向乙方提出限期整改要求，乙方应当按期保质予以整改。同时，甲方对乙方存在问题，有权要求乙方进行赔偿，有权对乙方进行经济扣（罚）款，扣（罚）款额度由甲方根据乙方违反竞争性磋商文件、服务同、国家相关技术规范，以及其他约定的情况和程度量定。乙方被扣（罚）款项，可在甲方应支付乙方款项中扣除。甲方对乙方不能遵守竞争性磋商文件、服务合同和其他约定，屡纠不改或者屡查屡犯，甲方有权与其单方面废标或解除合同。由于乙方责任，导致甲方废标或解除合同的，乙方已完工程量不予结算。</w:t>
      </w:r>
    </w:p>
    <w:p w14:paraId="20C4C8FB">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15.3在履行合同过程中，乙方应遵守国家或地方的法律、法规、规章、条例、规范性文件或任何对项目有管辖权的部门的规章，并按要求支付有关费用。</w:t>
      </w:r>
    </w:p>
    <w:p w14:paraId="09F93876">
      <w:pPr>
        <w:widowControl w:val="0"/>
        <w:snapToGrid w:val="0"/>
        <w:spacing w:before="120" w:after="120" w:line="460" w:lineRule="exact"/>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15.4本合同未注明事项，招标文件中有规定的，按招标文件中的规定处理，没有规定的，按照国家的有关规定处理</w:t>
      </w:r>
      <w:r>
        <w:rPr>
          <w:rFonts w:hint="eastAsia" w:ascii="宋体" w:hAnsi="宋体" w:cs="宋体"/>
          <w:kern w:val="2"/>
          <w:sz w:val="24"/>
          <w:szCs w:val="24"/>
          <w:highlight w:val="none"/>
          <w:lang w:val="en-US" w:eastAsia="zh-CN" w:bidi="ar-SA"/>
        </w:rPr>
        <w:t>。</w:t>
      </w:r>
    </w:p>
    <w:p w14:paraId="348E353A">
      <w:pPr>
        <w:widowControl w:val="0"/>
        <w:snapToGrid w:val="0"/>
        <w:spacing w:before="120" w:after="120" w:line="460" w:lineRule="exact"/>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十六、合同生效及其它</w:t>
      </w:r>
    </w:p>
    <w:p w14:paraId="090E70FC">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16.1 合同经双方法定代表人或授权委托代表人签字并加盖单位公章后生效。</w:t>
      </w:r>
    </w:p>
    <w:p w14:paraId="15D65998">
      <w:pPr>
        <w:widowControl w:val="0"/>
        <w:snapToGrid w:val="0"/>
        <w:spacing w:before="120" w:after="120" w:line="460" w:lineRule="exact"/>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16.2本合同未尽事宜，遵照《民法典》有关条文执行，可增加附件对合同具体条款或未尽事宜做出具体解释和说明，附件与本合同具有同等法律效力。</w:t>
      </w:r>
    </w:p>
    <w:p w14:paraId="1ADE854B">
      <w:pPr>
        <w:widowControl w:val="0"/>
        <w:snapToGrid w:val="0"/>
        <w:spacing w:line="460" w:lineRule="exact"/>
        <w:jc w:val="both"/>
        <w:rPr>
          <w:rFonts w:hint="eastAsia" w:ascii="宋体" w:hAnsi="宋体" w:eastAsia="宋体" w:cs="Times New Roman"/>
          <w:kern w:val="0"/>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16.3 本合同正本一式陆份，具有同等法律效力，甲方、乙方双方各执叁份</w:t>
      </w:r>
      <w:r>
        <w:rPr>
          <w:rFonts w:hint="eastAsia" w:ascii="宋体" w:hAnsi="宋体" w:eastAsia="宋体" w:cs="Times New Roman"/>
          <w:kern w:val="0"/>
          <w:sz w:val="24"/>
          <w:szCs w:val="24"/>
          <w:highlight w:val="none"/>
          <w:lang w:val="en-US" w:eastAsia="zh-CN" w:bidi="ar-SA"/>
        </w:rPr>
        <w:t>。</w:t>
      </w:r>
    </w:p>
    <w:p w14:paraId="4439855E">
      <w:pPr>
        <w:widowControl w:val="0"/>
        <w:autoSpaceDE w:val="0"/>
        <w:autoSpaceDN w:val="0"/>
        <w:adjustRightInd w:val="0"/>
        <w:rPr>
          <w:rFonts w:hint="eastAsia" w:ascii="Times New Roman" w:hAnsi="Times New Roman" w:eastAsia="宋体" w:cs="Times New Roman"/>
          <w:color w:val="auto"/>
          <w:sz w:val="24"/>
          <w:szCs w:val="24"/>
          <w:highlight w:val="none"/>
          <w:lang w:val="en-US" w:eastAsia="zh-CN" w:bidi="ar-SA"/>
        </w:rPr>
      </w:pPr>
    </w:p>
    <w:p w14:paraId="67008001">
      <w:pPr>
        <w:widowControl w:val="0"/>
        <w:snapToGrid w:val="0"/>
        <w:spacing w:line="700" w:lineRule="exact"/>
        <w:ind w:firstLine="240" w:firstLineChars="1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甲方（单位名称）：                        乙方（单位名称）： </w:t>
      </w:r>
    </w:p>
    <w:p w14:paraId="56B26A2E">
      <w:pPr>
        <w:widowControl w:val="0"/>
        <w:snapToGrid w:val="0"/>
        <w:spacing w:line="700" w:lineRule="exact"/>
        <w:ind w:left="237" w:leftChars="113"/>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法定代表人或授权代表签字：                法定代表人或授权代表签字：</w:t>
      </w:r>
    </w:p>
    <w:p w14:paraId="7BE86BF2">
      <w:pPr>
        <w:widowControl w:val="0"/>
        <w:snapToGrid w:val="0"/>
        <w:spacing w:line="700" w:lineRule="exact"/>
        <w:ind w:left="237" w:leftChars="113"/>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联系电话：                                联系电话：</w:t>
      </w:r>
    </w:p>
    <w:p w14:paraId="4EC7410F">
      <w:pPr>
        <w:widowControl w:val="0"/>
        <w:snapToGrid w:val="0"/>
        <w:spacing w:line="700" w:lineRule="exact"/>
        <w:ind w:left="237" w:leftChars="113"/>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                                           签订时间：    年   月   日</w:t>
      </w:r>
    </w:p>
    <w:p w14:paraId="1044961B">
      <w:pPr>
        <w:pStyle w:val="46"/>
        <w:ind w:firstLine="0"/>
        <w:rPr>
          <w:rFonts w:cs="宋体" w:asciiTheme="minorEastAsia" w:hAnsiTheme="minorEastAsia" w:eastAsiaTheme="minorEastAsia"/>
          <w:b/>
          <w:szCs w:val="28"/>
          <w:highlight w:val="none"/>
        </w:rPr>
      </w:pPr>
    </w:p>
    <w:p w14:paraId="0684650C">
      <w:pPr>
        <w:rPr>
          <w:rFonts w:cs="宋体" w:asciiTheme="minorEastAsia" w:hAnsiTheme="minorEastAsia" w:eastAsiaTheme="minorEastAsia"/>
          <w:b/>
          <w:szCs w:val="28"/>
          <w:highlight w:val="none"/>
        </w:rPr>
      </w:pPr>
    </w:p>
    <w:p w14:paraId="11EDB21B">
      <w:pPr>
        <w:pStyle w:val="46"/>
        <w:rPr>
          <w:highlight w:val="none"/>
        </w:rPr>
      </w:pPr>
    </w:p>
    <w:p w14:paraId="139AFF9B">
      <w:pPr>
        <w:numPr>
          <w:ilvl w:val="0"/>
          <w:numId w:val="3"/>
        </w:numPr>
        <w:spacing w:line="360" w:lineRule="auto"/>
        <w:ind w:firstLine="643"/>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采购需求</w:t>
      </w:r>
    </w:p>
    <w:p w14:paraId="18BC774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sz w:val="24"/>
          <w:highlight w:val="none"/>
          <w:lang w:val="zh-CN"/>
        </w:rPr>
      </w:pPr>
      <w:r>
        <w:rPr>
          <w:rFonts w:hint="eastAsia" w:ascii="宋体" w:hAnsi="宋体" w:cs="宋体"/>
          <w:b/>
          <w:sz w:val="24"/>
          <w:highlight w:val="none"/>
          <w:lang w:val="zh-CN"/>
        </w:rPr>
        <w:t>项目属性：服务类项目</w:t>
      </w:r>
    </w:p>
    <w:p w14:paraId="0DB05128">
      <w:pPr>
        <w:keepNext/>
        <w:keepLines/>
        <w:widowControl w:val="0"/>
        <w:spacing w:before="260" w:after="260" w:line="500" w:lineRule="exact"/>
        <w:jc w:val="both"/>
        <w:outlineLvl w:val="1"/>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一、项目概况</w:t>
      </w:r>
    </w:p>
    <w:p w14:paraId="77FA4689">
      <w:pPr>
        <w:widowControl w:val="0"/>
        <w:numPr>
          <w:ilvl w:val="0"/>
          <w:numId w:val="0"/>
        </w:numPr>
        <w:spacing w:line="500" w:lineRule="exact"/>
        <w:ind w:firstLine="480" w:firstLineChars="200"/>
        <w:jc w:val="both"/>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本项目位于盐南高新区境内，</w:t>
      </w:r>
      <w:r>
        <w:rPr>
          <w:rFonts w:hint="eastAsia" w:ascii="宋体" w:hAnsi="宋体" w:cs="宋体"/>
          <w:kern w:val="2"/>
          <w:sz w:val="24"/>
          <w:szCs w:val="24"/>
          <w:highlight w:val="none"/>
          <w:lang w:val="en-US" w:eastAsia="zh-CN" w:bidi="ar-SA"/>
        </w:rPr>
        <w:t>项目为餐饮油烟监控运维，项目区域内餐饮业发达，对重点的餐饮企业和餐饮比较集中的商业综合体内的商户安装了油烟监控设备，其中油烟浓度监控440套，油烟工况监控25套，并建设了油烟平台。现需对监控设备和平台进行运维，保证油烟监控正常运行，数据准确、连续、有效。</w:t>
      </w:r>
    </w:p>
    <w:p w14:paraId="04FF2E22">
      <w:pPr>
        <w:keepNext/>
        <w:keepLines/>
        <w:widowControl w:val="0"/>
        <w:spacing w:before="260" w:after="260" w:line="500" w:lineRule="exact"/>
        <w:jc w:val="both"/>
        <w:outlineLvl w:val="1"/>
        <w:rPr>
          <w:rFonts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二</w:t>
      </w:r>
      <w:r>
        <w:rPr>
          <w:rFonts w:hint="eastAsia" w:ascii="宋体" w:hAnsi="宋体" w:eastAsia="宋体" w:cs="宋体"/>
          <w:b/>
          <w:bCs/>
          <w:kern w:val="2"/>
          <w:sz w:val="24"/>
          <w:szCs w:val="24"/>
          <w:highlight w:val="none"/>
          <w:lang w:val="en-US" w:eastAsia="zh-CN" w:bidi="ar-SA"/>
        </w:rPr>
        <w:t>、</w:t>
      </w:r>
      <w:r>
        <w:rPr>
          <w:rFonts w:hint="eastAsia" w:ascii="宋体" w:hAnsi="宋体" w:cs="宋体"/>
          <w:b/>
          <w:bCs/>
          <w:kern w:val="2"/>
          <w:sz w:val="24"/>
          <w:szCs w:val="24"/>
          <w:highlight w:val="none"/>
          <w:lang w:val="en-US" w:eastAsia="zh-CN" w:bidi="ar-SA"/>
        </w:rPr>
        <w:t>油烟监控</w:t>
      </w:r>
      <w:r>
        <w:rPr>
          <w:rFonts w:hint="eastAsia" w:ascii="宋体" w:hAnsi="宋体" w:eastAsia="宋体" w:cs="宋体"/>
          <w:b/>
          <w:bCs/>
          <w:kern w:val="2"/>
          <w:sz w:val="24"/>
          <w:szCs w:val="24"/>
          <w:highlight w:val="none"/>
          <w:lang w:val="en-US" w:eastAsia="zh-CN" w:bidi="ar-SA"/>
        </w:rPr>
        <w:t>运维要求</w:t>
      </w:r>
    </w:p>
    <w:p w14:paraId="4C4595A6">
      <w:pPr>
        <w:widowControl w:val="0"/>
        <w:numPr>
          <w:ilvl w:val="0"/>
          <w:numId w:val="4"/>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供应商需提供自项目</w:t>
      </w:r>
      <w:r>
        <w:rPr>
          <w:rFonts w:hint="eastAsia" w:ascii="宋体" w:hAnsi="宋体" w:cs="宋体"/>
          <w:kern w:val="2"/>
          <w:sz w:val="24"/>
          <w:szCs w:val="24"/>
          <w:highlight w:val="none"/>
          <w:lang w:val="en-US" w:eastAsia="zh-CN" w:bidi="ar-SA"/>
        </w:rPr>
        <w:t>采购人</w:t>
      </w:r>
      <w:r>
        <w:rPr>
          <w:rFonts w:hint="eastAsia" w:ascii="宋体" w:hAnsi="宋体" w:eastAsia="宋体" w:cs="宋体"/>
          <w:kern w:val="2"/>
          <w:sz w:val="24"/>
          <w:szCs w:val="24"/>
          <w:highlight w:val="none"/>
          <w:lang w:val="en-US" w:eastAsia="zh-CN" w:bidi="ar-SA"/>
        </w:rPr>
        <w:t>通知之日起1年的运行维护服务。</w:t>
      </w:r>
    </w:p>
    <w:p w14:paraId="1E6BC7BB">
      <w:pPr>
        <w:widowControl w:val="0"/>
        <w:numPr>
          <w:ilvl w:val="0"/>
          <w:numId w:val="4"/>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运维期间，供应商至少每个月进行一轮现场设备巡检，针对川湘、烧烤等重污染餐饮企业缩短至每15天现场巡检，应定期进行现场设备巡检，检查传感器是否正常运行，是否需要清理或更换相应耗材。至少每半年进行一轮现场校准，保障监测数据准确性。免费更换故障的设备及所需配件，保障监测数据的完整性，并负责运维期间的流量卡及通讯费用。</w:t>
      </w:r>
    </w:p>
    <w:p w14:paraId="6DAD68F6">
      <w:pPr>
        <w:widowControl w:val="0"/>
        <w:numPr>
          <w:ilvl w:val="0"/>
          <w:numId w:val="4"/>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巡检发现问题或接到故障处理信息，要及时排除故障。按规定配备一定的同型号系列的油烟在线监控设备耗材及备品、备件。设备出现故障时应在8个小时内修复排除故障，短时间内不能修复的，应在自出现故障起的8小时内完成备品、备件更换。如果更换配件仍不能解决，需要进行维修的，应在出现故障起的12小时内完成备机的安装，确保油烟在线监控数据的连续性，待原机维修完成后再重新换回备机。</w:t>
      </w:r>
    </w:p>
    <w:p w14:paraId="43C52034">
      <w:pPr>
        <w:widowControl w:val="0"/>
        <w:numPr>
          <w:ilvl w:val="0"/>
          <w:numId w:val="4"/>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维护人员在对设备进行日常维护时，应按照要求做好维修记录，记录应包含该故障发生的时间、故障现象、维修措施和内容、维修结果、校准检查等。</w:t>
      </w:r>
    </w:p>
    <w:p w14:paraId="4F32E28C">
      <w:pPr>
        <w:widowControl w:val="0"/>
        <w:numPr>
          <w:ilvl w:val="0"/>
          <w:numId w:val="4"/>
        </w:numPr>
        <w:spacing w:line="500" w:lineRule="exact"/>
        <w:ind w:left="0"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餐饮企业变动较大，如果采购期内采购人确定的部分安装单位停业，投标人需根据采购人要求在其它餐饮单位相应补装。</w:t>
      </w:r>
    </w:p>
    <w:p w14:paraId="02E8B02C">
      <w:pPr>
        <w:widowControl w:val="0"/>
        <w:numPr>
          <w:ilvl w:val="0"/>
          <w:numId w:val="4"/>
        </w:numPr>
        <w:spacing w:line="500" w:lineRule="exact"/>
        <w:ind w:left="0" w:firstLine="480" w:firstLineChars="200"/>
        <w:jc w:val="both"/>
        <w:rPr>
          <w:rFonts w:hint="eastAsia" w:ascii="宋体" w:hAnsi="宋体"/>
          <w:bCs/>
          <w:kern w:val="2"/>
          <w:sz w:val="24"/>
          <w:highlight w:val="none"/>
        </w:rPr>
      </w:pPr>
      <w:r>
        <w:rPr>
          <w:rFonts w:hint="eastAsia" w:ascii="宋体" w:hAnsi="宋体" w:eastAsia="宋体" w:cs="宋体"/>
          <w:kern w:val="2"/>
          <w:sz w:val="24"/>
          <w:szCs w:val="24"/>
          <w:highlight w:val="none"/>
          <w:lang w:val="en-US" w:eastAsia="zh-CN" w:bidi="ar-SA"/>
        </w:rPr>
        <w:t>供应商应在服务地建立办事处并建立备品备件库，配备专业的服务团队和运维车辆。</w:t>
      </w:r>
    </w:p>
    <w:p w14:paraId="278955EC">
      <w:pPr>
        <w:keepNext/>
        <w:keepLines/>
        <w:widowControl w:val="0"/>
        <w:spacing w:before="260" w:after="260" w:line="500" w:lineRule="exact"/>
        <w:jc w:val="both"/>
        <w:outlineLvl w:val="1"/>
        <w:rPr>
          <w:rFonts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三</w:t>
      </w:r>
      <w:r>
        <w:rPr>
          <w:rFonts w:hint="eastAsia" w:ascii="宋体" w:hAnsi="宋体" w:eastAsia="宋体" w:cs="宋体"/>
          <w:b/>
          <w:bCs/>
          <w:kern w:val="2"/>
          <w:sz w:val="24"/>
          <w:szCs w:val="24"/>
          <w:highlight w:val="none"/>
          <w:lang w:val="en-US" w:eastAsia="zh-CN" w:bidi="ar-SA"/>
        </w:rPr>
        <w:t>、平台</w:t>
      </w:r>
      <w:r>
        <w:rPr>
          <w:rFonts w:hint="eastAsia" w:ascii="宋体" w:hAnsi="宋体" w:cs="宋体"/>
          <w:b/>
          <w:bCs/>
          <w:kern w:val="2"/>
          <w:sz w:val="24"/>
          <w:szCs w:val="24"/>
          <w:highlight w:val="none"/>
          <w:lang w:val="en-US" w:eastAsia="zh-CN" w:bidi="ar-SA"/>
        </w:rPr>
        <w:t>维护</w:t>
      </w:r>
      <w:r>
        <w:rPr>
          <w:rFonts w:hint="eastAsia" w:ascii="宋体" w:hAnsi="宋体" w:eastAsia="宋体" w:cs="宋体"/>
          <w:b/>
          <w:bCs/>
          <w:kern w:val="2"/>
          <w:sz w:val="24"/>
          <w:szCs w:val="24"/>
          <w:highlight w:val="none"/>
          <w:lang w:val="en-US" w:eastAsia="zh-CN" w:bidi="ar-SA"/>
        </w:rPr>
        <w:t>服务要求</w:t>
      </w:r>
    </w:p>
    <w:p w14:paraId="29E78456">
      <w:pPr>
        <w:widowControl w:val="0"/>
        <w:numPr>
          <w:ilvl w:val="0"/>
          <w:numId w:val="5"/>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供应商需提供自</w:t>
      </w:r>
      <w:r>
        <w:rPr>
          <w:rFonts w:hint="eastAsia" w:ascii="宋体" w:hAnsi="宋体" w:cs="宋体"/>
          <w:kern w:val="2"/>
          <w:sz w:val="24"/>
          <w:szCs w:val="24"/>
          <w:highlight w:val="none"/>
          <w:lang w:val="en-US" w:eastAsia="zh-CN" w:bidi="ar-SA"/>
        </w:rPr>
        <w:t>采购人</w:t>
      </w:r>
      <w:r>
        <w:rPr>
          <w:rFonts w:hint="eastAsia" w:ascii="宋体" w:hAnsi="宋体" w:eastAsia="宋体" w:cs="宋体"/>
          <w:kern w:val="2"/>
          <w:sz w:val="24"/>
          <w:szCs w:val="24"/>
          <w:highlight w:val="none"/>
          <w:lang w:val="en-US" w:eastAsia="zh-CN" w:bidi="ar-SA"/>
        </w:rPr>
        <w:t>通知之日起</w:t>
      </w:r>
      <w:r>
        <w:rPr>
          <w:rFonts w:hint="eastAsia" w:ascii="宋体" w:hAnsi="宋体" w:eastAsia="宋体" w:cs="宋体"/>
          <w:b/>
          <w:kern w:val="2"/>
          <w:sz w:val="24"/>
          <w:szCs w:val="24"/>
          <w:highlight w:val="none"/>
          <w:lang w:val="en-US" w:eastAsia="zh-CN" w:bidi="ar-SA"/>
        </w:rPr>
        <w:t>1年</w:t>
      </w:r>
      <w:r>
        <w:rPr>
          <w:rFonts w:hint="eastAsia" w:ascii="宋体" w:hAnsi="宋体" w:eastAsia="宋体" w:cs="宋体"/>
          <w:kern w:val="2"/>
          <w:sz w:val="24"/>
          <w:szCs w:val="24"/>
          <w:highlight w:val="none"/>
          <w:lang w:val="en-US" w:eastAsia="zh-CN" w:bidi="ar-SA"/>
        </w:rPr>
        <w:t>的</w:t>
      </w:r>
      <w:r>
        <w:rPr>
          <w:rFonts w:hint="eastAsia" w:ascii="宋体" w:hAnsi="宋体" w:cs="宋体"/>
          <w:kern w:val="2"/>
          <w:sz w:val="24"/>
          <w:szCs w:val="24"/>
          <w:highlight w:val="none"/>
          <w:lang w:val="en-US" w:eastAsia="zh-CN" w:bidi="ar-SA"/>
        </w:rPr>
        <w:t>油烟监控平台</w:t>
      </w:r>
      <w:r>
        <w:rPr>
          <w:rFonts w:hint="eastAsia" w:ascii="宋体" w:hAnsi="宋体" w:eastAsia="宋体" w:cs="宋体"/>
          <w:kern w:val="2"/>
          <w:sz w:val="24"/>
          <w:szCs w:val="24"/>
          <w:highlight w:val="none"/>
          <w:lang w:val="en-US" w:eastAsia="zh-CN" w:bidi="ar-SA"/>
        </w:rPr>
        <w:t>运行维护服务。提供至少1名</w:t>
      </w:r>
      <w:r>
        <w:rPr>
          <w:rFonts w:hint="eastAsia" w:ascii="宋体" w:hAnsi="宋体" w:cs="宋体"/>
          <w:kern w:val="2"/>
          <w:sz w:val="24"/>
          <w:szCs w:val="24"/>
          <w:highlight w:val="none"/>
          <w:lang w:val="en-US" w:eastAsia="zh-CN" w:bidi="ar-SA"/>
        </w:rPr>
        <w:t>油烟监控平台</w:t>
      </w:r>
      <w:r>
        <w:rPr>
          <w:rFonts w:hint="eastAsia" w:ascii="宋体" w:hAnsi="宋体" w:eastAsia="宋体" w:cs="宋体"/>
          <w:kern w:val="2"/>
          <w:sz w:val="24"/>
          <w:szCs w:val="24"/>
          <w:highlight w:val="none"/>
          <w:lang w:val="en-US" w:eastAsia="zh-CN" w:bidi="ar-SA"/>
        </w:rPr>
        <w:t>服务技术人员。</w:t>
      </w:r>
    </w:p>
    <w:p w14:paraId="0A692950">
      <w:pPr>
        <w:widowControl w:val="0"/>
        <w:numPr>
          <w:ilvl w:val="0"/>
          <w:numId w:val="5"/>
        </w:numPr>
        <w:spacing w:line="500" w:lineRule="exact"/>
        <w:ind w:left="0" w:firstLine="480" w:firstLineChars="200"/>
        <w:jc w:val="both"/>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运维期间，每日进行平台日常巡检，诊断监测设备是否正常工作，及时发现设备故障问题，通知服务人员进行现场主动问题排查及处理。</w:t>
      </w:r>
    </w:p>
    <w:p w14:paraId="2EB3C5C6">
      <w:pPr>
        <w:widowControl w:val="0"/>
        <w:numPr>
          <w:ilvl w:val="0"/>
          <w:numId w:val="5"/>
        </w:numPr>
        <w:spacing w:line="500" w:lineRule="exact"/>
        <w:ind w:left="0"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提供平台日常服务工作:包括站点初始化，用户权限管理，平台账户权限管理，每日巡检平台端报警信息，处置报警任务，微信互动平台发布消息等。</w:t>
      </w:r>
    </w:p>
    <w:p w14:paraId="086E317C">
      <w:pPr>
        <w:widowControl w:val="0"/>
        <w:numPr>
          <w:ilvl w:val="0"/>
          <w:numId w:val="5"/>
        </w:numPr>
        <w:spacing w:line="500" w:lineRule="exact"/>
        <w:ind w:left="0"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需要形成定期的数据分析报告，包括并不限于周、月度、年度的数据分析报告。需能对超标情况和净化器运行情况进行分析。</w:t>
      </w:r>
    </w:p>
    <w:p w14:paraId="673B4441">
      <w:pPr>
        <w:pStyle w:val="81"/>
        <w:numPr>
          <w:ilvl w:val="0"/>
          <w:numId w:val="0"/>
        </w:numPr>
        <w:spacing w:line="400" w:lineRule="exact"/>
        <w:rPr>
          <w:rStyle w:val="320"/>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、相关</w:t>
      </w:r>
      <w:r>
        <w:rPr>
          <w:rStyle w:val="320"/>
          <w:rFonts w:hint="eastAsia" w:ascii="宋体" w:hAnsi="宋体" w:eastAsia="宋体" w:cs="宋体"/>
          <w:color w:val="auto"/>
          <w:sz w:val="24"/>
          <w:szCs w:val="24"/>
          <w:highlight w:val="none"/>
        </w:rPr>
        <w:t>要求</w:t>
      </w:r>
    </w:p>
    <w:p w14:paraId="5A9E695C">
      <w:pPr>
        <w:pStyle w:val="321"/>
        <w:widowControl w:val="0"/>
        <w:spacing w:line="400" w:lineRule="exact"/>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项目为盐南高新区城市餐饮油烟在线监控运维项目，是大气环境治理和民生实事项目，非常重要。为确保项目目标实现，需要供应商具有丰富的工作经验。本项目对自2023年1月1日以来承担过类似项目的供应商优先。</w:t>
      </w:r>
    </w:p>
    <w:p w14:paraId="591DA109">
      <w:pPr>
        <w:pStyle w:val="321"/>
        <w:widowControl w:val="0"/>
        <w:spacing w:line="400" w:lineRule="exact"/>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2、项目负责人决定人了项目实施的水平和质量。本项目对项目负责人具有环保类相关专业中级及以上职称的供应商优先。</w:t>
      </w:r>
    </w:p>
    <w:p w14:paraId="60B7C3F6">
      <w:pPr>
        <w:pStyle w:val="321"/>
        <w:widowControl w:val="0"/>
        <w:spacing w:line="400" w:lineRule="exact"/>
        <w:ind w:firstLine="42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3、本项目具有拆装设备工作，接触市电，所以对项目组成员配备具有应急管理部门（或安全生产监督管理局）颁发的特种作业操作证（操作项目为：低压电工作业）的供应商优先。</w:t>
      </w:r>
    </w:p>
    <w:p w14:paraId="5A20BC8C">
      <w:pPr>
        <w:spacing w:line="400" w:lineRule="exact"/>
        <w:ind w:firstLine="480"/>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4</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技术</w:t>
      </w:r>
      <w:r>
        <w:rPr>
          <w:rFonts w:hint="eastAsia" w:ascii="宋体" w:hAnsi="宋体" w:eastAsia="宋体" w:cs="宋体"/>
          <w:kern w:val="2"/>
          <w:sz w:val="24"/>
          <w:szCs w:val="24"/>
          <w:highlight w:val="none"/>
          <w:lang w:val="en-US" w:eastAsia="zh-CN" w:bidi="ar-SA"/>
        </w:rPr>
        <w:t>方案</w:t>
      </w:r>
    </w:p>
    <w:p w14:paraId="34EE3335">
      <w:pPr>
        <w:spacing w:line="400" w:lineRule="exact"/>
        <w:ind w:firstLine="48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供应商应根据国家政策法规、本地实际和本采购文件要求，围绕项目目标，制定细致完整、科学合理、分析透彻、措施有力、针对性和操作性强的</w:t>
      </w:r>
      <w:r>
        <w:rPr>
          <w:rFonts w:hint="eastAsia" w:ascii="宋体" w:hAnsi="宋体" w:cs="宋体"/>
          <w:kern w:val="2"/>
          <w:sz w:val="24"/>
          <w:szCs w:val="24"/>
          <w:highlight w:val="none"/>
          <w:lang w:val="en-US" w:eastAsia="zh-CN" w:bidi="ar-SA"/>
        </w:rPr>
        <w:t>项目</w:t>
      </w:r>
      <w:r>
        <w:rPr>
          <w:rFonts w:hint="eastAsia" w:ascii="宋体" w:hAnsi="宋体" w:eastAsia="宋体" w:cs="宋体"/>
          <w:kern w:val="2"/>
          <w:sz w:val="24"/>
          <w:szCs w:val="24"/>
          <w:highlight w:val="none"/>
          <w:lang w:val="en-US" w:eastAsia="zh-CN" w:bidi="ar-SA"/>
        </w:rPr>
        <w:t>方案，至少包括实施方案、组织机构设置和人员配备、</w:t>
      </w:r>
      <w:r>
        <w:rPr>
          <w:rFonts w:hint="eastAsia" w:ascii="宋体" w:hAnsi="宋体" w:cs="宋体"/>
          <w:kern w:val="2"/>
          <w:sz w:val="24"/>
          <w:szCs w:val="24"/>
          <w:highlight w:val="none"/>
          <w:lang w:val="en-US" w:eastAsia="zh-CN" w:bidi="ar-SA"/>
        </w:rPr>
        <w:t>运维方案、数据分析方案、</w:t>
      </w:r>
      <w:r>
        <w:rPr>
          <w:rFonts w:hint="eastAsia" w:ascii="宋体" w:hAnsi="宋体" w:eastAsia="宋体" w:cs="宋体"/>
          <w:kern w:val="2"/>
          <w:sz w:val="24"/>
          <w:szCs w:val="24"/>
          <w:highlight w:val="none"/>
          <w:lang w:val="en-US" w:eastAsia="zh-CN" w:bidi="ar-SA"/>
        </w:rPr>
        <w:t>重难点分析及对策措施</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质量保证方案、台账管理方案等方面。</w:t>
      </w:r>
    </w:p>
    <w:p w14:paraId="5636B2DC">
      <w:pPr>
        <w:spacing w:line="400" w:lineRule="exact"/>
        <w:ind w:firstLine="48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rPr>
        <w:t>.1实施方案</w:t>
      </w:r>
    </w:p>
    <w:p w14:paraId="271ACBF4">
      <w:pPr>
        <w:spacing w:line="400" w:lineRule="exact"/>
        <w:ind w:firstLine="480"/>
        <w:rPr>
          <w:rFonts w:hint="eastAsia" w:ascii="宋体" w:hAnsi="宋体" w:cs="宋体"/>
          <w:b w:val="0"/>
          <w:bCs w:val="0"/>
          <w:sz w:val="24"/>
          <w:szCs w:val="24"/>
          <w:highlight w:val="none"/>
        </w:rPr>
      </w:pPr>
      <w:r>
        <w:rPr>
          <w:rFonts w:hint="eastAsia" w:ascii="宋体" w:hAnsi="宋体" w:cs="宋体"/>
          <w:b w:val="0"/>
          <w:bCs w:val="0"/>
          <w:sz w:val="24"/>
          <w:szCs w:val="24"/>
          <w:highlight w:val="none"/>
        </w:rPr>
        <w:t>供应商应针对本项目实际情况，制订切实可行的实施方案，内容至少包括服务范围及标准，工作流程及规范（日常运维流程、应急响应流程），设施设备维护管理（巡查管理、维修管理、运行管理、保养管理）等方面。</w:t>
      </w:r>
    </w:p>
    <w:p w14:paraId="2E3D38EF">
      <w:pPr>
        <w:spacing w:line="400" w:lineRule="exact"/>
        <w:ind w:firstLine="48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rPr>
        <w:t>.2</w:t>
      </w:r>
      <w:bookmarkStart w:id="117" w:name="OLE_LINK56"/>
      <w:bookmarkStart w:id="118" w:name="OLE_LINK55"/>
      <w:r>
        <w:rPr>
          <w:rFonts w:hint="eastAsia" w:ascii="宋体" w:hAnsi="宋体" w:cs="宋体"/>
          <w:b w:val="0"/>
          <w:bCs w:val="0"/>
          <w:sz w:val="24"/>
          <w:szCs w:val="24"/>
          <w:highlight w:val="none"/>
        </w:rPr>
        <w:t>组织机构设置和人员配备</w:t>
      </w:r>
      <w:bookmarkEnd w:id="117"/>
      <w:bookmarkEnd w:id="118"/>
    </w:p>
    <w:p w14:paraId="17AADCA3">
      <w:pPr>
        <w:spacing w:line="400" w:lineRule="exact"/>
        <w:ind w:firstLine="480"/>
        <w:rPr>
          <w:rFonts w:ascii="宋体" w:hAnsi="宋体" w:cs="宋体"/>
          <w:b w:val="0"/>
          <w:bCs w:val="0"/>
          <w:sz w:val="24"/>
          <w:szCs w:val="24"/>
          <w:highlight w:val="none"/>
        </w:rPr>
      </w:pPr>
      <w:r>
        <w:rPr>
          <w:rFonts w:hint="eastAsia" w:ascii="宋体" w:hAnsi="宋体" w:cs="宋体"/>
          <w:b w:val="0"/>
          <w:bCs w:val="0"/>
          <w:sz w:val="24"/>
          <w:szCs w:val="24"/>
          <w:highlight w:val="none"/>
        </w:rPr>
        <w:t>供应商应针对本项目的实际情况，制订科学合理、切实可行的组织机构设置和人员配备方案，内容至少包括组织机构设置、人员配备、岗位职责等方面，</w:t>
      </w:r>
      <w:r>
        <w:rPr>
          <w:rFonts w:ascii="宋体" w:hAnsi="宋体" w:cs="宋体"/>
          <w:b w:val="0"/>
          <w:bCs w:val="0"/>
          <w:sz w:val="24"/>
          <w:szCs w:val="24"/>
          <w:highlight w:val="none"/>
        </w:rPr>
        <w:t>确保项目运维工作科学、高效、规范开展。</w:t>
      </w:r>
    </w:p>
    <w:p w14:paraId="0478F764">
      <w:pPr>
        <w:spacing w:line="400" w:lineRule="exact"/>
        <w:ind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4.3运维保障方案</w:t>
      </w:r>
    </w:p>
    <w:p w14:paraId="2EB14569">
      <w:pPr>
        <w:spacing w:line="400" w:lineRule="exact"/>
        <w:ind w:firstLine="480"/>
        <w:rPr>
          <w:rFonts w:hint="default" w:ascii="宋体" w:hAnsi="宋体" w:eastAsia="宋体" w:cs="宋体"/>
          <w:b/>
          <w:sz w:val="24"/>
          <w:szCs w:val="24"/>
          <w:highlight w:val="none"/>
          <w:lang w:val="en-US" w:eastAsia="zh-CN"/>
        </w:rPr>
      </w:pPr>
      <w:r>
        <w:rPr>
          <w:rFonts w:hint="eastAsia" w:ascii="宋体" w:hAnsi="宋体" w:cs="宋体"/>
          <w:bCs/>
          <w:sz w:val="24"/>
          <w:szCs w:val="24"/>
          <w:highlight w:val="none"/>
          <w:lang w:val="en-US" w:eastAsia="zh-CN"/>
        </w:rPr>
        <w:t>为保障项目的顺利实施，</w:t>
      </w:r>
      <w:r>
        <w:rPr>
          <w:rFonts w:hint="eastAsia" w:ascii="宋体" w:hAnsi="宋体" w:cs="宋体"/>
          <w:bCs/>
          <w:sz w:val="24"/>
          <w:szCs w:val="24"/>
          <w:highlight w:val="none"/>
        </w:rPr>
        <w:t>供应商应针对本项目的</w:t>
      </w:r>
      <w:r>
        <w:rPr>
          <w:rFonts w:hint="eastAsia" w:ascii="宋体" w:hAnsi="宋体" w:cs="宋体"/>
          <w:bCs/>
          <w:sz w:val="24"/>
          <w:szCs w:val="24"/>
          <w:highlight w:val="none"/>
          <w:lang w:val="en-US" w:eastAsia="zh-CN"/>
        </w:rPr>
        <w:t>特征与实际</w:t>
      </w:r>
      <w:r>
        <w:rPr>
          <w:rFonts w:hint="eastAsia" w:ascii="宋体" w:hAnsi="宋体" w:cs="宋体"/>
          <w:bCs/>
          <w:sz w:val="24"/>
          <w:szCs w:val="24"/>
          <w:highlight w:val="none"/>
        </w:rPr>
        <w:t>，制订科学合理、切实可行的</w:t>
      </w:r>
      <w:r>
        <w:rPr>
          <w:rFonts w:hint="eastAsia" w:ascii="宋体" w:hAnsi="宋体" w:cs="宋体"/>
          <w:bCs/>
          <w:sz w:val="24"/>
          <w:szCs w:val="24"/>
          <w:highlight w:val="none"/>
          <w:lang w:val="en-US" w:eastAsia="zh-CN"/>
        </w:rPr>
        <w:t>运维保障方案，内容至少包括运维人员技术培训、安全教育、车辆保障、备机和配件保障，劳保用品保障、应急救援与预防等方面。</w:t>
      </w:r>
    </w:p>
    <w:p w14:paraId="3D4BBDBA">
      <w:pPr>
        <w:spacing w:line="400" w:lineRule="exact"/>
        <w:ind w:firstLine="480"/>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4.4数据分析方案</w:t>
      </w:r>
    </w:p>
    <w:p w14:paraId="0A2677A5">
      <w:pPr>
        <w:spacing w:line="400" w:lineRule="exact"/>
        <w:ind w:firstLine="480"/>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rPr>
        <w:t>供应商应根据采购需求和本项目实际，投标人提供符合本项目餐饮企业分布特点及净化器运行质量的数据分析方案，方案</w:t>
      </w:r>
      <w:r>
        <w:rPr>
          <w:rFonts w:hint="eastAsia" w:ascii="宋体" w:hAnsi="宋体" w:cs="宋体"/>
          <w:b w:val="0"/>
          <w:bCs/>
          <w:sz w:val="24"/>
          <w:szCs w:val="24"/>
          <w:highlight w:val="none"/>
          <w:lang w:val="en-US" w:eastAsia="zh-CN"/>
        </w:rPr>
        <w:t>内容包括数据分析的</w:t>
      </w:r>
      <w:r>
        <w:rPr>
          <w:rFonts w:hint="eastAsia" w:ascii="宋体" w:hAnsi="宋体" w:cs="宋体"/>
          <w:b w:val="0"/>
          <w:bCs/>
          <w:sz w:val="24"/>
          <w:szCs w:val="24"/>
          <w:highlight w:val="none"/>
        </w:rPr>
        <w:t>针对性、分析维度的丰富性</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数据来源可行性、监管应用价值性</w:t>
      </w:r>
      <w:r>
        <w:rPr>
          <w:rFonts w:hint="eastAsia" w:ascii="宋体" w:hAnsi="宋体" w:cs="宋体"/>
          <w:b w:val="0"/>
          <w:bCs/>
          <w:sz w:val="24"/>
          <w:szCs w:val="24"/>
          <w:highlight w:val="none"/>
          <w:lang w:val="en-US" w:eastAsia="zh-CN"/>
        </w:rPr>
        <w:t>等。</w:t>
      </w:r>
    </w:p>
    <w:p w14:paraId="739E31A2">
      <w:pPr>
        <w:spacing w:line="400" w:lineRule="exact"/>
        <w:ind w:firstLine="480"/>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4</w:t>
      </w:r>
      <w:r>
        <w:rPr>
          <w:rFonts w:hint="eastAsia" w:ascii="宋体" w:hAnsi="宋体" w:cs="宋体"/>
          <w:b w:val="0"/>
          <w:bCs/>
          <w:sz w:val="24"/>
          <w:szCs w:val="24"/>
          <w:highlight w:val="none"/>
        </w:rPr>
        <w:t>.5重难点分析及对策措施</w:t>
      </w:r>
    </w:p>
    <w:p w14:paraId="64C8C82E">
      <w:pPr>
        <w:spacing w:line="400" w:lineRule="exact"/>
        <w:ind w:firstLine="480"/>
        <w:rPr>
          <w:rFonts w:hint="eastAsia" w:ascii="宋体" w:hAnsi="宋体" w:cs="宋体"/>
          <w:b w:val="0"/>
          <w:bCs/>
          <w:sz w:val="24"/>
          <w:szCs w:val="24"/>
          <w:highlight w:val="none"/>
        </w:rPr>
      </w:pPr>
      <w:r>
        <w:rPr>
          <w:rFonts w:ascii="宋体" w:hAnsi="宋体" w:cs="宋体"/>
          <w:b w:val="0"/>
          <w:bCs/>
          <w:sz w:val="24"/>
          <w:szCs w:val="24"/>
          <w:highlight w:val="none"/>
        </w:rPr>
        <w:t>为确保</w:t>
      </w:r>
      <w:r>
        <w:rPr>
          <w:rFonts w:hint="eastAsia" w:ascii="宋体" w:hAnsi="宋体" w:cs="宋体"/>
          <w:b w:val="0"/>
          <w:bCs/>
          <w:sz w:val="24"/>
          <w:szCs w:val="24"/>
          <w:highlight w:val="none"/>
        </w:rPr>
        <w:t>本</w:t>
      </w:r>
      <w:r>
        <w:rPr>
          <w:rFonts w:ascii="宋体" w:hAnsi="宋体" w:cs="宋体"/>
          <w:b w:val="0"/>
          <w:bCs/>
          <w:sz w:val="24"/>
          <w:szCs w:val="24"/>
          <w:highlight w:val="none"/>
        </w:rPr>
        <w:t>项目的顺利实施与长期稳定运行，</w:t>
      </w:r>
      <w:r>
        <w:rPr>
          <w:rFonts w:hint="eastAsia" w:ascii="宋体" w:hAnsi="宋体" w:cs="宋体"/>
          <w:b w:val="0"/>
          <w:bCs/>
          <w:sz w:val="24"/>
          <w:szCs w:val="24"/>
          <w:highlight w:val="none"/>
        </w:rPr>
        <w:t>供应商应针对本项目实际，认真提出本项目的重难点及对策措施方案，内容至少包括技术问题、</w:t>
      </w:r>
      <w:r>
        <w:rPr>
          <w:rFonts w:hint="eastAsia" w:ascii="宋体" w:hAnsi="宋体" w:cs="宋体"/>
          <w:b w:val="0"/>
          <w:bCs/>
          <w:sz w:val="24"/>
          <w:szCs w:val="24"/>
          <w:highlight w:val="none"/>
          <w:lang w:val="en-US" w:eastAsia="zh-CN"/>
        </w:rPr>
        <w:t>项目实施过程的</w:t>
      </w:r>
      <w:r>
        <w:rPr>
          <w:rFonts w:hint="eastAsia" w:ascii="宋体" w:hAnsi="宋体" w:cs="宋体"/>
          <w:b w:val="0"/>
          <w:bCs/>
          <w:sz w:val="24"/>
          <w:szCs w:val="24"/>
          <w:highlight w:val="none"/>
        </w:rPr>
        <w:t>重点、难点的分析及应对措施等方面。</w:t>
      </w:r>
    </w:p>
    <w:p w14:paraId="3B0DDFB3">
      <w:pPr>
        <w:spacing w:line="400" w:lineRule="exact"/>
        <w:ind w:firstLine="480"/>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4</w:t>
      </w:r>
      <w:r>
        <w:rPr>
          <w:rFonts w:hint="eastAsia" w:ascii="宋体" w:hAnsi="宋体" w:cs="宋体"/>
          <w:b w:val="0"/>
          <w:bCs/>
          <w:sz w:val="24"/>
          <w:szCs w:val="24"/>
          <w:highlight w:val="none"/>
        </w:rPr>
        <w:t>.</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质量保证方案</w:t>
      </w:r>
    </w:p>
    <w:p w14:paraId="2FABA986">
      <w:pPr>
        <w:spacing w:line="400" w:lineRule="exact"/>
        <w:ind w:firstLine="480"/>
        <w:rPr>
          <w:rFonts w:hint="eastAsia" w:ascii="宋体" w:hAnsi="宋体" w:cs="宋体"/>
          <w:b w:val="0"/>
          <w:bCs/>
          <w:sz w:val="24"/>
          <w:szCs w:val="24"/>
          <w:highlight w:val="none"/>
        </w:rPr>
      </w:pPr>
      <w:bookmarkStart w:id="119" w:name="OLE_LINK45"/>
      <w:bookmarkStart w:id="120" w:name="OLE_LINK42"/>
      <w:r>
        <w:rPr>
          <w:rFonts w:hint="eastAsia" w:ascii="宋体" w:hAnsi="宋体" w:cs="宋体"/>
          <w:b w:val="0"/>
          <w:bCs/>
          <w:sz w:val="24"/>
          <w:szCs w:val="24"/>
          <w:highlight w:val="none"/>
        </w:rPr>
        <w:t>供应商应</w:t>
      </w:r>
      <w:bookmarkEnd w:id="119"/>
      <w:bookmarkEnd w:id="120"/>
      <w:r>
        <w:rPr>
          <w:rFonts w:hint="eastAsia" w:ascii="宋体" w:hAnsi="宋体" w:cs="宋体"/>
          <w:b w:val="0"/>
          <w:bCs/>
          <w:sz w:val="24"/>
          <w:szCs w:val="24"/>
          <w:highlight w:val="none"/>
        </w:rPr>
        <w:t>针对本项目的实际情况，为</w:t>
      </w:r>
      <w:r>
        <w:rPr>
          <w:rFonts w:ascii="宋体" w:hAnsi="宋体" w:cs="宋体"/>
          <w:b w:val="0"/>
          <w:bCs/>
          <w:sz w:val="24"/>
          <w:szCs w:val="24"/>
          <w:highlight w:val="none"/>
        </w:rPr>
        <w:t>实现设施长期、稳定、有效运行的目标，</w:t>
      </w:r>
      <w:r>
        <w:rPr>
          <w:rFonts w:hint="eastAsia" w:ascii="宋体" w:hAnsi="宋体" w:cs="宋体"/>
          <w:b w:val="0"/>
          <w:bCs/>
          <w:sz w:val="24"/>
          <w:szCs w:val="24"/>
          <w:highlight w:val="none"/>
        </w:rPr>
        <w:t>制订科学合理、切实可行的质量保证方案，内容至少包括质量</w:t>
      </w:r>
      <w:r>
        <w:rPr>
          <w:rFonts w:hint="eastAsia" w:ascii="宋体" w:hAnsi="宋体" w:cs="宋体"/>
          <w:b w:val="0"/>
          <w:bCs/>
          <w:sz w:val="24"/>
          <w:szCs w:val="24"/>
          <w:highlight w:val="none"/>
          <w:lang w:val="en-US" w:eastAsia="zh-CN"/>
        </w:rPr>
        <w:t>保证</w:t>
      </w:r>
      <w:r>
        <w:rPr>
          <w:rFonts w:hint="eastAsia" w:ascii="宋体" w:hAnsi="宋体" w:cs="宋体"/>
          <w:b w:val="0"/>
          <w:bCs/>
          <w:sz w:val="24"/>
          <w:szCs w:val="24"/>
          <w:highlight w:val="none"/>
        </w:rPr>
        <w:t>体系、质量</w:t>
      </w:r>
      <w:r>
        <w:rPr>
          <w:rFonts w:hint="eastAsia" w:ascii="宋体" w:hAnsi="宋体" w:cs="宋体"/>
          <w:b w:val="0"/>
          <w:bCs/>
          <w:sz w:val="24"/>
          <w:szCs w:val="24"/>
          <w:highlight w:val="none"/>
          <w:lang w:val="en-US" w:eastAsia="zh-CN"/>
        </w:rPr>
        <w:t>保证方针</w:t>
      </w:r>
      <w:r>
        <w:rPr>
          <w:rFonts w:hint="eastAsia" w:ascii="宋体" w:hAnsi="宋体" w:cs="宋体"/>
          <w:b w:val="0"/>
          <w:bCs/>
          <w:sz w:val="24"/>
          <w:szCs w:val="24"/>
          <w:highlight w:val="none"/>
        </w:rPr>
        <w:t>、质量标准体系等方面。</w:t>
      </w:r>
    </w:p>
    <w:p w14:paraId="146B1ACF">
      <w:pPr>
        <w:spacing w:line="400" w:lineRule="exact"/>
        <w:ind w:firstLine="480"/>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4</w:t>
      </w:r>
      <w:r>
        <w:rPr>
          <w:rFonts w:hint="eastAsia" w:ascii="宋体" w:hAnsi="宋体" w:cs="宋体"/>
          <w:b w:val="0"/>
          <w:bCs/>
          <w:sz w:val="24"/>
          <w:szCs w:val="24"/>
          <w:highlight w:val="none"/>
        </w:rPr>
        <w:t>.7台账管理方案</w:t>
      </w:r>
    </w:p>
    <w:p w14:paraId="7A84D8B0">
      <w:pPr>
        <w:spacing w:line="400" w:lineRule="exact"/>
        <w:ind w:firstLine="480"/>
        <w:rPr>
          <w:rFonts w:hint="eastAsia" w:ascii="宋体" w:hAnsi="宋体" w:cs="宋体"/>
          <w:bCs/>
          <w:sz w:val="24"/>
          <w:szCs w:val="24"/>
          <w:highlight w:val="none"/>
        </w:rPr>
      </w:pPr>
      <w:r>
        <w:rPr>
          <w:rFonts w:hint="eastAsia" w:ascii="宋体" w:hAnsi="宋体" w:cs="宋体"/>
          <w:bCs/>
          <w:sz w:val="24"/>
          <w:szCs w:val="24"/>
          <w:highlight w:val="none"/>
        </w:rPr>
        <w:t>供应商应根据采购需求和本项目实际，</w:t>
      </w:r>
      <w:r>
        <w:rPr>
          <w:rFonts w:ascii="宋体" w:hAnsi="宋体" w:cs="宋体"/>
          <w:bCs/>
          <w:sz w:val="24"/>
          <w:szCs w:val="24"/>
          <w:highlight w:val="none"/>
        </w:rPr>
        <w:t>提供一个细致完整、科学合理、针对性和操作性强的台账管理方案</w:t>
      </w:r>
      <w:r>
        <w:rPr>
          <w:rFonts w:hint="eastAsia" w:ascii="宋体" w:hAnsi="宋体" w:cs="宋体"/>
          <w:bCs/>
          <w:sz w:val="24"/>
          <w:szCs w:val="24"/>
          <w:highlight w:val="none"/>
        </w:rPr>
        <w:t>，方案至少包括台账建立、保管、归档管理、质量保证措施等方面，</w:t>
      </w:r>
      <w:r>
        <w:rPr>
          <w:rFonts w:ascii="宋体" w:hAnsi="宋体" w:cs="宋体"/>
          <w:bCs/>
          <w:sz w:val="24"/>
          <w:szCs w:val="24"/>
          <w:highlight w:val="none"/>
        </w:rPr>
        <w:t>确保项目运维过程可追溯、数据可查、管理规范。</w:t>
      </w:r>
    </w:p>
    <w:p w14:paraId="380DA9EE">
      <w:pPr>
        <w:spacing w:line="400" w:lineRule="exact"/>
        <w:ind w:firstLine="480"/>
        <w:rPr>
          <w:rFonts w:hint="eastAsia" w:ascii="宋体" w:hAnsi="宋体" w:cs="宋体"/>
          <w:bCs/>
          <w:sz w:val="21"/>
          <w:szCs w:val="21"/>
          <w:highlight w:val="none"/>
        </w:rPr>
      </w:pPr>
    </w:p>
    <w:p w14:paraId="1E42FF37">
      <w:pPr>
        <w:jc w:val="both"/>
        <w:rPr>
          <w:rFonts w:hint="eastAsia" w:ascii="黑体" w:hAnsi="Arial" w:eastAsia="黑体" w:cs="Arial"/>
          <w:b/>
          <w:bCs/>
          <w:kern w:val="2"/>
          <w:sz w:val="44"/>
          <w:szCs w:val="44"/>
          <w:highlight w:val="none"/>
        </w:rPr>
      </w:pPr>
    </w:p>
    <w:p w14:paraId="4629E73F">
      <w:pPr>
        <w:spacing w:line="360" w:lineRule="auto"/>
        <w:ind w:firstLine="480"/>
        <w:rPr>
          <w:rFonts w:asciiTheme="minorEastAsia" w:hAnsiTheme="minorEastAsia" w:eastAsiaTheme="minorEastAsia"/>
          <w:bCs/>
          <w:szCs w:val="21"/>
          <w:highlight w:val="none"/>
        </w:rPr>
      </w:pPr>
      <w:r>
        <w:rPr>
          <w:rFonts w:hint="eastAsia" w:ascii="宋体" w:hAnsi="宋体" w:cs="Courier New"/>
          <w:b/>
          <w:bCs/>
          <w:kern w:val="2"/>
          <w:sz w:val="24"/>
          <w:highlight w:val="none"/>
        </w:rPr>
        <w:t>注：采购标的的所属行业为其他未列明行业，根据《工业和信息化部、国家统计局、国家发展和改革委员会、财政部关于印发中小企业划型标准规定的通知》（工信部联企业[2011]300号）规定的划分标准填写。</w:t>
      </w:r>
    </w:p>
    <w:p w14:paraId="20E2EC6C">
      <w:pPr>
        <w:spacing w:line="400" w:lineRule="exact"/>
        <w:ind w:firstLine="480"/>
        <w:rPr>
          <w:rFonts w:asciiTheme="minorEastAsia" w:hAnsiTheme="minorEastAsia" w:eastAsiaTheme="minorEastAsia"/>
          <w:bCs/>
          <w:szCs w:val="21"/>
          <w:highlight w:val="none"/>
        </w:rPr>
      </w:pPr>
    </w:p>
    <w:p w14:paraId="1E6E04F7">
      <w:pPr>
        <w:pageBreakBefore/>
        <w:spacing w:line="420" w:lineRule="atLeast"/>
        <w:jc w:val="center"/>
        <w:rPr>
          <w:rFonts w:asciiTheme="minorEastAsia" w:hAnsiTheme="minorEastAsia" w:eastAsiaTheme="minorEastAsia"/>
          <w:sz w:val="32"/>
          <w:szCs w:val="32"/>
          <w:highlight w:val="none"/>
        </w:rPr>
      </w:pPr>
      <w:r>
        <w:rPr>
          <w:rFonts w:asciiTheme="minorEastAsia" w:hAnsiTheme="minorEastAsia" w:eastAsiaTheme="minorEastAsia"/>
          <w:b/>
          <w:bCs/>
          <w:sz w:val="32"/>
          <w:szCs w:val="32"/>
          <w:highlight w:val="none"/>
        </w:rPr>
        <w:t>第</w:t>
      </w:r>
      <w:r>
        <w:rPr>
          <w:rFonts w:hint="eastAsia" w:asciiTheme="minorEastAsia" w:hAnsiTheme="minorEastAsia" w:eastAsiaTheme="minorEastAsia"/>
          <w:b/>
          <w:bCs/>
          <w:sz w:val="32"/>
          <w:szCs w:val="32"/>
          <w:highlight w:val="none"/>
        </w:rPr>
        <w:t>五</w:t>
      </w:r>
      <w:r>
        <w:rPr>
          <w:rFonts w:asciiTheme="minorEastAsia" w:hAnsiTheme="minorEastAsia" w:eastAsiaTheme="minorEastAsia"/>
          <w:b/>
          <w:bCs/>
          <w:sz w:val="32"/>
          <w:szCs w:val="32"/>
          <w:highlight w:val="none"/>
        </w:rPr>
        <w:t>部分  评标方法与评标标准</w:t>
      </w:r>
    </w:p>
    <w:p w14:paraId="2A1C8CF6">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一、评标方法与定标原则</w:t>
      </w:r>
    </w:p>
    <w:p w14:paraId="1A4F695D">
      <w:pPr>
        <w:spacing w:line="500" w:lineRule="exact"/>
        <w:ind w:firstLine="480"/>
        <w:rPr>
          <w:rFonts w:asciiTheme="minorEastAsia" w:hAnsiTheme="minorEastAsia" w:eastAsiaTheme="minorEastAsia"/>
          <w:bCs/>
          <w:sz w:val="24"/>
          <w:highlight w:val="none"/>
        </w:rPr>
      </w:pPr>
      <w:r>
        <w:rPr>
          <w:rFonts w:asciiTheme="minorEastAsia" w:hAnsiTheme="minorEastAsia" w:eastAsiaTheme="minorEastAsia"/>
          <w:bCs/>
          <w:sz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p>
    <w:p w14:paraId="7834A3E7">
      <w:pPr>
        <w:pStyle w:val="6"/>
        <w:spacing w:before="0" w:after="0" w:line="500" w:lineRule="exact"/>
        <w:ind w:firstLine="482"/>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二、对投标文件的初审</w:t>
      </w:r>
    </w:p>
    <w:p w14:paraId="7960A574">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投标文件初审分为资格审查和符合性审查。</w:t>
      </w:r>
    </w:p>
    <w:p w14:paraId="589217B2">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资格审查</w:t>
      </w:r>
    </w:p>
    <w:p w14:paraId="56DCE3B1">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开标结束后，采购人或者采购代理机构依法对投标人的资格进行审查。</w:t>
      </w:r>
    </w:p>
    <w:p w14:paraId="21517B2D">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审查投标文件中的资格、资信证明文件等，以确定投标人是否具备投标资格。（资格审查需提供的材料详见《资格信誉等证明文件要求》）</w:t>
      </w:r>
    </w:p>
    <w:p w14:paraId="7B89B64D">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符合性审查</w:t>
      </w:r>
    </w:p>
    <w:p w14:paraId="4B8CDF03">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评标委员会对符合资格的投标人的投标文件进行符合性审查。</w:t>
      </w:r>
    </w:p>
    <w:p w14:paraId="60C86812">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依据招标文件的规定，从投标文件的有效性、完整性和对招标文件的响应程度进行审查，以确定其是否满足招标文件的实质性要求。</w:t>
      </w:r>
    </w:p>
    <w:p w14:paraId="7E5BE4A1">
      <w:pPr>
        <w:spacing w:line="5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明确响应的投标应该是与招标文件要求的全部条款、条件和规格相符，没有重大偏离或保留的投标。</w:t>
      </w:r>
    </w:p>
    <w:p w14:paraId="41F5E533">
      <w:pPr>
        <w:spacing w:line="500" w:lineRule="exact"/>
        <w:ind w:firstLine="482"/>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sz w:val="24"/>
          <w:highlight w:val="none"/>
        </w:rPr>
        <w:t>评委决定投标文件的响应性只根据投标文件本身的内容，而不寻求外部的证据。</w:t>
      </w:r>
    </w:p>
    <w:p w14:paraId="6E953A44">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如果投标文件没有明确响应招标文件的要求，评标委员会将按无效投标处理，投标人不得通过修改或撤销不合要求的偏离或保留而使其投标成为明确响应的投标。</w:t>
      </w:r>
    </w:p>
    <w:p w14:paraId="5A1D687D">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评标委员会将对确定为明确响应的投标进行进一步审核，投标文件报价出现前后不一致的，除招标文件另有规定外，按照下列规定修正：</w:t>
      </w:r>
    </w:p>
    <w:p w14:paraId="3300A37D">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投标文件中开标一览表内容与投标文件中相应内容不一致的，以开标一览表为准；</w:t>
      </w:r>
    </w:p>
    <w:p w14:paraId="30C23880">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大写金额和小写金额不一致的，以大写金额为准；</w:t>
      </w:r>
    </w:p>
    <w:p w14:paraId="4AA2C280">
      <w:pPr>
        <w:spacing w:line="500" w:lineRule="exact"/>
        <w:ind w:firstLine="482"/>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3.</w:t>
      </w:r>
      <w:r>
        <w:rPr>
          <w:rFonts w:hint="eastAsia" w:cs="Arial" w:asciiTheme="minorEastAsia" w:hAnsiTheme="minorEastAsia" w:eastAsiaTheme="minorEastAsia"/>
          <w:sz w:val="24"/>
          <w:highlight w:val="none"/>
        </w:rPr>
        <w:t>单价金额小数点或者百分比有明显错位的，以开标一览表的总价为准，并修改单价；</w:t>
      </w:r>
    </w:p>
    <w:p w14:paraId="441FD12A">
      <w:pPr>
        <w:spacing w:line="500" w:lineRule="exact"/>
        <w:ind w:firstLine="480"/>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4.</w:t>
      </w:r>
      <w:r>
        <w:rPr>
          <w:rFonts w:hint="eastAsia" w:cs="Arial" w:asciiTheme="minorEastAsia" w:hAnsiTheme="minorEastAsia" w:eastAsiaTheme="minorEastAsia"/>
          <w:sz w:val="24"/>
          <w:highlight w:val="none"/>
        </w:rPr>
        <w:t>总价金额与按单价汇总金额不一致的，以单价金额计算结果为准。</w:t>
      </w:r>
    </w:p>
    <w:p w14:paraId="053E9B88">
      <w:pPr>
        <w:spacing w:line="500" w:lineRule="exact"/>
        <w:ind w:firstLine="480"/>
        <w:rPr>
          <w:rFonts w:cs="Arial" w:asciiTheme="minorEastAsia" w:hAnsiTheme="minorEastAsia" w:eastAsiaTheme="minorEastAsia"/>
          <w:sz w:val="24"/>
          <w:highlight w:val="none"/>
        </w:rPr>
      </w:pPr>
      <w:r>
        <w:rPr>
          <w:rFonts w:hint="eastAsia" w:asciiTheme="minorEastAsia" w:hAnsiTheme="minorEastAsia" w:eastAsiaTheme="minorEastAsia"/>
          <w:bCs/>
          <w:sz w:val="24"/>
          <w:highlight w:val="none"/>
        </w:rPr>
        <w:t>评标委员会将按上述修正错误的方法调整投标文件中的投标报价，</w:t>
      </w:r>
      <w:r>
        <w:rPr>
          <w:rFonts w:hint="eastAsia" w:cs="Arial" w:asciiTheme="minorEastAsia" w:hAnsiTheme="minorEastAsia" w:eastAsiaTheme="minorEastAsia"/>
          <w:sz w:val="24"/>
          <w:highlight w:val="none"/>
        </w:rPr>
        <w:t>修正后的报价应当采用书面形式，并加盖公章，或者由法定代表人或其授权的代表签字，经投标人确认后产生约束力，投标人不确认的，其投标无效。</w:t>
      </w:r>
    </w:p>
    <w:p w14:paraId="41B1F0C3">
      <w:pPr>
        <w:spacing w:line="500" w:lineRule="exact"/>
        <w:ind w:firstLine="48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F32A35">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三、政府采购政策功能落实</w:t>
      </w:r>
    </w:p>
    <w:p w14:paraId="1ACE113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1、小微型企业价格扣除</w:t>
      </w:r>
    </w:p>
    <w:p w14:paraId="4F824F38">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（1）本项目专门面向中小企业采购，不再对小型和微型企业报价给予价格扣除。</w:t>
      </w:r>
    </w:p>
    <w:p w14:paraId="0AEB51BB">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（2）供应商需按照采购文件的要</w:t>
      </w:r>
      <w:r>
        <w:rPr>
          <w:rFonts w:hint="eastAsia" w:ascii="宋体" w:hAnsi="宋体" w:cs="宋体"/>
          <w:sz w:val="24"/>
          <w:szCs w:val="20"/>
          <w:highlight w:val="none"/>
        </w:rPr>
        <w:t>求提供相应的《中小企业声明函》。</w:t>
      </w:r>
    </w:p>
    <w:p w14:paraId="76D2AF7D">
      <w:pPr>
        <w:spacing w:before="120" w:after="120" w:line="0" w:lineRule="atLeast"/>
        <w:ind w:firstLine="482"/>
        <w:jc w:val="left"/>
        <w:rPr>
          <w:rFonts w:ascii="宋体" w:hAnsi="宋体" w:cs="宋体"/>
          <w:color w:val="000000"/>
          <w:sz w:val="24"/>
          <w:highlight w:val="none"/>
        </w:rPr>
      </w:pPr>
      <w:r>
        <w:rPr>
          <w:rFonts w:hint="eastAsia" w:ascii="宋体" w:hAnsi="宋体" w:cs="宋体"/>
          <w:sz w:val="24"/>
          <w:szCs w:val="20"/>
          <w:highlight w:val="none"/>
        </w:rPr>
        <w:t>（3）企业标准请参照《关于印发中小企业划型标准规定的通知》（工信部联企业〔2011〕300号）文件规定自行填写。</w:t>
      </w:r>
    </w:p>
    <w:p w14:paraId="3D66AE6A">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2、残疾人福利单位价格扣除</w:t>
      </w:r>
    </w:p>
    <w:p w14:paraId="7E31565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本项目对残疾人福利性单位视同小型、微型企业。</w:t>
      </w:r>
    </w:p>
    <w:p w14:paraId="746500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（2）残疾人福利单位需按照采购文件的要求提供《残疾人福利性单位声明函》。</w:t>
      </w:r>
    </w:p>
    <w:p w14:paraId="205C4506">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（3）残疾人福利单位标准请参照《关于促进残疾人就业政府采购政策的通知》（财库〔2017〕141号）。</w:t>
      </w:r>
    </w:p>
    <w:p w14:paraId="377466C5">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3、监狱和戒毒企业价格扣除</w:t>
      </w:r>
    </w:p>
    <w:p w14:paraId="6AE4B672">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本项目对监狱和戒毒企业（简称监狱企业）视同小型、微型企业。</w:t>
      </w:r>
    </w:p>
    <w:p w14:paraId="055DAA60">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209C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（3）监狱企业标准请参照《关于政府采购支持监狱企业发展有关问题的通知》（财库[2014]68号）。</w:t>
      </w:r>
    </w:p>
    <w:p w14:paraId="19921E11">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4、残疾人福利单位、监狱企业属于小型、微型企业的，不重复享受政策。</w:t>
      </w:r>
    </w:p>
    <w:p w14:paraId="547A6AC6">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kern w:val="2"/>
          <w:sz w:val="24"/>
          <w:szCs w:val="24"/>
          <w:highlight w:val="none"/>
          <w:u w:val="single"/>
        </w:rPr>
        <w:t>20%</w:t>
      </w:r>
      <w:r>
        <w:rPr>
          <w:rFonts w:hint="eastAsia" w:ascii="宋体" w:hAnsi="宋体" w:eastAsia="宋体" w:cs="宋体"/>
          <w:b/>
          <w:bCs/>
          <w:color w:val="FF0000"/>
          <w:kern w:val="2"/>
          <w:sz w:val="24"/>
          <w:szCs w:val="24"/>
          <w:highlight w:val="none"/>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kern w:val="2"/>
          <w:sz w:val="24"/>
          <w:szCs w:val="24"/>
          <w:highlight w:val="none"/>
          <w:u w:val="single"/>
        </w:rPr>
        <w:t>80%</w:t>
      </w:r>
      <w:r>
        <w:rPr>
          <w:rFonts w:hint="eastAsia" w:ascii="宋体" w:hAnsi="宋体" w:eastAsia="宋体" w:cs="宋体"/>
          <w:b/>
          <w:bCs/>
          <w:color w:val="FF0000"/>
          <w:kern w:val="2"/>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kern w:val="2"/>
          <w:sz w:val="24"/>
          <w:szCs w:val="24"/>
          <w:highlight w:val="none"/>
          <w:u w:val="single"/>
        </w:rPr>
        <w:t>20%</w:t>
      </w:r>
      <w:r>
        <w:rPr>
          <w:rFonts w:hint="eastAsia" w:ascii="宋体" w:hAnsi="宋体" w:eastAsia="宋体" w:cs="宋体"/>
          <w:b/>
          <w:bCs/>
          <w:color w:val="FF0000"/>
          <w:kern w:val="2"/>
          <w:sz w:val="24"/>
          <w:szCs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.4 供应商需在《声明函》中逐一、准确填写产品名称、厂名、生产厂址三项信息（《声明函》中用</w:t>
      </w:r>
      <w:r>
        <w:rPr>
          <w:rFonts w:hint="eastAsia" w:ascii="宋体" w:hAnsi="宋体" w:eastAsia="宋体" w:cs="宋体"/>
          <w:b/>
          <w:bCs/>
          <w:color w:val="FF0000"/>
          <w:kern w:val="2"/>
          <w:sz w:val="24"/>
          <w:szCs w:val="24"/>
          <w:highlight w:val="none"/>
          <w:lang w:val="en-US" w:eastAsia="zh-CN"/>
        </w:rPr>
        <w:t>横</w:t>
      </w:r>
      <w:r>
        <w:rPr>
          <w:rFonts w:hint="eastAsia" w:ascii="宋体" w:hAnsi="宋体" w:eastAsia="宋体" w:cs="宋体"/>
          <w:b/>
          <w:bCs/>
          <w:color w:val="FF0000"/>
          <w:kern w:val="2"/>
          <w:sz w:val="24"/>
          <w:szCs w:val="24"/>
          <w:highlight w:val="none"/>
        </w:rPr>
        <w:t>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hint="eastAsia" w:ascii="宋体" w:hAnsi="宋体" w:eastAsia="宋体" w:cs="宋体"/>
          <w:color w:val="000000"/>
          <w:kern w:val="2"/>
          <w:highlight w:val="none"/>
          <w:u w:val="single"/>
          <w:lang w:eastAsia="zh-CN"/>
        </w:rPr>
      </w:pPr>
      <w:r>
        <w:rPr>
          <w:rFonts w:hint="eastAsia" w:ascii="宋体" w:hAnsi="宋体" w:eastAsia="宋体" w:cs="宋体"/>
          <w:b/>
          <w:bCs/>
          <w:color w:val="FF0000"/>
          <w:kern w:val="2"/>
          <w:sz w:val="24"/>
          <w:szCs w:val="24"/>
          <w:highlight w:val="none"/>
          <w:lang w:val="en-US" w:eastAsia="zh-CN"/>
        </w:rPr>
        <w:t>5</w:t>
      </w:r>
      <w:r>
        <w:rPr>
          <w:rFonts w:hint="eastAsia" w:ascii="宋体" w:hAnsi="宋体" w:eastAsia="宋体" w:cs="宋体"/>
          <w:b/>
          <w:bCs/>
          <w:color w:val="FF0000"/>
          <w:kern w:val="2"/>
          <w:sz w:val="24"/>
          <w:szCs w:val="24"/>
          <w:highlight w:val="none"/>
        </w:rPr>
        <w:t>.5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kern w:val="2"/>
          <w:sz w:val="24"/>
          <w:szCs w:val="24"/>
          <w:highlight w:val="none"/>
          <w:lang w:val="en-US" w:eastAsia="zh-CN"/>
        </w:rPr>
        <w:t>在苏采云系统</w:t>
      </w:r>
      <w:r>
        <w:rPr>
          <w:rFonts w:hint="eastAsia" w:ascii="宋体" w:hAnsi="宋体" w:eastAsia="宋体" w:cs="宋体"/>
          <w:b/>
          <w:bCs/>
          <w:color w:val="FF0000"/>
          <w:kern w:val="2"/>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kern w:val="2"/>
          <w:sz w:val="24"/>
          <w:szCs w:val="24"/>
          <w:highlight w:val="none"/>
        </w:rPr>
        <w:t>和招标文件规定的，供应商提供的相关产品视为不符合本国产品标准。</w:t>
      </w:r>
    </w:p>
    <w:p w14:paraId="33F87CFC">
      <w:pPr>
        <w:pBdr>
          <w:top w:val="none" w:color="000000" w:sz="0" w:space="0"/>
          <w:left w:val="none" w:color="000000" w:sz="0" w:space="0"/>
          <w:bottom w:val="none" w:color="000000" w:sz="0" w:space="0"/>
          <w:right w:val="none" w:color="000000" w:sz="0" w:space="0"/>
        </w:pBdr>
        <w:spacing w:line="360" w:lineRule="auto"/>
        <w:ind w:firstLine="480"/>
        <w:rPr>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278799A">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t>四、评分标准</w:t>
      </w:r>
    </w:p>
    <w:p w14:paraId="0473285B">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t>本项目评分总分值为</w:t>
      </w:r>
      <w:r>
        <w:rPr>
          <w:rFonts w:cs="Courier New" w:asciiTheme="minorEastAsia" w:hAnsiTheme="minorEastAsia" w:eastAsiaTheme="minorEastAsia"/>
          <w:b/>
          <w:bCs/>
          <w:highlight w:val="none"/>
        </w:rPr>
        <w:t>100</w:t>
      </w:r>
      <w:r>
        <w:rPr>
          <w:rFonts w:hint="eastAsia" w:cs="Courier New" w:asciiTheme="minorEastAsia" w:hAnsiTheme="minorEastAsia" w:eastAsiaTheme="minorEastAsia"/>
          <w:b/>
          <w:bCs/>
          <w:highlight w:val="none"/>
        </w:rPr>
        <w:t>分。</w:t>
      </w:r>
    </w:p>
    <w:tbl>
      <w:tblPr>
        <w:tblStyle w:val="48"/>
        <w:tblpPr w:leftFromText="180" w:rightFromText="180" w:vertAnchor="text" w:horzAnchor="page" w:tblpX="1054" w:tblpY="615"/>
        <w:tblOverlap w:val="never"/>
        <w:tblW w:w="10007" w:type="dxa"/>
        <w:tblInd w:w="0" w:type="dxa"/>
        <w:tblLayout w:type="fixed"/>
        <w:tblCellMar>
          <w:top w:w="0" w:type="dxa"/>
          <w:left w:w="108" w:type="dxa"/>
          <w:bottom w:w="0" w:type="dxa"/>
          <w:right w:w="108" w:type="dxa"/>
        </w:tblCellMar>
      </w:tblPr>
      <w:tblGrid>
        <w:gridCol w:w="758"/>
        <w:gridCol w:w="993"/>
        <w:gridCol w:w="987"/>
        <w:gridCol w:w="6611"/>
        <w:gridCol w:w="658"/>
      </w:tblGrid>
      <w:tr w14:paraId="0DEAC8C1">
        <w:tblPrEx>
          <w:tblCellMar>
            <w:top w:w="0" w:type="dxa"/>
            <w:left w:w="108" w:type="dxa"/>
            <w:bottom w:w="0" w:type="dxa"/>
            <w:right w:w="108" w:type="dxa"/>
          </w:tblCellMar>
        </w:tblPrEx>
        <w:trPr>
          <w:trHeight w:val="90" w:hRule="atLeast"/>
          <w:tblHeader/>
        </w:trPr>
        <w:tc>
          <w:tcPr>
            <w:tcW w:w="758" w:type="dxa"/>
            <w:tcBorders>
              <w:top w:val="single" w:color="auto" w:sz="4" w:space="0"/>
              <w:left w:val="single" w:color="auto" w:sz="4" w:space="0"/>
              <w:bottom w:val="single" w:color="auto" w:sz="4" w:space="0"/>
              <w:right w:val="single" w:color="auto" w:sz="4" w:space="0"/>
            </w:tcBorders>
            <w:vAlign w:val="center"/>
          </w:tcPr>
          <w:p w14:paraId="2F840F63">
            <w:pPr>
              <w:spacing w:line="360" w:lineRule="auto"/>
              <w:ind w:left="-40"/>
              <w:jc w:val="center"/>
              <w:rPr>
                <w:rFonts w:ascii="宋体" w:hAnsi="宋体" w:cs="宋体"/>
                <w:kern w:val="2"/>
                <w:sz w:val="24"/>
                <w:szCs w:val="24"/>
                <w:highlight w:val="none"/>
              </w:rPr>
            </w:pPr>
            <w:r>
              <w:rPr>
                <w:rFonts w:hint="eastAsia" w:ascii="宋体" w:hAnsi="宋体" w:cs="宋体"/>
                <w:kern w:val="2"/>
                <w:sz w:val="24"/>
                <w:szCs w:val="24"/>
                <w:highlight w:val="none"/>
              </w:rPr>
              <w:t>序号</w:t>
            </w:r>
          </w:p>
        </w:tc>
        <w:tc>
          <w:tcPr>
            <w:tcW w:w="993" w:type="dxa"/>
            <w:tcBorders>
              <w:top w:val="single" w:color="auto" w:sz="4" w:space="0"/>
              <w:left w:val="nil"/>
              <w:bottom w:val="single" w:color="auto" w:sz="4" w:space="0"/>
              <w:right w:val="single" w:color="auto" w:sz="4" w:space="0"/>
            </w:tcBorders>
            <w:vAlign w:val="center"/>
          </w:tcPr>
          <w:p w14:paraId="2420235E">
            <w:pPr>
              <w:spacing w:line="360" w:lineRule="auto"/>
              <w:ind w:left="-40"/>
              <w:jc w:val="center"/>
              <w:rPr>
                <w:rFonts w:ascii="宋体" w:hAnsi="宋体" w:cs="宋体"/>
                <w:kern w:val="2"/>
                <w:sz w:val="24"/>
                <w:szCs w:val="24"/>
                <w:highlight w:val="none"/>
              </w:rPr>
            </w:pPr>
            <w:r>
              <w:rPr>
                <w:rFonts w:hint="eastAsia" w:ascii="宋体" w:hAnsi="宋体" w:cs="宋体"/>
                <w:kern w:val="2"/>
                <w:sz w:val="24"/>
                <w:szCs w:val="24"/>
                <w:highlight w:val="none"/>
              </w:rPr>
              <w:t>评审项目</w:t>
            </w:r>
          </w:p>
        </w:tc>
        <w:tc>
          <w:tcPr>
            <w:tcW w:w="987" w:type="dxa"/>
            <w:tcBorders>
              <w:top w:val="single" w:color="auto" w:sz="4" w:space="0"/>
              <w:left w:val="nil"/>
              <w:bottom w:val="single" w:color="auto" w:sz="4" w:space="0"/>
              <w:right w:val="single" w:color="auto" w:sz="4" w:space="0"/>
            </w:tcBorders>
            <w:vAlign w:val="center"/>
          </w:tcPr>
          <w:p w14:paraId="5492253C">
            <w:pPr>
              <w:adjustRightInd w:val="0"/>
              <w:snapToGrid w:val="0"/>
              <w:spacing w:line="440" w:lineRule="exact"/>
              <w:jc w:val="center"/>
              <w:rPr>
                <w:rFonts w:ascii="宋体" w:hAnsi="宋体" w:cs="宋体"/>
                <w:kern w:val="2"/>
                <w:sz w:val="24"/>
                <w:szCs w:val="21"/>
                <w:highlight w:val="none"/>
              </w:rPr>
            </w:pPr>
            <w:r>
              <w:rPr>
                <w:rFonts w:hint="eastAsia" w:ascii="宋体" w:hAnsi="宋体" w:cs="宋体"/>
                <w:kern w:val="2"/>
                <w:sz w:val="24"/>
                <w:szCs w:val="21"/>
                <w:highlight w:val="none"/>
              </w:rPr>
              <w:t>评审</w:t>
            </w:r>
          </w:p>
          <w:p w14:paraId="40BB5003">
            <w:pPr>
              <w:spacing w:line="360" w:lineRule="auto"/>
              <w:ind w:left="-40"/>
              <w:jc w:val="center"/>
              <w:rPr>
                <w:rFonts w:ascii="宋体" w:hAnsi="宋体" w:cs="宋体"/>
                <w:kern w:val="2"/>
                <w:sz w:val="24"/>
                <w:szCs w:val="24"/>
                <w:highlight w:val="none"/>
              </w:rPr>
            </w:pPr>
            <w:r>
              <w:rPr>
                <w:rFonts w:hint="eastAsia" w:ascii="宋体" w:hAnsi="宋体" w:cs="宋体"/>
                <w:kern w:val="2"/>
                <w:sz w:val="24"/>
                <w:szCs w:val="21"/>
                <w:highlight w:val="none"/>
              </w:rPr>
              <w:t>因素</w:t>
            </w:r>
          </w:p>
        </w:tc>
        <w:tc>
          <w:tcPr>
            <w:tcW w:w="6611" w:type="dxa"/>
            <w:tcBorders>
              <w:top w:val="single" w:color="auto" w:sz="4" w:space="0"/>
              <w:left w:val="nil"/>
              <w:bottom w:val="single" w:color="auto" w:sz="4" w:space="0"/>
              <w:right w:val="single" w:color="auto" w:sz="4" w:space="0"/>
            </w:tcBorders>
            <w:vAlign w:val="center"/>
          </w:tcPr>
          <w:p w14:paraId="319EFA47">
            <w:pPr>
              <w:spacing w:line="360" w:lineRule="auto"/>
              <w:ind w:left="-40"/>
              <w:jc w:val="center"/>
              <w:rPr>
                <w:rFonts w:ascii="宋体" w:hAnsi="宋体" w:cs="宋体"/>
                <w:kern w:val="2"/>
                <w:sz w:val="24"/>
                <w:szCs w:val="24"/>
                <w:highlight w:val="none"/>
              </w:rPr>
            </w:pPr>
            <w:r>
              <w:rPr>
                <w:rFonts w:hint="eastAsia" w:ascii="宋体" w:hAnsi="宋体" w:cs="宋体"/>
                <w:kern w:val="2"/>
                <w:sz w:val="24"/>
                <w:szCs w:val="24"/>
                <w:highlight w:val="none"/>
              </w:rPr>
              <w:t>评审因素</w:t>
            </w:r>
          </w:p>
        </w:tc>
        <w:tc>
          <w:tcPr>
            <w:tcW w:w="658" w:type="dxa"/>
            <w:tcBorders>
              <w:top w:val="single" w:color="auto" w:sz="4" w:space="0"/>
              <w:left w:val="nil"/>
              <w:bottom w:val="single" w:color="auto" w:sz="4" w:space="0"/>
              <w:right w:val="single" w:color="auto" w:sz="4" w:space="0"/>
            </w:tcBorders>
            <w:vAlign w:val="center"/>
          </w:tcPr>
          <w:p w14:paraId="5A98806C">
            <w:pPr>
              <w:spacing w:line="360" w:lineRule="auto"/>
              <w:ind w:left="-40"/>
              <w:jc w:val="center"/>
              <w:rPr>
                <w:rFonts w:ascii="宋体" w:hAnsi="宋体" w:cs="宋体"/>
                <w:kern w:val="2"/>
                <w:sz w:val="24"/>
                <w:szCs w:val="24"/>
                <w:highlight w:val="none"/>
              </w:rPr>
            </w:pPr>
            <w:r>
              <w:rPr>
                <w:rFonts w:hint="eastAsia" w:ascii="宋体" w:hAnsi="宋体" w:cs="宋体"/>
                <w:kern w:val="2"/>
                <w:sz w:val="24"/>
                <w:szCs w:val="24"/>
                <w:highlight w:val="none"/>
              </w:rPr>
              <w:t>分值</w:t>
            </w:r>
          </w:p>
        </w:tc>
      </w:tr>
      <w:tr w14:paraId="738DC8D7">
        <w:tblPrEx>
          <w:tblCellMar>
            <w:top w:w="0" w:type="dxa"/>
            <w:left w:w="108" w:type="dxa"/>
            <w:bottom w:w="0" w:type="dxa"/>
            <w:right w:w="108" w:type="dxa"/>
          </w:tblCellMar>
        </w:tblPrEx>
        <w:trPr>
          <w:trHeight w:val="1875" w:hRule="atLeast"/>
        </w:trPr>
        <w:tc>
          <w:tcPr>
            <w:tcW w:w="758" w:type="dxa"/>
            <w:tcBorders>
              <w:top w:val="single" w:color="auto" w:sz="4" w:space="0"/>
              <w:left w:val="single" w:color="auto" w:sz="4" w:space="0"/>
              <w:bottom w:val="single" w:color="auto" w:sz="4" w:space="0"/>
              <w:right w:val="single" w:color="auto" w:sz="4" w:space="0"/>
            </w:tcBorders>
            <w:vAlign w:val="center"/>
          </w:tcPr>
          <w:p w14:paraId="1856051F">
            <w:pPr>
              <w:spacing w:line="420" w:lineRule="exact"/>
              <w:jc w:val="center"/>
              <w:rPr>
                <w:rFonts w:ascii="宋体" w:hAnsi="宋体" w:cs="宋体"/>
                <w:kern w:val="2"/>
                <w:sz w:val="24"/>
                <w:szCs w:val="24"/>
                <w:highlight w:val="none"/>
              </w:rPr>
            </w:pPr>
            <w:r>
              <w:rPr>
                <w:rFonts w:hint="eastAsia" w:ascii="宋体" w:hAnsi="宋体" w:cs="宋体"/>
                <w:kern w:val="2"/>
                <w:sz w:val="24"/>
                <w:szCs w:val="24"/>
                <w:highlight w:val="none"/>
              </w:rPr>
              <w:t>1</w:t>
            </w:r>
          </w:p>
        </w:tc>
        <w:tc>
          <w:tcPr>
            <w:tcW w:w="993" w:type="dxa"/>
            <w:tcBorders>
              <w:top w:val="single" w:color="auto" w:sz="4" w:space="0"/>
              <w:left w:val="nil"/>
              <w:bottom w:val="single" w:color="auto" w:sz="4" w:space="0"/>
              <w:right w:val="single" w:color="auto" w:sz="4" w:space="0"/>
            </w:tcBorders>
            <w:vAlign w:val="center"/>
          </w:tcPr>
          <w:p w14:paraId="20187954">
            <w:pPr>
              <w:spacing w:line="420" w:lineRule="exact"/>
              <w:jc w:val="center"/>
              <w:rPr>
                <w:rFonts w:ascii="宋体" w:hAnsi="宋体" w:cs="宋体"/>
                <w:kern w:val="2"/>
                <w:sz w:val="24"/>
                <w:szCs w:val="24"/>
                <w:highlight w:val="none"/>
              </w:rPr>
            </w:pPr>
            <w:r>
              <w:rPr>
                <w:rFonts w:hint="eastAsia" w:ascii="宋体" w:hAnsi="宋体" w:cs="宋体"/>
                <w:kern w:val="2"/>
                <w:sz w:val="24"/>
                <w:szCs w:val="21"/>
                <w:highlight w:val="none"/>
              </w:rPr>
              <w:t>价格部分（</w:t>
            </w:r>
            <w:r>
              <w:rPr>
                <w:rFonts w:hint="eastAsia" w:ascii="宋体" w:hAnsi="宋体" w:cs="宋体"/>
                <w:kern w:val="2"/>
                <w:sz w:val="24"/>
                <w:szCs w:val="21"/>
                <w:highlight w:val="none"/>
                <w:lang w:val="en-US" w:eastAsia="zh-CN"/>
              </w:rPr>
              <w:t>40</w:t>
            </w:r>
            <w:r>
              <w:rPr>
                <w:rFonts w:hint="eastAsia" w:ascii="宋体" w:hAnsi="宋体" w:cs="宋体"/>
                <w:kern w:val="2"/>
                <w:sz w:val="24"/>
                <w:szCs w:val="21"/>
                <w:highlight w:val="none"/>
              </w:rPr>
              <w:t>）</w:t>
            </w:r>
          </w:p>
        </w:tc>
        <w:tc>
          <w:tcPr>
            <w:tcW w:w="987" w:type="dxa"/>
            <w:tcBorders>
              <w:top w:val="single" w:color="auto" w:sz="4" w:space="0"/>
              <w:left w:val="nil"/>
              <w:bottom w:val="single" w:color="auto" w:sz="4" w:space="0"/>
              <w:right w:val="single" w:color="auto" w:sz="4" w:space="0"/>
            </w:tcBorders>
            <w:vAlign w:val="center"/>
          </w:tcPr>
          <w:p w14:paraId="47D9CB9C">
            <w:pPr>
              <w:spacing w:line="420" w:lineRule="exact"/>
              <w:jc w:val="center"/>
              <w:rPr>
                <w:rFonts w:ascii="宋体" w:hAnsi="宋体" w:cs="宋体"/>
                <w:kern w:val="2"/>
                <w:sz w:val="24"/>
                <w:szCs w:val="24"/>
                <w:highlight w:val="none"/>
              </w:rPr>
            </w:pPr>
            <w:r>
              <w:rPr>
                <w:rFonts w:hint="eastAsia" w:ascii="宋体" w:hAnsi="宋体" w:cs="宋体"/>
                <w:kern w:val="2"/>
                <w:sz w:val="24"/>
                <w:szCs w:val="24"/>
                <w:highlight w:val="none"/>
              </w:rPr>
              <w:t>投标报价</w:t>
            </w:r>
          </w:p>
        </w:tc>
        <w:tc>
          <w:tcPr>
            <w:tcW w:w="6611" w:type="dxa"/>
            <w:tcBorders>
              <w:top w:val="single" w:color="auto" w:sz="4" w:space="0"/>
              <w:left w:val="nil"/>
              <w:bottom w:val="single" w:color="auto" w:sz="4" w:space="0"/>
              <w:right w:val="single" w:color="auto" w:sz="4" w:space="0"/>
            </w:tcBorders>
            <w:vAlign w:val="center"/>
          </w:tcPr>
          <w:p w14:paraId="0387397E">
            <w:pPr>
              <w:spacing w:line="420" w:lineRule="exact"/>
              <w:jc w:val="left"/>
              <w:rPr>
                <w:rFonts w:ascii="宋体" w:hAnsi="宋体" w:cs="宋体"/>
                <w:kern w:val="2"/>
                <w:sz w:val="24"/>
                <w:szCs w:val="24"/>
                <w:highlight w:val="none"/>
              </w:rPr>
            </w:pPr>
            <w:r>
              <w:rPr>
                <w:rFonts w:hint="eastAsia" w:ascii="宋体" w:hAnsi="宋体" w:eastAsia="宋体" w:cs="宋体"/>
                <w:kern w:val="2"/>
                <w:sz w:val="24"/>
                <w:szCs w:val="24"/>
                <w:highlight w:val="none"/>
                <w:lang w:val="en-US" w:eastAsia="zh-CN"/>
              </w:rPr>
              <w:t>价格分采用低价优先法计算，即满足招标文件要求且最后报价最低的供应商的价格为评标基准价，其价格分为满分。其他供应商的价格分统一按照下列公式计算：投标报价得分＝（评标基准价/投标报价）×</w:t>
            </w:r>
            <w:r>
              <w:rPr>
                <w:rFonts w:hint="eastAsia" w:ascii="宋体" w:hAnsi="宋体" w:cs="宋体"/>
                <w:kern w:val="2"/>
                <w:sz w:val="24"/>
                <w:szCs w:val="24"/>
                <w:highlight w:val="none"/>
                <w:lang w:val="en-US" w:eastAsia="zh-CN"/>
              </w:rPr>
              <w:t>4</w:t>
            </w:r>
            <w:r>
              <w:rPr>
                <w:rFonts w:hint="eastAsia" w:ascii="宋体" w:hAnsi="宋体" w:eastAsia="宋体" w:cs="宋体"/>
                <w:kern w:val="2"/>
                <w:sz w:val="24"/>
                <w:szCs w:val="24"/>
                <w:highlight w:val="none"/>
                <w:lang w:val="en-US" w:eastAsia="zh-CN"/>
              </w:rPr>
              <w:t>0（四舍五入取至小数点后两位）。</w:t>
            </w:r>
          </w:p>
        </w:tc>
        <w:tc>
          <w:tcPr>
            <w:tcW w:w="658" w:type="dxa"/>
            <w:tcBorders>
              <w:top w:val="single" w:color="auto" w:sz="4" w:space="0"/>
              <w:left w:val="nil"/>
              <w:bottom w:val="single" w:color="auto" w:sz="4" w:space="0"/>
              <w:right w:val="single" w:color="auto" w:sz="4" w:space="0"/>
            </w:tcBorders>
            <w:vAlign w:val="center"/>
          </w:tcPr>
          <w:p w14:paraId="49FCAA24">
            <w:pPr>
              <w:spacing w:line="360" w:lineRule="auto"/>
              <w:jc w:val="center"/>
              <w:rPr>
                <w:rFonts w:hint="default" w:ascii="宋体" w:hAnsi="宋体" w:cs="宋体"/>
                <w:kern w:val="2"/>
                <w:sz w:val="24"/>
                <w:szCs w:val="24"/>
                <w:highlight w:val="none"/>
                <w:lang w:val="en-US"/>
              </w:rPr>
            </w:pPr>
            <w:r>
              <w:rPr>
                <w:rFonts w:hint="eastAsia" w:ascii="宋体" w:hAnsi="宋体" w:cs="宋体"/>
                <w:kern w:val="2"/>
                <w:sz w:val="24"/>
                <w:szCs w:val="24"/>
                <w:highlight w:val="none"/>
                <w:lang w:val="en-US" w:eastAsia="zh-CN"/>
              </w:rPr>
              <w:t>40</w:t>
            </w:r>
          </w:p>
        </w:tc>
      </w:tr>
      <w:tr w14:paraId="4E6E3801">
        <w:tblPrEx>
          <w:tblCellMar>
            <w:top w:w="0" w:type="dxa"/>
            <w:left w:w="108" w:type="dxa"/>
            <w:bottom w:w="0" w:type="dxa"/>
            <w:right w:w="108" w:type="dxa"/>
          </w:tblCellMar>
        </w:tblPrEx>
        <w:trPr>
          <w:trHeight w:val="2202" w:hRule="atLeast"/>
        </w:trPr>
        <w:tc>
          <w:tcPr>
            <w:tcW w:w="758" w:type="dxa"/>
            <w:vMerge w:val="restart"/>
            <w:tcBorders>
              <w:top w:val="single" w:color="auto" w:sz="4" w:space="0"/>
              <w:left w:val="single" w:color="auto" w:sz="4" w:space="0"/>
              <w:right w:val="single" w:color="auto" w:sz="4" w:space="0"/>
            </w:tcBorders>
            <w:vAlign w:val="center"/>
          </w:tcPr>
          <w:p w14:paraId="19DB4C43">
            <w:pPr>
              <w:spacing w:line="360" w:lineRule="auto"/>
              <w:jc w:val="center"/>
              <w:rPr>
                <w:rFonts w:ascii="宋体" w:hAnsi="宋体" w:cs="宋体"/>
                <w:kern w:val="2"/>
                <w:sz w:val="24"/>
                <w:szCs w:val="24"/>
                <w:highlight w:val="none"/>
              </w:rPr>
            </w:pPr>
          </w:p>
          <w:p w14:paraId="41ADB086">
            <w:pPr>
              <w:spacing w:line="360" w:lineRule="auto"/>
              <w:jc w:val="center"/>
              <w:rPr>
                <w:rFonts w:ascii="宋体" w:hAnsi="宋体" w:cs="宋体"/>
                <w:kern w:val="2"/>
                <w:sz w:val="24"/>
                <w:szCs w:val="24"/>
                <w:highlight w:val="none"/>
              </w:rPr>
            </w:pPr>
          </w:p>
          <w:p w14:paraId="724FAA4C">
            <w:pPr>
              <w:spacing w:line="360" w:lineRule="auto"/>
              <w:jc w:val="center"/>
              <w:rPr>
                <w:rFonts w:ascii="宋体" w:hAnsi="宋体" w:cs="宋体"/>
                <w:kern w:val="2"/>
                <w:sz w:val="24"/>
                <w:szCs w:val="24"/>
                <w:highlight w:val="none"/>
              </w:rPr>
            </w:pPr>
          </w:p>
          <w:p w14:paraId="3C9EF74A">
            <w:pPr>
              <w:spacing w:line="360" w:lineRule="auto"/>
              <w:jc w:val="center"/>
              <w:rPr>
                <w:rFonts w:ascii="宋体" w:hAnsi="宋体" w:cs="宋体"/>
                <w:kern w:val="2"/>
                <w:sz w:val="24"/>
                <w:szCs w:val="24"/>
                <w:highlight w:val="none"/>
              </w:rPr>
            </w:pPr>
          </w:p>
          <w:p w14:paraId="4709BA38">
            <w:pPr>
              <w:spacing w:line="360" w:lineRule="auto"/>
              <w:jc w:val="center"/>
              <w:rPr>
                <w:rFonts w:ascii="宋体" w:hAnsi="宋体" w:cs="宋体"/>
                <w:kern w:val="2"/>
                <w:sz w:val="24"/>
                <w:szCs w:val="24"/>
                <w:highlight w:val="none"/>
              </w:rPr>
            </w:pPr>
          </w:p>
          <w:p w14:paraId="32967296">
            <w:pPr>
              <w:spacing w:line="360" w:lineRule="auto"/>
              <w:jc w:val="center"/>
              <w:rPr>
                <w:rFonts w:ascii="宋体" w:hAnsi="宋体" w:cs="宋体"/>
                <w:kern w:val="2"/>
                <w:sz w:val="24"/>
                <w:szCs w:val="24"/>
                <w:highlight w:val="none"/>
              </w:rPr>
            </w:pPr>
          </w:p>
          <w:p w14:paraId="21C8A4DE">
            <w:pPr>
              <w:spacing w:line="360" w:lineRule="auto"/>
              <w:jc w:val="center"/>
              <w:rPr>
                <w:rFonts w:ascii="宋体" w:hAnsi="宋体" w:cs="宋体"/>
                <w:kern w:val="2"/>
                <w:sz w:val="24"/>
                <w:szCs w:val="24"/>
                <w:highlight w:val="none"/>
              </w:rPr>
            </w:pPr>
          </w:p>
          <w:p w14:paraId="1A974DF2">
            <w:pPr>
              <w:spacing w:line="360" w:lineRule="auto"/>
              <w:jc w:val="center"/>
              <w:rPr>
                <w:rFonts w:ascii="宋体" w:hAnsi="宋体" w:cs="宋体"/>
                <w:kern w:val="2"/>
                <w:sz w:val="24"/>
                <w:szCs w:val="24"/>
                <w:highlight w:val="none"/>
              </w:rPr>
            </w:pPr>
          </w:p>
          <w:p w14:paraId="3944032F">
            <w:pPr>
              <w:spacing w:line="360" w:lineRule="auto"/>
              <w:jc w:val="center"/>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2</w:t>
            </w:r>
          </w:p>
        </w:tc>
        <w:tc>
          <w:tcPr>
            <w:tcW w:w="993" w:type="dxa"/>
            <w:vMerge w:val="restart"/>
            <w:tcBorders>
              <w:top w:val="single" w:color="auto" w:sz="4" w:space="0"/>
              <w:left w:val="single" w:color="auto" w:sz="4" w:space="0"/>
              <w:right w:val="single" w:color="auto" w:sz="4" w:space="0"/>
            </w:tcBorders>
            <w:vAlign w:val="center"/>
          </w:tcPr>
          <w:p w14:paraId="72BC084F">
            <w:pPr>
              <w:spacing w:line="360" w:lineRule="auto"/>
              <w:rPr>
                <w:rFonts w:ascii="宋体" w:hAnsi="宋体" w:cs="宋体"/>
                <w:kern w:val="2"/>
                <w:sz w:val="24"/>
                <w:szCs w:val="24"/>
                <w:highlight w:val="none"/>
              </w:rPr>
            </w:pPr>
            <w:r>
              <w:rPr>
                <w:rFonts w:hint="eastAsia" w:ascii="宋体" w:hAnsi="宋体" w:cs="宋体"/>
                <w:kern w:val="2"/>
                <w:sz w:val="24"/>
                <w:szCs w:val="24"/>
                <w:highlight w:val="none"/>
              </w:rPr>
              <w:t>综合实力</w:t>
            </w:r>
            <w:r>
              <w:rPr>
                <w:rFonts w:hint="eastAsia" w:ascii="宋体" w:hAnsi="宋体" w:cs="宋体"/>
                <w:kern w:val="2"/>
                <w:sz w:val="24"/>
                <w:szCs w:val="21"/>
                <w:highlight w:val="none"/>
              </w:rPr>
              <w:t>（</w:t>
            </w:r>
            <w:r>
              <w:rPr>
                <w:rFonts w:hint="eastAsia" w:ascii="宋体" w:hAnsi="宋体" w:cs="宋体"/>
                <w:kern w:val="2"/>
                <w:sz w:val="24"/>
                <w:szCs w:val="21"/>
                <w:highlight w:val="none"/>
                <w:lang w:val="en-US" w:eastAsia="zh-CN"/>
              </w:rPr>
              <w:t>8</w:t>
            </w:r>
            <w:r>
              <w:rPr>
                <w:rFonts w:hint="eastAsia" w:ascii="宋体" w:hAnsi="宋体" w:cs="宋体"/>
                <w:kern w:val="2"/>
                <w:sz w:val="24"/>
                <w:szCs w:val="21"/>
                <w:highlight w:val="none"/>
              </w:rPr>
              <w:t>）</w:t>
            </w:r>
          </w:p>
        </w:tc>
        <w:tc>
          <w:tcPr>
            <w:tcW w:w="987" w:type="dxa"/>
            <w:tcBorders>
              <w:top w:val="single" w:color="auto" w:sz="4" w:space="0"/>
              <w:left w:val="single" w:color="auto" w:sz="4" w:space="0"/>
              <w:bottom w:val="single" w:color="auto" w:sz="4" w:space="0"/>
              <w:right w:val="single" w:color="auto" w:sz="4" w:space="0"/>
            </w:tcBorders>
            <w:vAlign w:val="center"/>
          </w:tcPr>
          <w:p w14:paraId="6AF3D27F">
            <w:pPr>
              <w:spacing w:line="360" w:lineRule="auto"/>
              <w:jc w:val="center"/>
              <w:rPr>
                <w:rFonts w:ascii="宋体" w:hAnsi="宋体" w:cs="宋体"/>
                <w:kern w:val="2"/>
                <w:sz w:val="24"/>
                <w:szCs w:val="24"/>
                <w:highlight w:val="none"/>
              </w:rPr>
            </w:pPr>
            <w:r>
              <w:rPr>
                <w:rFonts w:hint="eastAsia" w:ascii="宋体" w:hAnsi="宋体" w:cs="宋体"/>
                <w:kern w:val="2"/>
                <w:sz w:val="24"/>
                <w:szCs w:val="24"/>
                <w:highlight w:val="none"/>
              </w:rPr>
              <w:t>类似业绩</w:t>
            </w:r>
          </w:p>
        </w:tc>
        <w:tc>
          <w:tcPr>
            <w:tcW w:w="6611" w:type="dxa"/>
            <w:tcBorders>
              <w:top w:val="single" w:color="auto" w:sz="4" w:space="0"/>
              <w:left w:val="nil"/>
              <w:bottom w:val="single" w:color="auto" w:sz="4" w:space="0"/>
              <w:right w:val="single" w:color="auto" w:sz="4" w:space="0"/>
            </w:tcBorders>
            <w:vAlign w:val="center"/>
          </w:tcPr>
          <w:p w14:paraId="30B3A54B">
            <w:pPr>
              <w:spacing w:line="420" w:lineRule="exact"/>
              <w:jc w:val="left"/>
              <w:rPr>
                <w:rFonts w:ascii="宋体" w:hAnsi="宋体" w:cs="宋体"/>
                <w:kern w:val="2"/>
                <w:sz w:val="24"/>
                <w:szCs w:val="24"/>
                <w:highlight w:val="none"/>
              </w:rPr>
            </w:pPr>
            <w:r>
              <w:rPr>
                <w:rFonts w:hint="eastAsia" w:ascii="宋体" w:hAnsi="宋体" w:cs="宋体"/>
                <w:kern w:val="2"/>
                <w:sz w:val="24"/>
                <w:szCs w:val="24"/>
                <w:highlight w:val="none"/>
              </w:rPr>
              <w:t>投标供应商自20</w:t>
            </w:r>
            <w:r>
              <w:rPr>
                <w:rFonts w:hint="eastAsia" w:ascii="宋体" w:hAnsi="宋体" w:cs="宋体"/>
                <w:kern w:val="2"/>
                <w:sz w:val="24"/>
                <w:szCs w:val="24"/>
                <w:highlight w:val="none"/>
                <w:lang w:val="en-US" w:eastAsia="zh-CN"/>
              </w:rPr>
              <w:t>23</w:t>
            </w:r>
            <w:r>
              <w:rPr>
                <w:rFonts w:hint="eastAsia" w:ascii="宋体" w:hAnsi="宋体" w:cs="宋体"/>
                <w:kern w:val="2"/>
                <w:sz w:val="24"/>
                <w:szCs w:val="24"/>
                <w:highlight w:val="none"/>
              </w:rPr>
              <w:t>年1月1日以来（以合同签订时间为准），承担过类似于本项目业绩（含餐饮油烟在线监控设备运维）的，每提供一份得</w:t>
            </w:r>
            <w:r>
              <w:rPr>
                <w:rFonts w:hint="eastAsia" w:ascii="宋体" w:hAnsi="宋体" w:cs="宋体"/>
                <w:kern w:val="2"/>
                <w:sz w:val="24"/>
                <w:szCs w:val="24"/>
                <w:highlight w:val="none"/>
                <w:lang w:val="en-US" w:eastAsia="zh-CN"/>
              </w:rPr>
              <w:t>2</w:t>
            </w:r>
            <w:r>
              <w:rPr>
                <w:rFonts w:hint="eastAsia" w:ascii="宋体" w:hAnsi="宋体" w:cs="宋体"/>
                <w:kern w:val="2"/>
                <w:sz w:val="24"/>
                <w:szCs w:val="24"/>
                <w:highlight w:val="none"/>
              </w:rPr>
              <w:t>分，本项最高得</w:t>
            </w:r>
            <w:r>
              <w:rPr>
                <w:rFonts w:hint="eastAsia" w:ascii="宋体" w:hAnsi="宋体" w:cs="宋体"/>
                <w:color w:val="auto"/>
                <w:kern w:val="2"/>
                <w:sz w:val="24"/>
                <w:szCs w:val="24"/>
                <w:highlight w:val="none"/>
                <w:lang w:val="en-US" w:eastAsia="zh-CN"/>
              </w:rPr>
              <w:t>4</w:t>
            </w:r>
            <w:r>
              <w:rPr>
                <w:rFonts w:hint="eastAsia" w:ascii="宋体" w:hAnsi="宋体" w:cs="宋体"/>
                <w:kern w:val="2"/>
                <w:sz w:val="24"/>
                <w:szCs w:val="24"/>
                <w:highlight w:val="none"/>
              </w:rPr>
              <w:t>分。</w:t>
            </w:r>
          </w:p>
          <w:p w14:paraId="299253F9">
            <w:pPr>
              <w:spacing w:line="420" w:lineRule="exact"/>
              <w:jc w:val="left"/>
              <w:rPr>
                <w:rFonts w:ascii="Times New Roman" w:hAnsi="Times New Roman"/>
                <w:kern w:val="2"/>
                <w:szCs w:val="21"/>
                <w:highlight w:val="none"/>
              </w:rPr>
            </w:pPr>
            <w:r>
              <w:rPr>
                <w:rFonts w:hint="eastAsia" w:ascii="宋体" w:hAnsi="宋体" w:cs="宋体"/>
                <w:kern w:val="2"/>
                <w:sz w:val="24"/>
                <w:szCs w:val="24"/>
                <w:highlight w:val="none"/>
              </w:rPr>
              <w:t>注：</w:t>
            </w:r>
            <w:r>
              <w:rPr>
                <w:rFonts w:hint="eastAsia" w:ascii="Calibri" w:hAnsi="Calibri"/>
                <w:kern w:val="2"/>
                <w:sz w:val="24"/>
                <w:szCs w:val="24"/>
                <w:highlight w:val="none"/>
              </w:rPr>
              <w:t>投标人</w:t>
            </w:r>
            <w:r>
              <w:rPr>
                <w:rFonts w:hint="eastAsia" w:ascii="宋体" w:hAnsi="宋体" w:cs="宋体"/>
                <w:kern w:val="2"/>
                <w:sz w:val="24"/>
                <w:szCs w:val="24"/>
                <w:highlight w:val="none"/>
              </w:rPr>
              <w:t>需提供的业绩合同</w:t>
            </w:r>
            <w:r>
              <w:rPr>
                <w:rFonts w:hint="eastAsia" w:ascii="宋体" w:hAnsi="宋体" w:cs="宋体"/>
                <w:kern w:val="2"/>
                <w:sz w:val="24"/>
                <w:szCs w:val="24"/>
                <w:highlight w:val="none"/>
                <w:lang w:val="en-US" w:eastAsia="zh-CN"/>
              </w:rPr>
              <w:t>原件扫描件</w:t>
            </w:r>
            <w:r>
              <w:rPr>
                <w:rFonts w:hint="eastAsia" w:ascii="宋体" w:hAnsi="宋体" w:cs="宋体"/>
                <w:kern w:val="2"/>
                <w:sz w:val="24"/>
                <w:szCs w:val="24"/>
                <w:highlight w:val="none"/>
              </w:rPr>
              <w:t>为准</w:t>
            </w:r>
            <w:r>
              <w:rPr>
                <w:rFonts w:hint="eastAsia" w:ascii="宋体" w:hAnsi="宋体" w:cs="宋体"/>
                <w:kern w:val="2"/>
                <w:sz w:val="24"/>
                <w:szCs w:val="24"/>
                <w:highlight w:val="none"/>
                <w:lang w:val="zh-CN"/>
              </w:rPr>
              <w:t>，未提供的不得分。</w:t>
            </w:r>
          </w:p>
        </w:tc>
        <w:tc>
          <w:tcPr>
            <w:tcW w:w="658" w:type="dxa"/>
            <w:tcBorders>
              <w:top w:val="single" w:color="auto" w:sz="4" w:space="0"/>
              <w:left w:val="nil"/>
              <w:bottom w:val="single" w:color="auto" w:sz="4" w:space="0"/>
              <w:right w:val="single" w:color="auto" w:sz="4" w:space="0"/>
            </w:tcBorders>
            <w:vAlign w:val="center"/>
          </w:tcPr>
          <w:p w14:paraId="48520672">
            <w:pPr>
              <w:spacing w:line="360" w:lineRule="auto"/>
              <w:jc w:val="center"/>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4</w:t>
            </w:r>
          </w:p>
        </w:tc>
      </w:tr>
      <w:tr w14:paraId="7C330E55">
        <w:tblPrEx>
          <w:tblCellMar>
            <w:top w:w="0" w:type="dxa"/>
            <w:left w:w="108" w:type="dxa"/>
            <w:bottom w:w="0" w:type="dxa"/>
            <w:right w:w="108" w:type="dxa"/>
          </w:tblCellMar>
        </w:tblPrEx>
        <w:trPr>
          <w:trHeight w:val="2202" w:hRule="atLeast"/>
        </w:trPr>
        <w:tc>
          <w:tcPr>
            <w:tcW w:w="758" w:type="dxa"/>
            <w:vMerge w:val="continue"/>
            <w:tcBorders>
              <w:left w:val="single" w:color="auto" w:sz="4" w:space="0"/>
              <w:right w:val="single" w:color="auto" w:sz="4" w:space="0"/>
            </w:tcBorders>
            <w:vAlign w:val="center"/>
          </w:tcPr>
          <w:p w14:paraId="4A8ED2EC">
            <w:pPr>
              <w:spacing w:line="360" w:lineRule="auto"/>
              <w:jc w:val="center"/>
              <w:rPr>
                <w:rFonts w:hint="eastAsia" w:ascii="宋体" w:hAnsi="宋体" w:cs="宋体"/>
                <w:kern w:val="2"/>
                <w:sz w:val="24"/>
                <w:szCs w:val="24"/>
                <w:highlight w:val="none"/>
                <w:lang w:val="en-US" w:eastAsia="zh-CN"/>
              </w:rPr>
            </w:pPr>
          </w:p>
        </w:tc>
        <w:tc>
          <w:tcPr>
            <w:tcW w:w="993" w:type="dxa"/>
            <w:vMerge w:val="continue"/>
            <w:tcBorders>
              <w:left w:val="single" w:color="auto" w:sz="4" w:space="0"/>
              <w:right w:val="single" w:color="auto" w:sz="4" w:space="0"/>
            </w:tcBorders>
            <w:vAlign w:val="center"/>
          </w:tcPr>
          <w:p w14:paraId="1C8A8DB6">
            <w:pPr>
              <w:spacing w:line="360" w:lineRule="auto"/>
              <w:rPr>
                <w:rFonts w:hint="eastAsia" w:ascii="宋体" w:hAnsi="宋体" w:cs="宋体"/>
                <w:kern w:val="2"/>
                <w:sz w:val="24"/>
                <w:szCs w:val="24"/>
                <w:highlight w:val="none"/>
              </w:rPr>
            </w:pPr>
          </w:p>
        </w:tc>
        <w:tc>
          <w:tcPr>
            <w:tcW w:w="987" w:type="dxa"/>
            <w:tcBorders>
              <w:top w:val="single" w:color="auto" w:sz="4" w:space="0"/>
              <w:left w:val="single" w:color="auto" w:sz="4" w:space="0"/>
              <w:bottom w:val="single" w:color="auto" w:sz="4" w:space="0"/>
              <w:right w:val="single" w:color="auto" w:sz="4" w:space="0"/>
            </w:tcBorders>
            <w:vAlign w:val="center"/>
          </w:tcPr>
          <w:p w14:paraId="22B062E3">
            <w:pPr>
              <w:spacing w:line="420" w:lineRule="exact"/>
              <w:jc w:val="left"/>
              <w:rPr>
                <w:rFonts w:hint="eastAsia" w:ascii="Calibri" w:hAnsi="Calibri"/>
                <w:kern w:val="2"/>
                <w:sz w:val="24"/>
                <w:szCs w:val="24"/>
                <w:highlight w:val="none"/>
              </w:rPr>
            </w:pPr>
            <w:r>
              <w:rPr>
                <w:rFonts w:hint="eastAsia"/>
                <w:kern w:val="2"/>
                <w:sz w:val="24"/>
                <w:szCs w:val="24"/>
                <w:highlight w:val="none"/>
                <w:lang w:val="en-US" w:eastAsia="zh-CN"/>
              </w:rPr>
              <w:t>项目负责人</w:t>
            </w:r>
          </w:p>
        </w:tc>
        <w:tc>
          <w:tcPr>
            <w:tcW w:w="6611" w:type="dxa"/>
            <w:tcBorders>
              <w:top w:val="single" w:color="auto" w:sz="4" w:space="0"/>
              <w:left w:val="nil"/>
              <w:bottom w:val="single" w:color="auto" w:sz="4" w:space="0"/>
              <w:right w:val="single" w:color="auto" w:sz="4" w:space="0"/>
            </w:tcBorders>
            <w:vAlign w:val="center"/>
          </w:tcPr>
          <w:p w14:paraId="05410E37">
            <w:pPr>
              <w:spacing w:line="420" w:lineRule="exact"/>
              <w:jc w:val="left"/>
              <w:rPr>
                <w:rFonts w:hint="eastAsia" w:ascii="Calibri" w:hAnsi="Calibri"/>
                <w:kern w:val="2"/>
                <w:sz w:val="24"/>
                <w:szCs w:val="24"/>
                <w:highlight w:val="none"/>
              </w:rPr>
            </w:pPr>
            <w:r>
              <w:rPr>
                <w:rFonts w:hint="eastAsia"/>
                <w:kern w:val="2"/>
                <w:sz w:val="24"/>
                <w:szCs w:val="24"/>
                <w:highlight w:val="none"/>
                <w:lang w:val="en-US" w:eastAsia="zh-CN"/>
              </w:rPr>
              <w:t>项目负责人具有生态环境工程相关专业</w:t>
            </w:r>
            <w:r>
              <w:rPr>
                <w:rFonts w:hint="eastAsia" w:ascii="Calibri" w:hAnsi="Calibri"/>
                <w:kern w:val="2"/>
                <w:sz w:val="24"/>
                <w:szCs w:val="24"/>
                <w:highlight w:val="none"/>
              </w:rPr>
              <w:t>高级</w:t>
            </w:r>
            <w:r>
              <w:rPr>
                <w:rFonts w:hint="eastAsia"/>
                <w:kern w:val="2"/>
                <w:sz w:val="24"/>
                <w:szCs w:val="24"/>
                <w:highlight w:val="none"/>
                <w:lang w:val="en-US" w:eastAsia="zh-CN"/>
              </w:rPr>
              <w:t>及以上</w:t>
            </w:r>
            <w:r>
              <w:rPr>
                <w:rFonts w:hint="eastAsia" w:ascii="Calibri" w:hAnsi="Calibri"/>
                <w:kern w:val="2"/>
                <w:sz w:val="24"/>
                <w:szCs w:val="24"/>
                <w:highlight w:val="none"/>
              </w:rPr>
              <w:t>职称工作人员得</w:t>
            </w:r>
            <w:r>
              <w:rPr>
                <w:rFonts w:hint="eastAsia" w:ascii="Calibri" w:hAnsi="Calibri"/>
                <w:kern w:val="2"/>
                <w:sz w:val="24"/>
                <w:szCs w:val="24"/>
                <w:highlight w:val="none"/>
                <w:lang w:val="en-US" w:eastAsia="zh-CN"/>
              </w:rPr>
              <w:t>2</w:t>
            </w:r>
            <w:r>
              <w:rPr>
                <w:rFonts w:hint="eastAsia" w:ascii="Calibri" w:hAnsi="Calibri"/>
                <w:kern w:val="2"/>
                <w:sz w:val="24"/>
                <w:szCs w:val="24"/>
                <w:highlight w:val="none"/>
              </w:rPr>
              <w:t>分，</w:t>
            </w:r>
            <w:r>
              <w:rPr>
                <w:rFonts w:hint="eastAsia" w:ascii="Times New Roman" w:eastAsia="宋体"/>
                <w:kern w:val="2"/>
                <w:sz w:val="24"/>
                <w:szCs w:val="24"/>
                <w:highlight w:val="none"/>
                <w:lang w:val="en-US" w:eastAsia="zh-CN"/>
              </w:rPr>
              <w:t>生态环境工程相关专业</w:t>
            </w:r>
            <w:r>
              <w:rPr>
                <w:rFonts w:hint="eastAsia" w:ascii="Calibri" w:hAnsi="Calibri"/>
                <w:kern w:val="2"/>
                <w:sz w:val="24"/>
                <w:szCs w:val="24"/>
                <w:highlight w:val="none"/>
              </w:rPr>
              <w:t>中级职称工作人员得</w:t>
            </w:r>
            <w:r>
              <w:rPr>
                <w:rFonts w:hint="eastAsia" w:ascii="Calibri" w:hAnsi="Calibri"/>
                <w:kern w:val="2"/>
                <w:sz w:val="24"/>
                <w:szCs w:val="24"/>
                <w:highlight w:val="none"/>
                <w:lang w:val="en-US" w:eastAsia="zh-CN"/>
              </w:rPr>
              <w:t>1</w:t>
            </w:r>
            <w:r>
              <w:rPr>
                <w:rFonts w:hint="eastAsia" w:ascii="Calibri" w:hAnsi="Calibri"/>
                <w:kern w:val="2"/>
                <w:sz w:val="24"/>
                <w:szCs w:val="24"/>
                <w:highlight w:val="none"/>
              </w:rPr>
              <w:t>分，此项最高</w:t>
            </w:r>
            <w:r>
              <w:rPr>
                <w:rFonts w:hint="eastAsia" w:ascii="Calibri" w:hAnsi="Calibri"/>
                <w:color w:val="auto"/>
                <w:kern w:val="2"/>
                <w:sz w:val="24"/>
                <w:szCs w:val="24"/>
                <w:highlight w:val="none"/>
                <w:lang w:val="en-US" w:eastAsia="zh-CN"/>
              </w:rPr>
              <w:t>2</w:t>
            </w:r>
            <w:r>
              <w:rPr>
                <w:rFonts w:hint="eastAsia" w:ascii="Calibri" w:hAnsi="Calibri"/>
                <w:kern w:val="2"/>
                <w:sz w:val="24"/>
                <w:szCs w:val="24"/>
                <w:highlight w:val="none"/>
              </w:rPr>
              <w:t>分。（投标人需要提供证书</w:t>
            </w:r>
            <w:r>
              <w:rPr>
                <w:rFonts w:hint="eastAsia" w:ascii="Calibri" w:hAnsi="Calibri"/>
                <w:kern w:val="2"/>
                <w:sz w:val="24"/>
                <w:szCs w:val="24"/>
                <w:highlight w:val="none"/>
                <w:lang w:val="en-US" w:eastAsia="zh-CN"/>
              </w:rPr>
              <w:t>原件扫描</w:t>
            </w:r>
            <w:r>
              <w:rPr>
                <w:rFonts w:hint="eastAsia" w:ascii="Calibri" w:hAnsi="Calibri"/>
                <w:kern w:val="2"/>
                <w:sz w:val="24"/>
                <w:szCs w:val="24"/>
                <w:highlight w:val="none"/>
              </w:rPr>
              <w:t>件</w:t>
            </w:r>
            <w:r>
              <w:rPr>
                <w:rFonts w:hint="eastAsia" w:ascii="Calibri" w:hAnsi="Calibri" w:eastAsia="宋体" w:cs="Times New Roman"/>
                <w:kern w:val="2"/>
                <w:sz w:val="24"/>
                <w:szCs w:val="24"/>
                <w:highlight w:val="none"/>
                <w:lang w:val="en-US" w:eastAsia="zh-CN"/>
              </w:rPr>
              <w:t>及近3个月内任意1个月为其缴纳社保的相关证明材料原件扫描件</w:t>
            </w:r>
            <w:r>
              <w:rPr>
                <w:rFonts w:hint="eastAsia" w:ascii="Calibri" w:hAnsi="Calibri"/>
                <w:kern w:val="2"/>
                <w:sz w:val="24"/>
                <w:szCs w:val="24"/>
                <w:highlight w:val="none"/>
              </w:rPr>
              <w:t>，未提供或不清晰的不得分）</w:t>
            </w:r>
            <w:bookmarkStart w:id="148" w:name="_GoBack"/>
            <w:bookmarkEnd w:id="148"/>
          </w:p>
        </w:tc>
        <w:tc>
          <w:tcPr>
            <w:tcW w:w="658" w:type="dxa"/>
            <w:tcBorders>
              <w:top w:val="single" w:color="auto" w:sz="4" w:space="0"/>
              <w:left w:val="nil"/>
              <w:bottom w:val="single" w:color="auto" w:sz="4" w:space="0"/>
              <w:right w:val="single" w:color="auto" w:sz="4" w:space="0"/>
            </w:tcBorders>
            <w:vAlign w:val="center"/>
          </w:tcPr>
          <w:p w14:paraId="4AF60D5D">
            <w:pPr>
              <w:pStyle w:val="319"/>
              <w:spacing w:line="240" w:lineRule="exact"/>
              <w:jc w:val="center"/>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w:t>
            </w:r>
          </w:p>
        </w:tc>
      </w:tr>
      <w:tr w14:paraId="7665F1B8">
        <w:tblPrEx>
          <w:tblCellMar>
            <w:top w:w="0" w:type="dxa"/>
            <w:left w:w="108" w:type="dxa"/>
            <w:bottom w:w="0" w:type="dxa"/>
            <w:right w:w="108" w:type="dxa"/>
          </w:tblCellMar>
        </w:tblPrEx>
        <w:trPr>
          <w:trHeight w:val="470" w:hRule="atLeast"/>
        </w:trPr>
        <w:tc>
          <w:tcPr>
            <w:tcW w:w="758" w:type="dxa"/>
            <w:vMerge w:val="continue"/>
            <w:tcBorders>
              <w:left w:val="single" w:color="auto" w:sz="4" w:space="0"/>
              <w:bottom w:val="single" w:color="auto" w:sz="4" w:space="0"/>
              <w:right w:val="single" w:color="auto" w:sz="4" w:space="0"/>
            </w:tcBorders>
            <w:vAlign w:val="center"/>
          </w:tcPr>
          <w:p w14:paraId="1FF9386A">
            <w:pPr>
              <w:spacing w:line="360" w:lineRule="auto"/>
              <w:jc w:val="center"/>
              <w:rPr>
                <w:rFonts w:ascii="Times New Roman" w:hAnsi="Times New Roman"/>
                <w:kern w:val="2"/>
                <w:szCs w:val="21"/>
                <w:highlight w:val="none"/>
              </w:rPr>
            </w:pPr>
          </w:p>
        </w:tc>
        <w:tc>
          <w:tcPr>
            <w:tcW w:w="993" w:type="dxa"/>
            <w:vMerge w:val="continue"/>
            <w:tcBorders>
              <w:left w:val="single" w:color="auto" w:sz="4" w:space="0"/>
              <w:bottom w:val="single" w:color="auto" w:sz="4" w:space="0"/>
              <w:right w:val="single" w:color="auto" w:sz="4" w:space="0"/>
            </w:tcBorders>
            <w:vAlign w:val="center"/>
          </w:tcPr>
          <w:p w14:paraId="50CCD4CF">
            <w:pPr>
              <w:spacing w:line="360" w:lineRule="auto"/>
              <w:jc w:val="center"/>
              <w:rPr>
                <w:rFonts w:ascii="Times New Roman" w:hAnsi="Times New Roman"/>
                <w:kern w:val="2"/>
                <w:szCs w:val="21"/>
                <w:highlight w:val="none"/>
              </w:rPr>
            </w:pPr>
          </w:p>
        </w:tc>
        <w:tc>
          <w:tcPr>
            <w:tcW w:w="987" w:type="dxa"/>
            <w:tcBorders>
              <w:top w:val="single" w:color="auto" w:sz="4" w:space="0"/>
              <w:left w:val="single" w:color="auto" w:sz="4" w:space="0"/>
              <w:bottom w:val="single" w:color="auto" w:sz="4" w:space="0"/>
              <w:right w:val="single" w:color="auto" w:sz="4" w:space="0"/>
            </w:tcBorders>
            <w:vAlign w:val="center"/>
          </w:tcPr>
          <w:p w14:paraId="5E8668BC">
            <w:pPr>
              <w:spacing w:line="360" w:lineRule="auto"/>
              <w:jc w:val="center"/>
              <w:rPr>
                <w:rFonts w:ascii="宋体" w:hAnsi="宋体" w:cs="宋体"/>
                <w:kern w:val="2"/>
                <w:sz w:val="24"/>
                <w:szCs w:val="24"/>
                <w:highlight w:val="none"/>
              </w:rPr>
            </w:pPr>
            <w:r>
              <w:rPr>
                <w:rFonts w:hint="eastAsia" w:ascii="宋体" w:hAnsi="宋体" w:cs="宋体"/>
                <w:bCs/>
                <w:sz w:val="21"/>
                <w:szCs w:val="21"/>
                <w:highlight w:val="none"/>
              </w:rPr>
              <w:t>项目组成员</w:t>
            </w:r>
          </w:p>
        </w:tc>
        <w:tc>
          <w:tcPr>
            <w:tcW w:w="6611" w:type="dxa"/>
            <w:tcBorders>
              <w:top w:val="single" w:color="auto" w:sz="4" w:space="0"/>
              <w:left w:val="single" w:color="auto" w:sz="4" w:space="0"/>
              <w:bottom w:val="single" w:color="auto" w:sz="4" w:space="0"/>
              <w:right w:val="single" w:color="auto" w:sz="4" w:space="0"/>
            </w:tcBorders>
            <w:vAlign w:val="center"/>
          </w:tcPr>
          <w:p w14:paraId="72552436">
            <w:pPr>
              <w:spacing w:line="420" w:lineRule="exact"/>
              <w:jc w:val="left"/>
              <w:rPr>
                <w:rFonts w:hint="default" w:ascii="Times New Roman" w:hAnsi="Times New Roman" w:eastAsia="仿宋_GB2312"/>
                <w:kern w:val="2"/>
                <w:szCs w:val="21"/>
                <w:highlight w:val="none"/>
                <w:lang w:val="en-US" w:eastAsia="zh-CN"/>
              </w:rPr>
            </w:pPr>
            <w:r>
              <w:rPr>
                <w:rFonts w:hint="eastAsia" w:ascii="宋体" w:hAnsi="宋体" w:cs="宋体"/>
                <w:bCs/>
                <w:sz w:val="21"/>
                <w:szCs w:val="21"/>
                <w:highlight w:val="none"/>
              </w:rPr>
              <w:t>项目组</w:t>
            </w:r>
            <w:r>
              <w:rPr>
                <w:rFonts w:hint="eastAsia" w:ascii="Calibri" w:hAnsi="Calibri"/>
                <w:kern w:val="2"/>
                <w:sz w:val="24"/>
                <w:szCs w:val="24"/>
                <w:highlight w:val="none"/>
                <w:lang w:val="en-US" w:eastAsia="zh-CN"/>
              </w:rPr>
              <w:t>成员</w:t>
            </w:r>
            <w:r>
              <w:rPr>
                <w:rFonts w:hint="eastAsia"/>
                <w:kern w:val="2"/>
                <w:sz w:val="24"/>
                <w:szCs w:val="24"/>
                <w:highlight w:val="none"/>
                <w:lang w:val="en-US" w:eastAsia="zh-CN"/>
              </w:rPr>
              <w:t>（除项目负责人外）</w:t>
            </w:r>
            <w:r>
              <w:rPr>
                <w:rFonts w:hint="eastAsia" w:ascii="Calibri" w:hAnsi="Calibri" w:eastAsia="宋体" w:cs="Times New Roman"/>
                <w:kern w:val="2"/>
                <w:sz w:val="24"/>
                <w:szCs w:val="24"/>
                <w:highlight w:val="none"/>
                <w:lang w:val="en-US" w:eastAsia="zh-CN"/>
              </w:rPr>
              <w:t>具有</w:t>
            </w:r>
            <w:r>
              <w:rPr>
                <w:rFonts w:hint="eastAsia" w:ascii="Calibri" w:hAnsi="Calibri" w:cs="Times New Roman"/>
                <w:kern w:val="2"/>
                <w:sz w:val="24"/>
                <w:szCs w:val="24"/>
                <w:highlight w:val="none"/>
                <w:lang w:val="en-US" w:eastAsia="zh-CN"/>
              </w:rPr>
              <w:t>应急管理部门（或安全生产监督管理局）颁发的特种作业操作证的（操作项目为：低压电工作业）</w:t>
            </w:r>
            <w:r>
              <w:rPr>
                <w:rFonts w:hint="eastAsia" w:ascii="Calibri" w:hAnsi="Calibri" w:eastAsia="宋体" w:cs="Times New Roman"/>
                <w:kern w:val="2"/>
                <w:sz w:val="24"/>
                <w:szCs w:val="24"/>
                <w:highlight w:val="none"/>
                <w:lang w:val="en-US" w:eastAsia="zh-CN"/>
              </w:rPr>
              <w:t>，得</w:t>
            </w:r>
            <w:r>
              <w:rPr>
                <w:rFonts w:hint="eastAsia" w:ascii="Calibri" w:hAnsi="Calibri" w:cs="Times New Roman"/>
                <w:kern w:val="2"/>
                <w:sz w:val="24"/>
                <w:szCs w:val="24"/>
                <w:highlight w:val="none"/>
                <w:lang w:val="en-US" w:eastAsia="zh-CN"/>
              </w:rPr>
              <w:t>2</w:t>
            </w:r>
            <w:r>
              <w:rPr>
                <w:rFonts w:hint="eastAsia" w:ascii="Calibri" w:hAnsi="Calibri" w:eastAsia="宋体" w:cs="Times New Roman"/>
                <w:kern w:val="2"/>
                <w:sz w:val="24"/>
                <w:szCs w:val="24"/>
                <w:highlight w:val="none"/>
                <w:lang w:val="en-US" w:eastAsia="zh-CN"/>
              </w:rPr>
              <w:t>分，此项最高</w:t>
            </w:r>
            <w:r>
              <w:rPr>
                <w:rFonts w:hint="eastAsia" w:ascii="Calibri" w:hAnsi="Calibri" w:cs="Times New Roman"/>
                <w:color w:val="auto"/>
                <w:kern w:val="2"/>
                <w:sz w:val="24"/>
                <w:szCs w:val="24"/>
                <w:highlight w:val="none"/>
                <w:lang w:val="en-US" w:eastAsia="zh-CN"/>
              </w:rPr>
              <w:t>2</w:t>
            </w:r>
            <w:r>
              <w:rPr>
                <w:rFonts w:hint="eastAsia" w:ascii="Calibri" w:hAnsi="Calibri" w:eastAsia="宋体" w:cs="Times New Roman"/>
                <w:kern w:val="2"/>
                <w:sz w:val="24"/>
                <w:szCs w:val="24"/>
                <w:highlight w:val="none"/>
                <w:lang w:val="en-US" w:eastAsia="zh-CN"/>
              </w:rPr>
              <w:t>分。</w:t>
            </w:r>
            <w:r>
              <w:rPr>
                <w:rFonts w:hint="eastAsia" w:ascii="Calibri" w:hAnsi="Calibri"/>
                <w:kern w:val="2"/>
                <w:sz w:val="24"/>
                <w:szCs w:val="24"/>
                <w:highlight w:val="none"/>
              </w:rPr>
              <w:t>（投标人需要提供证书</w:t>
            </w:r>
            <w:r>
              <w:rPr>
                <w:rFonts w:hint="eastAsia" w:ascii="Calibri" w:hAnsi="Calibri"/>
                <w:kern w:val="2"/>
                <w:sz w:val="24"/>
                <w:szCs w:val="24"/>
                <w:highlight w:val="none"/>
                <w:lang w:val="en-US" w:eastAsia="zh-CN"/>
              </w:rPr>
              <w:t>原件扫描</w:t>
            </w:r>
            <w:r>
              <w:rPr>
                <w:rFonts w:hint="eastAsia" w:ascii="Calibri" w:hAnsi="Calibri"/>
                <w:kern w:val="2"/>
                <w:sz w:val="24"/>
                <w:szCs w:val="24"/>
                <w:highlight w:val="none"/>
              </w:rPr>
              <w:t>件</w:t>
            </w:r>
            <w:r>
              <w:rPr>
                <w:rFonts w:hint="eastAsia" w:ascii="Calibri" w:hAnsi="Calibri" w:eastAsia="宋体" w:cs="Times New Roman"/>
                <w:kern w:val="2"/>
                <w:sz w:val="24"/>
                <w:szCs w:val="24"/>
                <w:highlight w:val="none"/>
                <w:lang w:val="en-US" w:eastAsia="zh-CN"/>
              </w:rPr>
              <w:t>及近3个月内任意1个月为其缴纳社保的相关证明材料原件扫描件，未</w:t>
            </w:r>
            <w:r>
              <w:rPr>
                <w:rFonts w:hint="eastAsia" w:ascii="Calibri" w:hAnsi="Calibri"/>
                <w:kern w:val="2"/>
                <w:sz w:val="24"/>
                <w:szCs w:val="24"/>
                <w:highlight w:val="none"/>
              </w:rPr>
              <w:t>提供或不清晰的不得分）</w:t>
            </w:r>
          </w:p>
        </w:tc>
        <w:tc>
          <w:tcPr>
            <w:tcW w:w="658" w:type="dxa"/>
            <w:tcBorders>
              <w:top w:val="single" w:color="auto" w:sz="4" w:space="0"/>
              <w:left w:val="single" w:color="auto" w:sz="4" w:space="0"/>
              <w:bottom w:val="single" w:color="auto" w:sz="4" w:space="0"/>
              <w:right w:val="single" w:color="auto" w:sz="4" w:space="0"/>
            </w:tcBorders>
            <w:vAlign w:val="center"/>
          </w:tcPr>
          <w:p w14:paraId="086A9BBD">
            <w:pPr>
              <w:spacing w:line="360" w:lineRule="auto"/>
              <w:jc w:val="center"/>
              <w:rPr>
                <w:rFonts w:hint="default" w:ascii="宋体" w:hAnsi="宋体" w:eastAsia="宋体" w:cs="宋体"/>
                <w:kern w:val="2"/>
                <w:sz w:val="24"/>
                <w:szCs w:val="24"/>
                <w:highlight w:val="none"/>
                <w:lang w:val="en-US" w:eastAsia="zh-CN"/>
              </w:rPr>
            </w:pPr>
            <w:r>
              <w:rPr>
                <w:rFonts w:hint="eastAsia" w:ascii="宋体" w:hAnsi="宋体" w:cs="宋体"/>
                <w:color w:val="auto"/>
                <w:kern w:val="2"/>
                <w:sz w:val="24"/>
                <w:szCs w:val="24"/>
                <w:highlight w:val="none"/>
                <w:lang w:val="en-US" w:eastAsia="zh-CN"/>
              </w:rPr>
              <w:t>2</w:t>
            </w:r>
          </w:p>
        </w:tc>
      </w:tr>
      <w:tr w14:paraId="2FC938EC">
        <w:tblPrEx>
          <w:tblCellMar>
            <w:top w:w="0" w:type="dxa"/>
            <w:left w:w="108" w:type="dxa"/>
            <w:bottom w:w="0" w:type="dxa"/>
            <w:right w:w="108" w:type="dxa"/>
          </w:tblCellMar>
        </w:tblPrEx>
        <w:trPr>
          <w:trHeight w:val="90" w:hRule="atLeast"/>
        </w:trPr>
        <w:tc>
          <w:tcPr>
            <w:tcW w:w="758" w:type="dxa"/>
            <w:vMerge w:val="restart"/>
            <w:tcBorders>
              <w:top w:val="single" w:color="auto" w:sz="4" w:space="0"/>
              <w:left w:val="single" w:color="auto" w:sz="4" w:space="0"/>
              <w:right w:val="single" w:color="auto" w:sz="4" w:space="0"/>
            </w:tcBorders>
            <w:vAlign w:val="center"/>
          </w:tcPr>
          <w:p w14:paraId="0E14B185">
            <w:pPr>
              <w:spacing w:line="360" w:lineRule="auto"/>
              <w:ind w:left="-40"/>
              <w:jc w:val="center"/>
              <w:rPr>
                <w:rFonts w:ascii="宋体" w:hAnsi="宋体" w:cs="宋体"/>
                <w:kern w:val="2"/>
                <w:sz w:val="24"/>
                <w:szCs w:val="24"/>
                <w:highlight w:val="none"/>
              </w:rPr>
            </w:pPr>
          </w:p>
          <w:p w14:paraId="24F08F0E">
            <w:pPr>
              <w:spacing w:line="360" w:lineRule="auto"/>
              <w:ind w:left="-40"/>
              <w:jc w:val="center"/>
              <w:rPr>
                <w:rFonts w:ascii="宋体" w:hAnsi="宋体" w:cs="宋体"/>
                <w:kern w:val="2"/>
                <w:sz w:val="24"/>
                <w:szCs w:val="24"/>
                <w:highlight w:val="none"/>
              </w:rPr>
            </w:pPr>
          </w:p>
          <w:p w14:paraId="3FABD7B1">
            <w:pPr>
              <w:spacing w:line="360" w:lineRule="auto"/>
              <w:ind w:left="-40"/>
              <w:jc w:val="center"/>
              <w:rPr>
                <w:rFonts w:ascii="宋体" w:hAnsi="宋体" w:cs="宋体"/>
                <w:kern w:val="2"/>
                <w:sz w:val="24"/>
                <w:szCs w:val="24"/>
                <w:highlight w:val="none"/>
              </w:rPr>
            </w:pPr>
          </w:p>
          <w:p w14:paraId="79A9DF5E">
            <w:pPr>
              <w:spacing w:line="360" w:lineRule="auto"/>
              <w:ind w:left="-40"/>
              <w:jc w:val="center"/>
              <w:rPr>
                <w:rFonts w:ascii="宋体" w:hAnsi="宋体" w:cs="宋体"/>
                <w:kern w:val="2"/>
                <w:sz w:val="24"/>
                <w:szCs w:val="24"/>
                <w:highlight w:val="none"/>
              </w:rPr>
            </w:pPr>
          </w:p>
          <w:p w14:paraId="6440F3F5">
            <w:pPr>
              <w:spacing w:line="360" w:lineRule="auto"/>
              <w:ind w:left="-40"/>
              <w:jc w:val="center"/>
              <w:rPr>
                <w:rFonts w:ascii="宋体" w:hAnsi="宋体" w:cs="宋体"/>
                <w:kern w:val="2"/>
                <w:sz w:val="24"/>
                <w:szCs w:val="24"/>
                <w:highlight w:val="none"/>
              </w:rPr>
            </w:pPr>
          </w:p>
          <w:p w14:paraId="515D65D8">
            <w:pPr>
              <w:spacing w:line="360" w:lineRule="auto"/>
              <w:ind w:left="-40"/>
              <w:jc w:val="center"/>
              <w:rPr>
                <w:rFonts w:ascii="宋体" w:hAnsi="宋体" w:cs="宋体"/>
                <w:kern w:val="2"/>
                <w:sz w:val="24"/>
                <w:szCs w:val="24"/>
                <w:highlight w:val="none"/>
              </w:rPr>
            </w:pPr>
          </w:p>
          <w:p w14:paraId="236A23BB">
            <w:pPr>
              <w:spacing w:line="360" w:lineRule="auto"/>
              <w:ind w:left="-40"/>
              <w:jc w:val="center"/>
              <w:rPr>
                <w:rFonts w:ascii="宋体" w:hAnsi="宋体" w:cs="宋体"/>
                <w:kern w:val="2"/>
                <w:sz w:val="24"/>
                <w:szCs w:val="24"/>
                <w:highlight w:val="none"/>
              </w:rPr>
            </w:pPr>
          </w:p>
          <w:p w14:paraId="1F317134">
            <w:pPr>
              <w:spacing w:line="360" w:lineRule="auto"/>
              <w:ind w:left="-40" w:firstLine="240" w:firstLineChars="100"/>
              <w:jc w:val="both"/>
              <w:rPr>
                <w:rFonts w:hint="eastAsia" w:ascii="宋体" w:hAnsi="宋体" w:cs="宋体"/>
                <w:kern w:val="2"/>
                <w:sz w:val="24"/>
                <w:szCs w:val="24"/>
                <w:highlight w:val="none"/>
                <w:lang w:val="en-US" w:eastAsia="zh-CN"/>
              </w:rPr>
            </w:pPr>
            <w:r>
              <w:rPr>
                <w:rFonts w:hint="eastAsia" w:ascii="宋体" w:hAnsi="宋体" w:cs="宋体"/>
                <w:kern w:val="2"/>
                <w:sz w:val="24"/>
                <w:szCs w:val="24"/>
                <w:highlight w:val="none"/>
                <w:lang w:val="en-US" w:eastAsia="zh-CN"/>
              </w:rPr>
              <w:t>3</w:t>
            </w:r>
          </w:p>
          <w:p w14:paraId="5384DDE1">
            <w:pPr>
              <w:spacing w:line="360" w:lineRule="auto"/>
              <w:ind w:left="-40"/>
              <w:jc w:val="center"/>
              <w:rPr>
                <w:rFonts w:ascii="宋体" w:hAnsi="宋体" w:cs="宋体"/>
                <w:kern w:val="2"/>
                <w:sz w:val="24"/>
                <w:szCs w:val="24"/>
                <w:highlight w:val="none"/>
              </w:rPr>
            </w:pPr>
          </w:p>
          <w:p w14:paraId="4BA9B6A3">
            <w:pPr>
              <w:widowControl w:val="0"/>
              <w:spacing w:line="360" w:lineRule="auto"/>
              <w:ind w:firstLine="600" w:firstLineChars="200"/>
              <w:jc w:val="both"/>
              <w:rPr>
                <w:rFonts w:ascii="仿宋_GB2312" w:hAnsi="Times New Roman" w:eastAsia="仿宋_GB2312" w:cs="Times New Roman"/>
                <w:kern w:val="2"/>
                <w:sz w:val="30"/>
                <w:szCs w:val="30"/>
                <w:highlight w:val="none"/>
                <w:lang w:val="en-US" w:eastAsia="zh-CN" w:bidi="ar-SA"/>
              </w:rPr>
            </w:pPr>
          </w:p>
        </w:tc>
        <w:tc>
          <w:tcPr>
            <w:tcW w:w="993" w:type="dxa"/>
            <w:vMerge w:val="restart"/>
            <w:tcBorders>
              <w:top w:val="single" w:color="auto" w:sz="4" w:space="0"/>
              <w:left w:val="single" w:color="auto" w:sz="4" w:space="0"/>
              <w:right w:val="single" w:color="auto" w:sz="4" w:space="0"/>
            </w:tcBorders>
            <w:vAlign w:val="center"/>
          </w:tcPr>
          <w:p w14:paraId="23E5E852">
            <w:pPr>
              <w:spacing w:line="360" w:lineRule="auto"/>
              <w:jc w:val="center"/>
              <w:rPr>
                <w:rFonts w:ascii="宋体" w:hAnsi="宋体" w:cs="宋体"/>
                <w:kern w:val="2"/>
                <w:sz w:val="24"/>
                <w:szCs w:val="21"/>
                <w:highlight w:val="none"/>
              </w:rPr>
            </w:pPr>
          </w:p>
          <w:p w14:paraId="708B99B6">
            <w:pPr>
              <w:spacing w:line="360" w:lineRule="auto"/>
              <w:jc w:val="center"/>
              <w:rPr>
                <w:rFonts w:ascii="宋体" w:hAnsi="宋体" w:cs="宋体"/>
                <w:kern w:val="2"/>
                <w:sz w:val="24"/>
                <w:szCs w:val="21"/>
                <w:highlight w:val="none"/>
              </w:rPr>
            </w:pPr>
          </w:p>
          <w:p w14:paraId="15396945">
            <w:pPr>
              <w:spacing w:line="360" w:lineRule="auto"/>
              <w:jc w:val="center"/>
              <w:rPr>
                <w:rFonts w:ascii="宋体" w:hAnsi="宋体" w:cs="宋体"/>
                <w:kern w:val="2"/>
                <w:sz w:val="24"/>
                <w:szCs w:val="21"/>
                <w:highlight w:val="none"/>
              </w:rPr>
            </w:pPr>
          </w:p>
          <w:p w14:paraId="1D1BE3B5">
            <w:pPr>
              <w:spacing w:line="360" w:lineRule="auto"/>
              <w:jc w:val="center"/>
              <w:rPr>
                <w:rFonts w:ascii="宋体" w:hAnsi="宋体" w:cs="宋体"/>
                <w:kern w:val="2"/>
                <w:sz w:val="24"/>
                <w:szCs w:val="21"/>
                <w:highlight w:val="none"/>
              </w:rPr>
            </w:pPr>
          </w:p>
          <w:p w14:paraId="2FEECEB8">
            <w:pPr>
              <w:spacing w:line="360" w:lineRule="auto"/>
              <w:jc w:val="center"/>
              <w:rPr>
                <w:rFonts w:ascii="宋体" w:hAnsi="宋体" w:cs="宋体"/>
                <w:kern w:val="2"/>
                <w:sz w:val="24"/>
                <w:szCs w:val="21"/>
                <w:highlight w:val="none"/>
              </w:rPr>
            </w:pPr>
          </w:p>
          <w:p w14:paraId="1D56DF92">
            <w:pPr>
              <w:spacing w:line="360" w:lineRule="auto"/>
              <w:jc w:val="center"/>
              <w:rPr>
                <w:rFonts w:ascii="宋体" w:hAnsi="宋体" w:cs="宋体"/>
                <w:kern w:val="2"/>
                <w:sz w:val="24"/>
                <w:szCs w:val="21"/>
                <w:highlight w:val="none"/>
              </w:rPr>
            </w:pPr>
            <w:r>
              <w:rPr>
                <w:rFonts w:hint="eastAsia" w:ascii="宋体" w:hAnsi="宋体" w:cs="宋体"/>
                <w:kern w:val="2"/>
                <w:sz w:val="24"/>
                <w:szCs w:val="21"/>
                <w:highlight w:val="none"/>
              </w:rPr>
              <w:t>项目方案</w:t>
            </w:r>
          </w:p>
          <w:p w14:paraId="60349E33">
            <w:pPr>
              <w:spacing w:line="360" w:lineRule="auto"/>
              <w:jc w:val="center"/>
              <w:rPr>
                <w:rFonts w:ascii="Times New Roman" w:hAnsi="Times New Roman"/>
                <w:kern w:val="2"/>
                <w:szCs w:val="21"/>
                <w:highlight w:val="none"/>
              </w:rPr>
            </w:pPr>
            <w:r>
              <w:rPr>
                <w:rFonts w:hint="eastAsia" w:ascii="宋体" w:hAnsi="宋体" w:cs="宋体"/>
                <w:kern w:val="2"/>
                <w:sz w:val="24"/>
                <w:szCs w:val="21"/>
                <w:highlight w:val="none"/>
              </w:rPr>
              <w:t>（</w:t>
            </w:r>
            <w:r>
              <w:rPr>
                <w:rFonts w:hint="eastAsia" w:ascii="宋体" w:hAnsi="宋体" w:cs="宋体"/>
                <w:kern w:val="2"/>
                <w:sz w:val="24"/>
                <w:szCs w:val="21"/>
                <w:highlight w:val="none"/>
                <w:lang w:val="en-US" w:eastAsia="zh-CN"/>
              </w:rPr>
              <w:t>52</w:t>
            </w:r>
            <w:r>
              <w:rPr>
                <w:rFonts w:hint="eastAsia" w:ascii="宋体" w:hAnsi="宋体" w:cs="宋体"/>
                <w:kern w:val="2"/>
                <w:sz w:val="24"/>
                <w:szCs w:val="21"/>
                <w:highlight w:val="none"/>
              </w:rPr>
              <w:t>）</w:t>
            </w:r>
          </w:p>
        </w:tc>
        <w:tc>
          <w:tcPr>
            <w:tcW w:w="987" w:type="dxa"/>
            <w:tcBorders>
              <w:top w:val="single" w:color="auto" w:sz="4" w:space="0"/>
              <w:left w:val="single" w:color="auto" w:sz="4" w:space="0"/>
              <w:bottom w:val="single" w:color="auto" w:sz="4" w:space="0"/>
              <w:right w:val="single" w:color="auto" w:sz="4" w:space="0"/>
            </w:tcBorders>
            <w:shd w:val="clear" w:color="auto" w:fill="auto"/>
            <w:vAlign w:val="center"/>
          </w:tcPr>
          <w:p w14:paraId="327F5724">
            <w:pPr>
              <w:spacing w:line="360" w:lineRule="auto"/>
              <w:jc w:val="center"/>
              <w:rPr>
                <w:rFonts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rPr>
              <w:t>实施</w:t>
            </w:r>
            <w:r>
              <w:rPr>
                <w:rFonts w:hint="eastAsia" w:ascii="宋体" w:hAnsi="宋体" w:cs="宋体"/>
                <w:kern w:val="2"/>
                <w:sz w:val="24"/>
                <w:szCs w:val="24"/>
                <w:highlight w:val="none"/>
              </w:rPr>
              <w:t>方案</w:t>
            </w:r>
          </w:p>
        </w:tc>
        <w:tc>
          <w:tcPr>
            <w:tcW w:w="6611" w:type="dxa"/>
            <w:tcBorders>
              <w:top w:val="single" w:color="auto" w:sz="4" w:space="0"/>
              <w:left w:val="single" w:color="auto" w:sz="4" w:space="0"/>
              <w:bottom w:val="single" w:color="auto" w:sz="4" w:space="0"/>
              <w:right w:val="single" w:color="auto" w:sz="4" w:space="0"/>
            </w:tcBorders>
            <w:shd w:val="clear" w:color="auto" w:fill="auto"/>
            <w:vAlign w:val="center"/>
          </w:tcPr>
          <w:p w14:paraId="54F43C23">
            <w:pPr>
              <w:spacing w:line="400" w:lineRule="exact"/>
              <w:rPr>
                <w:rFonts w:ascii="宋体" w:hAnsi="宋体" w:eastAsia="宋体" w:cs="宋体"/>
                <w:kern w:val="2"/>
                <w:sz w:val="24"/>
                <w:szCs w:val="24"/>
                <w:highlight w:val="none"/>
                <w:lang w:val="en-US" w:eastAsia="zh-CN" w:bidi="ar-SA"/>
              </w:rPr>
            </w:pPr>
            <w:bookmarkStart w:id="121" w:name="OLE_LINK63"/>
            <w:bookmarkStart w:id="122" w:name="OLE_LINK64"/>
            <w:r>
              <w:rPr>
                <w:rFonts w:hint="eastAsia" w:ascii="宋体" w:hAnsi="宋体" w:cs="宋体"/>
                <w:bCs/>
                <w:sz w:val="24"/>
                <w:szCs w:val="24"/>
                <w:highlight w:val="none"/>
              </w:rPr>
              <w:t>投标人根据本项目第四章第五点“5.1实施方案”要求，</w:t>
            </w:r>
            <w:bookmarkEnd w:id="121"/>
            <w:bookmarkEnd w:id="122"/>
            <w:bookmarkStart w:id="123" w:name="OLE_LINK8"/>
            <w:bookmarkStart w:id="124" w:name="OLE_LINK34"/>
            <w:bookmarkStart w:id="125" w:name="OLE_LINK37"/>
            <w:r>
              <w:rPr>
                <w:rFonts w:asciiTheme="minorEastAsia" w:hAnsiTheme="minorEastAsia" w:eastAsiaTheme="minorEastAsia"/>
                <w:color w:val="000000" w:themeColor="text1"/>
                <w:sz w:val="24"/>
                <w:szCs w:val="24"/>
                <w:highlight w:val="none"/>
                <w14:textFill>
                  <w14:solidFill>
                    <w14:schemeClr w14:val="tx1"/>
                  </w14:solidFill>
                </w14:textFill>
              </w:rPr>
              <w:t>提供细致完整、科学合理、分析透彻、措施有力、针对性和操作性强的</w:t>
            </w:r>
            <w:r>
              <w:rPr>
                <w:rFonts w:hint="eastAsia" w:asciiTheme="minorEastAsia" w:hAnsiTheme="minorEastAsia" w:eastAsiaTheme="minorEastAsia"/>
                <w:color w:val="000000" w:themeColor="text1"/>
                <w:sz w:val="24"/>
                <w:szCs w:val="24"/>
                <w:highlight w:val="none"/>
                <w14:textFill>
                  <w14:solidFill>
                    <w14:schemeClr w14:val="tx1"/>
                  </w14:solidFill>
                </w14:textFill>
              </w:rPr>
              <w:t>实施</w:t>
            </w:r>
            <w:r>
              <w:rPr>
                <w:rFonts w:asciiTheme="minorEastAsia" w:hAnsiTheme="minorEastAsia" w:eastAsiaTheme="minorEastAsia"/>
                <w:color w:val="000000" w:themeColor="text1"/>
                <w:sz w:val="24"/>
                <w:szCs w:val="24"/>
                <w:highlight w:val="none"/>
                <w14:textFill>
                  <w14:solidFill>
                    <w14:schemeClr w14:val="tx1"/>
                  </w14:solidFill>
                </w14:textFill>
              </w:rPr>
              <w:t>方案，内容</w:t>
            </w:r>
            <w:r>
              <w:rPr>
                <w:rFonts w:hint="eastAsia" w:asciiTheme="minorEastAsia" w:hAnsiTheme="minorEastAsia" w:eastAsiaTheme="minorEastAsia"/>
                <w:color w:val="000000" w:themeColor="text1"/>
                <w:sz w:val="24"/>
                <w:szCs w:val="24"/>
                <w:highlight w:val="none"/>
                <w14:textFill>
                  <w14:solidFill>
                    <w14:schemeClr w14:val="tx1"/>
                  </w14:solidFill>
                </w14:textFill>
              </w:rPr>
              <w:t>至少</w:t>
            </w:r>
            <w:r>
              <w:rPr>
                <w:rFonts w:asciiTheme="minorEastAsia" w:hAnsiTheme="minorEastAsia" w:eastAsiaTheme="minorEastAsia"/>
                <w:color w:val="000000" w:themeColor="text1"/>
                <w:sz w:val="24"/>
                <w:szCs w:val="24"/>
                <w:highlight w:val="none"/>
                <w14:textFill>
                  <w14:solidFill>
                    <w14:schemeClr w14:val="tx1"/>
                  </w14:solidFill>
                </w14:textFill>
              </w:rPr>
              <w:t>包含</w:t>
            </w:r>
            <w:r>
              <w:rPr>
                <w:rFonts w:hint="eastAsia" w:ascii="宋体" w:hAnsi="宋体" w:cs="宋体"/>
                <w:bCs/>
                <w:sz w:val="24"/>
                <w:szCs w:val="24"/>
                <w:highlight w:val="none"/>
              </w:rPr>
              <w:t>服务范围及标准、工作流程及规范、设施设备维护管理、环保与安全要求等方面。</w:t>
            </w:r>
            <w:bookmarkEnd w:id="123"/>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4</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bookmarkEnd w:id="124"/>
            <w:bookmarkEnd w:id="125"/>
            <w:r>
              <w:rPr>
                <w:rFonts w:hint="eastAsia" w:ascii="宋体" w:hAnsi="宋体" w:cs="宋体"/>
                <w:bCs/>
                <w:sz w:val="24"/>
                <w:szCs w:val="24"/>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c>
          <w:tcPr>
            <w:tcW w:w="658" w:type="dxa"/>
            <w:tcBorders>
              <w:top w:val="single" w:color="auto" w:sz="4" w:space="0"/>
              <w:left w:val="nil"/>
              <w:bottom w:val="single" w:color="auto" w:sz="4" w:space="0"/>
              <w:right w:val="single" w:color="auto" w:sz="4" w:space="0"/>
            </w:tcBorders>
            <w:shd w:val="clear" w:color="auto" w:fill="auto"/>
            <w:vAlign w:val="center"/>
          </w:tcPr>
          <w:p w14:paraId="38D62E4A">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rPr>
              <w:t>8</w:t>
            </w:r>
          </w:p>
        </w:tc>
      </w:tr>
      <w:tr w14:paraId="7969EE1B">
        <w:tblPrEx>
          <w:tblCellMar>
            <w:top w:w="0" w:type="dxa"/>
            <w:left w:w="108" w:type="dxa"/>
            <w:bottom w:w="0" w:type="dxa"/>
            <w:right w:w="108" w:type="dxa"/>
          </w:tblCellMar>
        </w:tblPrEx>
        <w:trPr>
          <w:trHeight w:val="1355" w:hRule="atLeast"/>
        </w:trPr>
        <w:tc>
          <w:tcPr>
            <w:tcW w:w="758" w:type="dxa"/>
            <w:vMerge w:val="continue"/>
            <w:tcBorders>
              <w:left w:val="single" w:color="auto" w:sz="4" w:space="0"/>
              <w:right w:val="single" w:color="auto" w:sz="4" w:space="0"/>
            </w:tcBorders>
            <w:vAlign w:val="center"/>
          </w:tcPr>
          <w:p w14:paraId="63746C4D">
            <w:pPr>
              <w:spacing w:line="360" w:lineRule="auto"/>
              <w:ind w:left="-40"/>
              <w:jc w:val="center"/>
              <w:rPr>
                <w:rFonts w:ascii="宋体" w:hAnsi="宋体" w:cs="宋体"/>
                <w:kern w:val="2"/>
                <w:sz w:val="24"/>
                <w:szCs w:val="24"/>
                <w:highlight w:val="none"/>
              </w:rPr>
            </w:pPr>
          </w:p>
        </w:tc>
        <w:tc>
          <w:tcPr>
            <w:tcW w:w="993" w:type="dxa"/>
            <w:vMerge w:val="continue"/>
            <w:tcBorders>
              <w:left w:val="single" w:color="auto" w:sz="4" w:space="0"/>
              <w:right w:val="single" w:color="auto" w:sz="4" w:space="0"/>
            </w:tcBorders>
            <w:vAlign w:val="center"/>
          </w:tcPr>
          <w:p w14:paraId="526D9D46">
            <w:pPr>
              <w:spacing w:line="360" w:lineRule="auto"/>
              <w:jc w:val="center"/>
              <w:rPr>
                <w:rFonts w:ascii="宋体" w:hAnsi="宋体" w:cs="宋体"/>
                <w:kern w:val="2"/>
                <w:sz w:val="24"/>
                <w:szCs w:val="24"/>
                <w:highlight w:val="none"/>
              </w:rPr>
            </w:pPr>
          </w:p>
        </w:tc>
        <w:tc>
          <w:tcPr>
            <w:tcW w:w="987" w:type="dxa"/>
            <w:tcBorders>
              <w:top w:val="single" w:color="auto" w:sz="4" w:space="0"/>
              <w:left w:val="single" w:color="auto" w:sz="4" w:space="0"/>
              <w:bottom w:val="single" w:color="auto" w:sz="4" w:space="0"/>
              <w:right w:val="single" w:color="auto" w:sz="4" w:space="0"/>
            </w:tcBorders>
            <w:shd w:val="clear" w:color="auto" w:fill="auto"/>
            <w:vAlign w:val="center"/>
          </w:tcPr>
          <w:p w14:paraId="5ACA321D">
            <w:pPr>
              <w:spacing w:line="420" w:lineRule="exact"/>
              <w:jc w:val="left"/>
              <w:rPr>
                <w:rFonts w:hint="eastAsia" w:ascii="宋体" w:hAnsi="宋体" w:cs="仿宋"/>
                <w:kern w:val="2"/>
                <w:sz w:val="24"/>
                <w:szCs w:val="24"/>
                <w:highlight w:val="none"/>
                <w:lang w:val="en-US" w:eastAsia="zh-CN"/>
              </w:rPr>
            </w:pPr>
            <w:r>
              <w:rPr>
                <w:rFonts w:hint="eastAsia" w:ascii="宋体" w:hAnsi="宋体" w:cs="仿宋"/>
                <w:kern w:val="2"/>
                <w:sz w:val="24"/>
                <w:szCs w:val="24"/>
                <w:highlight w:val="none"/>
              </w:rPr>
              <w:t>组织机构设置和人员配备</w:t>
            </w:r>
          </w:p>
        </w:tc>
        <w:tc>
          <w:tcPr>
            <w:tcW w:w="6611" w:type="dxa"/>
            <w:tcBorders>
              <w:top w:val="single" w:color="auto" w:sz="4" w:space="0"/>
              <w:left w:val="single" w:color="auto" w:sz="4" w:space="0"/>
              <w:bottom w:val="single" w:color="auto" w:sz="4" w:space="0"/>
              <w:right w:val="single" w:color="auto" w:sz="4" w:space="0"/>
            </w:tcBorders>
            <w:shd w:val="clear" w:color="auto" w:fill="auto"/>
            <w:vAlign w:val="center"/>
          </w:tcPr>
          <w:p w14:paraId="3DEFD911">
            <w:pPr>
              <w:spacing w:line="420" w:lineRule="exact"/>
              <w:jc w:val="left"/>
              <w:rPr>
                <w:rFonts w:hint="eastAsia" w:ascii="宋体" w:hAnsi="宋体" w:cs="仿宋"/>
                <w:kern w:val="2"/>
                <w:sz w:val="24"/>
                <w:szCs w:val="24"/>
                <w:highlight w:val="none"/>
                <w:lang w:val="en-US" w:eastAsia="zh-CN"/>
              </w:rPr>
            </w:pPr>
            <w:r>
              <w:rPr>
                <w:rFonts w:hint="eastAsia" w:ascii="宋体" w:hAnsi="宋体" w:cs="仿宋"/>
                <w:kern w:val="2"/>
                <w:sz w:val="24"/>
                <w:szCs w:val="24"/>
                <w:highlight w:val="none"/>
              </w:rPr>
              <w:t>投标人根据第四章第五点“5.2组织机构设置、人员配置”要求，提供细致完整、科学合理、分析透彻、措施有力、针对性和操作性强的组织机构设置、人员配备方案，内容至少包含组织机构设置、人员配备、岗位职责等方面。</w:t>
            </w:r>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3</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r>
              <w:rPr>
                <w:rFonts w:hint="eastAsia" w:ascii="宋体" w:hAnsi="宋体" w:cs="仿宋"/>
                <w:kern w:val="2"/>
                <w:sz w:val="24"/>
                <w:szCs w:val="24"/>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c>
          <w:tcPr>
            <w:tcW w:w="658" w:type="dxa"/>
            <w:tcBorders>
              <w:top w:val="single" w:color="auto" w:sz="4" w:space="0"/>
              <w:left w:val="nil"/>
              <w:bottom w:val="single" w:color="auto" w:sz="4" w:space="0"/>
              <w:right w:val="single" w:color="auto" w:sz="4" w:space="0"/>
            </w:tcBorders>
            <w:vAlign w:val="center"/>
          </w:tcPr>
          <w:p w14:paraId="099F6E63">
            <w:pPr>
              <w:spacing w:line="360" w:lineRule="auto"/>
              <w:jc w:val="center"/>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7</w:t>
            </w:r>
          </w:p>
        </w:tc>
      </w:tr>
      <w:tr w14:paraId="1B2FD2BC">
        <w:tblPrEx>
          <w:tblCellMar>
            <w:top w:w="0" w:type="dxa"/>
            <w:left w:w="108" w:type="dxa"/>
            <w:bottom w:w="0" w:type="dxa"/>
            <w:right w:w="108" w:type="dxa"/>
          </w:tblCellMar>
        </w:tblPrEx>
        <w:trPr>
          <w:trHeight w:val="2149" w:hRule="atLeast"/>
        </w:trPr>
        <w:tc>
          <w:tcPr>
            <w:tcW w:w="758" w:type="dxa"/>
            <w:vMerge w:val="continue"/>
            <w:tcBorders>
              <w:left w:val="single" w:color="auto" w:sz="4" w:space="0"/>
              <w:right w:val="single" w:color="auto" w:sz="4" w:space="0"/>
            </w:tcBorders>
            <w:vAlign w:val="center"/>
          </w:tcPr>
          <w:p w14:paraId="465D6579">
            <w:pPr>
              <w:spacing w:line="360" w:lineRule="auto"/>
              <w:ind w:left="-40"/>
              <w:jc w:val="center"/>
              <w:rPr>
                <w:rFonts w:ascii="宋体" w:hAnsi="宋体" w:cs="宋体"/>
                <w:kern w:val="2"/>
                <w:sz w:val="24"/>
                <w:szCs w:val="24"/>
                <w:highlight w:val="none"/>
              </w:rPr>
            </w:pPr>
          </w:p>
        </w:tc>
        <w:tc>
          <w:tcPr>
            <w:tcW w:w="993" w:type="dxa"/>
            <w:vMerge w:val="continue"/>
            <w:tcBorders>
              <w:left w:val="single" w:color="auto" w:sz="4" w:space="0"/>
              <w:right w:val="single" w:color="auto" w:sz="4" w:space="0"/>
            </w:tcBorders>
            <w:vAlign w:val="center"/>
          </w:tcPr>
          <w:p w14:paraId="1A3D6481">
            <w:pPr>
              <w:widowControl w:val="0"/>
              <w:spacing w:line="360" w:lineRule="auto"/>
              <w:ind w:firstLine="0" w:firstLineChars="0"/>
              <w:jc w:val="center"/>
              <w:rPr>
                <w:rFonts w:ascii="宋体" w:hAnsi="宋体" w:eastAsia="宋体" w:cs="宋体"/>
                <w:kern w:val="2"/>
                <w:sz w:val="24"/>
                <w:szCs w:val="24"/>
                <w:highlight w:val="none"/>
                <w:lang w:val="en-US" w:eastAsia="zh-CN" w:bidi="ar-SA"/>
              </w:rPr>
            </w:pPr>
          </w:p>
        </w:tc>
        <w:tc>
          <w:tcPr>
            <w:tcW w:w="987" w:type="dxa"/>
            <w:tcBorders>
              <w:top w:val="single" w:color="auto" w:sz="4" w:space="0"/>
              <w:left w:val="nil"/>
              <w:bottom w:val="single" w:color="auto" w:sz="4" w:space="0"/>
              <w:right w:val="single" w:color="auto" w:sz="4" w:space="0"/>
            </w:tcBorders>
            <w:vAlign w:val="center"/>
          </w:tcPr>
          <w:p w14:paraId="3182CA2E">
            <w:pPr>
              <w:widowControl w:val="0"/>
              <w:spacing w:line="360" w:lineRule="auto"/>
              <w:ind w:firstLine="0" w:firstLineChars="0"/>
              <w:jc w:val="center"/>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运维</w:t>
            </w:r>
            <w:r>
              <w:rPr>
                <w:rFonts w:hint="eastAsia" w:ascii="宋体" w:hAnsi="宋体" w:cs="宋体"/>
                <w:kern w:val="2"/>
                <w:sz w:val="24"/>
                <w:szCs w:val="24"/>
                <w:highlight w:val="none"/>
                <w:lang w:val="en-US" w:eastAsia="zh-CN" w:bidi="ar-SA"/>
              </w:rPr>
              <w:t>保障</w:t>
            </w:r>
            <w:r>
              <w:rPr>
                <w:rFonts w:hint="eastAsia" w:ascii="宋体" w:hAnsi="宋体" w:eastAsia="宋体" w:cs="宋体"/>
                <w:kern w:val="2"/>
                <w:sz w:val="24"/>
                <w:szCs w:val="24"/>
                <w:highlight w:val="none"/>
                <w:lang w:val="en-US" w:eastAsia="zh-CN" w:bidi="ar-SA"/>
              </w:rPr>
              <w:t>方案</w:t>
            </w:r>
          </w:p>
        </w:tc>
        <w:tc>
          <w:tcPr>
            <w:tcW w:w="6611" w:type="dxa"/>
            <w:tcBorders>
              <w:top w:val="single" w:color="auto" w:sz="4" w:space="0"/>
              <w:left w:val="nil"/>
              <w:bottom w:val="single" w:color="auto" w:sz="4" w:space="0"/>
              <w:right w:val="single" w:color="auto" w:sz="4" w:space="0"/>
            </w:tcBorders>
            <w:vAlign w:val="center"/>
          </w:tcPr>
          <w:p w14:paraId="745BB04D">
            <w:pPr>
              <w:spacing w:line="420" w:lineRule="exact"/>
              <w:jc w:val="left"/>
              <w:rPr>
                <w:rFonts w:ascii="宋体" w:hAnsi="宋体" w:cs="宋体"/>
                <w:kern w:val="2"/>
                <w:sz w:val="24"/>
                <w:szCs w:val="24"/>
                <w:highlight w:val="none"/>
              </w:rPr>
            </w:pPr>
            <w:r>
              <w:rPr>
                <w:rFonts w:hint="eastAsia" w:ascii="宋体" w:hAnsi="宋体" w:eastAsia="宋体" w:cs="Times New Roman"/>
                <w:kern w:val="2"/>
                <w:sz w:val="24"/>
                <w:szCs w:val="21"/>
                <w:highlight w:val="none"/>
              </w:rPr>
              <w:t>投标人根据本项目第四章第五点“5.</w:t>
            </w:r>
            <w:r>
              <w:rPr>
                <w:rFonts w:hint="eastAsia" w:ascii="宋体" w:hAnsi="宋体" w:eastAsia="宋体" w:cs="Times New Roman"/>
                <w:kern w:val="2"/>
                <w:sz w:val="24"/>
                <w:szCs w:val="21"/>
                <w:highlight w:val="none"/>
                <w:lang w:val="en-US" w:eastAsia="zh-CN"/>
              </w:rPr>
              <w:t>3运维保障</w:t>
            </w:r>
            <w:r>
              <w:rPr>
                <w:rFonts w:hint="eastAsia" w:ascii="宋体" w:hAnsi="宋体" w:eastAsia="宋体" w:cs="Times New Roman"/>
                <w:kern w:val="2"/>
                <w:sz w:val="24"/>
                <w:szCs w:val="21"/>
                <w:highlight w:val="none"/>
              </w:rPr>
              <w:t>方案”要求，提供细致完整、科学合理、分析透彻、措施有力、针对性和操作性强的</w:t>
            </w:r>
            <w:r>
              <w:rPr>
                <w:rFonts w:hint="eastAsia" w:ascii="宋体" w:hAnsi="宋体" w:cs="Times New Roman"/>
                <w:kern w:val="2"/>
                <w:sz w:val="24"/>
                <w:szCs w:val="21"/>
                <w:highlight w:val="none"/>
                <w:lang w:val="en-US" w:eastAsia="zh-CN"/>
              </w:rPr>
              <w:t>运维保障</w:t>
            </w:r>
            <w:r>
              <w:rPr>
                <w:rFonts w:hint="eastAsia" w:ascii="宋体" w:hAnsi="宋体" w:eastAsia="宋体" w:cs="Times New Roman"/>
                <w:kern w:val="2"/>
                <w:sz w:val="24"/>
                <w:szCs w:val="21"/>
                <w:highlight w:val="none"/>
              </w:rPr>
              <w:t>方案。</w:t>
            </w:r>
            <w:r>
              <w:rPr>
                <w:rFonts w:hint="eastAsia" w:ascii="宋体" w:hAnsi="宋体" w:cs="宋体"/>
                <w:bCs/>
                <w:sz w:val="24"/>
                <w:szCs w:val="24"/>
                <w:highlight w:val="none"/>
                <w:lang w:val="en-US" w:eastAsia="zh-CN"/>
              </w:rPr>
              <w:t>内容至少包括运维人员技术培训、安全教育、车辆保障、备机和配件保障，劳保用品保障、应急救援与预防等方面。</w:t>
            </w:r>
            <w:r>
              <w:rPr>
                <w:rFonts w:hint="eastAsia" w:ascii="宋体" w:hAnsi="宋体"/>
                <w:kern w:val="2"/>
                <w:sz w:val="24"/>
                <w:szCs w:val="21"/>
                <w:highlight w:val="none"/>
              </w:rPr>
              <w:t>评标委员会对</w:t>
            </w:r>
            <w:r>
              <w:rPr>
                <w:rFonts w:hint="eastAsia" w:ascii="Calibri" w:hAnsi="Calibri"/>
                <w:kern w:val="2"/>
                <w:sz w:val="24"/>
                <w:szCs w:val="24"/>
                <w:highlight w:val="none"/>
              </w:rPr>
              <w:t>投标人</w:t>
            </w:r>
            <w:r>
              <w:rPr>
                <w:rFonts w:hint="eastAsia" w:ascii="宋体" w:hAnsi="宋体"/>
                <w:kern w:val="2"/>
                <w:sz w:val="24"/>
                <w:szCs w:val="21"/>
                <w:highlight w:val="none"/>
              </w:rPr>
              <w:t>提交的</w:t>
            </w:r>
            <w:r>
              <w:rPr>
                <w:rFonts w:hint="eastAsia" w:ascii="Calibri" w:hAnsi="Calibri"/>
                <w:kern w:val="2"/>
                <w:sz w:val="24"/>
                <w:szCs w:val="24"/>
                <w:highlight w:val="none"/>
              </w:rPr>
              <w:t>本项目制定运维</w:t>
            </w:r>
            <w:r>
              <w:rPr>
                <w:rFonts w:hint="eastAsia"/>
                <w:kern w:val="2"/>
                <w:sz w:val="24"/>
                <w:szCs w:val="24"/>
                <w:highlight w:val="none"/>
                <w:lang w:val="en-US" w:eastAsia="zh-CN"/>
              </w:rPr>
              <w:t>保障</w:t>
            </w:r>
            <w:r>
              <w:rPr>
                <w:rFonts w:hint="eastAsia" w:ascii="Calibri" w:hAnsi="Calibri"/>
                <w:kern w:val="2"/>
                <w:sz w:val="24"/>
                <w:szCs w:val="24"/>
                <w:highlight w:val="none"/>
              </w:rPr>
              <w:t>方案</w:t>
            </w:r>
            <w:r>
              <w:rPr>
                <w:rFonts w:hint="eastAsia"/>
                <w:kern w:val="2"/>
                <w:sz w:val="24"/>
                <w:szCs w:val="24"/>
                <w:highlight w:val="none"/>
                <w:lang w:val="en-US" w:eastAsia="zh-CN"/>
              </w:rPr>
              <w:t>进行评审，</w:t>
            </w:r>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4</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p>
        </w:tc>
        <w:tc>
          <w:tcPr>
            <w:tcW w:w="658" w:type="dxa"/>
            <w:tcBorders>
              <w:top w:val="single" w:color="auto" w:sz="4" w:space="0"/>
              <w:left w:val="nil"/>
              <w:bottom w:val="single" w:color="auto" w:sz="4" w:space="0"/>
              <w:right w:val="single" w:color="auto" w:sz="4" w:space="0"/>
            </w:tcBorders>
            <w:vAlign w:val="center"/>
          </w:tcPr>
          <w:p w14:paraId="03AABDC6">
            <w:pPr>
              <w:widowControl w:val="0"/>
              <w:spacing w:line="360" w:lineRule="auto"/>
              <w:ind w:firstLine="0" w:firstLineChars="0"/>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p>
        </w:tc>
      </w:tr>
      <w:tr w14:paraId="25FFDF30">
        <w:tblPrEx>
          <w:tblCellMar>
            <w:top w:w="0" w:type="dxa"/>
            <w:left w:w="108" w:type="dxa"/>
            <w:bottom w:w="0" w:type="dxa"/>
            <w:right w:w="108" w:type="dxa"/>
          </w:tblCellMar>
        </w:tblPrEx>
        <w:trPr>
          <w:trHeight w:val="2149" w:hRule="atLeast"/>
        </w:trPr>
        <w:tc>
          <w:tcPr>
            <w:tcW w:w="758" w:type="dxa"/>
            <w:vMerge w:val="continue"/>
            <w:tcBorders>
              <w:left w:val="single" w:color="auto" w:sz="4" w:space="0"/>
              <w:right w:val="single" w:color="auto" w:sz="4" w:space="0"/>
            </w:tcBorders>
            <w:vAlign w:val="center"/>
          </w:tcPr>
          <w:p w14:paraId="738EF4C2">
            <w:pPr>
              <w:spacing w:line="360" w:lineRule="auto"/>
              <w:ind w:left="-40"/>
              <w:jc w:val="center"/>
              <w:rPr>
                <w:rFonts w:ascii="宋体" w:hAnsi="宋体" w:cs="宋体"/>
                <w:kern w:val="2"/>
                <w:sz w:val="24"/>
                <w:szCs w:val="24"/>
                <w:highlight w:val="none"/>
              </w:rPr>
            </w:pPr>
          </w:p>
        </w:tc>
        <w:tc>
          <w:tcPr>
            <w:tcW w:w="993" w:type="dxa"/>
            <w:vMerge w:val="continue"/>
            <w:tcBorders>
              <w:left w:val="single" w:color="auto" w:sz="4" w:space="0"/>
              <w:right w:val="single" w:color="auto" w:sz="4" w:space="0"/>
            </w:tcBorders>
            <w:vAlign w:val="center"/>
          </w:tcPr>
          <w:p w14:paraId="062F56D3">
            <w:pPr>
              <w:widowControl w:val="0"/>
              <w:spacing w:line="360" w:lineRule="auto"/>
              <w:ind w:firstLine="0" w:firstLineChars="0"/>
              <w:jc w:val="center"/>
              <w:rPr>
                <w:rFonts w:ascii="宋体" w:hAnsi="宋体" w:eastAsia="宋体" w:cs="宋体"/>
                <w:kern w:val="2"/>
                <w:sz w:val="24"/>
                <w:szCs w:val="24"/>
                <w:highlight w:val="none"/>
                <w:lang w:val="en-US" w:eastAsia="zh-CN" w:bidi="ar-SA"/>
              </w:rPr>
            </w:pPr>
          </w:p>
        </w:tc>
        <w:tc>
          <w:tcPr>
            <w:tcW w:w="987" w:type="dxa"/>
            <w:tcBorders>
              <w:top w:val="single" w:color="auto" w:sz="4" w:space="0"/>
              <w:left w:val="nil"/>
              <w:bottom w:val="single" w:color="auto" w:sz="4" w:space="0"/>
              <w:right w:val="single" w:color="auto" w:sz="4" w:space="0"/>
            </w:tcBorders>
            <w:shd w:val="clear" w:color="auto" w:fill="auto"/>
            <w:vAlign w:val="center"/>
          </w:tcPr>
          <w:p w14:paraId="734E41AB">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rPr>
              <w:t>数据分析方案</w:t>
            </w:r>
          </w:p>
        </w:tc>
        <w:tc>
          <w:tcPr>
            <w:tcW w:w="6611" w:type="dxa"/>
            <w:tcBorders>
              <w:top w:val="single" w:color="auto" w:sz="4" w:space="0"/>
              <w:left w:val="nil"/>
              <w:bottom w:val="single" w:color="auto" w:sz="4" w:space="0"/>
              <w:right w:val="single" w:color="auto" w:sz="4" w:space="0"/>
            </w:tcBorders>
            <w:shd w:val="clear" w:color="auto" w:fill="auto"/>
            <w:vAlign w:val="center"/>
          </w:tcPr>
          <w:p w14:paraId="33159360">
            <w:pPr>
              <w:spacing w:line="420" w:lineRule="exact"/>
              <w:jc w:val="left"/>
              <w:rPr>
                <w:rFonts w:hint="eastAsia" w:ascii="宋体" w:hAnsi="宋体" w:eastAsia="宋体" w:cs="宋体"/>
                <w:kern w:val="2"/>
                <w:sz w:val="24"/>
                <w:szCs w:val="24"/>
                <w:highlight w:val="none"/>
                <w:lang w:val="en-US" w:eastAsia="zh-CN" w:bidi="ar-SA"/>
              </w:rPr>
            </w:pPr>
            <w:r>
              <w:rPr>
                <w:rFonts w:hint="eastAsia" w:ascii="宋体" w:hAnsi="宋体" w:eastAsia="宋体" w:cs="Times New Roman"/>
                <w:kern w:val="2"/>
                <w:sz w:val="24"/>
                <w:szCs w:val="21"/>
                <w:highlight w:val="none"/>
              </w:rPr>
              <w:t>投标人根据本项目第四章第五点“5.</w:t>
            </w:r>
            <w:r>
              <w:rPr>
                <w:rFonts w:hint="eastAsia" w:ascii="宋体" w:hAnsi="宋体" w:cs="Times New Roman"/>
                <w:kern w:val="2"/>
                <w:sz w:val="24"/>
                <w:szCs w:val="21"/>
                <w:highlight w:val="none"/>
                <w:lang w:val="en-US" w:eastAsia="zh-CN"/>
              </w:rPr>
              <w:t>4</w:t>
            </w:r>
            <w:r>
              <w:rPr>
                <w:rFonts w:hint="eastAsia" w:ascii="宋体" w:hAnsi="宋体" w:cs="宋体"/>
                <w:kern w:val="2"/>
                <w:sz w:val="24"/>
                <w:szCs w:val="24"/>
                <w:highlight w:val="none"/>
              </w:rPr>
              <w:t>数据分析方案</w:t>
            </w:r>
            <w:r>
              <w:rPr>
                <w:rFonts w:hint="eastAsia" w:ascii="宋体" w:hAnsi="宋体" w:eastAsia="宋体" w:cs="Times New Roman"/>
                <w:kern w:val="2"/>
                <w:sz w:val="24"/>
                <w:szCs w:val="21"/>
                <w:highlight w:val="none"/>
              </w:rPr>
              <w:t>”要求，提供细致完整、科学合理、分析透彻、措施有力、针对性和操作性强的</w:t>
            </w:r>
            <w:r>
              <w:rPr>
                <w:rFonts w:hint="eastAsia" w:ascii="宋体" w:hAnsi="宋体" w:cs="Times New Roman"/>
                <w:kern w:val="2"/>
                <w:sz w:val="24"/>
                <w:szCs w:val="21"/>
                <w:highlight w:val="none"/>
                <w:lang w:val="en-US" w:eastAsia="zh-CN"/>
              </w:rPr>
              <w:t>数据分析</w:t>
            </w:r>
            <w:r>
              <w:rPr>
                <w:rFonts w:hint="eastAsia" w:ascii="宋体" w:hAnsi="宋体" w:eastAsia="宋体" w:cs="Times New Roman"/>
                <w:kern w:val="2"/>
                <w:sz w:val="24"/>
                <w:szCs w:val="21"/>
                <w:highlight w:val="none"/>
              </w:rPr>
              <w:t>方案。</w:t>
            </w:r>
            <w:r>
              <w:rPr>
                <w:rFonts w:hint="eastAsia" w:ascii="宋体" w:hAnsi="宋体"/>
                <w:kern w:val="2"/>
                <w:sz w:val="24"/>
                <w:szCs w:val="21"/>
                <w:highlight w:val="none"/>
              </w:rPr>
              <w:t>评标委员会对投标人</w:t>
            </w:r>
            <w:r>
              <w:rPr>
                <w:rFonts w:hint="eastAsia" w:ascii="Calibri" w:hAnsi="Calibri"/>
                <w:kern w:val="2"/>
                <w:sz w:val="24"/>
                <w:szCs w:val="24"/>
                <w:highlight w:val="none"/>
              </w:rPr>
              <w:t>提供符合本项目餐饮企业分布特点及净化器运行质</w:t>
            </w:r>
            <w:r>
              <w:rPr>
                <w:rFonts w:hint="eastAsia" w:ascii="宋体" w:hAnsi="宋体" w:eastAsia="宋体" w:cs="Times New Roman"/>
                <w:kern w:val="2"/>
                <w:sz w:val="24"/>
                <w:szCs w:val="21"/>
                <w:highlight w:val="none"/>
              </w:rPr>
              <w:t>量的数据分析方案，根据方案的针对性、分析维度的丰富性及数据来源可行性、监管应用价值性进行评审，</w:t>
            </w:r>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3</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p>
        </w:tc>
        <w:tc>
          <w:tcPr>
            <w:tcW w:w="658" w:type="dxa"/>
            <w:tcBorders>
              <w:top w:val="single" w:color="auto" w:sz="4" w:space="0"/>
              <w:left w:val="nil"/>
              <w:bottom w:val="single" w:color="auto" w:sz="4" w:space="0"/>
              <w:right w:val="single" w:color="auto" w:sz="4" w:space="0"/>
            </w:tcBorders>
            <w:shd w:val="clear" w:color="auto" w:fill="auto"/>
            <w:vAlign w:val="center"/>
          </w:tcPr>
          <w:p w14:paraId="695F34CE">
            <w:pPr>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rPr>
              <w:t>7</w:t>
            </w:r>
          </w:p>
        </w:tc>
      </w:tr>
      <w:tr w14:paraId="539A015F">
        <w:tblPrEx>
          <w:tblCellMar>
            <w:top w:w="0" w:type="dxa"/>
            <w:left w:w="108" w:type="dxa"/>
            <w:bottom w:w="0" w:type="dxa"/>
            <w:right w:w="108" w:type="dxa"/>
          </w:tblCellMar>
        </w:tblPrEx>
        <w:trPr>
          <w:trHeight w:val="1389" w:hRule="atLeast"/>
        </w:trPr>
        <w:tc>
          <w:tcPr>
            <w:tcW w:w="758" w:type="dxa"/>
            <w:vMerge w:val="continue"/>
            <w:tcBorders>
              <w:left w:val="single" w:color="auto" w:sz="4" w:space="0"/>
              <w:right w:val="single" w:color="auto" w:sz="4" w:space="0"/>
            </w:tcBorders>
            <w:vAlign w:val="center"/>
          </w:tcPr>
          <w:p w14:paraId="502DC263">
            <w:pPr>
              <w:spacing w:line="360" w:lineRule="auto"/>
              <w:ind w:left="-40"/>
              <w:jc w:val="center"/>
              <w:rPr>
                <w:rFonts w:ascii="宋体" w:hAnsi="宋体" w:cs="宋体"/>
                <w:kern w:val="2"/>
                <w:sz w:val="24"/>
                <w:szCs w:val="24"/>
                <w:highlight w:val="none"/>
              </w:rPr>
            </w:pPr>
          </w:p>
        </w:tc>
        <w:tc>
          <w:tcPr>
            <w:tcW w:w="993" w:type="dxa"/>
            <w:vMerge w:val="continue"/>
            <w:tcBorders>
              <w:left w:val="single" w:color="auto" w:sz="4" w:space="0"/>
              <w:right w:val="single" w:color="auto" w:sz="4" w:space="0"/>
            </w:tcBorders>
            <w:vAlign w:val="center"/>
          </w:tcPr>
          <w:p w14:paraId="1E77AE4A">
            <w:pPr>
              <w:widowControl w:val="0"/>
              <w:spacing w:line="360" w:lineRule="auto"/>
              <w:ind w:firstLine="0" w:firstLineChars="0"/>
              <w:jc w:val="center"/>
              <w:rPr>
                <w:rFonts w:ascii="宋体" w:hAnsi="宋体" w:eastAsia="宋体" w:cs="宋体"/>
                <w:kern w:val="2"/>
                <w:sz w:val="24"/>
                <w:szCs w:val="24"/>
                <w:highlight w:val="none"/>
                <w:lang w:val="en-US" w:eastAsia="zh-CN" w:bidi="ar-SA"/>
              </w:rPr>
            </w:pPr>
          </w:p>
        </w:tc>
        <w:tc>
          <w:tcPr>
            <w:tcW w:w="987" w:type="dxa"/>
            <w:tcBorders>
              <w:top w:val="single" w:color="auto" w:sz="4" w:space="0"/>
              <w:left w:val="nil"/>
              <w:bottom w:val="single" w:color="auto" w:sz="4" w:space="0"/>
              <w:right w:val="single" w:color="auto" w:sz="4" w:space="0"/>
            </w:tcBorders>
            <w:shd w:val="clear" w:color="auto" w:fill="auto"/>
            <w:vAlign w:val="center"/>
          </w:tcPr>
          <w:p w14:paraId="309F87CA">
            <w:pPr>
              <w:widowControl/>
              <w:spacing w:line="24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Cs/>
                <w:sz w:val="24"/>
                <w:szCs w:val="24"/>
                <w:highlight w:val="none"/>
              </w:rPr>
              <w:t>重难点分析及对策措施</w:t>
            </w:r>
          </w:p>
        </w:tc>
        <w:tc>
          <w:tcPr>
            <w:tcW w:w="6611" w:type="dxa"/>
            <w:tcBorders>
              <w:top w:val="single" w:color="auto" w:sz="4" w:space="0"/>
              <w:left w:val="nil"/>
              <w:bottom w:val="single" w:color="auto" w:sz="4" w:space="0"/>
              <w:right w:val="single" w:color="auto" w:sz="4" w:space="0"/>
            </w:tcBorders>
            <w:shd w:val="clear" w:color="auto" w:fill="auto"/>
            <w:vAlign w:val="center"/>
          </w:tcPr>
          <w:p w14:paraId="5EB11E6C">
            <w:pPr>
              <w:spacing w:line="420" w:lineRule="exact"/>
              <w:jc w:val="left"/>
              <w:rPr>
                <w:rFonts w:hint="eastAsia" w:ascii="宋体" w:hAnsi="宋体" w:eastAsia="宋体" w:cs="宋体"/>
                <w:kern w:val="2"/>
                <w:sz w:val="24"/>
                <w:szCs w:val="24"/>
                <w:highlight w:val="none"/>
                <w:lang w:val="en-US" w:eastAsia="zh-CN" w:bidi="ar-SA"/>
              </w:rPr>
            </w:pPr>
            <w:r>
              <w:rPr>
                <w:rFonts w:hint="eastAsia" w:ascii="宋体" w:hAnsi="宋体"/>
                <w:kern w:val="2"/>
                <w:sz w:val="24"/>
                <w:szCs w:val="21"/>
                <w:highlight w:val="none"/>
              </w:rPr>
              <w:t>投标人根据本项目第四章第五点“5.5重难点分析及对策措施”要求，提供细致完整、科学合理、分析透彻、措施有力、针对性和操作性强的重难点分析及对策措施方案，内容至少包含关键技术问题、重点、难点的分析及应对措施等方面。</w:t>
            </w:r>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3</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r>
              <w:rPr>
                <w:rFonts w:hint="eastAsia" w:ascii="宋体" w:hAnsi="宋体"/>
                <w:kern w:val="2"/>
                <w:sz w:val="24"/>
                <w:szCs w:val="21"/>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c>
          <w:tcPr>
            <w:tcW w:w="658" w:type="dxa"/>
            <w:tcBorders>
              <w:top w:val="single" w:color="auto" w:sz="4" w:space="0"/>
              <w:left w:val="nil"/>
              <w:bottom w:val="single" w:color="auto" w:sz="4" w:space="0"/>
              <w:right w:val="single" w:color="auto" w:sz="4" w:space="0"/>
            </w:tcBorders>
            <w:shd w:val="clear" w:color="auto" w:fill="auto"/>
            <w:vAlign w:val="center"/>
          </w:tcPr>
          <w:p w14:paraId="72879B79">
            <w:pPr>
              <w:widowControl w:val="0"/>
              <w:spacing w:line="360" w:lineRule="auto"/>
              <w:ind w:firstLine="0" w:firstLineChars="0"/>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p>
        </w:tc>
      </w:tr>
      <w:tr w14:paraId="6614AE4D">
        <w:tblPrEx>
          <w:tblCellMar>
            <w:top w:w="0" w:type="dxa"/>
            <w:left w:w="108" w:type="dxa"/>
            <w:bottom w:w="0" w:type="dxa"/>
            <w:right w:w="108" w:type="dxa"/>
          </w:tblCellMar>
        </w:tblPrEx>
        <w:trPr>
          <w:trHeight w:val="1559" w:hRule="atLeast"/>
        </w:trPr>
        <w:tc>
          <w:tcPr>
            <w:tcW w:w="758" w:type="dxa"/>
            <w:vMerge w:val="continue"/>
            <w:tcBorders>
              <w:left w:val="single" w:color="auto" w:sz="4" w:space="0"/>
              <w:right w:val="single" w:color="auto" w:sz="4" w:space="0"/>
            </w:tcBorders>
            <w:vAlign w:val="center"/>
          </w:tcPr>
          <w:p w14:paraId="1295BBA0">
            <w:pPr>
              <w:widowControl w:val="0"/>
              <w:spacing w:line="360" w:lineRule="auto"/>
              <w:ind w:firstLine="600" w:firstLineChars="200"/>
              <w:jc w:val="both"/>
              <w:rPr>
                <w:rFonts w:ascii="仿宋_GB2312" w:hAnsi="Times New Roman" w:eastAsia="仿宋_GB2312" w:cs="Times New Roman"/>
                <w:kern w:val="2"/>
                <w:sz w:val="30"/>
                <w:szCs w:val="30"/>
                <w:highlight w:val="none"/>
                <w:lang w:val="en-US" w:eastAsia="zh-CN" w:bidi="ar-SA"/>
              </w:rPr>
            </w:pPr>
          </w:p>
        </w:tc>
        <w:tc>
          <w:tcPr>
            <w:tcW w:w="993" w:type="dxa"/>
            <w:vMerge w:val="continue"/>
            <w:tcBorders>
              <w:left w:val="single" w:color="auto" w:sz="4" w:space="0"/>
              <w:right w:val="single" w:color="auto" w:sz="4" w:space="0"/>
            </w:tcBorders>
            <w:vAlign w:val="center"/>
          </w:tcPr>
          <w:p w14:paraId="6ACDC57D">
            <w:pPr>
              <w:widowControl w:val="0"/>
              <w:spacing w:line="360" w:lineRule="auto"/>
              <w:ind w:firstLine="0" w:firstLineChars="0"/>
              <w:jc w:val="center"/>
              <w:rPr>
                <w:rFonts w:ascii="宋体" w:hAnsi="宋体" w:eastAsia="宋体" w:cs="宋体"/>
                <w:kern w:val="2"/>
                <w:sz w:val="24"/>
                <w:szCs w:val="24"/>
                <w:highlight w:val="none"/>
                <w:lang w:val="en-US" w:eastAsia="zh-CN" w:bidi="ar-SA"/>
              </w:rPr>
            </w:pPr>
          </w:p>
        </w:tc>
        <w:tc>
          <w:tcPr>
            <w:tcW w:w="987" w:type="dxa"/>
            <w:tcBorders>
              <w:top w:val="single" w:color="auto" w:sz="4" w:space="0"/>
              <w:left w:val="nil"/>
              <w:bottom w:val="single" w:color="auto" w:sz="4" w:space="0"/>
              <w:right w:val="single" w:color="auto" w:sz="4" w:space="0"/>
            </w:tcBorders>
            <w:shd w:val="clear" w:color="auto" w:fill="auto"/>
            <w:vAlign w:val="center"/>
          </w:tcPr>
          <w:p w14:paraId="4861ACE5">
            <w:pPr>
              <w:widowControl w:val="0"/>
              <w:spacing w:line="360" w:lineRule="auto"/>
              <w:ind w:firstLine="0" w:firstLineChars="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质量保证措施</w:t>
            </w:r>
          </w:p>
        </w:tc>
        <w:tc>
          <w:tcPr>
            <w:tcW w:w="6611" w:type="dxa"/>
            <w:tcBorders>
              <w:top w:val="single" w:color="auto" w:sz="4" w:space="0"/>
              <w:left w:val="nil"/>
              <w:bottom w:val="single" w:color="auto" w:sz="4" w:space="0"/>
              <w:right w:val="single" w:color="auto" w:sz="4" w:space="0"/>
            </w:tcBorders>
            <w:shd w:val="clear" w:color="auto" w:fill="auto"/>
            <w:vAlign w:val="center"/>
          </w:tcPr>
          <w:p w14:paraId="1D858A6B">
            <w:pPr>
              <w:spacing w:line="420" w:lineRule="exact"/>
              <w:jc w:val="left"/>
              <w:rPr>
                <w:rFonts w:hint="eastAsia" w:ascii="宋体" w:hAnsi="宋体" w:eastAsia="宋体" w:cs="Times New Roman"/>
                <w:kern w:val="2"/>
                <w:sz w:val="24"/>
                <w:szCs w:val="24"/>
                <w:highlight w:val="none"/>
                <w:lang w:val="en-US" w:eastAsia="zh-CN" w:bidi="ar-SA"/>
              </w:rPr>
            </w:pPr>
            <w:bookmarkStart w:id="126" w:name="OLE_LINK9"/>
            <w:bookmarkStart w:id="127" w:name="OLE_LINK2"/>
            <w:bookmarkStart w:id="128" w:name="OLE_LINK48"/>
            <w:bookmarkStart w:id="129" w:name="OLE_LINK38"/>
            <w:r>
              <w:rPr>
                <w:rFonts w:hint="eastAsia" w:ascii="宋体" w:hAnsi="宋体" w:cs="宋体"/>
                <w:bCs/>
                <w:sz w:val="24"/>
                <w:szCs w:val="24"/>
                <w:highlight w:val="none"/>
              </w:rPr>
              <w:t>投标人根据本项目第四章第五点“5.</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质量保证方案”要求，</w:t>
            </w:r>
            <w:bookmarkEnd w:id="126"/>
            <w:bookmarkEnd w:id="127"/>
            <w:r>
              <w:rPr>
                <w:rFonts w:asciiTheme="minorEastAsia" w:hAnsiTheme="minorEastAsia" w:eastAsiaTheme="minorEastAsia"/>
                <w:color w:val="000000" w:themeColor="text1"/>
                <w:sz w:val="24"/>
                <w:szCs w:val="24"/>
                <w:highlight w:val="none"/>
                <w14:textFill>
                  <w14:solidFill>
                    <w14:schemeClr w14:val="tx1"/>
                  </w14:solidFill>
                </w14:textFill>
              </w:rPr>
              <w:t>提供细致完整、科学合理、分析透彻、措施有力、针对性和操作性强的</w:t>
            </w:r>
            <w:r>
              <w:rPr>
                <w:rFonts w:hint="eastAsia" w:ascii="宋体" w:hAnsi="宋体" w:cs="宋体"/>
                <w:bCs/>
                <w:sz w:val="24"/>
                <w:szCs w:val="24"/>
                <w:highlight w:val="none"/>
              </w:rPr>
              <w:t>质量保证</w:t>
            </w:r>
            <w:r>
              <w:rPr>
                <w:rFonts w:asciiTheme="minorEastAsia" w:hAnsiTheme="minorEastAsia" w:eastAsiaTheme="minorEastAsia"/>
                <w:color w:val="000000" w:themeColor="text1"/>
                <w:sz w:val="24"/>
                <w:szCs w:val="24"/>
                <w:highlight w:val="none"/>
                <w14:textFill>
                  <w14:solidFill>
                    <w14:schemeClr w14:val="tx1"/>
                  </w14:solidFill>
                </w14:textFill>
              </w:rPr>
              <w:t>方案，内容包含</w:t>
            </w:r>
            <w:r>
              <w:rPr>
                <w:rFonts w:hint="eastAsia" w:asciiTheme="minorEastAsia" w:hAnsiTheme="minorEastAsia" w:eastAsiaTheme="minorEastAsia"/>
                <w:color w:val="000000" w:themeColor="text1"/>
                <w:sz w:val="24"/>
                <w:szCs w:val="24"/>
                <w:highlight w:val="none"/>
                <w14:textFill>
                  <w14:solidFill>
                    <w14:schemeClr w14:val="tx1"/>
                  </w14:solidFill>
                </w14:textFill>
              </w:rPr>
              <w:t>但不限于</w:t>
            </w:r>
            <w:r>
              <w:rPr>
                <w:rFonts w:hint="eastAsia" w:ascii="宋体" w:hAnsi="宋体" w:cs="宋体"/>
                <w:bCs/>
                <w:sz w:val="24"/>
                <w:szCs w:val="24"/>
                <w:highlight w:val="none"/>
              </w:rPr>
              <w:t>质量管理体系、质量管理制度、质量控制措施和岗位职责等方面。方案优于要求的得</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4</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w:t>
            </w:r>
            <w:bookmarkEnd w:id="128"/>
            <w:bookmarkEnd w:id="129"/>
            <w:r>
              <w:rPr>
                <w:rFonts w:hint="eastAsia" w:ascii="宋体" w:hAnsi="宋体" w:cs="宋体"/>
                <w:bCs/>
                <w:sz w:val="24"/>
                <w:szCs w:val="24"/>
                <w:highlight w:val="none"/>
              </w:rPr>
              <w:t>具体由评标委员会评审。</w:t>
            </w:r>
          </w:p>
        </w:tc>
        <w:tc>
          <w:tcPr>
            <w:tcW w:w="658" w:type="dxa"/>
            <w:tcBorders>
              <w:top w:val="single" w:color="auto" w:sz="4" w:space="0"/>
              <w:left w:val="nil"/>
              <w:bottom w:val="single" w:color="auto" w:sz="4" w:space="0"/>
              <w:right w:val="single" w:color="auto" w:sz="4" w:space="0"/>
            </w:tcBorders>
            <w:shd w:val="clear" w:color="auto" w:fill="auto"/>
            <w:vAlign w:val="center"/>
          </w:tcPr>
          <w:p w14:paraId="42BA75CA">
            <w:pPr>
              <w:widowControl w:val="0"/>
              <w:spacing w:line="360" w:lineRule="auto"/>
              <w:ind w:firstLine="0" w:firstLineChars="0"/>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p>
        </w:tc>
      </w:tr>
      <w:tr w14:paraId="1B7EE583">
        <w:tblPrEx>
          <w:tblCellMar>
            <w:top w:w="0" w:type="dxa"/>
            <w:left w:w="108" w:type="dxa"/>
            <w:bottom w:w="0" w:type="dxa"/>
            <w:right w:w="108" w:type="dxa"/>
          </w:tblCellMar>
        </w:tblPrEx>
        <w:trPr>
          <w:trHeight w:val="1664" w:hRule="atLeast"/>
        </w:trPr>
        <w:tc>
          <w:tcPr>
            <w:tcW w:w="758" w:type="dxa"/>
            <w:vMerge w:val="continue"/>
            <w:tcBorders>
              <w:left w:val="single" w:color="auto" w:sz="4" w:space="0"/>
              <w:right w:val="single" w:color="auto" w:sz="4" w:space="0"/>
            </w:tcBorders>
            <w:vAlign w:val="center"/>
          </w:tcPr>
          <w:p w14:paraId="5727F686">
            <w:pPr>
              <w:widowControl w:val="0"/>
              <w:spacing w:line="360" w:lineRule="auto"/>
              <w:ind w:firstLine="600" w:firstLineChars="200"/>
              <w:jc w:val="both"/>
              <w:rPr>
                <w:rFonts w:ascii="仿宋_GB2312" w:hAnsi="Times New Roman" w:eastAsia="仿宋_GB2312" w:cs="Times New Roman"/>
                <w:kern w:val="2"/>
                <w:sz w:val="30"/>
                <w:szCs w:val="30"/>
                <w:highlight w:val="none"/>
                <w:lang w:val="en-US" w:eastAsia="zh-CN" w:bidi="ar-SA"/>
              </w:rPr>
            </w:pPr>
          </w:p>
        </w:tc>
        <w:tc>
          <w:tcPr>
            <w:tcW w:w="993" w:type="dxa"/>
            <w:vMerge w:val="continue"/>
            <w:tcBorders>
              <w:left w:val="single" w:color="auto" w:sz="4" w:space="0"/>
              <w:right w:val="single" w:color="auto" w:sz="4" w:space="0"/>
            </w:tcBorders>
            <w:vAlign w:val="center"/>
          </w:tcPr>
          <w:p w14:paraId="03406409">
            <w:pPr>
              <w:widowControl w:val="0"/>
              <w:spacing w:line="360" w:lineRule="auto"/>
              <w:ind w:firstLine="0" w:firstLineChars="0"/>
              <w:jc w:val="center"/>
              <w:rPr>
                <w:rFonts w:ascii="宋体" w:hAnsi="宋体" w:eastAsia="宋体" w:cs="宋体"/>
                <w:kern w:val="2"/>
                <w:sz w:val="24"/>
                <w:szCs w:val="24"/>
                <w:highlight w:val="none"/>
                <w:lang w:val="en-US" w:eastAsia="zh-CN" w:bidi="ar-SA"/>
              </w:rPr>
            </w:pPr>
          </w:p>
        </w:tc>
        <w:tc>
          <w:tcPr>
            <w:tcW w:w="987" w:type="dxa"/>
            <w:tcBorders>
              <w:top w:val="single" w:color="auto" w:sz="4" w:space="0"/>
              <w:left w:val="nil"/>
              <w:bottom w:val="single" w:color="auto" w:sz="4" w:space="0"/>
              <w:right w:val="single" w:color="auto" w:sz="4" w:space="0"/>
            </w:tcBorders>
            <w:shd w:val="clear" w:color="auto" w:fill="auto"/>
            <w:vAlign w:val="center"/>
          </w:tcPr>
          <w:p w14:paraId="7ABE494D">
            <w:pPr>
              <w:spacing w:line="420" w:lineRule="exact"/>
              <w:jc w:val="left"/>
              <w:rPr>
                <w:rFonts w:hint="eastAsia" w:ascii="宋体" w:hAnsi="宋体"/>
                <w:kern w:val="2"/>
                <w:sz w:val="24"/>
                <w:szCs w:val="21"/>
                <w:highlight w:val="none"/>
                <w:lang w:val="en-US" w:eastAsia="zh-CN"/>
              </w:rPr>
            </w:pPr>
            <w:r>
              <w:rPr>
                <w:rFonts w:hint="eastAsia" w:ascii="宋体" w:hAnsi="宋体"/>
                <w:kern w:val="2"/>
                <w:sz w:val="24"/>
                <w:szCs w:val="21"/>
                <w:highlight w:val="none"/>
              </w:rPr>
              <w:t>台账管理方案</w:t>
            </w:r>
          </w:p>
        </w:tc>
        <w:tc>
          <w:tcPr>
            <w:tcW w:w="6611" w:type="dxa"/>
            <w:tcBorders>
              <w:top w:val="single" w:color="auto" w:sz="4" w:space="0"/>
              <w:left w:val="nil"/>
              <w:bottom w:val="single" w:color="auto" w:sz="4" w:space="0"/>
              <w:right w:val="single" w:color="auto" w:sz="4" w:space="0"/>
            </w:tcBorders>
            <w:shd w:val="clear" w:color="auto" w:fill="auto"/>
            <w:vAlign w:val="center"/>
          </w:tcPr>
          <w:p w14:paraId="03197DF6">
            <w:pPr>
              <w:spacing w:line="420" w:lineRule="exact"/>
              <w:jc w:val="left"/>
              <w:rPr>
                <w:rFonts w:hint="eastAsia" w:ascii="宋体" w:hAnsi="宋体"/>
                <w:kern w:val="2"/>
                <w:sz w:val="24"/>
                <w:szCs w:val="21"/>
                <w:highlight w:val="none"/>
                <w:lang w:val="en-US" w:eastAsia="zh-CN"/>
              </w:rPr>
            </w:pPr>
            <w:r>
              <w:rPr>
                <w:rFonts w:hint="eastAsia" w:ascii="宋体" w:hAnsi="宋体"/>
                <w:kern w:val="2"/>
                <w:sz w:val="24"/>
                <w:szCs w:val="21"/>
                <w:highlight w:val="none"/>
              </w:rPr>
              <w:t>投标人根据第四章第五点“5.7台账管理方案”要求，提供细致完整、科学合理、分析透彻、措施有力、针对性和操作性强的台账管理方案，内容至少包含台账建立、保管、归档管理、质量保证措施等方面。</w:t>
            </w:r>
            <w:r>
              <w:rPr>
                <w:rFonts w:hint="eastAsia" w:ascii="宋体" w:hAnsi="宋体" w:cs="宋体"/>
                <w:bCs/>
                <w:sz w:val="24"/>
                <w:szCs w:val="24"/>
                <w:highlight w:val="none"/>
              </w:rPr>
              <w:t>方案优于要求的得</w:t>
            </w:r>
            <w:r>
              <w:rPr>
                <w:rFonts w:hint="eastAsia" w:ascii="宋体" w:hAnsi="宋体" w:cs="宋体"/>
                <w:bCs/>
                <w:sz w:val="24"/>
                <w:szCs w:val="24"/>
                <w:highlight w:val="none"/>
                <w:lang w:val="en-US" w:eastAsia="zh-CN"/>
              </w:rPr>
              <w:t>7</w:t>
            </w:r>
            <w:r>
              <w:rPr>
                <w:rFonts w:hint="eastAsia" w:ascii="宋体" w:hAnsi="宋体" w:cs="宋体"/>
                <w:bCs/>
                <w:sz w:val="24"/>
                <w:szCs w:val="24"/>
                <w:highlight w:val="none"/>
              </w:rPr>
              <w:t>分，符合要求得</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w:t>
            </w:r>
            <w:r>
              <w:rPr>
                <w:rFonts w:hint="eastAsia" w:ascii="宋体" w:hAnsi="宋体" w:eastAsia="宋体" w:cs="Times New Roman"/>
                <w:kern w:val="2"/>
                <w:sz w:val="24"/>
                <w:szCs w:val="21"/>
                <w:highlight w:val="none"/>
                <w:lang w:val="en-US" w:eastAsia="zh-CN"/>
              </w:rPr>
              <w:t>内容</w:t>
            </w:r>
            <w:r>
              <w:rPr>
                <w:rFonts w:hint="eastAsia" w:ascii="宋体" w:hAnsi="宋体" w:eastAsia="宋体" w:cs="Times New Roman"/>
                <w:kern w:val="2"/>
                <w:sz w:val="24"/>
                <w:szCs w:val="21"/>
                <w:highlight w:val="none"/>
              </w:rPr>
              <w:t>不满足采购需求得</w:t>
            </w:r>
            <w:r>
              <w:rPr>
                <w:rFonts w:hint="eastAsia" w:ascii="宋体" w:hAnsi="宋体" w:cs="Times New Roman"/>
                <w:kern w:val="2"/>
                <w:sz w:val="24"/>
                <w:szCs w:val="21"/>
                <w:highlight w:val="none"/>
                <w:lang w:val="en-US" w:eastAsia="zh-CN"/>
              </w:rPr>
              <w:t>3</w:t>
            </w:r>
            <w:r>
              <w:rPr>
                <w:rFonts w:hint="eastAsia" w:ascii="宋体" w:hAnsi="宋体" w:eastAsia="宋体" w:cs="Times New Roman"/>
                <w:kern w:val="2"/>
                <w:sz w:val="24"/>
                <w:szCs w:val="21"/>
                <w:highlight w:val="none"/>
              </w:rPr>
              <w:t>分</w:t>
            </w:r>
            <w:r>
              <w:rPr>
                <w:rFonts w:hint="eastAsia" w:ascii="宋体" w:hAnsi="宋体" w:cs="Times New Roman"/>
                <w:kern w:val="2"/>
                <w:sz w:val="24"/>
                <w:szCs w:val="21"/>
                <w:highlight w:val="none"/>
                <w:lang w:eastAsia="zh-CN"/>
              </w:rPr>
              <w:t>，</w:t>
            </w:r>
            <w:r>
              <w:rPr>
                <w:rFonts w:hint="eastAsia" w:ascii="宋体" w:hAnsi="宋体" w:cs="宋体"/>
                <w:bCs/>
                <w:sz w:val="24"/>
                <w:szCs w:val="24"/>
                <w:highlight w:val="none"/>
              </w:rPr>
              <w:t>未提供的不得分。</w:t>
            </w:r>
            <w:r>
              <w:rPr>
                <w:rFonts w:hint="eastAsia" w:ascii="宋体" w:hAnsi="宋体"/>
                <w:kern w:val="2"/>
                <w:sz w:val="24"/>
                <w:szCs w:val="21"/>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c>
          <w:tcPr>
            <w:tcW w:w="658" w:type="dxa"/>
            <w:tcBorders>
              <w:top w:val="single" w:color="auto" w:sz="4" w:space="0"/>
              <w:left w:val="nil"/>
              <w:bottom w:val="single" w:color="auto" w:sz="4" w:space="0"/>
              <w:right w:val="single" w:color="auto" w:sz="4" w:space="0"/>
            </w:tcBorders>
            <w:shd w:val="clear" w:color="auto" w:fill="auto"/>
            <w:vAlign w:val="center"/>
          </w:tcPr>
          <w:p w14:paraId="5BC53B8B">
            <w:pPr>
              <w:widowControl w:val="0"/>
              <w:spacing w:line="360" w:lineRule="auto"/>
              <w:ind w:firstLine="0" w:firstLineChars="0"/>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p>
        </w:tc>
      </w:tr>
    </w:tbl>
    <w:p w14:paraId="7707E616">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0645F846">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7F36DD82">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4EF87476">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45D0CA65">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76C3989E">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32CC347A">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08BA9A35">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44AE244F">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5E91006E">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40D08E50">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26900448">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2EEE8E08">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3650766E">
      <w:pPr>
        <w:pStyle w:val="44"/>
        <w:widowControl w:val="0"/>
        <w:spacing w:before="120" w:beforeAutospacing="0" w:after="120" w:afterAutospacing="0" w:line="400" w:lineRule="atLeast"/>
        <w:ind w:firstLine="363"/>
        <w:rPr>
          <w:rFonts w:hint="eastAsia" w:cs="Courier New" w:asciiTheme="minorEastAsia" w:hAnsiTheme="minorEastAsia" w:eastAsiaTheme="minorEastAsia"/>
          <w:b/>
          <w:bCs/>
          <w:highlight w:val="none"/>
        </w:rPr>
      </w:pPr>
    </w:p>
    <w:p w14:paraId="1E8F0C96">
      <w:pPr>
        <w:pStyle w:val="44"/>
        <w:widowControl w:val="0"/>
        <w:spacing w:before="120" w:beforeAutospacing="0" w:after="120" w:afterAutospacing="0" w:line="400" w:lineRule="atLeast"/>
        <w:ind w:firstLine="363"/>
        <w:jc w:val="center"/>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第六部分  投标文件格式</w:t>
      </w:r>
    </w:p>
    <w:p w14:paraId="76B3682E">
      <w:pPr>
        <w:jc w:val="center"/>
        <w:rPr>
          <w:rFonts w:cs="宋体" w:asciiTheme="minorEastAsia" w:hAnsiTheme="minorEastAsia" w:eastAsiaTheme="minorEastAsia"/>
          <w:sz w:val="40"/>
          <w:szCs w:val="30"/>
          <w:highlight w:val="none"/>
        </w:rPr>
      </w:pPr>
    </w:p>
    <w:p w14:paraId="29A0B747">
      <w:pPr>
        <w:jc w:val="center"/>
        <w:rPr>
          <w:rFonts w:asciiTheme="minorEastAsia" w:hAnsiTheme="minorEastAsia" w:eastAsiaTheme="minorEastAsia"/>
          <w:sz w:val="84"/>
          <w:szCs w:val="84"/>
          <w:highlight w:val="none"/>
        </w:rPr>
      </w:pPr>
    </w:p>
    <w:p w14:paraId="33A843EA">
      <w:pPr>
        <w:jc w:val="center"/>
        <w:rPr>
          <w:rFonts w:cs="宋体" w:asciiTheme="minorEastAsia" w:hAnsiTheme="minorEastAsia" w:eastAsiaTheme="minorEastAsia"/>
          <w:b/>
          <w:bCs/>
          <w:sz w:val="72"/>
          <w:szCs w:val="72"/>
          <w:highlight w:val="none"/>
        </w:rPr>
      </w:pPr>
      <w:r>
        <w:rPr>
          <w:rFonts w:hint="eastAsia" w:cs="宋体" w:asciiTheme="minorEastAsia" w:hAnsiTheme="minorEastAsia" w:eastAsiaTheme="minorEastAsia"/>
          <w:b/>
          <w:bCs/>
          <w:sz w:val="72"/>
          <w:szCs w:val="72"/>
          <w:highlight w:val="none"/>
        </w:rPr>
        <w:t>投  标  文  件</w:t>
      </w:r>
    </w:p>
    <w:p w14:paraId="3213AE54">
      <w:pPr>
        <w:jc w:val="left"/>
        <w:rPr>
          <w:rFonts w:asciiTheme="minorEastAsia" w:hAnsiTheme="minorEastAsia" w:eastAsiaTheme="minorEastAsia"/>
          <w:sz w:val="36"/>
          <w:szCs w:val="36"/>
          <w:highlight w:val="none"/>
        </w:rPr>
      </w:pPr>
    </w:p>
    <w:p w14:paraId="73055F34">
      <w:pPr>
        <w:jc w:val="left"/>
        <w:rPr>
          <w:rFonts w:asciiTheme="minorEastAsia" w:hAnsiTheme="minorEastAsia" w:eastAsiaTheme="minorEastAsia"/>
          <w:sz w:val="36"/>
          <w:szCs w:val="36"/>
          <w:highlight w:val="none"/>
        </w:rPr>
      </w:pPr>
    </w:p>
    <w:p w14:paraId="16D9A623">
      <w:pPr>
        <w:jc w:val="left"/>
        <w:rPr>
          <w:rFonts w:asciiTheme="minorEastAsia" w:hAnsiTheme="minorEastAsia" w:eastAsiaTheme="minorEastAsia"/>
          <w:sz w:val="36"/>
          <w:szCs w:val="36"/>
          <w:highlight w:val="none"/>
        </w:rPr>
      </w:pPr>
    </w:p>
    <w:p w14:paraId="160CB824">
      <w:pPr>
        <w:ind w:firstLine="1440"/>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项 目 名 称：</w:t>
      </w:r>
      <w:r>
        <w:rPr>
          <w:rFonts w:asciiTheme="minorEastAsia" w:hAnsiTheme="minorEastAsia" w:eastAsiaTheme="minorEastAsia"/>
          <w:sz w:val="36"/>
          <w:szCs w:val="36"/>
          <w:highlight w:val="none"/>
          <w:u w:val="single"/>
        </w:rPr>
        <w:t xml:space="preserve">                </w:t>
      </w:r>
    </w:p>
    <w:p w14:paraId="7813503F">
      <w:pPr>
        <w:ind w:firstLine="1440"/>
        <w:jc w:val="left"/>
        <w:rPr>
          <w:rFonts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t>项</w:t>
      </w:r>
      <w:r>
        <w:rPr>
          <w:rFonts w:asciiTheme="minorEastAsia" w:hAnsiTheme="minorEastAsia" w:eastAsiaTheme="minorEastAsia"/>
          <w:sz w:val="36"/>
          <w:szCs w:val="36"/>
          <w:highlight w:val="none"/>
        </w:rPr>
        <w:t xml:space="preserve"> </w:t>
      </w:r>
      <w:r>
        <w:rPr>
          <w:rFonts w:hint="eastAsia" w:asciiTheme="minorEastAsia" w:hAnsiTheme="minorEastAsia" w:eastAsiaTheme="minorEastAsia"/>
          <w:sz w:val="36"/>
          <w:szCs w:val="36"/>
          <w:highlight w:val="none"/>
        </w:rPr>
        <w:t>目</w:t>
      </w:r>
      <w:r>
        <w:rPr>
          <w:rFonts w:asciiTheme="minorEastAsia" w:hAnsiTheme="minorEastAsia" w:eastAsiaTheme="minorEastAsia"/>
          <w:sz w:val="36"/>
          <w:szCs w:val="36"/>
          <w:highlight w:val="none"/>
        </w:rPr>
        <w:t xml:space="preserve"> 编 号：</w:t>
      </w:r>
      <w:r>
        <w:rPr>
          <w:rFonts w:asciiTheme="minorEastAsia" w:hAnsiTheme="minorEastAsia" w:eastAsiaTheme="minorEastAsia"/>
          <w:sz w:val="36"/>
          <w:szCs w:val="36"/>
          <w:highlight w:val="none"/>
          <w:u w:val="single"/>
        </w:rPr>
        <w:t xml:space="preserve">                </w:t>
      </w:r>
    </w:p>
    <w:p w14:paraId="09927EE8">
      <w:pPr>
        <w:spacing w:line="480" w:lineRule="auto"/>
        <w:ind w:firstLine="1440"/>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投标人名称 ：</w:t>
      </w:r>
      <w:r>
        <w:rPr>
          <w:rFonts w:asciiTheme="minorEastAsia" w:hAnsiTheme="minorEastAsia" w:eastAsiaTheme="minorEastAsia"/>
          <w:sz w:val="36"/>
          <w:szCs w:val="36"/>
          <w:highlight w:val="none"/>
          <w:u w:val="single"/>
        </w:rPr>
        <w:t xml:space="preserve">             </w:t>
      </w:r>
      <w:r>
        <w:rPr>
          <w:rFonts w:hint="eastAsia" w:asciiTheme="minorEastAsia" w:hAnsiTheme="minorEastAsia" w:eastAsiaTheme="minorEastAsia"/>
          <w:b/>
          <w:sz w:val="36"/>
          <w:szCs w:val="36"/>
          <w:highlight w:val="none"/>
          <w:u w:val="single"/>
        </w:rPr>
        <w:t>（加盖CA电子公章）</w:t>
      </w:r>
    </w:p>
    <w:p w14:paraId="0B02BA47">
      <w:pPr>
        <w:ind w:firstLine="1440"/>
        <w:jc w:val="left"/>
        <w:rPr>
          <w:rFonts w:asciiTheme="minorEastAsia" w:hAnsiTheme="minorEastAsia" w:eastAsiaTheme="minorEastAsia"/>
          <w:sz w:val="36"/>
          <w:szCs w:val="36"/>
          <w:highlight w:val="none"/>
          <w:u w:val="single"/>
        </w:rPr>
      </w:pPr>
      <w:r>
        <w:rPr>
          <w:rFonts w:asciiTheme="minorEastAsia" w:hAnsiTheme="minorEastAsia" w:eastAsiaTheme="minorEastAsia"/>
          <w:sz w:val="36"/>
          <w:szCs w:val="36"/>
          <w:highlight w:val="none"/>
        </w:rPr>
        <w:t>日      期 ：</w:t>
      </w:r>
      <w:r>
        <w:rPr>
          <w:rFonts w:asciiTheme="minorEastAsia" w:hAnsiTheme="minorEastAsia" w:eastAsiaTheme="minorEastAsia"/>
          <w:sz w:val="36"/>
          <w:szCs w:val="36"/>
          <w:highlight w:val="none"/>
          <w:u w:val="single"/>
        </w:rPr>
        <w:t xml:space="preserve">                </w:t>
      </w:r>
    </w:p>
    <w:p w14:paraId="2E2C62E7">
      <w:pPr>
        <w:spacing w:line="500" w:lineRule="exact"/>
        <w:ind w:firstLine="880"/>
        <w:jc w:val="center"/>
        <w:rPr>
          <w:rFonts w:asciiTheme="minorEastAsia" w:hAnsiTheme="minorEastAsia" w:eastAsiaTheme="minorEastAsia"/>
          <w:sz w:val="44"/>
          <w:szCs w:val="44"/>
          <w:highlight w:val="none"/>
        </w:rPr>
      </w:pPr>
    </w:p>
    <w:p w14:paraId="316D7DD4">
      <w:pPr>
        <w:spacing w:line="500" w:lineRule="exact"/>
        <w:ind w:firstLine="880"/>
        <w:jc w:val="center"/>
        <w:rPr>
          <w:rFonts w:asciiTheme="minorEastAsia" w:hAnsiTheme="minorEastAsia" w:eastAsiaTheme="minorEastAsia"/>
          <w:sz w:val="44"/>
          <w:szCs w:val="44"/>
          <w:highlight w:val="none"/>
        </w:rPr>
      </w:pPr>
    </w:p>
    <w:p w14:paraId="788EE090">
      <w:pPr>
        <w:spacing w:line="500" w:lineRule="exact"/>
        <w:ind w:firstLine="880"/>
        <w:jc w:val="center"/>
        <w:rPr>
          <w:rFonts w:asciiTheme="minorEastAsia" w:hAnsiTheme="minorEastAsia" w:eastAsiaTheme="minorEastAsia"/>
          <w:sz w:val="44"/>
          <w:szCs w:val="44"/>
          <w:highlight w:val="none"/>
        </w:rPr>
      </w:pPr>
    </w:p>
    <w:p w14:paraId="651DF31F">
      <w:pPr>
        <w:spacing w:line="500" w:lineRule="exact"/>
        <w:ind w:firstLine="880"/>
        <w:jc w:val="center"/>
        <w:rPr>
          <w:rFonts w:asciiTheme="minorEastAsia" w:hAnsiTheme="minorEastAsia" w:eastAsiaTheme="minorEastAsia"/>
          <w:sz w:val="44"/>
          <w:szCs w:val="44"/>
          <w:highlight w:val="none"/>
        </w:rPr>
      </w:pPr>
    </w:p>
    <w:p w14:paraId="2D91B90C">
      <w:pPr>
        <w:spacing w:line="500" w:lineRule="exact"/>
        <w:ind w:firstLine="880"/>
        <w:jc w:val="center"/>
        <w:rPr>
          <w:rFonts w:asciiTheme="minorEastAsia" w:hAnsiTheme="minorEastAsia" w:eastAsiaTheme="minorEastAsia"/>
          <w:sz w:val="44"/>
          <w:szCs w:val="44"/>
          <w:highlight w:val="none"/>
        </w:rPr>
      </w:pPr>
    </w:p>
    <w:p w14:paraId="13FDD57F">
      <w:pPr>
        <w:spacing w:line="500" w:lineRule="exact"/>
        <w:ind w:firstLine="880"/>
        <w:jc w:val="center"/>
        <w:rPr>
          <w:rFonts w:asciiTheme="minorEastAsia" w:hAnsiTheme="minorEastAsia" w:eastAsiaTheme="minorEastAsia"/>
          <w:sz w:val="44"/>
          <w:szCs w:val="44"/>
          <w:highlight w:val="none"/>
        </w:rPr>
      </w:pPr>
    </w:p>
    <w:p w14:paraId="2FD062BE">
      <w:pPr>
        <w:spacing w:line="500" w:lineRule="exact"/>
        <w:ind w:firstLine="880"/>
        <w:jc w:val="center"/>
        <w:rPr>
          <w:rFonts w:asciiTheme="minorEastAsia" w:hAnsiTheme="minorEastAsia" w:eastAsiaTheme="minorEastAsia"/>
          <w:sz w:val="44"/>
          <w:szCs w:val="44"/>
          <w:highlight w:val="none"/>
        </w:rPr>
      </w:pPr>
    </w:p>
    <w:p w14:paraId="332D329D">
      <w:pPr>
        <w:spacing w:line="500" w:lineRule="exact"/>
        <w:ind w:firstLine="880"/>
        <w:jc w:val="center"/>
        <w:rPr>
          <w:rFonts w:asciiTheme="minorEastAsia" w:hAnsiTheme="minorEastAsia" w:eastAsiaTheme="minorEastAsia"/>
          <w:sz w:val="44"/>
          <w:szCs w:val="44"/>
          <w:highlight w:val="none"/>
        </w:rPr>
      </w:pPr>
    </w:p>
    <w:p w14:paraId="03CD0537">
      <w:pPr>
        <w:spacing w:line="500" w:lineRule="exact"/>
        <w:ind w:firstLine="880"/>
        <w:jc w:val="center"/>
        <w:rPr>
          <w:rFonts w:asciiTheme="minorEastAsia" w:hAnsiTheme="minorEastAsia" w:eastAsiaTheme="minorEastAsia"/>
          <w:sz w:val="44"/>
          <w:szCs w:val="44"/>
          <w:highlight w:val="none"/>
        </w:rPr>
      </w:pPr>
    </w:p>
    <w:p w14:paraId="2B8EA10A">
      <w:pPr>
        <w:spacing w:line="500" w:lineRule="exact"/>
        <w:ind w:firstLine="880"/>
        <w:jc w:val="center"/>
        <w:rPr>
          <w:rFonts w:asciiTheme="minorEastAsia" w:hAnsiTheme="minorEastAsia" w:eastAsiaTheme="minorEastAsia"/>
          <w:sz w:val="44"/>
          <w:szCs w:val="44"/>
          <w:highlight w:val="none"/>
        </w:rPr>
      </w:pPr>
    </w:p>
    <w:p w14:paraId="777CA21B">
      <w:pPr>
        <w:spacing w:line="500" w:lineRule="exact"/>
        <w:ind w:firstLine="880"/>
        <w:jc w:val="center"/>
        <w:rPr>
          <w:rFonts w:asciiTheme="minorEastAsia" w:hAnsiTheme="minorEastAsia" w:eastAsiaTheme="minorEastAsia"/>
          <w:sz w:val="44"/>
          <w:szCs w:val="44"/>
          <w:highlight w:val="none"/>
        </w:rPr>
      </w:pPr>
    </w:p>
    <w:p w14:paraId="3C498622">
      <w:pPr>
        <w:spacing w:line="500" w:lineRule="exact"/>
        <w:ind w:firstLine="880"/>
        <w:jc w:val="center"/>
        <w:rPr>
          <w:rFonts w:asciiTheme="minorEastAsia" w:hAnsiTheme="minorEastAsia" w:eastAsiaTheme="minorEastAsia"/>
          <w:sz w:val="44"/>
          <w:szCs w:val="44"/>
          <w:highlight w:val="none"/>
        </w:rPr>
      </w:pPr>
    </w:p>
    <w:p w14:paraId="18ED4EB8">
      <w:pPr>
        <w:spacing w:line="500" w:lineRule="exact"/>
        <w:ind w:firstLine="880"/>
        <w:jc w:val="center"/>
        <w:rPr>
          <w:rFonts w:asciiTheme="minorEastAsia" w:hAnsiTheme="minorEastAsia" w:eastAsiaTheme="minorEastAsia"/>
          <w:sz w:val="44"/>
          <w:szCs w:val="44"/>
          <w:highlight w:val="none"/>
        </w:rPr>
      </w:pPr>
    </w:p>
    <w:p w14:paraId="7970AE54">
      <w:pPr>
        <w:spacing w:line="500" w:lineRule="exact"/>
        <w:ind w:firstLine="880"/>
        <w:jc w:val="center"/>
        <w:rPr>
          <w:rFonts w:asciiTheme="minorEastAsia" w:hAnsiTheme="minorEastAsia" w:eastAsiaTheme="minorEastAsia"/>
          <w:sz w:val="44"/>
          <w:szCs w:val="44"/>
          <w:highlight w:val="none"/>
        </w:rPr>
      </w:pPr>
    </w:p>
    <w:p w14:paraId="778BF151">
      <w:pPr>
        <w:spacing w:line="500" w:lineRule="exact"/>
        <w:ind w:firstLine="880"/>
        <w:jc w:val="center"/>
        <w:rPr>
          <w:rFonts w:asciiTheme="minorEastAsia" w:hAnsiTheme="minorEastAsia" w:eastAsiaTheme="minorEastAsia"/>
          <w:sz w:val="44"/>
          <w:szCs w:val="44"/>
          <w:highlight w:val="none"/>
        </w:rPr>
      </w:pPr>
    </w:p>
    <w:p w14:paraId="25F86A67">
      <w:pPr>
        <w:spacing w:line="500" w:lineRule="exact"/>
        <w:ind w:firstLine="880"/>
        <w:jc w:val="center"/>
        <w:rPr>
          <w:rFonts w:asciiTheme="minorEastAsia" w:hAnsiTheme="minorEastAsia" w:eastAsiaTheme="minorEastAsia"/>
          <w:sz w:val="44"/>
          <w:szCs w:val="44"/>
          <w:highlight w:val="none"/>
        </w:rPr>
      </w:pPr>
    </w:p>
    <w:p w14:paraId="2AF3101E">
      <w:pPr>
        <w:spacing w:line="0" w:lineRule="atLeast"/>
        <w:jc w:val="center"/>
        <w:rPr>
          <w:sz w:val="24"/>
          <w:highlight w:val="none"/>
        </w:rPr>
      </w:pPr>
      <w:r>
        <w:rPr>
          <w:rFonts w:hint="eastAsia" w:ascii="宋体" w:hAnsi="宋体" w:cs="宋体"/>
          <w:b/>
          <w:sz w:val="32"/>
          <w:szCs w:val="32"/>
          <w:highlight w:val="none"/>
        </w:rPr>
        <w:t>投标文件目录</w:t>
      </w:r>
    </w:p>
    <w:p w14:paraId="2EB996FE">
      <w:pPr>
        <w:spacing w:line="0" w:lineRule="atLeast"/>
        <w:jc w:val="center"/>
        <w:rPr>
          <w:sz w:val="24"/>
          <w:highlight w:val="none"/>
        </w:rPr>
      </w:pPr>
      <w:r>
        <w:rPr>
          <w:sz w:val="24"/>
          <w:highlight w:val="none"/>
        </w:rPr>
        <w:t> </w:t>
      </w:r>
    </w:p>
    <w:p w14:paraId="7196DFD1">
      <w:pPr>
        <w:ind w:left="480"/>
        <w:rPr>
          <w:rFonts w:ascii="宋体" w:hAnsi="宋体" w:cs="宋体"/>
          <w:iCs/>
          <w:sz w:val="24"/>
          <w:highlight w:val="none"/>
        </w:rPr>
      </w:pPr>
      <w:r>
        <w:rPr>
          <w:rFonts w:hint="eastAsia" w:ascii="宋体" w:hAnsi="宋体" w:cs="宋体"/>
          <w:iCs/>
          <w:sz w:val="24"/>
          <w:highlight w:val="none"/>
        </w:rPr>
        <w:t>一、法人或者其他组织的营业执照等证明文件，自然人的身份证明</w:t>
      </w:r>
    </w:p>
    <w:p w14:paraId="55D379EC">
      <w:pPr>
        <w:tabs>
          <w:tab w:val="left" w:pos="1331"/>
        </w:tabs>
        <w:ind w:firstLine="480"/>
        <w:jc w:val="left"/>
        <w:rPr>
          <w:rFonts w:ascii="宋体" w:hAnsi="宋体" w:cs="宋体"/>
          <w:iCs/>
          <w:sz w:val="24"/>
          <w:highlight w:val="none"/>
        </w:rPr>
      </w:pPr>
      <w:r>
        <w:rPr>
          <w:rFonts w:hint="eastAsia" w:ascii="宋体" w:hAnsi="宋体" w:cs="宋体"/>
          <w:iCs/>
          <w:sz w:val="24"/>
          <w:highlight w:val="none"/>
        </w:rPr>
        <w:t>二、上一年度的财务状况报表（至少提供资产负债表、利润表、现金流量表，</w:t>
      </w:r>
    </w:p>
    <w:p w14:paraId="4F95EA9A">
      <w:pPr>
        <w:ind w:left="480"/>
        <w:rPr>
          <w:rFonts w:ascii="宋体" w:hAnsi="宋体" w:cs="宋体"/>
          <w:iCs/>
          <w:sz w:val="24"/>
          <w:highlight w:val="none"/>
        </w:rPr>
      </w:pPr>
      <w:r>
        <w:rPr>
          <w:rFonts w:hint="eastAsia" w:ascii="宋体" w:hAnsi="宋体" w:cs="宋体"/>
          <w:iCs/>
          <w:sz w:val="24"/>
          <w:highlight w:val="none"/>
        </w:rPr>
        <w:t>投标人成立不满一年无需提供）</w:t>
      </w:r>
    </w:p>
    <w:p w14:paraId="34525F78">
      <w:pPr>
        <w:ind w:left="480"/>
        <w:rPr>
          <w:rFonts w:ascii="宋体" w:hAnsi="宋体" w:cs="宋体"/>
          <w:iCs/>
          <w:sz w:val="24"/>
          <w:highlight w:val="none"/>
        </w:rPr>
      </w:pPr>
      <w:r>
        <w:rPr>
          <w:rFonts w:hint="eastAsia" w:ascii="宋体" w:hAnsi="宋体" w:cs="宋体"/>
          <w:iCs/>
          <w:sz w:val="24"/>
          <w:highlight w:val="none"/>
        </w:rPr>
        <w:t>三、具备履行合同所必需的设备和专业技术能力的书面声明</w:t>
      </w:r>
    </w:p>
    <w:p w14:paraId="45714BF2">
      <w:pPr>
        <w:ind w:left="480"/>
        <w:rPr>
          <w:rFonts w:ascii="宋体" w:hAnsi="宋体" w:cs="宋体"/>
          <w:iCs/>
          <w:sz w:val="24"/>
          <w:highlight w:val="none"/>
        </w:rPr>
      </w:pPr>
      <w:r>
        <w:rPr>
          <w:rFonts w:hint="eastAsia" w:ascii="宋体" w:hAnsi="宋体" w:cs="宋体"/>
          <w:iCs/>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A5DF056">
      <w:pPr>
        <w:ind w:left="480"/>
        <w:rPr>
          <w:rFonts w:ascii="宋体" w:hAnsi="宋体" w:cs="宋体"/>
          <w:iCs/>
          <w:sz w:val="24"/>
          <w:highlight w:val="none"/>
        </w:rPr>
      </w:pPr>
      <w:r>
        <w:rPr>
          <w:rFonts w:hint="eastAsia" w:ascii="宋体" w:hAnsi="宋体" w:cs="宋体"/>
          <w:iCs/>
          <w:sz w:val="24"/>
          <w:highlight w:val="none"/>
        </w:rPr>
        <w:t>五、参加政府采购活动前 3 年内在经营活动中没有重大违法记录的书面声明</w:t>
      </w:r>
    </w:p>
    <w:p w14:paraId="002A3240">
      <w:pPr>
        <w:ind w:left="480"/>
        <w:rPr>
          <w:rFonts w:ascii="宋体" w:hAnsi="宋体" w:cs="宋体"/>
          <w:iCs/>
          <w:sz w:val="24"/>
          <w:highlight w:val="none"/>
        </w:rPr>
      </w:pPr>
      <w:r>
        <w:rPr>
          <w:rFonts w:hint="eastAsia" w:ascii="宋体" w:hAnsi="宋体" w:cs="宋体"/>
          <w:iCs/>
          <w:sz w:val="24"/>
          <w:highlight w:val="none"/>
        </w:rPr>
        <w:t>六、特定资格要求的证明文件（如果本项目设置特定资格要求，则需要提供）</w:t>
      </w:r>
    </w:p>
    <w:p w14:paraId="2D275EB1">
      <w:pPr>
        <w:ind w:left="480"/>
        <w:rPr>
          <w:rFonts w:ascii="宋体" w:hAnsi="宋体" w:cs="宋体"/>
          <w:iCs/>
          <w:sz w:val="24"/>
          <w:highlight w:val="none"/>
        </w:rPr>
      </w:pPr>
      <w:r>
        <w:rPr>
          <w:rFonts w:hint="eastAsia" w:ascii="宋体" w:hAnsi="宋体" w:cs="宋体"/>
          <w:iCs/>
          <w:sz w:val="24"/>
          <w:highlight w:val="none"/>
        </w:rPr>
        <w:t>七、法人授权书</w:t>
      </w:r>
    </w:p>
    <w:p w14:paraId="14EF98EF">
      <w:pPr>
        <w:ind w:left="480"/>
        <w:rPr>
          <w:rFonts w:ascii="宋体" w:hAnsi="宋体" w:cs="宋体"/>
          <w:iCs/>
          <w:sz w:val="24"/>
          <w:highlight w:val="none"/>
        </w:rPr>
      </w:pPr>
      <w:r>
        <w:rPr>
          <w:rFonts w:hint="eastAsia" w:ascii="宋体" w:hAnsi="宋体" w:cs="宋体"/>
          <w:iCs/>
          <w:sz w:val="24"/>
          <w:highlight w:val="none"/>
        </w:rPr>
        <w:t>八、投标函</w:t>
      </w:r>
    </w:p>
    <w:p w14:paraId="74CBA7A4">
      <w:pPr>
        <w:spacing w:line="0" w:lineRule="atLeast"/>
        <w:ind w:firstLine="480"/>
        <w:rPr>
          <w:rFonts w:ascii="宋体" w:hAnsi="宋体" w:cs="宋体"/>
          <w:iCs/>
          <w:sz w:val="24"/>
          <w:highlight w:val="none"/>
        </w:rPr>
      </w:pPr>
      <w:r>
        <w:rPr>
          <w:rFonts w:hint="eastAsia" w:ascii="宋体" w:hAnsi="宋体" w:cs="宋体"/>
          <w:iCs/>
          <w:sz w:val="24"/>
          <w:highlight w:val="none"/>
        </w:rPr>
        <w:t>九、中小企业声明函</w:t>
      </w:r>
    </w:p>
    <w:p w14:paraId="27556F2E">
      <w:pPr>
        <w:spacing w:line="0" w:lineRule="atLeast"/>
        <w:ind w:firstLine="480"/>
        <w:rPr>
          <w:rFonts w:ascii="宋体" w:hAnsi="宋体" w:cs="宋体"/>
          <w:iCs/>
          <w:sz w:val="24"/>
          <w:highlight w:val="none"/>
        </w:rPr>
      </w:pPr>
      <w:r>
        <w:rPr>
          <w:rFonts w:hint="eastAsia" w:ascii="宋体" w:hAnsi="宋体" w:cs="宋体"/>
          <w:iCs/>
          <w:sz w:val="24"/>
          <w:highlight w:val="none"/>
        </w:rPr>
        <w:t>十、残疾人福利性单位声明函</w:t>
      </w:r>
    </w:p>
    <w:p w14:paraId="5A16B8B8">
      <w:pPr>
        <w:widowControl w:val="0"/>
        <w:spacing w:beforeAutospacing="0" w:afterAutospacing="0" w:line="0" w:lineRule="atLeast"/>
        <w:ind w:firstLine="480"/>
        <w:jc w:val="both"/>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十一、 关于符合本国产品标准的声明函</w:t>
      </w:r>
    </w:p>
    <w:p w14:paraId="0263EB78">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十二、联合体协议</w:t>
      </w:r>
    </w:p>
    <w:p w14:paraId="36EABC97">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十三、投标分项报价表</w:t>
      </w:r>
    </w:p>
    <w:p w14:paraId="260078DA">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十四、技术要求响应及偏离表</w:t>
      </w:r>
    </w:p>
    <w:p w14:paraId="7D69B72A">
      <w:pPr>
        <w:widowControl w:val="0"/>
        <w:spacing w:beforeAutospacing="0" w:afterAutospacing="0" w:line="0" w:lineRule="atLeast"/>
        <w:ind w:firstLine="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十五、商务要求响应及偏离表</w:t>
      </w:r>
    </w:p>
    <w:p w14:paraId="48EFFF5A">
      <w:pPr>
        <w:widowControl w:val="0"/>
        <w:spacing w:beforeAutospacing="0" w:afterAutospacing="0"/>
        <w:ind w:left="480"/>
        <w:jc w:val="both"/>
        <w:rPr>
          <w:rFonts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十六、开标一览表</w:t>
      </w:r>
    </w:p>
    <w:p w14:paraId="161CCAB1">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731B53FC">
      <w:pPr>
        <w:spacing w:line="360" w:lineRule="auto"/>
        <w:ind w:firstLine="480"/>
        <w:rPr>
          <w:rFonts w:ascii="宋体" w:hAnsi="宋体" w:cs="宋体"/>
          <w:iCs/>
          <w:sz w:val="24"/>
          <w:highlight w:val="none"/>
        </w:rPr>
      </w:pPr>
      <w:r>
        <w:rPr>
          <w:rFonts w:hint="eastAsia" w:ascii="宋体" w:hAnsi="宋体" w:eastAsia="宋体" w:cs="宋体"/>
          <w:i w:val="0"/>
          <w:iCs/>
          <w:color w:val="000000"/>
          <w:kern w:val="0"/>
          <w:sz w:val="24"/>
          <w:szCs w:val="24"/>
          <w:highlight w:val="none"/>
          <w:u w:val="none"/>
          <w:lang w:val="en-US" w:eastAsia="zh-CN" w:bidi="ar-SA"/>
        </w:rPr>
        <w:t>十八、盐城市政府采购事前信用承诺书</w:t>
      </w:r>
    </w:p>
    <w:p w14:paraId="76D7AD84">
      <w:pPr>
        <w:spacing w:line="0" w:lineRule="atLeast"/>
        <w:ind w:firstLine="480"/>
        <w:rPr>
          <w:rFonts w:ascii="宋体" w:hAnsi="宋体" w:cs="宋体"/>
          <w:sz w:val="24"/>
          <w:highlight w:val="none"/>
        </w:rPr>
      </w:pPr>
    </w:p>
    <w:p w14:paraId="0B08AAD4">
      <w:pPr>
        <w:spacing w:line="0" w:lineRule="atLeast"/>
        <w:ind w:firstLine="480"/>
        <w:rPr>
          <w:rFonts w:ascii="宋体" w:hAnsi="宋体" w:cs="宋体"/>
          <w:sz w:val="24"/>
          <w:highlight w:val="none"/>
        </w:rPr>
      </w:pPr>
    </w:p>
    <w:p w14:paraId="631C5831">
      <w:pPr>
        <w:spacing w:line="0" w:lineRule="atLeast"/>
        <w:ind w:firstLine="480"/>
        <w:rPr>
          <w:sz w:val="24"/>
          <w:highlight w:val="none"/>
        </w:rPr>
      </w:pPr>
      <w:r>
        <w:rPr>
          <w:sz w:val="24"/>
          <w:highlight w:val="none"/>
        </w:rPr>
        <w:t> </w:t>
      </w:r>
    </w:p>
    <w:p w14:paraId="27553DCC">
      <w:pPr>
        <w:spacing w:line="0" w:lineRule="atLeast"/>
        <w:ind w:firstLine="480"/>
        <w:rPr>
          <w:sz w:val="24"/>
          <w:highlight w:val="none"/>
        </w:rPr>
      </w:pPr>
      <w:r>
        <w:rPr>
          <w:sz w:val="24"/>
          <w:highlight w:val="none"/>
        </w:rPr>
        <w:t> </w:t>
      </w:r>
    </w:p>
    <w:p w14:paraId="7D983003">
      <w:pPr>
        <w:spacing w:line="0" w:lineRule="atLeast"/>
        <w:ind w:firstLine="480"/>
        <w:rPr>
          <w:sz w:val="24"/>
          <w:highlight w:val="none"/>
        </w:rPr>
      </w:pPr>
      <w:r>
        <w:rPr>
          <w:sz w:val="24"/>
          <w:highlight w:val="none"/>
        </w:rPr>
        <w:t> </w:t>
      </w:r>
    </w:p>
    <w:p w14:paraId="4A160307">
      <w:pPr>
        <w:spacing w:line="0" w:lineRule="atLeast"/>
        <w:ind w:firstLine="480"/>
        <w:rPr>
          <w:sz w:val="24"/>
          <w:highlight w:val="none"/>
        </w:rPr>
      </w:pPr>
      <w:r>
        <w:rPr>
          <w:sz w:val="24"/>
          <w:highlight w:val="none"/>
        </w:rPr>
        <w:t> </w:t>
      </w:r>
    </w:p>
    <w:p w14:paraId="5BCB5FA3">
      <w:pPr>
        <w:spacing w:line="0" w:lineRule="atLeast"/>
        <w:ind w:firstLine="480"/>
        <w:rPr>
          <w:sz w:val="24"/>
          <w:highlight w:val="none"/>
        </w:rPr>
      </w:pPr>
    </w:p>
    <w:p w14:paraId="3CE00A21">
      <w:pPr>
        <w:spacing w:line="0" w:lineRule="atLeast"/>
        <w:ind w:firstLine="480"/>
        <w:rPr>
          <w:sz w:val="24"/>
          <w:highlight w:val="none"/>
        </w:rPr>
      </w:pPr>
    </w:p>
    <w:p w14:paraId="2CF76589">
      <w:pPr>
        <w:spacing w:line="0" w:lineRule="atLeast"/>
        <w:ind w:firstLine="480"/>
        <w:rPr>
          <w:sz w:val="24"/>
          <w:highlight w:val="none"/>
        </w:rPr>
      </w:pPr>
    </w:p>
    <w:p w14:paraId="401EEA25">
      <w:pPr>
        <w:spacing w:line="0" w:lineRule="atLeast"/>
        <w:ind w:firstLine="480"/>
        <w:rPr>
          <w:sz w:val="24"/>
          <w:highlight w:val="none"/>
        </w:rPr>
      </w:pPr>
    </w:p>
    <w:p w14:paraId="6D2364C2">
      <w:pPr>
        <w:spacing w:line="0" w:lineRule="atLeast"/>
        <w:ind w:firstLine="480"/>
        <w:rPr>
          <w:sz w:val="24"/>
          <w:highlight w:val="none"/>
        </w:rPr>
      </w:pPr>
    </w:p>
    <w:p w14:paraId="186CE479">
      <w:pPr>
        <w:spacing w:line="0" w:lineRule="atLeast"/>
        <w:ind w:firstLine="480"/>
        <w:rPr>
          <w:sz w:val="24"/>
          <w:highlight w:val="none"/>
        </w:rPr>
      </w:pPr>
    </w:p>
    <w:p w14:paraId="72B7909D">
      <w:pPr>
        <w:spacing w:line="0" w:lineRule="atLeast"/>
        <w:ind w:firstLine="480"/>
        <w:rPr>
          <w:sz w:val="24"/>
          <w:highlight w:val="none"/>
        </w:rPr>
      </w:pPr>
    </w:p>
    <w:p w14:paraId="1389C6DE">
      <w:pPr>
        <w:spacing w:line="0" w:lineRule="atLeast"/>
        <w:ind w:firstLine="480"/>
        <w:rPr>
          <w:sz w:val="24"/>
          <w:highlight w:val="none"/>
        </w:rPr>
      </w:pPr>
    </w:p>
    <w:p w14:paraId="15827645">
      <w:pPr>
        <w:spacing w:line="0" w:lineRule="atLeast"/>
        <w:ind w:firstLine="480"/>
        <w:rPr>
          <w:sz w:val="24"/>
          <w:highlight w:val="none"/>
        </w:rPr>
      </w:pPr>
    </w:p>
    <w:p w14:paraId="78F44D5B">
      <w:pPr>
        <w:spacing w:line="0" w:lineRule="atLeast"/>
        <w:ind w:firstLine="480"/>
        <w:rPr>
          <w:sz w:val="24"/>
          <w:highlight w:val="none"/>
        </w:rPr>
      </w:pPr>
    </w:p>
    <w:p w14:paraId="04CA49C6">
      <w:pPr>
        <w:spacing w:line="0" w:lineRule="atLeast"/>
        <w:ind w:firstLine="480"/>
        <w:rPr>
          <w:sz w:val="24"/>
          <w:highlight w:val="none"/>
        </w:rPr>
      </w:pPr>
    </w:p>
    <w:p w14:paraId="750EB5E4">
      <w:pPr>
        <w:spacing w:line="0" w:lineRule="atLeast"/>
        <w:ind w:firstLine="480"/>
        <w:rPr>
          <w:sz w:val="24"/>
          <w:highlight w:val="none"/>
        </w:rPr>
      </w:pPr>
    </w:p>
    <w:p w14:paraId="3470427F">
      <w:pPr>
        <w:spacing w:line="0" w:lineRule="atLeast"/>
        <w:ind w:firstLine="480"/>
        <w:rPr>
          <w:sz w:val="24"/>
          <w:highlight w:val="none"/>
        </w:rPr>
      </w:pPr>
    </w:p>
    <w:p w14:paraId="7A5B8E32">
      <w:pPr>
        <w:spacing w:line="0" w:lineRule="atLeast"/>
        <w:ind w:firstLine="480"/>
        <w:rPr>
          <w:sz w:val="24"/>
          <w:highlight w:val="none"/>
        </w:rPr>
      </w:pPr>
    </w:p>
    <w:p w14:paraId="53604334">
      <w:pPr>
        <w:spacing w:line="0" w:lineRule="atLeast"/>
        <w:ind w:firstLine="480"/>
        <w:rPr>
          <w:sz w:val="24"/>
          <w:highlight w:val="none"/>
        </w:rPr>
      </w:pPr>
      <w:r>
        <w:rPr>
          <w:sz w:val="24"/>
          <w:highlight w:val="none"/>
        </w:rPr>
        <w:t> </w:t>
      </w:r>
    </w:p>
    <w:p w14:paraId="18EA9328">
      <w:pPr>
        <w:spacing w:line="0" w:lineRule="atLeast"/>
        <w:ind w:firstLine="480"/>
        <w:rPr>
          <w:sz w:val="24"/>
          <w:highlight w:val="none"/>
        </w:rPr>
      </w:pPr>
      <w:r>
        <w:rPr>
          <w:sz w:val="24"/>
          <w:highlight w:val="none"/>
        </w:rPr>
        <w:t> </w:t>
      </w:r>
    </w:p>
    <w:p w14:paraId="2A637D40">
      <w:pPr>
        <w:spacing w:line="0" w:lineRule="atLeast"/>
        <w:ind w:firstLine="480"/>
        <w:rPr>
          <w:sz w:val="24"/>
          <w:highlight w:val="none"/>
        </w:rPr>
      </w:pPr>
      <w:r>
        <w:rPr>
          <w:sz w:val="24"/>
          <w:highlight w:val="none"/>
        </w:rPr>
        <w:t> </w:t>
      </w:r>
    </w:p>
    <w:p w14:paraId="0DCF4408">
      <w:pPr>
        <w:spacing w:line="0" w:lineRule="atLeast"/>
        <w:ind w:firstLine="480"/>
        <w:rPr>
          <w:sz w:val="24"/>
          <w:highlight w:val="none"/>
        </w:rPr>
      </w:pPr>
      <w:r>
        <w:rPr>
          <w:sz w:val="24"/>
          <w:highlight w:val="none"/>
        </w:rPr>
        <w:t> </w:t>
      </w:r>
    </w:p>
    <w:p w14:paraId="4AEB472F">
      <w:pPr>
        <w:rPr>
          <w:sz w:val="24"/>
          <w:highlight w:val="none"/>
        </w:rPr>
      </w:pPr>
      <w:r>
        <w:rPr>
          <w:rFonts w:hint="eastAsia" w:ascii="黑体" w:hAnsi="宋体" w:eastAsia="黑体" w:cs="黑体"/>
          <w:i/>
          <w:sz w:val="32"/>
          <w:szCs w:val="32"/>
          <w:highlight w:val="none"/>
          <w:u w:val="single"/>
        </w:rPr>
        <w:t>一、法人或者其他组织的营业执照等证明文件，自然人的身份证明</w:t>
      </w:r>
    </w:p>
    <w:p w14:paraId="69D471B6">
      <w:pPr>
        <w:spacing w:line="0" w:lineRule="atLeast"/>
        <w:ind w:firstLine="480"/>
        <w:rPr>
          <w:sz w:val="24"/>
          <w:highlight w:val="none"/>
        </w:rPr>
      </w:pPr>
      <w:r>
        <w:rPr>
          <w:sz w:val="24"/>
          <w:highlight w:val="none"/>
        </w:rPr>
        <w:t> </w:t>
      </w:r>
    </w:p>
    <w:p w14:paraId="032F0A29">
      <w:pPr>
        <w:rPr>
          <w:rFonts w:eastAsia="黑体"/>
          <w:sz w:val="24"/>
          <w:highlight w:val="none"/>
        </w:rPr>
      </w:pPr>
      <w:r>
        <w:rPr>
          <w:rFonts w:hint="eastAsia" w:ascii="黑体" w:hAnsi="宋体" w:eastAsia="黑体" w:cs="黑体"/>
          <w:i/>
          <w:sz w:val="32"/>
          <w:szCs w:val="32"/>
          <w:highlight w:val="none"/>
          <w:u w:val="single"/>
        </w:rPr>
        <w:t>二、上一年度的财务状况报表</w:t>
      </w:r>
    </w:p>
    <w:p w14:paraId="1E1EEB8C">
      <w:pPr>
        <w:spacing w:line="0" w:lineRule="atLeast"/>
        <w:ind w:firstLine="480"/>
        <w:rPr>
          <w:sz w:val="24"/>
          <w:highlight w:val="none"/>
        </w:rPr>
      </w:pPr>
      <w:r>
        <w:rPr>
          <w:rFonts w:hint="eastAsia" w:ascii="宋体" w:hAnsi="宋体" w:cs="宋体"/>
          <w:sz w:val="24"/>
          <w:highlight w:val="none"/>
        </w:rPr>
        <w:t>投标人成立不满一年不需提供</w:t>
      </w:r>
    </w:p>
    <w:p w14:paraId="5EB85CAB">
      <w:pPr>
        <w:rPr>
          <w:sz w:val="24"/>
          <w:highlight w:val="none"/>
        </w:rPr>
      </w:pPr>
      <w:r>
        <w:rPr>
          <w:sz w:val="24"/>
          <w:highlight w:val="none"/>
        </w:rPr>
        <w:t> </w:t>
      </w:r>
    </w:p>
    <w:p w14:paraId="31083F9C">
      <w:pPr>
        <w:rPr>
          <w:sz w:val="24"/>
          <w:highlight w:val="none"/>
        </w:rPr>
      </w:pPr>
      <w:r>
        <w:rPr>
          <w:sz w:val="24"/>
          <w:highlight w:val="none"/>
        </w:rPr>
        <w:t> </w:t>
      </w:r>
    </w:p>
    <w:p w14:paraId="79A656D0">
      <w:pPr>
        <w:rPr>
          <w:sz w:val="24"/>
          <w:highlight w:val="none"/>
        </w:rPr>
      </w:pPr>
      <w:r>
        <w:rPr>
          <w:rFonts w:hint="eastAsia" w:ascii="黑体" w:hAnsi="宋体" w:eastAsia="黑体" w:cs="黑体"/>
          <w:i/>
          <w:sz w:val="32"/>
          <w:szCs w:val="32"/>
          <w:highlight w:val="none"/>
          <w:u w:val="single"/>
        </w:rPr>
        <w:t>三、具备履行合同所必需的设备和专业技术能力的书面声明</w:t>
      </w:r>
    </w:p>
    <w:p w14:paraId="6ED200E2">
      <w:pPr>
        <w:spacing w:line="0" w:lineRule="atLeast"/>
        <w:ind w:firstLine="492"/>
        <w:rPr>
          <w:sz w:val="24"/>
          <w:highlight w:val="none"/>
        </w:rPr>
      </w:pPr>
      <w:r>
        <w:rPr>
          <w:rFonts w:hint="eastAsia" w:ascii="宋体" w:hAnsi="宋体" w:cs="宋体"/>
          <w:sz w:val="24"/>
          <w:highlight w:val="none"/>
        </w:rPr>
        <w:t>我单位郑重声明：我单位具备履行本项采购合同所必需的设备和专业技术能力，为履行本项采购合同我公司具备如下主要设备和主要专业技术能力：</w:t>
      </w:r>
    </w:p>
    <w:p w14:paraId="6DC6FC05">
      <w:pPr>
        <w:spacing w:line="0" w:lineRule="atLeast"/>
        <w:ind w:firstLine="492"/>
        <w:rPr>
          <w:sz w:val="24"/>
          <w:highlight w:val="none"/>
        </w:rPr>
      </w:pPr>
      <w:r>
        <w:rPr>
          <w:rFonts w:hint="eastAsia" w:ascii="宋体" w:hAnsi="宋体" w:cs="宋体"/>
          <w:sz w:val="24"/>
          <w:highlight w:val="none"/>
        </w:rPr>
        <w:t>主要设备有：</w:t>
      </w:r>
      <w:r>
        <w:rPr>
          <w:rFonts w:hint="eastAsia" w:ascii="宋体" w:hAnsi="宋体" w:cs="宋体"/>
          <w:sz w:val="24"/>
          <w:highlight w:val="none"/>
          <w:u w:val="single"/>
        </w:rPr>
        <w:t xml:space="preserve">  </w:t>
      </w:r>
      <w:r>
        <w:rPr>
          <w:rFonts w:hint="eastAsia" w:ascii="宋体" w:hAnsi="宋体" w:cs="宋体"/>
          <w:sz w:val="24"/>
          <w:highlight w:val="none"/>
        </w:rPr>
        <w:t>。</w:t>
      </w:r>
    </w:p>
    <w:p w14:paraId="2C463262">
      <w:pPr>
        <w:rPr>
          <w:rFonts w:ascii="宋体" w:hAnsi="宋体" w:cs="宋体"/>
          <w:sz w:val="24"/>
          <w:highlight w:val="none"/>
        </w:rPr>
      </w:pPr>
      <w:r>
        <w:rPr>
          <w:rFonts w:hint="eastAsia" w:ascii="宋体" w:hAnsi="宋体" w:cs="宋体"/>
          <w:sz w:val="24"/>
          <w:highlight w:val="none"/>
        </w:rPr>
        <w:t>主要专业技术能力有：</w:t>
      </w:r>
      <w:r>
        <w:rPr>
          <w:rFonts w:hint="eastAsia" w:ascii="宋体" w:hAnsi="宋体" w:cs="宋体"/>
          <w:sz w:val="24"/>
          <w:highlight w:val="none"/>
          <w:u w:val="single"/>
        </w:rPr>
        <w:t xml:space="preserve">   </w:t>
      </w:r>
      <w:r>
        <w:rPr>
          <w:rFonts w:hint="eastAsia" w:ascii="宋体" w:hAnsi="宋体" w:cs="宋体"/>
          <w:sz w:val="24"/>
          <w:highlight w:val="none"/>
        </w:rPr>
        <w:t>。</w:t>
      </w:r>
    </w:p>
    <w:p w14:paraId="7051052F">
      <w:pPr>
        <w:rPr>
          <w:sz w:val="24"/>
          <w:highlight w:val="none"/>
        </w:rPr>
      </w:pPr>
      <w:r>
        <w:rPr>
          <w:rFonts w:hint="eastAsia" w:ascii="黑体" w:hAnsi="宋体" w:eastAsia="黑体" w:cs="黑体"/>
          <w:i/>
          <w:sz w:val="32"/>
          <w:szCs w:val="32"/>
          <w:highlight w:val="none"/>
          <w:u w:val="single"/>
        </w:rPr>
        <w:t>四、依法缴纳税收和社会保障资金的相关材料</w:t>
      </w:r>
    </w:p>
    <w:p w14:paraId="72976F12">
      <w:pPr>
        <w:ind w:firstLine="480"/>
        <w:rPr>
          <w:sz w:val="24"/>
          <w:highlight w:val="none"/>
        </w:rPr>
      </w:pPr>
      <w:bookmarkStart w:id="130" w:name="_Toc120614284"/>
      <w:r>
        <w:rPr>
          <w:rFonts w:hint="eastAsia" w:ascii="宋体" w:hAnsi="宋体" w:cs="宋体"/>
          <w:sz w:val="24"/>
          <w:highlight w:val="none"/>
        </w:rPr>
        <w:t>提供提交投标文件截止时间前一年内至少一个月依法缴纳税收及缴纳社会保障资金的证明材料。投标人依法享受缓缴、免缴税收、社会保障资金的提供证明材料。</w:t>
      </w:r>
      <w:bookmarkEnd w:id="130"/>
    </w:p>
    <w:p w14:paraId="1D0782A0">
      <w:pPr>
        <w:rPr>
          <w:sz w:val="24"/>
          <w:highlight w:val="none"/>
        </w:rPr>
      </w:pPr>
      <w:r>
        <w:rPr>
          <w:rFonts w:hint="eastAsia" w:ascii="黑体" w:hAnsi="宋体" w:eastAsia="黑体" w:cs="黑体"/>
          <w:i/>
          <w:sz w:val="32"/>
          <w:szCs w:val="32"/>
          <w:highlight w:val="none"/>
          <w:u w:val="single"/>
        </w:rPr>
        <w:t>五、参加政府采购活动前 3 年内在经营活动中没有重大违法记录的书面声明</w:t>
      </w:r>
    </w:p>
    <w:p w14:paraId="734E46F4">
      <w:pPr>
        <w:spacing w:line="0" w:lineRule="atLeast"/>
        <w:rPr>
          <w:sz w:val="24"/>
          <w:highlight w:val="none"/>
        </w:rPr>
      </w:pPr>
      <w:r>
        <w:rPr>
          <w:rFonts w:hint="eastAsia" w:ascii="宋体" w:hAnsi="宋体" w:cs="宋体"/>
          <w:b/>
          <w:sz w:val="44"/>
          <w:szCs w:val="44"/>
          <w:highlight w:val="none"/>
        </w:rPr>
        <w:t>       声  明</w:t>
      </w:r>
    </w:p>
    <w:p w14:paraId="0B7498C5">
      <w:pPr>
        <w:spacing w:line="0" w:lineRule="atLeast"/>
        <w:rPr>
          <w:sz w:val="24"/>
          <w:highlight w:val="none"/>
        </w:rPr>
      </w:pPr>
      <w:r>
        <w:rPr>
          <w:rFonts w:hint="eastAsia" w:ascii="宋体" w:hAnsi="宋体" w:cs="宋体"/>
          <w:b/>
          <w:sz w:val="24"/>
          <w:highlight w:val="none"/>
        </w:rPr>
        <w:t xml:space="preserve">    </w:t>
      </w:r>
      <w:r>
        <w:rPr>
          <w:rFonts w:hint="eastAsia" w:ascii="宋体" w:hAnsi="宋体" w:cs="宋体"/>
          <w:sz w:val="24"/>
          <w:highlight w:val="none"/>
        </w:rPr>
        <w:t>我单位郑重声明：参加本次政府采购活动前 3 年内，我单位在经营活动中没有因违法经营受到刑事处罚或者责令停产停业、吊销许可证或者执照、较大数额罚款等行政处罚。</w:t>
      </w:r>
    </w:p>
    <w:p w14:paraId="38A4EF66">
      <w:pPr>
        <w:rPr>
          <w:sz w:val="24"/>
          <w:highlight w:val="none"/>
        </w:rPr>
      </w:pPr>
      <w:r>
        <w:rPr>
          <w:sz w:val="24"/>
          <w:highlight w:val="none"/>
        </w:rPr>
        <w:t> </w:t>
      </w:r>
    </w:p>
    <w:p w14:paraId="335858E1">
      <w:pPr>
        <w:rPr>
          <w:sz w:val="24"/>
          <w:highlight w:val="none"/>
        </w:rPr>
      </w:pPr>
      <w:r>
        <w:rPr>
          <w:rFonts w:hint="eastAsia" w:ascii="黑体" w:hAnsi="宋体" w:eastAsia="黑体" w:cs="黑体"/>
          <w:i/>
          <w:sz w:val="32"/>
          <w:szCs w:val="32"/>
          <w:highlight w:val="none"/>
          <w:u w:val="single"/>
        </w:rPr>
        <w:t>六、特定资格要求的证明文件</w:t>
      </w:r>
    </w:p>
    <w:p w14:paraId="422A3CCD">
      <w:pPr>
        <w:spacing w:line="0" w:lineRule="atLeast"/>
        <w:rPr>
          <w:sz w:val="24"/>
          <w:highlight w:val="none"/>
        </w:rPr>
      </w:pPr>
      <w:r>
        <w:rPr>
          <w:rFonts w:hint="eastAsia" w:ascii="宋体" w:hAnsi="宋体" w:cs="宋体"/>
          <w:sz w:val="24"/>
          <w:highlight w:val="none"/>
        </w:rPr>
        <w:t>    如果本项目申请人的特定资格要求中要求提供的，必须提供。</w:t>
      </w:r>
    </w:p>
    <w:p w14:paraId="261EE5C7">
      <w:pPr>
        <w:spacing w:line="0" w:lineRule="atLeast"/>
        <w:rPr>
          <w:sz w:val="24"/>
          <w:highlight w:val="none"/>
        </w:rPr>
      </w:pPr>
      <w:r>
        <w:rPr>
          <w:sz w:val="24"/>
          <w:highlight w:val="none"/>
        </w:rPr>
        <w:t> </w:t>
      </w:r>
    </w:p>
    <w:p w14:paraId="6EE9A7FD">
      <w:pPr>
        <w:jc w:val="center"/>
        <w:rPr>
          <w:rFonts w:ascii="黑体" w:hAnsi="宋体" w:eastAsia="黑体" w:cs="黑体"/>
          <w:i/>
          <w:sz w:val="32"/>
          <w:szCs w:val="32"/>
          <w:highlight w:val="none"/>
          <w:u w:val="single"/>
        </w:rPr>
      </w:pPr>
    </w:p>
    <w:p w14:paraId="466E0DDE">
      <w:pPr>
        <w:jc w:val="center"/>
        <w:rPr>
          <w:rFonts w:ascii="黑体" w:hAnsi="宋体" w:eastAsia="黑体" w:cs="黑体"/>
          <w:i/>
          <w:sz w:val="32"/>
          <w:szCs w:val="32"/>
          <w:highlight w:val="none"/>
          <w:u w:val="single"/>
        </w:rPr>
      </w:pPr>
    </w:p>
    <w:p w14:paraId="587B5BE5">
      <w:pPr>
        <w:jc w:val="center"/>
        <w:rPr>
          <w:rFonts w:ascii="黑体" w:hAnsi="宋体" w:eastAsia="黑体" w:cs="黑体"/>
          <w:i/>
          <w:sz w:val="32"/>
          <w:szCs w:val="32"/>
          <w:highlight w:val="none"/>
          <w:u w:val="single"/>
        </w:rPr>
      </w:pPr>
    </w:p>
    <w:p w14:paraId="50B9FF46">
      <w:pPr>
        <w:jc w:val="center"/>
        <w:rPr>
          <w:rFonts w:ascii="黑体" w:hAnsi="宋体" w:eastAsia="黑体" w:cs="黑体"/>
          <w:i/>
          <w:sz w:val="32"/>
          <w:szCs w:val="32"/>
          <w:highlight w:val="none"/>
          <w:u w:val="single"/>
        </w:rPr>
      </w:pPr>
    </w:p>
    <w:p w14:paraId="52EBC127">
      <w:pPr>
        <w:jc w:val="center"/>
        <w:rPr>
          <w:rFonts w:ascii="黑体" w:hAnsi="宋体" w:eastAsia="黑体" w:cs="黑体"/>
          <w:i/>
          <w:sz w:val="32"/>
          <w:szCs w:val="32"/>
          <w:highlight w:val="none"/>
          <w:u w:val="single"/>
        </w:rPr>
      </w:pPr>
    </w:p>
    <w:p w14:paraId="5449916B">
      <w:pPr>
        <w:jc w:val="center"/>
        <w:rPr>
          <w:rFonts w:ascii="黑体" w:hAnsi="宋体" w:eastAsia="黑体" w:cs="黑体"/>
          <w:i/>
          <w:sz w:val="32"/>
          <w:szCs w:val="32"/>
          <w:highlight w:val="none"/>
          <w:u w:val="single"/>
        </w:rPr>
      </w:pPr>
    </w:p>
    <w:p w14:paraId="402F50BA">
      <w:pPr>
        <w:jc w:val="center"/>
        <w:rPr>
          <w:rFonts w:ascii="黑体" w:hAnsi="宋体" w:eastAsia="黑体" w:cs="黑体"/>
          <w:i/>
          <w:sz w:val="32"/>
          <w:szCs w:val="32"/>
          <w:highlight w:val="none"/>
          <w:u w:val="single"/>
        </w:rPr>
      </w:pPr>
    </w:p>
    <w:p w14:paraId="5B6902BE">
      <w:pPr>
        <w:jc w:val="center"/>
        <w:rPr>
          <w:rFonts w:ascii="黑体" w:hAnsi="宋体" w:eastAsia="黑体" w:cs="黑体"/>
          <w:i/>
          <w:sz w:val="32"/>
          <w:szCs w:val="32"/>
          <w:highlight w:val="none"/>
          <w:u w:val="single"/>
        </w:rPr>
      </w:pPr>
    </w:p>
    <w:p w14:paraId="0416C710">
      <w:pPr>
        <w:jc w:val="center"/>
        <w:rPr>
          <w:rFonts w:ascii="黑体" w:hAnsi="宋体" w:eastAsia="黑体" w:cs="黑体"/>
          <w:i/>
          <w:sz w:val="32"/>
          <w:szCs w:val="32"/>
          <w:highlight w:val="none"/>
          <w:u w:val="single"/>
        </w:rPr>
      </w:pPr>
    </w:p>
    <w:p w14:paraId="6F8E220D">
      <w:pPr>
        <w:jc w:val="center"/>
        <w:rPr>
          <w:rFonts w:ascii="黑体" w:hAnsi="宋体" w:eastAsia="黑体" w:cs="黑体"/>
          <w:i/>
          <w:sz w:val="32"/>
          <w:szCs w:val="32"/>
          <w:highlight w:val="none"/>
          <w:u w:val="single"/>
        </w:rPr>
      </w:pPr>
    </w:p>
    <w:p w14:paraId="457562F8">
      <w:pPr>
        <w:jc w:val="center"/>
        <w:rPr>
          <w:rFonts w:ascii="黑体" w:hAnsi="宋体" w:eastAsia="黑体" w:cs="黑体"/>
          <w:i/>
          <w:sz w:val="32"/>
          <w:szCs w:val="32"/>
          <w:highlight w:val="none"/>
          <w:u w:val="single"/>
        </w:rPr>
      </w:pPr>
    </w:p>
    <w:p w14:paraId="103C1426">
      <w:pPr>
        <w:jc w:val="center"/>
        <w:rPr>
          <w:rFonts w:ascii="黑体" w:hAnsi="宋体" w:eastAsia="黑体" w:cs="黑体"/>
          <w:i/>
          <w:sz w:val="32"/>
          <w:szCs w:val="32"/>
          <w:highlight w:val="none"/>
          <w:u w:val="single"/>
        </w:rPr>
      </w:pPr>
    </w:p>
    <w:p w14:paraId="6F10D855">
      <w:pPr>
        <w:jc w:val="center"/>
        <w:rPr>
          <w:rFonts w:ascii="黑体" w:hAnsi="宋体" w:eastAsia="黑体" w:cs="黑体"/>
          <w:i/>
          <w:sz w:val="32"/>
          <w:szCs w:val="32"/>
          <w:highlight w:val="none"/>
          <w:u w:val="single"/>
        </w:rPr>
      </w:pPr>
    </w:p>
    <w:p w14:paraId="2905BF93">
      <w:pPr>
        <w:jc w:val="center"/>
        <w:rPr>
          <w:sz w:val="24"/>
          <w:highlight w:val="none"/>
        </w:rPr>
      </w:pPr>
      <w:r>
        <w:rPr>
          <w:rFonts w:hint="eastAsia" w:ascii="黑体" w:hAnsi="宋体" w:eastAsia="黑体" w:cs="黑体"/>
          <w:i/>
          <w:sz w:val="32"/>
          <w:szCs w:val="32"/>
          <w:highlight w:val="none"/>
          <w:u w:val="single"/>
        </w:rPr>
        <w:t>七、法人授权书</w:t>
      </w:r>
    </w:p>
    <w:p w14:paraId="6C191E6B">
      <w:pPr>
        <w:tabs>
          <w:tab w:val="left" w:pos="360"/>
        </w:tabs>
        <w:ind w:firstLine="480"/>
        <w:rPr>
          <w:sz w:val="24"/>
          <w:highlight w:val="none"/>
        </w:rPr>
      </w:pPr>
      <w:r>
        <w:rPr>
          <w:rFonts w:ascii="Times New Roman" w:hAnsi="Times New Roman"/>
          <w:sz w:val="24"/>
          <w:highlight w:val="none"/>
        </w:rPr>
        <w:t>本授权书声明：____________（投标人名称）授权________________（被授权人的姓名）为我方就</w:t>
      </w:r>
      <w:r>
        <w:rPr>
          <w:rFonts w:hint="eastAsia" w:ascii="Times New Roman" w:hAnsi="Times New Roman"/>
          <w:sz w:val="24"/>
          <w:highlight w:val="none"/>
          <w:u w:val="single"/>
        </w:rPr>
        <w:t xml:space="preserve">            </w:t>
      </w:r>
      <w:r>
        <w:rPr>
          <w:rFonts w:ascii="Times New Roman" w:hAnsi="Times New Roman"/>
          <w:sz w:val="24"/>
          <w:highlight w:val="none"/>
          <w:u w:val="single"/>
        </w:rPr>
        <w:t xml:space="preserve"> </w:t>
      </w:r>
      <w:r>
        <w:rPr>
          <w:rFonts w:ascii="Times New Roman" w:hAnsi="Times New Roman"/>
          <w:sz w:val="24"/>
          <w:highlight w:val="none"/>
        </w:rPr>
        <w:t>号项目采购活动的合法代理人，以本单位名义全权处理一切与该项目采购有关的事务。</w:t>
      </w:r>
    </w:p>
    <w:p w14:paraId="41A54319">
      <w:pPr>
        <w:tabs>
          <w:tab w:val="left" w:pos="360"/>
        </w:tabs>
        <w:ind w:firstLine="480"/>
        <w:rPr>
          <w:sz w:val="24"/>
          <w:highlight w:val="none"/>
        </w:rPr>
      </w:pPr>
      <w:r>
        <w:rPr>
          <w:rFonts w:ascii="Times New Roman" w:hAnsi="Times New Roman"/>
          <w:sz w:val="24"/>
          <w:highlight w:val="none"/>
        </w:rPr>
        <w:t>本授权书于______年____月____日起生效，特此声明。</w:t>
      </w:r>
    </w:p>
    <w:p w14:paraId="04D29B2F">
      <w:pPr>
        <w:tabs>
          <w:tab w:val="left" w:pos="360"/>
        </w:tabs>
        <w:rPr>
          <w:sz w:val="24"/>
          <w:highlight w:val="none"/>
        </w:rPr>
      </w:pPr>
      <w:r>
        <w:rPr>
          <w:rFonts w:ascii="Times New Roman" w:hAnsi="Times New Roman"/>
          <w:sz w:val="24"/>
          <w:highlight w:val="none"/>
        </w:rPr>
        <w:t>          被授权人身份证号码：</w:t>
      </w:r>
      <w:r>
        <w:rPr>
          <w:rFonts w:ascii="Times New Roman" w:hAnsi="Times New Roman"/>
          <w:sz w:val="24"/>
          <w:highlight w:val="none"/>
          <w:u w:val="single"/>
        </w:rPr>
        <w:t xml:space="preserve">                              </w:t>
      </w:r>
    </w:p>
    <w:p w14:paraId="582679F2">
      <w:pPr>
        <w:tabs>
          <w:tab w:val="left" w:pos="360"/>
        </w:tabs>
        <w:rPr>
          <w:sz w:val="24"/>
          <w:highlight w:val="none"/>
        </w:rPr>
      </w:pPr>
      <w:r>
        <w:rPr>
          <w:rFonts w:ascii="Times New Roman" w:hAnsi="Times New Roman"/>
          <w:sz w:val="24"/>
          <w:highlight w:val="none"/>
        </w:rPr>
        <w:t>          被授权人联系电话：（手机）</w:t>
      </w:r>
      <w:r>
        <w:rPr>
          <w:rFonts w:ascii="Times New Roman" w:hAnsi="Times New Roman"/>
          <w:sz w:val="24"/>
          <w:highlight w:val="none"/>
          <w:u w:val="single"/>
        </w:rPr>
        <w:t xml:space="preserve">                          </w:t>
      </w:r>
    </w:p>
    <w:p w14:paraId="4E6A3CFE">
      <w:pPr>
        <w:tabs>
          <w:tab w:val="left" w:pos="360"/>
        </w:tabs>
        <w:ind w:firstLine="1200"/>
        <w:rPr>
          <w:sz w:val="24"/>
          <w:highlight w:val="none"/>
        </w:rPr>
      </w:pPr>
      <w:r>
        <w:rPr>
          <w:rFonts w:ascii="Times New Roman" w:hAnsi="Times New Roman"/>
          <w:sz w:val="24"/>
          <w:highlight w:val="none"/>
        </w:rPr>
        <w:t>授权单位名称：</w:t>
      </w:r>
      <w:r>
        <w:rPr>
          <w:rFonts w:ascii="Times New Roman" w:hAnsi="Times New Roman"/>
          <w:sz w:val="24"/>
          <w:highlight w:val="none"/>
          <w:u w:val="single"/>
        </w:rPr>
        <w:t>（加盖CA电子公章）</w:t>
      </w:r>
    </w:p>
    <w:p w14:paraId="756813B4">
      <w:pPr>
        <w:tabs>
          <w:tab w:val="left" w:pos="360"/>
        </w:tabs>
        <w:ind w:firstLine="480"/>
        <w:rPr>
          <w:sz w:val="24"/>
          <w:highlight w:val="none"/>
        </w:rPr>
      </w:pPr>
      <w:r>
        <w:rPr>
          <w:rFonts w:ascii="Times New Roman" w:hAnsi="Times New Roman"/>
          <w:sz w:val="24"/>
          <w:highlight w:val="none"/>
        </w:rPr>
        <w:t>      单位地址：</w:t>
      </w:r>
      <w:r>
        <w:rPr>
          <w:rFonts w:ascii="Times New Roman" w:hAnsi="Times New Roman"/>
          <w:sz w:val="24"/>
          <w:highlight w:val="none"/>
          <w:u w:val="single"/>
        </w:rPr>
        <w:t xml:space="preserve">                                         </w:t>
      </w:r>
    </w:p>
    <w:p w14:paraId="2DAF7344">
      <w:pPr>
        <w:tabs>
          <w:tab w:val="left" w:pos="360"/>
        </w:tabs>
        <w:ind w:firstLine="480"/>
        <w:rPr>
          <w:sz w:val="24"/>
          <w:highlight w:val="none"/>
        </w:rPr>
      </w:pPr>
      <w:r>
        <w:rPr>
          <w:rFonts w:ascii="Times New Roman" w:hAnsi="Times New Roman"/>
          <w:sz w:val="24"/>
          <w:highlight w:val="none"/>
        </w:rPr>
        <w:t>      日期：</w:t>
      </w:r>
      <w:bookmarkStart w:id="131" w:name="_Hlt26955070"/>
      <w:bookmarkStart w:id="132" w:name="_格式3__银行出具的资信证明"/>
      <w:bookmarkStart w:id="133" w:name="_Hlt26671380"/>
      <w:r>
        <w:rPr>
          <w:rFonts w:ascii="Times New Roman" w:hAnsi="Times New Roman"/>
          <w:sz w:val="24"/>
          <w:highlight w:val="none"/>
          <w:u w:val="single"/>
        </w:rPr>
        <w:t xml:space="preserve">                                         </w:t>
      </w:r>
    </w:p>
    <w:p w14:paraId="3B41B5CB">
      <w:pPr>
        <w:ind w:firstLine="420"/>
        <w:rPr>
          <w:sz w:val="24"/>
          <w:highlight w:val="none"/>
        </w:rPr>
      </w:pPr>
      <w:r>
        <w:rPr>
          <w:sz w:val="24"/>
          <w:highlight w:val="none"/>
        </w:rPr>
        <w:t> </w:t>
      </w:r>
    </w:p>
    <w:p w14:paraId="0A4CAE90">
      <w:pPr>
        <w:rPr>
          <w:sz w:val="24"/>
          <w:highlight w:val="none"/>
        </w:rPr>
      </w:pPr>
      <w:r>
        <w:rPr>
          <w:sz w:val="24"/>
          <w:highlight w:val="none"/>
        </w:rPr>
        <w:t> </w:t>
      </w:r>
    </w:p>
    <w:p w14:paraId="5E05AF62">
      <w:pPr>
        <w:spacing w:line="0" w:lineRule="atLeast"/>
        <w:rPr>
          <w:sz w:val="24"/>
          <w:highlight w:val="none"/>
        </w:rPr>
      </w:pPr>
      <w:r>
        <w:rPr>
          <w:sz w:val="24"/>
          <w:highlight w:val="none"/>
        </w:rPr>
        <w:t> </w:t>
      </w:r>
    </w:p>
    <w:p w14:paraId="7DDFC1BC">
      <w:pPr>
        <w:spacing w:line="0" w:lineRule="atLeast"/>
        <w:ind w:firstLine="480"/>
        <w:rPr>
          <w:rFonts w:ascii="宋体" w:hAnsi="宋体" w:cs="宋体"/>
          <w:sz w:val="24"/>
          <w:highlight w:val="none"/>
        </w:rPr>
      </w:pPr>
      <w:r>
        <w:rPr>
          <w:rFonts w:hint="eastAsia" w:ascii="宋体" w:hAnsi="宋体" w:cs="宋体"/>
          <w:sz w:val="24"/>
          <w:highlight w:val="none"/>
        </w:rPr>
        <w:t>备注 我公司（单位）委托进行现场演示的人员为（本项目如果无现场演示要求，请项目经办人自行删除该备注）</w:t>
      </w:r>
    </w:p>
    <w:p w14:paraId="1843FBFC">
      <w:pPr>
        <w:spacing w:line="0" w:lineRule="atLeast"/>
        <w:ind w:firstLine="480"/>
        <w:rPr>
          <w:rFonts w:ascii="宋体" w:hAnsi="宋体" w:cs="宋体"/>
          <w:sz w:val="24"/>
          <w:highlight w:val="none"/>
        </w:rPr>
      </w:pPr>
      <w:r>
        <w:rPr>
          <w:rFonts w:hint="eastAsia" w:ascii="宋体" w:hAnsi="宋体" w:cs="宋体"/>
          <w:sz w:val="24"/>
          <w:highlight w:val="none"/>
        </w:rPr>
        <w:t>        （人员姓名），身份证号          。</w:t>
      </w:r>
    </w:p>
    <w:p w14:paraId="196F0A11">
      <w:pPr>
        <w:spacing w:line="0" w:lineRule="atLeast"/>
        <w:ind w:firstLine="480"/>
        <w:rPr>
          <w:rFonts w:ascii="宋体" w:hAnsi="宋体" w:cs="宋体"/>
          <w:sz w:val="24"/>
          <w:highlight w:val="none"/>
        </w:rPr>
      </w:pPr>
      <w:r>
        <w:rPr>
          <w:rFonts w:hint="eastAsia" w:ascii="宋体" w:hAnsi="宋体" w:cs="宋体"/>
          <w:sz w:val="24"/>
          <w:highlight w:val="none"/>
        </w:rPr>
        <w:t>        ……</w:t>
      </w:r>
    </w:p>
    <w:p w14:paraId="092AD631">
      <w:pPr>
        <w:spacing w:line="0" w:lineRule="atLeast"/>
        <w:rPr>
          <w:sz w:val="24"/>
          <w:highlight w:val="none"/>
        </w:rPr>
      </w:pPr>
      <w:r>
        <w:rPr>
          <w:sz w:val="24"/>
          <w:highlight w:val="none"/>
        </w:rPr>
        <w:t> </w:t>
      </w:r>
    </w:p>
    <w:p w14:paraId="42C5359C">
      <w:pPr>
        <w:keepNext/>
        <w:keepLines/>
        <w:spacing w:before="260" w:after="260" w:line="415" w:lineRule="auto"/>
        <w:ind w:firstLine="3390"/>
        <w:rPr>
          <w:rFonts w:ascii="黑体" w:hAnsi="宋体" w:eastAsia="黑体" w:cs="黑体"/>
          <w:b/>
          <w:sz w:val="32"/>
          <w:szCs w:val="32"/>
          <w:highlight w:val="none"/>
        </w:rPr>
      </w:pPr>
      <w:r>
        <w:rPr>
          <w:rFonts w:hint="eastAsia" w:ascii="宋体" w:hAnsi="宋体" w:cs="宋体"/>
          <w:b/>
          <w:sz w:val="24"/>
          <w:highlight w:val="none"/>
        </w:rPr>
        <w:br w:type="page" w:clear="all"/>
      </w:r>
      <w:r>
        <w:rPr>
          <w:rFonts w:hint="eastAsia" w:ascii="宋体" w:hAnsi="宋体" w:cs="宋体"/>
          <w:b/>
          <w:sz w:val="24"/>
          <w:highlight w:val="none"/>
        </w:rPr>
        <w:t> </w:t>
      </w:r>
      <w:r>
        <w:rPr>
          <w:rFonts w:hint="eastAsia" w:ascii="黑体" w:hAnsi="宋体" w:eastAsia="黑体" w:cs="黑体"/>
          <w:b/>
          <w:sz w:val="32"/>
          <w:szCs w:val="32"/>
          <w:highlight w:val="none"/>
        </w:rPr>
        <w:t>八、投标函</w:t>
      </w:r>
    </w:p>
    <w:p w14:paraId="34AFAA72">
      <w:pPr>
        <w:spacing w:line="0" w:lineRule="atLeast"/>
        <w:jc w:val="left"/>
        <w:rPr>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盐城市生态环境局盐南高新区分局</w:t>
      </w:r>
    </w:p>
    <w:p w14:paraId="3B9162E9">
      <w:pPr>
        <w:spacing w:line="0" w:lineRule="atLeast"/>
        <w:ind w:firstLine="480"/>
        <w:jc w:val="left"/>
        <w:rPr>
          <w:sz w:val="24"/>
          <w:highlight w:val="none"/>
        </w:rPr>
      </w:pPr>
      <w:r>
        <w:rPr>
          <w:rFonts w:hint="eastAsia" w:ascii="宋体" w:hAnsi="宋体" w:cs="宋体"/>
          <w:sz w:val="24"/>
          <w:highlight w:val="none"/>
        </w:rPr>
        <w:t>根据贵方的           号招标文件，正式授权下述签字人______(姓名)代表我方______________（投标人的名称），全权处理本次项目投标的有关事宜。</w:t>
      </w:r>
    </w:p>
    <w:p w14:paraId="466244E2">
      <w:pPr>
        <w:spacing w:line="0" w:lineRule="atLeast"/>
        <w:ind w:firstLine="480"/>
        <w:jc w:val="left"/>
        <w:rPr>
          <w:sz w:val="24"/>
          <w:highlight w:val="none"/>
        </w:rPr>
      </w:pPr>
      <w:r>
        <w:rPr>
          <w:rFonts w:hint="eastAsia" w:ascii="宋体" w:hAnsi="宋体" w:cs="宋体"/>
          <w:sz w:val="24"/>
          <w:highlight w:val="none"/>
        </w:rPr>
        <w:t>据此函，__________签字人兹宣布同意如下：</w:t>
      </w:r>
    </w:p>
    <w:p w14:paraId="28FA0CD2">
      <w:pPr>
        <w:spacing w:line="0" w:lineRule="atLeast"/>
        <w:ind w:firstLine="480"/>
        <w:jc w:val="left"/>
        <w:rPr>
          <w:sz w:val="24"/>
          <w:highlight w:val="none"/>
        </w:rPr>
      </w:pPr>
      <w:r>
        <w:rPr>
          <w:rFonts w:hint="eastAsia" w:ascii="宋体" w:hAnsi="宋体" w:cs="宋体"/>
          <w:sz w:val="24"/>
          <w:highlight w:val="none"/>
        </w:rPr>
        <w:t>1.按招标文件规定的各项要求，向买方提供所需服务（包含与服务相关的货物）。</w:t>
      </w:r>
    </w:p>
    <w:p w14:paraId="41920768">
      <w:pPr>
        <w:spacing w:line="0" w:lineRule="atLeast"/>
        <w:ind w:firstLine="480"/>
        <w:jc w:val="left"/>
        <w:rPr>
          <w:sz w:val="24"/>
          <w:highlight w:val="none"/>
        </w:rPr>
      </w:pPr>
      <w:r>
        <w:rPr>
          <w:rFonts w:hint="eastAsia" w:ascii="宋体" w:hAnsi="宋体" w:cs="宋体"/>
          <w:sz w:val="24"/>
          <w:highlight w:val="none"/>
        </w:rPr>
        <w:t>2.我们完全理解贵方不一定将合同授予最低报价的投标人。</w:t>
      </w:r>
    </w:p>
    <w:p w14:paraId="770BF9E2">
      <w:pPr>
        <w:spacing w:line="0" w:lineRule="atLeast"/>
        <w:ind w:firstLine="480"/>
        <w:jc w:val="left"/>
        <w:rPr>
          <w:sz w:val="24"/>
          <w:highlight w:val="none"/>
        </w:rPr>
      </w:pPr>
      <w:r>
        <w:rPr>
          <w:rFonts w:hint="eastAsia" w:ascii="宋体" w:hAnsi="宋体" w:cs="宋体"/>
          <w:sz w:val="24"/>
          <w:highlight w:val="none"/>
        </w:rPr>
        <w:t>3.我们已详细审核全部招标文件及其有效补充文件，我们知道必须放弃提出含糊不清或误解问题的权利。</w:t>
      </w:r>
    </w:p>
    <w:p w14:paraId="3ECB965D">
      <w:pPr>
        <w:spacing w:line="0" w:lineRule="atLeast"/>
        <w:ind w:firstLine="480"/>
        <w:jc w:val="left"/>
        <w:rPr>
          <w:sz w:val="24"/>
          <w:highlight w:val="none"/>
        </w:rPr>
      </w:pPr>
      <w:r>
        <w:rPr>
          <w:rFonts w:hint="eastAsia" w:ascii="宋体" w:hAnsi="宋体" w:cs="宋体"/>
          <w:sz w:val="24"/>
          <w:highlight w:val="none"/>
        </w:rPr>
        <w:t>4.我们同意从规定的开标日期起遵循本投标文件，并在规定的投标有效期期满之前均具有约束力。</w:t>
      </w:r>
    </w:p>
    <w:p w14:paraId="49E60B97">
      <w:pPr>
        <w:spacing w:line="0" w:lineRule="atLeast"/>
        <w:ind w:firstLine="480"/>
        <w:jc w:val="left"/>
        <w:rPr>
          <w:sz w:val="24"/>
          <w:highlight w:val="none"/>
        </w:rPr>
      </w:pPr>
      <w:r>
        <w:rPr>
          <w:rFonts w:hint="eastAsia" w:ascii="宋体" w:hAnsi="宋体" w:cs="宋体"/>
          <w:sz w:val="24"/>
          <w:highlight w:val="none"/>
        </w:rPr>
        <w:t>5.同意向贵方提供贵方可能另外要求的与投标有关的任何证据或资料，并保证我方已提供和将要提供的文件是真实的、准确的。</w:t>
      </w:r>
    </w:p>
    <w:p w14:paraId="613065B9">
      <w:pPr>
        <w:spacing w:line="0" w:lineRule="atLeast"/>
        <w:ind w:firstLine="480"/>
        <w:jc w:val="left"/>
        <w:rPr>
          <w:sz w:val="24"/>
          <w:highlight w:val="none"/>
        </w:rPr>
      </w:pPr>
      <w:r>
        <w:rPr>
          <w:rFonts w:hint="eastAsia" w:ascii="宋体" w:hAnsi="宋体" w:cs="宋体"/>
          <w:sz w:val="24"/>
          <w:highlight w:val="none"/>
        </w:rPr>
        <w:t>6.一旦我方中标,我方将根据招标文件的规定，严格履行合同的责任和义务,并保证在招标文件规定的时间完成项目，交付买方验收、使用。</w:t>
      </w:r>
    </w:p>
    <w:p w14:paraId="26D2251A">
      <w:pPr>
        <w:spacing w:line="0" w:lineRule="atLeast"/>
        <w:ind w:firstLine="480"/>
        <w:jc w:val="left"/>
        <w:rPr>
          <w:sz w:val="24"/>
          <w:highlight w:val="none"/>
        </w:rPr>
      </w:pPr>
      <w:r>
        <w:rPr>
          <w:rFonts w:hint="eastAsia" w:ascii="宋体" w:hAnsi="宋体" w:cs="宋体"/>
          <w:sz w:val="24"/>
          <w:highlight w:val="none"/>
        </w:rPr>
        <w:t>7.与本投标有关的正式通讯地址为：</w:t>
      </w:r>
    </w:p>
    <w:p w14:paraId="53C5B556">
      <w:pPr>
        <w:spacing w:line="0" w:lineRule="atLeast"/>
        <w:ind w:left="420" w:firstLine="480"/>
        <w:jc w:val="left"/>
        <w:rPr>
          <w:sz w:val="24"/>
          <w:highlight w:val="none"/>
        </w:rPr>
      </w:pPr>
      <w:r>
        <w:rPr>
          <w:rFonts w:hint="eastAsia" w:ascii="宋体" w:hAnsi="宋体" w:cs="宋体"/>
          <w:sz w:val="24"/>
          <w:highlight w:val="none"/>
        </w:rPr>
        <w:t>地          址：</w:t>
      </w:r>
    </w:p>
    <w:p w14:paraId="7FDC8861">
      <w:pPr>
        <w:spacing w:line="0" w:lineRule="atLeast"/>
        <w:ind w:left="420" w:firstLine="480"/>
        <w:jc w:val="left"/>
        <w:rPr>
          <w:sz w:val="24"/>
          <w:highlight w:val="none"/>
        </w:rPr>
      </w:pPr>
      <w:r>
        <w:rPr>
          <w:rFonts w:hint="eastAsia" w:ascii="宋体" w:hAnsi="宋体" w:cs="宋体"/>
          <w:sz w:val="24"/>
          <w:highlight w:val="none"/>
        </w:rPr>
        <w:t>邮          编：</w:t>
      </w:r>
    </w:p>
    <w:p w14:paraId="4143EB2E">
      <w:pPr>
        <w:spacing w:line="0" w:lineRule="atLeast"/>
        <w:ind w:left="420" w:firstLine="480"/>
        <w:jc w:val="left"/>
        <w:rPr>
          <w:sz w:val="24"/>
          <w:highlight w:val="none"/>
        </w:rPr>
      </w:pPr>
      <w:r>
        <w:rPr>
          <w:rFonts w:hint="eastAsia" w:ascii="宋体" w:hAnsi="宋体" w:cs="宋体"/>
          <w:sz w:val="24"/>
          <w:highlight w:val="none"/>
        </w:rPr>
        <w:t>电          话：</w:t>
      </w:r>
    </w:p>
    <w:p w14:paraId="67B966AE">
      <w:pPr>
        <w:spacing w:line="0" w:lineRule="atLeast"/>
        <w:ind w:left="420" w:firstLine="480"/>
        <w:jc w:val="left"/>
        <w:rPr>
          <w:sz w:val="24"/>
          <w:highlight w:val="none"/>
        </w:rPr>
      </w:pPr>
      <w:r>
        <w:rPr>
          <w:rFonts w:hint="eastAsia" w:ascii="宋体" w:hAnsi="宋体" w:cs="宋体"/>
          <w:sz w:val="24"/>
          <w:highlight w:val="none"/>
        </w:rPr>
        <w:t>传          真：</w:t>
      </w:r>
    </w:p>
    <w:p w14:paraId="21DA2DA4">
      <w:pPr>
        <w:spacing w:line="0" w:lineRule="atLeast"/>
        <w:ind w:left="420" w:firstLine="480"/>
        <w:jc w:val="left"/>
        <w:rPr>
          <w:sz w:val="24"/>
          <w:highlight w:val="none"/>
        </w:rPr>
      </w:pPr>
      <w:r>
        <w:rPr>
          <w:rFonts w:hint="eastAsia" w:ascii="宋体" w:hAnsi="宋体" w:cs="宋体"/>
          <w:sz w:val="24"/>
          <w:highlight w:val="none"/>
        </w:rPr>
        <w:t>投标人开户行：</w:t>
      </w:r>
    </w:p>
    <w:p w14:paraId="13DD02F1">
      <w:pPr>
        <w:spacing w:line="0" w:lineRule="atLeast"/>
        <w:ind w:left="420" w:firstLine="480"/>
        <w:jc w:val="left"/>
        <w:rPr>
          <w:sz w:val="24"/>
          <w:highlight w:val="none"/>
        </w:rPr>
      </w:pPr>
      <w:r>
        <w:rPr>
          <w:rFonts w:hint="eastAsia" w:ascii="宋体" w:hAnsi="宋体" w:cs="宋体"/>
          <w:sz w:val="24"/>
          <w:highlight w:val="none"/>
        </w:rPr>
        <w:t xml:space="preserve">账          号： </w:t>
      </w:r>
    </w:p>
    <w:p w14:paraId="45D01C05">
      <w:pPr>
        <w:spacing w:line="0" w:lineRule="atLeast"/>
        <w:ind w:left="420" w:firstLine="480"/>
        <w:jc w:val="left"/>
        <w:rPr>
          <w:sz w:val="24"/>
          <w:highlight w:val="none"/>
        </w:rPr>
      </w:pPr>
      <w:r>
        <w:rPr>
          <w:rFonts w:hint="eastAsia" w:ascii="宋体" w:hAnsi="宋体" w:cs="宋体"/>
          <w:sz w:val="24"/>
          <w:highlight w:val="none"/>
        </w:rPr>
        <w:t>日           期：________年____月____日</w:t>
      </w:r>
    </w:p>
    <w:p w14:paraId="62016606">
      <w:pPr>
        <w:spacing w:line="0" w:lineRule="atLeast"/>
        <w:ind w:firstLine="240"/>
        <w:jc w:val="center"/>
        <w:rPr>
          <w:sz w:val="24"/>
          <w:highlight w:val="none"/>
        </w:rPr>
      </w:pPr>
      <w:r>
        <w:rPr>
          <w:sz w:val="24"/>
          <w:highlight w:val="none"/>
        </w:rPr>
        <w:t> </w:t>
      </w:r>
    </w:p>
    <w:p w14:paraId="246F4C54">
      <w:pPr>
        <w:spacing w:line="0" w:lineRule="atLeast"/>
        <w:ind w:firstLine="240"/>
        <w:jc w:val="center"/>
        <w:rPr>
          <w:sz w:val="24"/>
          <w:highlight w:val="none"/>
        </w:rPr>
      </w:pPr>
      <w:r>
        <w:rPr>
          <w:sz w:val="24"/>
          <w:highlight w:val="none"/>
        </w:rPr>
        <w:t> </w:t>
      </w:r>
    </w:p>
    <w:p w14:paraId="60E2B0A3">
      <w:pPr>
        <w:spacing w:line="0" w:lineRule="atLeast"/>
        <w:ind w:firstLine="240"/>
        <w:jc w:val="center"/>
        <w:rPr>
          <w:sz w:val="24"/>
          <w:highlight w:val="none"/>
        </w:rPr>
      </w:pPr>
      <w:r>
        <w:rPr>
          <w:sz w:val="24"/>
          <w:highlight w:val="none"/>
        </w:rPr>
        <w:t> </w:t>
      </w:r>
    </w:p>
    <w:p w14:paraId="319AF9C4">
      <w:pPr>
        <w:spacing w:line="0" w:lineRule="atLeast"/>
        <w:ind w:firstLine="240"/>
        <w:jc w:val="center"/>
        <w:rPr>
          <w:sz w:val="24"/>
          <w:highlight w:val="none"/>
        </w:rPr>
      </w:pPr>
      <w:r>
        <w:rPr>
          <w:sz w:val="24"/>
          <w:highlight w:val="none"/>
        </w:rPr>
        <w:t> </w:t>
      </w:r>
    </w:p>
    <w:p w14:paraId="1D330D43">
      <w:pPr>
        <w:spacing w:line="0" w:lineRule="atLeast"/>
        <w:ind w:firstLine="240"/>
        <w:jc w:val="center"/>
        <w:rPr>
          <w:sz w:val="24"/>
          <w:highlight w:val="none"/>
        </w:rPr>
      </w:pPr>
      <w:r>
        <w:rPr>
          <w:sz w:val="24"/>
          <w:highlight w:val="none"/>
        </w:rPr>
        <w:t> </w:t>
      </w:r>
    </w:p>
    <w:p w14:paraId="061158C4">
      <w:pPr>
        <w:spacing w:line="0" w:lineRule="atLeast"/>
        <w:ind w:firstLine="240"/>
        <w:jc w:val="center"/>
        <w:rPr>
          <w:sz w:val="24"/>
          <w:highlight w:val="none"/>
        </w:rPr>
      </w:pPr>
    </w:p>
    <w:p w14:paraId="6C589FB6">
      <w:pPr>
        <w:spacing w:line="0" w:lineRule="atLeast"/>
        <w:ind w:firstLine="240"/>
        <w:jc w:val="center"/>
        <w:rPr>
          <w:sz w:val="24"/>
          <w:highlight w:val="none"/>
        </w:rPr>
      </w:pPr>
    </w:p>
    <w:p w14:paraId="70A3687E">
      <w:pPr>
        <w:spacing w:line="0" w:lineRule="atLeast"/>
        <w:ind w:firstLine="240"/>
        <w:jc w:val="center"/>
        <w:rPr>
          <w:sz w:val="24"/>
          <w:highlight w:val="none"/>
        </w:rPr>
      </w:pPr>
    </w:p>
    <w:p w14:paraId="6C4A2ED9">
      <w:pPr>
        <w:spacing w:line="0" w:lineRule="atLeast"/>
        <w:ind w:firstLine="240"/>
        <w:jc w:val="center"/>
        <w:rPr>
          <w:sz w:val="24"/>
          <w:highlight w:val="none"/>
        </w:rPr>
      </w:pPr>
    </w:p>
    <w:p w14:paraId="7DA8C96D">
      <w:pPr>
        <w:spacing w:line="0" w:lineRule="atLeast"/>
        <w:ind w:firstLine="240"/>
        <w:jc w:val="center"/>
        <w:rPr>
          <w:sz w:val="24"/>
          <w:highlight w:val="none"/>
        </w:rPr>
      </w:pPr>
    </w:p>
    <w:p w14:paraId="33F683D6">
      <w:pPr>
        <w:spacing w:line="0" w:lineRule="atLeast"/>
        <w:ind w:firstLine="240"/>
        <w:jc w:val="center"/>
        <w:rPr>
          <w:sz w:val="24"/>
          <w:highlight w:val="none"/>
        </w:rPr>
      </w:pPr>
    </w:p>
    <w:p w14:paraId="0605F4FD">
      <w:pPr>
        <w:spacing w:line="0" w:lineRule="atLeast"/>
        <w:ind w:firstLine="240"/>
        <w:jc w:val="center"/>
        <w:rPr>
          <w:sz w:val="24"/>
          <w:highlight w:val="none"/>
        </w:rPr>
      </w:pPr>
    </w:p>
    <w:p w14:paraId="2953ADCC">
      <w:pPr>
        <w:spacing w:line="0" w:lineRule="atLeast"/>
        <w:ind w:firstLine="240"/>
        <w:jc w:val="center"/>
        <w:rPr>
          <w:sz w:val="24"/>
          <w:highlight w:val="none"/>
        </w:rPr>
      </w:pPr>
    </w:p>
    <w:p w14:paraId="17E26A41">
      <w:pPr>
        <w:spacing w:line="0" w:lineRule="atLeast"/>
        <w:ind w:firstLine="240"/>
        <w:jc w:val="center"/>
        <w:rPr>
          <w:sz w:val="24"/>
          <w:highlight w:val="none"/>
        </w:rPr>
      </w:pPr>
    </w:p>
    <w:p w14:paraId="211486E7">
      <w:pPr>
        <w:spacing w:line="0" w:lineRule="atLeast"/>
        <w:ind w:firstLine="240"/>
        <w:jc w:val="center"/>
        <w:rPr>
          <w:sz w:val="24"/>
          <w:highlight w:val="none"/>
        </w:rPr>
      </w:pPr>
    </w:p>
    <w:p w14:paraId="66C6E0F5">
      <w:pPr>
        <w:spacing w:line="0" w:lineRule="atLeast"/>
        <w:ind w:firstLine="240"/>
        <w:jc w:val="center"/>
        <w:rPr>
          <w:sz w:val="24"/>
          <w:highlight w:val="none"/>
        </w:rPr>
      </w:pPr>
    </w:p>
    <w:p w14:paraId="21C4504A">
      <w:pPr>
        <w:spacing w:line="0" w:lineRule="atLeast"/>
        <w:ind w:firstLine="240"/>
        <w:jc w:val="center"/>
        <w:rPr>
          <w:sz w:val="24"/>
          <w:highlight w:val="none"/>
        </w:rPr>
      </w:pPr>
    </w:p>
    <w:p w14:paraId="107AC83A">
      <w:pPr>
        <w:spacing w:line="0" w:lineRule="atLeast"/>
        <w:ind w:firstLine="240"/>
        <w:jc w:val="center"/>
        <w:rPr>
          <w:sz w:val="24"/>
          <w:highlight w:val="none"/>
        </w:rPr>
      </w:pPr>
    </w:p>
    <w:p w14:paraId="4545503D">
      <w:pPr>
        <w:spacing w:line="0" w:lineRule="atLeast"/>
        <w:ind w:firstLine="240"/>
        <w:jc w:val="center"/>
        <w:rPr>
          <w:sz w:val="24"/>
          <w:highlight w:val="none"/>
        </w:rPr>
      </w:pPr>
    </w:p>
    <w:p w14:paraId="3A7424A0">
      <w:pPr>
        <w:spacing w:line="0" w:lineRule="atLeast"/>
        <w:jc w:val="center"/>
        <w:rPr>
          <w:sz w:val="24"/>
          <w:highlight w:val="none"/>
        </w:rPr>
      </w:pPr>
      <w:r>
        <w:rPr>
          <w:sz w:val="24"/>
          <w:highlight w:val="none"/>
        </w:rPr>
        <w:t> </w:t>
      </w:r>
    </w:p>
    <w:p w14:paraId="76C7103C">
      <w:pPr>
        <w:spacing w:line="0" w:lineRule="atLeast"/>
        <w:jc w:val="center"/>
        <w:rPr>
          <w:sz w:val="24"/>
          <w:highlight w:val="none"/>
        </w:rPr>
      </w:pPr>
      <w:r>
        <w:rPr>
          <w:rFonts w:hint="eastAsia" w:ascii="黑体" w:hAnsi="宋体" w:eastAsia="黑体" w:cs="黑体"/>
          <w:b/>
          <w:sz w:val="32"/>
          <w:szCs w:val="32"/>
          <w:highlight w:val="none"/>
        </w:rPr>
        <w:t>九、中小企业声明函（服务）（分包号：**）</w:t>
      </w:r>
    </w:p>
    <w:p w14:paraId="25D544E0">
      <w:pPr>
        <w:spacing w:line="500" w:lineRule="exact"/>
        <w:ind w:firstLine="480"/>
        <w:rPr>
          <w:sz w:val="24"/>
          <w:highlight w:val="none"/>
        </w:rPr>
      </w:pPr>
      <w:r>
        <w:rPr>
          <w:rFonts w:hint="eastAsia"/>
          <w:sz w:val="24"/>
          <w:highlight w:val="none"/>
        </w:rPr>
        <w:t>本公司（联合体）郑重声明，根据《政府采购促进中小企业发展管理办法》（财库﹝2020﹞46 号）的规定，本公司（联合体）参加盐城市政府采购中心组织的</w:t>
      </w:r>
      <w:r>
        <w:rPr>
          <w:rFonts w:hint="eastAsia"/>
          <w:i/>
          <w:iCs/>
          <w:sz w:val="24"/>
          <w:highlight w:val="none"/>
          <w:u w:val="single"/>
        </w:rPr>
        <w:t>（单位名称）</w:t>
      </w:r>
      <w:r>
        <w:rPr>
          <w:rFonts w:hint="eastAsia"/>
          <w:sz w:val="24"/>
          <w:szCs w:val="20"/>
          <w:highlight w:val="none"/>
        </w:rPr>
        <w:t>，</w:t>
      </w:r>
      <w:r>
        <w:rPr>
          <w:rFonts w:hint="eastAsia"/>
          <w:sz w:val="24"/>
          <w:highlight w:val="none"/>
        </w:rPr>
        <w:t>采购编号为</w:t>
      </w:r>
      <w:r>
        <w:rPr>
          <w:rFonts w:hint="eastAsia"/>
          <w:sz w:val="24"/>
          <w:highlight w:val="none"/>
          <w:u w:val="single"/>
        </w:rPr>
        <w:t xml:space="preserve">     </w:t>
      </w:r>
      <w:r>
        <w:rPr>
          <w:rFonts w:hint="eastAsia"/>
          <w:sz w:val="24"/>
          <w:highlight w:val="none"/>
        </w:rPr>
        <w:t>的</w:t>
      </w:r>
      <w:r>
        <w:rPr>
          <w:rFonts w:hint="eastAsia"/>
          <w:i/>
          <w:iCs/>
          <w:sz w:val="24"/>
          <w:highlight w:val="none"/>
          <w:u w:val="single"/>
        </w:rPr>
        <w:t>（项目名称）</w:t>
      </w:r>
      <w:r>
        <w:rPr>
          <w:rFonts w:hint="eastAsia"/>
          <w:sz w:val="24"/>
          <w:highlight w:val="none"/>
        </w:rPr>
        <w:t>的采购活动，服务全部由符合政策要求的中小企业承接。相关企业（含联合体中的中小企业、签订分包意向协议的中小企业）的具体情况如下：</w:t>
      </w:r>
    </w:p>
    <w:p w14:paraId="2B10C7C3">
      <w:pPr>
        <w:numPr>
          <w:ilvl w:val="0"/>
          <w:numId w:val="6"/>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39955D1C">
      <w:pPr>
        <w:numPr>
          <w:ilvl w:val="0"/>
          <w:numId w:val="6"/>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1B820DC8">
      <w:pPr>
        <w:spacing w:line="500" w:lineRule="exact"/>
        <w:ind w:firstLine="480"/>
        <w:rPr>
          <w:sz w:val="24"/>
          <w:highlight w:val="none"/>
        </w:rPr>
      </w:pPr>
      <w:r>
        <w:rPr>
          <w:rFonts w:hint="eastAsia"/>
          <w:sz w:val="24"/>
          <w:highlight w:val="none"/>
        </w:rPr>
        <w:t>……</w:t>
      </w:r>
    </w:p>
    <w:p w14:paraId="0F792596">
      <w:pPr>
        <w:spacing w:line="500" w:lineRule="exact"/>
        <w:ind w:firstLine="480"/>
        <w:rPr>
          <w:sz w:val="24"/>
          <w:highlight w:val="none"/>
        </w:rPr>
      </w:pPr>
      <w:r>
        <w:rPr>
          <w:rFonts w:hint="eastAsia"/>
          <w:sz w:val="24"/>
          <w:highlight w:val="none"/>
        </w:rPr>
        <w:t>以上企业，不属于大企业的分支机构，不存在控股股东为大企业的情形，也不存在与大企业的负责人为同一人的情形。</w:t>
      </w:r>
    </w:p>
    <w:p w14:paraId="21CD0B3A">
      <w:pPr>
        <w:spacing w:line="500" w:lineRule="exact"/>
        <w:ind w:firstLine="480"/>
        <w:rPr>
          <w:sz w:val="24"/>
          <w:highlight w:val="none"/>
        </w:rPr>
      </w:pPr>
      <w:r>
        <w:rPr>
          <w:rFonts w:hint="eastAsia"/>
          <w:sz w:val="24"/>
          <w:highlight w:val="none"/>
        </w:rPr>
        <w:t>本企业对上述声明内容的真实性负责。如有虚假，将依法承担相应责任。</w:t>
      </w:r>
    </w:p>
    <w:p w14:paraId="7AEB52BA">
      <w:pPr>
        <w:spacing w:line="0" w:lineRule="atLeast"/>
        <w:ind w:right="720"/>
        <w:rPr>
          <w:sz w:val="24"/>
          <w:highlight w:val="none"/>
        </w:rPr>
      </w:pPr>
      <w:r>
        <w:rPr>
          <w:sz w:val="24"/>
          <w:highlight w:val="none"/>
        </w:rPr>
        <w:t> </w:t>
      </w:r>
    </w:p>
    <w:p w14:paraId="54EBDCD3">
      <w:pPr>
        <w:spacing w:line="0" w:lineRule="atLeast"/>
        <w:ind w:right="180" w:firstLine="360"/>
        <w:jc w:val="right"/>
        <w:rPr>
          <w:sz w:val="24"/>
          <w:highlight w:val="none"/>
        </w:rPr>
      </w:pPr>
      <w:r>
        <w:rPr>
          <w:rFonts w:hint="eastAsia" w:ascii="宋体" w:hAnsi="宋体" w:cs="宋体"/>
          <w:sz w:val="24"/>
          <w:highlight w:val="none"/>
        </w:rPr>
        <w:t>企业名称（加盖CA电子公章）：</w:t>
      </w:r>
    </w:p>
    <w:p w14:paraId="591A8396">
      <w:pPr>
        <w:spacing w:line="0" w:lineRule="atLeast"/>
        <w:ind w:right="480" w:firstLine="5400"/>
        <w:rPr>
          <w:sz w:val="24"/>
          <w:highlight w:val="none"/>
        </w:rPr>
      </w:pPr>
      <w:r>
        <w:rPr>
          <w:rFonts w:hint="eastAsia" w:ascii="宋体" w:hAnsi="宋体" w:cs="宋体"/>
          <w:sz w:val="24"/>
          <w:highlight w:val="none"/>
        </w:rPr>
        <w:t>日  期：</w:t>
      </w:r>
    </w:p>
    <w:p w14:paraId="58D63D43">
      <w:pPr>
        <w:spacing w:line="0" w:lineRule="atLeast"/>
        <w:ind w:firstLine="240"/>
        <w:rPr>
          <w:sz w:val="24"/>
          <w:highlight w:val="none"/>
        </w:rPr>
      </w:pPr>
      <w:r>
        <w:rPr>
          <w:sz w:val="24"/>
          <w:highlight w:val="none"/>
        </w:rPr>
        <w:t> </w:t>
      </w:r>
    </w:p>
    <w:p w14:paraId="1B7D39D3">
      <w:pPr>
        <w:spacing w:line="0" w:lineRule="atLeast"/>
        <w:ind w:firstLine="480"/>
        <w:rPr>
          <w:sz w:val="24"/>
          <w:highlight w:val="none"/>
        </w:rPr>
      </w:pPr>
      <w:r>
        <w:rPr>
          <w:rFonts w:hint="eastAsia" w:ascii="宋体" w:hAnsi="宋体" w:cs="宋体"/>
          <w:sz w:val="24"/>
          <w:highlight w:val="none"/>
        </w:rPr>
        <w:t>备注1：从业人员、营业收入、资产总额填报上一年度数据，无上一年度数据的新成立企业可不填报。</w:t>
      </w:r>
    </w:p>
    <w:p w14:paraId="5BC53CB1">
      <w:pPr>
        <w:spacing w:line="0" w:lineRule="atLeast"/>
        <w:ind w:firstLine="480"/>
        <w:rPr>
          <w:sz w:val="24"/>
          <w:highlight w:val="none"/>
        </w:rPr>
      </w:pPr>
      <w:r>
        <w:rPr>
          <w:rFonts w:hint="eastAsia" w:ascii="宋体" w:hAnsi="宋体" w:cs="宋体"/>
          <w:sz w:val="24"/>
          <w:highlight w:val="none"/>
        </w:rPr>
        <w:t>备注2：供应商如不提供此声明函，价格将不做相应扣除（如项目全面面向中小企业，则资格审查不通过）。</w:t>
      </w:r>
    </w:p>
    <w:p w14:paraId="5D34A266">
      <w:pPr>
        <w:spacing w:line="0" w:lineRule="atLeast"/>
        <w:jc w:val="center"/>
        <w:rPr>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十、残疾人福利性单位声明函（分包号：**）</w:t>
      </w:r>
    </w:p>
    <w:p w14:paraId="12AC6606">
      <w:pPr>
        <w:spacing w:line="0" w:lineRule="atLeast"/>
        <w:ind w:firstLine="480"/>
        <w:rPr>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项目（分包号：**）采购活动由本单位提供服务。</w:t>
      </w:r>
    </w:p>
    <w:p w14:paraId="50A96227">
      <w:pPr>
        <w:spacing w:line="0" w:lineRule="atLeast"/>
        <w:ind w:firstLine="480"/>
        <w:rPr>
          <w:sz w:val="24"/>
          <w:highlight w:val="none"/>
        </w:rPr>
      </w:pPr>
      <w:r>
        <w:rPr>
          <w:rFonts w:hint="eastAsia" w:ascii="宋体" w:hAnsi="宋体" w:cs="宋体"/>
          <w:sz w:val="24"/>
          <w:highlight w:val="none"/>
        </w:rPr>
        <w:t>本单位对上述声明的真实性负责。如有虚假，将依法承担相应责任。</w:t>
      </w:r>
    </w:p>
    <w:p w14:paraId="5AAFCDD2">
      <w:pPr>
        <w:spacing w:line="0" w:lineRule="atLeast"/>
        <w:ind w:firstLine="480"/>
        <w:rPr>
          <w:sz w:val="24"/>
          <w:highlight w:val="none"/>
        </w:rPr>
      </w:pPr>
      <w:r>
        <w:rPr>
          <w:sz w:val="24"/>
          <w:highlight w:val="none"/>
        </w:rPr>
        <w:t> </w:t>
      </w:r>
    </w:p>
    <w:p w14:paraId="4B9314E8">
      <w:pPr>
        <w:spacing w:line="0" w:lineRule="atLeast"/>
        <w:ind w:firstLine="480"/>
        <w:rPr>
          <w:sz w:val="24"/>
          <w:highlight w:val="none"/>
        </w:rPr>
      </w:pPr>
      <w:r>
        <w:rPr>
          <w:rFonts w:hint="eastAsia" w:ascii="宋体" w:hAnsi="宋体" w:cs="宋体"/>
          <w:sz w:val="24"/>
          <w:highlight w:val="none"/>
        </w:rPr>
        <w:t>备注：1、供应商如不提供此声明函，价格将不做相应扣除（如项目全面面向中小企业，则资格审查不通过）。</w:t>
      </w:r>
    </w:p>
    <w:p w14:paraId="39CD2923">
      <w:pPr>
        <w:spacing w:line="0" w:lineRule="atLeast"/>
        <w:ind w:firstLine="480"/>
        <w:rPr>
          <w:sz w:val="24"/>
          <w:highlight w:val="none"/>
        </w:rPr>
      </w:pPr>
      <w:r>
        <w:rPr>
          <w:rFonts w:hint="eastAsia" w:ascii="宋体" w:hAnsi="宋体" w:cs="宋体"/>
          <w:sz w:val="24"/>
          <w:highlight w:val="none"/>
        </w:rPr>
        <w:t>2、中标人为残疾人福利单位的，此声明函将随中标结果同时公告，接受社会监督</w:t>
      </w:r>
    </w:p>
    <w:p w14:paraId="72A4E5D8">
      <w:pPr>
        <w:spacing w:line="0" w:lineRule="atLeast"/>
        <w:ind w:firstLine="624"/>
        <w:rPr>
          <w:sz w:val="24"/>
          <w:highlight w:val="none"/>
        </w:rPr>
      </w:pPr>
      <w:r>
        <w:rPr>
          <w:sz w:val="24"/>
          <w:highlight w:val="none"/>
        </w:rPr>
        <w:t> </w:t>
      </w:r>
    </w:p>
    <w:p w14:paraId="6E0ED25F">
      <w:pPr>
        <w:tabs>
          <w:tab w:val="left" w:pos="4864"/>
        </w:tabs>
        <w:spacing w:line="0" w:lineRule="atLeast"/>
        <w:ind w:right="1560" w:firstLine="624"/>
        <w:jc w:val="center"/>
        <w:rPr>
          <w:sz w:val="24"/>
          <w:highlight w:val="none"/>
        </w:rPr>
      </w:pPr>
      <w:r>
        <w:rPr>
          <w:rFonts w:ascii="仿宋_GB2312" w:eastAsia="仿宋_GB2312" w:cs="仿宋_GB2312"/>
          <w:sz w:val="30"/>
          <w:szCs w:val="30"/>
          <w:highlight w:val="none"/>
        </w:rPr>
        <w:t xml:space="preserve">             </w:t>
      </w:r>
      <w:r>
        <w:rPr>
          <w:rFonts w:hint="eastAsia" w:ascii="宋体" w:hAnsi="宋体" w:cs="宋体"/>
          <w:sz w:val="24"/>
          <w:highlight w:val="none"/>
        </w:rPr>
        <w:t>          供应商全称（加盖CA电子公章）：</w:t>
      </w:r>
    </w:p>
    <w:p w14:paraId="54240B98">
      <w:pPr>
        <w:tabs>
          <w:tab w:val="left" w:pos="4864"/>
        </w:tabs>
        <w:spacing w:line="0" w:lineRule="atLeast"/>
        <w:ind w:right="1560" w:firstLine="480"/>
        <w:jc w:val="center"/>
        <w:rPr>
          <w:sz w:val="24"/>
          <w:highlight w:val="none"/>
        </w:rPr>
      </w:pPr>
      <w:r>
        <w:rPr>
          <w:rFonts w:hint="eastAsia" w:ascii="宋体" w:hAnsi="宋体" w:cs="宋体"/>
          <w:sz w:val="24"/>
          <w:highlight w:val="none"/>
        </w:rPr>
        <w:t>        日  期：</w:t>
      </w:r>
    </w:p>
    <w:p w14:paraId="7145743F">
      <w:pPr>
        <w:spacing w:line="0" w:lineRule="atLeast"/>
        <w:jc w:val="center"/>
        <w:rPr>
          <w:sz w:val="24"/>
          <w:highlight w:val="none"/>
        </w:rPr>
      </w:pPr>
      <w:r>
        <w:rPr>
          <w:sz w:val="24"/>
          <w:highlight w:val="none"/>
        </w:rPr>
        <w:t> </w:t>
      </w:r>
    </w:p>
    <w:p w14:paraId="2FAC4725">
      <w:pPr>
        <w:spacing w:line="0" w:lineRule="atLeast"/>
        <w:jc w:val="center"/>
        <w:rPr>
          <w:sz w:val="24"/>
          <w:highlight w:val="none"/>
        </w:rPr>
      </w:pPr>
      <w:r>
        <w:rPr>
          <w:sz w:val="24"/>
          <w:highlight w:val="none"/>
        </w:rPr>
        <w:t> </w:t>
      </w:r>
    </w:p>
    <w:p w14:paraId="2973E331">
      <w:pPr>
        <w:spacing w:line="0" w:lineRule="atLeast"/>
        <w:jc w:val="center"/>
        <w:rPr>
          <w:sz w:val="24"/>
          <w:highlight w:val="none"/>
        </w:rPr>
      </w:pPr>
      <w:r>
        <w:rPr>
          <w:sz w:val="24"/>
          <w:highlight w:val="none"/>
        </w:rPr>
        <w:t> </w:t>
      </w:r>
    </w:p>
    <w:p w14:paraId="3FF49FC0">
      <w:pPr>
        <w:spacing w:line="0" w:lineRule="atLeast"/>
        <w:jc w:val="center"/>
        <w:rPr>
          <w:sz w:val="24"/>
          <w:highlight w:val="none"/>
        </w:rPr>
      </w:pPr>
      <w:r>
        <w:rPr>
          <w:sz w:val="24"/>
          <w:highlight w:val="none"/>
        </w:rPr>
        <w:t> </w:t>
      </w:r>
    </w:p>
    <w:p w14:paraId="05434F66">
      <w:pPr>
        <w:spacing w:line="0" w:lineRule="atLeast"/>
        <w:jc w:val="center"/>
        <w:rPr>
          <w:sz w:val="24"/>
          <w:highlight w:val="none"/>
        </w:rPr>
      </w:pPr>
      <w:r>
        <w:rPr>
          <w:sz w:val="24"/>
          <w:highlight w:val="none"/>
        </w:rPr>
        <w:t> </w:t>
      </w:r>
    </w:p>
    <w:p w14:paraId="526FD8AB">
      <w:pPr>
        <w:spacing w:line="0" w:lineRule="atLeast"/>
        <w:jc w:val="center"/>
        <w:rPr>
          <w:sz w:val="24"/>
          <w:highlight w:val="none"/>
        </w:rPr>
      </w:pPr>
      <w:r>
        <w:rPr>
          <w:sz w:val="24"/>
          <w:highlight w:val="none"/>
        </w:rPr>
        <w:t> </w:t>
      </w:r>
    </w:p>
    <w:p w14:paraId="47BC3661">
      <w:pPr>
        <w:spacing w:line="0" w:lineRule="atLeast"/>
        <w:jc w:val="center"/>
        <w:rPr>
          <w:sz w:val="24"/>
          <w:highlight w:val="none"/>
        </w:rPr>
      </w:pPr>
      <w:r>
        <w:rPr>
          <w:sz w:val="24"/>
          <w:highlight w:val="none"/>
        </w:rPr>
        <w:t> </w:t>
      </w:r>
    </w:p>
    <w:p w14:paraId="56DD0B83">
      <w:pPr>
        <w:spacing w:line="0" w:lineRule="atLeast"/>
        <w:jc w:val="center"/>
        <w:rPr>
          <w:sz w:val="24"/>
          <w:highlight w:val="none"/>
        </w:rPr>
      </w:pPr>
      <w:r>
        <w:rPr>
          <w:sz w:val="24"/>
          <w:highlight w:val="none"/>
        </w:rPr>
        <w:t> </w:t>
      </w:r>
    </w:p>
    <w:p w14:paraId="00A94260">
      <w:pPr>
        <w:spacing w:line="0" w:lineRule="atLeast"/>
        <w:jc w:val="center"/>
        <w:rPr>
          <w:sz w:val="24"/>
          <w:highlight w:val="none"/>
        </w:rPr>
      </w:pPr>
    </w:p>
    <w:p w14:paraId="2DDA262F">
      <w:pPr>
        <w:spacing w:line="0" w:lineRule="atLeast"/>
        <w:jc w:val="center"/>
        <w:rPr>
          <w:sz w:val="24"/>
          <w:highlight w:val="none"/>
        </w:rPr>
      </w:pPr>
    </w:p>
    <w:p w14:paraId="5004DD17">
      <w:pPr>
        <w:spacing w:line="0" w:lineRule="atLeast"/>
        <w:jc w:val="center"/>
        <w:rPr>
          <w:sz w:val="24"/>
          <w:highlight w:val="none"/>
        </w:rPr>
      </w:pPr>
    </w:p>
    <w:p w14:paraId="6DBB3F76">
      <w:pPr>
        <w:spacing w:line="0" w:lineRule="atLeast"/>
        <w:jc w:val="center"/>
        <w:rPr>
          <w:sz w:val="24"/>
          <w:highlight w:val="none"/>
        </w:rPr>
      </w:pPr>
    </w:p>
    <w:p w14:paraId="7708A311">
      <w:pPr>
        <w:spacing w:line="0" w:lineRule="atLeast"/>
        <w:jc w:val="center"/>
        <w:rPr>
          <w:sz w:val="24"/>
          <w:highlight w:val="none"/>
        </w:rPr>
      </w:pPr>
    </w:p>
    <w:p w14:paraId="1A32B281">
      <w:pPr>
        <w:spacing w:line="0" w:lineRule="atLeast"/>
        <w:jc w:val="center"/>
        <w:rPr>
          <w:sz w:val="24"/>
          <w:highlight w:val="none"/>
        </w:rPr>
      </w:pPr>
    </w:p>
    <w:p w14:paraId="296DC681">
      <w:pPr>
        <w:spacing w:line="0" w:lineRule="atLeast"/>
        <w:jc w:val="center"/>
        <w:rPr>
          <w:sz w:val="24"/>
          <w:highlight w:val="none"/>
        </w:rPr>
      </w:pPr>
    </w:p>
    <w:p w14:paraId="316C5CBA">
      <w:pPr>
        <w:spacing w:line="0" w:lineRule="atLeast"/>
        <w:jc w:val="center"/>
        <w:rPr>
          <w:sz w:val="24"/>
          <w:highlight w:val="none"/>
        </w:rPr>
      </w:pPr>
    </w:p>
    <w:p w14:paraId="452A6F41">
      <w:pPr>
        <w:spacing w:line="0" w:lineRule="atLeast"/>
        <w:jc w:val="center"/>
        <w:rPr>
          <w:sz w:val="24"/>
          <w:highlight w:val="none"/>
        </w:rPr>
      </w:pPr>
    </w:p>
    <w:p w14:paraId="15B4EFDF">
      <w:pPr>
        <w:spacing w:line="0" w:lineRule="atLeast"/>
        <w:jc w:val="center"/>
        <w:rPr>
          <w:sz w:val="24"/>
          <w:highlight w:val="none"/>
        </w:rPr>
      </w:pPr>
    </w:p>
    <w:p w14:paraId="0433B75D">
      <w:pPr>
        <w:spacing w:line="0" w:lineRule="atLeast"/>
        <w:jc w:val="center"/>
        <w:rPr>
          <w:sz w:val="24"/>
          <w:highlight w:val="none"/>
        </w:rPr>
      </w:pPr>
    </w:p>
    <w:p w14:paraId="1A01118C">
      <w:pPr>
        <w:spacing w:line="0" w:lineRule="atLeast"/>
        <w:jc w:val="center"/>
        <w:rPr>
          <w:sz w:val="24"/>
          <w:highlight w:val="none"/>
        </w:rPr>
      </w:pPr>
    </w:p>
    <w:p w14:paraId="1782EB33">
      <w:pPr>
        <w:spacing w:line="0" w:lineRule="atLeast"/>
        <w:jc w:val="center"/>
        <w:rPr>
          <w:sz w:val="24"/>
          <w:highlight w:val="none"/>
        </w:rPr>
      </w:pPr>
    </w:p>
    <w:p w14:paraId="6A1FC906">
      <w:pPr>
        <w:spacing w:line="0" w:lineRule="atLeast"/>
        <w:jc w:val="center"/>
        <w:rPr>
          <w:sz w:val="24"/>
          <w:highlight w:val="none"/>
        </w:rPr>
      </w:pPr>
    </w:p>
    <w:p w14:paraId="4F5AAF39">
      <w:pPr>
        <w:spacing w:line="0" w:lineRule="atLeast"/>
        <w:jc w:val="center"/>
        <w:rPr>
          <w:sz w:val="24"/>
          <w:highlight w:val="none"/>
        </w:rPr>
      </w:pPr>
    </w:p>
    <w:p w14:paraId="681855D4">
      <w:pPr>
        <w:spacing w:line="0" w:lineRule="atLeast"/>
        <w:jc w:val="center"/>
        <w:rPr>
          <w:sz w:val="24"/>
          <w:highlight w:val="none"/>
        </w:rPr>
      </w:pPr>
    </w:p>
    <w:p w14:paraId="496F9A13">
      <w:pPr>
        <w:spacing w:line="0" w:lineRule="atLeast"/>
        <w:jc w:val="center"/>
        <w:rPr>
          <w:sz w:val="24"/>
          <w:highlight w:val="none"/>
        </w:rPr>
      </w:pPr>
    </w:p>
    <w:p w14:paraId="2C080568">
      <w:pPr>
        <w:spacing w:line="0" w:lineRule="atLeast"/>
        <w:jc w:val="center"/>
        <w:rPr>
          <w:sz w:val="24"/>
          <w:highlight w:val="none"/>
        </w:rPr>
      </w:pPr>
    </w:p>
    <w:p w14:paraId="72341768">
      <w:pPr>
        <w:spacing w:line="0" w:lineRule="atLeast"/>
        <w:jc w:val="center"/>
        <w:rPr>
          <w:sz w:val="24"/>
          <w:highlight w:val="none"/>
        </w:rPr>
      </w:pPr>
    </w:p>
    <w:p w14:paraId="65545D3C">
      <w:pPr>
        <w:spacing w:line="0" w:lineRule="atLeast"/>
        <w:jc w:val="center"/>
        <w:rPr>
          <w:sz w:val="24"/>
          <w:highlight w:val="none"/>
        </w:rPr>
      </w:pPr>
    </w:p>
    <w:p w14:paraId="638063E5">
      <w:pPr>
        <w:spacing w:line="0" w:lineRule="atLeast"/>
        <w:jc w:val="center"/>
        <w:rPr>
          <w:sz w:val="24"/>
          <w:highlight w:val="none"/>
        </w:rPr>
      </w:pPr>
      <w:r>
        <w:rPr>
          <w:sz w:val="24"/>
          <w:highlight w:val="none"/>
        </w:rPr>
        <w:t> </w:t>
      </w:r>
    </w:p>
    <w:p w14:paraId="4ACE4A94">
      <w:pPr>
        <w:spacing w:line="0" w:lineRule="atLeast"/>
        <w:jc w:val="center"/>
        <w:rPr>
          <w:sz w:val="24"/>
          <w:highlight w:val="none"/>
        </w:rPr>
      </w:pPr>
    </w:p>
    <w:p w14:paraId="5651BEEF">
      <w:pPr>
        <w:spacing w:line="0" w:lineRule="atLeast"/>
        <w:jc w:val="center"/>
        <w:rPr>
          <w:sz w:val="24"/>
          <w:highlight w:val="none"/>
        </w:rPr>
      </w:pPr>
    </w:p>
    <w:p w14:paraId="358B8083">
      <w:pPr>
        <w:spacing w:line="0" w:lineRule="atLeast"/>
        <w:jc w:val="center"/>
        <w:rPr>
          <w:sz w:val="24"/>
          <w:highlight w:val="none"/>
        </w:rPr>
      </w:pPr>
      <w:r>
        <w:rPr>
          <w:sz w:val="24"/>
          <w:highlight w:val="none"/>
        </w:rPr>
        <w:t> </w:t>
      </w:r>
    </w:p>
    <w:p w14:paraId="5E7125B0">
      <w:pPr>
        <w:spacing w:line="0" w:lineRule="atLeast"/>
        <w:jc w:val="center"/>
        <w:rPr>
          <w:sz w:val="24"/>
          <w:highlight w:val="none"/>
        </w:rPr>
      </w:pPr>
      <w:r>
        <w:rPr>
          <w:sz w:val="24"/>
          <w:highlight w:val="none"/>
        </w:rPr>
        <w:t> </w:t>
      </w:r>
    </w:p>
    <w:p w14:paraId="09BC14FC">
      <w:pPr>
        <w:spacing w:line="0" w:lineRule="atLeast"/>
        <w:jc w:val="center"/>
        <w:rPr>
          <w:sz w:val="24"/>
          <w:highlight w:val="none"/>
        </w:rPr>
      </w:pPr>
      <w:r>
        <w:rPr>
          <w:sz w:val="24"/>
          <w:highlight w:val="none"/>
        </w:rPr>
        <w:t> </w:t>
      </w:r>
    </w:p>
    <w:p w14:paraId="776905E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Calibri" w:hAnsi="Calibri" w:eastAsia="宋体" w:cs="Times New Roman"/>
          <w:kern w:val="0"/>
          <w:sz w:val="24"/>
          <w:szCs w:val="24"/>
          <w:highlight w:val="none"/>
          <w:lang w:val="en-US" w:eastAsia="zh-CN" w:bidi="ar-SA"/>
        </w:rPr>
      </w:pPr>
      <w:r>
        <w:rPr>
          <w:rFonts w:ascii="黑体" w:hAnsi="宋体" w:eastAsia="黑体" w:cs="黑体"/>
          <w:b/>
          <w:bCs/>
          <w:color w:val="FF0000"/>
          <w:kern w:val="0"/>
          <w:sz w:val="32"/>
          <w:szCs w:val="32"/>
          <w:highlight w:val="none"/>
          <w:lang w:val="en-US" w:eastAsia="zh-CN" w:bidi="ar-SA"/>
        </w:rPr>
        <w:t>十一、 关于符合本国产品标准的声明函（采购包号：**）</w:t>
      </w:r>
    </w:p>
    <w:p w14:paraId="3D48EB6C">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kern w:val="0"/>
          <w:sz w:val="24"/>
          <w:szCs w:val="24"/>
          <w:highlight w:val="none"/>
          <w:lang w:val="en-US" w:eastAsia="zh-CN" w:bidi="ar-SA"/>
        </w:rPr>
      </w:pPr>
      <w:r>
        <w:rPr>
          <w:rFonts w:ascii="Arial" w:hAnsi="Arial" w:eastAsia="宋体" w:cs="Arial"/>
          <w:color w:val="FF0000"/>
          <w:kern w:val="0"/>
          <w:sz w:val="24"/>
          <w:szCs w:val="24"/>
          <w:highlight w:val="none"/>
          <w:lang w:val="en-US" w:eastAsia="zh-CN" w:bidi="ar-SA"/>
        </w:rPr>
        <w:t> </w:t>
      </w:r>
    </w:p>
    <w:p w14:paraId="311B4E8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A8AFE73">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1.</w:t>
      </w:r>
      <w:r>
        <w:rPr>
          <w:rFonts w:ascii="宋体" w:hAnsi="宋体" w:eastAsia="宋体" w:cs="宋体"/>
          <w:b/>
          <w:bCs/>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vertAlign w:val="superscript"/>
          <w:lang w:val="en-US" w:eastAsia="zh-CN" w:bidi="ar-SA"/>
        </w:rPr>
        <w:t>1</w:t>
      </w:r>
      <w:r>
        <w:rPr>
          <w:rFonts w:ascii="宋体" w:hAnsi="宋体" w:eastAsia="宋体" w:cs="宋体"/>
          <w:b/>
          <w:bCs/>
          <w:color w:val="FF0000"/>
          <w:kern w:val="0"/>
          <w:sz w:val="24"/>
          <w:szCs w:val="24"/>
          <w:highlight w:val="none"/>
          <w:shd w:val="clear" w:fill="FFFFFF"/>
          <w:lang w:val="en-US" w:eastAsia="zh-CN" w:bidi="ar-SA"/>
        </w:rPr>
        <w:t>，生产厂为</w:t>
      </w:r>
      <w:r>
        <w:rPr>
          <w:rFonts w:ascii="宋体" w:hAnsi="宋体" w:eastAsia="宋体" w:cs="宋体"/>
          <w:b/>
          <w:bCs/>
          <w:color w:val="FF0000"/>
          <w:kern w:val="0"/>
          <w:sz w:val="24"/>
          <w:szCs w:val="24"/>
          <w:highlight w:val="none"/>
          <w:u w:val="single"/>
          <w:shd w:val="clear" w:fill="FFFFFF"/>
          <w:lang w:val="en-US" w:eastAsia="zh-CN" w:bidi="ar-SA"/>
        </w:rPr>
        <w:t>（厂名）</w:t>
      </w:r>
      <w:r>
        <w:rPr>
          <w:rFonts w:ascii="宋体" w:hAnsi="宋体" w:eastAsia="宋体" w:cs="宋体"/>
          <w:b/>
          <w:bCs/>
          <w:color w:val="FF0000"/>
          <w:kern w:val="0"/>
          <w:sz w:val="24"/>
          <w:szCs w:val="24"/>
          <w:highlight w:val="none"/>
          <w:shd w:val="clear" w:fill="FFFFFF"/>
          <w:vertAlign w:val="superscript"/>
          <w:lang w:val="en-US" w:eastAsia="zh-CN" w:bidi="ar-SA"/>
        </w:rPr>
        <w:t>2</w:t>
      </w:r>
      <w:r>
        <w:rPr>
          <w:rFonts w:ascii="宋体" w:hAnsi="宋体" w:eastAsia="宋体" w:cs="宋体"/>
          <w:b/>
          <w:bCs/>
          <w:color w:val="FF0000"/>
          <w:kern w:val="0"/>
          <w:sz w:val="24"/>
          <w:szCs w:val="24"/>
          <w:highlight w:val="none"/>
          <w:shd w:val="clear" w:fill="FFFFFF"/>
          <w:lang w:val="en-US" w:eastAsia="zh-CN" w:bidi="ar-SA"/>
        </w:rPr>
        <w:t>，厂址为</w:t>
      </w:r>
      <w:r>
        <w:rPr>
          <w:rFonts w:ascii="宋体" w:hAnsi="宋体" w:eastAsia="宋体" w:cs="宋体"/>
          <w:b/>
          <w:bCs/>
          <w:color w:val="FF0000"/>
          <w:kern w:val="0"/>
          <w:sz w:val="24"/>
          <w:szCs w:val="24"/>
          <w:highlight w:val="none"/>
          <w:u w:val="single"/>
          <w:shd w:val="clear" w:fill="FFFFFF"/>
          <w:lang w:val="en-US" w:eastAsia="zh-CN" w:bidi="ar-SA"/>
        </w:rPr>
        <w:t>（生产厂址）</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 （产品名称1）</w:t>
      </w:r>
      <w:r>
        <w:rPr>
          <w:rFonts w:ascii="宋体" w:hAnsi="宋体" w:eastAsia="宋体" w:cs="宋体"/>
          <w:b/>
          <w:bCs/>
          <w:color w:val="FF0000"/>
          <w:kern w:val="0"/>
          <w:sz w:val="24"/>
          <w:szCs w:val="24"/>
          <w:highlight w:val="none"/>
          <w:u w:val="single"/>
          <w:shd w:val="clear" w:fill="FFFFFF"/>
          <w:lang w:val="en-US" w:eastAsia="zh-CN" w:bidi="ar-SA"/>
        </w:rPr>
        <w:t> </w:t>
      </w:r>
      <w:r>
        <w:rPr>
          <w:rFonts w:ascii="宋体" w:hAnsi="宋体" w:eastAsia="宋体" w:cs="宋体"/>
          <w:b/>
          <w:bCs/>
          <w:color w:val="FF0000"/>
          <w:kern w:val="0"/>
          <w:sz w:val="24"/>
          <w:szCs w:val="24"/>
          <w:highlight w:val="none"/>
          <w:shd w:val="clear" w:fill="FFFFFF"/>
          <w:lang w:val="en-US" w:eastAsia="zh-CN" w:bidi="ar-SA"/>
        </w:rPr>
        <w:t>的中国境内生产的组件成本占比≥</w:t>
      </w:r>
      <w:r>
        <w:rPr>
          <w:rFonts w:ascii="宋体" w:hAnsi="宋体" w:eastAsia="宋体" w:cs="宋体"/>
          <w:b/>
          <w:bCs/>
          <w:strike/>
          <w:dstrike w:val="0"/>
          <w:color w:val="FF0000"/>
          <w:kern w:val="0"/>
          <w:sz w:val="24"/>
          <w:szCs w:val="24"/>
          <w:highlight w:val="none"/>
          <w:u w:val="single"/>
          <w:shd w:val="clear" w:fill="FFFFFF"/>
          <w:lang w:val="en-US" w:eastAsia="zh-CN" w:bidi="ar-SA"/>
        </w:rPr>
        <w:t>（规定比例）</w:t>
      </w:r>
      <w:r>
        <w:rPr>
          <w:rFonts w:ascii="宋体" w:hAnsi="宋体" w:eastAsia="宋体" w:cs="宋体"/>
          <w:b/>
          <w:bCs/>
          <w:strike/>
          <w:dstrike w:val="0"/>
          <w:color w:val="FF0000"/>
          <w:kern w:val="0"/>
          <w:sz w:val="24"/>
          <w:szCs w:val="24"/>
          <w:highlight w:val="none"/>
          <w:shd w:val="clear" w:fill="FFFFFF"/>
          <w:vertAlign w:val="superscript"/>
          <w:lang w:val="en-US" w:eastAsia="zh-CN" w:bidi="ar-SA"/>
        </w:rPr>
        <w:t>3</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（关键组件）</w:t>
      </w:r>
      <w:r>
        <w:rPr>
          <w:rFonts w:ascii="宋体" w:hAnsi="宋体" w:eastAsia="宋体" w:cs="宋体"/>
          <w:b/>
          <w:bCs/>
          <w:strike/>
          <w:dstrike w:val="0"/>
          <w:color w:val="FF0000"/>
          <w:kern w:val="0"/>
          <w:sz w:val="24"/>
          <w:szCs w:val="24"/>
          <w:highlight w:val="none"/>
          <w:shd w:val="clear" w:fill="FFFFFF"/>
          <w:vertAlign w:val="superscript"/>
          <w:lang w:val="en-US" w:eastAsia="zh-CN" w:bidi="ar-SA"/>
        </w:rPr>
        <w:t>4</w:t>
      </w:r>
      <w:r>
        <w:rPr>
          <w:rFonts w:ascii="宋体" w:hAnsi="宋体" w:eastAsia="宋体" w:cs="宋体"/>
          <w:b/>
          <w:bCs/>
          <w:color w:val="FF0000"/>
          <w:kern w:val="0"/>
          <w:sz w:val="24"/>
          <w:szCs w:val="24"/>
          <w:highlight w:val="none"/>
          <w:shd w:val="clear" w:fill="FFFFFF"/>
          <w:lang w:val="en-US" w:eastAsia="zh-CN" w:bidi="ar-SA"/>
        </w:rPr>
        <w:t>在中国境内生产。</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（关键工序）</w:t>
      </w:r>
      <w:r>
        <w:rPr>
          <w:rFonts w:ascii="宋体" w:hAnsi="宋体" w:eastAsia="宋体" w:cs="宋体"/>
          <w:b/>
          <w:bCs/>
          <w:strike/>
          <w:dstrike w:val="0"/>
          <w:color w:val="FF0000"/>
          <w:kern w:val="0"/>
          <w:sz w:val="24"/>
          <w:szCs w:val="24"/>
          <w:highlight w:val="none"/>
          <w:shd w:val="clear" w:fill="FFFFFF"/>
          <w:vertAlign w:val="superscript"/>
          <w:lang w:val="en-US" w:eastAsia="zh-CN" w:bidi="ar-SA"/>
        </w:rPr>
        <w:t>5</w:t>
      </w:r>
      <w:r>
        <w:rPr>
          <w:rFonts w:ascii="宋体" w:hAnsi="宋体" w:eastAsia="宋体" w:cs="宋体"/>
          <w:b/>
          <w:bCs/>
          <w:color w:val="FF0000"/>
          <w:kern w:val="0"/>
          <w:sz w:val="24"/>
          <w:szCs w:val="24"/>
          <w:highlight w:val="none"/>
          <w:shd w:val="clear" w:fill="FFFFFF"/>
          <w:lang w:val="en-US" w:eastAsia="zh-CN" w:bidi="ar-SA"/>
        </w:rPr>
        <w:t>在中国境内完成。</w:t>
      </w:r>
    </w:p>
    <w:p w14:paraId="20758D95">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2.</w:t>
      </w:r>
      <w:r>
        <w:rPr>
          <w:rFonts w:ascii="宋体" w:hAnsi="宋体" w:eastAsia="宋体" w:cs="宋体"/>
          <w:b/>
          <w:bCs/>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，生产厂为</w:t>
      </w:r>
      <w:r>
        <w:rPr>
          <w:rFonts w:ascii="宋体" w:hAnsi="宋体" w:eastAsia="宋体" w:cs="宋体"/>
          <w:b/>
          <w:bCs/>
          <w:color w:val="FF0000"/>
          <w:kern w:val="0"/>
          <w:sz w:val="24"/>
          <w:szCs w:val="24"/>
          <w:highlight w:val="none"/>
          <w:u w:val="single"/>
          <w:shd w:val="clear" w:fill="FFFFFF"/>
          <w:lang w:val="en-US" w:eastAsia="zh-CN" w:bidi="ar-SA"/>
        </w:rPr>
        <w:t>（厂名）</w:t>
      </w:r>
      <w:r>
        <w:rPr>
          <w:rFonts w:ascii="宋体" w:hAnsi="宋体" w:eastAsia="宋体" w:cs="宋体"/>
          <w:b/>
          <w:bCs/>
          <w:color w:val="FF0000"/>
          <w:kern w:val="0"/>
          <w:sz w:val="24"/>
          <w:szCs w:val="24"/>
          <w:highlight w:val="none"/>
          <w:shd w:val="clear" w:fill="FFFFFF"/>
          <w:lang w:val="en-US" w:eastAsia="zh-CN" w:bidi="ar-SA"/>
        </w:rPr>
        <w:t>，厂址为</w:t>
      </w:r>
      <w:r>
        <w:rPr>
          <w:rFonts w:ascii="宋体" w:hAnsi="宋体" w:eastAsia="宋体" w:cs="宋体"/>
          <w:b/>
          <w:bCs/>
          <w:color w:val="FF0000"/>
          <w:kern w:val="0"/>
          <w:sz w:val="24"/>
          <w:szCs w:val="24"/>
          <w:highlight w:val="none"/>
          <w:u w:val="single"/>
          <w:shd w:val="clear" w:fill="FFFFFF"/>
          <w:lang w:val="en-US" w:eastAsia="zh-CN" w:bidi="ar-SA"/>
        </w:rPr>
        <w:t>（生产厂址）</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的中国境内生产的组件成本占比≥</w:t>
      </w:r>
      <w:r>
        <w:rPr>
          <w:rFonts w:ascii="宋体" w:hAnsi="宋体" w:eastAsia="宋体" w:cs="宋体"/>
          <w:b/>
          <w:bCs/>
          <w:strike/>
          <w:dstrike w:val="0"/>
          <w:color w:val="FF0000"/>
          <w:kern w:val="0"/>
          <w:sz w:val="24"/>
          <w:szCs w:val="24"/>
          <w:highlight w:val="none"/>
          <w:u w:val="single"/>
          <w:shd w:val="clear" w:fill="FFFFFF"/>
          <w:lang w:val="en-US" w:eastAsia="zh-CN" w:bidi="ar-SA"/>
        </w:rPr>
        <w:t>（规定比例）</w:t>
      </w:r>
      <w:r>
        <w:rPr>
          <w:rFonts w:ascii="宋体" w:hAnsi="宋体" w:eastAsia="宋体" w:cs="宋体"/>
          <w:b/>
          <w:bCs/>
          <w:color w:val="FF0000"/>
          <w:kern w:val="0"/>
          <w:sz w:val="24"/>
          <w:szCs w:val="24"/>
          <w:highlight w:val="none"/>
          <w:shd w:val="clear" w:fill="FFFFFF"/>
          <w:lang w:val="en-US" w:eastAsia="zh-CN" w:bidi="ar-SA"/>
        </w:rPr>
        <w:t>。</w:t>
      </w:r>
      <w:r>
        <w:rPr>
          <w:rFonts w:ascii="宋体" w:hAnsi="宋体" w:eastAsia="宋体" w:cs="宋体"/>
          <w:b/>
          <w:bCs/>
          <w:strike/>
          <w:dstrike w:val="0"/>
          <w:color w:val="FF0000"/>
          <w:kern w:val="0"/>
          <w:sz w:val="24"/>
          <w:szCs w:val="24"/>
          <w:highlight w:val="none"/>
          <w:u w:val="single"/>
          <w:shd w:val="clear" w:fill="FFFFFF"/>
          <w:lang w:val="en-US" w:eastAsia="zh-CN" w:bidi="ar-SA"/>
        </w:rPr>
        <w:t>（产品名称2）</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（关键组件）</w:t>
      </w:r>
      <w:r>
        <w:rPr>
          <w:rFonts w:ascii="宋体" w:hAnsi="宋体" w:eastAsia="宋体" w:cs="宋体"/>
          <w:b/>
          <w:bCs/>
          <w:color w:val="FF0000"/>
          <w:kern w:val="0"/>
          <w:sz w:val="24"/>
          <w:szCs w:val="24"/>
          <w:highlight w:val="none"/>
          <w:shd w:val="clear" w:fill="FFFFFF"/>
          <w:lang w:val="en-US" w:eastAsia="zh-CN" w:bidi="ar-SA"/>
        </w:rPr>
        <w:t>在中国境内生产。</w:t>
      </w:r>
      <w:r>
        <w:rPr>
          <w:rFonts w:ascii="宋体" w:hAnsi="宋体" w:eastAsia="宋体" w:cs="宋体"/>
          <w:b/>
          <w:bCs/>
          <w:strike/>
          <w:dstrike w:val="0"/>
          <w:color w:val="FF0000"/>
          <w:kern w:val="0"/>
          <w:sz w:val="24"/>
          <w:szCs w:val="24"/>
          <w:highlight w:val="none"/>
          <w:u w:val="single"/>
          <w:shd w:val="clear" w:fill="FFFFFF"/>
          <w:lang w:val="en-US" w:eastAsia="zh-CN" w:bidi="ar-SA"/>
        </w:rPr>
        <w:t>（产品名称1）</w:t>
      </w:r>
      <w:r>
        <w:rPr>
          <w:rFonts w:ascii="宋体" w:hAnsi="宋体" w:eastAsia="宋体" w:cs="宋体"/>
          <w:b/>
          <w:bCs/>
          <w:color w:val="FF0000"/>
          <w:kern w:val="0"/>
          <w:sz w:val="24"/>
          <w:szCs w:val="24"/>
          <w:highlight w:val="none"/>
          <w:shd w:val="clear" w:fill="FFFFFF"/>
          <w:lang w:val="en-US" w:eastAsia="zh-CN" w:bidi="ar-SA"/>
        </w:rPr>
        <w:t>的</w:t>
      </w:r>
      <w:r>
        <w:rPr>
          <w:rFonts w:ascii="宋体" w:hAnsi="宋体" w:eastAsia="宋体" w:cs="宋体"/>
          <w:b/>
          <w:bCs/>
          <w:strike/>
          <w:dstrike w:val="0"/>
          <w:color w:val="FF0000"/>
          <w:kern w:val="0"/>
          <w:sz w:val="24"/>
          <w:szCs w:val="24"/>
          <w:highlight w:val="none"/>
          <w:u w:val="single"/>
          <w:shd w:val="clear" w:fill="FFFFFF"/>
          <w:lang w:val="en-US" w:eastAsia="zh-CN" w:bidi="ar-SA"/>
        </w:rPr>
        <w:t>（关键工序）</w:t>
      </w:r>
      <w:r>
        <w:rPr>
          <w:rFonts w:ascii="宋体" w:hAnsi="宋体" w:eastAsia="宋体" w:cs="宋体"/>
          <w:b/>
          <w:bCs/>
          <w:color w:val="FF0000"/>
          <w:kern w:val="0"/>
          <w:sz w:val="24"/>
          <w:szCs w:val="24"/>
          <w:highlight w:val="none"/>
          <w:shd w:val="clear" w:fill="FFFFFF"/>
          <w:lang w:val="en-US" w:eastAsia="zh-CN" w:bidi="ar-SA"/>
        </w:rPr>
        <w:t>在中国境内完成。</w:t>
      </w:r>
    </w:p>
    <w:p w14:paraId="519DADE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w:t>
      </w:r>
    </w:p>
    <w:p w14:paraId="2898E24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本公司（单位）对上述声明内容的真实性负责。如有虚假，愿承担相应法律责任。</w:t>
      </w:r>
    </w:p>
    <w:p w14:paraId="1CAC866F">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lang w:val="en-US" w:eastAsia="zh-CN" w:bidi="ar-SA"/>
        </w:rPr>
        <w:t> </w:t>
      </w:r>
    </w:p>
    <w:p w14:paraId="4B7D608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公司（单位）名称（盖章）：　</w:t>
      </w:r>
    </w:p>
    <w:p w14:paraId="4B86CD8E">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                                日期：　   年　  月　  日         </w:t>
      </w:r>
    </w:p>
    <w:p w14:paraId="563751CB">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__________________</w:t>
      </w:r>
    </w:p>
    <w:p w14:paraId="0D130BF1">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1.产品如有型号，请在“产品名称”栏一并填写。</w:t>
      </w:r>
    </w:p>
    <w:p w14:paraId="3BE63DD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2.生产厂名与厂址应与生产厂营业执照载明的相关信息保持一致。</w:t>
      </w:r>
    </w:p>
    <w:p w14:paraId="187E10C6">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3.该产品的中国境内生产的组件成本占比相关要求实施前，“规定比例”栏可不填，下同。</w:t>
      </w:r>
    </w:p>
    <w:p w14:paraId="3267BE6A">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Calibri" w:hAnsi="Calibri" w:eastAsia="宋体" w:cs="Times New Roman"/>
          <w:b/>
          <w:bCs/>
          <w:kern w:val="0"/>
          <w:sz w:val="24"/>
          <w:szCs w:val="24"/>
          <w:highlight w:val="none"/>
          <w:lang w:val="en-US" w:eastAsia="zh-CN" w:bidi="ar-SA"/>
        </w:rPr>
      </w:pPr>
      <w:r>
        <w:rPr>
          <w:rFonts w:ascii="宋体" w:hAnsi="宋体" w:eastAsia="宋体" w:cs="宋体"/>
          <w:b/>
          <w:bCs/>
          <w:color w:val="FF0000"/>
          <w:kern w:val="0"/>
          <w:sz w:val="24"/>
          <w:szCs w:val="24"/>
          <w:highlight w:val="none"/>
          <w:shd w:val="clear" w:fill="FFFFFF"/>
          <w:lang w:val="en-US" w:eastAsia="zh-CN" w:bidi="ar-SA"/>
        </w:rPr>
        <w:t>4.该产品的关键组件要求实施前，“关键组件”栏可不填，下同。</w:t>
      </w:r>
    </w:p>
    <w:p w14:paraId="2E60DA6D">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kern w:val="0"/>
          <w:sz w:val="24"/>
          <w:szCs w:val="24"/>
          <w:highlight w:val="none"/>
          <w:shd w:val="clear" w:fill="FFFFFF"/>
          <w:lang w:val="en-US" w:eastAsia="zh-CN" w:bidi="ar-SA"/>
        </w:rPr>
      </w:pPr>
      <w:r>
        <w:rPr>
          <w:rFonts w:ascii="宋体" w:hAnsi="宋体" w:eastAsia="宋体" w:cs="宋体"/>
          <w:b/>
          <w:bCs/>
          <w:color w:val="FF0000"/>
          <w:kern w:val="0"/>
          <w:sz w:val="24"/>
          <w:szCs w:val="24"/>
          <w:highlight w:val="none"/>
          <w:shd w:val="clear" w:fill="FFFFFF"/>
          <w:lang w:val="en-US" w:eastAsia="zh-CN" w:bidi="ar-SA"/>
        </w:rPr>
        <w:t>5.该产品的关键工序要求实施前，“关键工序”栏可不填，下同。</w:t>
      </w:r>
    </w:p>
    <w:p w14:paraId="2039D937">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kern w:val="0"/>
          <w:sz w:val="24"/>
          <w:szCs w:val="24"/>
          <w:highlight w:val="none"/>
          <w:shd w:val="clear" w:fill="FFFFFF"/>
          <w:lang w:val="en-US" w:eastAsia="zh-CN" w:bidi="ar-SA"/>
        </w:rPr>
      </w:pPr>
      <w:r>
        <w:rPr>
          <w:rFonts w:ascii="宋体" w:hAnsi="宋体" w:eastAsia="宋体" w:cs="宋体"/>
          <w:b/>
          <w:bCs/>
          <w:color w:val="FF0000"/>
          <w:kern w:val="0"/>
          <w:sz w:val="24"/>
          <w:szCs w:val="24"/>
          <w:highlight w:val="none"/>
          <w:shd w:val="clear" w:fill="FFFFFF"/>
          <w:lang w:val="en-US" w:eastAsia="zh-CN" w:bidi="ar-SA"/>
        </w:rPr>
        <w:t>6.用</w:t>
      </w:r>
      <w:r>
        <w:rPr>
          <w:rFonts w:hint="eastAsia" w:ascii="宋体" w:hAnsi="宋体" w:eastAsia="宋体" w:cs="宋体"/>
          <w:b/>
          <w:bCs/>
          <w:color w:val="FF0000"/>
          <w:kern w:val="0"/>
          <w:sz w:val="24"/>
          <w:szCs w:val="24"/>
          <w:highlight w:val="none"/>
          <w:shd w:val="clear" w:fill="FFFFFF"/>
          <w:lang w:val="en-US" w:eastAsia="zh-CN" w:bidi="ar-SA"/>
        </w:rPr>
        <w:t>横</w:t>
      </w:r>
      <w:r>
        <w:rPr>
          <w:rFonts w:ascii="宋体" w:hAnsi="宋体" w:eastAsia="宋体" w:cs="宋体"/>
          <w:b/>
          <w:bCs/>
          <w:color w:val="FF0000"/>
          <w:kern w:val="0"/>
          <w:sz w:val="24"/>
          <w:szCs w:val="24"/>
          <w:highlight w:val="none"/>
          <w:shd w:val="clear" w:fill="FFFFFF"/>
          <w:lang w:val="en-US" w:eastAsia="zh-CN" w:bidi="ar-SA"/>
        </w:rPr>
        <w:t>线划除的地方无需填写。</w:t>
      </w:r>
    </w:p>
    <w:p w14:paraId="243D5117">
      <w:pPr>
        <w:spacing w:line="0" w:lineRule="atLeast"/>
        <w:jc w:val="center"/>
        <w:rPr>
          <w:sz w:val="24"/>
          <w:highlight w:val="none"/>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9C8A1DA">
      <w:pPr>
        <w:spacing w:line="0" w:lineRule="atLeast"/>
        <w:jc w:val="center"/>
        <w:rPr>
          <w:rFonts w:hint="eastAsia" w:ascii="黑体" w:hAnsi="宋体" w:eastAsia="黑体" w:cs="黑体"/>
          <w:b/>
          <w:sz w:val="32"/>
          <w:szCs w:val="32"/>
          <w:highlight w:val="none"/>
        </w:rPr>
      </w:pPr>
    </w:p>
    <w:p w14:paraId="0D00F64D">
      <w:pPr>
        <w:spacing w:line="0" w:lineRule="atLeast"/>
        <w:jc w:val="center"/>
        <w:rPr>
          <w:rFonts w:hint="eastAsia" w:ascii="黑体" w:hAnsi="宋体" w:eastAsia="黑体" w:cs="黑体"/>
          <w:b/>
          <w:sz w:val="32"/>
          <w:szCs w:val="32"/>
          <w:highlight w:val="none"/>
        </w:rPr>
      </w:pPr>
    </w:p>
    <w:p w14:paraId="4AF9C02F">
      <w:pPr>
        <w:spacing w:line="0" w:lineRule="atLeast"/>
        <w:jc w:val="center"/>
        <w:rPr>
          <w:rFonts w:hint="eastAsia" w:ascii="黑体" w:hAnsi="宋体" w:eastAsia="黑体" w:cs="黑体"/>
          <w:b/>
          <w:sz w:val="32"/>
          <w:szCs w:val="32"/>
          <w:highlight w:val="none"/>
        </w:rPr>
      </w:pPr>
    </w:p>
    <w:p w14:paraId="06563620">
      <w:pPr>
        <w:spacing w:line="0" w:lineRule="atLeast"/>
        <w:jc w:val="center"/>
        <w:rPr>
          <w:rFonts w:hint="eastAsia" w:ascii="黑体" w:hAnsi="宋体" w:eastAsia="黑体" w:cs="黑体"/>
          <w:b/>
          <w:sz w:val="32"/>
          <w:szCs w:val="32"/>
          <w:highlight w:val="none"/>
        </w:rPr>
      </w:pPr>
    </w:p>
    <w:p w14:paraId="6F22B7A9">
      <w:pPr>
        <w:spacing w:line="0" w:lineRule="atLeast"/>
        <w:jc w:val="center"/>
        <w:rPr>
          <w:rFonts w:hint="eastAsia" w:ascii="黑体" w:hAnsi="宋体" w:eastAsia="黑体" w:cs="黑体"/>
          <w:b/>
          <w:sz w:val="32"/>
          <w:szCs w:val="32"/>
          <w:highlight w:val="none"/>
        </w:rPr>
      </w:pPr>
    </w:p>
    <w:p w14:paraId="767BEA09">
      <w:pPr>
        <w:spacing w:line="0" w:lineRule="atLeast"/>
        <w:jc w:val="center"/>
        <w:rPr>
          <w:rFonts w:hint="eastAsia" w:ascii="黑体" w:hAnsi="宋体" w:eastAsia="黑体" w:cs="黑体"/>
          <w:b/>
          <w:sz w:val="32"/>
          <w:szCs w:val="32"/>
          <w:highlight w:val="none"/>
        </w:rPr>
      </w:pPr>
    </w:p>
    <w:p w14:paraId="772A0106">
      <w:pPr>
        <w:spacing w:line="0" w:lineRule="atLeast"/>
        <w:jc w:val="center"/>
        <w:rPr>
          <w:rFonts w:hint="eastAsia" w:ascii="黑体" w:hAnsi="宋体" w:eastAsia="黑体" w:cs="黑体"/>
          <w:b/>
          <w:sz w:val="32"/>
          <w:szCs w:val="32"/>
          <w:highlight w:val="none"/>
        </w:rPr>
      </w:pPr>
    </w:p>
    <w:p w14:paraId="56886D88">
      <w:pPr>
        <w:spacing w:line="0" w:lineRule="atLeast"/>
        <w:jc w:val="center"/>
        <w:rPr>
          <w:rFonts w:hint="eastAsia" w:ascii="黑体" w:hAnsi="宋体" w:eastAsia="黑体" w:cs="黑体"/>
          <w:b/>
          <w:sz w:val="32"/>
          <w:szCs w:val="32"/>
          <w:highlight w:val="none"/>
        </w:rPr>
      </w:pPr>
    </w:p>
    <w:p w14:paraId="005CB56A">
      <w:pPr>
        <w:spacing w:line="0" w:lineRule="atLeast"/>
        <w:jc w:val="center"/>
        <w:rPr>
          <w:rFonts w:hint="eastAsia" w:ascii="黑体" w:hAnsi="宋体" w:eastAsia="黑体" w:cs="黑体"/>
          <w:b/>
          <w:sz w:val="32"/>
          <w:szCs w:val="32"/>
          <w:highlight w:val="none"/>
        </w:rPr>
      </w:pPr>
    </w:p>
    <w:p w14:paraId="59A18C57">
      <w:pPr>
        <w:spacing w:line="0" w:lineRule="atLeast"/>
        <w:jc w:val="center"/>
        <w:rPr>
          <w:rFonts w:hint="eastAsia" w:ascii="黑体" w:hAnsi="宋体" w:eastAsia="黑体" w:cs="黑体"/>
          <w:b/>
          <w:sz w:val="32"/>
          <w:szCs w:val="32"/>
          <w:highlight w:val="none"/>
        </w:rPr>
      </w:pPr>
    </w:p>
    <w:p w14:paraId="10ABAFA1">
      <w:pPr>
        <w:spacing w:line="0" w:lineRule="atLeast"/>
        <w:jc w:val="center"/>
        <w:rPr>
          <w:rFonts w:hint="eastAsia" w:ascii="黑体" w:hAnsi="宋体" w:eastAsia="黑体" w:cs="黑体"/>
          <w:b/>
          <w:sz w:val="32"/>
          <w:szCs w:val="32"/>
          <w:highlight w:val="none"/>
        </w:rPr>
      </w:pPr>
    </w:p>
    <w:p w14:paraId="54459368">
      <w:pPr>
        <w:spacing w:line="0" w:lineRule="atLeast"/>
        <w:jc w:val="center"/>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二</w:t>
      </w:r>
      <w:r>
        <w:rPr>
          <w:rFonts w:hint="eastAsia" w:ascii="黑体" w:hAnsi="宋体" w:eastAsia="黑体" w:cs="黑体"/>
          <w:b/>
          <w:sz w:val="32"/>
          <w:szCs w:val="32"/>
          <w:highlight w:val="none"/>
        </w:rPr>
        <w:t>、联合体协议（参考格式）（分包号：**）</w:t>
      </w:r>
    </w:p>
    <w:p w14:paraId="04763648">
      <w:pPr>
        <w:spacing w:line="0" w:lineRule="atLeast"/>
        <w:rPr>
          <w:sz w:val="24"/>
          <w:highlight w:val="none"/>
        </w:rPr>
      </w:pPr>
      <w:r>
        <w:rPr>
          <w:rFonts w:hint="eastAsia" w:ascii="宋体" w:hAnsi="宋体" w:cs="宋体"/>
          <w:sz w:val="24"/>
          <w:highlight w:val="none"/>
        </w:rPr>
        <w:t>（联合体中各供应商全称）在此达成以下协议：</w:t>
      </w:r>
    </w:p>
    <w:p w14:paraId="07DCC90B">
      <w:pPr>
        <w:spacing w:line="0" w:lineRule="atLeast"/>
        <w:ind w:firstLine="645"/>
        <w:rPr>
          <w:sz w:val="24"/>
          <w:highlight w:val="none"/>
        </w:rPr>
      </w:pPr>
      <w:r>
        <w:rPr>
          <w:rFonts w:hint="eastAsia" w:ascii="宋体" w:hAnsi="宋体" w:cs="宋体"/>
          <w:sz w:val="24"/>
          <w:highlight w:val="none"/>
        </w:rPr>
        <w:t>1、我们</w:t>
      </w:r>
      <w:r>
        <w:rPr>
          <w:rFonts w:hint="eastAsia" w:ascii="宋体" w:hAnsi="宋体" w:cs="宋体"/>
          <w:sz w:val="24"/>
          <w:highlight w:val="none"/>
          <w:u w:val="single"/>
        </w:rPr>
        <w:t xml:space="preserve"> （供应商1），（供应商2） ，……</w:t>
      </w:r>
      <w:r>
        <w:rPr>
          <w:rFonts w:hint="eastAsia" w:ascii="宋体" w:hAnsi="宋体" w:cs="宋体"/>
          <w:sz w:val="24"/>
          <w:highlight w:val="none"/>
        </w:rPr>
        <w:t>自愿组成联合体，参加盐城市政府采购中心组织的采购编号为</w:t>
      </w:r>
      <w:r>
        <w:rPr>
          <w:rFonts w:hint="eastAsia" w:ascii="宋体" w:hAnsi="宋体" w:cs="宋体"/>
          <w:sz w:val="24"/>
          <w:highlight w:val="none"/>
          <w:u w:val="single"/>
        </w:rPr>
        <w:t>（编号全称），（项目全称）</w:t>
      </w:r>
      <w:r>
        <w:rPr>
          <w:rFonts w:hint="eastAsia" w:ascii="宋体" w:hAnsi="宋体" w:cs="宋体"/>
          <w:sz w:val="24"/>
          <w:highlight w:val="none"/>
        </w:rPr>
        <w:t>项目（分包号：**）的政府采购活动，我联合体指定</w:t>
      </w:r>
      <w:r>
        <w:rPr>
          <w:rFonts w:hint="eastAsia" w:ascii="宋体" w:hAnsi="宋体" w:cs="宋体"/>
          <w:sz w:val="24"/>
          <w:highlight w:val="none"/>
          <w:u w:val="single"/>
        </w:rPr>
        <w:t>（供应商*）</w:t>
      </w:r>
      <w:r>
        <w:rPr>
          <w:rFonts w:hint="eastAsia" w:ascii="宋体" w:hAnsi="宋体" w:cs="宋体"/>
          <w:sz w:val="24"/>
          <w:highlight w:val="none"/>
        </w:rPr>
        <w:t>为牵头单位（牵头单位必须为联合体成员）。</w:t>
      </w:r>
    </w:p>
    <w:p w14:paraId="3177D261">
      <w:pPr>
        <w:spacing w:line="0" w:lineRule="atLeast"/>
        <w:ind w:firstLine="645"/>
        <w:rPr>
          <w:sz w:val="24"/>
          <w:highlight w:val="none"/>
        </w:rPr>
      </w:pPr>
      <w:r>
        <w:rPr>
          <w:rFonts w:hint="eastAsia"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1420A0E">
      <w:pPr>
        <w:spacing w:line="0" w:lineRule="atLeast"/>
        <w:ind w:firstLine="645"/>
        <w:rPr>
          <w:sz w:val="24"/>
          <w:highlight w:val="none"/>
        </w:rPr>
      </w:pPr>
      <w:r>
        <w:rPr>
          <w:rFonts w:hint="eastAsia" w:ascii="宋体" w:hAnsi="宋体" w:cs="宋体"/>
          <w:sz w:val="24"/>
          <w:highlight w:val="none"/>
        </w:rPr>
        <w:t>3、其中</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w:t>
      </w:r>
    </w:p>
    <w:p w14:paraId="7DD48D7A">
      <w:pPr>
        <w:spacing w:line="0" w:lineRule="atLeast"/>
        <w:ind w:firstLine="645"/>
        <w:rPr>
          <w:sz w:val="24"/>
          <w:highlight w:val="none"/>
        </w:rPr>
      </w:pPr>
      <w:r>
        <w:rPr>
          <w:sz w:val="24"/>
          <w:highlight w:val="none"/>
        </w:rPr>
        <w:t> </w:t>
      </w:r>
    </w:p>
    <w:p w14:paraId="287BFFB3">
      <w:pPr>
        <w:spacing w:line="0" w:lineRule="atLeast"/>
        <w:ind w:firstLine="645"/>
        <w:rPr>
          <w:sz w:val="24"/>
          <w:highlight w:val="none"/>
        </w:rPr>
      </w:pPr>
      <w:r>
        <w:rPr>
          <w:rFonts w:hint="eastAsia" w:ascii="宋体" w:hAnsi="宋体" w:cs="宋体"/>
          <w:sz w:val="24"/>
          <w:highlight w:val="none"/>
        </w:rPr>
        <w:t>备注：本招标文件中要求加盖CA电子签章的地方，仅需加盖牵头单位的CA电子签章。</w:t>
      </w:r>
    </w:p>
    <w:p w14:paraId="5FC003CE">
      <w:pPr>
        <w:spacing w:line="0" w:lineRule="atLeast"/>
        <w:ind w:firstLine="645"/>
        <w:rPr>
          <w:sz w:val="24"/>
          <w:highlight w:val="none"/>
        </w:rPr>
      </w:pPr>
      <w:r>
        <w:rPr>
          <w:rFonts w:hint="eastAsia" w:ascii="宋体" w:hAnsi="宋体" w:cs="宋体"/>
          <w:sz w:val="24"/>
          <w:highlight w:val="none"/>
        </w:rPr>
        <w:t>                               </w:t>
      </w:r>
    </w:p>
    <w:p w14:paraId="21E4BFB3">
      <w:pPr>
        <w:spacing w:line="0" w:lineRule="atLeast"/>
        <w:ind w:firstLine="645"/>
        <w:jc w:val="right"/>
        <w:rPr>
          <w:sz w:val="24"/>
          <w:highlight w:val="none"/>
        </w:rPr>
      </w:pPr>
      <w:r>
        <w:rPr>
          <w:rFonts w:hint="eastAsia" w:ascii="宋体" w:hAnsi="宋体" w:cs="宋体"/>
          <w:sz w:val="24"/>
          <w:highlight w:val="none"/>
        </w:rPr>
        <w:t xml:space="preserve">联合体中各供应商全称（公章）：     </w:t>
      </w:r>
    </w:p>
    <w:p w14:paraId="0FDF0C72">
      <w:pPr>
        <w:spacing w:line="0" w:lineRule="atLeast"/>
        <w:ind w:firstLine="645"/>
        <w:rPr>
          <w:sz w:val="24"/>
          <w:highlight w:val="none"/>
        </w:rPr>
      </w:pPr>
      <w:r>
        <w:rPr>
          <w:rFonts w:hint="eastAsia" w:ascii="宋体" w:hAnsi="宋体" w:cs="宋体"/>
          <w:sz w:val="24"/>
          <w:highlight w:val="none"/>
        </w:rPr>
        <w:t>                                                          日期：</w:t>
      </w:r>
    </w:p>
    <w:p w14:paraId="407A0841">
      <w:pPr>
        <w:spacing w:line="0" w:lineRule="atLeast"/>
        <w:ind w:firstLine="645"/>
        <w:rPr>
          <w:sz w:val="24"/>
          <w:highlight w:val="none"/>
        </w:rPr>
      </w:pPr>
      <w:r>
        <w:rPr>
          <w:sz w:val="24"/>
          <w:highlight w:val="none"/>
        </w:rPr>
        <w:t> </w:t>
      </w:r>
    </w:p>
    <w:p w14:paraId="276A8FC0">
      <w:pPr>
        <w:spacing w:line="0" w:lineRule="atLeast"/>
        <w:rPr>
          <w:sz w:val="24"/>
          <w:highlight w:val="none"/>
        </w:rPr>
      </w:pPr>
      <w:r>
        <w:rPr>
          <w:sz w:val="24"/>
          <w:highlight w:val="none"/>
        </w:rPr>
        <w:t> </w:t>
      </w:r>
    </w:p>
    <w:p w14:paraId="1EF560EE">
      <w:pPr>
        <w:spacing w:line="0" w:lineRule="atLeast"/>
        <w:rPr>
          <w:sz w:val="24"/>
          <w:highlight w:val="none"/>
        </w:rPr>
      </w:pPr>
    </w:p>
    <w:p w14:paraId="6B8DF82D">
      <w:pPr>
        <w:spacing w:line="0" w:lineRule="atLeast"/>
        <w:rPr>
          <w:sz w:val="24"/>
          <w:highlight w:val="none"/>
        </w:rPr>
      </w:pPr>
    </w:p>
    <w:p w14:paraId="08E174E3">
      <w:pPr>
        <w:spacing w:line="0" w:lineRule="atLeast"/>
        <w:rPr>
          <w:sz w:val="24"/>
          <w:highlight w:val="none"/>
        </w:rPr>
      </w:pPr>
    </w:p>
    <w:p w14:paraId="048A8CD2">
      <w:pPr>
        <w:spacing w:line="0" w:lineRule="atLeast"/>
        <w:rPr>
          <w:sz w:val="24"/>
          <w:highlight w:val="none"/>
        </w:rPr>
      </w:pPr>
    </w:p>
    <w:p w14:paraId="4FB08968">
      <w:pPr>
        <w:spacing w:line="0" w:lineRule="atLeast"/>
        <w:rPr>
          <w:sz w:val="24"/>
          <w:highlight w:val="none"/>
        </w:rPr>
      </w:pPr>
    </w:p>
    <w:p w14:paraId="7B85EF4C">
      <w:pPr>
        <w:spacing w:line="0" w:lineRule="atLeast"/>
        <w:rPr>
          <w:sz w:val="24"/>
          <w:highlight w:val="none"/>
        </w:rPr>
      </w:pPr>
    </w:p>
    <w:p w14:paraId="0DCEBD3B">
      <w:pPr>
        <w:spacing w:line="0" w:lineRule="atLeast"/>
        <w:rPr>
          <w:sz w:val="24"/>
          <w:highlight w:val="none"/>
        </w:rPr>
      </w:pPr>
    </w:p>
    <w:p w14:paraId="2DA119EC">
      <w:pPr>
        <w:spacing w:line="0" w:lineRule="atLeast"/>
        <w:rPr>
          <w:sz w:val="24"/>
          <w:highlight w:val="none"/>
        </w:rPr>
      </w:pPr>
    </w:p>
    <w:p w14:paraId="35563E99">
      <w:pPr>
        <w:spacing w:line="0" w:lineRule="atLeast"/>
        <w:rPr>
          <w:sz w:val="24"/>
          <w:highlight w:val="none"/>
        </w:rPr>
      </w:pPr>
    </w:p>
    <w:p w14:paraId="4778EF7D">
      <w:pPr>
        <w:spacing w:line="0" w:lineRule="atLeast"/>
        <w:rPr>
          <w:sz w:val="24"/>
          <w:highlight w:val="none"/>
        </w:rPr>
      </w:pPr>
    </w:p>
    <w:p w14:paraId="6274FBCF">
      <w:pPr>
        <w:spacing w:line="0" w:lineRule="atLeast"/>
        <w:rPr>
          <w:sz w:val="24"/>
          <w:highlight w:val="none"/>
        </w:rPr>
      </w:pPr>
    </w:p>
    <w:p w14:paraId="5D645686">
      <w:pPr>
        <w:spacing w:line="0" w:lineRule="atLeast"/>
        <w:rPr>
          <w:sz w:val="24"/>
          <w:highlight w:val="none"/>
        </w:rPr>
      </w:pPr>
    </w:p>
    <w:p w14:paraId="70536E49">
      <w:pPr>
        <w:spacing w:line="0" w:lineRule="atLeast"/>
        <w:rPr>
          <w:sz w:val="24"/>
          <w:highlight w:val="none"/>
        </w:rPr>
      </w:pPr>
    </w:p>
    <w:p w14:paraId="308DDE7E">
      <w:pPr>
        <w:spacing w:line="0" w:lineRule="atLeast"/>
        <w:rPr>
          <w:sz w:val="24"/>
          <w:highlight w:val="none"/>
        </w:rPr>
      </w:pPr>
    </w:p>
    <w:p w14:paraId="5E2A8D9F">
      <w:pPr>
        <w:spacing w:line="0" w:lineRule="atLeast"/>
        <w:rPr>
          <w:sz w:val="24"/>
          <w:highlight w:val="none"/>
        </w:rPr>
      </w:pPr>
    </w:p>
    <w:p w14:paraId="5B4F0004">
      <w:pPr>
        <w:spacing w:line="0" w:lineRule="atLeast"/>
        <w:rPr>
          <w:sz w:val="24"/>
          <w:highlight w:val="none"/>
        </w:rPr>
      </w:pPr>
    </w:p>
    <w:p w14:paraId="23A1EEB2">
      <w:pPr>
        <w:spacing w:line="0" w:lineRule="atLeast"/>
        <w:rPr>
          <w:sz w:val="24"/>
          <w:highlight w:val="none"/>
        </w:rPr>
      </w:pPr>
    </w:p>
    <w:p w14:paraId="277457EE">
      <w:pPr>
        <w:spacing w:line="0" w:lineRule="atLeast"/>
        <w:rPr>
          <w:sz w:val="24"/>
          <w:highlight w:val="none"/>
        </w:rPr>
      </w:pPr>
    </w:p>
    <w:p w14:paraId="63A572C3">
      <w:pPr>
        <w:spacing w:line="0" w:lineRule="atLeast"/>
        <w:rPr>
          <w:sz w:val="24"/>
          <w:highlight w:val="none"/>
        </w:rPr>
      </w:pPr>
    </w:p>
    <w:p w14:paraId="25B3F399">
      <w:pPr>
        <w:spacing w:line="0" w:lineRule="atLeast"/>
        <w:rPr>
          <w:sz w:val="24"/>
          <w:highlight w:val="none"/>
        </w:rPr>
      </w:pPr>
    </w:p>
    <w:p w14:paraId="13F9AEF6">
      <w:pPr>
        <w:spacing w:line="0" w:lineRule="atLeast"/>
        <w:rPr>
          <w:sz w:val="24"/>
          <w:highlight w:val="none"/>
        </w:rPr>
      </w:pPr>
    </w:p>
    <w:p w14:paraId="1C6BCD23">
      <w:pPr>
        <w:spacing w:line="0" w:lineRule="atLeast"/>
        <w:rPr>
          <w:sz w:val="24"/>
          <w:highlight w:val="none"/>
        </w:rPr>
      </w:pPr>
    </w:p>
    <w:p w14:paraId="2121B445">
      <w:pPr>
        <w:spacing w:line="0" w:lineRule="atLeast"/>
        <w:rPr>
          <w:sz w:val="24"/>
          <w:highlight w:val="none"/>
        </w:rPr>
      </w:pPr>
    </w:p>
    <w:p w14:paraId="66EB35BA">
      <w:pPr>
        <w:spacing w:line="0" w:lineRule="atLeast"/>
        <w:rPr>
          <w:sz w:val="24"/>
          <w:highlight w:val="none"/>
        </w:rPr>
      </w:pPr>
    </w:p>
    <w:p w14:paraId="5287B63B">
      <w:pPr>
        <w:spacing w:line="0" w:lineRule="atLeast"/>
        <w:rPr>
          <w:sz w:val="24"/>
          <w:highlight w:val="none"/>
        </w:rPr>
      </w:pPr>
    </w:p>
    <w:p w14:paraId="68B1E057">
      <w:pPr>
        <w:spacing w:line="0" w:lineRule="atLeast"/>
        <w:rPr>
          <w:sz w:val="24"/>
          <w:highlight w:val="none"/>
        </w:rPr>
      </w:pPr>
    </w:p>
    <w:p w14:paraId="398ABCAE">
      <w:pPr>
        <w:spacing w:line="0" w:lineRule="atLeast"/>
        <w:rPr>
          <w:sz w:val="24"/>
          <w:highlight w:val="none"/>
        </w:rPr>
      </w:pPr>
    </w:p>
    <w:p w14:paraId="4D1B7DCF">
      <w:pPr>
        <w:spacing w:line="0" w:lineRule="atLeast"/>
        <w:rPr>
          <w:sz w:val="24"/>
          <w:highlight w:val="none"/>
        </w:rPr>
      </w:pPr>
    </w:p>
    <w:p w14:paraId="049CEF72">
      <w:pPr>
        <w:spacing w:line="0" w:lineRule="atLeast"/>
        <w:rPr>
          <w:sz w:val="24"/>
          <w:highlight w:val="none"/>
        </w:rPr>
      </w:pPr>
    </w:p>
    <w:p w14:paraId="0C4A03F5">
      <w:pPr>
        <w:spacing w:line="0" w:lineRule="atLeast"/>
        <w:rPr>
          <w:sz w:val="24"/>
          <w:highlight w:val="none"/>
        </w:rPr>
      </w:pPr>
    </w:p>
    <w:p w14:paraId="129145C5">
      <w:pPr>
        <w:spacing w:line="0" w:lineRule="atLeast"/>
        <w:rPr>
          <w:sz w:val="24"/>
          <w:highlight w:val="none"/>
        </w:rPr>
      </w:pPr>
    </w:p>
    <w:p w14:paraId="62D0D8C7">
      <w:pPr>
        <w:spacing w:line="0" w:lineRule="atLeast"/>
        <w:rPr>
          <w:sz w:val="24"/>
          <w:highlight w:val="none"/>
        </w:rPr>
      </w:pPr>
      <w:r>
        <w:rPr>
          <w:sz w:val="24"/>
          <w:highlight w:val="none"/>
        </w:rPr>
        <w:t> </w:t>
      </w:r>
    </w:p>
    <w:p w14:paraId="1BADC0BD">
      <w:pPr>
        <w:rPr>
          <w:sz w:val="24"/>
          <w:highlight w:val="none"/>
        </w:rPr>
      </w:pPr>
      <w:r>
        <w:rPr>
          <w:sz w:val="24"/>
          <w:highlight w:val="none"/>
        </w:rPr>
        <w:t> </w:t>
      </w:r>
    </w:p>
    <w:p w14:paraId="78064B9B">
      <w:pPr>
        <w:jc w:val="center"/>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三</w:t>
      </w:r>
      <w:r>
        <w:rPr>
          <w:rFonts w:hint="eastAsia" w:ascii="黑体" w:hAnsi="宋体" w:eastAsia="黑体" w:cs="黑体"/>
          <w:b/>
          <w:sz w:val="32"/>
          <w:szCs w:val="32"/>
          <w:highlight w:val="none"/>
        </w:rPr>
        <w:t>、投标分项报价表（分包号：**）</w:t>
      </w:r>
    </w:p>
    <w:tbl>
      <w:tblPr>
        <w:tblStyle w:val="48"/>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6AD317E7">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86BA856">
            <w:pPr>
              <w:spacing w:line="0" w:lineRule="atLeast"/>
              <w:jc w:val="center"/>
              <w:rPr>
                <w:sz w:val="24"/>
                <w:highlight w:val="none"/>
              </w:rPr>
            </w:pPr>
            <w:r>
              <w:rPr>
                <w:rFonts w:hint="eastAsia" w:ascii="宋体" w:hAnsi="宋体" w:cs="宋体"/>
                <w:sz w:val="24"/>
                <w:highlight w:val="none"/>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2B2EAA2C">
            <w:pPr>
              <w:spacing w:line="0" w:lineRule="atLeast"/>
              <w:jc w:val="center"/>
              <w:rPr>
                <w:sz w:val="24"/>
                <w:highlight w:val="none"/>
              </w:rPr>
            </w:pPr>
            <w:r>
              <w:rPr>
                <w:rFonts w:hint="eastAsia" w:ascii="宋体" w:hAnsi="宋体" w:cs="宋体"/>
                <w:sz w:val="24"/>
                <w:highlight w:val="none"/>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214376D8">
            <w:pPr>
              <w:spacing w:line="0" w:lineRule="atLeast"/>
              <w:jc w:val="center"/>
              <w:rPr>
                <w:sz w:val="24"/>
                <w:highlight w:val="none"/>
              </w:rPr>
            </w:pPr>
            <w:r>
              <w:rPr>
                <w:rFonts w:hint="eastAsia" w:ascii="宋体" w:hAnsi="宋体" w:cs="宋体"/>
                <w:sz w:val="24"/>
                <w:highlight w:val="none"/>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7B821AA6">
            <w:pPr>
              <w:spacing w:line="0" w:lineRule="atLeast"/>
              <w:jc w:val="center"/>
              <w:rPr>
                <w:sz w:val="24"/>
                <w:highlight w:val="none"/>
              </w:rPr>
            </w:pPr>
            <w:r>
              <w:rPr>
                <w:rFonts w:hint="eastAsia" w:ascii="宋体" w:hAnsi="宋体" w:cs="宋体"/>
                <w:sz w:val="24"/>
                <w:highlight w:val="none"/>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34A5C0C9">
            <w:pPr>
              <w:spacing w:line="0" w:lineRule="atLeast"/>
              <w:jc w:val="center"/>
              <w:rPr>
                <w:sz w:val="24"/>
                <w:highlight w:val="none"/>
              </w:rPr>
            </w:pPr>
            <w:r>
              <w:rPr>
                <w:rFonts w:hint="eastAsia" w:ascii="宋体" w:hAnsi="宋体" w:cs="宋体"/>
                <w:sz w:val="24"/>
                <w:highlight w:val="none"/>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5202B795">
            <w:pPr>
              <w:spacing w:line="0" w:lineRule="atLeast"/>
              <w:jc w:val="center"/>
              <w:rPr>
                <w:sz w:val="24"/>
                <w:highlight w:val="none"/>
              </w:rPr>
            </w:pPr>
            <w:r>
              <w:rPr>
                <w:rFonts w:hint="eastAsia" w:ascii="宋体" w:hAnsi="宋体" w:cs="宋体"/>
                <w:sz w:val="24"/>
                <w:highlight w:val="none"/>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16CC063C">
            <w:pPr>
              <w:spacing w:line="0" w:lineRule="atLeast"/>
              <w:jc w:val="center"/>
              <w:rPr>
                <w:sz w:val="24"/>
                <w:highlight w:val="none"/>
              </w:rPr>
            </w:pPr>
            <w:r>
              <w:rPr>
                <w:rFonts w:hint="eastAsia" w:ascii="宋体" w:hAnsi="宋体" w:cs="宋体"/>
                <w:sz w:val="24"/>
                <w:highlight w:val="none"/>
              </w:rPr>
              <w:t>6</w:t>
            </w:r>
          </w:p>
        </w:tc>
      </w:tr>
      <w:tr w14:paraId="1B0A6959">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64174962">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254D41E8">
            <w:pPr>
              <w:spacing w:line="0" w:lineRule="atLeast"/>
              <w:jc w:val="center"/>
              <w:rPr>
                <w:sz w:val="24"/>
                <w:highlight w:val="none"/>
              </w:rPr>
            </w:pPr>
            <w:r>
              <w:rPr>
                <w:rFonts w:hint="eastAsia" w:ascii="宋体" w:hAnsi="宋体" w:cs="宋体"/>
                <w:sz w:val="24"/>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289A0D68">
            <w:pPr>
              <w:spacing w:line="0" w:lineRule="atLeast"/>
              <w:jc w:val="center"/>
              <w:rPr>
                <w:sz w:val="24"/>
                <w:highlight w:val="none"/>
              </w:rPr>
            </w:pPr>
            <w:r>
              <w:rPr>
                <w:rFonts w:hint="eastAsia" w:ascii="宋体" w:hAnsi="宋体" w:cs="宋体"/>
                <w:sz w:val="24"/>
                <w:highlight w:val="none"/>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30B6E272">
            <w:pPr>
              <w:spacing w:line="0" w:lineRule="atLeast"/>
              <w:jc w:val="center"/>
              <w:rPr>
                <w:sz w:val="24"/>
                <w:highlight w:val="none"/>
              </w:rPr>
            </w:pPr>
            <w:r>
              <w:rPr>
                <w:rFonts w:hint="eastAsia" w:ascii="宋体" w:hAnsi="宋体" w:cs="宋体"/>
                <w:sz w:val="24"/>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0CAAE0DC">
            <w:pPr>
              <w:spacing w:line="0" w:lineRule="atLeast"/>
              <w:jc w:val="center"/>
              <w:rPr>
                <w:sz w:val="24"/>
                <w:highlight w:val="none"/>
              </w:rPr>
            </w:pPr>
            <w:r>
              <w:rPr>
                <w:rFonts w:hint="eastAsia" w:ascii="宋体" w:hAnsi="宋体" w:cs="宋体"/>
                <w:sz w:val="24"/>
                <w:highlight w:val="none"/>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5D145979">
            <w:pPr>
              <w:spacing w:line="0" w:lineRule="atLeast"/>
              <w:jc w:val="center"/>
              <w:rPr>
                <w:sz w:val="24"/>
                <w:highlight w:val="none"/>
              </w:rPr>
            </w:pPr>
            <w:r>
              <w:rPr>
                <w:rFonts w:hint="eastAsia" w:ascii="宋体" w:hAnsi="宋体" w:cs="宋体"/>
                <w:sz w:val="24"/>
                <w:highlight w:val="none"/>
              </w:rPr>
              <w:t>分项</w:t>
            </w:r>
          </w:p>
          <w:p w14:paraId="3CB0F982">
            <w:pPr>
              <w:spacing w:line="0" w:lineRule="atLeast"/>
              <w:jc w:val="center"/>
              <w:rPr>
                <w:sz w:val="24"/>
                <w:highlight w:val="none"/>
              </w:rPr>
            </w:pPr>
            <w:r>
              <w:rPr>
                <w:rFonts w:hint="eastAsia" w:ascii="宋体" w:hAnsi="宋体" w:cs="宋体"/>
                <w:sz w:val="24"/>
                <w:highlight w:val="none"/>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3971D664">
            <w:pPr>
              <w:spacing w:line="0" w:lineRule="atLeast"/>
              <w:jc w:val="center"/>
              <w:rPr>
                <w:sz w:val="24"/>
                <w:highlight w:val="none"/>
              </w:rPr>
            </w:pPr>
            <w:r>
              <w:rPr>
                <w:rFonts w:hint="eastAsia" w:ascii="宋体" w:hAnsi="宋体" w:cs="宋体"/>
                <w:sz w:val="24"/>
                <w:highlight w:val="none"/>
              </w:rPr>
              <w:t>分项</w:t>
            </w:r>
          </w:p>
          <w:p w14:paraId="0DD33FB1">
            <w:pPr>
              <w:spacing w:line="0" w:lineRule="atLeast"/>
              <w:jc w:val="center"/>
              <w:rPr>
                <w:sz w:val="24"/>
                <w:highlight w:val="none"/>
              </w:rPr>
            </w:pPr>
            <w:r>
              <w:rPr>
                <w:rFonts w:hint="eastAsia" w:ascii="宋体" w:hAnsi="宋体" w:cs="宋体"/>
                <w:sz w:val="24"/>
                <w:highlight w:val="none"/>
              </w:rPr>
              <w:t>总价</w:t>
            </w:r>
          </w:p>
        </w:tc>
      </w:tr>
      <w:tr w14:paraId="25E414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11CDF0E">
            <w:pPr>
              <w:spacing w:line="0" w:lineRule="atLeast"/>
              <w:jc w:val="center"/>
              <w:rPr>
                <w:sz w:val="24"/>
                <w:highlight w:val="none"/>
              </w:rPr>
            </w:pPr>
            <w:r>
              <w:rPr>
                <w:rFonts w:hint="eastAsia" w:ascii="宋体" w:hAnsi="宋体" w:cs="宋体"/>
                <w:sz w:val="24"/>
                <w:highlight w:val="none"/>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1BE41013">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7249B857">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69AE311C">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12F00B9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8E52984">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78BA6B91">
            <w:pPr>
              <w:spacing w:line="0" w:lineRule="atLeast"/>
              <w:jc w:val="center"/>
              <w:rPr>
                <w:sz w:val="24"/>
                <w:highlight w:val="none"/>
              </w:rPr>
            </w:pPr>
            <w:r>
              <w:rPr>
                <w:sz w:val="24"/>
                <w:highlight w:val="none"/>
              </w:rPr>
              <w:t> </w:t>
            </w:r>
          </w:p>
        </w:tc>
      </w:tr>
      <w:tr w14:paraId="014F757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50FDE6AF">
            <w:pPr>
              <w:spacing w:line="0" w:lineRule="atLeast"/>
              <w:jc w:val="center"/>
              <w:rPr>
                <w:sz w:val="24"/>
                <w:highlight w:val="none"/>
              </w:rPr>
            </w:pPr>
            <w:r>
              <w:rPr>
                <w:rFonts w:hint="eastAsia" w:ascii="宋体" w:hAnsi="宋体" w:cs="宋体"/>
                <w:sz w:val="24"/>
                <w:highlight w:val="none"/>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5D199E8F">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2DD0422F">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46FC13FB">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55B6C8F6">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59EC8AF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57871927">
            <w:pPr>
              <w:spacing w:line="0" w:lineRule="atLeast"/>
              <w:jc w:val="center"/>
              <w:rPr>
                <w:sz w:val="24"/>
                <w:highlight w:val="none"/>
              </w:rPr>
            </w:pPr>
            <w:r>
              <w:rPr>
                <w:sz w:val="24"/>
                <w:highlight w:val="none"/>
              </w:rPr>
              <w:t> </w:t>
            </w:r>
          </w:p>
        </w:tc>
      </w:tr>
      <w:tr w14:paraId="38E8E6E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1AF906D">
            <w:pPr>
              <w:spacing w:line="0" w:lineRule="atLeast"/>
              <w:jc w:val="center"/>
              <w:rPr>
                <w:sz w:val="24"/>
                <w:highlight w:val="none"/>
              </w:rPr>
            </w:pPr>
            <w:r>
              <w:rPr>
                <w:rFonts w:hint="eastAsia" w:ascii="宋体" w:hAnsi="宋体" w:cs="宋体"/>
                <w:sz w:val="24"/>
                <w:highlight w:val="none"/>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3E75A7A6">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942FCA8">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CC98E5A">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B82593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AAB5C1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952AC2E">
            <w:pPr>
              <w:spacing w:line="0" w:lineRule="atLeast"/>
              <w:jc w:val="center"/>
              <w:rPr>
                <w:sz w:val="24"/>
                <w:highlight w:val="none"/>
              </w:rPr>
            </w:pPr>
            <w:r>
              <w:rPr>
                <w:sz w:val="24"/>
                <w:highlight w:val="none"/>
              </w:rPr>
              <w:t> </w:t>
            </w:r>
          </w:p>
        </w:tc>
      </w:tr>
      <w:tr w14:paraId="3EED144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82C57FC">
            <w:pPr>
              <w:spacing w:line="0" w:lineRule="atLeast"/>
              <w:jc w:val="center"/>
              <w:rPr>
                <w:sz w:val="24"/>
                <w:highlight w:val="none"/>
              </w:rPr>
            </w:pPr>
            <w:r>
              <w:rPr>
                <w:rFonts w:hint="eastAsia" w:ascii="宋体" w:hAnsi="宋体" w:cs="宋体"/>
                <w:sz w:val="24"/>
                <w:highlight w:val="none"/>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172CF5C3">
            <w:pPr>
              <w:spacing w:line="0" w:lineRule="atLeast"/>
              <w:jc w:val="center"/>
              <w:rPr>
                <w:sz w:val="24"/>
                <w:highlight w:val="none"/>
              </w:rPr>
            </w:pPr>
            <w:r>
              <w:rPr>
                <w:rFonts w:hint="eastAsia" w:ascii="宋体" w:hAnsi="宋体" w:cs="宋体"/>
                <w:sz w:val="24"/>
                <w:highlight w:val="none"/>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30D49EF6">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53F73DA2">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0984D54">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3987CA5C">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78DBCA7">
            <w:pPr>
              <w:spacing w:line="0" w:lineRule="atLeast"/>
              <w:jc w:val="center"/>
              <w:rPr>
                <w:sz w:val="24"/>
                <w:highlight w:val="none"/>
              </w:rPr>
            </w:pPr>
            <w:r>
              <w:rPr>
                <w:sz w:val="24"/>
                <w:highlight w:val="none"/>
              </w:rPr>
              <w:t> </w:t>
            </w:r>
          </w:p>
        </w:tc>
      </w:tr>
      <w:tr w14:paraId="70B2ED22">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67067461">
            <w:pPr>
              <w:spacing w:line="0" w:lineRule="atLeast"/>
              <w:jc w:val="center"/>
              <w:rPr>
                <w:sz w:val="24"/>
                <w:highlight w:val="none"/>
              </w:rPr>
            </w:pPr>
            <w:r>
              <w:rPr>
                <w:rFonts w:hint="eastAsia" w:ascii="宋体" w:hAnsi="宋体" w:cs="宋体"/>
                <w:sz w:val="24"/>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19ED208D">
            <w:pPr>
              <w:spacing w:line="0" w:lineRule="atLeast"/>
              <w:rPr>
                <w:sz w:val="24"/>
                <w:highlight w:val="none"/>
              </w:rPr>
            </w:pPr>
            <w:r>
              <w:rPr>
                <w:sz w:val="24"/>
                <w:highlight w:val="none"/>
              </w:rPr>
              <w:t> </w:t>
            </w:r>
          </w:p>
        </w:tc>
      </w:tr>
    </w:tbl>
    <w:p w14:paraId="026F3EC5">
      <w:pPr>
        <w:spacing w:line="0" w:lineRule="atLeast"/>
        <w:ind w:firstLine="480"/>
        <w:rPr>
          <w:rFonts w:ascii="宋体" w:hAnsi="宋体" w:cs="宋体"/>
          <w:sz w:val="24"/>
          <w:highlight w:val="none"/>
        </w:rPr>
      </w:pPr>
      <w:r>
        <w:rPr>
          <w:rFonts w:hint="eastAsia" w:ascii="宋体" w:hAnsi="宋体" w:cs="宋体"/>
          <w:sz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3D3638CE">
      <w:pPr>
        <w:spacing w:line="0" w:lineRule="atLeast"/>
        <w:ind w:firstLine="480"/>
        <w:rPr>
          <w:rFonts w:ascii="宋体" w:hAnsi="宋体" w:cs="宋体"/>
          <w:sz w:val="24"/>
          <w:highlight w:val="none"/>
        </w:rPr>
      </w:pPr>
      <w:r>
        <w:rPr>
          <w:rFonts w:hint="eastAsia" w:ascii="宋体" w:hAnsi="宋体" w:cs="宋体"/>
          <w:sz w:val="24"/>
          <w:highlight w:val="none"/>
        </w:rPr>
        <w:t>备注：该表仅适用于项目采用货币报价的情形。项目采用折扣率报价的，如需要填写投标分项报价表，请项目经办人自行设计表格。招标文件定稿后该备注删除。</w:t>
      </w:r>
    </w:p>
    <w:p w14:paraId="25A65837">
      <w:pPr>
        <w:spacing w:line="0" w:lineRule="atLeast"/>
        <w:ind w:firstLine="480"/>
        <w:rPr>
          <w:rFonts w:ascii="宋体" w:hAnsi="宋体" w:cs="宋体"/>
          <w:sz w:val="24"/>
          <w:highlight w:val="none"/>
        </w:rPr>
      </w:pPr>
      <w:r>
        <w:rPr>
          <w:rFonts w:hint="eastAsia" w:ascii="宋体" w:hAnsi="宋体" w:cs="宋体"/>
          <w:sz w:val="24"/>
          <w:highlight w:val="none"/>
        </w:rPr>
        <w:t> </w:t>
      </w:r>
    </w:p>
    <w:p w14:paraId="1C5D1100">
      <w:pPr>
        <w:jc w:val="center"/>
        <w:rPr>
          <w:sz w:val="24"/>
          <w:highlight w:val="none"/>
        </w:rPr>
      </w:pPr>
      <w:r>
        <w:rPr>
          <w:sz w:val="24"/>
          <w:highlight w:val="none"/>
        </w:rPr>
        <w:t> </w:t>
      </w:r>
    </w:p>
    <w:p w14:paraId="051C5977">
      <w:pPr>
        <w:jc w:val="center"/>
        <w:rPr>
          <w:sz w:val="24"/>
          <w:highlight w:val="none"/>
        </w:rPr>
      </w:pPr>
      <w:r>
        <w:rPr>
          <w:sz w:val="24"/>
          <w:highlight w:val="none"/>
        </w:rPr>
        <w:t> </w:t>
      </w:r>
    </w:p>
    <w:p w14:paraId="4B4C207C">
      <w:pPr>
        <w:jc w:val="center"/>
        <w:rPr>
          <w:sz w:val="24"/>
          <w:highlight w:val="none"/>
        </w:rPr>
      </w:pPr>
      <w:r>
        <w:rPr>
          <w:sz w:val="24"/>
          <w:highlight w:val="none"/>
        </w:rPr>
        <w:t> </w:t>
      </w:r>
    </w:p>
    <w:p w14:paraId="73E26B98">
      <w:pPr>
        <w:jc w:val="center"/>
        <w:rPr>
          <w:sz w:val="24"/>
          <w:highlight w:val="none"/>
        </w:rPr>
      </w:pPr>
      <w:r>
        <w:rPr>
          <w:sz w:val="24"/>
          <w:highlight w:val="none"/>
        </w:rPr>
        <w:t> </w:t>
      </w:r>
    </w:p>
    <w:p w14:paraId="212DBC82">
      <w:pPr>
        <w:jc w:val="center"/>
        <w:rPr>
          <w:sz w:val="24"/>
          <w:highlight w:val="none"/>
        </w:rPr>
      </w:pPr>
    </w:p>
    <w:p w14:paraId="42B7F48E">
      <w:pPr>
        <w:jc w:val="center"/>
        <w:rPr>
          <w:sz w:val="24"/>
          <w:highlight w:val="none"/>
        </w:rPr>
      </w:pPr>
    </w:p>
    <w:p w14:paraId="2B0A3401">
      <w:pPr>
        <w:jc w:val="center"/>
        <w:rPr>
          <w:sz w:val="24"/>
          <w:highlight w:val="none"/>
        </w:rPr>
      </w:pPr>
    </w:p>
    <w:p w14:paraId="3F5F5AB0">
      <w:pPr>
        <w:jc w:val="center"/>
        <w:rPr>
          <w:sz w:val="24"/>
          <w:highlight w:val="none"/>
        </w:rPr>
      </w:pPr>
    </w:p>
    <w:p w14:paraId="66892162">
      <w:pPr>
        <w:jc w:val="center"/>
        <w:rPr>
          <w:sz w:val="24"/>
          <w:highlight w:val="none"/>
        </w:rPr>
      </w:pPr>
    </w:p>
    <w:p w14:paraId="482001BC">
      <w:pPr>
        <w:jc w:val="center"/>
        <w:rPr>
          <w:sz w:val="24"/>
          <w:highlight w:val="none"/>
        </w:rPr>
      </w:pPr>
    </w:p>
    <w:p w14:paraId="12D1BE1E">
      <w:pPr>
        <w:jc w:val="center"/>
        <w:rPr>
          <w:sz w:val="24"/>
          <w:highlight w:val="none"/>
        </w:rPr>
      </w:pPr>
    </w:p>
    <w:p w14:paraId="54759E1A">
      <w:pPr>
        <w:jc w:val="center"/>
        <w:rPr>
          <w:sz w:val="24"/>
          <w:highlight w:val="none"/>
        </w:rPr>
      </w:pPr>
    </w:p>
    <w:p w14:paraId="370CD5AC">
      <w:pPr>
        <w:jc w:val="center"/>
        <w:rPr>
          <w:sz w:val="24"/>
          <w:highlight w:val="none"/>
        </w:rPr>
      </w:pPr>
    </w:p>
    <w:p w14:paraId="60FD26C3">
      <w:pPr>
        <w:jc w:val="center"/>
        <w:rPr>
          <w:sz w:val="24"/>
          <w:highlight w:val="none"/>
        </w:rPr>
      </w:pPr>
    </w:p>
    <w:p w14:paraId="2F173378">
      <w:pPr>
        <w:jc w:val="center"/>
        <w:rPr>
          <w:sz w:val="24"/>
          <w:highlight w:val="none"/>
        </w:rPr>
      </w:pPr>
    </w:p>
    <w:p w14:paraId="1BC1E1C0">
      <w:pPr>
        <w:jc w:val="center"/>
        <w:rPr>
          <w:sz w:val="24"/>
          <w:highlight w:val="none"/>
        </w:rPr>
      </w:pPr>
    </w:p>
    <w:p w14:paraId="5642B8A2">
      <w:pPr>
        <w:jc w:val="center"/>
        <w:rPr>
          <w:sz w:val="24"/>
          <w:highlight w:val="none"/>
        </w:rPr>
      </w:pPr>
    </w:p>
    <w:p w14:paraId="29309C3A">
      <w:pPr>
        <w:jc w:val="center"/>
        <w:rPr>
          <w:sz w:val="24"/>
          <w:highlight w:val="none"/>
        </w:rPr>
      </w:pPr>
    </w:p>
    <w:p w14:paraId="0ABF0D63">
      <w:pPr>
        <w:jc w:val="center"/>
        <w:rPr>
          <w:sz w:val="24"/>
          <w:highlight w:val="none"/>
        </w:rPr>
      </w:pPr>
    </w:p>
    <w:p w14:paraId="5B33E409">
      <w:pPr>
        <w:jc w:val="center"/>
        <w:rPr>
          <w:sz w:val="24"/>
          <w:highlight w:val="none"/>
        </w:rPr>
      </w:pPr>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四</w:t>
      </w:r>
      <w:r>
        <w:rPr>
          <w:rFonts w:hint="eastAsia" w:ascii="黑体" w:hAnsi="宋体" w:eastAsia="黑体" w:cs="黑体"/>
          <w:b/>
          <w:sz w:val="32"/>
          <w:szCs w:val="32"/>
          <w:highlight w:val="none"/>
        </w:rPr>
        <w:t>、技术要求响应及偏离表（分包号：**）</w:t>
      </w:r>
    </w:p>
    <w:tbl>
      <w:tblPr>
        <w:tblStyle w:val="4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D86EFD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B38811">
            <w:pPr>
              <w:jc w:val="center"/>
              <w:rPr>
                <w:sz w:val="24"/>
                <w:highlight w:val="none"/>
              </w:rPr>
            </w:pPr>
            <w:r>
              <w:rPr>
                <w:rFonts w:hint="eastAsia" w:ascii="宋体" w:hAnsi="宋体" w:cs="宋体"/>
                <w:sz w:val="24"/>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D5AF594">
            <w:pPr>
              <w:jc w:val="center"/>
              <w:rPr>
                <w:sz w:val="24"/>
                <w:highlight w:val="none"/>
              </w:rPr>
            </w:pPr>
            <w:r>
              <w:rPr>
                <w:rFonts w:hint="eastAsia" w:ascii="宋体" w:hAnsi="宋体" w:cs="宋体"/>
                <w:sz w:val="24"/>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AF3FE14">
            <w:pPr>
              <w:jc w:val="center"/>
              <w:rPr>
                <w:sz w:val="24"/>
                <w:highlight w:val="none"/>
              </w:rPr>
            </w:pPr>
            <w:r>
              <w:rPr>
                <w:rFonts w:hint="eastAsia" w:ascii="宋体" w:hAnsi="宋体" w:cs="宋体"/>
                <w:sz w:val="24"/>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C4EF052">
            <w:pPr>
              <w:jc w:val="center"/>
              <w:rPr>
                <w:sz w:val="24"/>
                <w:highlight w:val="none"/>
              </w:rPr>
            </w:pPr>
            <w:r>
              <w:rPr>
                <w:rFonts w:hint="eastAsia" w:ascii="宋体" w:hAnsi="宋体" w:cs="宋体"/>
                <w:sz w:val="24"/>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CBD7F5D">
            <w:pPr>
              <w:jc w:val="center"/>
              <w:rPr>
                <w:sz w:val="24"/>
                <w:highlight w:val="none"/>
              </w:rPr>
            </w:pPr>
            <w:r>
              <w:rPr>
                <w:rFonts w:hint="eastAsia" w:ascii="宋体" w:hAnsi="宋体" w:cs="宋体"/>
                <w:sz w:val="24"/>
                <w:highlight w:val="none"/>
              </w:rPr>
              <w:t>证明</w:t>
            </w:r>
          </w:p>
          <w:p w14:paraId="699BB8E3">
            <w:pPr>
              <w:jc w:val="center"/>
              <w:rPr>
                <w:sz w:val="24"/>
                <w:highlight w:val="none"/>
              </w:rPr>
            </w:pPr>
            <w:r>
              <w:rPr>
                <w:rFonts w:hint="eastAsia" w:ascii="宋体" w:hAnsi="宋体" w:cs="宋体"/>
                <w:sz w:val="24"/>
                <w:highlight w:val="none"/>
              </w:rPr>
              <w:t>材料</w:t>
            </w:r>
          </w:p>
        </w:tc>
      </w:tr>
      <w:tr w14:paraId="7ECD54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442648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50FAD5F">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12819D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8319478">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CD0C23C">
            <w:pPr>
              <w:jc w:val="center"/>
              <w:rPr>
                <w:sz w:val="24"/>
                <w:highlight w:val="none"/>
              </w:rPr>
            </w:pPr>
            <w:r>
              <w:rPr>
                <w:sz w:val="24"/>
                <w:highlight w:val="none"/>
              </w:rPr>
              <w:t> </w:t>
            </w:r>
          </w:p>
        </w:tc>
      </w:tr>
      <w:tr w14:paraId="7149A44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C794114">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EBA644">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9A36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D8E455">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C041056">
            <w:pPr>
              <w:jc w:val="center"/>
              <w:rPr>
                <w:sz w:val="24"/>
                <w:highlight w:val="none"/>
              </w:rPr>
            </w:pPr>
            <w:r>
              <w:rPr>
                <w:sz w:val="24"/>
                <w:highlight w:val="none"/>
              </w:rPr>
              <w:t> </w:t>
            </w:r>
          </w:p>
        </w:tc>
      </w:tr>
      <w:tr w14:paraId="3689A4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1CAC75D">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286547">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26D1D71">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0AC659B">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DE1EA9">
            <w:pPr>
              <w:jc w:val="center"/>
              <w:rPr>
                <w:sz w:val="24"/>
                <w:highlight w:val="none"/>
              </w:rPr>
            </w:pPr>
            <w:r>
              <w:rPr>
                <w:sz w:val="24"/>
                <w:highlight w:val="none"/>
              </w:rPr>
              <w:t> </w:t>
            </w:r>
          </w:p>
        </w:tc>
      </w:tr>
      <w:tr w14:paraId="09E3F1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7DE8AA5">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A7696">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65889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682FA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7E7B58">
            <w:pPr>
              <w:jc w:val="center"/>
              <w:rPr>
                <w:sz w:val="24"/>
                <w:highlight w:val="none"/>
              </w:rPr>
            </w:pPr>
            <w:r>
              <w:rPr>
                <w:sz w:val="24"/>
                <w:highlight w:val="none"/>
              </w:rPr>
              <w:t> </w:t>
            </w:r>
          </w:p>
        </w:tc>
      </w:tr>
      <w:tr w14:paraId="659922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9FB6DC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16F04E">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5180A64">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B0AF59">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7747E9">
            <w:pPr>
              <w:jc w:val="center"/>
              <w:rPr>
                <w:sz w:val="24"/>
                <w:highlight w:val="none"/>
              </w:rPr>
            </w:pPr>
            <w:r>
              <w:rPr>
                <w:sz w:val="24"/>
                <w:highlight w:val="none"/>
              </w:rPr>
              <w:t> </w:t>
            </w:r>
          </w:p>
        </w:tc>
      </w:tr>
      <w:tr w14:paraId="262E4D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180F78">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770F62">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89AE710">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CA7AB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53D0E0">
            <w:pPr>
              <w:jc w:val="center"/>
              <w:rPr>
                <w:sz w:val="24"/>
                <w:highlight w:val="none"/>
              </w:rPr>
            </w:pPr>
            <w:r>
              <w:rPr>
                <w:sz w:val="24"/>
                <w:highlight w:val="none"/>
              </w:rPr>
              <w:t> </w:t>
            </w:r>
          </w:p>
        </w:tc>
      </w:tr>
      <w:tr w14:paraId="62A3B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45DE1A">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4E033B">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CBE3907">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250CBC">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28AB815">
            <w:pPr>
              <w:jc w:val="center"/>
              <w:rPr>
                <w:sz w:val="24"/>
                <w:highlight w:val="none"/>
              </w:rPr>
            </w:pPr>
            <w:r>
              <w:rPr>
                <w:sz w:val="24"/>
                <w:highlight w:val="none"/>
              </w:rPr>
              <w:t> </w:t>
            </w:r>
          </w:p>
        </w:tc>
      </w:tr>
      <w:tr w14:paraId="020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2A5D38E">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AD22E55">
            <w:pPr>
              <w:jc w:val="center"/>
              <w:rPr>
                <w:sz w:val="24"/>
                <w:highlight w:val="none"/>
              </w:rPr>
            </w:pPr>
            <w:r>
              <w:rPr>
                <w:rFonts w:hint="eastAsia" w:ascii="宋体" w:hAnsi="宋体" w:cs="宋体"/>
                <w:sz w:val="24"/>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B0323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1BA653">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AE9876">
            <w:pPr>
              <w:jc w:val="center"/>
              <w:rPr>
                <w:sz w:val="24"/>
                <w:highlight w:val="none"/>
              </w:rPr>
            </w:pPr>
            <w:r>
              <w:rPr>
                <w:sz w:val="24"/>
                <w:highlight w:val="none"/>
              </w:rPr>
              <w:t> </w:t>
            </w:r>
          </w:p>
        </w:tc>
      </w:tr>
    </w:tbl>
    <w:p w14:paraId="7B95444B">
      <w:pPr>
        <w:rPr>
          <w:sz w:val="24"/>
          <w:highlight w:val="none"/>
        </w:rPr>
      </w:pPr>
      <w:r>
        <w:rPr>
          <w:rFonts w:hint="eastAsia" w:ascii="宋体" w:hAnsi="宋体" w:cs="宋体"/>
          <w:sz w:val="24"/>
          <w:highlight w:val="none"/>
        </w:rPr>
        <w:t>注： 行数不够，可自行添加。</w:t>
      </w:r>
    </w:p>
    <w:p w14:paraId="31FF44C2">
      <w:pPr>
        <w:jc w:val="center"/>
        <w:rPr>
          <w:sz w:val="24"/>
          <w:highlight w:val="none"/>
        </w:rPr>
      </w:pPr>
      <w:r>
        <w:rPr>
          <w:sz w:val="24"/>
          <w:highlight w:val="none"/>
        </w:rPr>
        <w:t> </w:t>
      </w:r>
    </w:p>
    <w:p w14:paraId="10B23179">
      <w:pPr>
        <w:jc w:val="center"/>
        <w:rPr>
          <w:sz w:val="24"/>
          <w:highlight w:val="none"/>
        </w:rPr>
      </w:pPr>
      <w:r>
        <w:rPr>
          <w:sz w:val="24"/>
          <w:highlight w:val="none"/>
        </w:rPr>
        <w:t> </w:t>
      </w:r>
    </w:p>
    <w:p w14:paraId="5B1B00B8">
      <w:pPr>
        <w:jc w:val="center"/>
        <w:rPr>
          <w:sz w:val="24"/>
          <w:highlight w:val="none"/>
        </w:rPr>
      </w:pPr>
      <w:r>
        <w:rPr>
          <w:sz w:val="24"/>
          <w:highlight w:val="none"/>
        </w:rPr>
        <w:t> </w:t>
      </w:r>
    </w:p>
    <w:p w14:paraId="47AF8350">
      <w:pPr>
        <w:jc w:val="center"/>
        <w:rPr>
          <w:sz w:val="24"/>
          <w:highlight w:val="none"/>
        </w:rPr>
      </w:pPr>
      <w:r>
        <w:rPr>
          <w:sz w:val="24"/>
          <w:highlight w:val="none"/>
        </w:rPr>
        <w:t> </w:t>
      </w:r>
    </w:p>
    <w:p w14:paraId="735BBA60">
      <w:pPr>
        <w:rPr>
          <w:sz w:val="24"/>
          <w:highlight w:val="none"/>
        </w:rPr>
      </w:pPr>
      <w:r>
        <w:rPr>
          <w:sz w:val="24"/>
          <w:highlight w:val="none"/>
        </w:rPr>
        <w:t> </w:t>
      </w:r>
    </w:p>
    <w:p w14:paraId="1DFC6785">
      <w:pPr>
        <w:rPr>
          <w:sz w:val="24"/>
          <w:highlight w:val="none"/>
        </w:rPr>
      </w:pPr>
      <w:r>
        <w:rPr>
          <w:sz w:val="24"/>
          <w:highlight w:val="none"/>
        </w:rPr>
        <w:t> </w:t>
      </w:r>
    </w:p>
    <w:p w14:paraId="63E89366">
      <w:pPr>
        <w:rPr>
          <w:sz w:val="24"/>
          <w:highlight w:val="none"/>
        </w:rPr>
      </w:pPr>
      <w:r>
        <w:rPr>
          <w:sz w:val="24"/>
          <w:highlight w:val="none"/>
        </w:rPr>
        <w:t> </w:t>
      </w:r>
    </w:p>
    <w:p w14:paraId="5069A703">
      <w:pPr>
        <w:rPr>
          <w:sz w:val="24"/>
          <w:highlight w:val="none"/>
        </w:rPr>
      </w:pPr>
      <w:r>
        <w:rPr>
          <w:sz w:val="24"/>
          <w:highlight w:val="none"/>
        </w:rPr>
        <w:t> </w:t>
      </w:r>
    </w:p>
    <w:p w14:paraId="424D1B19">
      <w:pPr>
        <w:rPr>
          <w:sz w:val="24"/>
          <w:highlight w:val="none"/>
        </w:rPr>
      </w:pPr>
    </w:p>
    <w:p w14:paraId="360F8B9A">
      <w:pPr>
        <w:rPr>
          <w:sz w:val="24"/>
          <w:highlight w:val="none"/>
        </w:rPr>
      </w:pPr>
    </w:p>
    <w:p w14:paraId="76F417BB">
      <w:pPr>
        <w:rPr>
          <w:sz w:val="24"/>
          <w:highlight w:val="none"/>
        </w:rPr>
      </w:pPr>
    </w:p>
    <w:p w14:paraId="58450B31">
      <w:pPr>
        <w:rPr>
          <w:sz w:val="24"/>
          <w:highlight w:val="none"/>
        </w:rPr>
      </w:pPr>
    </w:p>
    <w:p w14:paraId="1043B5BD">
      <w:pPr>
        <w:rPr>
          <w:sz w:val="24"/>
          <w:highlight w:val="none"/>
        </w:rPr>
      </w:pPr>
    </w:p>
    <w:p w14:paraId="79F8A0E1">
      <w:pPr>
        <w:rPr>
          <w:sz w:val="24"/>
          <w:highlight w:val="none"/>
        </w:rPr>
      </w:pPr>
    </w:p>
    <w:p w14:paraId="4765FC2C">
      <w:pPr>
        <w:rPr>
          <w:sz w:val="24"/>
          <w:highlight w:val="none"/>
        </w:rPr>
      </w:pPr>
    </w:p>
    <w:p w14:paraId="05AEC048">
      <w:pPr>
        <w:rPr>
          <w:sz w:val="24"/>
          <w:highlight w:val="none"/>
        </w:rPr>
      </w:pPr>
    </w:p>
    <w:p w14:paraId="5AE68567">
      <w:pPr>
        <w:rPr>
          <w:sz w:val="24"/>
          <w:highlight w:val="none"/>
        </w:rPr>
      </w:pPr>
    </w:p>
    <w:p w14:paraId="64C2318E">
      <w:pPr>
        <w:rPr>
          <w:sz w:val="24"/>
          <w:highlight w:val="none"/>
        </w:rPr>
      </w:pPr>
    </w:p>
    <w:p w14:paraId="00E60AEE">
      <w:pPr>
        <w:rPr>
          <w:sz w:val="24"/>
          <w:highlight w:val="none"/>
        </w:rPr>
      </w:pPr>
    </w:p>
    <w:p w14:paraId="643A3D07">
      <w:pPr>
        <w:rPr>
          <w:sz w:val="24"/>
          <w:highlight w:val="none"/>
        </w:rPr>
      </w:pPr>
    </w:p>
    <w:p w14:paraId="21604FF1">
      <w:pPr>
        <w:rPr>
          <w:sz w:val="24"/>
          <w:highlight w:val="none"/>
        </w:rPr>
      </w:pPr>
    </w:p>
    <w:p w14:paraId="13A57FAD">
      <w:pPr>
        <w:rPr>
          <w:sz w:val="24"/>
          <w:highlight w:val="none"/>
        </w:rPr>
      </w:pPr>
      <w:r>
        <w:rPr>
          <w:sz w:val="24"/>
          <w:highlight w:val="none"/>
        </w:rPr>
        <w:t> </w:t>
      </w:r>
    </w:p>
    <w:p w14:paraId="14391E93">
      <w:pPr>
        <w:rPr>
          <w:sz w:val="24"/>
          <w:highlight w:val="none"/>
        </w:rPr>
      </w:pPr>
      <w:r>
        <w:rPr>
          <w:sz w:val="24"/>
          <w:highlight w:val="none"/>
        </w:rPr>
        <w:t> </w:t>
      </w:r>
    </w:p>
    <w:p w14:paraId="361191E6">
      <w:pPr>
        <w:rPr>
          <w:sz w:val="24"/>
          <w:highlight w:val="none"/>
        </w:rPr>
      </w:pPr>
      <w:r>
        <w:rPr>
          <w:sz w:val="24"/>
          <w:highlight w:val="none"/>
        </w:rPr>
        <w:t> </w:t>
      </w:r>
    </w:p>
    <w:p w14:paraId="7DCA93C6">
      <w:pPr>
        <w:jc w:val="center"/>
        <w:rPr>
          <w:sz w:val="24"/>
          <w:highlight w:val="none"/>
        </w:rPr>
      </w:pPr>
      <w:bookmarkStart w:id="134" w:name="_Hlt26955054"/>
      <w:r>
        <w:rPr>
          <w:rFonts w:hint="eastAsia" w:ascii="黑体" w:hAnsi="宋体" w:eastAsia="黑体" w:cs="黑体"/>
          <w:b/>
          <w:sz w:val="32"/>
          <w:szCs w:val="32"/>
          <w:highlight w:val="none"/>
        </w:rPr>
        <w:t>十</w:t>
      </w:r>
      <w:r>
        <w:rPr>
          <w:rFonts w:hint="eastAsia" w:ascii="黑体" w:hAnsi="宋体" w:eastAsia="黑体" w:cs="黑体"/>
          <w:b/>
          <w:sz w:val="32"/>
          <w:szCs w:val="32"/>
          <w:highlight w:val="none"/>
          <w:lang w:val="en-US" w:eastAsia="zh-CN"/>
        </w:rPr>
        <w:t>五</w:t>
      </w:r>
      <w:r>
        <w:rPr>
          <w:rFonts w:hint="eastAsia" w:ascii="黑体" w:hAnsi="宋体" w:eastAsia="黑体" w:cs="黑体"/>
          <w:b/>
          <w:sz w:val="32"/>
          <w:szCs w:val="32"/>
          <w:highlight w:val="none"/>
        </w:rPr>
        <w:t>、商务要求响应及偏离表（分包号：**）</w:t>
      </w:r>
    </w:p>
    <w:tbl>
      <w:tblPr>
        <w:tblStyle w:val="4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E3137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544CCF8">
            <w:pPr>
              <w:jc w:val="center"/>
              <w:rPr>
                <w:sz w:val="24"/>
                <w:highlight w:val="none"/>
              </w:rPr>
            </w:pPr>
            <w:bookmarkStart w:id="135" w:name="_Hlt26782999"/>
            <w:bookmarkStart w:id="136" w:name="_Hlt26671372"/>
            <w:bookmarkStart w:id="137" w:name="_Hlt26955056"/>
            <w:bookmarkStart w:id="138" w:name="_Hlt26671343"/>
            <w:bookmarkStart w:id="139" w:name="_Hlt26955064"/>
            <w:bookmarkStart w:id="140" w:name="_Hlt24879081"/>
            <w:bookmarkStart w:id="141" w:name="_Hlt26609391"/>
            <w:bookmarkStart w:id="142" w:name="_Hlt26580838"/>
            <w:r>
              <w:rPr>
                <w:rFonts w:hint="eastAsia" w:ascii="宋体" w:hAnsi="宋体" w:cs="宋体"/>
                <w:sz w:val="24"/>
                <w:highlight w:val="none"/>
              </w:rPr>
              <w:t>序号</w:t>
            </w:r>
            <w:bookmarkEnd w:id="135"/>
            <w:bookmarkEnd w:id="136"/>
            <w:bookmarkEnd w:id="137"/>
            <w:bookmarkEnd w:id="138"/>
            <w:bookmarkEnd w:id="139"/>
            <w:bookmarkEnd w:id="140"/>
            <w:bookmarkEnd w:id="141"/>
            <w:bookmarkEnd w:id="142"/>
          </w:p>
        </w:tc>
        <w:tc>
          <w:tcPr>
            <w:tcW w:w="2469" w:type="dxa"/>
            <w:tcBorders>
              <w:top w:val="single" w:color="000000" w:sz="4" w:space="0"/>
              <w:left w:val="single" w:color="000000" w:sz="4" w:space="0"/>
              <w:bottom w:val="single" w:color="000000" w:sz="4" w:space="0"/>
              <w:right w:val="single" w:color="000000" w:sz="4" w:space="0"/>
            </w:tcBorders>
            <w:vAlign w:val="center"/>
          </w:tcPr>
          <w:p w14:paraId="41BD071F">
            <w:pPr>
              <w:jc w:val="center"/>
              <w:rPr>
                <w:sz w:val="24"/>
                <w:highlight w:val="none"/>
              </w:rPr>
            </w:pPr>
            <w:r>
              <w:rPr>
                <w:rFonts w:hint="eastAsia" w:ascii="宋体" w:hAnsi="宋体" w:cs="宋体"/>
                <w:sz w:val="24"/>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7EFF84C1">
            <w:pPr>
              <w:jc w:val="center"/>
              <w:rPr>
                <w:sz w:val="24"/>
                <w:highlight w:val="none"/>
              </w:rPr>
            </w:pPr>
            <w:r>
              <w:rPr>
                <w:rFonts w:hint="eastAsia" w:ascii="宋体" w:hAnsi="宋体" w:cs="宋体"/>
                <w:sz w:val="24"/>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57EE112">
            <w:pPr>
              <w:jc w:val="center"/>
              <w:rPr>
                <w:sz w:val="24"/>
                <w:highlight w:val="none"/>
              </w:rPr>
            </w:pPr>
            <w:r>
              <w:rPr>
                <w:rFonts w:hint="eastAsia" w:ascii="宋体" w:hAnsi="宋体" w:cs="宋体"/>
                <w:sz w:val="24"/>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67FCC888">
            <w:pPr>
              <w:jc w:val="center"/>
              <w:rPr>
                <w:sz w:val="24"/>
                <w:highlight w:val="none"/>
              </w:rPr>
            </w:pPr>
            <w:r>
              <w:rPr>
                <w:rFonts w:hint="eastAsia" w:ascii="宋体" w:hAnsi="宋体" w:cs="宋体"/>
                <w:sz w:val="24"/>
                <w:highlight w:val="none"/>
              </w:rPr>
              <w:t>证明</w:t>
            </w:r>
          </w:p>
          <w:p w14:paraId="3EAEB3D3">
            <w:pPr>
              <w:jc w:val="center"/>
              <w:rPr>
                <w:sz w:val="24"/>
                <w:highlight w:val="none"/>
              </w:rPr>
            </w:pPr>
            <w:r>
              <w:rPr>
                <w:rFonts w:hint="eastAsia" w:ascii="宋体" w:hAnsi="宋体" w:cs="宋体"/>
                <w:sz w:val="24"/>
                <w:highlight w:val="none"/>
              </w:rPr>
              <w:t>材料</w:t>
            </w:r>
          </w:p>
        </w:tc>
      </w:tr>
      <w:tr w14:paraId="186594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105FB23">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5E09207">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C6A6249">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C59499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B9723B0">
            <w:pPr>
              <w:jc w:val="center"/>
              <w:rPr>
                <w:sz w:val="24"/>
                <w:highlight w:val="none"/>
              </w:rPr>
            </w:pPr>
            <w:r>
              <w:rPr>
                <w:sz w:val="24"/>
                <w:highlight w:val="none"/>
              </w:rPr>
              <w:t> </w:t>
            </w:r>
          </w:p>
        </w:tc>
      </w:tr>
      <w:tr w14:paraId="64BFE5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47A93D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FFC2BB5">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A2315E4">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57C4A72">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7EBFA0">
            <w:pPr>
              <w:jc w:val="center"/>
              <w:rPr>
                <w:sz w:val="24"/>
                <w:highlight w:val="none"/>
              </w:rPr>
            </w:pPr>
            <w:r>
              <w:rPr>
                <w:sz w:val="24"/>
                <w:highlight w:val="none"/>
              </w:rPr>
              <w:t> </w:t>
            </w:r>
          </w:p>
        </w:tc>
      </w:tr>
      <w:tr w14:paraId="63D3716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96EFB6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D3F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DD102D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57547F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C5D03BF">
            <w:pPr>
              <w:jc w:val="center"/>
              <w:rPr>
                <w:sz w:val="24"/>
                <w:highlight w:val="none"/>
              </w:rPr>
            </w:pPr>
            <w:r>
              <w:rPr>
                <w:sz w:val="24"/>
                <w:highlight w:val="none"/>
              </w:rPr>
              <w:t> </w:t>
            </w:r>
          </w:p>
        </w:tc>
      </w:tr>
      <w:tr w14:paraId="5EA4568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EA3119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2C561C3">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9205628">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8F82B1">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B4085A">
            <w:pPr>
              <w:jc w:val="center"/>
              <w:rPr>
                <w:sz w:val="24"/>
                <w:highlight w:val="none"/>
              </w:rPr>
            </w:pPr>
            <w:r>
              <w:rPr>
                <w:sz w:val="24"/>
                <w:highlight w:val="none"/>
              </w:rPr>
              <w:t> </w:t>
            </w:r>
          </w:p>
        </w:tc>
      </w:tr>
      <w:tr w14:paraId="5534377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789C1B1">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3C63E74">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58B471D">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592F63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E20F3E6">
            <w:pPr>
              <w:jc w:val="center"/>
              <w:rPr>
                <w:sz w:val="24"/>
                <w:highlight w:val="none"/>
              </w:rPr>
            </w:pPr>
            <w:r>
              <w:rPr>
                <w:sz w:val="24"/>
                <w:highlight w:val="none"/>
              </w:rPr>
              <w:t> </w:t>
            </w:r>
          </w:p>
        </w:tc>
      </w:tr>
      <w:tr w14:paraId="71937B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42F44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99CE1E2">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A08AC90">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ED5CEA7">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BDF2EF">
            <w:pPr>
              <w:jc w:val="center"/>
              <w:rPr>
                <w:sz w:val="24"/>
                <w:highlight w:val="none"/>
              </w:rPr>
            </w:pPr>
            <w:r>
              <w:rPr>
                <w:sz w:val="24"/>
                <w:highlight w:val="none"/>
              </w:rPr>
              <w:t> </w:t>
            </w:r>
          </w:p>
        </w:tc>
      </w:tr>
      <w:tr w14:paraId="78C08A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11EA6E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B006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E2C838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D38B0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5F120F">
            <w:pPr>
              <w:jc w:val="center"/>
              <w:rPr>
                <w:sz w:val="24"/>
                <w:highlight w:val="none"/>
              </w:rPr>
            </w:pPr>
            <w:r>
              <w:rPr>
                <w:sz w:val="24"/>
                <w:highlight w:val="none"/>
              </w:rPr>
              <w:t> </w:t>
            </w:r>
          </w:p>
        </w:tc>
      </w:tr>
      <w:tr w14:paraId="2C6DF59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E9008CE">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70BBB29">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499CE65">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4CAE939">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A1CBE98">
            <w:pPr>
              <w:jc w:val="center"/>
              <w:rPr>
                <w:sz w:val="24"/>
                <w:highlight w:val="none"/>
              </w:rPr>
            </w:pPr>
            <w:r>
              <w:rPr>
                <w:sz w:val="24"/>
                <w:highlight w:val="none"/>
              </w:rPr>
              <w:t> </w:t>
            </w:r>
          </w:p>
        </w:tc>
      </w:tr>
    </w:tbl>
    <w:p w14:paraId="18A8A6EC">
      <w:pPr>
        <w:rPr>
          <w:sz w:val="24"/>
          <w:highlight w:val="none"/>
        </w:rPr>
      </w:pPr>
      <w:r>
        <w:rPr>
          <w:rFonts w:hint="eastAsia" w:ascii="宋体" w:hAnsi="宋体" w:cs="宋体"/>
          <w:sz w:val="24"/>
          <w:highlight w:val="none"/>
        </w:rPr>
        <w:t>注： 行数不够，可自行添加。</w:t>
      </w:r>
    </w:p>
    <w:p w14:paraId="21246B54">
      <w:pPr>
        <w:spacing w:line="480" w:lineRule="auto"/>
        <w:rPr>
          <w:sz w:val="24"/>
          <w:highlight w:val="none"/>
        </w:rPr>
      </w:pPr>
      <w:r>
        <w:rPr>
          <w:sz w:val="24"/>
          <w:highlight w:val="none"/>
        </w:rPr>
        <w:t> </w:t>
      </w:r>
    </w:p>
    <w:p w14:paraId="298CEEEE">
      <w:pPr>
        <w:spacing w:line="480" w:lineRule="auto"/>
        <w:rPr>
          <w:sz w:val="24"/>
          <w:highlight w:val="none"/>
        </w:rPr>
      </w:pPr>
      <w:r>
        <w:rPr>
          <w:sz w:val="24"/>
          <w:highlight w:val="none"/>
        </w:rPr>
        <w:t> </w:t>
      </w:r>
    </w:p>
    <w:p w14:paraId="0C95C772">
      <w:pPr>
        <w:jc w:val="center"/>
        <w:rPr>
          <w:sz w:val="24"/>
          <w:highlight w:val="none"/>
        </w:rPr>
      </w:pPr>
      <w:bookmarkStart w:id="143" w:name="_格式2__法定代表人授权书"/>
      <w:bookmarkStart w:id="144" w:name="_Hlt26609389"/>
      <w:bookmarkStart w:id="145" w:name="_Hlt26671374"/>
      <w:bookmarkStart w:id="146" w:name="_Hlt26955066"/>
      <w:bookmarkStart w:id="147" w:name="_Toc462564146"/>
      <w:r>
        <w:rPr>
          <w:sz w:val="24"/>
          <w:highlight w:val="none"/>
        </w:rPr>
        <w:t> </w:t>
      </w:r>
    </w:p>
    <w:p w14:paraId="66D85A0D">
      <w:pPr>
        <w:rPr>
          <w:sz w:val="24"/>
          <w:highlight w:val="none"/>
        </w:rPr>
      </w:pPr>
      <w:r>
        <w:rPr>
          <w:sz w:val="24"/>
          <w:highlight w:val="none"/>
        </w:rPr>
        <w:t> </w:t>
      </w:r>
    </w:p>
    <w:p w14:paraId="24717449">
      <w:pPr>
        <w:rPr>
          <w:sz w:val="24"/>
          <w:highlight w:val="none"/>
        </w:rPr>
      </w:pPr>
      <w:r>
        <w:rPr>
          <w:sz w:val="24"/>
          <w:highlight w:val="none"/>
        </w:rPr>
        <w:t> </w:t>
      </w:r>
    </w:p>
    <w:p w14:paraId="1AF68C49">
      <w:pPr>
        <w:rPr>
          <w:sz w:val="24"/>
          <w:highlight w:val="none"/>
        </w:rPr>
      </w:pPr>
    </w:p>
    <w:p w14:paraId="7A83C9A2">
      <w:pPr>
        <w:rPr>
          <w:sz w:val="24"/>
          <w:highlight w:val="none"/>
        </w:rPr>
      </w:pPr>
    </w:p>
    <w:p w14:paraId="0F93B33C">
      <w:pPr>
        <w:rPr>
          <w:sz w:val="24"/>
          <w:highlight w:val="none"/>
        </w:rPr>
      </w:pPr>
    </w:p>
    <w:p w14:paraId="3BA2691B">
      <w:pPr>
        <w:rPr>
          <w:sz w:val="24"/>
          <w:highlight w:val="none"/>
        </w:rPr>
      </w:pPr>
    </w:p>
    <w:p w14:paraId="75B15704">
      <w:pPr>
        <w:rPr>
          <w:sz w:val="24"/>
          <w:highlight w:val="none"/>
        </w:rPr>
      </w:pPr>
    </w:p>
    <w:p w14:paraId="6AF3487A">
      <w:pPr>
        <w:rPr>
          <w:sz w:val="24"/>
          <w:highlight w:val="none"/>
        </w:rPr>
      </w:pPr>
    </w:p>
    <w:p w14:paraId="77D182E0">
      <w:pPr>
        <w:rPr>
          <w:sz w:val="24"/>
          <w:highlight w:val="none"/>
        </w:rPr>
      </w:pPr>
    </w:p>
    <w:p w14:paraId="3E0C6456">
      <w:pPr>
        <w:rPr>
          <w:sz w:val="24"/>
          <w:highlight w:val="none"/>
        </w:rPr>
      </w:pPr>
    </w:p>
    <w:p w14:paraId="2AADE7EF">
      <w:pPr>
        <w:rPr>
          <w:sz w:val="24"/>
          <w:highlight w:val="none"/>
        </w:rPr>
      </w:pPr>
    </w:p>
    <w:p w14:paraId="12CB8F84">
      <w:pPr>
        <w:rPr>
          <w:sz w:val="24"/>
          <w:highlight w:val="none"/>
        </w:rPr>
      </w:pPr>
    </w:p>
    <w:p w14:paraId="1CBBABE4">
      <w:pPr>
        <w:rPr>
          <w:sz w:val="24"/>
          <w:highlight w:val="none"/>
        </w:rPr>
      </w:pPr>
    </w:p>
    <w:p w14:paraId="55042723">
      <w:pPr>
        <w:rPr>
          <w:sz w:val="24"/>
          <w:highlight w:val="none"/>
        </w:rPr>
      </w:pPr>
    </w:p>
    <w:p w14:paraId="36797FDC">
      <w:pPr>
        <w:rPr>
          <w:sz w:val="24"/>
          <w:highlight w:val="none"/>
        </w:rPr>
      </w:pPr>
    </w:p>
    <w:p w14:paraId="2EDA015B">
      <w:pPr>
        <w:rPr>
          <w:sz w:val="24"/>
          <w:highlight w:val="none"/>
        </w:rPr>
      </w:pPr>
    </w:p>
    <w:p w14:paraId="5BAC2D2E">
      <w:pPr>
        <w:rPr>
          <w:sz w:val="24"/>
          <w:highlight w:val="none"/>
        </w:rPr>
      </w:pPr>
    </w:p>
    <w:p w14:paraId="6C7F40F9">
      <w:pPr>
        <w:rPr>
          <w:sz w:val="24"/>
          <w:highlight w:val="none"/>
        </w:rPr>
      </w:pPr>
    </w:p>
    <w:p w14:paraId="3CE0DEC5">
      <w:pPr>
        <w:rPr>
          <w:sz w:val="24"/>
          <w:highlight w:val="none"/>
        </w:rPr>
      </w:pPr>
    </w:p>
    <w:p w14:paraId="4E988329">
      <w:pPr>
        <w:rPr>
          <w:sz w:val="24"/>
          <w:highlight w:val="none"/>
        </w:rPr>
      </w:pPr>
    </w:p>
    <w:p w14:paraId="158AFFEF">
      <w:pPr>
        <w:rPr>
          <w:sz w:val="24"/>
          <w:highlight w:val="none"/>
        </w:rPr>
      </w:pPr>
    </w:p>
    <w:p w14:paraId="7791FDBC">
      <w:pPr>
        <w:jc w:val="center"/>
        <w:rPr>
          <w:sz w:val="24"/>
          <w:highlight w:val="none"/>
        </w:rPr>
      </w:pPr>
      <w:r>
        <w:rPr>
          <w:rFonts w:hint="eastAsia" w:ascii="黑体" w:hAnsi="宋体" w:eastAsia="黑体" w:cs="黑体"/>
          <w:b/>
          <w:i/>
          <w:sz w:val="32"/>
          <w:szCs w:val="32"/>
          <w:highlight w:val="none"/>
          <w:u w:val="single"/>
        </w:rPr>
        <w:t>十</w:t>
      </w:r>
      <w:r>
        <w:rPr>
          <w:rFonts w:hint="eastAsia" w:ascii="黑体" w:hAnsi="宋体" w:eastAsia="黑体" w:cs="黑体"/>
          <w:b/>
          <w:i/>
          <w:sz w:val="32"/>
          <w:szCs w:val="32"/>
          <w:highlight w:val="none"/>
          <w:u w:val="single"/>
          <w:lang w:val="en-US" w:eastAsia="zh-CN"/>
        </w:rPr>
        <w:t>六</w:t>
      </w:r>
      <w:r>
        <w:rPr>
          <w:rFonts w:hint="eastAsia" w:ascii="黑体" w:hAnsi="宋体" w:eastAsia="黑体" w:cs="黑体"/>
          <w:b/>
          <w:i/>
          <w:sz w:val="32"/>
          <w:szCs w:val="32"/>
          <w:highlight w:val="none"/>
          <w:u w:val="single"/>
        </w:rPr>
        <w:t>、开标一览表</w:t>
      </w:r>
    </w:p>
    <w:p w14:paraId="1061EBDE">
      <w:pPr>
        <w:ind w:firstLine="480"/>
        <w:rPr>
          <w:sz w:val="24"/>
          <w:highlight w:val="none"/>
        </w:rPr>
      </w:pPr>
      <w:r>
        <w:rPr>
          <w:rFonts w:hint="eastAsia" w:ascii="宋体" w:hAnsi="宋体" w:cs="宋体"/>
          <w:sz w:val="24"/>
          <w:highlight w:val="none"/>
        </w:rPr>
        <w:t>投标人全称（加盖CA电子签章）：</w:t>
      </w:r>
    </w:p>
    <w:p w14:paraId="759B677A">
      <w:pPr>
        <w:ind w:firstLine="480"/>
        <w:rPr>
          <w:sz w:val="24"/>
          <w:highlight w:val="none"/>
        </w:rPr>
      </w:pPr>
      <w:r>
        <w:rPr>
          <w:rFonts w:hint="eastAsia" w:ascii="宋体" w:hAnsi="宋体" w:cs="宋体"/>
          <w:sz w:val="24"/>
          <w:highlight w:val="none"/>
        </w:rPr>
        <w:t>项目名称：</w:t>
      </w:r>
    </w:p>
    <w:p w14:paraId="51FB8F08">
      <w:pPr>
        <w:ind w:firstLine="480"/>
        <w:rPr>
          <w:rFonts w:ascii="宋体" w:hAnsi="宋体" w:cs="宋体"/>
          <w:sz w:val="24"/>
          <w:highlight w:val="none"/>
        </w:rPr>
      </w:pPr>
      <w:r>
        <w:rPr>
          <w:rFonts w:hint="eastAsia" w:ascii="宋体" w:hAnsi="宋体" w:cs="宋体"/>
          <w:sz w:val="24"/>
          <w:highlight w:val="none"/>
        </w:rPr>
        <w:t>项目编号：</w:t>
      </w:r>
    </w:p>
    <w:p w14:paraId="4334DE76">
      <w:pPr>
        <w:ind w:firstLine="480"/>
        <w:rPr>
          <w:sz w:val="24"/>
          <w:highlight w:val="none"/>
        </w:rPr>
      </w:pPr>
      <w:r>
        <w:rPr>
          <w:rFonts w:hint="eastAsia" w:ascii="宋体" w:hAnsi="宋体" w:cs="宋体"/>
          <w:sz w:val="24"/>
          <w:highlight w:val="none"/>
        </w:rPr>
        <w:t>分包号：</w:t>
      </w:r>
    </w:p>
    <w:tbl>
      <w:tblPr>
        <w:tblStyle w:val="48"/>
        <w:tblW w:w="8206" w:type="dxa"/>
        <w:tblCellSpacing w:w="0" w:type="dxa"/>
        <w:tblInd w:w="118" w:type="dxa"/>
        <w:tblLayout w:type="fixed"/>
        <w:tblCellMar>
          <w:top w:w="0" w:type="dxa"/>
          <w:left w:w="108" w:type="dxa"/>
          <w:bottom w:w="0" w:type="dxa"/>
          <w:right w:w="108" w:type="dxa"/>
        </w:tblCellMar>
      </w:tblPr>
      <w:tblGrid>
        <w:gridCol w:w="8206"/>
      </w:tblGrid>
      <w:tr w14:paraId="232D880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F471602">
            <w:pPr>
              <w:jc w:val="center"/>
              <w:rPr>
                <w:sz w:val="24"/>
                <w:highlight w:val="none"/>
              </w:rPr>
            </w:pPr>
            <w:r>
              <w:rPr>
                <w:rFonts w:hint="eastAsia" w:ascii="宋体" w:hAnsi="宋体" w:cs="宋体"/>
                <w:sz w:val="24"/>
                <w:highlight w:val="none"/>
              </w:rPr>
              <w:t>投标总报价</w:t>
            </w:r>
          </w:p>
        </w:tc>
      </w:tr>
      <w:tr w14:paraId="57CC93E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3A9FC91">
            <w:pPr>
              <w:spacing w:line="0" w:lineRule="atLeast"/>
              <w:jc w:val="left"/>
              <w:rPr>
                <w:rFonts w:ascii="宋体" w:hAnsi="宋体" w:cs="宋体"/>
                <w:sz w:val="24"/>
                <w:highlight w:val="none"/>
              </w:rPr>
            </w:pPr>
            <w:r>
              <w:rPr>
                <w:rFonts w:hint="eastAsia" w:ascii="宋体" w:hAnsi="宋体" w:cs="宋体"/>
                <w:sz w:val="24"/>
                <w:highlight w:val="none"/>
              </w:rPr>
              <w:t>大写：</w:t>
            </w:r>
          </w:p>
        </w:tc>
      </w:tr>
      <w:tr w14:paraId="78E6139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BE8D64E">
            <w:pPr>
              <w:spacing w:line="0" w:lineRule="atLeast"/>
              <w:jc w:val="left"/>
              <w:rPr>
                <w:sz w:val="24"/>
                <w:highlight w:val="none"/>
              </w:rPr>
            </w:pPr>
            <w:r>
              <w:rPr>
                <w:rFonts w:hint="eastAsia" w:ascii="宋体" w:hAnsi="宋体" w:cs="宋体"/>
                <w:sz w:val="24"/>
                <w:highlight w:val="none"/>
              </w:rPr>
              <w:t>小写：                        （人民币：元）</w:t>
            </w:r>
          </w:p>
        </w:tc>
      </w:tr>
    </w:tbl>
    <w:p w14:paraId="0085894F">
      <w:pPr>
        <w:rPr>
          <w:sz w:val="24"/>
          <w:highlight w:val="none"/>
        </w:rPr>
      </w:pPr>
      <w:r>
        <w:rPr>
          <w:sz w:val="24"/>
          <w:highlight w:val="none"/>
        </w:rPr>
        <w:t> </w:t>
      </w:r>
    </w:p>
    <w:p w14:paraId="10BAF282">
      <w:pPr>
        <w:ind w:firstLine="480"/>
        <w:rPr>
          <w:sz w:val="24"/>
          <w:highlight w:val="none"/>
        </w:rPr>
      </w:pPr>
      <w:r>
        <w:rPr>
          <w:rFonts w:hint="eastAsia" w:ascii="宋体" w:hAnsi="宋体" w:cs="宋体"/>
          <w:sz w:val="24"/>
          <w:highlight w:val="none"/>
        </w:rPr>
        <w:t xml:space="preserve">                                              日期：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2E01215">
      <w:pPr>
        <w:ind w:firstLine="480"/>
        <w:rPr>
          <w:sz w:val="24"/>
          <w:highlight w:val="none"/>
        </w:rPr>
      </w:pPr>
      <w:r>
        <w:rPr>
          <w:sz w:val="24"/>
          <w:highlight w:val="none"/>
        </w:rPr>
        <w:t> </w:t>
      </w:r>
    </w:p>
    <w:p w14:paraId="15303D57">
      <w:pPr>
        <w:widowControl/>
        <w:spacing w:before="50" w:after="50"/>
        <w:jc w:val="center"/>
        <w:rPr>
          <w:highlight w:val="none"/>
        </w:rPr>
      </w:pPr>
    </w:p>
    <w:p w14:paraId="22B27185">
      <w:pPr>
        <w:widowControl/>
        <w:spacing w:before="50" w:after="50"/>
        <w:jc w:val="center"/>
        <w:rPr>
          <w:highlight w:val="none"/>
        </w:rPr>
      </w:pPr>
    </w:p>
    <w:p w14:paraId="3B60CB73">
      <w:pPr>
        <w:widowControl/>
        <w:spacing w:before="50" w:after="50"/>
        <w:jc w:val="center"/>
        <w:rPr>
          <w:highlight w:val="none"/>
        </w:rPr>
      </w:pPr>
    </w:p>
    <w:p w14:paraId="49810BBA">
      <w:pPr>
        <w:jc w:val="left"/>
        <w:rPr>
          <w:rFonts w:ascii="宋体" w:cs="宋体"/>
          <w:sz w:val="24"/>
          <w:highlight w:val="none"/>
        </w:rPr>
      </w:pPr>
    </w:p>
    <w:p w14:paraId="25613F94">
      <w:pPr>
        <w:jc w:val="left"/>
        <w:rPr>
          <w:rFonts w:ascii="宋体" w:cs="宋体"/>
          <w:sz w:val="24"/>
          <w:highlight w:val="none"/>
        </w:rPr>
      </w:pPr>
    </w:p>
    <w:p w14:paraId="09FC1CE0">
      <w:pPr>
        <w:jc w:val="left"/>
        <w:rPr>
          <w:rFonts w:ascii="宋体" w:cs="宋体"/>
          <w:sz w:val="24"/>
          <w:highlight w:val="none"/>
        </w:rPr>
      </w:pPr>
    </w:p>
    <w:p w14:paraId="605A6316">
      <w:pPr>
        <w:jc w:val="left"/>
        <w:rPr>
          <w:rFonts w:ascii="宋体" w:cs="宋体"/>
          <w:sz w:val="24"/>
          <w:highlight w:val="none"/>
        </w:rPr>
      </w:pPr>
    </w:p>
    <w:p w14:paraId="615C909C">
      <w:pPr>
        <w:jc w:val="left"/>
        <w:rPr>
          <w:rFonts w:ascii="宋体" w:cs="宋体"/>
          <w:sz w:val="24"/>
          <w:highlight w:val="none"/>
        </w:rPr>
      </w:pPr>
    </w:p>
    <w:p w14:paraId="44122650">
      <w:pPr>
        <w:jc w:val="left"/>
        <w:rPr>
          <w:rFonts w:ascii="宋体" w:cs="宋体"/>
          <w:sz w:val="24"/>
          <w:highlight w:val="none"/>
        </w:rPr>
      </w:pPr>
    </w:p>
    <w:p w14:paraId="767CE4D2">
      <w:pPr>
        <w:jc w:val="left"/>
        <w:rPr>
          <w:rFonts w:ascii="宋体" w:cs="宋体"/>
          <w:sz w:val="24"/>
          <w:highlight w:val="none"/>
        </w:rPr>
      </w:pPr>
    </w:p>
    <w:p w14:paraId="51C85247">
      <w:pPr>
        <w:jc w:val="left"/>
        <w:rPr>
          <w:rFonts w:ascii="宋体" w:cs="宋体"/>
          <w:sz w:val="24"/>
          <w:highlight w:val="none"/>
        </w:rPr>
      </w:pPr>
    </w:p>
    <w:p w14:paraId="1503AEE0">
      <w:pPr>
        <w:jc w:val="left"/>
        <w:rPr>
          <w:rFonts w:ascii="宋体" w:cs="宋体"/>
          <w:sz w:val="24"/>
          <w:highlight w:val="none"/>
        </w:rPr>
      </w:pPr>
    </w:p>
    <w:p w14:paraId="6B76F495">
      <w:pPr>
        <w:jc w:val="left"/>
        <w:rPr>
          <w:rFonts w:ascii="宋体" w:cs="宋体"/>
          <w:sz w:val="24"/>
          <w:highlight w:val="none"/>
        </w:rPr>
      </w:pPr>
    </w:p>
    <w:p w14:paraId="766205B4">
      <w:pPr>
        <w:jc w:val="left"/>
        <w:rPr>
          <w:rFonts w:ascii="宋体" w:cs="宋体"/>
          <w:sz w:val="24"/>
          <w:highlight w:val="none"/>
        </w:rPr>
      </w:pPr>
    </w:p>
    <w:p w14:paraId="2551B937">
      <w:pPr>
        <w:jc w:val="left"/>
        <w:rPr>
          <w:rFonts w:ascii="宋体" w:cs="宋体"/>
          <w:sz w:val="24"/>
          <w:highlight w:val="none"/>
        </w:rPr>
      </w:pPr>
    </w:p>
    <w:p w14:paraId="7793A87E">
      <w:pPr>
        <w:jc w:val="left"/>
        <w:rPr>
          <w:rFonts w:ascii="宋体" w:cs="宋体"/>
          <w:sz w:val="24"/>
          <w:highlight w:val="none"/>
        </w:rPr>
      </w:pPr>
    </w:p>
    <w:p w14:paraId="747C11F9">
      <w:pPr>
        <w:jc w:val="left"/>
        <w:rPr>
          <w:rFonts w:ascii="宋体" w:cs="宋体"/>
          <w:sz w:val="24"/>
          <w:highlight w:val="none"/>
        </w:rPr>
      </w:pPr>
    </w:p>
    <w:p w14:paraId="5486DD6D">
      <w:pPr>
        <w:jc w:val="left"/>
        <w:rPr>
          <w:rFonts w:ascii="宋体" w:cs="宋体"/>
          <w:sz w:val="24"/>
          <w:highlight w:val="none"/>
        </w:rPr>
      </w:pPr>
    </w:p>
    <w:p w14:paraId="207F3E33">
      <w:pPr>
        <w:jc w:val="left"/>
        <w:rPr>
          <w:rFonts w:ascii="宋体" w:cs="宋体"/>
          <w:sz w:val="24"/>
          <w:highlight w:val="none"/>
        </w:rPr>
      </w:pPr>
    </w:p>
    <w:p w14:paraId="601E9EA2">
      <w:pPr>
        <w:jc w:val="left"/>
        <w:rPr>
          <w:rFonts w:ascii="宋体" w:cs="宋体"/>
          <w:sz w:val="24"/>
          <w:highlight w:val="none"/>
        </w:rPr>
      </w:pPr>
    </w:p>
    <w:p w14:paraId="1685D035">
      <w:pPr>
        <w:jc w:val="left"/>
        <w:rPr>
          <w:rFonts w:ascii="宋体" w:cs="宋体"/>
          <w:sz w:val="24"/>
          <w:highlight w:val="none"/>
        </w:rPr>
      </w:pPr>
    </w:p>
    <w:p w14:paraId="58F4625B">
      <w:pPr>
        <w:jc w:val="left"/>
        <w:rPr>
          <w:rFonts w:ascii="宋体" w:cs="宋体"/>
          <w:sz w:val="24"/>
          <w:highlight w:val="none"/>
        </w:rPr>
      </w:pPr>
    </w:p>
    <w:p w14:paraId="70C5230C">
      <w:pPr>
        <w:jc w:val="left"/>
        <w:rPr>
          <w:rFonts w:ascii="宋体" w:cs="宋体"/>
          <w:sz w:val="24"/>
          <w:highlight w:val="none"/>
        </w:rPr>
      </w:pPr>
    </w:p>
    <w:p w14:paraId="7494B492">
      <w:pPr>
        <w:jc w:val="left"/>
        <w:rPr>
          <w:rFonts w:ascii="宋体" w:cs="宋体"/>
          <w:sz w:val="24"/>
          <w:highlight w:val="none"/>
        </w:rPr>
      </w:pPr>
    </w:p>
    <w:p w14:paraId="52ADF87E">
      <w:pPr>
        <w:jc w:val="left"/>
        <w:rPr>
          <w:rFonts w:ascii="宋体" w:cs="宋体"/>
          <w:sz w:val="24"/>
          <w:highlight w:val="none"/>
        </w:rPr>
      </w:pPr>
    </w:p>
    <w:p w14:paraId="78770AF8">
      <w:pPr>
        <w:jc w:val="left"/>
        <w:rPr>
          <w:rFonts w:ascii="宋体" w:cs="宋体"/>
          <w:sz w:val="24"/>
          <w:highlight w:val="none"/>
        </w:rPr>
      </w:pPr>
    </w:p>
    <w:p w14:paraId="757BED89">
      <w:pPr>
        <w:jc w:val="left"/>
        <w:rPr>
          <w:rFonts w:ascii="宋体" w:cs="宋体"/>
          <w:sz w:val="24"/>
          <w:highlight w:val="none"/>
        </w:rPr>
      </w:pPr>
    </w:p>
    <w:p w14:paraId="3D9CAF64">
      <w:pPr>
        <w:jc w:val="left"/>
        <w:rPr>
          <w:rFonts w:ascii="宋体" w:cs="宋体"/>
          <w:sz w:val="24"/>
          <w:highlight w:val="none"/>
        </w:rPr>
      </w:pPr>
    </w:p>
    <w:p w14:paraId="4D9062FB">
      <w:pPr>
        <w:jc w:val="left"/>
        <w:rPr>
          <w:rFonts w:ascii="宋体" w:cs="宋体"/>
          <w:sz w:val="24"/>
          <w:highlight w:val="none"/>
        </w:rPr>
      </w:pPr>
    </w:p>
    <w:p w14:paraId="16ED0244">
      <w:pPr>
        <w:widowControl/>
        <w:spacing w:before="50" w:after="50"/>
        <w:jc w:val="center"/>
        <w:rPr>
          <w:highlight w:val="none"/>
        </w:rPr>
      </w:pPr>
    </w:p>
    <w:p w14:paraId="7FF51673">
      <w:pPr>
        <w:widowControl/>
        <w:spacing w:before="50" w:after="50"/>
        <w:jc w:val="center"/>
        <w:rPr>
          <w:highlight w:val="none"/>
        </w:rPr>
      </w:pPr>
    </w:p>
    <w:p w14:paraId="3B5AFDC1">
      <w:pPr>
        <w:widowControl/>
        <w:spacing w:before="50" w:after="50"/>
        <w:jc w:val="center"/>
        <w:rPr>
          <w:highlight w:val="none"/>
        </w:rPr>
      </w:pPr>
    </w:p>
    <w:p w14:paraId="1CD7E3FF">
      <w:pPr>
        <w:widowControl/>
        <w:spacing w:before="50" w:after="50"/>
        <w:jc w:val="center"/>
        <w:rPr>
          <w:rFonts w:ascii="宋体" w:hAnsi="宋体" w:cs="宋体"/>
          <w:b/>
          <w:bCs/>
          <w:sz w:val="24"/>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rPr>
        <w:t>、技术方案、服务承诺、培训承诺等</w:t>
      </w:r>
    </w:p>
    <w:p w14:paraId="76653D01">
      <w:pPr>
        <w:tabs>
          <w:tab w:val="left" w:pos="2160"/>
        </w:tabs>
        <w:rPr>
          <w:sz w:val="24"/>
          <w:highlight w:val="none"/>
        </w:rPr>
      </w:pPr>
    </w:p>
    <w:p w14:paraId="6E18440A">
      <w:pPr>
        <w:widowControl/>
        <w:spacing w:line="499" w:lineRule="atLeast"/>
        <w:ind w:firstLine="1600"/>
        <w:rPr>
          <w:rFonts w:ascii="宋体" w:hAnsi="宋体" w:cs="宋体"/>
          <w:sz w:val="32"/>
          <w:szCs w:val="32"/>
          <w:highlight w:val="none"/>
        </w:rPr>
      </w:pPr>
    </w:p>
    <w:p w14:paraId="4EBF4074">
      <w:pPr>
        <w:widowControl/>
        <w:spacing w:line="499" w:lineRule="atLeast"/>
        <w:ind w:firstLine="1600"/>
        <w:rPr>
          <w:rFonts w:ascii="宋体" w:hAnsi="宋体" w:cs="宋体"/>
          <w:sz w:val="32"/>
          <w:szCs w:val="32"/>
          <w:highlight w:val="none"/>
        </w:rPr>
      </w:pPr>
    </w:p>
    <w:p w14:paraId="1EA05B09">
      <w:pPr>
        <w:widowControl/>
        <w:spacing w:line="499" w:lineRule="atLeast"/>
        <w:ind w:firstLine="1600"/>
        <w:rPr>
          <w:rFonts w:ascii="宋体" w:hAnsi="宋体" w:cs="宋体"/>
          <w:sz w:val="32"/>
          <w:szCs w:val="32"/>
          <w:highlight w:val="none"/>
        </w:rPr>
      </w:pPr>
    </w:p>
    <w:p w14:paraId="31DC7776">
      <w:pPr>
        <w:widowControl/>
        <w:spacing w:line="499" w:lineRule="atLeast"/>
        <w:ind w:firstLine="1600"/>
        <w:rPr>
          <w:rFonts w:ascii="宋体" w:hAnsi="宋体" w:cs="宋体"/>
          <w:sz w:val="32"/>
          <w:szCs w:val="32"/>
          <w:highlight w:val="none"/>
        </w:rPr>
      </w:pPr>
    </w:p>
    <w:p w14:paraId="12BBF6D6">
      <w:pPr>
        <w:widowControl/>
        <w:spacing w:line="499" w:lineRule="atLeast"/>
        <w:ind w:firstLine="1600"/>
        <w:rPr>
          <w:rFonts w:ascii="宋体" w:hAnsi="宋体" w:cs="宋体"/>
          <w:sz w:val="32"/>
          <w:szCs w:val="32"/>
          <w:highlight w:val="none"/>
        </w:rPr>
      </w:pPr>
    </w:p>
    <w:p w14:paraId="0D53EC18">
      <w:pPr>
        <w:widowControl/>
        <w:spacing w:line="499" w:lineRule="atLeast"/>
        <w:ind w:firstLine="1600"/>
        <w:rPr>
          <w:rFonts w:ascii="宋体" w:hAnsi="宋体" w:cs="宋体"/>
          <w:sz w:val="32"/>
          <w:szCs w:val="32"/>
          <w:highlight w:val="none"/>
        </w:rPr>
      </w:pPr>
    </w:p>
    <w:p w14:paraId="1F171987">
      <w:pPr>
        <w:widowControl/>
        <w:spacing w:line="499" w:lineRule="atLeast"/>
        <w:ind w:firstLine="1600"/>
        <w:rPr>
          <w:rFonts w:ascii="宋体" w:hAnsi="宋体" w:cs="宋体"/>
          <w:sz w:val="32"/>
          <w:szCs w:val="32"/>
          <w:highlight w:val="none"/>
        </w:rPr>
      </w:pPr>
    </w:p>
    <w:p w14:paraId="43C07885">
      <w:pPr>
        <w:widowControl/>
        <w:spacing w:line="499" w:lineRule="atLeast"/>
        <w:ind w:firstLine="1600"/>
        <w:rPr>
          <w:rFonts w:ascii="宋体" w:hAnsi="宋体" w:cs="宋体"/>
          <w:sz w:val="32"/>
          <w:szCs w:val="32"/>
          <w:highlight w:val="none"/>
        </w:rPr>
      </w:pPr>
    </w:p>
    <w:p w14:paraId="760CA849">
      <w:pPr>
        <w:widowControl/>
        <w:spacing w:line="499" w:lineRule="atLeast"/>
        <w:ind w:firstLine="1600"/>
        <w:rPr>
          <w:rFonts w:ascii="宋体" w:hAnsi="宋体" w:cs="宋体"/>
          <w:sz w:val="32"/>
          <w:szCs w:val="32"/>
          <w:highlight w:val="none"/>
        </w:rPr>
      </w:pPr>
    </w:p>
    <w:p w14:paraId="7E4705A2">
      <w:pPr>
        <w:widowControl/>
        <w:spacing w:line="499" w:lineRule="atLeast"/>
        <w:ind w:firstLine="1600"/>
        <w:rPr>
          <w:rFonts w:ascii="宋体" w:hAnsi="宋体" w:cs="宋体"/>
          <w:sz w:val="32"/>
          <w:szCs w:val="32"/>
          <w:highlight w:val="none"/>
        </w:rPr>
      </w:pPr>
    </w:p>
    <w:p w14:paraId="0750436C">
      <w:pPr>
        <w:widowControl/>
        <w:spacing w:line="499" w:lineRule="atLeast"/>
        <w:ind w:firstLine="1600"/>
        <w:rPr>
          <w:rFonts w:ascii="宋体" w:hAnsi="宋体" w:cs="宋体"/>
          <w:sz w:val="32"/>
          <w:szCs w:val="32"/>
          <w:highlight w:val="none"/>
        </w:rPr>
      </w:pPr>
    </w:p>
    <w:p w14:paraId="0B1D1F7F">
      <w:pPr>
        <w:widowControl/>
        <w:spacing w:line="499" w:lineRule="atLeast"/>
        <w:ind w:firstLine="1600"/>
        <w:rPr>
          <w:rFonts w:ascii="宋体" w:hAnsi="宋体" w:cs="宋体"/>
          <w:sz w:val="32"/>
          <w:szCs w:val="32"/>
          <w:highlight w:val="none"/>
        </w:rPr>
      </w:pPr>
    </w:p>
    <w:p w14:paraId="3BE86898">
      <w:pPr>
        <w:widowControl/>
        <w:spacing w:line="499" w:lineRule="atLeast"/>
        <w:ind w:firstLine="1600"/>
        <w:rPr>
          <w:rFonts w:ascii="宋体" w:hAnsi="宋体" w:cs="宋体"/>
          <w:sz w:val="32"/>
          <w:szCs w:val="32"/>
          <w:highlight w:val="none"/>
        </w:rPr>
      </w:pPr>
    </w:p>
    <w:p w14:paraId="35260DB3">
      <w:pPr>
        <w:widowControl/>
        <w:spacing w:line="499" w:lineRule="atLeast"/>
        <w:ind w:firstLine="1600"/>
        <w:rPr>
          <w:rFonts w:ascii="宋体" w:hAnsi="宋体" w:cs="宋体"/>
          <w:sz w:val="32"/>
          <w:szCs w:val="32"/>
          <w:highlight w:val="none"/>
        </w:rPr>
      </w:pPr>
    </w:p>
    <w:p w14:paraId="5341C059">
      <w:pPr>
        <w:widowControl/>
        <w:spacing w:line="499" w:lineRule="atLeast"/>
        <w:ind w:firstLine="1600"/>
        <w:rPr>
          <w:rFonts w:ascii="宋体" w:hAnsi="宋体" w:cs="宋体"/>
          <w:sz w:val="32"/>
          <w:szCs w:val="32"/>
          <w:highlight w:val="none"/>
        </w:rPr>
      </w:pPr>
    </w:p>
    <w:p w14:paraId="3C971AC2">
      <w:pPr>
        <w:widowControl/>
        <w:spacing w:line="499" w:lineRule="atLeast"/>
        <w:ind w:firstLine="1600"/>
        <w:rPr>
          <w:rFonts w:ascii="宋体" w:hAnsi="宋体" w:cs="宋体"/>
          <w:sz w:val="32"/>
          <w:szCs w:val="32"/>
          <w:highlight w:val="none"/>
        </w:rPr>
      </w:pPr>
    </w:p>
    <w:p w14:paraId="3F22E626">
      <w:pPr>
        <w:widowControl/>
        <w:spacing w:line="499" w:lineRule="atLeast"/>
        <w:ind w:firstLine="1600"/>
        <w:rPr>
          <w:rFonts w:ascii="宋体" w:hAnsi="宋体" w:cs="宋体"/>
          <w:sz w:val="32"/>
          <w:szCs w:val="32"/>
          <w:highlight w:val="none"/>
        </w:rPr>
      </w:pPr>
    </w:p>
    <w:p w14:paraId="78094070">
      <w:pPr>
        <w:widowControl/>
        <w:spacing w:line="499" w:lineRule="atLeast"/>
        <w:ind w:firstLine="1600"/>
        <w:rPr>
          <w:rFonts w:ascii="宋体" w:hAnsi="宋体" w:cs="宋体"/>
          <w:sz w:val="32"/>
          <w:szCs w:val="32"/>
          <w:highlight w:val="none"/>
        </w:rPr>
      </w:pPr>
    </w:p>
    <w:p w14:paraId="76E9AFD0">
      <w:pPr>
        <w:widowControl/>
        <w:spacing w:line="499" w:lineRule="atLeast"/>
        <w:ind w:firstLine="1600"/>
        <w:rPr>
          <w:rFonts w:ascii="宋体" w:hAnsi="宋体" w:cs="宋体"/>
          <w:sz w:val="32"/>
          <w:szCs w:val="32"/>
          <w:highlight w:val="none"/>
        </w:rPr>
      </w:pPr>
    </w:p>
    <w:p w14:paraId="18A67297">
      <w:pPr>
        <w:widowControl/>
        <w:spacing w:line="499" w:lineRule="atLeast"/>
        <w:ind w:firstLine="1600"/>
        <w:rPr>
          <w:rFonts w:ascii="宋体" w:hAnsi="宋体" w:cs="宋体"/>
          <w:sz w:val="32"/>
          <w:szCs w:val="32"/>
          <w:highlight w:val="none"/>
        </w:rPr>
      </w:pPr>
    </w:p>
    <w:p w14:paraId="1BB8F7D2">
      <w:pPr>
        <w:widowControl/>
        <w:spacing w:line="499" w:lineRule="atLeast"/>
        <w:ind w:firstLine="1600"/>
        <w:rPr>
          <w:rFonts w:ascii="宋体" w:hAnsi="宋体" w:cs="宋体"/>
          <w:sz w:val="32"/>
          <w:szCs w:val="32"/>
          <w:highlight w:val="none"/>
        </w:rPr>
      </w:pPr>
    </w:p>
    <w:p w14:paraId="20AF2B38">
      <w:pPr>
        <w:widowControl/>
        <w:spacing w:line="499" w:lineRule="atLeast"/>
        <w:ind w:firstLine="1600"/>
        <w:rPr>
          <w:rFonts w:ascii="宋体" w:hAnsi="宋体" w:cs="宋体"/>
          <w:sz w:val="32"/>
          <w:szCs w:val="32"/>
          <w:highlight w:val="none"/>
        </w:rPr>
      </w:pPr>
    </w:p>
    <w:p w14:paraId="2780FC34">
      <w:pPr>
        <w:widowControl/>
        <w:spacing w:line="499" w:lineRule="atLeast"/>
        <w:ind w:firstLine="1600"/>
        <w:rPr>
          <w:rFonts w:ascii="宋体" w:hAnsi="宋体" w:cs="宋体"/>
          <w:sz w:val="32"/>
          <w:szCs w:val="32"/>
          <w:highlight w:val="none"/>
        </w:rPr>
      </w:pPr>
    </w:p>
    <w:bookmarkEnd w:id="131"/>
    <w:bookmarkEnd w:id="132"/>
    <w:bookmarkEnd w:id="133"/>
    <w:bookmarkEnd w:id="134"/>
    <w:bookmarkEnd w:id="143"/>
    <w:bookmarkEnd w:id="144"/>
    <w:bookmarkEnd w:id="145"/>
    <w:bookmarkEnd w:id="146"/>
    <w:bookmarkEnd w:id="147"/>
    <w:p w14:paraId="746BBEC8">
      <w:pPr>
        <w:widowControl/>
        <w:spacing w:line="499" w:lineRule="atLeast"/>
        <w:rPr>
          <w:rFonts w:ascii="宋体" w:hAnsi="宋体" w:cs="宋体"/>
          <w:sz w:val="32"/>
          <w:szCs w:val="32"/>
          <w:highlight w:val="none"/>
        </w:rPr>
      </w:pPr>
    </w:p>
    <w:p w14:paraId="00B1B2D7">
      <w:pPr>
        <w:widowControl/>
        <w:spacing w:line="499" w:lineRule="atLeast"/>
        <w:ind w:firstLine="1600"/>
        <w:rPr>
          <w:rFonts w:ascii="宋体" w:hAnsi="宋体" w:cs="宋体"/>
          <w:b/>
          <w:bCs/>
          <w:sz w:val="24"/>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八</w:t>
      </w:r>
      <w:r>
        <w:rPr>
          <w:rFonts w:hint="eastAsia" w:ascii="宋体" w:hAnsi="宋体" w:cs="宋体"/>
          <w:b/>
          <w:bCs/>
          <w:sz w:val="32"/>
          <w:szCs w:val="32"/>
          <w:highlight w:val="none"/>
        </w:rPr>
        <w:t>、盐城市政府采购事前信用承诺书</w:t>
      </w:r>
    </w:p>
    <w:p w14:paraId="3FD5DDAB">
      <w:pPr>
        <w:widowControl/>
        <w:spacing w:line="499" w:lineRule="atLeast"/>
        <w:ind w:firstLine="640"/>
        <w:jc w:val="left"/>
        <w:rPr>
          <w:rFonts w:ascii="宋体" w:hAnsi="宋体" w:cs="宋体"/>
          <w:sz w:val="24"/>
          <w:highlight w:val="none"/>
        </w:rPr>
      </w:pPr>
      <w:r>
        <w:rPr>
          <w:rFonts w:hint="eastAsia" w:ascii="宋体" w:hAnsi="宋体" w:cs="宋体"/>
          <w:sz w:val="32"/>
          <w:szCs w:val="32"/>
          <w:highlight w:val="none"/>
        </w:rPr>
        <w:t> </w:t>
      </w:r>
    </w:p>
    <w:p w14:paraId="27CE491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为营造我市公开、公平、公正、诚实守信的政府采购交易环境，树立诚信守法的投标人形象，本人代表本单位作出以下承诺：</w:t>
      </w:r>
    </w:p>
    <w:p w14:paraId="4BF7862D">
      <w:pPr>
        <w:widowControl/>
        <w:spacing w:line="499" w:lineRule="atLeast"/>
        <w:jc w:val="left"/>
        <w:rPr>
          <w:rFonts w:ascii="宋体" w:hAnsi="宋体" w:cs="宋体"/>
          <w:sz w:val="24"/>
          <w:highlight w:val="none"/>
        </w:rPr>
      </w:pPr>
      <w:r>
        <w:rPr>
          <w:rFonts w:hint="eastAsia" w:ascii="宋体" w:hAnsi="宋体" w:cs="宋体"/>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D07EE1">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C209690">
      <w:pPr>
        <w:widowControl/>
        <w:spacing w:line="499" w:lineRule="atLeast"/>
        <w:jc w:val="left"/>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p>
    <w:p w14:paraId="4AAD1E4F">
      <w:pPr>
        <w:widowControl/>
        <w:spacing w:line="499" w:lineRule="atLeast"/>
        <w:jc w:val="left"/>
        <w:rPr>
          <w:rFonts w:ascii="宋体" w:hAnsi="宋体" w:cs="宋体"/>
          <w:sz w:val="24"/>
          <w:highlight w:val="none"/>
        </w:rPr>
      </w:pPr>
      <w:r>
        <w:rPr>
          <w:rFonts w:hint="eastAsia" w:ascii="宋体" w:hAnsi="宋体" w:cs="宋体"/>
          <w:sz w:val="24"/>
          <w:highlight w:val="none"/>
        </w:rPr>
        <w:t>   （四）严格遵守即时信息公示规定，及时维护和更新维护和更新盐城市政府采购网中与本单位相关的信息；</w:t>
      </w:r>
    </w:p>
    <w:p w14:paraId="0C635B28">
      <w:pPr>
        <w:widowControl/>
        <w:spacing w:line="499" w:lineRule="atLeast"/>
        <w:jc w:val="left"/>
        <w:rPr>
          <w:rFonts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78703B">
      <w:pPr>
        <w:widowControl/>
        <w:spacing w:line="499" w:lineRule="atLeast"/>
        <w:jc w:val="left"/>
        <w:rPr>
          <w:rFonts w:ascii="宋体" w:hAnsi="宋体" w:cs="宋体"/>
          <w:sz w:val="24"/>
          <w:highlight w:val="none"/>
        </w:rPr>
      </w:pPr>
      <w:r>
        <w:rPr>
          <w:rFonts w:hint="eastAsia" w:ascii="宋体" w:hAnsi="宋体" w:cs="宋体"/>
          <w:sz w:val="24"/>
          <w:highlight w:val="none"/>
        </w:rPr>
        <w:t>   （六）自觉接受政府、行业组织、社会公众、新闻舆论的监督；</w:t>
      </w:r>
    </w:p>
    <w:p w14:paraId="44FBBD8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91D879">
      <w:pPr>
        <w:widowControl/>
        <w:spacing w:line="499" w:lineRule="atLeast"/>
        <w:jc w:val="left"/>
        <w:rPr>
          <w:rFonts w:ascii="宋体" w:hAnsi="宋体" w:cs="宋体"/>
          <w:sz w:val="24"/>
          <w:highlight w:val="none"/>
        </w:rPr>
      </w:pPr>
      <w:r>
        <w:rPr>
          <w:rFonts w:hint="eastAsia" w:ascii="宋体" w:hAnsi="宋体" w:cs="宋体"/>
          <w:sz w:val="24"/>
          <w:highlight w:val="none"/>
        </w:rPr>
        <w:t>   （八）本人已认真阅读了上述承诺，并向本单位员工作了宣传教育。</w:t>
      </w:r>
    </w:p>
    <w:p w14:paraId="1AB8369D">
      <w:pPr>
        <w:widowControl/>
        <w:spacing w:line="499" w:lineRule="atLeast"/>
        <w:jc w:val="left"/>
        <w:rPr>
          <w:rFonts w:ascii="宋体" w:hAnsi="宋体" w:cs="宋体"/>
          <w:sz w:val="24"/>
          <w:highlight w:val="none"/>
        </w:rPr>
      </w:pPr>
      <w:r>
        <w:rPr>
          <w:rFonts w:hint="eastAsia" w:ascii="宋体" w:hAnsi="宋体" w:cs="宋体"/>
          <w:sz w:val="24"/>
          <w:highlight w:val="none"/>
        </w:rPr>
        <w:t>                  法定代表人签名：</w:t>
      </w:r>
    </w:p>
    <w:p w14:paraId="788CD5DF">
      <w:pPr>
        <w:widowControl/>
        <w:spacing w:line="499" w:lineRule="atLeast"/>
        <w:jc w:val="center"/>
        <w:rPr>
          <w:rFonts w:ascii="宋体" w:hAnsi="宋体" w:cs="宋体"/>
          <w:sz w:val="24"/>
          <w:highlight w:val="none"/>
        </w:rPr>
      </w:pPr>
      <w:r>
        <w:rPr>
          <w:rFonts w:hint="eastAsia" w:ascii="宋体" w:hAnsi="宋体" w:cs="宋体"/>
          <w:sz w:val="24"/>
          <w:highlight w:val="none"/>
        </w:rPr>
        <w:t>                   单位名称（盖章）：</w:t>
      </w:r>
    </w:p>
    <w:p w14:paraId="71910D7C">
      <w:pPr>
        <w:widowControl/>
        <w:spacing w:line="499" w:lineRule="atLeast"/>
        <w:jc w:val="center"/>
        <w:rPr>
          <w:rFonts w:ascii="宋体" w:hAnsi="宋体" w:cs="宋体"/>
          <w:sz w:val="24"/>
          <w:highlight w:val="none"/>
        </w:rPr>
      </w:pPr>
      <w:r>
        <w:rPr>
          <w:rFonts w:hint="eastAsia" w:ascii="宋体" w:hAnsi="宋体" w:cs="宋体"/>
          <w:sz w:val="24"/>
          <w:highlight w:val="none"/>
        </w:rPr>
        <w:t>                      年月日</w:t>
      </w:r>
    </w:p>
    <w:p w14:paraId="79A53017">
      <w:pPr>
        <w:jc w:val="center"/>
        <w:rPr>
          <w:sz w:val="24"/>
          <w:highlight w:val="none"/>
        </w:rPr>
      </w:pPr>
    </w:p>
    <w:p w14:paraId="4F29D3B2">
      <w:pPr>
        <w:jc w:val="center"/>
        <w:rPr>
          <w:sz w:val="24"/>
          <w:highlight w:val="none"/>
        </w:rPr>
      </w:pPr>
    </w:p>
    <w:p w14:paraId="4E773638">
      <w:pPr>
        <w:jc w:val="center"/>
        <w:rPr>
          <w:sz w:val="24"/>
          <w:highlight w:val="none"/>
        </w:rPr>
      </w:pPr>
    </w:p>
    <w:p w14:paraId="267317C7">
      <w:pPr>
        <w:jc w:val="center"/>
        <w:rPr>
          <w:sz w:val="24"/>
          <w:highlight w:val="none"/>
        </w:rPr>
      </w:pPr>
    </w:p>
    <w:p w14:paraId="1D8B6E55">
      <w:pPr>
        <w:jc w:val="center"/>
        <w:rPr>
          <w:sz w:val="24"/>
          <w:highlight w:val="none"/>
        </w:rPr>
      </w:pPr>
    </w:p>
    <w:p w14:paraId="7F6BDF3B">
      <w:pPr>
        <w:rPr>
          <w:highlight w:val="none"/>
        </w:rPr>
      </w:pPr>
    </w:p>
    <w:p w14:paraId="464DD9C7">
      <w:pPr>
        <w:jc w:val="center"/>
        <w:rPr>
          <w:rFonts w:ascii="宋体" w:hAnsi="宋体" w:cs="宋体"/>
          <w:b/>
          <w:sz w:val="32"/>
          <w:szCs w:val="32"/>
          <w:highlight w:val="none"/>
        </w:rPr>
      </w:pPr>
      <w:r>
        <w:rPr>
          <w:rFonts w:hint="eastAsia" w:ascii="宋体" w:hAnsi="宋体" w:cs="宋体"/>
          <w:b/>
          <w:sz w:val="32"/>
          <w:szCs w:val="32"/>
          <w:highlight w:val="none"/>
        </w:rPr>
        <w:t>质疑函范本</w:t>
      </w:r>
    </w:p>
    <w:p w14:paraId="526A3A9B">
      <w:pPr>
        <w:spacing w:before="290" w:line="360" w:lineRule="auto"/>
        <w:rPr>
          <w:rFonts w:ascii="宋体" w:hAnsi="宋体" w:cs="宋体"/>
          <w:sz w:val="24"/>
          <w:highlight w:val="none"/>
        </w:rPr>
      </w:pPr>
      <w:r>
        <w:rPr>
          <w:rFonts w:hint="eastAsia" w:ascii="宋体" w:hAnsi="宋体" w:cs="宋体"/>
          <w:sz w:val="24"/>
          <w:highlight w:val="none"/>
        </w:rPr>
        <w:t>一、质疑供应商基本信息</w:t>
      </w:r>
    </w:p>
    <w:p w14:paraId="3A5B8528">
      <w:pPr>
        <w:spacing w:line="360" w:lineRule="auto"/>
        <w:rPr>
          <w:rFonts w:ascii="宋体" w:hAnsi="宋体" w:cs="宋体"/>
          <w:sz w:val="24"/>
          <w:highlight w:val="none"/>
        </w:rPr>
      </w:pPr>
      <w:r>
        <w:rPr>
          <w:rFonts w:hint="eastAsia" w:ascii="宋体" w:hAnsi="宋体" w:cs="宋体"/>
          <w:sz w:val="24"/>
          <w:highlight w:val="none"/>
        </w:rPr>
        <w:t>质疑供应商：</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AC87B1E">
      <w:pPr>
        <w:spacing w:line="360" w:lineRule="auto"/>
        <w:rPr>
          <w:rFonts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5105DD49">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12A8374">
      <w:pPr>
        <w:spacing w:line="360" w:lineRule="auto"/>
        <w:rPr>
          <w:rFonts w:ascii="宋体" w:hAnsi="宋体" w:cs="宋体"/>
          <w:sz w:val="24"/>
          <w:highlight w:val="none"/>
          <w:u w:val="single"/>
        </w:rPr>
      </w:pPr>
      <w:r>
        <w:rPr>
          <w:rFonts w:hint="eastAsia" w:ascii="宋体" w:hAnsi="宋体" w:cs="宋体"/>
          <w:sz w:val="24"/>
          <w:highlight w:val="none"/>
        </w:rPr>
        <w:t>联系人：</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E5804FE">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p>
    <w:p w14:paraId="6B031185">
      <w:pPr>
        <w:spacing w:line="360" w:lineRule="auto"/>
        <w:rPr>
          <w:rFonts w:ascii="宋体" w:hAnsi="宋体" w:cs="宋体"/>
          <w:sz w:val="24"/>
          <w:highlight w:val="none"/>
        </w:rPr>
      </w:pPr>
      <w:r>
        <w:rPr>
          <w:rFonts w:hint="eastAsia" w:ascii="宋体" w:hAnsi="宋体" w:cs="宋体"/>
          <w:sz w:val="24"/>
          <w:highlight w:val="none"/>
        </w:rPr>
        <w:t>授权代表：</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0DAC5A13">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BD86A70">
      <w:pPr>
        <w:spacing w:line="360" w:lineRule="auto"/>
        <w:rPr>
          <w:rFonts w:ascii="宋体" w:hAnsi="宋体" w:cs="宋体"/>
          <w:sz w:val="24"/>
          <w:highlight w:val="none"/>
          <w:u w:val="single"/>
        </w:rPr>
      </w:pPr>
      <w:r>
        <w:rPr>
          <w:rFonts w:hint="eastAsia" w:ascii="宋体" w:hAnsi="宋体" w:cs="宋体"/>
          <w:sz w:val="24"/>
          <w:highlight w:val="none"/>
        </w:rPr>
        <w:t>地址： </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2ADEA7D1">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xml:space="preserve">                                </w:t>
      </w:r>
    </w:p>
    <w:p w14:paraId="7D7A8A2D">
      <w:pPr>
        <w:spacing w:line="360" w:lineRule="auto"/>
        <w:rPr>
          <w:rFonts w:ascii="宋体" w:hAnsi="宋体" w:cs="宋体"/>
          <w:sz w:val="24"/>
          <w:highlight w:val="none"/>
        </w:rPr>
      </w:pPr>
      <w:r>
        <w:rPr>
          <w:rFonts w:hint="eastAsia" w:ascii="宋体" w:hAnsi="宋体" w:cs="宋体"/>
          <w:sz w:val="24"/>
          <w:highlight w:val="none"/>
        </w:rPr>
        <w:t>二、质疑项目基本情况</w:t>
      </w:r>
    </w:p>
    <w:p w14:paraId="37F94BC7">
      <w:pPr>
        <w:spacing w:line="360" w:lineRule="auto"/>
        <w:rPr>
          <w:rFonts w:ascii="宋体" w:hAnsi="宋体" w:cs="宋体"/>
          <w:sz w:val="24"/>
          <w:highlight w:val="none"/>
        </w:rPr>
      </w:pPr>
      <w:r>
        <w:rPr>
          <w:rFonts w:hint="eastAsia" w:ascii="宋体" w:hAnsi="宋体" w:cs="宋体"/>
          <w:sz w:val="24"/>
          <w:highlight w:val="none"/>
        </w:rPr>
        <w:t>质疑项目的名称：</w:t>
      </w:r>
      <w:r>
        <w:rPr>
          <w:rFonts w:hint="eastAsia" w:ascii="宋体" w:hAnsi="宋体" w:cs="宋体"/>
          <w:sz w:val="24"/>
          <w:highlight w:val="none"/>
          <w:u w:val="single"/>
        </w:rPr>
        <w:t xml:space="preserve">                            </w:t>
      </w:r>
    </w:p>
    <w:p w14:paraId="0BABF260">
      <w:pPr>
        <w:spacing w:line="360" w:lineRule="auto"/>
        <w:rPr>
          <w:rFonts w:ascii="宋体" w:hAnsi="宋体" w:cs="宋体"/>
          <w:sz w:val="24"/>
          <w:highlight w:val="none"/>
          <w:u w:val="single"/>
        </w:rPr>
      </w:pPr>
      <w:r>
        <w:rPr>
          <w:rFonts w:hint="eastAsia" w:ascii="宋体" w:hAnsi="宋体" w:cs="宋体"/>
          <w:sz w:val="24"/>
          <w:highlight w:val="none"/>
        </w:rPr>
        <w:t>质疑项目的编号：</w:t>
      </w:r>
      <w:r>
        <w:rPr>
          <w:rFonts w:hint="eastAsia" w:ascii="宋体" w:hAnsi="宋体" w:cs="宋体"/>
          <w:sz w:val="24"/>
          <w:highlight w:val="none"/>
          <w:u w:val="single"/>
        </w:rPr>
        <w:t xml:space="preserve">                          </w:t>
      </w:r>
    </w:p>
    <w:p w14:paraId="33067DB6">
      <w:pPr>
        <w:spacing w:line="360" w:lineRule="auto"/>
        <w:rPr>
          <w:rFonts w:ascii="宋体" w:hAnsi="宋体" w:cs="宋体"/>
          <w:sz w:val="24"/>
          <w:highlight w:val="none"/>
        </w:rPr>
      </w:pP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A2F4A8E">
      <w:pPr>
        <w:spacing w:line="360" w:lineRule="auto"/>
        <w:rPr>
          <w:rFonts w:ascii="宋体" w:hAnsi="宋体" w:cs="宋体"/>
          <w:sz w:val="24"/>
          <w:highlight w:val="none"/>
        </w:rPr>
      </w:pPr>
      <w:r>
        <w:rPr>
          <w:rFonts w:hint="eastAsia" w:ascii="宋体" w:hAnsi="宋体" w:cs="宋体"/>
          <w:sz w:val="24"/>
          <w:highlight w:val="none"/>
        </w:rPr>
        <w:t>采购人名称：</w:t>
      </w:r>
      <w:r>
        <w:rPr>
          <w:rFonts w:hint="eastAsia" w:ascii="宋体" w:hAnsi="宋体" w:cs="宋体"/>
          <w:sz w:val="24"/>
          <w:highlight w:val="none"/>
          <w:u w:val="single"/>
        </w:rPr>
        <w:t xml:space="preserve">                            </w:t>
      </w:r>
    </w:p>
    <w:p w14:paraId="737E1259">
      <w:pPr>
        <w:spacing w:line="360" w:lineRule="auto"/>
        <w:rPr>
          <w:rFonts w:ascii="宋体" w:hAnsi="宋体" w:cs="宋体"/>
          <w:sz w:val="24"/>
          <w:highlight w:val="none"/>
        </w:rPr>
      </w:pPr>
      <w:r>
        <w:rPr>
          <w:rFonts w:hint="eastAsia" w:ascii="宋体" w:hAnsi="宋体" w:cs="宋体"/>
          <w:sz w:val="24"/>
          <w:highlight w:val="none"/>
        </w:rPr>
        <w:t>采购文件获取日期：</w:t>
      </w:r>
      <w:r>
        <w:rPr>
          <w:rFonts w:hint="eastAsia" w:ascii="宋体" w:hAnsi="宋体" w:cs="宋体"/>
          <w:sz w:val="24"/>
          <w:highlight w:val="none"/>
          <w:u w:val="single"/>
        </w:rPr>
        <w:t xml:space="preserve">                             </w:t>
      </w:r>
    </w:p>
    <w:p w14:paraId="415FFCF8">
      <w:pPr>
        <w:spacing w:line="360" w:lineRule="auto"/>
        <w:rPr>
          <w:rFonts w:ascii="宋体" w:hAnsi="宋体" w:cs="宋体"/>
          <w:sz w:val="24"/>
          <w:highlight w:val="none"/>
        </w:rPr>
      </w:pPr>
      <w:r>
        <w:rPr>
          <w:rFonts w:hint="eastAsia" w:ascii="宋体" w:hAnsi="宋体" w:cs="宋体"/>
          <w:sz w:val="24"/>
          <w:highlight w:val="none"/>
        </w:rPr>
        <w:t>三、质疑事项具体内容</w:t>
      </w:r>
    </w:p>
    <w:p w14:paraId="14DF79AD">
      <w:pPr>
        <w:spacing w:line="360" w:lineRule="auto"/>
        <w:rPr>
          <w:rFonts w:ascii="宋体" w:hAnsi="宋体" w:cs="宋体"/>
          <w:sz w:val="24"/>
          <w:highlight w:val="none"/>
        </w:rPr>
      </w:pPr>
      <w:r>
        <w:rPr>
          <w:rFonts w:hint="eastAsia" w:ascii="宋体" w:hAnsi="宋体" w:cs="宋体"/>
          <w:sz w:val="24"/>
          <w:highlight w:val="none"/>
        </w:rPr>
        <w:t>质疑事项1：</w:t>
      </w:r>
      <w:r>
        <w:rPr>
          <w:rFonts w:hint="eastAsia" w:ascii="宋体" w:hAnsi="宋体" w:cs="宋体"/>
          <w:sz w:val="24"/>
          <w:highlight w:val="none"/>
          <w:u w:val="single"/>
        </w:rPr>
        <w:t xml:space="preserve">                             </w:t>
      </w:r>
    </w:p>
    <w:p w14:paraId="37F1E8C9">
      <w:pPr>
        <w:spacing w:line="360" w:lineRule="auto"/>
        <w:jc w:val="left"/>
        <w:rPr>
          <w:rFonts w:ascii="宋体" w:hAnsi="宋体" w:cs="宋体"/>
          <w:sz w:val="24"/>
          <w:highlight w:val="none"/>
        </w:rPr>
      </w:pPr>
      <w:r>
        <w:rPr>
          <w:rFonts w:hint="eastAsia" w:ascii="宋体" w:hAnsi="宋体" w:cs="宋体"/>
          <w:sz w:val="24"/>
          <w:highlight w:val="none"/>
        </w:rPr>
        <w:t>事实依据：</w:t>
      </w:r>
      <w:r>
        <w:rPr>
          <w:rFonts w:hint="eastAsia" w:ascii="宋体" w:hAnsi="宋体" w:cs="宋体"/>
          <w:sz w:val="24"/>
          <w:highlight w:val="none"/>
          <w:u w:val="single"/>
        </w:rPr>
        <w:t xml:space="preserve">                                                   </w:t>
      </w:r>
    </w:p>
    <w:p w14:paraId="224B672A">
      <w:pPr>
        <w:spacing w:line="360" w:lineRule="auto"/>
        <w:rPr>
          <w:rFonts w:ascii="宋体" w:hAnsi="宋体" w:cs="宋体"/>
          <w:sz w:val="24"/>
          <w:highlight w:val="none"/>
        </w:rPr>
      </w:pPr>
      <w:r>
        <w:rPr>
          <w:rFonts w:hint="eastAsia" w:ascii="宋体" w:hAnsi="宋体" w:cs="宋体"/>
          <w:sz w:val="24"/>
          <w:highlight w:val="none"/>
        </w:rPr>
        <w:t>法律依据：</w:t>
      </w:r>
      <w:r>
        <w:rPr>
          <w:rFonts w:hint="eastAsia" w:ascii="宋体" w:hAnsi="宋体" w:cs="宋体"/>
          <w:sz w:val="24"/>
          <w:highlight w:val="none"/>
          <w:u w:val="single"/>
        </w:rPr>
        <w:t xml:space="preserve">                                                    </w:t>
      </w:r>
    </w:p>
    <w:p w14:paraId="6ADD5672">
      <w:pPr>
        <w:spacing w:line="360" w:lineRule="auto"/>
        <w:rPr>
          <w:rFonts w:ascii="宋体" w:hAnsi="宋体" w:cs="宋体"/>
          <w:sz w:val="24"/>
          <w:highlight w:val="none"/>
        </w:rPr>
      </w:pPr>
      <w:r>
        <w:rPr>
          <w:rFonts w:hint="eastAsia" w:ascii="宋体" w:hAnsi="宋体" w:cs="宋体"/>
          <w:sz w:val="24"/>
          <w:highlight w:val="none"/>
        </w:rPr>
        <w:t>质疑事项2</w:t>
      </w:r>
    </w:p>
    <w:p w14:paraId="6B3374AE">
      <w:pPr>
        <w:spacing w:line="360" w:lineRule="auto"/>
        <w:rPr>
          <w:rFonts w:ascii="宋体" w:hAnsi="宋体" w:cs="宋体"/>
          <w:sz w:val="24"/>
          <w:highlight w:val="none"/>
        </w:rPr>
      </w:pPr>
      <w:r>
        <w:rPr>
          <w:rFonts w:hint="eastAsia" w:ascii="宋体" w:hAnsi="宋体" w:cs="宋体"/>
          <w:sz w:val="24"/>
          <w:highlight w:val="none"/>
        </w:rPr>
        <w:t>……</w:t>
      </w:r>
    </w:p>
    <w:p w14:paraId="4A784127">
      <w:pPr>
        <w:spacing w:line="360" w:lineRule="auto"/>
        <w:rPr>
          <w:rFonts w:ascii="宋体" w:hAnsi="宋体" w:cs="宋体"/>
          <w:sz w:val="24"/>
          <w:highlight w:val="none"/>
        </w:rPr>
      </w:pPr>
      <w:r>
        <w:rPr>
          <w:rFonts w:hint="eastAsia" w:ascii="宋体" w:hAnsi="宋体" w:cs="宋体"/>
          <w:sz w:val="24"/>
          <w:highlight w:val="none"/>
        </w:rPr>
        <w:t>四、与质疑事项相关的质疑请求</w:t>
      </w:r>
    </w:p>
    <w:p w14:paraId="7B14F8EA">
      <w:pPr>
        <w:spacing w:line="360" w:lineRule="auto"/>
        <w:rPr>
          <w:rFonts w:ascii="宋体" w:hAnsi="宋体" w:cs="宋体"/>
          <w:sz w:val="24"/>
          <w:highlight w:val="none"/>
        </w:rPr>
      </w:pPr>
      <w:r>
        <w:rPr>
          <w:rFonts w:hint="eastAsia" w:ascii="宋体" w:hAnsi="宋体" w:cs="宋体"/>
          <w:sz w:val="24"/>
          <w:highlight w:val="none"/>
        </w:rPr>
        <w:t>请求：</w:t>
      </w:r>
      <w:r>
        <w:rPr>
          <w:rFonts w:hint="eastAsia" w:ascii="宋体" w:hAnsi="宋体" w:cs="宋体"/>
          <w:sz w:val="24"/>
          <w:highlight w:val="none"/>
          <w:u w:val="single"/>
        </w:rPr>
        <w:t xml:space="preserve">                                                          </w:t>
      </w:r>
    </w:p>
    <w:p w14:paraId="7AE30A77">
      <w:pPr>
        <w:rPr>
          <w:rFonts w:ascii="宋体" w:hAnsi="宋体" w:cs="宋体"/>
          <w:sz w:val="24"/>
          <w:highlight w:val="none"/>
        </w:rPr>
      </w:pPr>
      <w:r>
        <w:rPr>
          <w:rFonts w:hint="eastAsia" w:ascii="宋体" w:hAnsi="宋体" w:cs="宋体"/>
          <w:sz w:val="24"/>
          <w:highlight w:val="none"/>
        </w:rPr>
        <w:t xml:space="preserve">签字(签章)：                 公章：               日期：    </w:t>
      </w:r>
    </w:p>
    <w:p w14:paraId="286D21DC">
      <w:pPr>
        <w:spacing w:line="0" w:lineRule="atLeast"/>
        <w:rPr>
          <w:rFonts w:ascii="宋体" w:hAnsi="宋体" w:cs="宋体"/>
          <w:sz w:val="24"/>
          <w:highlight w:val="none"/>
        </w:rPr>
      </w:pPr>
      <w:r>
        <w:rPr>
          <w:rFonts w:hint="eastAsia" w:ascii="宋体" w:hAnsi="宋体" w:cs="宋体"/>
          <w:b/>
          <w:sz w:val="24"/>
          <w:highlight w:val="none"/>
        </w:rPr>
        <w:t>质疑函制作说明：</w:t>
      </w:r>
    </w:p>
    <w:p w14:paraId="372061D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1.供应商提出质疑时，应提交质疑函和必要的证明材料。</w:t>
      </w:r>
    </w:p>
    <w:p w14:paraId="166E79BD">
      <w:pPr>
        <w:widowControl/>
        <w:spacing w:line="0" w:lineRule="atLeast"/>
        <w:ind w:firstLine="480"/>
        <w:jc w:val="left"/>
        <w:rPr>
          <w:rFonts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B7133C">
      <w:pPr>
        <w:widowControl/>
        <w:spacing w:line="0" w:lineRule="atLeast"/>
        <w:ind w:firstLine="480"/>
        <w:jc w:val="left"/>
        <w:rPr>
          <w:rFonts w:ascii="宋体" w:hAnsi="宋体" w:cs="宋体"/>
          <w:sz w:val="24"/>
          <w:highlight w:val="none"/>
        </w:rPr>
      </w:pPr>
      <w:r>
        <w:rPr>
          <w:rFonts w:hint="eastAsia" w:ascii="宋体" w:hAnsi="宋体" w:cs="宋体"/>
          <w:sz w:val="24"/>
          <w:highlight w:val="none"/>
        </w:rPr>
        <w:t>3.质疑供应商若对项目的某一分包进行质疑，质疑函中应列明具体分包号。</w:t>
      </w:r>
    </w:p>
    <w:p w14:paraId="66EF7E7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798B886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5.质疑函的质疑请求应与质疑事项相关。</w:t>
      </w:r>
    </w:p>
    <w:p w14:paraId="156FB0A6">
      <w:pPr>
        <w:widowControl/>
        <w:spacing w:line="0" w:lineRule="atLeast"/>
        <w:ind w:firstLine="480"/>
        <w:jc w:val="left"/>
        <w:rPr>
          <w:rFonts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4B6030A0">
      <w:pPr>
        <w:ind w:firstLine="420"/>
        <w:rPr>
          <w:rFonts w:ascii="宋体" w:hAnsi="宋体" w:cs="宋体"/>
          <w:sz w:val="24"/>
          <w:highlight w:val="none"/>
        </w:rPr>
      </w:pPr>
      <w:r>
        <w:rPr>
          <w:rFonts w:hint="eastAsia" w:ascii="宋体" w:hAnsi="宋体" w:cs="宋体"/>
          <w:sz w:val="24"/>
          <w:highlight w:val="none"/>
        </w:rPr>
        <w:t> </w:t>
      </w:r>
    </w:p>
    <w:p w14:paraId="61698A74">
      <w:pPr>
        <w:rPr>
          <w:highlight w:val="none"/>
        </w:rPr>
      </w:pPr>
    </w:p>
    <w:p w14:paraId="3B3774EC">
      <w:pPr>
        <w:pStyle w:val="46"/>
        <w:ind w:firstLine="240"/>
        <w:rPr>
          <w:rFonts w:asciiTheme="minorEastAsia" w:hAnsiTheme="minorEastAsia" w:eastAsiaTheme="minorEastAsia"/>
          <w:b/>
          <w:bCs/>
          <w:sz w:val="24"/>
          <w:highlight w:val="none"/>
        </w:rPr>
      </w:pPr>
    </w:p>
    <w:sectPr>
      <w:footerReference r:id="rId3" w:type="default"/>
      <w:pgSz w:w="11906" w:h="16838"/>
      <w:pgMar w:top="1418" w:right="885" w:bottom="1134" w:left="1161"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D7383">
    <w:pPr>
      <w:pStyle w:val="30"/>
      <w:jc w:val="center"/>
    </w:pPr>
    <w:r>
      <w:fldChar w:fldCharType="begin"/>
    </w:r>
    <w:r>
      <w:instrText xml:space="preserve">PAGE \* MERGEFORMAT</w:instrText>
    </w:r>
    <w:r>
      <w:fldChar w:fldCharType="separate"/>
    </w:r>
    <w:r>
      <w:t>32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82"/>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34"/>
      <w:lvlText w:val="%1"/>
      <w:lvlJc w:val="left"/>
      <w:pPr>
        <w:ind w:left="425" w:hanging="425"/>
      </w:pPr>
      <w:rPr>
        <w:rFonts w:ascii="黑体" w:hAnsi="黑体" w:eastAsia="黑体"/>
      </w:rPr>
    </w:lvl>
    <w:lvl w:ilvl="1" w:tentative="0">
      <w:start w:val="1"/>
      <w:numFmt w:val="decimal"/>
      <w:pStyle w:val="257"/>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405D0092"/>
    <w:multiLevelType w:val="multilevel"/>
    <w:tmpl w:val="405D00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99C7668"/>
    <w:multiLevelType w:val="multilevel"/>
    <w:tmpl w:val="599C7668"/>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59ADCABA"/>
    <w:multiLevelType w:val="multilevel"/>
    <w:tmpl w:val="59ADCABA"/>
    <w:lvl w:ilvl="0" w:tentative="0">
      <w:start w:val="3"/>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A4B"/>
    <w:rsid w:val="00022384"/>
    <w:rsid w:val="00052DEA"/>
    <w:rsid w:val="00055060"/>
    <w:rsid w:val="000575C8"/>
    <w:rsid w:val="001237E1"/>
    <w:rsid w:val="001807E4"/>
    <w:rsid w:val="001C18CE"/>
    <w:rsid w:val="002C4DE0"/>
    <w:rsid w:val="0034302B"/>
    <w:rsid w:val="00424115"/>
    <w:rsid w:val="00514648"/>
    <w:rsid w:val="0053330E"/>
    <w:rsid w:val="005C0762"/>
    <w:rsid w:val="007127A3"/>
    <w:rsid w:val="00756892"/>
    <w:rsid w:val="007B4057"/>
    <w:rsid w:val="0092136E"/>
    <w:rsid w:val="009C18D5"/>
    <w:rsid w:val="009C6726"/>
    <w:rsid w:val="00AA4E87"/>
    <w:rsid w:val="00B57247"/>
    <w:rsid w:val="00C10DF4"/>
    <w:rsid w:val="00CB2AB8"/>
    <w:rsid w:val="00D25D2C"/>
    <w:rsid w:val="00E87D65"/>
    <w:rsid w:val="00F33A4B"/>
    <w:rsid w:val="045113FF"/>
    <w:rsid w:val="058A40EC"/>
    <w:rsid w:val="0C28640C"/>
    <w:rsid w:val="12AF6930"/>
    <w:rsid w:val="13177673"/>
    <w:rsid w:val="17573FD8"/>
    <w:rsid w:val="1826073B"/>
    <w:rsid w:val="19D96F98"/>
    <w:rsid w:val="250E6BFE"/>
    <w:rsid w:val="26E0284D"/>
    <w:rsid w:val="2E505623"/>
    <w:rsid w:val="2F65549D"/>
    <w:rsid w:val="35D15D5D"/>
    <w:rsid w:val="360D118E"/>
    <w:rsid w:val="361E6007"/>
    <w:rsid w:val="3AFF6407"/>
    <w:rsid w:val="3DD72403"/>
    <w:rsid w:val="3F6E3B5B"/>
    <w:rsid w:val="41F05A24"/>
    <w:rsid w:val="42220A0F"/>
    <w:rsid w:val="42226EC9"/>
    <w:rsid w:val="468E27CD"/>
    <w:rsid w:val="486A2EFF"/>
    <w:rsid w:val="497E73D8"/>
    <w:rsid w:val="4D317F76"/>
    <w:rsid w:val="4EC27B28"/>
    <w:rsid w:val="52603CBD"/>
    <w:rsid w:val="542579E2"/>
    <w:rsid w:val="55C92021"/>
    <w:rsid w:val="57376AD1"/>
    <w:rsid w:val="591F1693"/>
    <w:rsid w:val="59D629A7"/>
    <w:rsid w:val="59E37EF4"/>
    <w:rsid w:val="5B8500D2"/>
    <w:rsid w:val="5CC11316"/>
    <w:rsid w:val="628864B6"/>
    <w:rsid w:val="671D183F"/>
    <w:rsid w:val="69266967"/>
    <w:rsid w:val="6AF4494F"/>
    <w:rsid w:val="6B8005EE"/>
    <w:rsid w:val="6BD652FF"/>
    <w:rsid w:val="6D1E3B81"/>
    <w:rsid w:val="6E9102C7"/>
    <w:rsid w:val="72802C82"/>
    <w:rsid w:val="7AFB1A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101"/>
    <w:qFormat/>
    <w:uiPriority w:val="9"/>
    <w:pPr>
      <w:keepNext/>
      <w:keepLines/>
      <w:tabs>
        <w:tab w:val="left" w:pos="432"/>
      </w:tabs>
      <w:spacing w:before="340" w:after="330" w:line="578" w:lineRule="auto"/>
      <w:ind w:left="425" w:hanging="425"/>
      <w:outlineLvl w:val="0"/>
    </w:pPr>
    <w:rPr>
      <w:rFonts w:eastAsia="楷体_GB2312"/>
      <w:b/>
      <w:bCs/>
      <w:sz w:val="44"/>
      <w:szCs w:val="44"/>
    </w:rPr>
  </w:style>
  <w:style w:type="paragraph" w:styleId="3">
    <w:name w:val="heading 2"/>
    <w:basedOn w:val="1"/>
    <w:next w:val="1"/>
    <w:link w:val="102"/>
    <w:qFormat/>
    <w:uiPriority w:val="0"/>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4">
    <w:name w:val="heading 3"/>
    <w:basedOn w:val="1"/>
    <w:next w:val="5"/>
    <w:link w:val="103"/>
    <w:qFormat/>
    <w:uiPriority w:val="0"/>
    <w:pPr>
      <w:keepNext/>
      <w:keepLines/>
      <w:tabs>
        <w:tab w:val="left" w:pos="2978"/>
      </w:tabs>
      <w:spacing w:before="260" w:after="260" w:line="416" w:lineRule="auto"/>
      <w:ind w:left="2978" w:hanging="709"/>
      <w:outlineLvl w:val="2"/>
    </w:pPr>
    <w:rPr>
      <w:rFonts w:eastAsia="仿宋_GB2312"/>
      <w:b/>
      <w:bCs/>
      <w:sz w:val="32"/>
      <w:szCs w:val="32"/>
    </w:rPr>
  </w:style>
  <w:style w:type="paragraph" w:styleId="6">
    <w:name w:val="heading 4"/>
    <w:basedOn w:val="1"/>
    <w:next w:val="1"/>
    <w:link w:val="231"/>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05"/>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0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9"/>
    <w:unhideWhenUsed/>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230"/>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rPr>
      <w:rFonts w:ascii="Times New Roman" w:hAnsi="Times New Roman"/>
    </w:rPr>
  </w:style>
  <w:style w:type="paragraph" w:styleId="15">
    <w:name w:val="annotation text"/>
    <w:basedOn w:val="1"/>
    <w:link w:val="311"/>
    <w:qFormat/>
    <w:uiPriority w:val="99"/>
    <w:pPr>
      <w:jc w:val="left"/>
    </w:pPr>
  </w:style>
  <w:style w:type="paragraph" w:styleId="16">
    <w:name w:val="Body Text"/>
    <w:basedOn w:val="1"/>
    <w:next w:val="17"/>
    <w:link w:val="232"/>
    <w:qFormat/>
    <w:uiPriority w:val="99"/>
    <w:pPr>
      <w:spacing w:after="120"/>
    </w:pPr>
  </w:style>
  <w:style w:type="paragraph" w:customStyle="1" w:styleId="17">
    <w:name w:val="Default"/>
    <w:qFormat/>
    <w:uiPriority w:val="0"/>
    <w:pPr>
      <w:widowControl w:val="0"/>
    </w:pPr>
    <w:rPr>
      <w:rFonts w:ascii="宋体" w:hAnsi="宋体" w:eastAsia="宋体" w:cs="宋体"/>
      <w:color w:val="000000"/>
      <w:sz w:val="24"/>
      <w:szCs w:val="24"/>
      <w:lang w:val="en-US" w:eastAsia="zh-CN" w:bidi="ar-SA"/>
    </w:rPr>
  </w:style>
  <w:style w:type="paragraph" w:styleId="18">
    <w:name w:val="Body Text Indent"/>
    <w:basedOn w:val="1"/>
    <w:next w:val="19"/>
    <w:link w:val="233"/>
    <w:qFormat/>
    <w:uiPriority w:val="0"/>
    <w:pPr>
      <w:ind w:firstLine="645"/>
    </w:pPr>
    <w:rPr>
      <w:rFonts w:ascii="楷体_GB2312" w:hAnsi="Times New Roman" w:eastAsia="楷体_GB2312"/>
      <w:sz w:val="32"/>
      <w:szCs w:val="32"/>
    </w:rPr>
  </w:style>
  <w:style w:type="paragraph" w:styleId="19">
    <w:name w:val="envelope return"/>
    <w:basedOn w:val="1"/>
    <w:qFormat/>
    <w:uiPriority w:val="0"/>
    <w:rPr>
      <w:rFonts w:ascii="Arial" w:hAnsi="Arial"/>
    </w:rPr>
  </w:style>
  <w:style w:type="paragraph" w:styleId="20">
    <w:name w:val="List 2"/>
    <w:basedOn w:val="1"/>
    <w:qFormat/>
    <w:uiPriority w:val="0"/>
    <w:pPr>
      <w:spacing w:line="360" w:lineRule="auto"/>
      <w:ind w:left="100" w:hanging="200"/>
    </w:pPr>
    <w:rPr>
      <w:rFonts w:ascii="Times New Roman" w:hAnsi="Times New Roman" w:eastAsia="仿宋_GB2312"/>
    </w:rPr>
  </w:style>
  <w:style w:type="paragraph" w:styleId="21">
    <w:name w:val="Block Text"/>
    <w:basedOn w:val="1"/>
    <w:qFormat/>
    <w:uiPriority w:val="99"/>
    <w:pPr>
      <w:tabs>
        <w:tab w:val="left" w:pos="9000"/>
      </w:tabs>
      <w:spacing w:after="120"/>
      <w:ind w:left="1440" w:right="1440"/>
    </w:pPr>
  </w:style>
  <w:style w:type="paragraph" w:styleId="22">
    <w:name w:val="index 4"/>
    <w:basedOn w:val="1"/>
    <w:next w:val="1"/>
    <w:qFormat/>
    <w:uiPriority w:val="0"/>
    <w:pPr>
      <w:ind w:left="600"/>
    </w:pPr>
    <w:rPr>
      <w:szCs w:val="21"/>
    </w:r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next w:val="1"/>
    <w:link w:val="234"/>
    <w:qFormat/>
    <w:uiPriority w:val="0"/>
    <w:rPr>
      <w:rFonts w:ascii="宋体" w:hAnsi="Courier New" w:eastAsia="楷体_GB2312"/>
    </w:rPr>
  </w:style>
  <w:style w:type="paragraph" w:styleId="26">
    <w:name w:val="toc 8"/>
    <w:basedOn w:val="1"/>
    <w:next w:val="1"/>
    <w:unhideWhenUsed/>
    <w:qFormat/>
    <w:uiPriority w:val="39"/>
    <w:pPr>
      <w:spacing w:after="57"/>
      <w:ind w:left="1984"/>
    </w:pPr>
  </w:style>
  <w:style w:type="paragraph" w:styleId="27">
    <w:name w:val="Body Text Indent 2"/>
    <w:basedOn w:val="1"/>
    <w:link w:val="235"/>
    <w:qFormat/>
    <w:uiPriority w:val="0"/>
    <w:pPr>
      <w:spacing w:after="120" w:line="480" w:lineRule="auto"/>
      <w:ind w:left="420"/>
    </w:pPr>
  </w:style>
  <w:style w:type="paragraph" w:styleId="28">
    <w:name w:val="endnote text"/>
    <w:basedOn w:val="1"/>
    <w:link w:val="228"/>
    <w:semiHidden/>
    <w:unhideWhenUsed/>
    <w:qFormat/>
    <w:uiPriority w:val="99"/>
    <w:rPr>
      <w:sz w:val="20"/>
    </w:rPr>
  </w:style>
  <w:style w:type="paragraph" w:styleId="29">
    <w:name w:val="Balloon Text"/>
    <w:basedOn w:val="1"/>
    <w:link w:val="236"/>
    <w:qFormat/>
    <w:uiPriority w:val="99"/>
    <w:rPr>
      <w:sz w:val="18"/>
      <w:szCs w:val="18"/>
    </w:rPr>
  </w:style>
  <w:style w:type="paragraph" w:styleId="30">
    <w:name w:val="footer"/>
    <w:basedOn w:val="1"/>
    <w:link w:val="237"/>
    <w:qFormat/>
    <w:uiPriority w:val="99"/>
    <w:pPr>
      <w:tabs>
        <w:tab w:val="center" w:pos="4153"/>
        <w:tab w:val="right" w:pos="8306"/>
      </w:tabs>
      <w:jc w:val="left"/>
    </w:pPr>
    <w:rPr>
      <w:sz w:val="18"/>
    </w:rPr>
  </w:style>
  <w:style w:type="paragraph" w:styleId="31">
    <w:name w:val="header"/>
    <w:basedOn w:val="1"/>
    <w:next w:val="16"/>
    <w:link w:val="118"/>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113"/>
    <w:qFormat/>
    <w:uiPriority w:val="0"/>
    <w:pPr>
      <w:numPr>
        <w:ilvl w:val="0"/>
        <w:numId w:val="1"/>
      </w:numPr>
      <w:spacing w:before="240" w:after="60" w:line="312" w:lineRule="auto"/>
      <w:jc w:val="left"/>
      <w:outlineLvl w:val="1"/>
    </w:pPr>
    <w:rPr>
      <w:rFonts w:ascii="黑体" w:hAnsi="黑体" w:eastAsia="黑体"/>
      <w:b/>
      <w:bCs/>
      <w:sz w:val="28"/>
      <w:szCs w:val="36"/>
    </w:rPr>
  </w:style>
  <w:style w:type="paragraph" w:styleId="35">
    <w:name w:val="footnote text"/>
    <w:basedOn w:val="1"/>
    <w:link w:val="227"/>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38"/>
    <w:qFormat/>
    <w:uiPriority w:val="0"/>
    <w:pPr>
      <w:spacing w:after="120"/>
      <w:ind w:left="420"/>
    </w:pPr>
    <w:rPr>
      <w:rFonts w:ascii="Times New Roman" w:hAnsi="Times New Roman"/>
      <w:sz w:val="16"/>
      <w:szCs w:val="16"/>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spacing w:after="120" w:line="360" w:lineRule="auto"/>
      <w:ind w:firstLine="510"/>
    </w:pPr>
    <w:rPr>
      <w:sz w:val="24"/>
    </w:rPr>
  </w:style>
  <w:style w:type="paragraph" w:styleId="42">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3">
    <w:name w:val="HTML Preformatted"/>
    <w:basedOn w:val="1"/>
    <w:link w:val="2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4">
    <w:name w:val="Normal (Web)"/>
    <w:basedOn w:val="1"/>
    <w:link w:val="278"/>
    <w:unhideWhenUsed/>
    <w:qFormat/>
    <w:uiPriority w:val="0"/>
    <w:pPr>
      <w:widowControl/>
      <w:spacing w:before="100" w:beforeAutospacing="1" w:after="100" w:afterAutospacing="1"/>
      <w:jc w:val="left"/>
    </w:pPr>
    <w:rPr>
      <w:rFonts w:ascii="宋体" w:hAnsi="宋体" w:cs="宋体"/>
      <w:sz w:val="24"/>
    </w:rPr>
  </w:style>
  <w:style w:type="paragraph" w:styleId="45">
    <w:name w:val="Title"/>
    <w:basedOn w:val="1"/>
    <w:next w:val="1"/>
    <w:link w:val="112"/>
    <w:qFormat/>
    <w:uiPriority w:val="10"/>
    <w:pPr>
      <w:spacing w:before="300" w:after="200"/>
      <w:contextualSpacing/>
    </w:pPr>
    <w:rPr>
      <w:sz w:val="48"/>
      <w:szCs w:val="48"/>
    </w:rPr>
  </w:style>
  <w:style w:type="paragraph" w:styleId="46">
    <w:name w:val="Body Text First Indent"/>
    <w:basedOn w:val="1"/>
    <w:next w:val="1"/>
    <w:qFormat/>
    <w:uiPriority w:val="99"/>
    <w:pPr>
      <w:widowControl/>
      <w:spacing w:after="120"/>
      <w:ind w:firstLine="420"/>
    </w:pPr>
    <w:rPr>
      <w:rFonts w:eastAsia="仿宋_GB2312"/>
    </w:rPr>
  </w:style>
  <w:style w:type="paragraph" w:styleId="47">
    <w:name w:val="Body Text First Indent 2"/>
    <w:basedOn w:val="18"/>
    <w:qFormat/>
    <w:uiPriority w:val="0"/>
    <w:pPr>
      <w:spacing w:after="120"/>
      <w:ind w:left="420" w:firstLine="420"/>
    </w:pPr>
    <w:rPr>
      <w:rFonts w:ascii="Cambria" w:hAnsi="Cambria" w:eastAsia="华文细黑"/>
      <w:sz w:val="21"/>
    </w:rPr>
  </w:style>
  <w:style w:type="table" w:styleId="49">
    <w:name w:val="Table Grid"/>
    <w:basedOn w:val="4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555555"/>
      <w:u w:val="none"/>
    </w:rPr>
  </w:style>
  <w:style w:type="character" w:styleId="55">
    <w:name w:val="Emphasis"/>
    <w:basedOn w:val="50"/>
    <w:qFormat/>
    <w:uiPriority w:val="20"/>
    <w:rPr>
      <w:i/>
      <w:iCs/>
    </w:rPr>
  </w:style>
  <w:style w:type="character" w:styleId="56">
    <w:name w:val="Hyperlink"/>
    <w:qFormat/>
    <w:uiPriority w:val="99"/>
    <w:rPr>
      <w:color w:val="555555"/>
      <w:u w:val="none"/>
    </w:rPr>
  </w:style>
  <w:style w:type="character" w:styleId="57">
    <w:name w:val="annotation reference"/>
    <w:qFormat/>
    <w:uiPriority w:val="99"/>
    <w:rPr>
      <w:sz w:val="21"/>
      <w:szCs w:val="21"/>
    </w:rPr>
  </w:style>
  <w:style w:type="character" w:styleId="58">
    <w:name w:val="footnote reference"/>
    <w:unhideWhenUsed/>
    <w:qFormat/>
    <w:uiPriority w:val="99"/>
    <w:rPr>
      <w:vertAlign w:val="superscript"/>
    </w:rPr>
  </w:style>
  <w:style w:type="table" w:customStyle="1" w:styleId="59">
    <w:name w:val="无格式表格 1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48"/>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48"/>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48"/>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48"/>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48"/>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48"/>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一级条标题"/>
    <w:basedOn w:val="80"/>
    <w:next w:val="8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0">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81">
    <w:name w:val="段"/>
    <w:basedOn w:val="82"/>
    <w:next w:val="1"/>
    <w:qFormat/>
    <w:uiPriority w:val="0"/>
    <w:pPr>
      <w:widowControl w:val="0"/>
      <w:tabs>
        <w:tab w:val="left" w:pos="270"/>
        <w:tab w:val="left" w:pos="480"/>
      </w:tabs>
      <w:ind w:firstLine="200"/>
      <w:jc w:val="both"/>
    </w:pPr>
    <w:rPr>
      <w:rFonts w:ascii="宋体" w:hAnsi="宋体" w:eastAsia="宋体" w:cs="宋体"/>
      <w:color w:val="000000"/>
      <w:sz w:val="21"/>
      <w:szCs w:val="21"/>
      <w:lang w:val="en-US" w:eastAsia="zh-CN" w:bidi="ar-SA"/>
    </w:rPr>
  </w:style>
  <w:style w:type="paragraph" w:customStyle="1" w:styleId="82">
    <w:name w:val="正文1"/>
    <w:basedOn w:val="1"/>
    <w:next w:val="83"/>
    <w:qFormat/>
    <w:uiPriority w:val="0"/>
    <w:pPr>
      <w:numPr>
        <w:ilvl w:val="0"/>
        <w:numId w:val="2"/>
      </w:numPr>
      <w:tabs>
        <w:tab w:val="left" w:pos="480"/>
      </w:tabs>
      <w:spacing w:line="500" w:lineRule="exact"/>
      <w:ind w:left="359" w:hanging="359"/>
    </w:pPr>
    <w:rPr>
      <w:rFonts w:ascii="黑体" w:hAnsi="宋体"/>
    </w:rPr>
  </w:style>
  <w:style w:type="paragraph" w:customStyle="1" w:styleId="83">
    <w:name w:val="正文文本1"/>
    <w:basedOn w:val="82"/>
    <w:next w:val="79"/>
    <w:qFormat/>
    <w:uiPriority w:val="0"/>
    <w:pPr>
      <w:tabs>
        <w:tab w:val="clear" w:pos="480"/>
      </w:tabs>
      <w:spacing w:after="120"/>
    </w:pPr>
    <w:rPr>
      <w:lang w:eastAsia="en-US"/>
    </w:rPr>
  </w:style>
  <w:style w:type="paragraph" w:customStyle="1" w:styleId="84">
    <w:name w:val="正文 A"/>
    <w:next w:val="81"/>
    <w:qFormat/>
    <w:uiPriority w:val="0"/>
    <w:pPr>
      <w:widowControl w:val="0"/>
      <w:jc w:val="both"/>
    </w:pPr>
    <w:rPr>
      <w:rFonts w:ascii="Calibri" w:hAnsi="Calibri" w:eastAsia="Calibri" w:cs="Calibri"/>
      <w:color w:val="000000"/>
      <w:sz w:val="21"/>
      <w:szCs w:val="21"/>
      <w:lang w:val="en-US" w:eastAsia="zh-CN" w:bidi="ar-SA"/>
    </w:rPr>
  </w:style>
  <w:style w:type="paragraph" w:customStyle="1" w:styleId="85">
    <w:name w:val="TOC 标题111"/>
    <w:unhideWhenUsed/>
    <w:qFormat/>
    <w:uiPriority w:val="39"/>
    <w:rPr>
      <w:rFonts w:ascii="Times New Roman" w:hAnsi="Times New Roman" w:eastAsia="宋体" w:cs="Times New Roman"/>
      <w:lang w:val="en-US" w:eastAsia="zh-CN" w:bidi="ar-SA"/>
    </w:rPr>
  </w:style>
  <w:style w:type="character" w:customStyle="1" w:styleId="86">
    <w:name w:val="Heading 1 Char"/>
    <w:basedOn w:val="50"/>
    <w:qFormat/>
    <w:uiPriority w:val="9"/>
    <w:rPr>
      <w:rFonts w:ascii="Arial" w:hAnsi="Arial" w:eastAsia="Arial" w:cs="Arial"/>
      <w:sz w:val="40"/>
      <w:szCs w:val="40"/>
    </w:rPr>
  </w:style>
  <w:style w:type="character" w:customStyle="1" w:styleId="87">
    <w:name w:val="Heading 2 Char"/>
    <w:basedOn w:val="50"/>
    <w:qFormat/>
    <w:uiPriority w:val="9"/>
    <w:rPr>
      <w:rFonts w:ascii="Arial" w:hAnsi="Arial" w:eastAsia="Arial" w:cs="Arial"/>
      <w:sz w:val="34"/>
    </w:rPr>
  </w:style>
  <w:style w:type="character" w:customStyle="1" w:styleId="88">
    <w:name w:val="Heading 3 Char"/>
    <w:basedOn w:val="50"/>
    <w:qFormat/>
    <w:uiPriority w:val="9"/>
    <w:rPr>
      <w:rFonts w:ascii="Arial" w:hAnsi="Arial" w:eastAsia="Arial" w:cs="Arial"/>
      <w:sz w:val="30"/>
      <w:szCs w:val="30"/>
    </w:rPr>
  </w:style>
  <w:style w:type="character" w:customStyle="1" w:styleId="89">
    <w:name w:val="Heading 5 Char"/>
    <w:basedOn w:val="50"/>
    <w:qFormat/>
    <w:uiPriority w:val="9"/>
    <w:rPr>
      <w:rFonts w:ascii="Arial" w:hAnsi="Arial" w:eastAsia="Arial" w:cs="Arial"/>
      <w:b/>
      <w:bCs/>
      <w:sz w:val="24"/>
      <w:szCs w:val="24"/>
    </w:rPr>
  </w:style>
  <w:style w:type="character" w:customStyle="1" w:styleId="90">
    <w:name w:val="Heading 6 Char"/>
    <w:basedOn w:val="50"/>
    <w:qFormat/>
    <w:uiPriority w:val="9"/>
    <w:rPr>
      <w:rFonts w:ascii="Arial" w:hAnsi="Arial" w:eastAsia="Arial" w:cs="Arial"/>
      <w:b/>
      <w:bCs/>
      <w:sz w:val="22"/>
      <w:szCs w:val="22"/>
    </w:rPr>
  </w:style>
  <w:style w:type="character" w:customStyle="1" w:styleId="91">
    <w:name w:val="Heading 7 Char"/>
    <w:basedOn w:val="50"/>
    <w:qFormat/>
    <w:uiPriority w:val="9"/>
    <w:rPr>
      <w:rFonts w:ascii="Arial" w:hAnsi="Arial" w:eastAsia="Arial" w:cs="Arial"/>
      <w:b/>
      <w:bCs/>
      <w:i/>
      <w:iCs/>
      <w:sz w:val="22"/>
      <w:szCs w:val="22"/>
    </w:rPr>
  </w:style>
  <w:style w:type="character" w:customStyle="1" w:styleId="92">
    <w:name w:val="Heading 8 Char"/>
    <w:basedOn w:val="50"/>
    <w:qFormat/>
    <w:uiPriority w:val="9"/>
    <w:rPr>
      <w:rFonts w:ascii="Arial" w:hAnsi="Arial" w:eastAsia="Arial" w:cs="Arial"/>
      <w:i/>
      <w:iCs/>
      <w:sz w:val="22"/>
      <w:szCs w:val="22"/>
    </w:rPr>
  </w:style>
  <w:style w:type="character" w:customStyle="1" w:styleId="93">
    <w:name w:val="Heading 9 Char"/>
    <w:basedOn w:val="50"/>
    <w:qFormat/>
    <w:uiPriority w:val="9"/>
    <w:rPr>
      <w:rFonts w:ascii="Arial" w:hAnsi="Arial" w:eastAsia="Arial" w:cs="Arial"/>
      <w:i/>
      <w:iCs/>
      <w:sz w:val="21"/>
      <w:szCs w:val="21"/>
    </w:rPr>
  </w:style>
  <w:style w:type="character" w:customStyle="1" w:styleId="94">
    <w:name w:val="Title Char"/>
    <w:basedOn w:val="50"/>
    <w:qFormat/>
    <w:uiPriority w:val="10"/>
    <w:rPr>
      <w:sz w:val="48"/>
      <w:szCs w:val="48"/>
    </w:rPr>
  </w:style>
  <w:style w:type="character" w:customStyle="1" w:styleId="95">
    <w:name w:val="Subtitle Char"/>
    <w:basedOn w:val="50"/>
    <w:qFormat/>
    <w:uiPriority w:val="11"/>
    <w:rPr>
      <w:sz w:val="24"/>
      <w:szCs w:val="24"/>
    </w:rPr>
  </w:style>
  <w:style w:type="character" w:customStyle="1" w:styleId="96">
    <w:name w:val="Quote Char"/>
    <w:qFormat/>
    <w:uiPriority w:val="29"/>
    <w:rPr>
      <w:i/>
    </w:rPr>
  </w:style>
  <w:style w:type="character" w:customStyle="1" w:styleId="97">
    <w:name w:val="Intense Quote Char"/>
    <w:qFormat/>
    <w:uiPriority w:val="30"/>
    <w:rPr>
      <w:i/>
    </w:rPr>
  </w:style>
  <w:style w:type="character" w:customStyle="1" w:styleId="98">
    <w:name w:val="Header Char"/>
    <w:basedOn w:val="50"/>
    <w:qFormat/>
    <w:uiPriority w:val="99"/>
  </w:style>
  <w:style w:type="character" w:customStyle="1" w:styleId="99">
    <w:name w:val="Footnote Text Char"/>
    <w:qFormat/>
    <w:uiPriority w:val="99"/>
    <w:rPr>
      <w:sz w:val="18"/>
    </w:rPr>
  </w:style>
  <w:style w:type="character" w:customStyle="1" w:styleId="100">
    <w:name w:val="Endnote Text Char"/>
    <w:qFormat/>
    <w:uiPriority w:val="99"/>
    <w:rPr>
      <w:sz w:val="20"/>
    </w:rPr>
  </w:style>
  <w:style w:type="character" w:customStyle="1" w:styleId="101">
    <w:name w:val="标题 1 Char"/>
    <w:link w:val="2"/>
    <w:qFormat/>
    <w:uiPriority w:val="9"/>
    <w:rPr>
      <w:rFonts w:ascii="Arial" w:hAnsi="Arial" w:eastAsia="Arial" w:cs="Arial"/>
      <w:sz w:val="40"/>
      <w:szCs w:val="40"/>
    </w:rPr>
  </w:style>
  <w:style w:type="character" w:customStyle="1" w:styleId="102">
    <w:name w:val="标题 2 Char"/>
    <w:link w:val="3"/>
    <w:qFormat/>
    <w:uiPriority w:val="9"/>
    <w:rPr>
      <w:rFonts w:ascii="Arial" w:hAnsi="Arial" w:eastAsia="Arial" w:cs="Arial"/>
      <w:sz w:val="34"/>
    </w:rPr>
  </w:style>
  <w:style w:type="character" w:customStyle="1" w:styleId="103">
    <w:name w:val="标题 3 Char"/>
    <w:link w:val="4"/>
    <w:qFormat/>
    <w:uiPriority w:val="9"/>
    <w:rPr>
      <w:rFonts w:ascii="Arial" w:hAnsi="Arial" w:eastAsia="Arial" w:cs="Arial"/>
      <w:sz w:val="30"/>
      <w:szCs w:val="30"/>
    </w:rPr>
  </w:style>
  <w:style w:type="character" w:customStyle="1" w:styleId="104">
    <w:name w:val="Heading 4 Char"/>
    <w:qFormat/>
    <w:uiPriority w:val="9"/>
    <w:rPr>
      <w:rFonts w:ascii="Arial" w:hAnsi="Arial" w:eastAsia="Arial" w:cs="Arial"/>
      <w:b/>
      <w:bCs/>
      <w:sz w:val="26"/>
      <w:szCs w:val="26"/>
    </w:rPr>
  </w:style>
  <w:style w:type="character" w:customStyle="1" w:styleId="105">
    <w:name w:val="标题 5 Char"/>
    <w:link w:val="7"/>
    <w:qFormat/>
    <w:uiPriority w:val="9"/>
    <w:rPr>
      <w:rFonts w:ascii="Arial" w:hAnsi="Arial" w:eastAsia="Arial" w:cs="Arial"/>
      <w:b/>
      <w:bCs/>
      <w:sz w:val="24"/>
      <w:szCs w:val="24"/>
    </w:rPr>
  </w:style>
  <w:style w:type="character" w:customStyle="1" w:styleId="106">
    <w:name w:val="标题 6 Char"/>
    <w:link w:val="8"/>
    <w:qFormat/>
    <w:uiPriority w:val="9"/>
    <w:rPr>
      <w:rFonts w:ascii="Arial" w:hAnsi="Arial" w:eastAsia="Arial" w:cs="Arial"/>
      <w:b/>
      <w:bCs/>
      <w:sz w:val="22"/>
      <w:szCs w:val="22"/>
    </w:rPr>
  </w:style>
  <w:style w:type="character" w:customStyle="1" w:styleId="107">
    <w:name w:val="标题 7 Char"/>
    <w:link w:val="9"/>
    <w:qFormat/>
    <w:uiPriority w:val="9"/>
    <w:rPr>
      <w:rFonts w:ascii="Arial" w:hAnsi="Arial" w:eastAsia="Arial" w:cs="Arial"/>
      <w:b/>
      <w:bCs/>
      <w:i/>
      <w:iCs/>
      <w:sz w:val="22"/>
      <w:szCs w:val="22"/>
    </w:rPr>
  </w:style>
  <w:style w:type="character" w:customStyle="1" w:styleId="108">
    <w:name w:val="标题 8 Char"/>
    <w:link w:val="10"/>
    <w:qFormat/>
    <w:uiPriority w:val="9"/>
    <w:rPr>
      <w:rFonts w:ascii="Arial" w:hAnsi="Arial" w:eastAsia="Arial" w:cs="Arial"/>
      <w:i/>
      <w:iCs/>
      <w:sz w:val="22"/>
      <w:szCs w:val="22"/>
    </w:rPr>
  </w:style>
  <w:style w:type="character" w:customStyle="1" w:styleId="109">
    <w:name w:val="标题 9 Char"/>
    <w:link w:val="11"/>
    <w:qFormat/>
    <w:uiPriority w:val="9"/>
    <w:rPr>
      <w:rFonts w:ascii="Arial" w:hAnsi="Arial" w:eastAsia="Arial" w:cs="Arial"/>
      <w:i/>
      <w:iCs/>
      <w:sz w:val="21"/>
      <w:szCs w:val="21"/>
    </w:rPr>
  </w:style>
  <w:style w:type="paragraph" w:styleId="110">
    <w:name w:val="List Paragraph"/>
    <w:basedOn w:val="1"/>
    <w:qFormat/>
    <w:uiPriority w:val="34"/>
    <w:pPr>
      <w:widowControl/>
      <w:ind w:left="720"/>
      <w:contextualSpacing/>
      <w:jc w:val="left"/>
    </w:pPr>
    <w:rPr>
      <w:rFonts w:cs="宋体"/>
      <w:sz w:val="24"/>
      <w:lang w:eastAsia="en-US"/>
    </w:rPr>
  </w:style>
  <w:style w:type="paragraph" w:styleId="111">
    <w:name w:val="No Spacing"/>
    <w:qFormat/>
    <w:uiPriority w:val="1"/>
    <w:rPr>
      <w:rFonts w:ascii="Times New Roman" w:hAnsi="Times New Roman" w:eastAsia="宋体" w:cs="Times New Roman"/>
      <w:lang w:val="en-US" w:eastAsia="zh-CN" w:bidi="ar-SA"/>
    </w:rPr>
  </w:style>
  <w:style w:type="character" w:customStyle="1" w:styleId="112">
    <w:name w:val="标题 Char"/>
    <w:link w:val="45"/>
    <w:qFormat/>
    <w:uiPriority w:val="10"/>
    <w:rPr>
      <w:sz w:val="48"/>
      <w:szCs w:val="48"/>
    </w:rPr>
  </w:style>
  <w:style w:type="character" w:customStyle="1" w:styleId="113">
    <w:name w:val="副标题 Char"/>
    <w:link w:val="34"/>
    <w:qFormat/>
    <w:uiPriority w:val="11"/>
    <w:rPr>
      <w:sz w:val="24"/>
      <w:szCs w:val="24"/>
    </w:rPr>
  </w:style>
  <w:style w:type="paragraph" w:styleId="114">
    <w:name w:val="Quote"/>
    <w:basedOn w:val="1"/>
    <w:next w:val="1"/>
    <w:link w:val="115"/>
    <w:qFormat/>
    <w:uiPriority w:val="29"/>
    <w:pPr>
      <w:ind w:left="720" w:right="720"/>
    </w:pPr>
    <w:rPr>
      <w:i/>
    </w:rPr>
  </w:style>
  <w:style w:type="character" w:customStyle="1" w:styleId="115">
    <w:name w:val="引用 Char"/>
    <w:link w:val="114"/>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Char"/>
    <w:link w:val="116"/>
    <w:qFormat/>
    <w:uiPriority w:val="30"/>
    <w:rPr>
      <w:i/>
    </w:rPr>
  </w:style>
  <w:style w:type="character" w:customStyle="1" w:styleId="118">
    <w:name w:val="页眉 Char"/>
    <w:link w:val="31"/>
    <w:qFormat/>
    <w:uiPriority w:val="99"/>
  </w:style>
  <w:style w:type="character" w:customStyle="1" w:styleId="119">
    <w:name w:val="Footer Char"/>
    <w:qFormat/>
    <w:uiPriority w:val="99"/>
  </w:style>
  <w:style w:type="character" w:customStyle="1" w:styleId="120">
    <w:name w:val="Caption Char"/>
    <w:qFormat/>
    <w:uiPriority w:val="99"/>
  </w:style>
  <w:style w:type="table" w:customStyle="1" w:styleId="12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Char"/>
    <w:link w:val="35"/>
    <w:qFormat/>
    <w:uiPriority w:val="99"/>
    <w:rPr>
      <w:sz w:val="18"/>
    </w:rPr>
  </w:style>
  <w:style w:type="character" w:customStyle="1" w:styleId="228">
    <w:name w:val="尾注文本 Char"/>
    <w:link w:val="28"/>
    <w:qFormat/>
    <w:uiPriority w:val="99"/>
    <w:rPr>
      <w:sz w:val="20"/>
    </w:rPr>
  </w:style>
  <w:style w:type="paragraph" w:customStyle="1" w:styleId="229">
    <w:name w:val="TOC 标题11"/>
    <w:unhideWhenUsed/>
    <w:qFormat/>
    <w:uiPriority w:val="39"/>
    <w:rPr>
      <w:rFonts w:ascii="Times New Roman" w:hAnsi="Times New Roman" w:eastAsia="宋体" w:cs="Times New Roman"/>
      <w:lang w:val="en-US" w:eastAsia="zh-CN" w:bidi="ar-SA"/>
    </w:rPr>
  </w:style>
  <w:style w:type="character" w:customStyle="1" w:styleId="230">
    <w:name w:val="正文缩进 Char"/>
    <w:link w:val="5"/>
    <w:qFormat/>
    <w:uiPriority w:val="0"/>
    <w:rPr>
      <w:rFonts w:ascii="Calibri" w:hAnsi="Calibri"/>
      <w:sz w:val="21"/>
      <w:szCs w:val="24"/>
    </w:rPr>
  </w:style>
  <w:style w:type="character" w:customStyle="1" w:styleId="231">
    <w:name w:val="标题 4 Char"/>
    <w:link w:val="6"/>
    <w:qFormat/>
    <w:uiPriority w:val="9"/>
    <w:rPr>
      <w:rFonts w:ascii="Arial" w:hAnsi="Arial" w:eastAsia="黑体" w:cs="Arial"/>
      <w:b/>
      <w:bCs/>
      <w:sz w:val="28"/>
      <w:szCs w:val="28"/>
    </w:rPr>
  </w:style>
  <w:style w:type="character" w:customStyle="1" w:styleId="232">
    <w:name w:val="正文文本 Char"/>
    <w:link w:val="16"/>
    <w:qFormat/>
    <w:uiPriority w:val="99"/>
    <w:rPr>
      <w:rFonts w:ascii="Calibri" w:hAnsi="Calibri"/>
      <w:sz w:val="21"/>
      <w:szCs w:val="24"/>
    </w:rPr>
  </w:style>
  <w:style w:type="character" w:customStyle="1" w:styleId="233">
    <w:name w:val="正文文本缩进 Char"/>
    <w:link w:val="18"/>
    <w:qFormat/>
    <w:uiPriority w:val="99"/>
    <w:rPr>
      <w:rFonts w:ascii="楷体_GB2312" w:eastAsia="楷体_GB2312"/>
      <w:sz w:val="32"/>
      <w:szCs w:val="32"/>
    </w:rPr>
  </w:style>
  <w:style w:type="character" w:customStyle="1" w:styleId="234">
    <w:name w:val="纯文本 Char2"/>
    <w:link w:val="25"/>
    <w:qFormat/>
    <w:uiPriority w:val="99"/>
    <w:rPr>
      <w:rFonts w:ascii="宋体" w:hAnsi="Courier New"/>
      <w:sz w:val="21"/>
      <w:szCs w:val="21"/>
    </w:rPr>
  </w:style>
  <w:style w:type="character" w:customStyle="1" w:styleId="235">
    <w:name w:val="正文文本缩进 2 Char"/>
    <w:link w:val="27"/>
    <w:qFormat/>
    <w:uiPriority w:val="0"/>
    <w:rPr>
      <w:rFonts w:ascii="Calibri" w:hAnsi="Calibri"/>
      <w:sz w:val="21"/>
      <w:szCs w:val="24"/>
    </w:rPr>
  </w:style>
  <w:style w:type="character" w:customStyle="1" w:styleId="236">
    <w:name w:val="批注框文本 Char"/>
    <w:link w:val="29"/>
    <w:qFormat/>
    <w:uiPriority w:val="99"/>
    <w:rPr>
      <w:rFonts w:ascii="Calibri" w:hAnsi="Calibri"/>
      <w:sz w:val="18"/>
      <w:szCs w:val="18"/>
    </w:rPr>
  </w:style>
  <w:style w:type="character" w:customStyle="1" w:styleId="237">
    <w:name w:val="页脚 Char"/>
    <w:link w:val="30"/>
    <w:qFormat/>
    <w:uiPriority w:val="99"/>
    <w:rPr>
      <w:rFonts w:ascii="Calibri" w:hAnsi="Calibri"/>
      <w:sz w:val="18"/>
      <w:szCs w:val="24"/>
    </w:rPr>
  </w:style>
  <w:style w:type="character" w:customStyle="1" w:styleId="238">
    <w:name w:val="正文文本缩进 3 Char"/>
    <w:link w:val="37"/>
    <w:qFormat/>
    <w:uiPriority w:val="0"/>
    <w:rPr>
      <w:sz w:val="16"/>
      <w:szCs w:val="16"/>
    </w:rPr>
  </w:style>
  <w:style w:type="character" w:customStyle="1" w:styleId="239">
    <w:name w:val="font91"/>
    <w:qFormat/>
    <w:uiPriority w:val="0"/>
    <w:rPr>
      <w:rFonts w:hint="eastAsia" w:ascii="宋体" w:hAnsi="宋体" w:eastAsia="宋体" w:cs="宋体"/>
      <w:color w:val="000000"/>
      <w:sz w:val="21"/>
      <w:szCs w:val="21"/>
      <w:u w:val="single"/>
    </w:rPr>
  </w:style>
  <w:style w:type="character" w:customStyle="1" w:styleId="240">
    <w:name w:val="font21"/>
    <w:qFormat/>
    <w:uiPriority w:val="0"/>
    <w:rPr>
      <w:rFonts w:ascii="等线" w:hAnsi="等线" w:eastAsia="等线" w:cs="等线"/>
      <w:color w:val="FF0000"/>
      <w:sz w:val="20"/>
      <w:szCs w:val="20"/>
      <w:u w:val="none"/>
    </w:rPr>
  </w:style>
  <w:style w:type="character" w:customStyle="1" w:styleId="241">
    <w:name w:val="正文文本缩进 3 Char1"/>
    <w:qFormat/>
    <w:uiPriority w:val="0"/>
    <w:rPr>
      <w:rFonts w:ascii="Calibri" w:hAnsi="Calibri"/>
      <w:sz w:val="16"/>
      <w:szCs w:val="16"/>
    </w:rPr>
  </w:style>
  <w:style w:type="character" w:customStyle="1" w:styleId="242">
    <w:name w:val="font61"/>
    <w:qFormat/>
    <w:uiPriority w:val="0"/>
    <w:rPr>
      <w:rFonts w:hint="eastAsia" w:ascii="宋体" w:hAnsi="宋体" w:eastAsia="宋体" w:cs="宋体"/>
      <w:color w:val="000000"/>
      <w:sz w:val="21"/>
      <w:szCs w:val="21"/>
      <w:u w:val="none"/>
    </w:rPr>
  </w:style>
  <w:style w:type="character" w:customStyle="1" w:styleId="243">
    <w:name w:val="font31"/>
    <w:qFormat/>
    <w:uiPriority w:val="0"/>
    <w:rPr>
      <w:rFonts w:ascii="等线" w:hAnsi="等线" w:eastAsia="等线" w:cs="等线"/>
      <w:color w:val="000000"/>
      <w:sz w:val="20"/>
      <w:szCs w:val="20"/>
      <w:u w:val="none"/>
    </w:rPr>
  </w:style>
  <w:style w:type="character" w:customStyle="1" w:styleId="244">
    <w:name w:val="正文2 Char"/>
    <w:link w:val="245"/>
    <w:qFormat/>
    <w:uiPriority w:val="99"/>
    <w:rPr>
      <w:sz w:val="24"/>
      <w:szCs w:val="24"/>
      <w:lang w:val="en-US" w:eastAsia="zh-CN" w:bidi="ar-SA"/>
    </w:rPr>
  </w:style>
  <w:style w:type="paragraph" w:customStyle="1" w:styleId="245">
    <w:name w:val="正文2"/>
    <w:link w:val="244"/>
    <w:qFormat/>
    <w:uiPriority w:val="99"/>
    <w:rPr>
      <w:rFonts w:ascii="Times New Roman" w:hAnsi="Times New Roman" w:eastAsia="宋体" w:cs="Times New Roman"/>
      <w:sz w:val="24"/>
      <w:szCs w:val="24"/>
      <w:lang w:val="en-US" w:eastAsia="zh-CN" w:bidi="ar-SA"/>
    </w:rPr>
  </w:style>
  <w:style w:type="character" w:customStyle="1" w:styleId="246">
    <w:name w:val="纯文本 Char1"/>
    <w:qFormat/>
    <w:uiPriority w:val="0"/>
    <w:rPr>
      <w:rFonts w:ascii="宋体" w:hAnsi="Courier New" w:cs="Courier New"/>
      <w:sz w:val="21"/>
      <w:szCs w:val="21"/>
    </w:rPr>
  </w:style>
  <w:style w:type="character" w:customStyle="1" w:styleId="247">
    <w:name w:val="fontstyle01"/>
    <w:qFormat/>
    <w:uiPriority w:val="0"/>
    <w:rPr>
      <w:rFonts w:hint="eastAsia" w:ascii="宋体" w:hAnsi="宋体" w:eastAsia="宋体"/>
      <w:color w:val="000000"/>
      <w:sz w:val="24"/>
      <w:szCs w:val="24"/>
    </w:rPr>
  </w:style>
  <w:style w:type="character" w:customStyle="1" w:styleId="248">
    <w:name w:val="font81"/>
    <w:qFormat/>
    <w:uiPriority w:val="0"/>
    <w:rPr>
      <w:rFonts w:hint="eastAsia" w:ascii="宋体" w:hAnsi="宋体" w:eastAsia="宋体" w:cs="宋体"/>
      <w:color w:val="000000"/>
      <w:sz w:val="21"/>
      <w:szCs w:val="21"/>
      <w:u w:val="none"/>
    </w:rPr>
  </w:style>
  <w:style w:type="character" w:customStyle="1" w:styleId="249">
    <w:name w:val="font101"/>
    <w:qFormat/>
    <w:uiPriority w:val="0"/>
    <w:rPr>
      <w:rFonts w:ascii="Times New Roman" w:hAnsi="Times New Roman" w:cs="Times New Roman"/>
      <w:color w:val="000000"/>
      <w:sz w:val="21"/>
      <w:szCs w:val="21"/>
      <w:u w:val="single"/>
    </w:rPr>
  </w:style>
  <w:style w:type="character" w:customStyle="1" w:styleId="250">
    <w:name w:val="17"/>
    <w:qFormat/>
    <w:uiPriority w:val="0"/>
  </w:style>
  <w:style w:type="paragraph" w:customStyle="1" w:styleId="251">
    <w:name w:val="普通正文"/>
    <w:basedOn w:val="1"/>
    <w:qFormat/>
    <w:uiPriority w:val="0"/>
    <w:pPr>
      <w:spacing w:before="120" w:after="120" w:line="360" w:lineRule="auto"/>
      <w:ind w:firstLine="480"/>
      <w:jc w:val="left"/>
    </w:pPr>
    <w:rPr>
      <w:rFonts w:ascii="Arial" w:hAnsi="Arial"/>
      <w:sz w:val="24"/>
    </w:rPr>
  </w:style>
  <w:style w:type="paragraph" w:customStyle="1" w:styleId="252">
    <w:name w:val="文档标题"/>
    <w:basedOn w:val="1"/>
    <w:qFormat/>
    <w:uiPriority w:val="0"/>
    <w:pPr>
      <w:spacing w:line="300" w:lineRule="auto"/>
      <w:jc w:val="center"/>
    </w:pPr>
    <w:rPr>
      <w:rFonts w:ascii="Arial" w:hAnsi="Arial" w:eastAsia="黑体" w:cs="Arial"/>
      <w:b/>
      <w:sz w:val="48"/>
      <w:szCs w:val="32"/>
    </w:rPr>
  </w:style>
  <w:style w:type="paragraph" w:customStyle="1" w:styleId="253">
    <w:name w:val="Plain Text1"/>
    <w:basedOn w:val="1"/>
    <w:qFormat/>
    <w:uiPriority w:val="0"/>
    <w:rPr>
      <w:rFonts w:ascii="宋体" w:hAnsi="Courier New" w:eastAsia="楷体_GB2312"/>
      <w:sz w:val="26"/>
    </w:rPr>
  </w:style>
  <w:style w:type="paragraph" w:customStyle="1" w:styleId="254">
    <w:name w:val="列出段落1"/>
    <w:basedOn w:val="1"/>
    <w:qFormat/>
    <w:uiPriority w:val="34"/>
    <w:pPr>
      <w:ind w:firstLine="420"/>
    </w:pPr>
    <w:rPr>
      <w:szCs w:val="22"/>
    </w:rPr>
  </w:style>
  <w:style w:type="paragraph" w:customStyle="1" w:styleId="255">
    <w:name w:val="首行缩进"/>
    <w:basedOn w:val="1"/>
    <w:qFormat/>
    <w:uiPriority w:val="0"/>
    <w:pPr>
      <w:spacing w:line="360" w:lineRule="auto"/>
      <w:ind w:firstLine="480"/>
      <w:jc w:val="left"/>
    </w:pPr>
  </w:style>
  <w:style w:type="paragraph" w:customStyle="1" w:styleId="256">
    <w:name w:val="Andy_正文"/>
    <w:basedOn w:val="1"/>
    <w:qFormat/>
    <w:uiPriority w:val="0"/>
    <w:pPr>
      <w:spacing w:line="360" w:lineRule="auto"/>
      <w:ind w:firstLine="480"/>
    </w:pPr>
    <w:rPr>
      <w:sz w:val="24"/>
    </w:rPr>
  </w:style>
  <w:style w:type="paragraph" w:customStyle="1" w:styleId="257">
    <w:name w:val="第二级"/>
    <w:next w:val="1"/>
    <w:qFormat/>
    <w:uiPriority w:val="0"/>
    <w:pPr>
      <w:numPr>
        <w:ilvl w:val="1"/>
        <w:numId w:val="1"/>
      </w:numPr>
      <w:spacing w:line="360" w:lineRule="auto"/>
      <w:outlineLvl w:val="2"/>
    </w:pPr>
    <w:rPr>
      <w:rFonts w:ascii="Arial" w:hAnsi="Arial" w:eastAsia="黑体" w:cs="Times New Roman"/>
      <w:bCs/>
      <w:sz w:val="30"/>
      <w:szCs w:val="44"/>
      <w:lang w:val="en-US" w:eastAsia="zh-CN" w:bidi="ar-SA"/>
    </w:rPr>
  </w:style>
  <w:style w:type="character" w:customStyle="1" w:styleId="258">
    <w:name w:val="font51"/>
    <w:qFormat/>
    <w:uiPriority w:val="0"/>
    <w:rPr>
      <w:rFonts w:hint="eastAsia" w:ascii="宋体" w:hAnsi="宋体" w:eastAsia="宋体" w:cs="宋体"/>
      <w:color w:val="000000"/>
      <w:sz w:val="20"/>
      <w:szCs w:val="20"/>
      <w:u w:val="none"/>
    </w:rPr>
  </w:style>
  <w:style w:type="character" w:customStyle="1" w:styleId="259">
    <w:name w:val="font01"/>
    <w:qFormat/>
    <w:uiPriority w:val="0"/>
    <w:rPr>
      <w:rFonts w:hint="eastAsia" w:ascii="宋体" w:hAnsi="宋体" w:eastAsia="宋体" w:cs="宋体"/>
      <w:color w:val="000000"/>
      <w:sz w:val="20"/>
      <w:szCs w:val="20"/>
      <w:u w:val="none"/>
    </w:rPr>
  </w:style>
  <w:style w:type="character" w:customStyle="1" w:styleId="260">
    <w:name w:val="font41"/>
    <w:qFormat/>
    <w:uiPriority w:val="0"/>
    <w:rPr>
      <w:rFonts w:hint="eastAsia" w:ascii="宋体" w:hAnsi="宋体" w:eastAsia="宋体" w:cs="宋体"/>
      <w:color w:val="000000"/>
      <w:sz w:val="20"/>
      <w:szCs w:val="20"/>
      <w:u w:val="none"/>
    </w:rPr>
  </w:style>
  <w:style w:type="character" w:customStyle="1" w:styleId="261">
    <w:name w:val="NormalCharacter1"/>
    <w:qFormat/>
    <w:uiPriority w:val="0"/>
    <w:rPr>
      <w:sz w:val="21"/>
      <w:szCs w:val="24"/>
      <w:lang w:val="en-US" w:eastAsia="zh-CN" w:bidi="ar-SA"/>
    </w:rPr>
  </w:style>
  <w:style w:type="character" w:customStyle="1" w:styleId="262">
    <w:name w:val="apple-converted-space"/>
    <w:qFormat/>
    <w:uiPriority w:val="0"/>
  </w:style>
  <w:style w:type="paragraph" w:customStyle="1" w:styleId="263">
    <w:name w:val="列出段落2"/>
    <w:basedOn w:val="1"/>
    <w:qFormat/>
    <w:uiPriority w:val="0"/>
    <w:pPr>
      <w:ind w:firstLine="420"/>
    </w:pPr>
    <w:rPr>
      <w:szCs w:val="22"/>
    </w:rPr>
  </w:style>
  <w:style w:type="paragraph" w:customStyle="1" w:styleId="264">
    <w:name w:val="_Style 2"/>
    <w:basedOn w:val="2"/>
    <w:next w:val="1"/>
    <w:qFormat/>
    <w:uiPriority w:val="0"/>
    <w:pPr>
      <w:outlineLvl w:val="9"/>
    </w:pPr>
    <w:rPr>
      <w:rFonts w:ascii="Times New Roman" w:eastAsia="宋体"/>
    </w:rPr>
  </w:style>
  <w:style w:type="paragraph" w:customStyle="1" w:styleId="265">
    <w:name w:val="无间隔1"/>
    <w:qFormat/>
    <w:uiPriority w:val="1"/>
    <w:pPr>
      <w:widowControl w:val="0"/>
      <w:spacing w:line="360" w:lineRule="auto"/>
      <w:jc w:val="both"/>
    </w:pPr>
    <w:rPr>
      <w:rFonts w:ascii="Calibri" w:hAnsi="Calibri" w:eastAsia="宋体" w:cs="Times New Roman"/>
      <w:sz w:val="24"/>
      <w:szCs w:val="22"/>
      <w:lang w:val="en-US" w:eastAsia="zh-CN" w:bidi="ar-SA"/>
    </w:rPr>
  </w:style>
  <w:style w:type="paragraph" w:customStyle="1" w:styleId="266">
    <w:name w:val="Table Paragraph"/>
    <w:basedOn w:val="1"/>
    <w:qFormat/>
    <w:uiPriority w:val="1"/>
    <w:rPr>
      <w:rFonts w:ascii="宋体" w:hAnsi="宋体" w:cs="宋体"/>
      <w:lang w:val="zh-CN" w:bidi="zh-CN"/>
    </w:rPr>
  </w:style>
  <w:style w:type="paragraph" w:customStyle="1" w:styleId="267">
    <w:name w:val="UserStyle_20"/>
    <w:qFormat/>
    <w:uiPriority w:val="0"/>
    <w:pPr>
      <w:spacing w:before="120" w:after="120" w:line="180" w:lineRule="auto"/>
      <w:ind w:firstLine="200"/>
    </w:pPr>
    <w:rPr>
      <w:rFonts w:ascii="Times New Roman" w:hAnsi="Times New Roman" w:eastAsia="宋体" w:cs="Times New Roman"/>
      <w:sz w:val="21"/>
      <w:szCs w:val="21"/>
      <w:lang w:val="en-US" w:eastAsia="zh-CN" w:bidi="ar-SA"/>
    </w:rPr>
  </w:style>
  <w:style w:type="paragraph" w:customStyle="1" w:styleId="268">
    <w:name w:val="*正文"/>
    <w:basedOn w:val="1"/>
    <w:qFormat/>
    <w:uiPriority w:val="0"/>
    <w:pPr>
      <w:widowControl/>
      <w:spacing w:line="300" w:lineRule="auto"/>
      <w:ind w:firstLine="480"/>
      <w:jc w:val="left"/>
    </w:pPr>
    <w:rPr>
      <w:rFonts w:ascii="宋体" w:hAnsi="宋体"/>
      <w:sz w:val="20"/>
    </w:rPr>
  </w:style>
  <w:style w:type="paragraph" w:customStyle="1" w:styleId="269">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270">
    <w:name w:val="p0"/>
    <w:basedOn w:val="1"/>
    <w:qFormat/>
    <w:uiPriority w:val="0"/>
    <w:pPr>
      <w:widowControl/>
      <w:spacing w:before="100" w:beforeAutospacing="1" w:after="100" w:afterAutospacing="1"/>
      <w:jc w:val="left"/>
    </w:pPr>
    <w:rPr>
      <w:rFonts w:ascii="宋体" w:hAnsi="宋体" w:cs="宋体"/>
      <w:sz w:val="24"/>
    </w:rPr>
  </w:style>
  <w:style w:type="paragraph" w:customStyle="1" w:styleId="271">
    <w:name w:val="4"/>
    <w:basedOn w:val="1"/>
    <w:next w:val="37"/>
    <w:qFormat/>
    <w:uiPriority w:val="0"/>
    <w:pPr>
      <w:spacing w:line="360" w:lineRule="auto"/>
      <w:ind w:firstLine="420"/>
    </w:pPr>
    <w:rPr>
      <w:color w:val="FF0000"/>
      <w:sz w:val="24"/>
    </w:rPr>
  </w:style>
  <w:style w:type="character" w:customStyle="1" w:styleId="272">
    <w:name w:val="15"/>
    <w:qFormat/>
    <w:uiPriority w:val="0"/>
    <w:rPr>
      <w:rFonts w:hint="eastAsia" w:ascii="宋体" w:hAnsi="宋体" w:eastAsia="宋体" w:cs="Times New Roman"/>
      <w:b/>
      <w:bCs/>
      <w:color w:val="000000"/>
      <w:sz w:val="24"/>
      <w:szCs w:val="24"/>
    </w:rPr>
  </w:style>
  <w:style w:type="character" w:customStyle="1" w:styleId="273">
    <w:name w:val="纯文本 Char"/>
    <w:qFormat/>
    <w:uiPriority w:val="0"/>
    <w:rPr>
      <w:rFonts w:ascii="宋体" w:hAnsi="Courier New" w:eastAsia="等线" w:cs="Courier New"/>
    </w:rPr>
  </w:style>
  <w:style w:type="character" w:customStyle="1" w:styleId="274">
    <w:name w:val="NormalCharacter11"/>
    <w:qFormat/>
    <w:uiPriority w:val="99"/>
    <w:rPr>
      <w:rFonts w:ascii="Calibri" w:hAnsi="Calibri" w:eastAsia="宋体"/>
    </w:rPr>
  </w:style>
  <w:style w:type="character" w:customStyle="1" w:styleId="275">
    <w:name w:val="font11"/>
    <w:qFormat/>
    <w:uiPriority w:val="0"/>
    <w:rPr>
      <w:rFonts w:ascii="Times New Roman" w:hAnsi="Times New Roman" w:eastAsia="宋体" w:cs="Times New Roman"/>
      <w:sz w:val="21"/>
      <w:szCs w:val="21"/>
      <w:lang w:val="en-US" w:eastAsia="zh-CN" w:bidi="ar-SA"/>
    </w:rPr>
  </w:style>
  <w:style w:type="paragraph" w:customStyle="1" w:styleId="276">
    <w:name w:val="UserStyle_53"/>
    <w:basedOn w:val="18"/>
    <w:next w:val="47"/>
    <w:qFormat/>
    <w:uiPriority w:val="0"/>
    <w:pPr>
      <w:spacing w:after="120"/>
      <w:ind w:left="420" w:firstLine="420"/>
    </w:pPr>
    <w:rPr>
      <w:rFonts w:ascii="Cambria" w:hAnsi="Cambria" w:eastAsia="华文细黑"/>
      <w:sz w:val="21"/>
      <w:lang w:eastAsia="en-US"/>
    </w:rPr>
  </w:style>
  <w:style w:type="character" w:customStyle="1" w:styleId="277">
    <w:name w:val="custom-tag-placeholder-class"/>
    <w:qFormat/>
    <w:uiPriority w:val="0"/>
  </w:style>
  <w:style w:type="character" w:customStyle="1" w:styleId="278">
    <w:name w:val="普通(网站) Char"/>
    <w:link w:val="44"/>
    <w:qFormat/>
    <w:uiPriority w:val="99"/>
    <w:rPr>
      <w:rFonts w:ascii="宋体" w:hAnsi="宋体" w:cs="宋体"/>
      <w:sz w:val="24"/>
      <w:szCs w:val="24"/>
    </w:rPr>
  </w:style>
  <w:style w:type="character" w:customStyle="1" w:styleId="279">
    <w:name w:val="HTML 预设格式 Char"/>
    <w:basedOn w:val="50"/>
    <w:link w:val="43"/>
    <w:qFormat/>
    <w:uiPriority w:val="0"/>
    <w:rPr>
      <w:rFonts w:ascii="Arial" w:hAnsi="Arial" w:cs="Arial"/>
      <w:sz w:val="24"/>
      <w:szCs w:val="24"/>
    </w:rPr>
  </w:style>
  <w:style w:type="paragraph" w:customStyle="1" w:styleId="280">
    <w:name w:val="纯文本1"/>
    <w:basedOn w:val="1"/>
    <w:qFormat/>
    <w:uiPriority w:val="0"/>
    <w:rPr>
      <w:rFonts w:ascii="宋体" w:hAnsi="Courier New" w:eastAsia="楷体_GB2312"/>
      <w:sz w:val="28"/>
      <w:szCs w:val="20"/>
    </w:rPr>
  </w:style>
  <w:style w:type="character" w:customStyle="1" w:styleId="281">
    <w:name w:val="NormalCharacter"/>
    <w:qFormat/>
    <w:uiPriority w:val="99"/>
    <w:rPr>
      <w:rFonts w:ascii="Calibri" w:hAnsi="Calibri" w:eastAsia="宋体"/>
    </w:rPr>
  </w:style>
  <w:style w:type="paragraph" w:customStyle="1" w:styleId="282">
    <w:name w:val="PlainText"/>
    <w:basedOn w:val="1"/>
    <w:qFormat/>
    <w:uiPriority w:val="0"/>
    <w:rPr>
      <w:rFonts w:ascii="宋体" w:hAnsi="Courier New"/>
      <w:szCs w:val="21"/>
    </w:rPr>
  </w:style>
  <w:style w:type="table" w:customStyle="1" w:styleId="283">
    <w:name w:val="网格型1"/>
    <w:basedOn w:val="48"/>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84">
    <w:name w:val="Body text|2_"/>
    <w:basedOn w:val="50"/>
    <w:link w:val="285"/>
    <w:qFormat/>
    <w:uiPriority w:val="0"/>
    <w:rPr>
      <w:rFonts w:ascii="宋体" w:hAnsi="宋体" w:cs="宋体"/>
      <w:sz w:val="32"/>
      <w:szCs w:val="32"/>
      <w:lang w:val="zh-TW" w:eastAsia="zh-TW" w:bidi="zh-TW"/>
    </w:rPr>
  </w:style>
  <w:style w:type="paragraph" w:customStyle="1" w:styleId="285">
    <w:name w:val="Body text|2"/>
    <w:basedOn w:val="1"/>
    <w:link w:val="284"/>
    <w:qFormat/>
    <w:uiPriority w:val="0"/>
    <w:pPr>
      <w:spacing w:after="300"/>
      <w:jc w:val="left"/>
    </w:pPr>
    <w:rPr>
      <w:rFonts w:ascii="宋体" w:hAnsi="宋体" w:cs="宋体"/>
      <w:sz w:val="32"/>
      <w:szCs w:val="32"/>
      <w:lang w:val="zh-TW" w:eastAsia="zh-TW" w:bidi="zh-TW"/>
    </w:rPr>
  </w:style>
  <w:style w:type="character" w:customStyle="1" w:styleId="286">
    <w:name w:val="Header or footer|2_"/>
    <w:basedOn w:val="50"/>
    <w:link w:val="287"/>
    <w:qFormat/>
    <w:uiPriority w:val="0"/>
    <w:rPr>
      <w:lang w:val="zh-TW" w:eastAsia="zh-TW" w:bidi="zh-TW"/>
    </w:rPr>
  </w:style>
  <w:style w:type="paragraph" w:customStyle="1" w:styleId="287">
    <w:name w:val="Header or footer|2"/>
    <w:basedOn w:val="1"/>
    <w:link w:val="286"/>
    <w:qFormat/>
    <w:uiPriority w:val="0"/>
    <w:pPr>
      <w:jc w:val="left"/>
    </w:pPr>
    <w:rPr>
      <w:rFonts w:ascii="Times New Roman" w:hAnsi="Times New Roman"/>
      <w:sz w:val="20"/>
      <w:szCs w:val="20"/>
      <w:lang w:val="zh-TW" w:eastAsia="zh-TW" w:bidi="zh-TW"/>
    </w:rPr>
  </w:style>
  <w:style w:type="character" w:customStyle="1" w:styleId="288">
    <w:name w:val="Heading #1|1_"/>
    <w:basedOn w:val="50"/>
    <w:link w:val="289"/>
    <w:qFormat/>
    <w:uiPriority w:val="0"/>
    <w:rPr>
      <w:rFonts w:ascii="宋体" w:hAnsi="宋体" w:cs="宋体"/>
      <w:sz w:val="44"/>
      <w:szCs w:val="44"/>
      <w:lang w:val="zh-TW" w:eastAsia="zh-TW" w:bidi="zh-TW"/>
    </w:rPr>
  </w:style>
  <w:style w:type="paragraph" w:customStyle="1" w:styleId="289">
    <w:name w:val="Heading #1|1"/>
    <w:basedOn w:val="1"/>
    <w:link w:val="288"/>
    <w:qFormat/>
    <w:uiPriority w:val="0"/>
    <w:pPr>
      <w:spacing w:after="430"/>
      <w:ind w:firstLine="90"/>
      <w:jc w:val="left"/>
      <w:outlineLvl w:val="0"/>
    </w:pPr>
    <w:rPr>
      <w:rFonts w:ascii="宋体" w:hAnsi="宋体" w:cs="宋体"/>
      <w:sz w:val="44"/>
      <w:szCs w:val="44"/>
      <w:lang w:val="zh-TW" w:eastAsia="zh-TW" w:bidi="zh-TW"/>
    </w:rPr>
  </w:style>
  <w:style w:type="character" w:customStyle="1" w:styleId="290">
    <w:name w:val="Body text|1_"/>
    <w:basedOn w:val="50"/>
    <w:link w:val="291"/>
    <w:qFormat/>
    <w:uiPriority w:val="0"/>
    <w:rPr>
      <w:rFonts w:ascii="宋体" w:hAnsi="宋体" w:cs="宋体"/>
      <w:sz w:val="26"/>
      <w:szCs w:val="26"/>
      <w:lang w:val="zh-TW" w:eastAsia="zh-TW" w:bidi="zh-TW"/>
    </w:rPr>
  </w:style>
  <w:style w:type="paragraph" w:customStyle="1" w:styleId="291">
    <w:name w:val="Body text|1"/>
    <w:basedOn w:val="1"/>
    <w:link w:val="290"/>
    <w:qFormat/>
    <w:uiPriority w:val="0"/>
    <w:pPr>
      <w:spacing w:line="439" w:lineRule="auto"/>
      <w:ind w:firstLine="400"/>
      <w:jc w:val="left"/>
    </w:pPr>
    <w:rPr>
      <w:rFonts w:ascii="宋体" w:hAnsi="宋体" w:cs="宋体"/>
      <w:sz w:val="26"/>
      <w:szCs w:val="26"/>
      <w:lang w:val="zh-TW" w:eastAsia="zh-TW" w:bidi="zh-TW"/>
    </w:rPr>
  </w:style>
  <w:style w:type="character" w:customStyle="1" w:styleId="292">
    <w:name w:val="Picture caption|1_"/>
    <w:basedOn w:val="50"/>
    <w:link w:val="293"/>
    <w:qFormat/>
    <w:uiPriority w:val="0"/>
    <w:rPr>
      <w:rFonts w:ascii="宋体" w:hAnsi="宋体" w:cs="宋体"/>
      <w:sz w:val="14"/>
      <w:szCs w:val="14"/>
      <w:lang w:val="zh-TW" w:eastAsia="zh-TW" w:bidi="zh-TW"/>
    </w:rPr>
  </w:style>
  <w:style w:type="paragraph" w:customStyle="1" w:styleId="293">
    <w:name w:val="Picture caption|1"/>
    <w:basedOn w:val="1"/>
    <w:link w:val="292"/>
    <w:qFormat/>
    <w:uiPriority w:val="0"/>
    <w:pPr>
      <w:jc w:val="left"/>
    </w:pPr>
    <w:rPr>
      <w:rFonts w:ascii="宋体" w:hAnsi="宋体" w:cs="宋体"/>
      <w:sz w:val="14"/>
      <w:szCs w:val="14"/>
      <w:lang w:val="zh-TW" w:eastAsia="zh-TW" w:bidi="zh-TW"/>
    </w:rPr>
  </w:style>
  <w:style w:type="character" w:customStyle="1" w:styleId="294">
    <w:name w:val="Body text|3_"/>
    <w:basedOn w:val="50"/>
    <w:link w:val="295"/>
    <w:qFormat/>
    <w:uiPriority w:val="0"/>
    <w:rPr>
      <w:rFonts w:ascii="宋体" w:hAnsi="宋体" w:cs="宋体"/>
      <w:sz w:val="14"/>
      <w:szCs w:val="14"/>
      <w:lang w:val="zh-TW" w:eastAsia="zh-TW" w:bidi="zh-TW"/>
    </w:rPr>
  </w:style>
  <w:style w:type="paragraph" w:customStyle="1" w:styleId="295">
    <w:name w:val="Body text|3"/>
    <w:basedOn w:val="1"/>
    <w:link w:val="294"/>
    <w:qFormat/>
    <w:uiPriority w:val="0"/>
    <w:pPr>
      <w:spacing w:line="281" w:lineRule="auto"/>
      <w:jc w:val="left"/>
    </w:pPr>
    <w:rPr>
      <w:rFonts w:ascii="宋体" w:hAnsi="宋体" w:cs="宋体"/>
      <w:sz w:val="14"/>
      <w:szCs w:val="14"/>
      <w:lang w:val="zh-TW" w:eastAsia="zh-TW" w:bidi="zh-TW"/>
    </w:rPr>
  </w:style>
  <w:style w:type="character" w:customStyle="1" w:styleId="296">
    <w:name w:val="Body text|4_"/>
    <w:basedOn w:val="50"/>
    <w:link w:val="297"/>
    <w:qFormat/>
    <w:uiPriority w:val="0"/>
    <w:rPr>
      <w:rFonts w:ascii="宋体" w:hAnsi="宋体" w:cs="宋体"/>
      <w:sz w:val="16"/>
      <w:szCs w:val="16"/>
      <w:lang w:val="zh-TW" w:eastAsia="zh-TW" w:bidi="zh-TW"/>
    </w:rPr>
  </w:style>
  <w:style w:type="paragraph" w:customStyle="1" w:styleId="297">
    <w:name w:val="Body text|4"/>
    <w:basedOn w:val="1"/>
    <w:link w:val="296"/>
    <w:qFormat/>
    <w:uiPriority w:val="0"/>
    <w:pPr>
      <w:jc w:val="left"/>
    </w:pPr>
    <w:rPr>
      <w:rFonts w:ascii="宋体" w:hAnsi="宋体" w:cs="宋体"/>
      <w:sz w:val="16"/>
      <w:szCs w:val="16"/>
      <w:lang w:val="zh-TW" w:eastAsia="zh-TW" w:bidi="zh-TW"/>
    </w:rPr>
  </w:style>
  <w:style w:type="character" w:customStyle="1" w:styleId="298">
    <w:name w:val="Heading #2|1_"/>
    <w:basedOn w:val="50"/>
    <w:link w:val="299"/>
    <w:qFormat/>
    <w:uiPriority w:val="0"/>
    <w:rPr>
      <w:rFonts w:ascii="宋体" w:hAnsi="宋体" w:cs="宋体"/>
      <w:sz w:val="32"/>
      <w:szCs w:val="32"/>
      <w:lang w:val="zh-TW" w:eastAsia="zh-TW" w:bidi="zh-TW"/>
    </w:rPr>
  </w:style>
  <w:style w:type="paragraph" w:customStyle="1" w:styleId="299">
    <w:name w:val="Heading #2|1"/>
    <w:basedOn w:val="1"/>
    <w:link w:val="298"/>
    <w:qFormat/>
    <w:uiPriority w:val="0"/>
    <w:pPr>
      <w:spacing w:after="280"/>
      <w:ind w:firstLine="490"/>
      <w:jc w:val="left"/>
      <w:outlineLvl w:val="1"/>
    </w:pPr>
    <w:rPr>
      <w:rFonts w:ascii="宋体" w:hAnsi="宋体" w:cs="宋体"/>
      <w:sz w:val="32"/>
      <w:szCs w:val="32"/>
      <w:lang w:val="zh-TW" w:eastAsia="zh-TW" w:bidi="zh-TW"/>
    </w:rPr>
  </w:style>
  <w:style w:type="character" w:customStyle="1" w:styleId="300">
    <w:name w:val="Header or footer|1_"/>
    <w:basedOn w:val="50"/>
    <w:link w:val="301"/>
    <w:qFormat/>
    <w:uiPriority w:val="0"/>
    <w:rPr>
      <w:rFonts w:ascii="宋体" w:hAnsi="宋体" w:cs="宋体"/>
      <w:sz w:val="18"/>
      <w:szCs w:val="18"/>
      <w:lang w:val="zh-TW" w:eastAsia="zh-TW" w:bidi="zh-TW"/>
    </w:rPr>
  </w:style>
  <w:style w:type="paragraph" w:customStyle="1" w:styleId="301">
    <w:name w:val="Header or footer|1"/>
    <w:basedOn w:val="1"/>
    <w:link w:val="300"/>
    <w:qFormat/>
    <w:uiPriority w:val="0"/>
    <w:pPr>
      <w:jc w:val="left"/>
    </w:pPr>
    <w:rPr>
      <w:rFonts w:ascii="宋体" w:hAnsi="宋体" w:cs="宋体"/>
      <w:sz w:val="18"/>
      <w:szCs w:val="18"/>
      <w:lang w:val="zh-TW" w:eastAsia="zh-TW" w:bidi="zh-TW"/>
    </w:rPr>
  </w:style>
  <w:style w:type="character" w:customStyle="1" w:styleId="302">
    <w:name w:val="Table caption|1_"/>
    <w:basedOn w:val="50"/>
    <w:link w:val="303"/>
    <w:qFormat/>
    <w:uiPriority w:val="0"/>
    <w:rPr>
      <w:rFonts w:ascii="宋体" w:hAnsi="宋体" w:cs="宋体"/>
      <w:sz w:val="28"/>
      <w:szCs w:val="28"/>
      <w:lang w:val="zh-TW" w:eastAsia="zh-TW" w:bidi="zh-TW"/>
    </w:rPr>
  </w:style>
  <w:style w:type="paragraph" w:customStyle="1" w:styleId="303">
    <w:name w:val="Table caption|1"/>
    <w:basedOn w:val="1"/>
    <w:link w:val="302"/>
    <w:qFormat/>
    <w:uiPriority w:val="0"/>
    <w:pPr>
      <w:jc w:val="left"/>
    </w:pPr>
    <w:rPr>
      <w:rFonts w:ascii="宋体" w:hAnsi="宋体" w:cs="宋体"/>
      <w:sz w:val="28"/>
      <w:szCs w:val="28"/>
      <w:lang w:val="zh-TW" w:eastAsia="zh-TW" w:bidi="zh-TW"/>
    </w:rPr>
  </w:style>
  <w:style w:type="character" w:customStyle="1" w:styleId="304">
    <w:name w:val="Other|1_"/>
    <w:basedOn w:val="50"/>
    <w:link w:val="305"/>
    <w:qFormat/>
    <w:uiPriority w:val="0"/>
    <w:rPr>
      <w:rFonts w:ascii="宋体" w:hAnsi="宋体" w:cs="宋体"/>
      <w:sz w:val="26"/>
      <w:szCs w:val="26"/>
      <w:lang w:val="zh-TW" w:eastAsia="zh-TW" w:bidi="zh-TW"/>
    </w:rPr>
  </w:style>
  <w:style w:type="paragraph" w:customStyle="1" w:styleId="305">
    <w:name w:val="Other|1"/>
    <w:basedOn w:val="1"/>
    <w:link w:val="304"/>
    <w:qFormat/>
    <w:uiPriority w:val="0"/>
    <w:pPr>
      <w:spacing w:line="439" w:lineRule="auto"/>
      <w:ind w:firstLine="400"/>
      <w:jc w:val="left"/>
    </w:pPr>
    <w:rPr>
      <w:rFonts w:ascii="宋体" w:hAnsi="宋体" w:cs="宋体"/>
      <w:sz w:val="26"/>
      <w:szCs w:val="26"/>
      <w:lang w:val="zh-TW" w:eastAsia="zh-TW" w:bidi="zh-TW"/>
    </w:rPr>
  </w:style>
  <w:style w:type="character" w:customStyle="1" w:styleId="306">
    <w:name w:val="表格标题_"/>
    <w:basedOn w:val="50"/>
    <w:link w:val="307"/>
    <w:qFormat/>
    <w:uiPriority w:val="0"/>
    <w:rPr>
      <w:rFonts w:ascii="MingLiU" w:hAnsi="MingLiU" w:eastAsia="MingLiU" w:cs="MingLiU"/>
      <w:b/>
      <w:bCs/>
      <w:shd w:val="clear" w:color="auto" w:fill="FFFFFF"/>
      <w:lang w:val="zh-CN" w:bidi="zh-CN"/>
    </w:rPr>
  </w:style>
  <w:style w:type="paragraph" w:customStyle="1" w:styleId="307">
    <w:name w:val="表格标题"/>
    <w:basedOn w:val="1"/>
    <w:link w:val="306"/>
    <w:qFormat/>
    <w:uiPriority w:val="0"/>
    <w:pPr>
      <w:shd w:val="clear" w:color="auto" w:fill="FFFFFF"/>
      <w:jc w:val="left"/>
    </w:pPr>
    <w:rPr>
      <w:rFonts w:ascii="MingLiU" w:hAnsi="MingLiU" w:eastAsia="MingLiU" w:cs="MingLiU"/>
      <w:b/>
      <w:bCs/>
      <w:sz w:val="20"/>
      <w:szCs w:val="20"/>
      <w:lang w:val="zh-CN" w:bidi="zh-CN"/>
    </w:rPr>
  </w:style>
  <w:style w:type="character" w:customStyle="1" w:styleId="308">
    <w:name w:val="正文文本 字符"/>
    <w:basedOn w:val="50"/>
    <w:qFormat/>
    <w:uiPriority w:val="99"/>
    <w:rPr>
      <w:rFonts w:eastAsia="Times New Roman"/>
      <w:color w:val="000000"/>
      <w:sz w:val="24"/>
      <w:szCs w:val="24"/>
      <w:lang w:eastAsia="en-US" w:bidi="en-US"/>
    </w:rPr>
  </w:style>
  <w:style w:type="character" w:customStyle="1" w:styleId="309">
    <w:name w:val="正文文本 字符1"/>
    <w:qFormat/>
    <w:uiPriority w:val="99"/>
    <w:rPr>
      <w:rFonts w:ascii="楷体_GB2312" w:eastAsia="楷体_GB2312"/>
      <w:sz w:val="32"/>
    </w:rPr>
  </w:style>
  <w:style w:type="paragraph" w:customStyle="1" w:styleId="31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311">
    <w:name w:val="批注文字 Char"/>
    <w:basedOn w:val="50"/>
    <w:link w:val="15"/>
    <w:qFormat/>
    <w:uiPriority w:val="99"/>
    <w:rPr>
      <w:rFonts w:ascii="Calibri" w:hAnsi="Calibri"/>
      <w:sz w:val="21"/>
      <w:szCs w:val="24"/>
    </w:rPr>
  </w:style>
  <w:style w:type="table" w:customStyle="1" w:styleId="312">
    <w:name w:val="网格型2"/>
    <w:basedOn w:val="48"/>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13">
    <w:name w:val="align-middle"/>
    <w:basedOn w:val="50"/>
    <w:qFormat/>
    <w:uiPriority w:val="0"/>
  </w:style>
  <w:style w:type="table" w:customStyle="1" w:styleId="314">
    <w:name w:val="网格型3"/>
    <w:basedOn w:val="48"/>
    <w:qFormat/>
    <w:uiPriority w:val="99"/>
    <w:tblPr>
      <w:tblCellMar>
        <w:top w:w="0" w:type="dxa"/>
        <w:left w:w="108" w:type="dxa"/>
        <w:bottom w:w="0" w:type="dxa"/>
        <w:right w:w="108" w:type="dxa"/>
      </w:tblCellMar>
    </w:tblPr>
  </w:style>
  <w:style w:type="character" w:customStyle="1" w:styleId="315">
    <w:name w:val="news12241"/>
    <w:basedOn w:val="50"/>
    <w:qFormat/>
    <w:uiPriority w:val="0"/>
    <w:rPr>
      <w:color w:val="000000"/>
      <w:sz w:val="18"/>
      <w:szCs w:val="18"/>
      <w:u w:val="none"/>
    </w:rPr>
  </w:style>
  <w:style w:type="character" w:customStyle="1" w:styleId="316">
    <w:name w:val="active16"/>
    <w:basedOn w:val="50"/>
    <w:qFormat/>
    <w:uiPriority w:val="0"/>
    <w:rPr>
      <w:color w:val="FFFFFF"/>
      <w:shd w:val="clear" w:color="auto" w:fill="0F5BB9"/>
    </w:rPr>
  </w:style>
  <w:style w:type="paragraph" w:customStyle="1" w:styleId="317">
    <w:name w:val="列出段落3"/>
    <w:qFormat/>
    <w:uiPriority w:val="0"/>
    <w:pPr>
      <w:widowControl w:val="0"/>
      <w:ind w:firstLine="420"/>
      <w:jc w:val="both"/>
    </w:pPr>
    <w:rPr>
      <w:rFonts w:ascii="Calibri" w:hAnsi="Calibri" w:eastAsia="宋体" w:cs="Times New Roman"/>
      <w:sz w:val="21"/>
      <w:szCs w:val="21"/>
      <w:lang w:val="en-US" w:eastAsia="zh-CN" w:bidi="ar-SA"/>
    </w:rPr>
  </w:style>
  <w:style w:type="paragraph" w:customStyle="1" w:styleId="318">
    <w:name w:val="表格文字"/>
    <w:next w:val="16"/>
    <w:qFormat/>
    <w:uiPriority w:val="0"/>
    <w:pPr>
      <w:widowControl w:val="0"/>
      <w:adjustRightInd w:val="0"/>
      <w:spacing w:line="288" w:lineRule="auto"/>
      <w:jc w:val="left"/>
      <w:textAlignment w:val="baseline"/>
    </w:pPr>
    <w:rPr>
      <w:rFonts w:ascii="Times New Roman" w:hAnsi="Times New Roman" w:eastAsia="宋体" w:cs="Times New Roman"/>
      <w:kern w:val="0"/>
      <w:sz w:val="21"/>
      <w:szCs w:val="20"/>
      <w:lang w:val="en-US" w:eastAsia="zh-CN" w:bidi="ar-SA"/>
    </w:rPr>
  </w:style>
  <w:style w:type="paragraph" w:customStyle="1" w:styleId="319">
    <w:name w:val="Normal_6"/>
    <w:qFormat/>
    <w:uiPriority w:val="0"/>
    <w:rPr>
      <w:rFonts w:ascii="Times New Roman" w:hAnsi="Times New Roman" w:eastAsia="Times New Roman" w:cs="Times New Roman"/>
      <w:sz w:val="24"/>
      <w:szCs w:val="24"/>
      <w:lang w:val="en-US" w:eastAsia="zh-CN" w:bidi="ar-SA"/>
    </w:rPr>
  </w:style>
  <w:style w:type="character" w:customStyle="1" w:styleId="320">
    <w:name w:val="titlebody"/>
    <w:qFormat/>
    <w:uiPriority w:val="0"/>
    <w:rPr>
      <w:rFonts w:ascii="宋体" w:hAnsi="宋体" w:eastAsia="宋体" w:cs="宋体"/>
      <w:b/>
      <w:bCs/>
      <w:color w:val="000000"/>
      <w:sz w:val="24"/>
      <w:szCs w:val="24"/>
    </w:rPr>
  </w:style>
  <w:style w:type="paragraph" w:customStyle="1" w:styleId="321">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48</Pages>
  <Words>22124</Words>
  <Characters>23322</Characters>
  <Lines>238</Lines>
  <Paragraphs>67</Paragraphs>
  <TotalTime>18</TotalTime>
  <ScaleCrop>false</ScaleCrop>
  <LinksUpToDate>false</LinksUpToDate>
  <CharactersWithSpaces>23752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2026-01-19T02:25:00Z</dcterms:created>
  <dc:creator>lenovo</dc:creator>
  <cp:lastModifiedBy>华东师范大学盐城实验学校(填报)</cp:lastModifiedBy>
  <cp:lastPrinted>2026-04-22T00:57:00Z</cp:lastPrinted>
  <dcterms:modified xsi:type="dcterms:W3CDTF">2026-06-23T03:02:48Z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2052-12.1.0.26895</vt:lpwstr>
  </property>
  <property fmtid="{D5CDD505-2E9C-101B-9397-08002B2CF9AE}" pid="4" name="ICV">
    <vt:lpwstr>93920B89C3144A7F8D60AF0F2FCBB3D1_13</vt:lpwstr>
  </property>
</Properties>
</file>