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hint="eastAsia" w:ascii="Times New Roman" w:hAnsi="Times New Roman" w:eastAsia="黑体"/>
          <w:b/>
          <w:bCs/>
          <w:color w:val="auto"/>
          <w:sz w:val="84"/>
          <w:szCs w:val="24"/>
          <w:highlight w:val="none"/>
          <w:lang w:eastAsia="zh-CN"/>
        </w:rPr>
      </w:pPr>
      <w:r>
        <w:rPr>
          <w:rFonts w:hint="eastAsia" w:ascii="Times New Roman" w:hAnsi="Times New Roman" w:eastAsia="黑体"/>
          <w:b/>
          <w:bCs/>
          <w:color w:val="auto"/>
          <w:sz w:val="84"/>
          <w:szCs w:val="24"/>
          <w:highlight w:val="none"/>
          <w:lang w:eastAsia="zh-CN"/>
        </w:rPr>
      </w:r>
      <w:r/>
    </w:p>
    <w:p>
      <w:pPr>
        <w:jc w:val="center"/>
        <w:spacing w:before="120" w:after="120" w:line="360" w:lineRule="auto"/>
        <w:rPr>
          <w:rFonts w:ascii="Times New Roman" w:hAnsi="Times New Roman" w:eastAsia="黑体"/>
          <w:b/>
          <w:bCs/>
          <w:color w:val="auto"/>
          <w:sz w:val="84"/>
          <w:szCs w:val="24"/>
          <w:highlight w:val="none"/>
        </w:rPr>
      </w:pPr>
      <w:r>
        <w:rPr>
          <w:rFonts w:hint="eastAsia" w:ascii="Times New Roman" w:hAnsi="Times New Roman" w:eastAsia="黑体"/>
          <w:b/>
          <w:bCs/>
          <w:color w:val="auto"/>
          <w:sz w:val="84"/>
          <w:szCs w:val="24"/>
          <w:highlight w:val="none"/>
        </w:rPr>
        <w:t xml:space="preserve">竞争性磋商文件</w:t>
      </w:r>
      <w:r/>
    </w:p>
    <w:p>
      <w:pPr>
        <w:pStyle w:val="914"/>
        <w:rPr>
          <w:color w:val="auto"/>
          <w:highlight w:val="none"/>
        </w:rPr>
      </w:pPr>
      <w:r>
        <w:rPr>
          <w:color w:val="auto"/>
          <w:highlight w:val="none"/>
        </w:rPr>
      </w:r>
      <w:r/>
    </w:p>
    <w:p>
      <w:pPr>
        <w:ind w:firstLine="1285"/>
        <w:jc w:val="left"/>
        <w:spacing w:before="120" w:after="120" w:line="360" w:lineRule="auto"/>
        <w:rPr>
          <w:rFonts w:hint="eastAsia" w:ascii="Times New Roman" w:hAnsi="Times New Roman" w:eastAsia="宋体"/>
          <w:b/>
          <w:bCs/>
          <w:color w:val="auto"/>
          <w:sz w:val="32"/>
          <w:szCs w:val="24"/>
          <w:highlight w:val="none"/>
          <w:lang w:eastAsia="zh-CN"/>
        </w:rPr>
      </w:pPr>
      <w:r>
        <w:rPr>
          <w:rFonts w:hint="eastAsia" w:ascii="Times New Roman" w:hAnsi="Times New Roman"/>
          <w:b/>
          <w:bCs/>
          <w:color w:val="auto"/>
          <w:sz w:val="32"/>
          <w:szCs w:val="24"/>
          <w:highlight w:val="none"/>
        </w:rPr>
        <w:t xml:space="preserve">项目名称：</w:t>
      </w:r>
      <w:r>
        <w:rPr>
          <w:rFonts w:hint="eastAsia" w:ascii="Times New Roman" w:hAnsi="Times New Roman"/>
          <w:b/>
          <w:bCs/>
          <w:color w:val="auto"/>
          <w:sz w:val="32"/>
          <w:szCs w:val="24"/>
          <w:highlight w:val="none"/>
          <w:u w:val="single"/>
          <w:lang w:eastAsia="zh-CN"/>
        </w:rPr>
        <w:t xml:space="preserve">宿迁学院附属学校运动场改造工程</w:t>
      </w:r>
      <w:r/>
    </w:p>
    <w:p>
      <w:pPr>
        <w:ind w:firstLine="1285"/>
        <w:jc w:val="left"/>
        <w:spacing w:before="120" w:after="120" w:line="360" w:lineRule="auto"/>
        <w:rPr>
          <w:rFonts w:hint="eastAsia" w:ascii="Times New Roman" w:hAnsi="Times New Roman"/>
          <w:b/>
          <w:bCs/>
          <w:color w:val="auto"/>
          <w:sz w:val="32"/>
          <w:szCs w:val="24"/>
          <w:highlight w:val="none"/>
          <w:lang w:eastAsia="zh-CN"/>
        </w:rPr>
      </w:pPr>
      <w:r>
        <w:rPr>
          <w:rFonts w:hint="eastAsia" w:ascii="Times New Roman" w:hAnsi="Times New Roman"/>
          <w:b/>
          <w:bCs/>
          <w:color w:val="auto"/>
          <w:sz w:val="32"/>
          <w:szCs w:val="24"/>
          <w:highlight w:val="none"/>
        </w:rPr>
        <w:t xml:space="preserve">项目编号：</w:t>
      </w:r>
      <w:r>
        <w:rPr>
          <w:rFonts w:hint="eastAsia" w:ascii="Times New Roman" w:hAnsi="Times New Roman"/>
          <w:b/>
          <w:bCs/>
          <w:color w:val="auto"/>
          <w:sz w:val="32"/>
          <w:szCs w:val="24"/>
          <w:highlight w:val="none"/>
          <w:lang w:eastAsia="zh-CN"/>
        </w:rPr>
        <w:t xml:space="preserve">JSZC-321302-JING-C2026-0019</w:t>
      </w:r>
      <w:r/>
    </w:p>
    <w:p>
      <w:pPr>
        <w:ind w:firstLine="1285"/>
        <w:jc w:val="left"/>
        <w:spacing w:before="120" w:after="120" w:line="360" w:lineRule="auto"/>
        <w:rPr>
          <w:rFonts w:ascii="Times New Roman" w:hAnsi="Times New Roman"/>
          <w:color w:val="auto"/>
          <w:sz w:val="24"/>
          <w:szCs w:val="24"/>
          <w:highlight w:val="none"/>
        </w:rPr>
      </w:pPr>
      <w:r>
        <w:rPr>
          <w:rFonts w:hint="eastAsia" w:ascii="Times New Roman" w:hAnsi="Times New Roman"/>
          <w:b/>
          <w:bCs/>
          <w:color w:val="auto"/>
          <w:sz w:val="32"/>
          <w:szCs w:val="24"/>
          <w:highlight w:val="none"/>
        </w:rPr>
        <w:t xml:space="preserve">（</w:t>
      </w:r>
      <w:r>
        <w:rPr>
          <w:rFonts w:hint="eastAsia" w:ascii="Times New Roman" w:hAnsi="Times New Roman"/>
          <w:b/>
          <w:bCs/>
          <w:color w:val="auto"/>
          <w:sz w:val="32"/>
          <w:szCs w:val="24"/>
          <w:highlight w:val="none"/>
          <w:u w:val="single"/>
        </w:rPr>
        <w:t xml:space="preserve">工程</w:t>
      </w:r>
      <w:r>
        <w:rPr>
          <w:rFonts w:hint="eastAsia" w:ascii="Times New Roman" w:hAnsi="Times New Roman"/>
          <w:b/>
          <w:bCs/>
          <w:color w:val="auto"/>
          <w:sz w:val="32"/>
          <w:szCs w:val="24"/>
          <w:highlight w:val="none"/>
        </w:rPr>
        <w:t xml:space="preserve">类项目，本项目专门面向中小企业）</w:t>
      </w:r>
      <w:r/>
    </w:p>
    <w:p>
      <w:pP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spacing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56"/>
        <w:ind w:firstLine="1372"/>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lang w:eastAsia="zh-CN"/>
        </w:rPr>
        <w:t xml:space="preserve">宿迁学院附属学校</w:t>
      </w:r>
      <w:r/>
    </w:p>
    <w:p>
      <w:pPr>
        <w:pStyle w:val="1156"/>
        <w:ind w:firstLine="1372"/>
        <w:jc w:val="both"/>
        <w:rPr>
          <w:rFonts w:hint="eastAsia" w:ascii="Times New Roman" w:hAnsi="Times New Roman" w:eastAsia="宋体"/>
          <w:b/>
          <w:bCs/>
          <w:color w:val="auto"/>
          <w:sz w:val="32"/>
          <w:highlight w:val="none"/>
          <w:u w:val="single"/>
          <w:lang w:eastAsia="zh-CN"/>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lang w:eastAsia="zh-CN"/>
        </w:rPr>
        <w:t xml:space="preserve">江苏经天纬地建设项目管理有限公司</w:t>
      </w:r>
      <w:r/>
    </w:p>
    <w:p>
      <w:pPr>
        <w:pStyle w:val="1156"/>
        <w:ind w:firstLine="0"/>
        <w:jc w:val="center"/>
        <w:rPr>
          <w:rFonts w:hint="default" w:ascii="Times New Roman" w:hAnsi="Times New Roman" w:eastAsia="宋体"/>
          <w:color w:val="auto"/>
          <w:highlight w:val="none"/>
          <w:u w:val="single"/>
          <w:lang w:val="en-US" w:eastAsia="zh-CN"/>
        </w:rPr>
      </w:pPr>
      <w:r>
        <w:rPr>
          <w:rFonts w:hint="eastAsia" w:ascii="Times New Roman" w:hAnsi="Times New Roman"/>
          <w:b/>
          <w:bCs/>
          <w:color w:val="auto"/>
          <w:sz w:val="32"/>
          <w:highlight w:val="none"/>
        </w:rPr>
        <w:t xml:space="preserve">202</w:t>
      </w:r>
      <w:r>
        <w:rPr>
          <w:rFonts w:hint="eastAsia" w:ascii="Times New Roman" w:hAnsi="Times New Roman"/>
          <w:b/>
          <w:bCs/>
          <w:color w:val="auto"/>
          <w:sz w:val="32"/>
          <w:highlight w:val="none"/>
          <w:lang w:val="en-US" w:eastAsia="zh-CN"/>
        </w:rPr>
        <w:t xml:space="preserve">6</w:t>
      </w:r>
      <w:r>
        <w:rPr>
          <w:rFonts w:hint="eastAsia" w:ascii="Times New Roman" w:hAnsi="Times New Roman"/>
          <w:b/>
          <w:bCs/>
          <w:color w:val="auto"/>
          <w:sz w:val="32"/>
          <w:highlight w:val="none"/>
        </w:rPr>
        <w:t xml:space="preserve">年</w:t>
      </w:r>
      <w:r>
        <w:rPr>
          <w:rFonts w:hint="eastAsia" w:ascii="Times New Roman" w:hAnsi="Times New Roman"/>
          <w:b/>
          <w:bCs/>
          <w:color w:val="auto"/>
          <w:sz w:val="32"/>
          <w:highlight w:val="none"/>
          <w:lang w:val="en-US" w:eastAsia="zh-CN"/>
        </w:rPr>
        <w:t xml:space="preserve">6</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15日</w:t>
      </w:r>
      <w:r/>
    </w:p>
    <w:p>
      <w:pPr>
        <w:jc w:val="center"/>
        <w:spacing w:before="120" w:after="120" w:line="360" w:lineRule="auto"/>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156"/>
        <w:ind w:firstLine="1262"/>
        <w:jc w:val="center"/>
        <w:rPr>
          <w:rFonts w:ascii="Times New Roman" w:hAnsi="Times New Roman"/>
          <w:b/>
          <w:bCs/>
          <w:color w:val="auto"/>
          <w:sz w:val="32"/>
          <w:highlight w:val="none"/>
        </w:rPr>
      </w:pPr>
      <w:r>
        <w:rPr>
          <w:rFonts w:ascii="Times New Roman" w:hAnsi="Times New Roman"/>
          <w:color w:val="auto"/>
          <w:szCs w:val="21"/>
          <w:highlight w:val="none"/>
        </w:rPr>
        <w:br w:type="page" w:clear="all"/>
      </w:r>
      <w:bookmarkStart w:id="0" w:name="_Toc120614210"/>
      <w:r/>
      <w:bookmarkStart w:id="1" w:name="_Toc523127445"/>
      <w:r/>
      <w:bookmarkStart w:id="2" w:name="_Toc513029200"/>
      <w:r/>
      <w:bookmarkStart w:id="3" w:name="_Toc16938516"/>
      <w:r/>
      <w:bookmarkStart w:id="4" w:name="_Toc20823272"/>
      <w:r/>
      <w:bookmarkStart w:id="5" w:name="_Toc479757206"/>
      <w:r>
        <w:rPr>
          <w:rFonts w:ascii="Times New Roman" w:hAnsi="Times New Roman"/>
          <w:b/>
          <w:bCs/>
          <w:color w:val="auto"/>
          <w:sz w:val="32"/>
          <w:highlight w:val="none"/>
        </w:rPr>
        <w:t xml:space="preserve">目 录</w:t>
      </w:r>
      <w:r/>
    </w:p>
    <w:p>
      <w:pPr>
        <w:pStyle w:val="876"/>
        <w:spacing w:line="480" w:lineRule="auto"/>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"_Toc169207378" \o "#_Toc169207378" </w:instrText>
      </w:r>
      <w:r>
        <w:rPr>
          <w:color w:val="auto"/>
          <w:highlight w:val="none"/>
        </w:rPr>
        <w:fldChar w:fldCharType="separate"/>
      </w:r>
      <w:r>
        <w:rPr>
          <w:rStyle w:val="888"/>
          <w:rFonts w:ascii="Times New Roman" w:hAnsi="Times New Roman" w:eastAsia="黑体"/>
          <w:color w:val="auto"/>
          <w:sz w:val="28"/>
          <w:szCs w:val="28"/>
          <w:highlight w:val="none"/>
        </w:rPr>
        <w:t xml:space="preserve">第一章  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_Toc169207378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876"/>
        <w:spacing w:line="480" w:lineRule="auto"/>
        <w:rPr>
          <w:rFonts w:ascii="Arial" w:hAnsi="Arial" w:eastAsia="宋体" w:cs="Arial"/>
          <w:color w:val="auto"/>
          <w:sz w:val="28"/>
          <w:szCs w:val="28"/>
          <w:highlight w:val="none"/>
        </w:rPr>
      </w:pPr>
      <w:r>
        <w:rPr>
          <w:color w:val="auto"/>
          <w:highlight w:val="none"/>
        </w:rPr>
        <w:fldChar w:fldCharType="begin"/>
      </w:r>
      <w:r>
        <w:rPr>
          <w:color w:val="auto"/>
          <w:highlight w:val="none"/>
        </w:rPr>
        <w:instrText xml:space="preserve"> HYPERLINK \l "_Toc169207387" \o "#_Toc169207387" </w:instrText>
      </w:r>
      <w:r>
        <w:rPr>
          <w:color w:val="auto"/>
          <w:highlight w:val="none"/>
        </w:rPr>
        <w:fldChar w:fldCharType="separate"/>
      </w:r>
      <w:r>
        <w:rPr>
          <w:rStyle w:val="888"/>
          <w:rFonts w:ascii="Times New Roman" w:hAnsi="Times New Roman" w:eastAsia="黑体"/>
          <w:color w:val="auto"/>
          <w:sz w:val="28"/>
          <w:szCs w:val="28"/>
          <w:highlight w:val="none"/>
        </w:rPr>
        <w:t xml:space="preserve">第二章  供应商须知</w:t>
      </w:r>
      <w:r>
        <w:rPr>
          <w:color w:val="auto"/>
          <w:sz w:val="28"/>
          <w:szCs w:val="28"/>
          <w:highlight w:val="none"/>
        </w:rPr>
        <w:tab/>
      </w:r>
      <w:r>
        <w:rPr>
          <w:rFonts w:hint="eastAsia"/>
          <w:color w:val="auto"/>
          <w:sz w:val="28"/>
          <w:szCs w:val="28"/>
          <w:highlight w:val="none"/>
          <w:lang w:val="en-US" w:eastAsia="zh-CN"/>
        </w:rPr>
        <w:t xml:space="preserve">6</w:t>
      </w:r>
      <w:r>
        <w:rPr>
          <w:rFonts w:hint="eastAsia"/>
          <w:color w:val="auto"/>
          <w:sz w:val="28"/>
          <w:szCs w:val="28"/>
          <w:highlight w:val="none"/>
        </w:rPr>
        <w:fldChar w:fldCharType="end"/>
      </w:r>
      <w:r/>
    </w:p>
    <w:p>
      <w:pPr>
        <w:pStyle w:val="876"/>
        <w:spacing w:line="480" w:lineRule="auto"/>
        <w:rPr>
          <w:rFonts w:ascii="Arial" w:hAnsi="Arial" w:eastAsia="宋体" w:cs="Arial"/>
          <w:caps w:val="0"/>
          <w:color w:val="auto"/>
          <w:sz w:val="28"/>
          <w:szCs w:val="28"/>
          <w:highlight w:val="none"/>
        </w:rPr>
      </w:pPr>
      <w:r>
        <w:rPr>
          <w:color w:val="auto"/>
          <w:highlight w:val="none"/>
        </w:rPr>
        <w:fldChar w:fldCharType="begin"/>
      </w:r>
      <w:r>
        <w:rPr>
          <w:color w:val="auto"/>
          <w:highlight w:val="none"/>
        </w:rPr>
        <w:instrText xml:space="preserve"> HYPERLINK \l "_Toc169207395" \o "#_Toc169207395" </w:instrText>
      </w:r>
      <w:r>
        <w:rPr>
          <w:color w:val="auto"/>
          <w:highlight w:val="none"/>
        </w:rPr>
        <w:fldChar w:fldCharType="separate"/>
      </w:r>
      <w:r>
        <w:rPr>
          <w:rStyle w:val="888"/>
          <w:rFonts w:ascii="Times New Roman" w:hAnsi="Times New Roman" w:eastAsia="黑体"/>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_Toc169207395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color w:val="auto"/>
          <w:sz w:val="28"/>
          <w:szCs w:val="28"/>
          <w:highlight w:val="none"/>
        </w:rPr>
        <w:fldChar w:fldCharType="end"/>
      </w:r>
      <w:r/>
    </w:p>
    <w:p>
      <w:pPr>
        <w:pStyle w:val="876"/>
        <w:spacing w:line="480" w:lineRule="auto"/>
        <w:rPr>
          <w:rFonts w:hint="eastAsia" w:ascii="Arial" w:hAnsi="Arial" w:eastAsia="宋体" w:cs="Arial"/>
          <w:cap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"_Toc169207396" \o "#_Toc169207396" </w:instrText>
      </w:r>
      <w:r>
        <w:rPr>
          <w:color w:val="auto"/>
          <w:highlight w:val="none"/>
        </w:rPr>
        <w:fldChar w:fldCharType="separate"/>
      </w:r>
      <w:r>
        <w:rPr>
          <w:rStyle w:val="888"/>
          <w:rFonts w:ascii="Times New Roman" w:hAnsi="Times New Roman" w:eastAsia="黑体"/>
          <w:color w:val="auto"/>
          <w:sz w:val="28"/>
          <w:szCs w:val="28"/>
          <w:highlight w:val="none"/>
        </w:rPr>
        <w:t xml:space="preserve">第四章  采购需求</w:t>
      </w:r>
      <w:r>
        <w:rPr>
          <w:color w:val="auto"/>
          <w:sz w:val="28"/>
          <w:szCs w:val="28"/>
          <w:highlight w:val="none"/>
        </w:rPr>
        <w:tab/>
      </w:r>
      <w:r>
        <w:rPr>
          <w:rFonts w:hint="eastAsia"/>
          <w:color w:val="auto"/>
          <w:sz w:val="28"/>
          <w:szCs w:val="28"/>
          <w:highlight w:val="none"/>
          <w:lang w:val="en-US" w:eastAsia="zh-CN"/>
        </w:rPr>
        <w:t xml:space="preserve">5</w:t>
      </w:r>
      <w:r>
        <w:rPr>
          <w:color w:val="auto"/>
          <w:sz w:val="28"/>
          <w:szCs w:val="28"/>
          <w:highlight w:val="none"/>
        </w:rPr>
        <w:fldChar w:fldCharType="end"/>
      </w:r>
      <w:r>
        <w:rPr>
          <w:rFonts w:hint="eastAsia"/>
          <w:color w:val="auto"/>
          <w:sz w:val="28"/>
          <w:szCs w:val="28"/>
          <w:highlight w:val="none"/>
          <w:lang w:val="en-US" w:eastAsia="zh-CN"/>
        </w:rPr>
        <w:t xml:space="preserve">5</w:t>
      </w:r>
      <w:r/>
    </w:p>
    <w:p>
      <w:pPr>
        <w:pStyle w:val="876"/>
        <w:spacing w:line="480" w:lineRule="auto"/>
        <w:rPr>
          <w:rFonts w:hint="eastAsia" w:ascii="Arial" w:hAnsi="Arial" w:eastAsia="宋体" w:cs="Arial"/>
          <w:cap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"_Toc169207397" \o "#_Toc169207397" </w:instrText>
      </w:r>
      <w:r>
        <w:rPr>
          <w:color w:val="auto"/>
          <w:highlight w:val="none"/>
        </w:rPr>
        <w:fldChar w:fldCharType="separate"/>
      </w:r>
      <w:r>
        <w:rPr>
          <w:rStyle w:val="888"/>
          <w:rFonts w:ascii="Times New Roman" w:hAnsi="Times New Roman" w:eastAsia="黑体"/>
          <w:color w:val="auto"/>
          <w:sz w:val="28"/>
          <w:szCs w:val="28"/>
          <w:highlight w:val="none"/>
        </w:rPr>
        <w:t xml:space="preserve">第五章  评审方法与评审标准</w:t>
      </w:r>
      <w:r>
        <w:rPr>
          <w:color w:val="auto"/>
          <w:sz w:val="28"/>
          <w:szCs w:val="28"/>
          <w:highlight w:val="none"/>
        </w:rPr>
        <w:tab/>
      </w:r>
      <w:r>
        <w:rPr>
          <w:rFonts w:hint="eastAsia"/>
          <w:color w:val="auto"/>
          <w:sz w:val="28"/>
          <w:szCs w:val="28"/>
          <w:highlight w:val="none"/>
          <w:lang w:val="en-US" w:eastAsia="zh-CN"/>
        </w:rPr>
        <w:t xml:space="preserve">6</w:t>
      </w:r>
      <w:r>
        <w:rPr>
          <w:color w:val="auto"/>
          <w:sz w:val="28"/>
          <w:szCs w:val="28"/>
          <w:highlight w:val="none"/>
        </w:rPr>
        <w:fldChar w:fldCharType="end"/>
      </w:r>
      <w:r>
        <w:rPr>
          <w:rFonts w:hint="eastAsia"/>
          <w:color w:val="auto"/>
          <w:sz w:val="28"/>
          <w:szCs w:val="28"/>
          <w:highlight w:val="none"/>
          <w:lang w:val="en-US" w:eastAsia="zh-CN"/>
        </w:rPr>
        <w:t xml:space="preserve">1</w:t>
      </w:r>
      <w:r/>
    </w:p>
    <w:p>
      <w:pPr>
        <w:pStyle w:val="876"/>
        <w:spacing w:line="480" w:lineRule="auto"/>
        <w:rPr>
          <w:rFonts w:ascii="Arial" w:hAnsi="Arial" w:eastAsia="宋体" w:cs="Arial"/>
          <w:caps w:val="0"/>
          <w:color w:val="auto"/>
          <w:szCs w:val="22"/>
          <w:highlight w:val="none"/>
        </w:rPr>
      </w:pPr>
      <w:r>
        <w:rPr>
          <w:color w:val="auto"/>
          <w:highlight w:val="none"/>
        </w:rPr>
        <w:fldChar w:fldCharType="begin"/>
      </w:r>
      <w:r>
        <w:rPr>
          <w:color w:val="auto"/>
          <w:highlight w:val="none"/>
        </w:rPr>
        <w:instrText xml:space="preserve"> HYPERLINK \l "_Toc169207398" \o "#_Toc169207398" </w:instrText>
      </w:r>
      <w:r>
        <w:rPr>
          <w:color w:val="auto"/>
          <w:highlight w:val="none"/>
        </w:rPr>
        <w:fldChar w:fldCharType="separate"/>
      </w:r>
      <w:r>
        <w:rPr>
          <w:rStyle w:val="888"/>
          <w:rFonts w:ascii="Times New Roman" w:hAnsi="Times New Roman" w:eastAsia="黑体"/>
          <w:color w:val="auto"/>
          <w:sz w:val="28"/>
          <w:szCs w:val="28"/>
          <w:highlight w:val="none"/>
        </w:rPr>
        <w:t xml:space="preserve">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_Toc169207398 \h </w:instrText>
      </w:r>
      <w:r>
        <w:rPr>
          <w:color w:val="auto"/>
          <w:sz w:val="28"/>
          <w:szCs w:val="28"/>
          <w:highlight w:val="none"/>
        </w:rPr>
        <w:fldChar w:fldCharType="separate"/>
      </w:r>
      <w:r>
        <w:rPr>
          <w:color w:val="auto"/>
          <w:sz w:val="28"/>
          <w:szCs w:val="28"/>
          <w:highlight w:val="none"/>
        </w:rPr>
        <w:t xml:space="preserve">6</w:t>
      </w:r>
      <w:r>
        <w:rPr>
          <w:rFonts w:hint="eastAsia"/>
          <w:color w:val="auto"/>
          <w:sz w:val="28"/>
          <w:szCs w:val="28"/>
          <w:highlight w:val="none"/>
          <w:lang w:val="en-US" w:eastAsia="zh-CN"/>
        </w:rPr>
        <w:t xml:space="preserve">7</w:t>
      </w:r>
      <w:r>
        <w:rPr>
          <w:color w:val="auto"/>
          <w:sz w:val="28"/>
          <w:szCs w:val="28"/>
          <w:highlight w:val="none"/>
        </w:rPr>
        <w:fldChar w:fldCharType="end"/>
      </w:r>
      <w:r>
        <w:rPr>
          <w:color w:val="auto"/>
          <w:sz w:val="28"/>
          <w:szCs w:val="28"/>
          <w:highlight w:val="none"/>
        </w:rPr>
        <w:fldChar w:fldCharType="end"/>
      </w:r>
      <w:r/>
    </w:p>
    <w:p>
      <w:pPr>
        <w:pStyle w:val="873"/>
        <w:rPr>
          <w:rFonts w:ascii="Arial" w:hAnsi="Arial" w:eastAsia="宋体" w:cs="Arial"/>
          <w:iCs w:val="0"/>
          <w:color w:val="auto"/>
          <w:szCs w:val="22"/>
          <w:highlight w:val="none"/>
        </w:rPr>
      </w:pPr>
      <w:r>
        <w:rPr>
          <w:rFonts w:ascii="Arial" w:hAnsi="Arial" w:eastAsia="宋体" w:cs="Arial"/>
          <w:iCs w:val="0"/>
          <w:color w:val="auto"/>
          <w:szCs w:val="22"/>
          <w:highlight w:val="none"/>
        </w:rPr>
      </w:r>
      <w:r/>
    </w:p>
    <w:p>
      <w:pPr>
        <w:rPr>
          <w:color w:val="auto"/>
          <w:highlight w:val="none"/>
        </w:rPr>
      </w:pPr>
      <w:r>
        <w:rPr>
          <w:rFonts w:ascii="宋体" w:hAnsi="宋体"/>
          <w:color w:val="auto"/>
          <w:szCs w:val="24"/>
          <w:highlight w:val="none"/>
        </w:rPr>
        <w:fldChar w:fldCharType="end"/>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rPr>
          <w:rFonts w:ascii="Times New Roman" w:hAnsi="Times New Roman"/>
          <w:color w:val="auto"/>
          <w:szCs w:val="21"/>
          <w:highlight w:val="none"/>
        </w:rPr>
      </w:pPr>
      <w:r>
        <w:rPr>
          <w:rFonts w:ascii="Times New Roman" w:hAnsi="Times New Roman"/>
          <w:color w:val="auto"/>
          <w:szCs w:val="21"/>
          <w:highlight w:val="none"/>
        </w:rPr>
      </w:r>
      <w:r/>
    </w:p>
    <w:p>
      <w:pPr>
        <w:jc w:val="center"/>
        <w:keepNext/>
        <w:rPr>
          <w:rFonts w:ascii="Times New Roman" w:hAnsi="Times New Roman" w:eastAsia="黑体"/>
          <w:color w:val="auto"/>
          <w:sz w:val="44"/>
          <w:szCs w:val="44"/>
          <w:highlight w:val="none"/>
        </w:rPr>
        <w:outlineLvl w:val="0"/>
      </w:pPr>
      <w:r>
        <w:rPr>
          <w:rFonts w:ascii="Times New Roman" w:hAnsi="Times New Roman" w:eastAsia="黑体"/>
          <w:color w:val="auto"/>
          <w:sz w:val="44"/>
          <w:szCs w:val="44"/>
          <w:highlight w:val="none"/>
        </w:rPr>
      </w:r>
      <w:r/>
    </w:p>
    <w:p>
      <w:pPr>
        <w:jc w:val="center"/>
        <w:keepNext/>
        <w:rPr>
          <w:rFonts w:ascii="Times New Roman" w:hAnsi="Times New Roman" w:eastAsia="黑体"/>
          <w:color w:val="auto"/>
          <w:sz w:val="44"/>
          <w:szCs w:val="44"/>
          <w:highlight w:val="none"/>
        </w:rPr>
        <w:outlineLvl w:val="0"/>
      </w:pPr>
      <w:r>
        <w:rPr>
          <w:rFonts w:ascii="Times New Roman" w:hAnsi="Times New Roman" w:eastAsia="黑体"/>
          <w:color w:val="auto"/>
          <w:sz w:val="44"/>
          <w:szCs w:val="44"/>
          <w:highlight w:val="none"/>
        </w:rPr>
      </w:r>
      <w:r/>
    </w:p>
    <w:p>
      <w:pPr>
        <w:rPr>
          <w:rFonts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keepNext/>
        <w:rPr>
          <w:rFonts w:ascii="Times New Roman" w:hAnsi="Times New Roman" w:eastAsia="黑体"/>
          <w:color w:val="auto"/>
          <w:sz w:val="44"/>
          <w:szCs w:val="44"/>
          <w:highlight w:val="none"/>
        </w:rPr>
        <w:outlineLvl w:val="0"/>
      </w:pPr>
      <w:r/>
      <w:bookmarkStart w:id="6" w:name="_Toc169207378"/>
      <w:r>
        <w:rPr>
          <w:rFonts w:hint="eastAsia" w:ascii="Times New Roman" w:hAnsi="Times New Roman" w:eastAsia="黑体"/>
          <w:color w:val="auto"/>
          <w:sz w:val="44"/>
          <w:szCs w:val="44"/>
          <w:highlight w:val="none"/>
        </w:rPr>
        <w:t xml:space="preserve">第一章  </w:t>
      </w:r>
      <w:bookmarkEnd w:id="0"/>
      <w:r>
        <w:rPr>
          <w:rFonts w:hint="eastAsia" w:ascii="Times New Roman" w:hAnsi="Times New Roman" w:eastAsia="黑体"/>
          <w:color w:val="auto"/>
          <w:sz w:val="44"/>
          <w:szCs w:val="44"/>
          <w:highlight w:val="none"/>
        </w:rPr>
        <w:t xml:space="preserve">磋商邀请</w:t>
      </w:r>
      <w:bookmarkEnd w:id="6"/>
      <w:r/>
      <w:r/>
    </w:p>
    <w:p>
      <w:pPr>
        <w:ind w:firstLine="787"/>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受</w:t>
      </w:r>
      <w:r>
        <w:rPr>
          <w:rFonts w:hint="eastAsia" w:ascii="Times New Roman" w:hAnsi="Times New Roman"/>
          <w:color w:val="auto"/>
          <w:sz w:val="24"/>
          <w:szCs w:val="24"/>
          <w:highlight w:val="none"/>
          <w:lang w:eastAsia="zh-CN"/>
        </w:rPr>
        <w:t xml:space="preserve">宿迁学院附属学校</w:t>
      </w:r>
      <w:r>
        <w:rPr>
          <w:rFonts w:hint="eastAsia" w:ascii="Times New Roman" w:hAnsi="Times New Roman"/>
          <w:color w:val="auto"/>
          <w:sz w:val="24"/>
          <w:szCs w:val="24"/>
          <w:highlight w:val="none"/>
        </w:rPr>
        <w:t xml:space="preserve">的委托，</w:t>
      </w:r>
      <w:r>
        <w:rPr>
          <w:rFonts w:hint="eastAsia" w:ascii="Times New Roman" w:hAnsi="Times New Roman"/>
          <w:color w:val="auto"/>
          <w:sz w:val="24"/>
          <w:szCs w:val="24"/>
          <w:highlight w:val="none"/>
          <w:lang w:eastAsia="zh-CN"/>
        </w:rPr>
        <w:t xml:space="preserve">江苏经天纬地建设项目管理有限公司</w:t>
      </w:r>
      <w:r>
        <w:rPr>
          <w:rFonts w:hint="eastAsia" w:ascii="Times New Roman" w:hAnsi="Times New Roman"/>
          <w:color w:val="auto"/>
          <w:sz w:val="24"/>
          <w:szCs w:val="24"/>
          <w:highlight w:val="none"/>
        </w:rPr>
        <w:t xml:space="preserve">就</w:t>
      </w:r>
      <w:r>
        <w:rPr>
          <w:rFonts w:hint="eastAsia" w:ascii="Times New Roman" w:hAnsi="Times New Roman"/>
          <w:color w:val="auto"/>
          <w:sz w:val="24"/>
          <w:szCs w:val="24"/>
          <w:highlight w:val="none"/>
          <w:lang w:eastAsia="zh-CN"/>
        </w:rPr>
        <w:t xml:space="preserve">宿迁学院附属学校运动</w:t>
      </w:r>
      <w:r>
        <w:rPr>
          <w:rFonts w:hint="eastAsia" w:ascii="Times New Roman" w:hAnsi="Times New Roman" w:eastAsia="宋体" w:cs="Times New Roman"/>
          <w:color w:val="auto"/>
          <w:sz w:val="24"/>
          <w:szCs w:val="24"/>
          <w:highlight w:val="none"/>
          <w:lang w:eastAsia="zh-CN"/>
        </w:rPr>
        <w:t xml:space="preserve">场改造工程（JSZC-321302-JING-C2026-0019)项目进行</w:t>
      </w:r>
      <w:r>
        <w:rPr>
          <w:rFonts w:hint="eastAsia" w:ascii="Times New Roman" w:hAnsi="Times New Roman"/>
          <w:color w:val="auto"/>
          <w:sz w:val="24"/>
          <w:szCs w:val="24"/>
          <w:highlight w:val="none"/>
        </w:rPr>
        <w:t xml:space="preserve">竞争性磋商采购，欢迎符合条件的供应商参加磋商。</w:t>
      </w:r>
      <w:r/>
    </w:p>
    <w:p>
      <w:pPr>
        <w:spacing w:line="500" w:lineRule="exact"/>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auto"/>
          <w:sz w:val="24"/>
          <w:szCs w:val="24"/>
          <w:highlight w:val="none"/>
        </w:rPr>
        <w:t xml:space="preserve">项目概况</w:t>
      </w:r>
      <w:r/>
    </w:p>
    <w:p>
      <w:pPr>
        <w:ind w:firstLine="480"/>
        <w:spacing w:line="500" w:lineRule="exact"/>
        <w:rPr>
          <w:rFonts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olor w:val="auto"/>
          <w:sz w:val="24"/>
          <w:szCs w:val="24"/>
          <w:highlight w:val="none"/>
          <w:u w:val="single"/>
          <w:lang w:eastAsia="zh-CN"/>
        </w:rPr>
        <w:t xml:space="preserve">宿迁学院附属学校运动场改造工程</w:t>
      </w:r>
      <w:r>
        <w:rPr>
          <w:rFonts w:hint="eastAsia" w:ascii="Times New Roman" w:hAnsi="Times New Roman"/>
          <w:color w:val="auto"/>
          <w:sz w:val="24"/>
          <w:szCs w:val="24"/>
          <w:highlight w:val="none"/>
        </w:rPr>
        <w:t xml:space="preserve">竞争性磋商项目的潜在供应商可在</w:t>
      </w:r>
      <w:r>
        <w:rPr>
          <w:rFonts w:hint="eastAsia" w:ascii="Times New Roman" w:hAnsi="Times New Roman"/>
          <w:color w:val="auto"/>
          <w:sz w:val="24"/>
          <w:szCs w:val="24"/>
          <w:highlight w:val="none"/>
          <w:u w:val="single"/>
        </w:rPr>
        <w:t xml:space="preserve">“宿迁市政府采购网”自行免费下载</w:t>
      </w:r>
      <w:r>
        <w:rPr>
          <w:rFonts w:hint="eastAsia" w:ascii="Times New Roman" w:hAnsi="Times New Roman"/>
          <w:color w:val="auto"/>
          <w:sz w:val="24"/>
          <w:szCs w:val="24"/>
          <w:highlight w:val="none"/>
        </w:rPr>
        <w:t xml:space="preserve">磋商文件，并于</w:t>
      </w:r>
      <w:r>
        <w:rPr>
          <w:rFonts w:hint="eastAsia"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color w:val="auto"/>
          <w:sz w:val="24"/>
          <w:szCs w:val="24"/>
          <w:highlight w:val="none"/>
          <w:u w:val="single"/>
        </w:rPr>
        <w:t xml:space="preserve">年</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bCs/>
          <w:color w:val="auto"/>
          <w:sz w:val="24"/>
          <w:szCs w:val="24"/>
          <w:highlight w:val="none"/>
          <w:u w:val="single"/>
        </w:rPr>
        <w:t xml:space="preserve">月</w:t>
      </w:r>
      <w:r>
        <w:rPr>
          <w:rFonts w:hint="eastAsia" w:ascii="Times New Roman" w:hAnsi="Times New Roman"/>
          <w:bCs/>
          <w:color w:val="auto"/>
          <w:sz w:val="24"/>
          <w:szCs w:val="24"/>
          <w:highlight w:val="none"/>
          <w:u w:val="single"/>
          <w:lang w:val="en-US" w:eastAsia="zh-CN"/>
        </w:rPr>
        <w:t xml:space="preserve">30</w:t>
      </w:r>
      <w:r>
        <w:rPr>
          <w:rFonts w:hint="eastAsia" w:ascii="Times New Roman" w:hAnsi="Times New Roman"/>
          <w:bCs/>
          <w:color w:val="auto"/>
          <w:sz w:val="24"/>
          <w:szCs w:val="24"/>
          <w:highlight w:val="none"/>
          <w:u w:val="single"/>
        </w:rPr>
        <w:t xml:space="preserve">日</w:t>
      </w:r>
      <w:r>
        <w:rPr>
          <w:rFonts w:hint="eastAsia" w:ascii="Times New Roman" w:hAnsi="Times New Roman"/>
          <w:bCs/>
          <w:color w:val="auto"/>
          <w:sz w:val="24"/>
          <w:szCs w:val="24"/>
          <w:highlight w:val="none"/>
          <w:u w:val="single"/>
          <w:lang w:val="en-US" w:eastAsia="zh-CN"/>
        </w:rPr>
        <w:t xml:space="preserve">9</w:t>
      </w:r>
      <w:r>
        <w:rPr>
          <w:rFonts w:hint="eastAsia" w:ascii="Times New Roman" w:hAnsi="Times New Roman"/>
          <w:bCs/>
          <w:color w:val="auto"/>
          <w:sz w:val="24"/>
          <w:szCs w:val="24"/>
          <w:highlight w:val="none"/>
          <w:u w:val="single"/>
        </w:rPr>
        <w:t xml:space="preserve">点3</w:t>
      </w:r>
      <w:r>
        <w:rPr>
          <w:rFonts w:ascii="Times New Roman" w:hAnsi="Times New Roman"/>
          <w:bCs/>
          <w:color w:val="auto"/>
          <w:sz w:val="24"/>
          <w:szCs w:val="24"/>
          <w:highlight w:val="none"/>
          <w:u w:val="single"/>
        </w:rPr>
        <w:t xml:space="preserve">0</w:t>
      </w:r>
      <w:r>
        <w:rPr>
          <w:rFonts w:hint="eastAsia" w:ascii="Times New Roman" w:hAnsi="Times New Roman"/>
          <w:bCs/>
          <w:color w:val="auto"/>
          <w:sz w:val="24"/>
          <w:szCs w:val="24"/>
          <w:highlight w:val="none"/>
          <w:u w:val="single"/>
        </w:rPr>
        <w:t xml:space="preserve">分（</w:t>
      </w:r>
      <w:r>
        <w:rPr>
          <w:rFonts w:hint="eastAsia" w:ascii="Times New Roman" w:hAnsi="Times New Roman"/>
          <w:bCs/>
          <w:color w:val="auto"/>
          <w:sz w:val="24"/>
          <w:szCs w:val="24"/>
          <w:highlight w:val="none"/>
        </w:rPr>
        <w:t xml:space="preserve">北京时间）前递交响应文件</w:t>
      </w:r>
      <w:r>
        <w:rPr>
          <w:rFonts w:hint="eastAsia" w:ascii="Times New Roman" w:hAnsi="Times New Roman"/>
          <w:color w:val="auto"/>
          <w:sz w:val="24"/>
          <w:szCs w:val="24"/>
          <w:highlight w:val="none"/>
        </w:rPr>
        <w:t xml:space="preserve">。</w:t>
      </w:r>
      <w:r/>
    </w:p>
    <w:p>
      <w:pPr>
        <w:ind w:firstLine="498"/>
        <w:keepLines/>
        <w:keepNext/>
        <w:spacing w:line="500" w:lineRule="exact"/>
        <w:rPr>
          <w:rFonts w:ascii="Times New Roman" w:hAnsi="Times New Roman"/>
          <w:b/>
          <w:bCs/>
          <w:color w:val="auto"/>
          <w:sz w:val="32"/>
          <w:szCs w:val="32"/>
          <w:highlight w:val="none"/>
        </w:rPr>
        <w:outlineLvl w:val="2"/>
      </w:pPr>
      <w:r/>
      <w:bookmarkStart w:id="7" w:name="_Toc35393621"/>
      <w:r/>
      <w:bookmarkStart w:id="8" w:name="_Toc28359002"/>
      <w:r/>
      <w:bookmarkStart w:id="9" w:name="_Toc38985263"/>
      <w:r/>
      <w:bookmarkStart w:id="10" w:name="_Toc28359079"/>
      <w:r/>
      <w:bookmarkStart w:id="11" w:name="_Toc35393790"/>
      <w:r/>
      <w:bookmarkStart w:id="12" w:name="_Toc169207379"/>
      <w:r/>
      <w:bookmarkStart w:id="13" w:name="_Hlk24379207"/>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2"/>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1.项目编号：</w:t>
      </w:r>
      <w:r>
        <w:rPr>
          <w:rFonts w:hint="eastAsia" w:ascii="Times New Roman" w:hAnsi="Times New Roman" w:eastAsia="宋体" w:cs="Times New Roman"/>
          <w:color w:val="auto"/>
          <w:sz w:val="24"/>
          <w:szCs w:val="24"/>
          <w:highlight w:val="none"/>
          <w:lang w:eastAsia="zh-CN"/>
        </w:rPr>
        <w:t xml:space="preserve">JSZC-321302-JING-C2026-0019  </w:t>
      </w:r>
      <w:r/>
    </w:p>
    <w:p>
      <w:pPr>
        <w:ind w:firstLine="480"/>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2.项目名称：</w:t>
      </w:r>
      <w:bookmarkEnd w:id="13"/>
      <w:r>
        <w:rPr>
          <w:rFonts w:hint="eastAsia" w:ascii="Times New Roman" w:hAnsi="Times New Roman"/>
          <w:color w:val="auto"/>
          <w:sz w:val="24"/>
          <w:szCs w:val="24"/>
          <w:highlight w:val="none"/>
          <w:lang w:eastAsia="zh-CN"/>
        </w:rPr>
        <w:t xml:space="preserve">宿迁学院附属学校运动场改造工程</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3.预算金额：</w:t>
      </w:r>
      <w:r>
        <w:rPr>
          <w:rFonts w:hint="eastAsia" w:ascii="Times New Roman" w:hAnsi="Times New Roman"/>
          <w:color w:val="auto"/>
          <w:sz w:val="24"/>
          <w:szCs w:val="24"/>
          <w:highlight w:val="none"/>
          <w:lang w:val="en-US" w:eastAsia="zh-CN"/>
        </w:rPr>
        <w:t xml:space="preserve">150</w:t>
      </w:r>
      <w:r>
        <w:rPr>
          <w:rFonts w:hint="eastAsia" w:ascii="Times New Roman" w:hAnsi="Times New Roman"/>
          <w:color w:val="auto"/>
          <w:sz w:val="24"/>
          <w:szCs w:val="24"/>
          <w:highlight w:val="none"/>
          <w:lang w:val="en-US" w:eastAsia="zh-CN"/>
        </w:rPr>
        <w:t xml:space="preserve">万</w:t>
      </w:r>
      <w:r>
        <w:rPr>
          <w:rFonts w:hint="eastAsia" w:ascii="Times New Roman" w:hAnsi="Times New Roman"/>
          <w:color w:val="auto"/>
          <w:sz w:val="24"/>
          <w:szCs w:val="24"/>
          <w:highlight w:val="none"/>
        </w:rPr>
        <w:t xml:space="preserve">元</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本项目设定最高限价，最高限价为</w:t>
      </w:r>
      <w:r>
        <w:rPr>
          <w:rFonts w:hint="eastAsia" w:ascii="Times New Roman" w:hAnsi="Times New Roman"/>
          <w:color w:val="auto"/>
          <w:sz w:val="24"/>
          <w:szCs w:val="24"/>
          <w:highlight w:val="none"/>
          <w:lang w:val="en-US" w:eastAsia="zh-CN"/>
        </w:rPr>
        <w:t xml:space="preserve">1498877.1</w:t>
      </w:r>
      <w:r>
        <w:rPr>
          <w:rFonts w:hint="eastAsia" w:ascii="Times New Roman" w:hAnsi="Times New Roman"/>
          <w:color w:val="auto"/>
          <w:sz w:val="24"/>
          <w:szCs w:val="24"/>
          <w:highlight w:val="none"/>
        </w:rPr>
        <w:t xml:space="preserve">元。</w:t>
      </w:r>
      <w:r/>
    </w:p>
    <w:p>
      <w:pPr>
        <w:ind w:firstLine="480"/>
        <w:spacing w:line="5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.采购需求：</w:t>
      </w:r>
      <w:r>
        <w:rPr>
          <w:rFonts w:hint="eastAsia" w:ascii="Times New Roman" w:hAnsi="Times New Roman"/>
          <w:color w:val="auto"/>
          <w:sz w:val="24"/>
          <w:szCs w:val="24"/>
          <w:highlight w:val="none"/>
          <w:lang w:eastAsia="zh-CN"/>
        </w:rPr>
        <w:t xml:space="preserve">宿迁学院附属学校运动场改造工程</w:t>
      </w:r>
      <w:r>
        <w:rPr>
          <w:rFonts w:hint="eastAsia" w:ascii="宋体" w:hAnsi="宋体" w:cs="宋体"/>
          <w:color w:val="auto"/>
          <w:sz w:val="24"/>
          <w:szCs w:val="24"/>
          <w:highlight w:val="none"/>
        </w:rPr>
        <w:t xml:space="preserve">，具体详见工程量清单及图纸。</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6.合同履行期限：</w:t>
      </w:r>
      <w:r>
        <w:rPr>
          <w:rFonts w:hint="eastAsia" w:ascii="Times New Roman" w:hAnsi="Times New Roman"/>
          <w:color w:val="auto"/>
          <w:sz w:val="24"/>
          <w:szCs w:val="24"/>
          <w:highlight w:val="none"/>
          <w:lang w:eastAsia="zh-CN"/>
        </w:rPr>
        <w:t xml:space="preserve">45日历天</w:t>
      </w:r>
      <w:r>
        <w:rPr>
          <w:rFonts w:hint="eastAsia" w:ascii="Times New Roman" w:hAnsi="Times New Roman"/>
          <w:color w:val="auto"/>
          <w:sz w:val="24"/>
          <w:szCs w:val="24"/>
          <w:highlight w:val="none"/>
        </w:rPr>
        <w:t xml:space="preserve">。</w:t>
      </w:r>
      <w:r/>
    </w:p>
    <w:p>
      <w:pPr>
        <w:ind w:firstLine="480"/>
        <w:spacing w:line="50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7.本项目不接受联合体参与磋商。</w:t>
      </w:r>
      <w:r/>
    </w:p>
    <w:p>
      <w:pPr>
        <w:ind w:firstLine="498"/>
        <w:keepLines/>
        <w:keepNext/>
        <w:spacing w:line="500" w:lineRule="exact"/>
        <w:rPr>
          <w:rFonts w:ascii="Times New Roman" w:hAnsi="Times New Roman"/>
          <w:b/>
          <w:bCs/>
          <w:color w:val="auto"/>
          <w:sz w:val="32"/>
          <w:szCs w:val="32"/>
          <w:highlight w:val="none"/>
        </w:rPr>
        <w:outlineLvl w:val="2"/>
      </w:pPr>
      <w:r/>
      <w:bookmarkStart w:id="14" w:name="_Toc38985264"/>
      <w:r/>
      <w:bookmarkStart w:id="15" w:name="_Toc35393791"/>
      <w:r/>
      <w:bookmarkStart w:id="16" w:name="_Toc28359003"/>
      <w:r/>
      <w:bookmarkStart w:id="17" w:name="_Toc35393622"/>
      <w:r/>
      <w:bookmarkStart w:id="18" w:name="_Toc169207380"/>
      <w:r/>
      <w:bookmarkStart w:id="19" w:name="_Toc28359080"/>
      <w:r>
        <w:rPr>
          <w:rFonts w:hint="eastAsia" w:ascii="Times New Roman" w:hAnsi="Times New Roman"/>
          <w:b/>
          <w:bCs/>
          <w:color w:val="auto"/>
          <w:sz w:val="32"/>
          <w:szCs w:val="32"/>
          <w:highlight w:val="none"/>
        </w:rPr>
        <w:t xml:space="preserve">二、申请人的资格要求：</w:t>
      </w:r>
      <w:bookmarkEnd w:id="14"/>
      <w:r/>
      <w:bookmarkEnd w:id="15"/>
      <w:r/>
      <w:bookmarkEnd w:id="16"/>
      <w:r/>
      <w:bookmarkEnd w:id="17"/>
      <w:r/>
      <w:bookmarkEnd w:id="18"/>
      <w:r/>
      <w:bookmarkEnd w:id="19"/>
      <w:r/>
      <w:r/>
    </w:p>
    <w:p>
      <w:pPr>
        <w:ind w:firstLine="480"/>
        <w:spacing w:line="500" w:lineRule="exact"/>
        <w:rPr>
          <w:rFonts w:ascii="Times New Roman" w:hAnsi="Times New Roman"/>
          <w:color w:val="auto"/>
          <w:sz w:val="24"/>
          <w:szCs w:val="24"/>
          <w:highlight w:val="none"/>
        </w:rPr>
      </w:pPr>
      <w:r/>
      <w:bookmarkStart w:id="20" w:name="_Toc35393623"/>
      <w:r/>
      <w:bookmarkStart w:id="21" w:name="_Toc38985265"/>
      <w:r/>
      <w:bookmarkStart w:id="22" w:name="_Toc28359081"/>
      <w:r/>
      <w:bookmarkStart w:id="23" w:name="_Toc28359004"/>
      <w:r/>
      <w:bookmarkStart w:id="24" w:name="_Toc35393792"/>
      <w:r>
        <w:rPr>
          <w:rFonts w:hint="eastAsia" w:ascii="Times New Roman" w:hAnsi="Times New Roman"/>
          <w:color w:val="auto"/>
          <w:sz w:val="24"/>
          <w:szCs w:val="24"/>
          <w:highlight w:val="none"/>
        </w:rPr>
        <w:t xml:space="preserve">（一</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通用</w:t>
      </w:r>
      <w:r>
        <w:rPr>
          <w:rFonts w:ascii="Times New Roman" w:hAnsi="Times New Roman"/>
          <w:color w:val="auto"/>
          <w:sz w:val="24"/>
          <w:szCs w:val="24"/>
          <w:highlight w:val="none"/>
        </w:rPr>
        <w:t xml:space="preserve">资格要求</w:t>
      </w:r>
      <w:r/>
    </w:p>
    <w:p>
      <w:pPr>
        <w:ind w:firstLine="480"/>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1.具备《中华人民共和国政府采购法》第二十二条第一款规定的6项条件（按要求提供声明及信用承诺）</w:t>
      </w:r>
      <w:r>
        <w:rPr>
          <w:rFonts w:hint="eastAsia" w:ascii="Times New Roman" w:hAnsi="Times New Roman"/>
          <w:color w:val="auto"/>
          <w:sz w:val="24"/>
          <w:szCs w:val="24"/>
          <w:highlight w:val="none"/>
          <w:lang w:eastAsia="zh-CN"/>
        </w:rPr>
        <w:t xml:space="preserve">。</w:t>
      </w:r>
      <w:r/>
    </w:p>
    <w:p>
      <w:pPr>
        <w:ind w:firstLine="480"/>
        <w:spacing w:line="500" w:lineRule="exact"/>
        <w:rPr>
          <w:color w:val="auto"/>
          <w:sz w:val="24"/>
          <w:szCs w:val="24"/>
          <w:highlight w:val="none"/>
        </w:rPr>
      </w:pPr>
      <w:r>
        <w:rPr>
          <w:rFonts w:hint="eastAsia"/>
          <w:color w:val="auto"/>
          <w:sz w:val="24"/>
          <w:szCs w:val="24"/>
          <w:highlight w:val="none"/>
        </w:rPr>
        <w:t xml:space="preserve">2.信用信息。信用信息查询渠道：“信用中国”网（www.creditchina.gov.cn）、“中国政府采购”网（www.ccgp.gov.cn）、江苏政府采购网（www.ccgp-jiangsu.gov.cn）。</w:t>
      </w:r>
      <w:r/>
    </w:p>
    <w:p>
      <w:pPr>
        <w:ind w:firstLine="480"/>
        <w:spacing w:line="500" w:lineRule="exact"/>
        <w:rPr>
          <w:color w:val="auto"/>
          <w:sz w:val="24"/>
          <w:szCs w:val="24"/>
          <w:highlight w:val="none"/>
        </w:rPr>
      </w:pPr>
      <w:r>
        <w:rPr>
          <w:rFonts w:hint="eastAsia"/>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00" w:lineRule="exact"/>
        <w:rPr>
          <w:rFonts w:ascii="Times New Roman" w:hAnsi="Times New Roman" w:cs="宋体"/>
          <w:color w:val="auto"/>
          <w:sz w:val="24"/>
          <w:szCs w:val="24"/>
          <w:highlight w:val="none"/>
        </w:rPr>
      </w:pPr>
      <w:r>
        <w:rPr>
          <w:rFonts w:hint="eastAsia"/>
          <w:color w:val="auto"/>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（二）本项目的特定资格要求</w:t>
      </w:r>
      <w:r/>
    </w:p>
    <w:p>
      <w:pPr>
        <w:ind w:firstLine="480"/>
        <w:spacing w:line="520" w:lineRule="exact"/>
        <w:rPr>
          <w:rFonts w:hint="eastAsia" w:ascii="Times New Roman" w:hAnsi="Times New Roman" w:eastAsia="宋体" w:cs="Times New Roman"/>
          <w:color w:val="auto"/>
          <w:sz w:val="24"/>
          <w:szCs w:val="24"/>
          <w:highlight w:val="none"/>
          <w:lang w:val="en-US" w:eastAsia="zh-CN"/>
        </w:rPr>
      </w:pPr>
      <w:r/>
      <w:bookmarkStart w:id="25" w:name="_Toc169207381"/>
      <w:r>
        <w:rPr>
          <w:rFonts w:hint="eastAsia" w:ascii="Times New Roman" w:hAnsi="Times New Roman" w:eastAsia="宋体" w:cs="Times New Roman"/>
          <w:color w:val="auto"/>
          <w:sz w:val="24"/>
          <w:szCs w:val="24"/>
          <w:highlight w:val="none"/>
          <w:lang w:val="en-US" w:eastAsia="zh-CN"/>
        </w:rPr>
        <w:t xml:space="preserve">1.</w:t>
      </w:r>
      <w:bookmarkStart w:id="26" w:name="OLE_LINK6"/>
      <w:r/>
      <w:bookmarkStart w:id="27" w:name="OLE_LINK2"/>
      <w:r/>
      <w:bookmarkStart w:id="28" w:name="OLE_LINK5"/>
      <w:r>
        <w:rPr>
          <w:rFonts w:hint="eastAsia" w:ascii="Times New Roman" w:hAnsi="Times New Roman" w:eastAsia="宋体" w:cs="Times New Roman"/>
          <w:color w:val="auto"/>
          <w:sz w:val="24"/>
          <w:szCs w:val="24"/>
          <w:highlight w:val="none"/>
          <w:lang w:val="en-US" w:eastAsia="zh-CN"/>
        </w:rPr>
        <w:t xml:space="preserve">供应商</w:t>
      </w:r>
      <w:bookmarkEnd w:id="26"/>
      <w:r>
        <w:rPr>
          <w:rFonts w:hint="eastAsia" w:ascii="Times New Roman" w:hAnsi="Times New Roman" w:eastAsia="宋体" w:cs="Times New Roman"/>
          <w:color w:val="auto"/>
          <w:sz w:val="24"/>
          <w:szCs w:val="24"/>
          <w:highlight w:val="none"/>
          <w:lang w:val="en-US" w:eastAsia="zh-CN"/>
        </w:rPr>
        <w:t xml:space="preserve">具备</w:t>
      </w:r>
      <w:bookmarkEnd w:id="27"/>
      <w:r>
        <w:rPr>
          <w:rFonts w:hint="eastAsia" w:ascii="Times New Roman" w:hAnsi="Times New Roman" w:eastAsia="宋体" w:cs="Times New Roman"/>
          <w:color w:val="auto"/>
          <w:sz w:val="24"/>
          <w:szCs w:val="24"/>
          <w:highlight w:val="none"/>
          <w:lang w:val="en-US" w:eastAsia="zh-CN"/>
        </w:rPr>
        <w:t xml:space="preserve">市政公用工程施工总承包乙级及以上资质（过渡期内原三级及以上资质视同满足）；</w:t>
      </w:r>
      <w:bookmarkEnd w:id="28"/>
      <w:r/>
      <w:r/>
    </w:p>
    <w:p>
      <w:pPr>
        <w:ind w:firstLine="480"/>
        <w:spacing w:line="52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2.</w:t>
      </w:r>
      <w:bookmarkStart w:id="29" w:name="OLE_LINK37"/>
      <w:r/>
      <w:bookmarkStart w:id="30" w:name="OLE_LINK30"/>
      <w:r>
        <w:rPr>
          <w:rFonts w:hint="eastAsia" w:ascii="Times New Roman" w:hAnsi="Times New Roman" w:eastAsia="宋体" w:cs="Times New Roman"/>
          <w:color w:val="auto"/>
          <w:sz w:val="24"/>
          <w:szCs w:val="24"/>
          <w:highlight w:val="none"/>
          <w:lang w:val="en-US" w:eastAsia="zh-CN"/>
        </w:rPr>
        <w:t xml:space="preserve">供应商具备安全生产条件，并取得安全生产许可证</w:t>
      </w:r>
      <w:bookmarkEnd w:id="29"/>
      <w:r>
        <w:rPr>
          <w:rFonts w:hint="eastAsia" w:ascii="Times New Roman" w:hAnsi="Times New Roman" w:eastAsia="宋体" w:cs="Times New Roman"/>
          <w:color w:val="auto"/>
          <w:sz w:val="24"/>
          <w:szCs w:val="24"/>
          <w:highlight w:val="none"/>
          <w:lang w:val="en-US" w:eastAsia="zh-CN"/>
        </w:rPr>
        <w:t xml:space="preserve">；</w:t>
      </w:r>
      <w:bookmarkEnd w:id="30"/>
      <w:r/>
      <w:r/>
    </w:p>
    <w:p>
      <w:pPr>
        <w:ind w:firstLine="480"/>
        <w:spacing w:line="520" w:lineRule="exact"/>
        <w:rPr>
          <w:rFonts w:hint="eastAsia" w:ascii="Times New Roman" w:hAnsi="Times New Roman" w:eastAsia="宋体" w:cs="Times New Roman"/>
          <w:color w:val="auto"/>
          <w:sz w:val="24"/>
          <w:szCs w:val="24"/>
          <w:highlight w:val="none"/>
        </w:rPr>
      </w:pPr>
      <w:r/>
      <w:bookmarkStart w:id="31" w:name="OLE_LINK10"/>
      <w:r>
        <w:rPr>
          <w:rFonts w:hint="eastAsia" w:ascii="Times New Roman" w:hAnsi="Times New Roman" w:eastAsia="宋体" w:cs="Times New Roman"/>
          <w:color w:val="auto"/>
          <w:sz w:val="24"/>
          <w:szCs w:val="24"/>
          <w:highlight w:val="none"/>
          <w:lang w:val="en-US" w:eastAsia="zh-CN"/>
        </w:rPr>
        <w:t xml:space="preserve">3.</w:t>
      </w:r>
      <w:bookmarkStart w:id="32" w:name="OLE_LINK9"/>
      <w:r/>
      <w:bookmarkStart w:id="33" w:name="OLE_LINK31"/>
      <w:r>
        <w:rPr>
          <w:rFonts w:hint="eastAsia" w:ascii="Times New Roman" w:hAnsi="Times New Roman" w:eastAsia="宋体" w:cs="Times New Roman"/>
          <w:color w:val="auto"/>
          <w:sz w:val="24"/>
          <w:szCs w:val="24"/>
          <w:highlight w:val="none"/>
          <w:lang w:val="en-US" w:eastAsia="zh-CN"/>
        </w:rPr>
        <w:t xml:space="preserve">拟选派项目负责人须具备市政公用工程专业二级及以上注册建造师资格，</w:t>
      </w:r>
      <w:bookmarkEnd w:id="31"/>
      <w:r/>
      <w:bookmarkEnd w:id="32"/>
      <w:r>
        <w:rPr>
          <w:rFonts w:hint="eastAsia" w:ascii="Times New Roman" w:hAnsi="Times New Roman" w:eastAsia="宋体" w:cs="Times New Roman"/>
          <w:color w:val="auto"/>
          <w:sz w:val="24"/>
          <w:szCs w:val="24"/>
          <w:highlight w:val="none"/>
          <w:lang w:val="en-US" w:eastAsia="zh-CN"/>
        </w:rPr>
        <w:t xml:space="preserve">且同时具有建筑施工企业项目负责人安全生产考核合格证书（B类证）；</w:t>
      </w:r>
      <w:bookmarkEnd w:id="33"/>
      <w:r/>
      <w:r/>
    </w:p>
    <w:p>
      <w:pPr>
        <w:ind w:firstLine="480"/>
        <w:spacing w:line="520" w:lineRule="exact"/>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w:t>
      </w:r>
      <w:bookmarkStart w:id="34" w:name="OLE_LINK32"/>
      <w:r/>
      <w:bookmarkStart w:id="35" w:name="OLE_LINK39"/>
      <w:r>
        <w:rPr>
          <w:rFonts w:hint="eastAsia" w:ascii="Times New Roman" w:hAnsi="Times New Roman" w:eastAsia="宋体" w:cs="Times New Roman"/>
          <w:color w:val="auto"/>
          <w:sz w:val="24"/>
          <w:szCs w:val="24"/>
          <w:highlight w:val="none"/>
          <w:lang w:val="en-US" w:eastAsia="zh-CN"/>
        </w:rPr>
        <w:t xml:space="preserve">供应商拟选派的项目负责人必须为本单位人员，且提供磋商前6个月内本单位为其办理的任意一个月社会养老保险或医疗保险缴纳证明材料</w:t>
      </w:r>
      <w:bookmarkEnd w:id="34"/>
      <w:r/>
      <w:bookmarkEnd w:id="35"/>
      <w:r>
        <w:rPr>
          <w:rFonts w:hint="eastAsia" w:ascii="Times New Roman" w:hAnsi="Times New Roman" w:eastAsia="宋体" w:cs="Times New Roman"/>
          <w:color w:val="auto"/>
          <w:sz w:val="24"/>
          <w:szCs w:val="24"/>
          <w:highlight w:val="none"/>
          <w:lang w:val="en-US" w:eastAsia="zh-CN"/>
        </w:rPr>
        <w:t xml:space="preserve">；</w:t>
      </w:r>
      <w:r/>
    </w:p>
    <w:p>
      <w:pPr>
        <w:ind w:firstLine="480"/>
        <w:jc w:val="left"/>
        <w:spacing w:line="560" w:lineRule="exact"/>
        <w:shd w:val="clear" w:color="auto" w:fill="auto"/>
        <w:widowControl/>
        <w:rPr>
          <w:rFonts w:hint="eastAsia"/>
          <w:color w:val="auto"/>
          <w:sz w:val="24"/>
          <w:szCs w:val="24"/>
          <w:highlight w:val="none"/>
          <w:lang w:eastAsia="zh-CN"/>
        </w:rPr>
      </w:pPr>
      <w:r>
        <w:rPr>
          <w:rFonts w:hint="eastAsia" w:ascii="宋体" w:hAnsi="宋体" w:eastAsia="宋体" w:cs="宋体"/>
          <w:color w:val="auto"/>
          <w:sz w:val="24"/>
          <w:highlight w:val="none"/>
          <w:shd w:val="clear" w:color="auto" w:fill="ffffff"/>
          <w:lang w:val="en-US" w:eastAsia="zh-CN"/>
        </w:rPr>
        <w:t xml:space="preserve">5.符合法律、法规规定的其他条件。</w:t>
      </w:r>
      <w:r/>
    </w:p>
    <w:p>
      <w:pPr>
        <w:ind w:firstLine="498"/>
        <w:keepLines/>
        <w:keepNext/>
        <w:spacing w:line="500" w:lineRule="exact"/>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w:t>
      </w:r>
      <w:bookmarkEnd w:id="20"/>
      <w:r/>
      <w:bookmarkEnd w:id="21"/>
      <w:r/>
      <w:bookmarkEnd w:id="22"/>
      <w:r/>
      <w:bookmarkEnd w:id="23"/>
      <w:r/>
      <w:bookmarkEnd w:id="24"/>
      <w:r>
        <w:rPr>
          <w:rFonts w:hint="eastAsia" w:ascii="Times New Roman" w:hAnsi="Times New Roman"/>
          <w:b/>
          <w:bCs/>
          <w:color w:val="auto"/>
          <w:sz w:val="32"/>
          <w:szCs w:val="32"/>
          <w:highlight w:val="none"/>
        </w:rPr>
        <w:t xml:space="preserve">磋商文件</w:t>
      </w:r>
      <w:bookmarkEnd w:id="25"/>
      <w:r/>
      <w:r/>
    </w:p>
    <w:p>
      <w:pPr>
        <w:ind w:firstLine="480"/>
        <w:spacing w:line="500" w:lineRule="exact"/>
        <w:rPr>
          <w:rFonts w:ascii="Times New Roman" w:hAnsi="Times New Roman"/>
          <w:bCs/>
          <w:color w:val="auto"/>
          <w:sz w:val="24"/>
          <w:szCs w:val="24"/>
          <w:highlight w:val="none"/>
        </w:rPr>
      </w:pPr>
      <w:r/>
      <w:bookmarkStart w:id="36" w:name="_Toc28359082"/>
      <w:r/>
      <w:bookmarkStart w:id="37" w:name="_Toc28359005"/>
      <w:r/>
      <w:bookmarkStart w:id="38" w:name="_Toc35393624"/>
      <w:r/>
      <w:bookmarkStart w:id="39" w:name="_Toc38985266"/>
      <w:r/>
      <w:bookmarkStart w:id="40" w:name="_Toc35393793"/>
      <w:r>
        <w:rPr>
          <w:rFonts w:hint="eastAsia" w:ascii="Times New Roman" w:hAnsi="Times New Roman" w:cs="宋体"/>
          <w:color w:val="auto"/>
          <w:sz w:val="24"/>
          <w:szCs w:val="24"/>
          <w:highlight w:val="none"/>
        </w:rPr>
        <w:t xml:space="preserve">1.时间：202</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cs="宋体"/>
          <w:color w:val="auto"/>
          <w:sz w:val="24"/>
          <w:szCs w:val="24"/>
          <w:highlight w:val="none"/>
        </w:rPr>
        <w:t xml:space="preserve">年</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cs="宋体"/>
          <w:color w:val="auto"/>
          <w:sz w:val="24"/>
          <w:szCs w:val="24"/>
          <w:highlight w:val="none"/>
        </w:rPr>
        <w:t xml:space="preserve">月</w:t>
      </w:r>
      <w:r>
        <w:rPr>
          <w:rFonts w:hint="eastAsia" w:ascii="Times New Roman" w:hAnsi="Times New Roman" w:cs="宋体"/>
          <w:color w:val="auto"/>
          <w:sz w:val="24"/>
          <w:szCs w:val="24"/>
          <w:highlight w:val="none"/>
          <w:lang w:val="en-US" w:eastAsia="zh-CN"/>
        </w:rPr>
        <w:t xml:space="preserve">17</w:t>
      </w:r>
      <w:r>
        <w:rPr>
          <w:rFonts w:hint="eastAsia" w:ascii="Times New Roman" w:hAnsi="Times New Roman" w:cs="宋体"/>
          <w:color w:val="auto"/>
          <w:sz w:val="24"/>
          <w:szCs w:val="24"/>
          <w:highlight w:val="none"/>
        </w:rPr>
        <w:t xml:space="preserve">日09:00至202</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cs="宋体"/>
          <w:color w:val="auto"/>
          <w:sz w:val="24"/>
          <w:szCs w:val="24"/>
          <w:highlight w:val="none"/>
        </w:rPr>
        <w:t xml:space="preserve">年</w:t>
      </w:r>
      <w:r>
        <w:rPr>
          <w:rFonts w:hint="eastAsia" w:ascii="Times New Roman" w:hAnsi="Times New Roman" w:cs="宋体"/>
          <w:color w:val="auto"/>
          <w:sz w:val="24"/>
          <w:szCs w:val="24"/>
          <w:highlight w:val="none"/>
          <w:lang w:val="en-US" w:eastAsia="zh-CN"/>
        </w:rPr>
        <w:t xml:space="preserve">6</w:t>
      </w:r>
      <w:r>
        <w:rPr>
          <w:rFonts w:hint="eastAsia" w:ascii="Times New Roman" w:hAnsi="Times New Roman" w:cs="宋体"/>
          <w:color w:val="auto"/>
          <w:sz w:val="24"/>
          <w:szCs w:val="24"/>
          <w:highlight w:val="none"/>
        </w:rPr>
        <w:t xml:space="preserve">月</w:t>
      </w:r>
      <w:r>
        <w:rPr>
          <w:rFonts w:hint="eastAsia" w:ascii="Times New Roman" w:hAnsi="Times New Roman" w:cs="宋体"/>
          <w:color w:val="auto"/>
          <w:sz w:val="24"/>
          <w:szCs w:val="24"/>
          <w:highlight w:val="none"/>
          <w:lang w:val="en-US" w:eastAsia="zh-CN"/>
        </w:rPr>
        <w:t xml:space="preserve">24</w:t>
      </w:r>
      <w:r>
        <w:rPr>
          <w:rFonts w:hint="eastAsia" w:ascii="Times New Roman" w:hAnsi="Times New Roman" w:cs="宋体"/>
          <w:color w:val="auto"/>
          <w:sz w:val="24"/>
          <w:szCs w:val="24"/>
          <w:highlight w:val="none"/>
        </w:rPr>
        <w:t xml:space="preserve">日</w:t>
      </w:r>
      <w:r>
        <w:rPr>
          <w:rFonts w:hint="eastAsia" w:ascii="Times New Roman" w:hAnsi="Times New Roman" w:cs="宋体"/>
          <w:color w:val="auto"/>
          <w:sz w:val="24"/>
          <w:szCs w:val="24"/>
          <w:highlight w:val="none"/>
          <w:lang w:val="en-US" w:eastAsia="zh-CN"/>
        </w:rPr>
        <w:t xml:space="preserve">17</w:t>
      </w:r>
      <w:r>
        <w:rPr>
          <w:rFonts w:hint="eastAsia" w:ascii="Times New Roman" w:hAnsi="Times New Roman"/>
          <w:bCs/>
          <w:color w:val="auto"/>
          <w:sz w:val="24"/>
          <w:szCs w:val="24"/>
          <w:highlight w:val="none"/>
        </w:rPr>
        <w:t xml:space="preserve">：</w:t>
      </w:r>
      <w:r>
        <w:rPr>
          <w:rFonts w:hint="eastAsia" w:ascii="Times New Roman" w:hAnsi="Times New Roman"/>
          <w:bCs/>
          <w:color w:val="auto"/>
          <w:sz w:val="24"/>
          <w:szCs w:val="24"/>
          <w:highlight w:val="none"/>
          <w:lang w:val="en-US" w:eastAsia="zh-CN"/>
        </w:rPr>
        <w:t xml:space="preserve">3</w:t>
      </w:r>
      <w:r>
        <w:rPr>
          <w:rFonts w:ascii="Times New Roman" w:hAnsi="Times New Roman"/>
          <w:bCs/>
          <w:color w:val="auto"/>
          <w:sz w:val="24"/>
          <w:szCs w:val="24"/>
          <w:highlight w:val="none"/>
        </w:rPr>
        <w:t xml:space="preserve">0</w:t>
      </w:r>
      <w:r>
        <w:rPr>
          <w:rFonts w:hint="eastAsia" w:ascii="Times New Roman" w:hAnsi="Times New Roman"/>
          <w:bCs/>
          <w:color w:val="auto"/>
          <w:sz w:val="24"/>
          <w:szCs w:val="24"/>
          <w:highlight w:val="none"/>
        </w:rPr>
        <w:t xml:space="preserve">。</w:t>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540"/>
        <w:spacing w:line="500" w:lineRule="exact"/>
        <w:rPr>
          <w:rFonts w:ascii="Times New Roman" w:hAnsi="Times New Roman" w:cs="宋体"/>
          <w:color w:val="auto"/>
          <w:sz w:val="24"/>
          <w:szCs w:val="24"/>
          <w:highlight w:val="none"/>
          <w:u w:val="single"/>
        </w:rPr>
      </w:pPr>
      <w:r/>
      <w:bookmarkStart w:id="41" w:name="EB0c44ff4da61f4af989d119fe214be450"/>
      <w:r>
        <w:rPr>
          <w:rFonts w:hint="eastAsia" w:ascii="Times New Roman" w:hAnsi="Times New Roman" w:cs="仿宋_GB2312"/>
          <w:color w:val="auto"/>
          <w:sz w:val="24"/>
          <w:szCs w:val="28"/>
          <w:highlight w:val="none"/>
        </w:rPr>
        <w:t xml:space="preserve">3.本项目共分一个包。供应商未按要求获取竞争性磋商文件导致无法磋商的，后果自负（其响应文件不予接受）。</w:t>
      </w:r>
      <w:bookmarkEnd w:id="41"/>
      <w:r/>
      <w:r/>
    </w:p>
    <w:p>
      <w:pPr>
        <w:ind w:firstLine="498"/>
        <w:keepLines/>
        <w:keepNext/>
        <w:spacing w:line="500" w:lineRule="exact"/>
        <w:rPr>
          <w:rFonts w:ascii="Times New Roman" w:hAnsi="Times New Roman"/>
          <w:b/>
          <w:bCs/>
          <w:color w:val="auto"/>
          <w:sz w:val="32"/>
          <w:szCs w:val="32"/>
          <w:highlight w:val="none"/>
        </w:rPr>
        <w:outlineLvl w:val="2"/>
      </w:pPr>
      <w:r/>
      <w:bookmarkStart w:id="42" w:name="_Toc169207382"/>
      <w:r>
        <w:rPr>
          <w:rFonts w:hint="eastAsia" w:ascii="Times New Roman" w:hAnsi="Times New Roman"/>
          <w:b/>
          <w:bCs/>
          <w:color w:val="auto"/>
          <w:sz w:val="32"/>
          <w:szCs w:val="32"/>
          <w:highlight w:val="none"/>
        </w:rPr>
        <w:t xml:space="preserve">四、提交</w:t>
      </w:r>
      <w:bookmarkEnd w:id="36"/>
      <w:r/>
      <w:bookmarkEnd w:id="37"/>
      <w:r>
        <w:rPr>
          <w:rFonts w:hint="eastAsia" w:ascii="Times New Roman" w:hAnsi="Times New Roman"/>
          <w:b/>
          <w:bCs/>
          <w:color w:val="auto"/>
          <w:sz w:val="32"/>
          <w:szCs w:val="32"/>
          <w:highlight w:val="none"/>
        </w:rPr>
        <w:t xml:space="preserve">响应文件截止时间</w:t>
      </w:r>
      <w:bookmarkEnd w:id="38"/>
      <w:r/>
      <w:bookmarkEnd w:id="39"/>
      <w:r/>
      <w:bookmarkEnd w:id="40"/>
      <w:r/>
      <w:bookmarkEnd w:id="42"/>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bCs/>
          <w:color w:val="auto"/>
          <w:sz w:val="24"/>
          <w:szCs w:val="24"/>
          <w:highlight w:val="none"/>
        </w:rPr>
        <w:t xml:space="preserve">1.提交响应文件截止时间、磋商时间：</w:t>
      </w:r>
      <w:r>
        <w:rPr>
          <w:rFonts w:hint="eastAsia"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color w:val="auto"/>
          <w:sz w:val="24"/>
          <w:szCs w:val="24"/>
          <w:highlight w:val="none"/>
          <w:u w:val="single"/>
        </w:rPr>
        <w:t xml:space="preserve">年</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bCs/>
          <w:color w:val="auto"/>
          <w:sz w:val="24"/>
          <w:szCs w:val="24"/>
          <w:highlight w:val="none"/>
          <w:u w:val="single"/>
        </w:rPr>
        <w:t xml:space="preserve">月</w:t>
      </w:r>
      <w:r>
        <w:rPr>
          <w:rFonts w:hint="eastAsia" w:ascii="Times New Roman" w:hAnsi="Times New Roman"/>
          <w:bCs/>
          <w:color w:val="auto"/>
          <w:sz w:val="24"/>
          <w:szCs w:val="24"/>
          <w:highlight w:val="none"/>
          <w:u w:val="single"/>
          <w:lang w:val="en-US" w:eastAsia="zh-CN"/>
        </w:rPr>
        <w:t xml:space="preserve">30</w:t>
      </w:r>
      <w:r>
        <w:rPr>
          <w:rFonts w:hint="eastAsia" w:ascii="Times New Roman" w:hAnsi="Times New Roman"/>
          <w:bCs/>
          <w:color w:val="auto"/>
          <w:sz w:val="24"/>
          <w:szCs w:val="24"/>
          <w:highlight w:val="none"/>
          <w:u w:val="single"/>
        </w:rPr>
        <w:t xml:space="preserve">日</w:t>
      </w:r>
      <w:r>
        <w:rPr>
          <w:rFonts w:hint="eastAsia" w:ascii="Times New Roman" w:hAnsi="Times New Roman"/>
          <w:bCs/>
          <w:color w:val="auto"/>
          <w:sz w:val="24"/>
          <w:szCs w:val="24"/>
          <w:highlight w:val="none"/>
          <w:u w:val="single"/>
          <w:lang w:val="en-US" w:eastAsia="zh-CN"/>
        </w:rPr>
        <w:t xml:space="preserve">9</w:t>
      </w:r>
      <w:r>
        <w:rPr>
          <w:rFonts w:hint="eastAsia" w:ascii="Times New Roman" w:hAnsi="Times New Roman"/>
          <w:bCs/>
          <w:color w:val="auto"/>
          <w:sz w:val="24"/>
          <w:szCs w:val="24"/>
          <w:highlight w:val="none"/>
          <w:u w:val="single"/>
        </w:rPr>
        <w:t xml:space="preserve">点3</w:t>
      </w:r>
      <w:r>
        <w:rPr>
          <w:rFonts w:ascii="Times New Roman" w:hAnsi="Times New Roman"/>
          <w:bCs/>
          <w:color w:val="auto"/>
          <w:sz w:val="24"/>
          <w:szCs w:val="24"/>
          <w:highlight w:val="none"/>
          <w:u w:val="single"/>
        </w:rPr>
        <w:t xml:space="preserve">0</w:t>
      </w:r>
      <w:r>
        <w:rPr>
          <w:rFonts w:hint="eastAsia" w:ascii="Times New Roman" w:hAnsi="Times New Roman"/>
          <w:bCs/>
          <w:color w:val="auto"/>
          <w:sz w:val="24"/>
          <w:szCs w:val="24"/>
          <w:highlight w:val="none"/>
          <w:u w:val="single"/>
        </w:rPr>
        <w:t xml:space="preserve">分</w:t>
      </w:r>
      <w:r>
        <w:rPr>
          <w:rFonts w:hint="eastAsia" w:ascii="Times New Roman" w:hAnsi="Times New Roman"/>
          <w:bCs/>
          <w:color w:val="auto"/>
          <w:sz w:val="24"/>
          <w:szCs w:val="24"/>
          <w:highlight w:val="none"/>
        </w:rPr>
        <w:t xml:space="preserve">（北京时间）。</w:t>
      </w:r>
      <w:r/>
    </w:p>
    <w:p>
      <w:pPr>
        <w:ind w:firstLine="540"/>
        <w:spacing w:line="500" w:lineRule="exact"/>
        <w:rPr>
          <w:rFonts w:ascii="Times New Roman" w:hAnsi="Times New Roman" w:cs="仿宋_GB2312"/>
          <w:color w:val="auto"/>
          <w:sz w:val="24"/>
          <w:szCs w:val="28"/>
          <w:highlight w:val="none"/>
        </w:rPr>
      </w:pPr>
      <w:r>
        <w:rPr>
          <w:rFonts w:hint="eastAsia" w:ascii="Times New Roman" w:hAnsi="Times New Roman" w:cs="仿宋_GB2312"/>
          <w:color w:val="auto"/>
          <w:sz w:val="24"/>
          <w:szCs w:val="28"/>
          <w:highlight w:val="none"/>
        </w:rPr>
        <w:t xml:space="preserve">2.地点：“苏采云”政府采购交易系统网上开标大厅。</w:t>
      </w:r>
      <w:r/>
    </w:p>
    <w:p>
      <w:pPr>
        <w:ind w:firstLine="498"/>
        <w:keepLines/>
        <w:keepNext/>
        <w:spacing w:line="500" w:lineRule="exact"/>
        <w:rPr>
          <w:rFonts w:ascii="Times New Roman" w:hAnsi="Times New Roman"/>
          <w:b/>
          <w:bCs/>
          <w:color w:val="auto"/>
          <w:sz w:val="32"/>
          <w:szCs w:val="32"/>
          <w:highlight w:val="none"/>
        </w:rPr>
        <w:outlineLvl w:val="2"/>
      </w:pPr>
      <w:r/>
      <w:bookmarkStart w:id="43" w:name="_Toc28359007"/>
      <w:r/>
      <w:bookmarkStart w:id="44" w:name="_Toc35393625"/>
      <w:r/>
      <w:bookmarkStart w:id="45" w:name="_Toc35393794"/>
      <w:r/>
      <w:bookmarkStart w:id="46" w:name="_Toc169207383"/>
      <w:r/>
      <w:bookmarkStart w:id="47" w:name="_Toc28359084"/>
      <w:r/>
      <w:bookmarkStart w:id="48" w:name="_Toc38985267"/>
      <w:r>
        <w:rPr>
          <w:rFonts w:hint="eastAsia" w:ascii="Times New Roman" w:hAnsi="Times New Roman"/>
          <w:b/>
          <w:bCs/>
          <w:color w:val="auto"/>
          <w:sz w:val="32"/>
          <w:szCs w:val="32"/>
          <w:highlight w:val="none"/>
        </w:rPr>
        <w:t xml:space="preserve">五、公告期限</w:t>
      </w:r>
      <w:bookmarkEnd w:id="43"/>
      <w:r/>
      <w:bookmarkEnd w:id="44"/>
      <w:r/>
      <w:bookmarkEnd w:id="45"/>
      <w:r/>
      <w:bookmarkEnd w:id="46"/>
      <w:r/>
      <w:bookmarkEnd w:id="47"/>
      <w:r/>
      <w:bookmarkEnd w:id="48"/>
      <w:r/>
      <w:r/>
    </w:p>
    <w:p>
      <w:pPr>
        <w:ind w:firstLine="540"/>
        <w:spacing w:line="500" w:lineRule="exact"/>
        <w:rPr>
          <w:rFonts w:ascii="Times New Roman" w:hAnsi="Times New Roman" w:cs="仿宋_GB2312"/>
          <w:color w:val="auto"/>
          <w:sz w:val="24"/>
          <w:szCs w:val="28"/>
          <w:highlight w:val="none"/>
        </w:rPr>
      </w:pPr>
      <w:r/>
      <w:bookmarkStart w:id="49" w:name="_Toc35393795"/>
      <w:r/>
      <w:bookmarkStart w:id="50" w:name="_Toc35393626"/>
      <w:r/>
      <w:bookmarkStart w:id="51" w:name="_Toc38985268"/>
      <w:r>
        <w:rPr>
          <w:rFonts w:hint="eastAsia" w:ascii="Times New Roman" w:hAnsi="Times New Roman" w:cs="仿宋_GB2312"/>
          <w:color w:val="auto"/>
          <w:sz w:val="24"/>
          <w:szCs w:val="28"/>
          <w:highlight w:val="none"/>
        </w:rPr>
        <w:t xml:space="preserve">磋商公告及磋商文件公告期限为自本公告发布之日起5个工作日。采购公告发布媒体：宿迁市政府采购网、宿迁市公共资源交易平台、江苏省财政部门指定的媒体。</w:t>
      </w:r>
      <w:r/>
    </w:p>
    <w:p>
      <w:pPr>
        <w:ind w:firstLine="498"/>
        <w:keepLines/>
        <w:keepNext/>
        <w:spacing w:line="500" w:lineRule="exact"/>
        <w:rPr>
          <w:rFonts w:ascii="Times New Roman" w:hAnsi="Times New Roman"/>
          <w:b/>
          <w:bCs/>
          <w:color w:val="auto"/>
          <w:sz w:val="32"/>
          <w:szCs w:val="32"/>
          <w:highlight w:val="none"/>
        </w:rPr>
        <w:outlineLvl w:val="2"/>
      </w:pPr>
      <w:r/>
      <w:bookmarkStart w:id="52" w:name="_Toc169207384"/>
      <w:r>
        <w:rPr>
          <w:rFonts w:hint="eastAsia" w:ascii="Times New Roman" w:hAnsi="Times New Roman"/>
          <w:b/>
          <w:bCs/>
          <w:color w:val="auto"/>
          <w:sz w:val="32"/>
          <w:szCs w:val="32"/>
          <w:highlight w:val="none"/>
        </w:rPr>
        <w:t xml:space="preserve">六、其他补充事宜</w:t>
      </w:r>
      <w:bookmarkEnd w:id="49"/>
      <w:r/>
      <w:bookmarkEnd w:id="50"/>
      <w:r/>
      <w:bookmarkEnd w:id="51"/>
      <w:r/>
      <w:bookmarkEnd w:id="52"/>
      <w:r/>
      <w:r/>
    </w:p>
    <w:p>
      <w:pPr>
        <w:ind w:firstLine="480"/>
        <w:spacing w:line="500" w:lineRule="exact"/>
        <w:rPr>
          <w:rFonts w:ascii="Times New Roman" w:hAnsi="Times New Roman"/>
          <w:color w:val="auto"/>
          <w:sz w:val="24"/>
          <w:highlight w:val="none"/>
        </w:rPr>
      </w:pPr>
      <w:r/>
      <w:bookmarkStart w:id="53" w:name="EB64e1f522fd8c43fcb4d3ba471386b3e7"/>
      <w:r>
        <w:rPr>
          <w:rFonts w:hint="eastAsia" w:ascii="Times New Roman" w:hAnsi="Times New Roman"/>
          <w:color w:val="auto"/>
          <w:sz w:val="24"/>
          <w:highlight w:val="none"/>
        </w:rPr>
        <w:t xml:space="preserve">1.财政部门监督电话：0527-82963292。</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2.“CA”数字证书办理：“苏采云”系统目前仅支持“苏采云”系统下的政务CA。省内各地区办理的“苏采云”系统下的政务CA全省通用。宿迁地区CA数字证书办理联系方式：18351098172。</w:t>
      </w:r>
      <w:r/>
    </w:p>
    <w:p>
      <w:pPr>
        <w:pStyle w:val="1190"/>
        <w:ind w:firstLine="480"/>
        <w:spacing w:line="50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3.宿迁地区“苏采云”技术支持客服电话：0527-84363067、0519-86722806。</w:t>
      </w:r>
      <w:r/>
    </w:p>
    <w:p>
      <w:pPr>
        <w:pStyle w:val="1190"/>
        <w:ind w:firstLine="480"/>
        <w:spacing w:line="500" w:lineRule="exact"/>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 xml:space="preserve">4.如果供应商通过苏采云系统参与政府采购项目，相关操作手册详见链接：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 xml:space="preserve">http://www.ccgp-jiangsu.gov.cn/jiangsu/zlxz/ee/ee3a4bc5a3454aa2b0d9312230633ce9.html。</w:t>
      </w:r>
      <w:bookmarkEnd w:id="53"/>
      <w:r/>
      <w:r/>
    </w:p>
    <w:p>
      <w:pPr>
        <w:ind w:firstLine="480"/>
        <w:spacing w:line="500" w:lineRule="exact"/>
        <w:rPr>
          <w:rFonts w:ascii="Times New Roman" w:hAnsi="Times New Roman" w:cs="宋体"/>
          <w:color w:val="auto"/>
          <w:sz w:val="24"/>
          <w:szCs w:val="24"/>
          <w:highlight w:val="none"/>
        </w:rPr>
      </w:pPr>
      <w:r>
        <w:rPr>
          <w:rFonts w:hint="eastAsia" w:ascii="Times New Roman" w:hAnsi="Times New Roman"/>
          <w:color w:val="auto"/>
          <w:sz w:val="24"/>
          <w:highlight w:val="none"/>
        </w:rPr>
        <w:t xml:space="preserve">5.现场勘察及答疑：本项目不组织集中勘察及答疑，供应商如对采购需求有疑问，请咨询采购单位联系人。</w:t>
      </w:r>
      <w:r/>
    </w:p>
    <w:p>
      <w:pPr>
        <w:ind w:firstLine="498"/>
        <w:keepLines/>
        <w:keepNext/>
        <w:spacing w:line="500" w:lineRule="exact"/>
        <w:rPr>
          <w:rFonts w:ascii="Times New Roman" w:hAnsi="Times New Roman"/>
          <w:b/>
          <w:bCs/>
          <w:color w:val="auto"/>
          <w:sz w:val="32"/>
          <w:szCs w:val="32"/>
          <w:highlight w:val="none"/>
        </w:rPr>
        <w:outlineLvl w:val="2"/>
      </w:pPr>
      <w:r/>
      <w:bookmarkStart w:id="54" w:name="_Toc35393796"/>
      <w:r/>
      <w:bookmarkStart w:id="55" w:name="_Toc28359008"/>
      <w:r/>
      <w:bookmarkStart w:id="56" w:name="_Toc38985269"/>
      <w:r/>
      <w:bookmarkStart w:id="57" w:name="_Toc35393627"/>
      <w:r/>
      <w:bookmarkStart w:id="58" w:name="_Toc28359085"/>
      <w:r/>
      <w:bookmarkStart w:id="59" w:name="_Toc169207385"/>
      <w:r>
        <w:rPr>
          <w:rFonts w:hint="eastAsia" w:ascii="Times New Roman" w:hAnsi="Times New Roman"/>
          <w:b/>
          <w:bCs/>
          <w:color w:val="auto"/>
          <w:sz w:val="32"/>
          <w:szCs w:val="32"/>
          <w:highlight w:val="none"/>
        </w:rPr>
        <w:t xml:space="preserve">七、本次磋商联系方式</w:t>
      </w:r>
      <w:bookmarkEnd w:id="54"/>
      <w:r/>
      <w:bookmarkEnd w:id="55"/>
      <w:r/>
      <w:bookmarkEnd w:id="56"/>
      <w:r/>
      <w:bookmarkEnd w:id="57"/>
      <w:r/>
      <w:bookmarkEnd w:id="58"/>
      <w:r/>
      <w:bookmarkEnd w:id="59"/>
      <w:r/>
      <w:r/>
    </w:p>
    <w:p>
      <w:pPr>
        <w:ind w:firstLine="480"/>
        <w:spacing w:line="500" w:lineRule="exact"/>
        <w:rPr>
          <w:rFonts w:ascii="宋体" w:hAnsi="宋体" w:cs="宋体"/>
          <w:color w:val="auto"/>
          <w:sz w:val="24"/>
          <w:highlight w:val="none"/>
        </w:rPr>
      </w:pPr>
      <w:r>
        <w:rPr>
          <w:rFonts w:hint="eastAsia" w:ascii="宋体" w:hAnsi="宋体" w:cs="宋体"/>
          <w:color w:val="auto"/>
          <w:sz w:val="24"/>
          <w:szCs w:val="24"/>
          <w:highlight w:val="none"/>
        </w:rPr>
        <w:t xml:space="preserve">1.</w:t>
      </w:r>
      <w:bookmarkStart w:id="60" w:name="_Toc28359086"/>
      <w:r/>
      <w:bookmarkStart w:id="61" w:name="_Toc28359009"/>
      <w:r>
        <w:rPr>
          <w:rFonts w:hint="eastAsia" w:ascii="宋体" w:hAnsi="宋体" w:cs="宋体"/>
          <w:color w:val="auto"/>
          <w:sz w:val="24"/>
          <w:highlight w:val="none"/>
        </w:rPr>
        <w:t xml:space="preserve">采购人信息</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宿迁学院附属学校</w:t>
      </w:r>
      <w:r/>
    </w:p>
    <w:p>
      <w:pPr>
        <w:ind w:firstLine="480"/>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地址：</w:t>
      </w:r>
      <w:r>
        <w:rPr>
          <w:rFonts w:hint="eastAsia" w:ascii="宋体" w:hAnsi="宋体" w:cs="宋体"/>
          <w:color w:val="auto"/>
          <w:sz w:val="24"/>
          <w:highlight w:val="none"/>
          <w:lang w:eastAsia="zh-CN"/>
        </w:rPr>
        <w:t xml:space="preserve">宿迁市宿城区河滨街道城北路390号</w:t>
      </w:r>
      <w:r/>
    </w:p>
    <w:p>
      <w:pPr>
        <w:ind w:firstLine="480"/>
        <w:spacing w:line="50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联系人：</w:t>
      </w:r>
      <w:r>
        <w:rPr>
          <w:rFonts w:hint="eastAsia" w:ascii="宋体" w:hAnsi="宋体" w:cs="宋体"/>
          <w:color w:val="auto"/>
          <w:sz w:val="24"/>
          <w:highlight w:val="none"/>
          <w:lang w:eastAsia="zh-CN"/>
        </w:rPr>
        <w:t xml:space="preserve">沈维胜</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13951244693</w:t>
      </w:r>
      <w:r/>
    </w:p>
    <w:p>
      <w:pPr>
        <w:ind w:firstLine="480"/>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2.采购代理机构信息</w:t>
      </w:r>
      <w:bookmarkEnd w:id="60"/>
      <w:r/>
      <w:bookmarkEnd w:id="61"/>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江苏经天纬地建设项目管理有限公司</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宿迁市宿豫区金融财富广场C栋15楼</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周辰</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eastAsia="zh-CN"/>
        </w:rPr>
        <w:t xml:space="preserve">18262844633</w:t>
      </w:r>
      <w:r/>
    </w:p>
    <w:p>
      <w:pPr>
        <w:ind w:firstLine="498"/>
        <w:keepLines/>
        <w:keepNext/>
        <w:spacing w:line="500" w:lineRule="exact"/>
        <w:rPr>
          <w:rFonts w:hint="eastAsia" w:ascii="Times New Roman" w:hAnsi="Times New Roman" w:eastAsia="宋体" w:cs="Times New Roman"/>
          <w:b/>
          <w:bCs/>
          <w:color w:val="auto"/>
          <w:sz w:val="32"/>
          <w:szCs w:val="32"/>
          <w:highlight w:val="none"/>
        </w:rPr>
        <w:outlineLvl w:val="2"/>
      </w:pPr>
      <w:r/>
      <w:bookmarkStart w:id="62" w:name="_Toc191418231"/>
      <w:r>
        <w:rPr>
          <w:rFonts w:hint="eastAsia" w:ascii="Times New Roman" w:hAnsi="Times New Roman" w:eastAsia="宋体" w:cs="Times New Roman"/>
          <w:b/>
          <w:bCs/>
          <w:color w:val="auto"/>
          <w:sz w:val="32"/>
          <w:szCs w:val="32"/>
          <w:highlight w:val="none"/>
        </w:rPr>
        <w:t xml:space="preserve">八、其他</w:t>
      </w:r>
      <w:bookmarkEnd w:id="62"/>
      <w:r/>
      <w:r/>
    </w:p>
    <w:p>
      <w:pPr>
        <w:ind w:firstLine="480"/>
        <w:spacing w:line="50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1.有关本次采购的事项若存在变动或修改，敬请及时关注“宿迁市政府采购网”更正公告。</w:t>
      </w:r>
      <w:r/>
    </w:p>
    <w:p>
      <w:pPr>
        <w:ind w:firstLine="480"/>
        <w:spacing w:line="500" w:lineRule="exact"/>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2.本次磋商不收取磋商保证金。</w:t>
      </w:r>
      <w:r/>
    </w:p>
    <w:p>
      <w:pPr>
        <w:rPr>
          <w:rFonts w:ascii="宋体" w:hAnsi="宋体" w:cs="宋体"/>
          <w:bCs/>
          <w:color w:val="auto"/>
          <w:sz w:val="24"/>
          <w:szCs w:val="24"/>
          <w:highlight w:val="none"/>
        </w:rPr>
      </w:pPr>
      <w:r>
        <w:rPr>
          <w:rFonts w:ascii="宋体" w:hAnsi="宋体" w:cs="宋体"/>
          <w:bCs/>
          <w:color w:val="auto"/>
          <w:sz w:val="24"/>
          <w:szCs w:val="24"/>
          <w:highlight w:val="none"/>
        </w:rPr>
      </w:r>
      <w:r/>
    </w:p>
    <w:p>
      <w:pPr>
        <w:ind w:right="840"/>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keepNext/>
        <w:rPr>
          <w:rFonts w:ascii="Times New Roman" w:hAnsi="Times New Roman" w:eastAsia="黑体"/>
          <w:color w:val="auto"/>
          <w:sz w:val="44"/>
          <w:szCs w:val="44"/>
          <w:highlight w:val="none"/>
        </w:rPr>
        <w:outlineLvl w:val="0"/>
      </w:pPr>
      <w:r/>
      <w:bookmarkStart w:id="63" w:name="_Toc120614211"/>
      <w:r/>
      <w:bookmarkStart w:id="64" w:name="_Toc169207387"/>
      <w:r>
        <w:rPr>
          <w:rFonts w:hint="eastAsia" w:ascii="Times New Roman" w:hAnsi="Times New Roman" w:eastAsia="黑体"/>
          <w:color w:val="auto"/>
          <w:sz w:val="44"/>
          <w:szCs w:val="44"/>
          <w:highlight w:val="none"/>
        </w:rPr>
        <w:t xml:space="preserve">第二章  </w:t>
      </w:r>
      <w:bookmarkEnd w:id="1"/>
      <w:r/>
      <w:bookmarkEnd w:id="2"/>
      <w:r/>
      <w:bookmarkEnd w:id="3"/>
      <w:r/>
      <w:bookmarkEnd w:id="4"/>
      <w:r/>
      <w:bookmarkEnd w:id="5"/>
      <w:r/>
      <w:bookmarkEnd w:id="63"/>
      <w:r>
        <w:rPr>
          <w:rFonts w:hint="eastAsia" w:ascii="Times New Roman" w:hAnsi="Times New Roman" w:eastAsia="黑体"/>
          <w:color w:val="auto"/>
          <w:sz w:val="44"/>
          <w:szCs w:val="44"/>
          <w:highlight w:val="none"/>
        </w:rPr>
        <w:t xml:space="preserve">供应商须知</w:t>
      </w:r>
      <w:bookmarkEnd w:id="64"/>
      <w:r/>
      <w:r/>
    </w:p>
    <w:p>
      <w:pPr>
        <w:ind w:firstLine="498"/>
        <w:keepLines/>
        <w:keepNext/>
        <w:spacing w:line="560" w:lineRule="exact"/>
        <w:rPr>
          <w:rFonts w:ascii="Times New Roman" w:hAnsi="Times New Roman"/>
          <w:b/>
          <w:bCs/>
          <w:color w:val="auto"/>
          <w:sz w:val="32"/>
          <w:szCs w:val="32"/>
          <w:highlight w:val="none"/>
        </w:rPr>
        <w:outlineLvl w:val="2"/>
      </w:pPr>
      <w:r/>
      <w:bookmarkStart w:id="65" w:name="_Toc20823275"/>
      <w:r/>
      <w:bookmarkStart w:id="66" w:name="_Toc16938519"/>
      <w:r/>
      <w:bookmarkStart w:id="67" w:name="_Toc169207388"/>
      <w:r/>
      <w:bookmarkStart w:id="68" w:name="_Toc120614214"/>
      <w:r/>
      <w:bookmarkStart w:id="69" w:name="_Toc513029203"/>
      <w:r>
        <w:rPr>
          <w:rFonts w:hint="eastAsia" w:ascii="Times New Roman" w:hAnsi="Times New Roman"/>
          <w:b/>
          <w:bCs/>
          <w:color w:val="auto"/>
          <w:sz w:val="32"/>
          <w:szCs w:val="32"/>
          <w:highlight w:val="none"/>
        </w:rPr>
        <w:t xml:space="preserve">一、总则</w:t>
      </w:r>
      <w:bookmarkEnd w:id="65"/>
      <w:r/>
      <w:bookmarkEnd w:id="66"/>
      <w:r/>
      <w:bookmarkEnd w:id="67"/>
      <w:r/>
      <w:bookmarkEnd w:id="68"/>
      <w:r/>
      <w:bookmarkEnd w:id="69"/>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70" w:name="_Hlt16619475"/>
      <w:r/>
      <w:bookmarkEnd w:id="70"/>
      <w:r/>
      <w:bookmarkStart w:id="71" w:name="_Toc458694821"/>
      <w:r/>
      <w:bookmarkStart w:id="72" w:name="_Toc16938520"/>
      <w:r/>
      <w:bookmarkStart w:id="73" w:name="_Toc20823276"/>
      <w:r/>
      <w:bookmarkStart w:id="74" w:name="_Toc513029204"/>
      <w:r>
        <w:rPr>
          <w:rFonts w:hint="eastAsia" w:ascii="Times New Roman" w:hAnsi="Times New Roman" w:eastAsia="黑体" w:cs="Arial"/>
          <w:color w:val="auto"/>
          <w:sz w:val="28"/>
          <w:szCs w:val="28"/>
          <w:highlight w:val="none"/>
        </w:rPr>
        <w:t xml:space="preserve">1</w:t>
      </w:r>
      <w:bookmarkEnd w:id="71"/>
      <w:r>
        <w:rPr>
          <w:rFonts w:hint="eastAsia" w:ascii="Times New Roman" w:hAnsi="Times New Roman" w:eastAsia="黑体" w:cs="Arial"/>
          <w:color w:val="auto"/>
          <w:sz w:val="28"/>
          <w:szCs w:val="28"/>
          <w:highlight w:val="none"/>
        </w:rPr>
        <w:t xml:space="preserve">、采购方式</w:t>
      </w:r>
      <w:bookmarkEnd w:id="72"/>
      <w:r/>
      <w:bookmarkEnd w:id="73"/>
      <w:r/>
      <w:bookmarkEnd w:id="74"/>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75" w:name="_Toc16938521"/>
      <w:r/>
      <w:bookmarkStart w:id="76" w:name="_Toc513029205"/>
      <w:r/>
      <w:bookmarkStart w:id="77" w:name="_Toc20823277"/>
      <w:r>
        <w:rPr>
          <w:rFonts w:hint="eastAsia" w:ascii="Times New Roman" w:hAnsi="Times New Roman" w:eastAsia="黑体" w:cs="Arial"/>
          <w:color w:val="auto"/>
          <w:sz w:val="28"/>
          <w:szCs w:val="28"/>
          <w:highlight w:val="none"/>
        </w:rPr>
        <w:t xml:space="preserve">2、合格的</w:t>
      </w:r>
      <w:bookmarkEnd w:id="75"/>
      <w:r/>
      <w:bookmarkEnd w:id="76"/>
      <w:r/>
      <w:bookmarkEnd w:id="77"/>
      <w:r>
        <w:rPr>
          <w:rFonts w:hint="eastAsia" w:ascii="Times New Roman" w:hAnsi="Times New Roman" w:eastAsia="黑体" w:cs="Arial"/>
          <w:color w:val="auto"/>
          <w:sz w:val="28"/>
          <w:szCs w:val="28"/>
          <w:highlight w:val="none"/>
        </w:rPr>
        <w:t xml:space="preserve">供应商</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2.1满足磋商公告中供应商资格要求的规定。</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2.2 满足本磋商文件实质性要求和条件的规定。</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78" w:name="_Toc513029206"/>
      <w:r/>
      <w:bookmarkStart w:id="79" w:name="_Toc20823278"/>
      <w:r/>
      <w:bookmarkStart w:id="80" w:name="_Toc16938522"/>
      <w:r>
        <w:rPr>
          <w:rFonts w:hint="eastAsia" w:ascii="Times New Roman" w:hAnsi="Times New Roman" w:eastAsia="黑体" w:cs="Arial"/>
          <w:color w:val="auto"/>
          <w:sz w:val="28"/>
          <w:szCs w:val="28"/>
          <w:highlight w:val="none"/>
        </w:rPr>
        <w:t xml:space="preserve">3、适用法律</w:t>
      </w:r>
      <w:bookmarkEnd w:id="78"/>
      <w:r/>
      <w:bookmarkEnd w:id="79"/>
      <w:r/>
      <w:bookmarkEnd w:id="80"/>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本次磋商及由此产生的合同受中华人民共和国有关的法律法规制约和保护。</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81" w:name="_Toc16938523"/>
      <w:r/>
      <w:bookmarkStart w:id="82" w:name="_Toc462564067"/>
      <w:r/>
      <w:bookmarkStart w:id="83" w:name="_Toc20823279"/>
      <w:r/>
      <w:bookmarkStart w:id="84" w:name="_Toc513029207"/>
      <w:r>
        <w:rPr>
          <w:rFonts w:hint="eastAsia" w:ascii="Times New Roman" w:hAnsi="Times New Roman" w:eastAsia="黑体" w:cs="Arial"/>
          <w:color w:val="auto"/>
          <w:sz w:val="28"/>
          <w:szCs w:val="28"/>
          <w:highlight w:val="none"/>
        </w:rPr>
        <w:t xml:space="preserve">4、磋商费用</w:t>
      </w:r>
      <w:bookmarkEnd w:id="81"/>
      <w:r/>
      <w:bookmarkEnd w:id="82"/>
      <w:r/>
      <w:bookmarkEnd w:id="83"/>
      <w:r/>
      <w:bookmarkEnd w:id="84"/>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4.2代理费用收取方式及标准：按以下第</w:t>
      </w:r>
      <w:r>
        <w:rPr>
          <w:rFonts w:ascii="Times New Roman" w:hAnsi="Times New Roman"/>
          <w:color w:val="auto"/>
          <w:sz w:val="24"/>
          <w:szCs w:val="21"/>
          <w:highlight w:val="none"/>
          <w:u w:val="single"/>
        </w:rPr>
        <w:t xml:space="preserve">4.2.2</w:t>
      </w:r>
      <w:r>
        <w:rPr>
          <w:rFonts w:hint="eastAsia" w:ascii="Times New Roman" w:hAnsi="Times New Roman"/>
          <w:color w:val="auto"/>
          <w:sz w:val="24"/>
          <w:szCs w:val="21"/>
          <w:highlight w:val="none"/>
        </w:rPr>
        <w:t xml:space="preserve"> 种方式执行。</w:t>
      </w:r>
      <w:r/>
    </w:p>
    <w:p>
      <w:pPr>
        <w:ind w:firstLine="480"/>
        <w:spacing w:line="560" w:lineRule="exac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4.2.1无需支付；</w:t>
      </w:r>
      <w:r/>
    </w:p>
    <w:p>
      <w:pPr>
        <w:ind w:firstLine="480"/>
        <w:spacing w:line="560" w:lineRule="exac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 xml:space="preserve">4.2.2</w:t>
      </w:r>
      <w:r>
        <w:rPr>
          <w:rFonts w:hint="eastAsia" w:ascii="宋体" w:hAnsi="宋体" w:eastAsia="宋体" w:cs="宋体"/>
          <w:color w:val="auto"/>
          <w:sz w:val="24"/>
          <w:szCs w:val="21"/>
          <w:highlight w:val="none"/>
          <w:lang w:val="zh-CN"/>
        </w:rPr>
        <w:t xml:space="preserve">成交人支付，具体方式及标准为：</w:t>
      </w:r>
      <w:r>
        <w:rPr>
          <w:rFonts w:hint="eastAsia" w:ascii="宋体" w:hAnsi="宋体" w:eastAsia="宋体" w:cs="宋体"/>
          <w:color w:val="auto"/>
          <w:sz w:val="24"/>
          <w:szCs w:val="21"/>
          <w:highlight w:val="none"/>
          <w:u w:val="single"/>
          <w:lang w:val="zh-CN"/>
        </w:rPr>
        <w:t xml:space="preserve">参照计价格[2002]1980号文件规定的收费标准的45%向代理单位支付代理服务费。由投标人综合考虑在投标报价中。支付方式可以通过转账或数字人民币等方式 </w:t>
      </w:r>
      <w:r>
        <w:rPr>
          <w:rFonts w:hint="eastAsia" w:ascii="宋体" w:hAnsi="宋体" w:eastAsia="宋体" w:cs="宋体"/>
          <w:color w:val="auto"/>
          <w:sz w:val="24"/>
          <w:szCs w:val="21"/>
          <w:highlight w:val="none"/>
          <w:lang w:val="zh-CN"/>
        </w:rPr>
        <w:t xml:space="preserve">。</w:t>
      </w:r>
      <w:r/>
    </w:p>
    <w:p>
      <w:pPr>
        <w:ind w:firstLine="602"/>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b/>
          <w:bCs/>
          <w:color w:val="auto"/>
          <w:sz w:val="30"/>
          <w:szCs w:val="28"/>
          <w:highlight w:val="none"/>
        </w:rPr>
        <w:t xml:space="preserve">5、</w:t>
      </w:r>
      <w:r>
        <w:rPr>
          <w:rFonts w:hint="eastAsia" w:ascii="Times New Roman" w:hAnsi="Times New Roman" w:eastAsia="黑体" w:cs="Arial"/>
          <w:color w:val="auto"/>
          <w:sz w:val="28"/>
          <w:szCs w:val="28"/>
          <w:highlight w:val="none"/>
        </w:rPr>
        <w:t xml:space="preserve">磋商文件的约束力</w:t>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5.1</w:t>
      </w:r>
      <w:r>
        <w:rPr>
          <w:rFonts w:hint="eastAsia" w:ascii="Times New Roman" w:hAnsi="Times New Roman"/>
          <w:color w:val="auto"/>
          <w:sz w:val="24"/>
          <w:szCs w:val="24"/>
          <w:highlight w:val="none"/>
        </w:rPr>
        <w:t xml:space="preserve">供应商一旦参加本项目采购活动，即被认为接受了本磋商文件的规定和约束。</w:t>
      </w:r>
      <w:r/>
    </w:p>
    <w:p>
      <w:pPr>
        <w:ind w:firstLine="321"/>
        <w:keepLines/>
        <w:keepNext/>
        <w:spacing w:line="560" w:lineRule="exact"/>
        <w:rPr>
          <w:rFonts w:ascii="Times New Roman" w:hAnsi="Times New Roman"/>
          <w:b/>
          <w:bCs/>
          <w:color w:val="auto"/>
          <w:sz w:val="32"/>
          <w:szCs w:val="32"/>
          <w:highlight w:val="none"/>
        </w:rPr>
        <w:outlineLvl w:val="2"/>
      </w:pPr>
      <w:r/>
      <w:bookmarkStart w:id="85" w:name="_Toc120614215"/>
      <w:r/>
      <w:bookmarkStart w:id="86" w:name="_Toc513029209"/>
      <w:r/>
      <w:bookmarkStart w:id="87" w:name="_Toc16938525"/>
      <w:r/>
      <w:bookmarkStart w:id="88" w:name="_Toc20823281"/>
      <w:r/>
      <w:bookmarkStart w:id="89" w:name="_Toc169207389"/>
      <w:r>
        <w:rPr>
          <w:rFonts w:hint="eastAsia" w:ascii="Times New Roman" w:hAnsi="Times New Roman"/>
          <w:b/>
          <w:bCs/>
          <w:color w:val="auto"/>
          <w:sz w:val="32"/>
          <w:szCs w:val="32"/>
          <w:highlight w:val="none"/>
        </w:rPr>
        <w:t xml:space="preserve">二、</w:t>
      </w:r>
      <w:bookmarkEnd w:id="85"/>
      <w:r/>
      <w:bookmarkEnd w:id="86"/>
      <w:r/>
      <w:bookmarkEnd w:id="87"/>
      <w:r/>
      <w:bookmarkEnd w:id="88"/>
      <w:r>
        <w:rPr>
          <w:rFonts w:hint="eastAsia" w:ascii="Times New Roman" w:hAnsi="Times New Roman"/>
          <w:b/>
          <w:bCs/>
          <w:color w:val="auto"/>
          <w:sz w:val="32"/>
          <w:szCs w:val="32"/>
          <w:highlight w:val="none"/>
        </w:rPr>
        <w:t xml:space="preserve">磋商文件</w:t>
      </w:r>
      <w:bookmarkEnd w:id="89"/>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90" w:name="_Toc16938526"/>
      <w:r/>
      <w:bookmarkStart w:id="91" w:name="_Toc513029210"/>
      <w:r/>
      <w:bookmarkStart w:id="92" w:name="_Toc20823282"/>
      <w:r>
        <w:rPr>
          <w:rFonts w:hint="eastAsia" w:ascii="Times New Roman" w:hAnsi="Times New Roman" w:eastAsia="黑体" w:cs="Arial"/>
          <w:color w:val="auto"/>
          <w:sz w:val="28"/>
          <w:szCs w:val="28"/>
          <w:highlight w:val="none"/>
        </w:rPr>
        <w:t xml:space="preserve">6、磋商文件构成</w:t>
      </w:r>
      <w:bookmarkEnd w:id="90"/>
      <w:r/>
      <w:bookmarkEnd w:id="91"/>
      <w:r/>
      <w:bookmarkEnd w:id="92"/>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6.1磋商文件由以下部分组成：</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（1）磋商邀请</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（2）供应商须知</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（3）合同文本</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（4）采购需求</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（5）评审方法与评审标准</w:t>
      </w:r>
      <w:r/>
    </w:p>
    <w:p>
      <w:pPr>
        <w:ind w:firstLine="480"/>
        <w:spacing w:line="560" w:lineRule="exact"/>
        <w:rPr>
          <w:rFonts w:ascii="Times New Roman" w:hAnsi="Times New Roman"/>
          <w:bCs/>
          <w:color w:val="auto"/>
          <w:sz w:val="24"/>
          <w:szCs w:val="24"/>
          <w:highlight w:val="none"/>
        </w:rPr>
      </w:pPr>
      <w:r>
        <w:rPr>
          <w:rFonts w:hint="eastAsia" w:ascii="Times New Roman" w:hAnsi="Times New Roman"/>
          <w:bCs/>
          <w:color w:val="auto"/>
          <w:sz w:val="24"/>
          <w:szCs w:val="24"/>
          <w:highlight w:val="none"/>
        </w:rPr>
        <w:t xml:space="preserve">（6）响应文件格式</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请仔细检查磋商文件是否齐全，如有缺漏请立即与采购代理机构联系解决。</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93" w:name="_Toc20823283"/>
      <w:r/>
      <w:bookmarkStart w:id="94" w:name="_Toc462564070"/>
      <w:r/>
      <w:bookmarkStart w:id="95" w:name="_Toc16938527"/>
      <w:r/>
      <w:bookmarkStart w:id="96" w:name="_Toc513029211"/>
      <w:r>
        <w:rPr>
          <w:rFonts w:hint="eastAsia" w:ascii="Times New Roman" w:hAnsi="Times New Roman" w:eastAsia="黑体" w:cs="Arial"/>
          <w:color w:val="auto"/>
          <w:sz w:val="28"/>
          <w:szCs w:val="28"/>
          <w:highlight w:val="none"/>
        </w:rPr>
        <w:t xml:space="preserve">7、磋商文件的澄清</w:t>
      </w:r>
      <w:bookmarkEnd w:id="93"/>
      <w:r/>
      <w:bookmarkEnd w:id="94"/>
      <w:r/>
      <w:bookmarkEnd w:id="95"/>
      <w:r/>
      <w:bookmarkEnd w:id="96"/>
      <w:r/>
      <w:r/>
    </w:p>
    <w:p>
      <w:pPr>
        <w:ind w:firstLine="480"/>
        <w:spacing w:line="56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7.1</w:t>
      </w:r>
      <w:r>
        <w:rPr>
          <w:rFonts w:hint="eastAsia" w:ascii="Times New Roman" w:hAnsi="Times New Roman"/>
          <w:color w:val="auto"/>
          <w:sz w:val="24"/>
          <w:szCs w:val="21"/>
          <w:highlight w:val="none"/>
        </w:rPr>
        <w:t xml:space="preserve">任何要求对磋商文件进行澄清的供应商，应在磋商截止期5日</w:t>
      </w:r>
      <w:r>
        <w:rPr>
          <w:rFonts w:hint="eastAsia" w:ascii="Times New Roman" w:hAnsi="Times New Roman"/>
          <w:color w:val="auto"/>
          <w:sz w:val="24"/>
          <w:szCs w:val="24"/>
          <w:highlight w:val="none"/>
        </w:rPr>
        <w:t xml:space="preserve">前</w:t>
      </w:r>
      <w:r>
        <w:rPr>
          <w:rFonts w:hint="eastAsia" w:ascii="Times New Roman" w:hAnsi="Times New Roman"/>
          <w:color w:val="auto"/>
          <w:sz w:val="24"/>
          <w:szCs w:val="21"/>
          <w:highlight w:val="none"/>
        </w:rPr>
        <w:t xml:space="preserve">按磋商公告中的通讯地址，以书面形式通知采购代理机构。</w:t>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97" w:name="_Toc20823284"/>
      <w:r/>
      <w:bookmarkStart w:id="98" w:name="_Toc16938528"/>
      <w:r/>
      <w:bookmarkStart w:id="99" w:name="_Toc513029212"/>
      <w:r/>
      <w:bookmarkStart w:id="100" w:name="_Toc462564071"/>
      <w:r>
        <w:rPr>
          <w:rFonts w:hint="eastAsia" w:ascii="Times New Roman" w:hAnsi="Times New Roman" w:eastAsia="黑体" w:cs="Arial"/>
          <w:color w:val="auto"/>
          <w:sz w:val="28"/>
          <w:szCs w:val="28"/>
          <w:highlight w:val="none"/>
        </w:rPr>
        <w:t xml:space="preserve">8、磋商文件的澄清和修改</w:t>
      </w:r>
      <w:bookmarkEnd w:id="97"/>
      <w:r/>
      <w:bookmarkEnd w:id="98"/>
      <w:r/>
      <w:bookmarkEnd w:id="99"/>
      <w:r/>
      <w:bookmarkEnd w:id="100"/>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至少</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日前发出；不足</w:t>
      </w:r>
      <w:r>
        <w:rPr>
          <w:rFonts w:ascii="Times New Roman" w:hAnsi="Times New Roman"/>
          <w:bCs/>
          <w:color w:val="auto"/>
          <w:sz w:val="24"/>
          <w:highlight w:val="none"/>
        </w:rPr>
        <w:t xml:space="preserve">5</w:t>
      </w:r>
      <w:r>
        <w:rPr>
          <w:rFonts w:hint="eastAsia" w:ascii="Times New Roman" w:hAnsi="Times New Roman"/>
          <w:bCs/>
          <w:color w:val="auto"/>
          <w:sz w:val="24"/>
          <w:highlight w:val="none"/>
        </w:rPr>
        <w:t xml:space="preserve">日的，采购代理机构应当顺延</w:t>
      </w:r>
      <w:r>
        <w:rPr>
          <w:rFonts w:hint="eastAsia" w:ascii="Times New Roman" w:hAnsi="Times New Roman"/>
          <w:color w:val="auto"/>
          <w:sz w:val="24"/>
          <w:szCs w:val="21"/>
          <w:highlight w:val="none"/>
        </w:rPr>
        <w:t xml:space="preserve">提交首次响应文件截止时间</w:t>
      </w:r>
      <w:r>
        <w:rPr>
          <w:rFonts w:hint="eastAsia" w:ascii="Times New Roman" w:hAnsi="Times New Roman"/>
          <w:bCs/>
          <w:color w:val="auto"/>
          <w:sz w:val="24"/>
          <w:highlight w:val="none"/>
        </w:rPr>
        <w:t xml:space="preserve">。</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8.2</w:t>
      </w:r>
      <w:r>
        <w:rPr>
          <w:rFonts w:hint="eastAsia" w:ascii="Times New Roman" w:hAnsi="Times New Roman"/>
          <w:color w:val="auto"/>
          <w:sz w:val="24"/>
          <w:szCs w:val="21"/>
          <w:highlight w:val="none"/>
        </w:rPr>
        <w:t xml:space="preserve">在响应文件提交截止时间前</w:t>
      </w:r>
      <w:r>
        <w:rPr>
          <w:rFonts w:hint="eastAsia" w:ascii="Times New Roman" w:hAnsi="Times New Roman"/>
          <w:bCs/>
          <w:color w:val="auto"/>
          <w:sz w:val="24"/>
          <w:highlight w:val="none"/>
        </w:rPr>
        <w:t xml:space="preserve">，采购代理机构可以对磋商文件进行修改。</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8.3采购代理机构有权按照法定的要求推迟响应文件递交截止日期和磋商日期。</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8.4磋商文件的修改将在原公告媒体上发布更正公告，</w:t>
      </w:r>
      <w:r>
        <w:rPr>
          <w:rFonts w:hint="eastAsia" w:ascii="Times New Roman" w:hAnsi="Times New Roman"/>
          <w:color w:val="auto"/>
          <w:sz w:val="24"/>
          <w:szCs w:val="21"/>
          <w:highlight w:val="none"/>
        </w:rPr>
        <w:t xml:space="preserve">更正公告内容将作为磋商文件的组成部分</w:t>
      </w:r>
      <w:r>
        <w:rPr>
          <w:rFonts w:hint="eastAsia" w:ascii="Times New Roman" w:hAnsi="Times New Roman"/>
          <w:bCs/>
          <w:color w:val="auto"/>
          <w:sz w:val="24"/>
          <w:highlight w:val="none"/>
        </w:rPr>
        <w:t xml:space="preserve">，并对供应商具有约束力，发布的更正公告视同为以书面形式通知所有获取招标文件的潜在投标人。</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firstLine="482"/>
        <w:keepLines/>
        <w:keepNext/>
        <w:spacing w:line="560" w:lineRule="exact"/>
        <w:rPr>
          <w:rFonts w:ascii="Times New Roman" w:hAnsi="Times New Roman"/>
          <w:b/>
          <w:bCs/>
          <w:color w:val="auto"/>
          <w:sz w:val="32"/>
          <w:szCs w:val="32"/>
          <w:highlight w:val="none"/>
        </w:rPr>
        <w:outlineLvl w:val="2"/>
      </w:pPr>
      <w:r/>
      <w:bookmarkStart w:id="101" w:name="_Toc462564072"/>
      <w:r/>
      <w:bookmarkStart w:id="102" w:name="_Toc513029213"/>
      <w:r/>
      <w:bookmarkStart w:id="103" w:name="_Toc169207390"/>
      <w:r/>
      <w:bookmarkStart w:id="104" w:name="_Toc16938529"/>
      <w:r/>
      <w:bookmarkStart w:id="105" w:name="_Toc120614216"/>
      <w:r/>
      <w:bookmarkStart w:id="106" w:name="_Toc20823285"/>
      <w:r>
        <w:rPr>
          <w:rFonts w:hint="eastAsia" w:ascii="Times New Roman" w:hAnsi="Times New Roman"/>
          <w:b/>
          <w:bCs/>
          <w:color w:val="auto"/>
          <w:sz w:val="32"/>
          <w:szCs w:val="32"/>
          <w:highlight w:val="none"/>
        </w:rPr>
        <w:t xml:space="preserve">三、响应文件的编制</w:t>
      </w:r>
      <w:bookmarkEnd w:id="101"/>
      <w:r/>
      <w:bookmarkEnd w:id="102"/>
      <w:r/>
      <w:bookmarkEnd w:id="103"/>
      <w:r/>
      <w:bookmarkEnd w:id="104"/>
      <w:r/>
      <w:bookmarkEnd w:id="105"/>
      <w:r/>
      <w:bookmarkEnd w:id="106"/>
      <w:r/>
      <w:r/>
    </w:p>
    <w:p>
      <w:pPr>
        <w:ind w:firstLine="560"/>
        <w:keepLines/>
        <w:keepNext/>
        <w:spacing w:line="560" w:lineRule="exact"/>
        <w:rPr>
          <w:rFonts w:ascii="Times New Roman" w:hAnsi="Times New Roman" w:eastAsia="黑体" w:cs="Arial"/>
          <w:b/>
          <w:color w:val="auto"/>
          <w:sz w:val="28"/>
          <w:szCs w:val="28"/>
          <w:highlight w:val="none"/>
        </w:rPr>
        <w:outlineLvl w:val="3"/>
      </w:pPr>
      <w:r/>
      <w:bookmarkStart w:id="107" w:name="_Toc20823286"/>
      <w:r/>
      <w:bookmarkStart w:id="108" w:name="_Toc513029214"/>
      <w:r/>
      <w:bookmarkStart w:id="109" w:name="_Toc462564073"/>
      <w:r/>
      <w:bookmarkStart w:id="110" w:name="_Toc16938530"/>
      <w:r>
        <w:rPr>
          <w:rFonts w:hint="eastAsia" w:ascii="Times New Roman" w:hAnsi="Times New Roman" w:eastAsia="黑体" w:cs="Arial"/>
          <w:color w:val="auto"/>
          <w:sz w:val="28"/>
          <w:szCs w:val="28"/>
          <w:highlight w:val="none"/>
        </w:rPr>
        <w:t xml:space="preserve">9、响应文件的语言及度量衡单位</w:t>
      </w:r>
      <w:bookmarkEnd w:id="107"/>
      <w:r/>
      <w:bookmarkEnd w:id="108"/>
      <w:r/>
      <w:bookmarkEnd w:id="109"/>
      <w:r/>
      <w:bookmarkEnd w:id="110"/>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除技术性能另有规定外，响应文件所使用的度量衡单位，均须采用国家法定计量单位。</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11" w:name="_Toc20823287"/>
      <w:r/>
      <w:bookmarkStart w:id="112" w:name="_Toc513029215"/>
      <w:r/>
      <w:bookmarkStart w:id="113" w:name="_Toc16938531"/>
      <w:r/>
      <w:bookmarkStart w:id="114" w:name="_Toc462564074"/>
      <w:r>
        <w:rPr>
          <w:rFonts w:hint="eastAsia" w:ascii="Times New Roman" w:hAnsi="Times New Roman" w:eastAsia="黑体" w:cs="Arial"/>
          <w:color w:val="auto"/>
          <w:sz w:val="28"/>
          <w:szCs w:val="28"/>
          <w:highlight w:val="none"/>
        </w:rPr>
        <w:t xml:space="preserve">10、响应文件构成</w:t>
      </w:r>
      <w:bookmarkEnd w:id="111"/>
      <w:r/>
      <w:bookmarkEnd w:id="112"/>
      <w:r/>
      <w:bookmarkEnd w:id="113"/>
      <w:r/>
      <w:bookmarkEnd w:id="114"/>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szCs w:val="21"/>
          <w:highlight w:val="none"/>
        </w:rPr>
        <w:t xml:space="preserve">10.1</w:t>
      </w:r>
      <w:r>
        <w:rPr>
          <w:rFonts w:hint="eastAsia" w:ascii="Times New Roman" w:hAnsi="Times New Roman"/>
          <w:bCs/>
          <w:color w:val="auto"/>
          <w:sz w:val="24"/>
          <w:highlight w:val="none"/>
        </w:rPr>
        <w:t xml:space="preserve">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highlight w:val="none"/>
          <w:lang w:val="zh-CN"/>
        </w:rPr>
        <w:t xml:space="preserve">各供应商在编制</w:t>
      </w:r>
      <w:r>
        <w:rPr>
          <w:rFonts w:hint="eastAsia" w:ascii="Times New Roman" w:hAnsi="Times New Roman"/>
          <w:bCs/>
          <w:color w:val="auto"/>
          <w:sz w:val="24"/>
          <w:highlight w:val="none"/>
        </w:rPr>
        <w:t xml:space="preserve">响应文件</w:t>
      </w:r>
      <w:r>
        <w:rPr>
          <w:rFonts w:hint="eastAsia" w:ascii="Times New Roman" w:hAnsi="Times New Roman"/>
          <w:bCs/>
          <w:color w:val="auto"/>
          <w:sz w:val="24"/>
          <w:highlight w:val="none"/>
          <w:lang w:val="zh-CN"/>
        </w:rPr>
        <w:t xml:space="preserve">时请按照磋商文件第六</w:t>
      </w:r>
      <w:r>
        <w:rPr>
          <w:rFonts w:hint="eastAsia" w:ascii="Times New Roman" w:hAnsi="Times New Roman"/>
          <w:bCs/>
          <w:color w:val="auto"/>
          <w:sz w:val="24"/>
          <w:highlight w:val="none"/>
        </w:rPr>
        <w:t xml:space="preserve">章</w:t>
      </w:r>
      <w:r>
        <w:rPr>
          <w:rFonts w:hint="eastAsia" w:ascii="Times New Roman" w:hAnsi="Times New Roman"/>
          <w:bCs/>
          <w:color w:val="auto"/>
          <w:sz w:val="24"/>
          <w:highlight w:val="none"/>
          <w:lang w:val="zh-CN"/>
        </w:rPr>
        <w:t xml:space="preserve">规定的格式进行，混乱的编排导致</w:t>
      </w:r>
      <w:r>
        <w:rPr>
          <w:rFonts w:hint="eastAsia" w:ascii="Times New Roman" w:hAnsi="Times New Roman"/>
          <w:bCs/>
          <w:color w:val="auto"/>
          <w:sz w:val="24"/>
          <w:highlight w:val="none"/>
        </w:rPr>
        <w:t xml:space="preserve">响应</w:t>
      </w:r>
      <w:r>
        <w:rPr>
          <w:rFonts w:hint="eastAsia" w:ascii="Times New Roman" w:hAnsi="Times New Roman"/>
          <w:bCs/>
          <w:color w:val="auto"/>
          <w:sz w:val="24"/>
          <w:highlight w:val="none"/>
          <w:lang w:val="zh-CN"/>
        </w:rPr>
        <w:t xml:space="preserve">文件被误读或磋商小组查找不到有效文件是供应商的风险。</w:t>
      </w:r>
      <w:r/>
    </w:p>
    <w:p>
      <w:pPr>
        <w:ind w:firstLine="480"/>
        <w:spacing w:line="56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10.2</w:t>
      </w:r>
      <w:r>
        <w:rPr>
          <w:rFonts w:hint="eastAsia" w:ascii="Times New Roman" w:hAnsi="Times New Roman"/>
          <w:color w:val="auto"/>
          <w:sz w:val="24"/>
          <w:highlight w:val="none"/>
        </w:rPr>
        <w:t xml:space="preserve">供应商编写的响应文件应包括资格证明文件、已标价的工程量清单、其他证明文件、磋商申请及声明函、开标一览表等部分。</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10.3响应文件须加盖电子签章之处，应按要求加盖</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数字证书的电子签章。其他需要盖章但未明确要求电子签章的，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可按要求加盖公章后上传材料电子件或直接加盖电子签章。</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10.4本项目通过“苏采云”系统进行电子招标投标，即</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 xml:space="preserve">供应商</w:t>
      </w:r>
      <w:r>
        <w:rPr>
          <w:rFonts w:hint="eastAsia" w:ascii="Times New Roman" w:hAnsi="Times New Roman"/>
          <w:bCs/>
          <w:color w:val="auto"/>
          <w:sz w:val="24"/>
          <w:highlight w:val="none"/>
        </w:rPr>
        <w:t xml:space="preserve">，按照无效响应处理(因“苏采云”系统导致解密失败的除外)。</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10.5如标书制作工具中格式和内容与“宿迁市政府采购网”发布的磋商文件不一致，请以“宿迁市政府采购网”发布的磋商文件为准。</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10.6成交后按相关要求提供与电子响应文件一致的纸质打印响应文件4份。 </w:t>
      </w:r>
      <w:r/>
    </w:p>
    <w:p>
      <w:pPr>
        <w:ind w:firstLine="480"/>
        <w:spacing w:line="560" w:lineRule="exact"/>
        <w:rPr>
          <w:rFonts w:ascii="Times New Roman" w:hAnsi="Times New Roman"/>
          <w:color w:val="auto"/>
          <w:sz w:val="24"/>
          <w:highlight w:val="none"/>
        </w:rPr>
      </w:pPr>
      <w:r/>
      <w:bookmarkStart w:id="115" w:name="EBc50e2bb832bb43068403b10c1cce6141"/>
      <w:r>
        <w:rPr>
          <w:rFonts w:hint="eastAsia" w:ascii="Times New Roman" w:hAnsi="Times New Roman"/>
          <w:bCs/>
          <w:color w:val="auto"/>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5"/>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16" w:name="_Hlt26670360"/>
      <w:r/>
      <w:bookmarkEnd w:id="116"/>
      <w:r/>
      <w:bookmarkStart w:id="117" w:name="_Hlt26954838"/>
      <w:r/>
      <w:bookmarkEnd w:id="117"/>
      <w:r/>
      <w:bookmarkStart w:id="118" w:name="_Hlt26668975"/>
      <w:r/>
      <w:bookmarkEnd w:id="118"/>
      <w:r/>
      <w:bookmarkStart w:id="119" w:name="_Toc49090507"/>
      <w:r/>
      <w:bookmarkStart w:id="120" w:name="_Toc513029219"/>
      <w:r/>
      <w:bookmarkStart w:id="121" w:name="_Toc14577354"/>
      <w:r/>
      <w:bookmarkStart w:id="122" w:name="_Toc49090509"/>
      <w:r/>
      <w:bookmarkStart w:id="123" w:name="_Toc513029216"/>
      <w:r/>
      <w:bookmarkStart w:id="124" w:name="_Toc14577357"/>
      <w:r/>
      <w:bookmarkStart w:id="125" w:name="_Toc49090508"/>
      <w:r/>
      <w:bookmarkStart w:id="126" w:name="_Toc14577355"/>
      <w:r>
        <w:rPr>
          <w:rFonts w:hint="eastAsia" w:ascii="Times New Roman" w:hAnsi="Times New Roman" w:eastAsia="黑体" w:cs="Arial"/>
          <w:color w:val="auto"/>
          <w:sz w:val="28"/>
          <w:szCs w:val="28"/>
          <w:highlight w:val="none"/>
        </w:rPr>
        <w:t xml:space="preserve">11、证明磋商响应标的符合磋商文件规定的文件</w:t>
      </w:r>
      <w:bookmarkEnd w:id="119"/>
      <w:r/>
      <w:bookmarkEnd w:id="120"/>
      <w:r/>
      <w:bookmarkEnd w:id="121"/>
      <w:r/>
      <w:bookmarkEnd w:id="122"/>
      <w:r/>
      <w:bookmarkEnd w:id="123"/>
      <w:r/>
      <w:bookmarkEnd w:id="124"/>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11.1供应商应按照磋商文件要求提交证明文件，证明其及磋商响应标的符合磋商文件规定。</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11.2磋商文件对证明文件无明确形式要求的，证明文件可以以文字资料、图纸和数据等形式提交。</w:t>
      </w:r>
      <w:bookmarkEnd w:id="125"/>
      <w:r/>
      <w:bookmarkEnd w:id="126"/>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12、已标价的工程量清单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12.1供应商应按照磋商文件规定格式填报已标价的工程量清单。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2.1.1</w:t>
      </w:r>
      <w:r>
        <w:rPr>
          <w:rFonts w:hint="eastAsia" w:ascii="Times New Roman" w:hAnsi="Times New Roman"/>
          <w:bCs/>
          <w:color w:val="auto"/>
          <w:sz w:val="24"/>
          <w:szCs w:val="21"/>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2.1.2</w:t>
      </w:r>
      <w:r>
        <w:rPr>
          <w:rFonts w:hint="eastAsia" w:ascii="Times New Roman" w:hAnsi="Times New Roman"/>
          <w:bCs/>
          <w:color w:val="auto"/>
          <w:sz w:val="24"/>
          <w:szCs w:val="21"/>
          <w:highlight w:val="none"/>
        </w:rPr>
        <w:t xml:space="preserve">报价编制的参考依据：①《建设工程工程量清单计价规范》（GB50500-2013）及其配套的计算规范；②2014版《江苏省建筑与装饰工程计价定额》、2014版《江苏省市政工程计价定额》、2014版《江苏省安装工程计价定额》等；③招标文件、招标答疑、工程量清单、施工图纸、设计、施工规范等；④2014年《江苏省建设工程费用定额》、苏建价（2016）154号文；⑤其他相关文件规定。</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2.1.3</w:t>
      </w:r>
      <w:r>
        <w:rPr>
          <w:rFonts w:hint="eastAsia" w:ascii="Times New Roman" w:hAnsi="Times New Roman"/>
          <w:bCs/>
          <w:color w:val="auto"/>
          <w:sz w:val="24"/>
          <w:szCs w:val="21"/>
          <w:highlight w:val="none"/>
        </w:rPr>
        <w:t xml:space="preserve">供应商不得改变下列不可竞争费用：4.1现场安全、文明施工措施费： ①基本费率；②省级标化增加费率；③扬尘污染防治增加费。4.2规费：①社会保险费率；②住房公积金；③环境保护税。4.3税金；4.4工程按质论价费率。</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磋商货币。响应文件中的单价和总价无特殊规定的采用人民币报价，以元为单位标注。</w:t>
      </w:r>
      <w:r>
        <w:rPr>
          <w:rFonts w:hint="eastAsia" w:ascii="Times New Roman" w:hAnsi="Times New Roman"/>
          <w:color w:val="auto"/>
          <w:sz w:val="24"/>
          <w:szCs w:val="21"/>
          <w:highlight w:val="none"/>
        </w:rPr>
        <w:t xml:space="preserve">磋商文件中另有规定的按规定执行。</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12.3</w:t>
      </w:r>
      <w:bookmarkStart w:id="127" w:name="EB75f48e9561ee41d4955ed4174c5e92e6"/>
      <w:r>
        <w:rPr>
          <w:rFonts w:hint="eastAsia" w:ascii="宋体" w:hAnsi="宋体" w:cs="宋体"/>
          <w:color w:val="auto"/>
          <w:sz w:val="24"/>
          <w:szCs w:val="24"/>
          <w:highlight w:val="none"/>
        </w:rPr>
        <w:t xml:space="preserve">本项目不接受备选的投标方案或有选择的报价，只允许有一个报价。供应商响应文件中的报价作为首次报价，不公开；以最后报价作为评审价。投标报价内容包括：竞争性磋商文件所确定的采购范围内的全部内容，包括工程量清单和相应的内容的价格体现，以及为完成上述内容所必须的包装、运输、附属工程、临时工程、开办费、技术措施费、材料、劳</w:t>
      </w:r>
      <w:r>
        <w:rPr>
          <w:rFonts w:hint="eastAsia" w:ascii="宋体" w:hAnsi="宋体" w:cs="宋体"/>
          <w:color w:val="auto"/>
          <w:sz w:val="24"/>
          <w:szCs w:val="24"/>
          <w:highlight w:val="none"/>
        </w:rPr>
        <w:t xml:space="preserve">务、机械设备、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磋商文件中的工程量清单和有关要求、施工现场实际情况及拟定的施工组织设计，自行了解市场价格或参考工程造价管理部门（协会）发布的人工、材料、机械市场指导价格，并考虑风险因素，进行自主报价。</w:t>
      </w:r>
      <w:bookmarkEnd w:id="127"/>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28" w:name="_Hlt26670482"/>
      <w:r/>
      <w:bookmarkEnd w:id="128"/>
      <w:r/>
      <w:bookmarkStart w:id="129" w:name="_Hlt26954848"/>
      <w:r/>
      <w:bookmarkEnd w:id="129"/>
      <w:r/>
      <w:bookmarkStart w:id="130" w:name="_Hlt26670486"/>
      <w:r/>
      <w:bookmarkEnd w:id="130"/>
      <w:r/>
      <w:bookmarkStart w:id="131" w:name="_Hlt26954846"/>
      <w:r/>
      <w:bookmarkEnd w:id="131"/>
      <w:r/>
      <w:bookmarkStart w:id="132" w:name="_Hlt26954731"/>
      <w:r/>
      <w:bookmarkEnd w:id="132"/>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13.1供应商需对磋商文件中的技术要求与商务要求逐项作出响应或偏离，并说明原因。</w:t>
      </w:r>
      <w:r/>
    </w:p>
    <w:p>
      <w:pPr>
        <w:ind w:firstLine="480"/>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13.2供应商可在响应文件中提供认为需要的其他技术文件或说明。</w:t>
      </w:r>
      <w:r/>
    </w:p>
    <w:p>
      <w:pPr>
        <w:ind w:firstLine="482"/>
        <w:keepLines/>
        <w:keepNext/>
        <w:spacing w:line="4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w:t>
      </w:r>
      <w:bookmarkStart w:id="133" w:name="_Toc49090510"/>
      <w:r/>
      <w:bookmarkStart w:id="134" w:name="_Toc14577359"/>
      <w:r>
        <w:rPr>
          <w:rFonts w:hint="eastAsia" w:ascii="Times New Roman" w:hAnsi="Times New Roman" w:eastAsia="黑体" w:cs="Arial"/>
          <w:color w:val="auto"/>
          <w:sz w:val="28"/>
          <w:szCs w:val="28"/>
          <w:highlight w:val="none"/>
        </w:rPr>
        <w:t xml:space="preserve">项目实施方案、人员安排及其他</w:t>
      </w:r>
      <w:r/>
    </w:p>
    <w:p>
      <w:pPr>
        <w:ind w:firstLine="480"/>
        <w:spacing w:line="560" w:lineRule="exact"/>
        <w:rPr>
          <w:rFonts w:ascii="Times New Roman" w:hAnsi="Times New Roman" w:eastAsia="黑体" w:cs="Arial"/>
          <w:color w:val="auto"/>
          <w:sz w:val="28"/>
          <w:szCs w:val="28"/>
          <w:highlight w:val="none"/>
        </w:rPr>
      </w:pPr>
      <w:r>
        <w:rPr>
          <w:rFonts w:hint="eastAsia" w:ascii="Times New Roman" w:hAnsi="Times New Roman"/>
          <w:bCs/>
          <w:color w:val="auto"/>
          <w:sz w:val="24"/>
          <w:highlight w:val="none"/>
        </w:rPr>
        <w:t xml:space="preserve">14.1供应商需根据磋商文件要求提供有关项目实施方案总体概述，施工现场布置方案，施工进度计划和各阶段进度的保证措施方案，施工过程重点难点分析、质量安全的保证措施方案，劳动力、机械设备和材料投入计划方案。</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15、磋商响应函</w:t>
      </w:r>
      <w:r/>
    </w:p>
    <w:p>
      <w:pPr>
        <w:ind w:firstLine="480"/>
        <w:spacing w:line="56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供应商应按照磋商文件中提供的格式完整、正确填写磋商响应函。</w:t>
      </w:r>
      <w:bookmarkEnd w:id="133"/>
      <w:r/>
      <w:bookmarkEnd w:id="134"/>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35" w:name="_Toc14577360"/>
      <w:r/>
      <w:bookmarkStart w:id="136" w:name="_Toc49090511"/>
      <w:r>
        <w:rPr>
          <w:rFonts w:hint="eastAsia" w:ascii="Times New Roman" w:hAnsi="Times New Roman" w:eastAsia="黑体" w:cs="Arial"/>
          <w:color w:val="auto"/>
          <w:sz w:val="28"/>
          <w:szCs w:val="28"/>
          <w:highlight w:val="none"/>
        </w:rPr>
        <w:t xml:space="preserve">16、磋商有效期</w:t>
      </w:r>
      <w:bookmarkEnd w:id="135"/>
      <w:r/>
      <w:bookmarkEnd w:id="136"/>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16.1磋商有效期为提交响应文件截止之日后</w:t>
      </w:r>
      <w:r>
        <w:rPr>
          <w:rFonts w:hint="eastAsia" w:ascii="Times New Roman" w:hAnsi="Times New Roman"/>
          <w:b/>
          <w:color w:val="auto"/>
          <w:sz w:val="24"/>
          <w:szCs w:val="21"/>
          <w:highlight w:val="none"/>
          <w:u w:val="single"/>
        </w:rPr>
        <w:t xml:space="preserve">六十（60）天</w:t>
      </w:r>
      <w:r>
        <w:rPr>
          <w:rFonts w:hint="eastAsia" w:ascii="Times New Roman" w:hAnsi="Times New Roman"/>
          <w:bCs/>
          <w:color w:val="auto"/>
          <w:sz w:val="24"/>
          <w:szCs w:val="21"/>
          <w:highlight w:val="none"/>
        </w:rPr>
        <w:t xml:space="preserve">。磋商有效期比规定短的将被视为非实质性响应磋商文件而予以拒绝。</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、磋商有效期的延长</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的这一要求而放弃磋商，同意延长磋商有效期的供应商既不能要求也不允许修改其响应文件。</w:t>
      </w:r>
      <w:r>
        <w:rPr>
          <w:rFonts w:hint="eastAsia" w:ascii="Times New Roman" w:hAnsi="Times New Roman"/>
          <w:color w:val="auto"/>
          <w:sz w:val="24"/>
          <w:szCs w:val="24"/>
          <w:highlight w:val="none"/>
        </w:rPr>
        <w:t xml:space="preserve">受磋商有效期约束的所有权利与义务均延长至新的有效期</w:t>
      </w:r>
      <w:r>
        <w:rPr>
          <w:rFonts w:hint="eastAsia" w:ascii="Times New Roman" w:hAnsi="Times New Roman"/>
          <w:bCs/>
          <w:color w:val="auto"/>
          <w:sz w:val="24"/>
          <w:szCs w:val="21"/>
          <w:highlight w:val="none"/>
        </w:rPr>
        <w:t xml:space="preserve">。</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7.2</w:t>
      </w:r>
      <w:r>
        <w:rPr>
          <w:rFonts w:hint="eastAsia" w:ascii="Times New Roman" w:hAnsi="Times New Roman"/>
          <w:color w:val="auto"/>
          <w:sz w:val="24"/>
          <w:highlight w:val="none"/>
        </w:rPr>
        <w:t xml:space="preserve">成交人的响应文件作为项目合同的附件，其有效期至成交人全部合同义务履行完毕为止。</w:t>
      </w:r>
      <w:r/>
    </w:p>
    <w:p>
      <w:pPr>
        <w:ind w:firstLine="482"/>
        <w:keepLines/>
        <w:keepNext/>
        <w:spacing w:line="560" w:lineRule="exact"/>
        <w:rPr>
          <w:rFonts w:ascii="Times New Roman" w:hAnsi="Times New Roman"/>
          <w:b/>
          <w:bCs/>
          <w:color w:val="auto"/>
          <w:sz w:val="32"/>
          <w:szCs w:val="32"/>
          <w:highlight w:val="none"/>
        </w:rPr>
        <w:outlineLvl w:val="2"/>
      </w:pPr>
      <w:r/>
      <w:bookmarkStart w:id="137" w:name="_Hlt26954739"/>
      <w:r/>
      <w:bookmarkEnd w:id="137"/>
      <w:r/>
      <w:bookmarkStart w:id="138" w:name="_Hlt26954852"/>
      <w:r/>
      <w:bookmarkEnd w:id="138"/>
      <w:r/>
      <w:bookmarkStart w:id="139" w:name="_Toc120614217"/>
      <w:r/>
      <w:bookmarkStart w:id="140" w:name="_Toc16938540"/>
      <w:r/>
      <w:bookmarkStart w:id="141" w:name="_Toc169207391"/>
      <w:r/>
      <w:bookmarkStart w:id="142" w:name="_Toc513029224"/>
      <w:r/>
      <w:bookmarkStart w:id="143" w:name="_Toc20823296"/>
      <w:r>
        <w:rPr>
          <w:rFonts w:hint="eastAsia" w:ascii="Times New Roman" w:hAnsi="Times New Roman"/>
          <w:b/>
          <w:bCs/>
          <w:color w:val="auto"/>
          <w:sz w:val="32"/>
          <w:szCs w:val="32"/>
          <w:highlight w:val="none"/>
        </w:rPr>
        <w:t xml:space="preserve">四、响应文件的递交</w:t>
      </w:r>
      <w:bookmarkEnd w:id="139"/>
      <w:r/>
      <w:bookmarkEnd w:id="140"/>
      <w:r/>
      <w:bookmarkEnd w:id="141"/>
      <w:r/>
      <w:bookmarkEnd w:id="142"/>
      <w:r/>
      <w:bookmarkEnd w:id="143"/>
      <w:r/>
      <w:r/>
    </w:p>
    <w:p>
      <w:pPr>
        <w:ind w:firstLine="560"/>
        <w:keepLines/>
        <w:keepNext/>
        <w:spacing w:line="560" w:lineRule="exact"/>
        <w:rPr>
          <w:rFonts w:ascii="Times New Roman" w:hAnsi="Times New Roman" w:eastAsia="黑体" w:cs="Arial"/>
          <w:color w:val="auto"/>
          <w:sz w:val="28"/>
          <w:szCs w:val="28"/>
          <w:highlight w:val="none"/>
        </w:rPr>
        <w:outlineLvl w:val="3"/>
      </w:pPr>
      <w:r/>
      <w:bookmarkStart w:id="144" w:name="_Toc16938541"/>
      <w:r/>
      <w:bookmarkStart w:id="145" w:name="_Toc20823297"/>
      <w:r/>
      <w:bookmarkStart w:id="146" w:name="_Toc513029225"/>
      <w:r/>
      <w:bookmarkStart w:id="147" w:name="_Toc462564084"/>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、电子磋商</w:t>
      </w:r>
      <w:bookmarkEnd w:id="144"/>
      <w:r/>
      <w:bookmarkEnd w:id="145"/>
      <w:r/>
      <w:bookmarkEnd w:id="146"/>
      <w:r/>
      <w:bookmarkEnd w:id="147"/>
      <w:r>
        <w:rPr>
          <w:rFonts w:hint="eastAsia" w:ascii="Times New Roman" w:hAnsi="Times New Roman" w:eastAsia="黑体" w:cs="Arial"/>
          <w:color w:val="auto"/>
          <w:sz w:val="28"/>
          <w:szCs w:val="28"/>
          <w:highlight w:val="none"/>
        </w:rPr>
        <w:t xml:space="preserve">响应文件的递交</w:t>
      </w:r>
      <w:r/>
    </w:p>
    <w:p>
      <w:pPr>
        <w:ind w:firstLine="60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18.1供应商应当按照《操作手册》规定，在提交响应文件截止时间前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并上传电子响应文件。</w:t>
      </w:r>
      <w:bookmarkStart w:id="148" w:name="_Toc16938542"/>
      <w:r/>
      <w:bookmarkStart w:id="149" w:name="_Toc20823298"/>
      <w:r/>
      <w:bookmarkStart w:id="150" w:name="_Toc513029226"/>
      <w:r/>
      <w:r/>
    </w:p>
    <w:p>
      <w:pPr>
        <w:ind w:firstLine="480"/>
        <w:spacing w:line="560" w:lineRule="exact"/>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8.2</w:t>
      </w:r>
      <w:r>
        <w:rPr>
          <w:rFonts w:hint="eastAsia" w:ascii="Times New Roman" w:hAnsi="Times New Roman"/>
          <w:color w:val="auto"/>
          <w:sz w:val="24"/>
          <w:highlight w:val="none"/>
        </w:rPr>
        <w:t xml:space="preserve">投标人通过“苏采云”系统不见面开标大厅在线参与开标活动。（具体操作详见《“苏采云”系统投标人操作手册》，网址链接http://www.ccgp-jiangsu.gov.cn//webfile/jiangsu/202311/1699268553318052447.pdf）</w:t>
      </w:r>
      <w:r/>
    </w:p>
    <w:p>
      <w:pPr>
        <w:ind w:firstLine="560"/>
        <w:keepLines/>
        <w:keepNext/>
        <w:spacing w:line="56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、提交响应文件截止时间</w:t>
      </w:r>
      <w:bookmarkEnd w:id="148"/>
      <w:r/>
      <w:bookmarkEnd w:id="149"/>
      <w:r/>
      <w:bookmarkEnd w:id="150"/>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19.1供应商上传电子响应文件的时间不得迟于磋商公告中规定的提交响应文件截止时间。</w:t>
      </w:r>
      <w:r/>
    </w:p>
    <w:p>
      <w:pPr>
        <w:ind w:firstLine="480"/>
        <w:spacing w:line="56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.2采购代理机构</w:t>
      </w:r>
      <w:r>
        <w:rPr>
          <w:rFonts w:hint="eastAsia" w:ascii="Times New Roman" w:hAnsi="Times New Roman"/>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51" w:name="_Toc20823299"/>
      <w:r/>
      <w:bookmarkStart w:id="152" w:name="_Toc513029227"/>
      <w:r/>
      <w:bookmarkStart w:id="153" w:name="_Toc1693854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、响应文件</w:t>
      </w:r>
      <w:bookmarkEnd w:id="151"/>
      <w:r/>
      <w:bookmarkEnd w:id="152"/>
      <w:r/>
      <w:bookmarkEnd w:id="153"/>
      <w:r>
        <w:rPr>
          <w:rFonts w:hint="eastAsia" w:ascii="Times New Roman" w:hAnsi="Times New Roman" w:eastAsia="黑体" w:cs="Arial"/>
          <w:color w:val="auto"/>
          <w:sz w:val="28"/>
          <w:szCs w:val="28"/>
          <w:highlight w:val="none"/>
        </w:rPr>
        <w:t xml:space="preserve">的拒收</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拒绝接收在其规定的提交响应文件截止时间后上传的任何电子响应文件。</w:t>
      </w:r>
      <w:r>
        <w:rPr>
          <w:rFonts w:hint="eastAsia" w:ascii="Times New Roman" w:hAnsi="Times New Roman"/>
          <w:bCs/>
          <w:color w:val="auto"/>
          <w:sz w:val="24"/>
          <w:highlight w:val="none"/>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54" w:name="_Toc513029228"/>
      <w:r/>
      <w:bookmarkStart w:id="155" w:name="_Toc16938544"/>
      <w:r/>
      <w:bookmarkStart w:id="156"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、响应文件的撤回和修改</w:t>
      </w:r>
      <w:bookmarkEnd w:id="154"/>
      <w:r/>
      <w:bookmarkEnd w:id="155"/>
      <w:r/>
      <w:bookmarkEnd w:id="156"/>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.1响应文件的撤回</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.1.1电子响应文件的撤回</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截止时间前，撤回其电子响应文件，具体操作方法见《操作手册》。</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供应商撤回电子响应文件，则认为其不再参与本项目磋商活动。</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.2响应文件的修改</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.2.1供应商可在</w:t>
      </w:r>
      <w:r>
        <w:rPr>
          <w:rFonts w:hint="eastAsia" w:ascii="Times New Roman" w:hAnsi="Times New Roman"/>
          <w:bCs/>
          <w:color w:val="auto"/>
          <w:sz w:val="24"/>
          <w:szCs w:val="21"/>
          <w:highlight w:val="none"/>
        </w:rPr>
        <w:t xml:space="preserve">提交响应文件</w:t>
      </w:r>
      <w:r>
        <w:rPr>
          <w:rFonts w:hint="eastAsia" w:ascii="Times New Roman" w:hAnsi="Times New Roman"/>
          <w:color w:val="auto"/>
          <w:sz w:val="24"/>
          <w:szCs w:val="21"/>
          <w:highlight w:val="none"/>
        </w:rPr>
        <w:t xml:space="preserve">截止时间前，对其电子响应文件进行修改，具体操作方法见《操作手册》。</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在提交响应文件截止时间之后，供应商不得对其电子响应文件作任何修改。</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60" w:lineRule="exact"/>
        <w:rPr>
          <w:rFonts w:ascii="Times New Roman" w:hAnsi="Times New Roman"/>
          <w:b/>
          <w:bCs/>
          <w:color w:val="auto"/>
          <w:sz w:val="32"/>
          <w:szCs w:val="32"/>
          <w:highlight w:val="none"/>
        </w:rPr>
        <w:outlineLvl w:val="2"/>
      </w:pPr>
      <w:r/>
      <w:bookmarkStart w:id="157" w:name="_Toc20823301"/>
      <w:r/>
      <w:bookmarkStart w:id="158" w:name="_Toc169207392"/>
      <w:r/>
      <w:bookmarkStart w:id="159" w:name="_Toc120614218"/>
      <w:r/>
      <w:bookmarkStart w:id="160" w:name="_Toc513029229"/>
      <w:r/>
      <w:bookmarkStart w:id="161" w:name="_Toc16938545"/>
      <w:r>
        <w:rPr>
          <w:rFonts w:hint="eastAsia" w:ascii="Times New Roman" w:hAnsi="Times New Roman"/>
          <w:b/>
          <w:bCs/>
          <w:color w:val="auto"/>
          <w:sz w:val="32"/>
          <w:szCs w:val="32"/>
          <w:highlight w:val="none"/>
        </w:rPr>
        <w:t xml:space="preserve">五、响应文件的解密与评审</w:t>
      </w:r>
      <w:bookmarkEnd w:id="157"/>
      <w:r/>
      <w:bookmarkEnd w:id="158"/>
      <w:r/>
      <w:bookmarkEnd w:id="159"/>
      <w:r/>
      <w:bookmarkEnd w:id="160"/>
      <w:r/>
      <w:bookmarkEnd w:id="161"/>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62" w:name="_Toc20823302"/>
      <w:r/>
      <w:bookmarkStart w:id="163" w:name="_Toc513029230"/>
      <w:r/>
      <w:bookmarkStart w:id="164" w:name="_Toc16938546"/>
      <w:r>
        <w:rPr>
          <w:rFonts w:hint="eastAsia" w:ascii="Times New Roman" w:hAnsi="Times New Roman" w:eastAsia="黑体" w:cs="Arial"/>
          <w:color w:val="auto"/>
          <w:sz w:val="28"/>
          <w:szCs w:val="28"/>
          <w:highlight w:val="none"/>
        </w:rPr>
        <w:t xml:space="preserve">22、</w:t>
      </w:r>
      <w:bookmarkEnd w:id="162"/>
      <w:r/>
      <w:bookmarkEnd w:id="163"/>
      <w:r/>
      <w:bookmarkEnd w:id="164"/>
      <w:r>
        <w:rPr>
          <w:rFonts w:hint="eastAsia" w:ascii="Times New Roman" w:hAnsi="Times New Roman" w:eastAsia="黑体" w:cs="Arial"/>
          <w:color w:val="auto"/>
          <w:sz w:val="28"/>
          <w:szCs w:val="28"/>
          <w:highlight w:val="none"/>
        </w:rPr>
        <w:t xml:space="preserve">响应文件解密</w:t>
      </w:r>
      <w:r/>
    </w:p>
    <w:p>
      <w:pPr>
        <w:ind w:firstLine="360"/>
        <w:spacing w:line="56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color w:val="auto"/>
          <w:sz w:val="24"/>
          <w:szCs w:val="24"/>
          <w:highlight w:val="none"/>
        </w:rPr>
        <w:t xml:space="preserve">供应商应当</w:t>
      </w:r>
      <w:r>
        <w:rPr>
          <w:rFonts w:hint="eastAsia" w:ascii="Times New Roman" w:hAnsi="Times New Roman"/>
          <w:color w:val="auto"/>
          <w:sz w:val="24"/>
          <w:szCs w:val="21"/>
          <w:highlight w:val="none"/>
        </w:rPr>
        <w:t xml:space="preserve">按照《“苏采云”系统供应商操作手册》规定</w:t>
      </w:r>
      <w:r>
        <w:rPr>
          <w:rFonts w:hint="eastAsia" w:ascii="Times New Roman" w:hAnsi="Times New Roman"/>
          <w:color w:val="auto"/>
          <w:sz w:val="24"/>
          <w:szCs w:val="24"/>
          <w:highlight w:val="none"/>
        </w:rPr>
        <w:t xml:space="preserve">，参加磋商活动和在苏采云系统规定的时间内对磋商响应文件进行解密。</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65" w:name="_Toc20823303"/>
      <w:r/>
      <w:bookmarkStart w:id="166" w:name="_Toc16938547"/>
      <w:r/>
      <w:bookmarkStart w:id="167" w:name="_Toc513029231"/>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、磋商小组</w:t>
      </w:r>
      <w:r/>
    </w:p>
    <w:p>
      <w:pPr>
        <w:ind w:firstLine="480"/>
        <w:spacing w:line="560" w:lineRule="exact"/>
        <w:rPr>
          <w:rFonts w:ascii="Times New Roman" w:hAnsi="Times New Roman"/>
          <w:b/>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将组织磋商小组对响应文件进行评审。磋商小组由采购人代表和有关技术、经济等方面的专家组成，且人员构成符合政府采购有关规定。</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.2磋商小组独立工作，负责评审所有响应文件并确定成交候选人。</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、评审过程的保密与公正</w:t>
      </w:r>
      <w:bookmarkEnd w:id="165"/>
      <w:r/>
      <w:bookmarkEnd w:id="166"/>
      <w:r/>
      <w:bookmarkEnd w:id="167"/>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磋商小组、采购人和</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在评审过程中，供应商不得以任何行为影响磋商评审过程，否则其响应文件将被作为无效响应文件。</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.3</w:t>
      </w:r>
      <w:r>
        <w:rPr>
          <w:rFonts w:hint="eastAsia" w:ascii="Times New Roman" w:hAnsi="Times New Roman"/>
          <w:color w:val="auto"/>
          <w:sz w:val="24"/>
          <w:szCs w:val="24"/>
          <w:highlight w:val="none"/>
        </w:rPr>
        <w:t xml:space="preserve">在项目评审期间，</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将设专门人员与供应商联系。</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24</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和磋商小组不向未成交的供应商解释未成交原因，也不公布评审过程中的相关细节。</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68" w:name="_Toc16938548"/>
      <w:r/>
      <w:bookmarkStart w:id="169" w:name="_Toc20823304"/>
      <w:r/>
      <w:bookmarkStart w:id="170" w:name="_Toc513029232"/>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、评审过程中的澄清</w:t>
      </w:r>
      <w:bookmarkEnd w:id="168"/>
      <w:r/>
      <w:bookmarkEnd w:id="169"/>
      <w:r/>
      <w:bookmarkEnd w:id="170"/>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磋商小组并非对每个供应商都作澄清要求。</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rPr>
          <w:rFonts w:ascii="Times New Roman" w:hAnsi="Times New Roman" w:cs="宋体"/>
          <w:color w:val="auto"/>
          <w:sz w:val="24"/>
          <w:szCs w:val="24"/>
          <w:highlight w:val="none"/>
        </w:rPr>
        <w:t xml:space="preserve">5</w:t>
      </w:r>
      <w:r>
        <w:rPr>
          <w:rFonts w:hint="eastAsia" w:ascii="Times New Roman" w:hAnsi="Times New Roman" w:cs="宋体"/>
          <w:color w:val="auto"/>
          <w:sz w:val="24"/>
          <w:szCs w:val="24"/>
          <w:highlight w:val="none"/>
        </w:rPr>
        <w:t xml:space="preserve">.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w:t>
      </w:r>
      <w:r>
        <w:rPr>
          <w:rFonts w:ascii="Times New Roman" w:hAnsi="Times New Roman" w:cs="宋体"/>
          <w:color w:val="auto"/>
          <w:sz w:val="24"/>
          <w:szCs w:val="24"/>
          <w:highlight w:val="none"/>
        </w:rPr>
        <w:t xml:space="preserve">操作</w:t>
      </w:r>
      <w:r>
        <w:rPr>
          <w:rFonts w:hint="eastAsia" w:ascii="Times New Roman" w:hAnsi="Times New Roman" w:cs="宋体"/>
          <w:color w:val="auto"/>
          <w:sz w:val="24"/>
          <w:szCs w:val="24"/>
          <w:highlight w:val="none"/>
        </w:rPr>
        <w:t xml:space="preserve">方式</w:t>
      </w:r>
      <w:r>
        <w:rPr>
          <w:rFonts w:ascii="Times New Roman" w:hAnsi="Times New Roman" w:cs="宋体"/>
          <w:color w:val="auto"/>
          <w:sz w:val="24"/>
          <w:szCs w:val="24"/>
          <w:highlight w:val="none"/>
        </w:rPr>
        <w:t xml:space="preserve">见</w:t>
      </w:r>
      <w:r>
        <w:rPr>
          <w:rFonts w:hint="eastAsia" w:ascii="Times New Roman" w:hAnsi="Times New Roman" w:cs="宋体"/>
          <w:color w:val="auto"/>
          <w:sz w:val="24"/>
          <w:szCs w:val="24"/>
          <w:highlight w:val="none"/>
        </w:rPr>
        <w:t xml:space="preserve">《操作手册》。</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.3 接到磋商小组澄清、说明和更正要求的供应商如未按规定做出澄清、说明和 更正，其风险由供应商自行承担。</w:t>
      </w:r>
      <w:r/>
    </w:p>
    <w:p>
      <w:pPr>
        <w:ind w:firstLine="420"/>
        <w:keepLines/>
        <w:keepNext/>
        <w:spacing w:line="560" w:lineRule="exact"/>
        <w:rPr>
          <w:rFonts w:ascii="Times New Roman" w:hAnsi="Times New Roman" w:eastAsia="黑体" w:cs="Arial"/>
          <w:color w:val="auto"/>
          <w:sz w:val="28"/>
          <w:szCs w:val="28"/>
          <w:highlight w:val="none"/>
        </w:rPr>
        <w:outlineLvl w:val="3"/>
      </w:pPr>
      <w:r/>
      <w:bookmarkStart w:id="171" w:name="_Toc16938549"/>
      <w:r/>
      <w:bookmarkStart w:id="172" w:name="_Toc513029233"/>
      <w:r/>
      <w:bookmarkStart w:id="173" w:name="_Toc20823305"/>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、对响应文件的审</w:t>
      </w:r>
      <w:bookmarkEnd w:id="171"/>
      <w:r/>
      <w:bookmarkEnd w:id="172"/>
      <w:r/>
      <w:bookmarkEnd w:id="173"/>
      <w:r>
        <w:rPr>
          <w:rFonts w:hint="eastAsia" w:ascii="Times New Roman" w:hAnsi="Times New Roman" w:eastAsia="黑体" w:cs="Arial"/>
          <w:color w:val="auto"/>
          <w:sz w:val="28"/>
          <w:szCs w:val="28"/>
          <w:highlight w:val="none"/>
        </w:rPr>
        <w:t xml:space="preserve">查</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响应文件审查分为资格审查和符合性审查。</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60" w:lineRule="exact"/>
        <w:rPr>
          <w:rFonts w:ascii="Times New Roman" w:hAnsi="Times New Roman"/>
          <w:bCs/>
          <w:color w:val="auto"/>
          <w:sz w:val="24"/>
          <w:szCs w:val="21"/>
          <w:highlight w:val="none"/>
        </w:rPr>
      </w:pPr>
      <w:r/>
      <w:bookmarkStart w:id="174" w:name="_Toc20823306"/>
      <w:r/>
      <w:bookmarkStart w:id="175" w:name="_Toc513029234"/>
      <w:r/>
      <w:bookmarkStart w:id="176" w:name="_Toc16938550"/>
      <w:r>
        <w:rPr>
          <w:rFonts w:hint="eastAsia" w:ascii="Times New Roman" w:hAnsi="Times New Roman"/>
          <w:bCs/>
          <w:color w:val="auto"/>
          <w:sz w:val="24"/>
          <w:szCs w:val="21"/>
          <w:highlight w:val="none"/>
        </w:rPr>
        <w:t xml:space="preserve">26.3未实质性响应磋商文件的情形</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26.3.1供应商在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规定的时间内未成功解密电子响应文件的。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26.3.2供应商未按照磋商文件要求上传电子响应文件的。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26.3.3同一供应商提交两个（含两个）以上不同的响应文件或者最后报价的。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26.3.4供应商不具备磋商文件中规定资格要求的。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26.3.5供应商的最后报价超过了采购预算。</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26.3.6不符合磋商文件中规定的实质性要求和条件的（本磋商文件中加★项为实质性要求和条件）。</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26.3.8响应文件含有采购人不能接受的附加条件的。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26.3.9本项目采购产品被财政部、国家发改委、生态环境部等列入“节能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26.3.10响应文件未按照磋商文件要求加盖CA电子公章的。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6.3.11响应文件中已标价工程量清单与竞争性磋商文件规定的暂估价、暂列金额及甲供材料价格不一致的；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6.3.12响应文件中已标价工程量清单与竞争性磋商文件明确列出的不可竞争费用项目或费率或计算基础不一致的；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6.3.13响应文件的已标价工程量清单与竞争性磋商文件提供的工程量清单中的项目编码、项目名称、项目特征、计量单位、工程量不一致的；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6.3.14本项目专门面向中小企业（含监狱企业、残疾人福利企业）采购，非中小企业参与本项目磋商的</w:t>
      </w:r>
      <w:r>
        <w:rPr>
          <w:rFonts w:hint="eastAsia" w:ascii="Times New Roman" w:hAnsi="Times New Roman"/>
          <w:bCs/>
          <w:color w:val="auto"/>
          <w:sz w:val="24"/>
          <w:szCs w:val="21"/>
          <w:highlight w:val="none"/>
        </w:rPr>
        <w:t xml:space="preserve">。</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26.4未实质性响应磋商文件的响应文件按无效响应处理。</w:t>
      </w:r>
      <w:r/>
    </w:p>
    <w:p>
      <w:pPr>
        <w:ind w:firstLine="480"/>
        <w:spacing w:line="56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6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.6供应商在项目评审全过程中应保持通讯畅通，并安排专人与采购代理机构及磋商小组联系。</w:t>
      </w:r>
      <w:r/>
    </w:p>
    <w:p>
      <w:pPr>
        <w:ind w:firstLine="420"/>
        <w:keepLines/>
        <w:keepNext/>
        <w:spacing w:line="56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174"/>
      <w:r/>
      <w:bookmarkEnd w:id="175"/>
      <w:r/>
      <w:bookmarkEnd w:id="176"/>
      <w:r>
        <w:rPr>
          <w:rFonts w:hint="eastAsia" w:ascii="Times New Roman" w:hAnsi="Times New Roman" w:eastAsia="黑体" w:cs="Arial"/>
          <w:color w:val="auto"/>
          <w:sz w:val="28"/>
          <w:szCs w:val="28"/>
          <w:highlight w:val="none"/>
        </w:rPr>
        <w:t xml:space="preserve">磋商程序及评审方法和评审标准</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27.1磋商程序</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27.1.2</w:t>
      </w:r>
      <w:r>
        <w:rPr>
          <w:rFonts w:ascii="Times New Roman" w:hAnsi="Times New Roman"/>
          <w:color w:val="auto"/>
          <w:sz w:val="24"/>
          <w:szCs w:val="24"/>
          <w:highlight w:val="none"/>
        </w:rPr>
        <w:t xml:space="preserve">磋商文件能够详细列明采购标的的技术、服务要求的，磋商结束后，磋商小组</w:t>
      </w:r>
      <w:r>
        <w:rPr>
          <w:rFonts w:hint="eastAsia" w:ascii="Times New Roman" w:hAnsi="Times New Roman"/>
          <w:color w:val="auto"/>
          <w:sz w:val="24"/>
          <w:szCs w:val="24"/>
          <w:highlight w:val="none"/>
        </w:rPr>
        <w:t xml:space="preserve">将在苏采云系统向所有</w:t>
      </w:r>
      <w:r>
        <w:rPr>
          <w:rFonts w:ascii="Times New Roman" w:hAnsi="Times New Roman"/>
          <w:color w:val="auto"/>
          <w:sz w:val="24"/>
          <w:szCs w:val="24"/>
          <w:highlight w:val="none"/>
        </w:rPr>
        <w:t xml:space="preserve">实质性响应的供应商</w:t>
      </w:r>
      <w:r>
        <w:rPr>
          <w:rFonts w:hint="eastAsia" w:ascii="Times New Roman" w:hAnsi="Times New Roman"/>
          <w:color w:val="auto"/>
          <w:sz w:val="24"/>
          <w:szCs w:val="24"/>
          <w:highlight w:val="none"/>
        </w:rPr>
        <w:t xml:space="preserve">发布“最后报价要求函”及最后报价格式表，</w:t>
      </w:r>
      <w:r>
        <w:rPr>
          <w:rFonts w:ascii="Times New Roman" w:hAnsi="Times New Roman"/>
          <w:color w:val="auto"/>
          <w:sz w:val="24"/>
          <w:szCs w:val="24"/>
          <w:highlight w:val="none"/>
        </w:rPr>
        <w:t xml:space="preserve">要求所有实质性响应的供应商在规定时间内提交最后报价。</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最后报价是供应商响应文件的有效组成部分。符合《政府采购竞争性磋商采购方式</w:t>
      </w:r>
      <w:r>
        <w:rPr>
          <w:rFonts w:hint="eastAsia" w:ascii="Times New Roman" w:hAnsi="Times New Roman"/>
          <w:color w:val="auto"/>
          <w:sz w:val="24"/>
          <w:szCs w:val="24"/>
          <w:highlight w:val="none"/>
          <w:lang w:eastAsia="zh-CN"/>
        </w:rPr>
        <w:t xml:space="preserve">管</w:t>
      </w:r>
      <w:r>
        <w:rPr>
          <w:rFonts w:hint="eastAsia" w:ascii="Times New Roman" w:hAnsi="Times New Roman"/>
          <w:color w:val="auto"/>
          <w:sz w:val="24"/>
          <w:szCs w:val="24"/>
          <w:highlight w:val="none"/>
        </w:rPr>
        <w:t xml:space="preserve">理暂行办法》第三条第四项及《财政部关于竞争性磋商采购方式管理暂行办法有关问题的补充通知》（财库[2015]124号）规定情形的，提交最后报价的供应商可以为2家。</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highlight w:val="none"/>
        </w:rPr>
        <w:t xml:space="preserve">已提交响应文件的供应商，在提交最后报价之前，可以根据磋商情况退出磋商</w:t>
      </w:r>
      <w:r>
        <w:rPr>
          <w:rFonts w:hint="eastAsia" w:ascii="Times New Roman" w:hAnsi="Times New Roman"/>
          <w:color w:val="auto"/>
          <w:sz w:val="24"/>
          <w:szCs w:val="24"/>
          <w:highlight w:val="none"/>
        </w:rPr>
        <w:t xml:space="preserve">，并在苏采云系统中提交“退出磋商函”并加盖CA电子公章</w:t>
      </w:r>
      <w:r>
        <w:rPr>
          <w:rFonts w:ascii="Times New Roman" w:hAnsi="Times New Roman"/>
          <w:color w:val="auto"/>
          <w:sz w:val="24"/>
          <w:szCs w:val="24"/>
          <w:highlight w:val="none"/>
        </w:rPr>
        <w:t xml:space="preserve">。</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评审方法和评审标准</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27.2.2评审标准</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见本磋商文件第五章规定。</w:t>
      </w:r>
      <w:r/>
    </w:p>
    <w:p>
      <w:pPr>
        <w:ind w:firstLine="478"/>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27.3采购活动终止的情况</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出现下列情形之一的，本次竞争性磋商采购活动将被终止：</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27.3.1因情况变化，不再符合规定的竞争性磋商采购方式适用情形的。</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27.3.2出现影响采购公正的违法、违规行为的。</w:t>
      </w:r>
      <w:r/>
    </w:p>
    <w:p>
      <w:pPr>
        <w:ind w:firstLine="360"/>
        <w:spacing w:line="560" w:lineRule="exact"/>
        <w:tabs>
          <w:tab w:val="left" w:pos="90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60" w:lineRule="exact"/>
        <w:tabs>
          <w:tab w:val="left" w:pos="900" w:leader="none"/>
        </w:tabs>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27.3.4在</w:t>
      </w:r>
      <w:r>
        <w:rPr>
          <w:rFonts w:hint="eastAsia" w:ascii="Times New Roman" w:hAnsi="Times New Roman"/>
          <w:color w:val="auto"/>
          <w:sz w:val="24"/>
          <w:szCs w:val="24"/>
          <w:highlight w:val="none"/>
        </w:rPr>
        <w:t xml:space="preserve">苏采云系统</w:t>
      </w:r>
      <w:r>
        <w:rPr>
          <w:rFonts w:hint="eastAsia" w:ascii="Times New Roman" w:hAnsi="Times New Roman" w:cs="宋体"/>
          <w:color w:val="auto"/>
          <w:sz w:val="24"/>
          <w:szCs w:val="24"/>
          <w:highlight w:val="none"/>
        </w:rPr>
        <w:t xml:space="preserve">规定时间内成功解密电子响应文件的供应商不足3家的。</w:t>
      </w:r>
      <w:r/>
    </w:p>
    <w:p>
      <w:pPr>
        <w:ind w:firstLine="482"/>
        <w:keepLines/>
        <w:keepNext/>
        <w:spacing w:line="560" w:lineRule="exact"/>
        <w:rPr>
          <w:rFonts w:ascii="Times New Roman" w:hAnsi="Times New Roman"/>
          <w:b/>
          <w:bCs/>
          <w:color w:val="auto"/>
          <w:sz w:val="32"/>
          <w:szCs w:val="32"/>
          <w:highlight w:val="none"/>
        </w:rPr>
        <w:outlineLvl w:val="2"/>
      </w:pPr>
      <w:r/>
      <w:bookmarkStart w:id="177" w:name="_Toc120614219"/>
      <w:r/>
      <w:bookmarkStart w:id="178" w:name="_Toc16938551"/>
      <w:r/>
      <w:bookmarkStart w:id="179" w:name="_Toc20823307"/>
      <w:r/>
      <w:bookmarkStart w:id="180" w:name="_Toc513029235"/>
      <w:r/>
      <w:bookmarkStart w:id="181" w:name="_Toc169207393"/>
      <w:r>
        <w:rPr>
          <w:rFonts w:hint="eastAsia" w:ascii="Times New Roman" w:hAnsi="Times New Roman"/>
          <w:b/>
          <w:bCs/>
          <w:color w:val="auto"/>
          <w:sz w:val="32"/>
          <w:szCs w:val="32"/>
          <w:highlight w:val="none"/>
        </w:rPr>
        <w:t xml:space="preserve">六、</w:t>
      </w:r>
      <w:bookmarkEnd w:id="177"/>
      <w:r/>
      <w:bookmarkEnd w:id="178"/>
      <w:r/>
      <w:bookmarkEnd w:id="179"/>
      <w:r/>
      <w:bookmarkEnd w:id="180"/>
      <w:r>
        <w:rPr>
          <w:rFonts w:hint="eastAsia" w:ascii="Times New Roman" w:hAnsi="Times New Roman"/>
          <w:b/>
          <w:bCs/>
          <w:color w:val="auto"/>
          <w:sz w:val="32"/>
          <w:szCs w:val="32"/>
          <w:highlight w:val="none"/>
        </w:rPr>
        <w:t xml:space="preserve">成交</w:t>
      </w:r>
      <w:bookmarkEnd w:id="181"/>
      <w:r/>
      <w:r/>
    </w:p>
    <w:p>
      <w:pPr>
        <w:ind w:firstLine="600"/>
        <w:keepLines/>
        <w:keepNext/>
        <w:spacing w:line="560" w:lineRule="exact"/>
        <w:rPr>
          <w:rFonts w:ascii="Times New Roman" w:hAnsi="Times New Roman" w:eastAsia="黑体"/>
          <w:bCs/>
          <w:color w:val="auto"/>
          <w:sz w:val="30"/>
          <w:szCs w:val="30"/>
          <w:highlight w:val="none"/>
        </w:rPr>
        <w:outlineLvl w:val="3"/>
      </w:pPr>
      <w:r/>
      <w:bookmarkStart w:id="182" w:name="_Toc513029238"/>
      <w:r/>
      <w:bookmarkStart w:id="183" w:name="_Toc16938554"/>
      <w:r/>
      <w:bookmarkStart w:id="184" w:name="_Toc20823310"/>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182"/>
      <w:r>
        <w:rPr>
          <w:rFonts w:hint="eastAsia" w:ascii="Times New Roman" w:hAnsi="Times New Roman" w:eastAsia="黑体"/>
          <w:bCs/>
          <w:color w:val="auto"/>
          <w:sz w:val="30"/>
          <w:szCs w:val="30"/>
          <w:highlight w:val="none"/>
        </w:rPr>
        <w:t xml:space="preserve">确定</w:t>
      </w:r>
      <w:bookmarkEnd w:id="183"/>
      <w:r/>
      <w:bookmarkEnd w:id="184"/>
      <w:r>
        <w:rPr>
          <w:rFonts w:hint="eastAsia" w:ascii="Times New Roman" w:hAnsi="Times New Roman" w:eastAsia="黑体"/>
          <w:bCs/>
          <w:color w:val="auto"/>
          <w:sz w:val="30"/>
          <w:szCs w:val="30"/>
          <w:highlight w:val="none"/>
        </w:rPr>
        <w:t xml:space="preserve">成交单位</w:t>
      </w:r>
      <w:r/>
    </w:p>
    <w:p>
      <w:pPr>
        <w:ind w:firstLine="478"/>
        <w:spacing w:line="560" w:lineRule="exact"/>
        <w:tabs>
          <w:tab w:val="left" w:pos="900" w:leader="none"/>
        </w:tabs>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w:t>
      </w:r>
      <w:r>
        <w:rPr>
          <w:rFonts w:hint="eastAsia" w:ascii="Times New Roman" w:hAnsi="Times New Roman"/>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8"/>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.2采购人从评审报告提出的成交候选供应商中，按照排序由高到低的原则确定成交供应商。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按以下第</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u w:val="single"/>
          <w:lang w:val="en-US" w:eastAsia="zh-CN"/>
        </w:rPr>
        <w:t xml:space="preserve">2</w:t>
      </w:r>
      <w:r>
        <w:rPr>
          <w:rFonts w:hint="eastAsia" w:ascii="Times New Roman" w:hAnsi="Times New Roman"/>
          <w:bCs/>
          <w:color w:val="auto"/>
          <w:sz w:val="24"/>
          <w:highlight w:val="none"/>
          <w:u w:val="single"/>
          <w:lang w:val="zh-CN"/>
        </w:rPr>
        <w:t xml:space="preserve">）</w:t>
      </w:r>
      <w:r>
        <w:rPr>
          <w:rFonts w:hint="eastAsia" w:ascii="Times New Roman" w:hAnsi="Times New Roman"/>
          <w:bCs/>
          <w:color w:val="auto"/>
          <w:sz w:val="24"/>
          <w:highlight w:val="none"/>
          <w:lang w:val="zh-CN"/>
        </w:rPr>
        <w:t xml:space="preserve">种方式确定成交供应商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（1）磋商小组直接确定排名第一的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为成交供应商；</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（2）采购人</w:t>
      </w:r>
      <w:r>
        <w:rPr>
          <w:rFonts w:hint="eastAsia" w:ascii="Times New Roman" w:hAnsi="Times New Roman"/>
          <w:bCs/>
          <w:color w:val="auto"/>
          <w:sz w:val="24"/>
          <w:szCs w:val="21"/>
          <w:highlight w:val="none"/>
        </w:rPr>
        <w:t xml:space="preserve">从评审报告提出</w:t>
      </w:r>
      <w:r>
        <w:rPr>
          <w:rFonts w:hint="eastAsia" w:ascii="Times New Roman" w:hAnsi="Times New Roman"/>
          <w:bCs/>
          <w:color w:val="auto"/>
          <w:sz w:val="24"/>
          <w:highlight w:val="none"/>
          <w:lang w:val="zh-CN"/>
        </w:rPr>
        <w:t xml:space="preserve">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8"/>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 xml:space="preserve">按第</w:t>
      </w:r>
      <w:r>
        <w:rPr>
          <w:rFonts w:hint="eastAsia" w:ascii="Times New Roman" w:hAnsi="Times New Roman"/>
          <w:bCs/>
          <w:color w:val="auto"/>
          <w:sz w:val="24"/>
          <w:highlight w:val="none"/>
        </w:rPr>
        <w:t xml:space="preserve">2</w:t>
      </w:r>
      <w:r>
        <w:rPr>
          <w:rFonts w:hint="eastAsia" w:ascii="Times New Roman" w:hAnsi="Times New Roman"/>
          <w:bCs/>
          <w:color w:val="auto"/>
          <w:sz w:val="24"/>
          <w:highlight w:val="none"/>
          <w:lang w:val="zh-CN"/>
        </w:rPr>
        <w:t xml:space="preserve">种方式确定成交供应商的，</w:t>
      </w:r>
      <w:r>
        <w:rPr>
          <w:rFonts w:hint="eastAsia" w:ascii="Times New Roman" w:hAnsi="Times New Roman"/>
          <w:bCs/>
          <w:color w:val="auto"/>
          <w:sz w:val="24"/>
          <w:highlight w:val="none"/>
        </w:rPr>
        <w:t xml:space="preserve">采购代理机构</w:t>
      </w:r>
      <w:r>
        <w:rPr>
          <w:rFonts w:hint="eastAsia" w:ascii="Times New Roman" w:hAnsi="Times New Roman"/>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 xml:space="preserve">成交候选供应商</w:t>
      </w:r>
      <w:r>
        <w:rPr>
          <w:rFonts w:hint="eastAsia" w:ascii="Times New Roman" w:hAnsi="Times New Roman"/>
          <w:bCs/>
          <w:color w:val="auto"/>
          <w:sz w:val="24"/>
          <w:highlight w:val="none"/>
          <w:lang w:val="zh-CN"/>
        </w:rPr>
        <w:t xml:space="preserve">中按顺序确定成交供应商。</w:t>
      </w:r>
      <w:r/>
    </w:p>
    <w:p>
      <w:pPr>
        <w:ind w:firstLine="478"/>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8.3</w:t>
      </w:r>
      <w:r>
        <w:rPr>
          <w:rFonts w:hint="eastAsia" w:ascii="Times New Roman" w:hAnsi="Times New Roman"/>
          <w:bCs/>
          <w:color w:val="auto"/>
          <w:sz w:val="24"/>
          <w:szCs w:val="21"/>
          <w:highlight w:val="none"/>
        </w:rPr>
        <w:t xml:space="preserve">成交供应商确定后，采购代理机构将在“宿迁市政府采购网”发布成交结果公告，公告期限为1个工作日。</w:t>
      </w:r>
      <w:r/>
    </w:p>
    <w:p>
      <w:pPr>
        <w:ind w:firstLine="478"/>
        <w:spacing w:line="560" w:lineRule="exact"/>
        <w:tabs>
          <w:tab w:val="left" w:pos="900" w:leader="none"/>
        </w:tabs>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若有充分证据证明，成交供应商出现下列情况之一的，一经查实，将被取消成交资格：</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.1提供虚假材料谋取成交的。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.2与评审专家、采购人、其他供应商或者</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工作人员恶意串通的。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.3向评审专家、采购人或</w:t>
      </w:r>
      <w:r>
        <w:rPr>
          <w:rFonts w:hint="eastAsia" w:ascii="Times New Roman" w:hAnsi="Times New Roman"/>
          <w:color w:val="auto"/>
          <w:sz w:val="24"/>
          <w:szCs w:val="21"/>
          <w:highlight w:val="none"/>
        </w:rPr>
        <w:t xml:space="preserve">采购代理机构</w:t>
      </w:r>
      <w:r>
        <w:rPr>
          <w:rFonts w:hint="eastAsia" w:ascii="Times New Roman" w:hAnsi="Times New Roman"/>
          <w:bCs/>
          <w:color w:val="auto"/>
          <w:sz w:val="24"/>
          <w:szCs w:val="21"/>
          <w:highlight w:val="none"/>
        </w:rPr>
        <w:t xml:space="preserve">工作人员行贿或者提供其他不正当利益的。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.4恶意竞争，最后报价明显低于其自身合理成本且又无法提供证明的。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.5不满足本磋商文件规定的实质性要求，但在评审过程中又未被磋商小组发现的。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.6成交后无正当理由拒不与采购人签订政府采购合同或者未按照磋商文件确定的事项签订政府采购合同的。</w:t>
      </w:r>
      <w:r/>
    </w:p>
    <w:p>
      <w:pPr>
        <w:ind w:firstLine="480"/>
        <w:spacing w:line="5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28.</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.7将政府采购合同转包的。</w:t>
      </w:r>
      <w:r/>
    </w:p>
    <w:p>
      <w:pPr>
        <w:ind w:firstLine="600"/>
        <w:keepLines/>
        <w:keepNext/>
        <w:spacing w:line="560" w:lineRule="exact"/>
        <w:rPr>
          <w:rFonts w:ascii="Times New Roman" w:hAnsi="Times New Roman" w:eastAsia="黑体"/>
          <w:bCs/>
          <w:color w:val="auto"/>
          <w:sz w:val="30"/>
          <w:szCs w:val="30"/>
          <w:highlight w:val="none"/>
        </w:rPr>
        <w:outlineLvl w:val="3"/>
      </w:pPr>
      <w:r/>
      <w:bookmarkStart w:id="185" w:name="_Toc200451960"/>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185"/>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.2.1</w:t>
      </w:r>
      <w:r>
        <w:rPr>
          <w:rFonts w:ascii="Times New Roman" w:hAnsi="Times New Roman" w:cs="宋体"/>
          <w:color w:val="auto"/>
          <w:sz w:val="24"/>
          <w:szCs w:val="24"/>
          <w:highlight w:val="none"/>
        </w:rPr>
        <w:t xml:space="preserve">对可以质疑的采购文件提出质疑的，为收到采购文件之日或者采购文件公告期限届满之日</w:t>
      </w:r>
      <w:r>
        <w:rPr>
          <w:rFonts w:hint="eastAsia" w:ascii="Times New Roman" w:hAnsi="Times New Roman" w:cs="宋体"/>
          <w:color w:val="auto"/>
          <w:sz w:val="24"/>
          <w:szCs w:val="24"/>
          <w:highlight w:val="none"/>
        </w:rPr>
        <w:t xml:space="preserve">。</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.2.2</w:t>
      </w:r>
      <w:r>
        <w:rPr>
          <w:rFonts w:ascii="Times New Roman" w:hAnsi="Times New Roman" w:cs="宋体"/>
          <w:color w:val="auto"/>
          <w:sz w:val="24"/>
          <w:szCs w:val="24"/>
          <w:highlight w:val="none"/>
        </w:rPr>
        <w:t xml:space="preserve">对采购过程提出质疑的，为各采购程序环节结束之日</w:t>
      </w:r>
      <w:r>
        <w:rPr>
          <w:rFonts w:hint="eastAsia" w:ascii="Times New Roman" w:hAnsi="Times New Roman" w:cs="宋体"/>
          <w:color w:val="auto"/>
          <w:sz w:val="24"/>
          <w:szCs w:val="24"/>
          <w:highlight w:val="none"/>
        </w:rPr>
        <w:t xml:space="preserve">。</w:t>
      </w:r>
      <w:r/>
    </w:p>
    <w:p>
      <w:pPr>
        <w:ind w:firstLine="480"/>
        <w:spacing w:line="560" w:lineRule="exact"/>
        <w:rPr>
          <w:rFonts w:ascii="Times New Roman" w:hAnsi="Times New Roman" w:cs="宋体"/>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.2.3</w:t>
      </w:r>
      <w:r>
        <w:rPr>
          <w:rFonts w:ascii="Times New Roman" w:hAnsi="Times New Roman" w:cs="宋体"/>
          <w:color w:val="auto"/>
          <w:sz w:val="24"/>
          <w:szCs w:val="24"/>
          <w:highlight w:val="none"/>
        </w:rPr>
        <w:t xml:space="preserve">对成交结果提出质疑的，为成交结果公告期限届满之日。</w:t>
      </w:r>
      <w:r/>
    </w:p>
    <w:p>
      <w:pPr>
        <w:ind w:firstLine="480"/>
        <w:spacing w:line="560" w:lineRule="exact"/>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 xml:space="preserve">采购代理机构</w:t>
      </w:r>
      <w:r>
        <w:rPr>
          <w:rFonts w:hint="eastAsia" w:ascii="Times New Roman" w:hAnsi="Times New Roman" w:cs="宋体"/>
          <w:color w:val="auto"/>
          <w:sz w:val="24"/>
          <w:szCs w:val="24"/>
          <w:highlight w:val="none"/>
        </w:rPr>
        <w:t xml:space="preserve">、</w:t>
      </w:r>
      <w:r>
        <w:rPr>
          <w:rFonts w:ascii="Times New Roman" w:hAnsi="Times New Roman" w:cs="宋体"/>
          <w:color w:val="auto"/>
          <w:sz w:val="24"/>
          <w:szCs w:val="24"/>
          <w:highlight w:val="none"/>
        </w:rPr>
        <w:t xml:space="preserve">采购人</w:t>
      </w:r>
      <w:r>
        <w:rPr>
          <w:rFonts w:hint="eastAsia" w:ascii="Times New Roman" w:hAnsi="Times New Roman" w:cs="宋体"/>
          <w:color w:val="auto"/>
          <w:sz w:val="24"/>
          <w:szCs w:val="24"/>
          <w:highlight w:val="none"/>
        </w:rPr>
        <w:t xml:space="preserve">将只对供应商第一次质疑作出答复。</w:t>
      </w:r>
      <w:r/>
    </w:p>
    <w:p>
      <w:pPr>
        <w:ind w:firstLine="480"/>
        <w:spacing w:line="5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29.3质疑函必须按照本磋商文件中《质疑函范本》要求的格式和内容进行填写。</w:t>
      </w:r>
      <w:r/>
    </w:p>
    <w:p>
      <w:pPr>
        <w:ind w:firstLine="480"/>
        <w:spacing w:line="5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接收质疑函的方式：现场接收或邮寄接收。</w:t>
      </w:r>
      <w:r/>
    </w:p>
    <w:p>
      <w:pPr>
        <w:ind w:firstLine="480"/>
        <w:spacing w:line="5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联系部门：</w:t>
      </w:r>
      <w:r>
        <w:rPr>
          <w:rFonts w:hint="eastAsia" w:ascii="Times New Roman" w:hAnsi="Times New Roman" w:eastAsia="宋体" w:cs="宋体"/>
          <w:color w:val="auto"/>
          <w:sz w:val="24"/>
          <w:szCs w:val="24"/>
          <w:highlight w:val="none"/>
          <w:lang w:eastAsia="zh-CN"/>
        </w:rPr>
        <w:t xml:space="preserve">宿迁学院附属学校</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江苏经天纬地建设项目管理有限公司</w:t>
      </w:r>
      <w:r/>
    </w:p>
    <w:p>
      <w:pPr>
        <w:ind w:firstLine="480"/>
        <w:spacing w:line="5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联系电话：</w:t>
      </w:r>
      <w:r>
        <w:rPr>
          <w:rFonts w:hint="eastAsia" w:ascii="Times New Roman" w:hAnsi="Times New Roman" w:eastAsia="宋体" w:cs="宋体"/>
          <w:color w:val="auto"/>
          <w:sz w:val="24"/>
          <w:szCs w:val="24"/>
          <w:highlight w:val="none"/>
          <w:lang w:eastAsia="zh-CN"/>
        </w:rPr>
        <w:t xml:space="preserve">沈维胜13951244693</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周辰18262844633</w:t>
      </w:r>
      <w:r/>
    </w:p>
    <w:p>
      <w:pPr>
        <w:ind w:firstLine="480"/>
        <w:spacing w:line="560" w:lineRule="exact"/>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rPr>
        <w:t xml:space="preserve">通讯地址：</w:t>
      </w:r>
      <w:r>
        <w:rPr>
          <w:rFonts w:hint="eastAsia" w:ascii="Times New Roman" w:hAnsi="Times New Roman" w:eastAsia="宋体" w:cs="宋体"/>
          <w:color w:val="auto"/>
          <w:sz w:val="24"/>
          <w:szCs w:val="24"/>
          <w:highlight w:val="none"/>
          <w:lang w:eastAsia="zh-CN"/>
        </w:rPr>
        <w:t xml:space="preserve">宿迁市宿城区河滨街道城北路390号</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highlight w:val="none"/>
          <w:lang w:eastAsia="zh-CN"/>
        </w:rPr>
        <w:t xml:space="preserve">宿迁市宿豫区金融财富广场C栋15楼</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 以下情形的质疑不予受理</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.5.1 内容不符合《政府采购质疑和投诉办法》第十二条规定的质疑。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.5.2 超出政府采购法定期限的质疑。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.5.3 以传真、电子邮件等方式递交的非原件形式的质疑。</w:t>
      </w:r>
      <w:r/>
    </w:p>
    <w:p>
      <w:pPr>
        <w:ind w:firstLine="48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.5.4 未参加磋商活动的供应商或在磋商活动中自身权益未受到损害的供应商所提出的质疑。</w:t>
      </w:r>
      <w:r/>
    </w:p>
    <w:p>
      <w:pPr>
        <w:ind w:firstLine="468"/>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w:t>
      </w:r>
      <w:r>
        <w:rPr>
          <w:rFonts w:hint="eastAsia" w:ascii="Times New Roman" w:hAnsi="Times New Roman"/>
          <w:color w:val="auto"/>
          <w:sz w:val="24"/>
          <w:szCs w:val="24"/>
          <w:highlight w:val="none"/>
        </w:rPr>
        <w:t xml:space="preserve">.6 供应商提出书面质疑必须有理、有据，不得捏造事实、提供虚假材料进行恶意质疑。否则，一经查实，</w:t>
      </w:r>
      <w:r>
        <w:rPr>
          <w:rFonts w:hint="eastAsia" w:ascii="Times New Roman" w:hAnsi="Times New Roman"/>
          <w:color w:val="auto"/>
          <w:sz w:val="24"/>
          <w:szCs w:val="21"/>
          <w:highlight w:val="none"/>
        </w:rPr>
        <w:t xml:space="preserve">采购代理机构</w:t>
      </w:r>
      <w:r>
        <w:rPr>
          <w:rFonts w:hint="eastAsia" w:ascii="Times New Roman" w:hAnsi="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68"/>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29.7</w:t>
      </w:r>
      <w:r>
        <w:rPr>
          <w:rFonts w:hint="eastAsia" w:ascii="Times New Roman" w:hAnsi="Times New Roman"/>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p>
    <w:p>
      <w:pPr>
        <w:ind w:firstLine="6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、成交通知书</w:t>
      </w:r>
      <w:r/>
    </w:p>
    <w:p>
      <w:pPr>
        <w:ind w:firstLine="600"/>
        <w:spacing w:line="56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line="560" w:lineRule="exact"/>
        <w:rPr>
          <w:rFonts w:ascii="Times New Roman" w:hAnsi="Times New Roman"/>
          <w:b/>
          <w:bCs/>
          <w:color w:val="auto"/>
          <w:sz w:val="32"/>
          <w:szCs w:val="32"/>
          <w:highlight w:val="none"/>
        </w:rPr>
        <w:outlineLvl w:val="2"/>
      </w:pPr>
      <w:r/>
      <w:bookmarkStart w:id="186" w:name="_Toc120614220"/>
      <w:r/>
      <w:bookmarkStart w:id="187" w:name="_Toc513029236"/>
      <w:r/>
      <w:bookmarkStart w:id="188" w:name="_Toc169207394"/>
      <w:r/>
      <w:bookmarkStart w:id="189" w:name="_Toc16938552"/>
      <w:r/>
      <w:bookmarkStart w:id="190" w:name="_Toc20823308"/>
      <w:r>
        <w:rPr>
          <w:rFonts w:hint="eastAsia" w:ascii="Times New Roman" w:hAnsi="Times New Roman"/>
          <w:b/>
          <w:bCs/>
          <w:color w:val="auto"/>
          <w:sz w:val="32"/>
          <w:szCs w:val="32"/>
          <w:highlight w:val="none"/>
        </w:rPr>
        <w:t xml:space="preserve">七、授予合同</w:t>
      </w:r>
      <w:bookmarkEnd w:id="186"/>
      <w:r/>
      <w:bookmarkEnd w:id="187"/>
      <w:r/>
      <w:bookmarkEnd w:id="188"/>
      <w:r/>
      <w:bookmarkEnd w:id="189"/>
      <w:r/>
      <w:bookmarkEnd w:id="190"/>
      <w:r/>
      <w:r/>
    </w:p>
    <w:p>
      <w:pPr>
        <w:ind w:firstLine="600"/>
        <w:keepLines/>
        <w:keepNext/>
        <w:spacing w:line="560" w:lineRule="exact"/>
        <w:rPr>
          <w:rFonts w:ascii="Times New Roman" w:hAnsi="Times New Roman" w:eastAsia="黑体"/>
          <w:bCs/>
          <w:color w:val="auto"/>
          <w:sz w:val="30"/>
          <w:szCs w:val="30"/>
          <w:highlight w:val="none"/>
        </w:rPr>
        <w:outlineLvl w:val="3"/>
      </w:pPr>
      <w:r/>
      <w:bookmarkStart w:id="191" w:name="_Toc16938553"/>
      <w:r/>
      <w:bookmarkStart w:id="192" w:name="_Toc20823309"/>
      <w:r/>
      <w:bookmarkStart w:id="193" w:name="_Toc513029237"/>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60" w:lineRule="exact"/>
        <w:rPr>
          <w:rFonts w:ascii="Times New Roman" w:hAnsi="Times New Roman"/>
          <w:color w:val="auto"/>
          <w:sz w:val="24"/>
          <w:szCs w:val="24"/>
          <w:highlight w:val="none"/>
        </w:rPr>
      </w:pPr>
      <w:r>
        <w:rPr>
          <w:rFonts w:hint="eastAsia" w:ascii="Times New Roman" w:hAnsi="Times New Roman"/>
          <w:bCs/>
          <w:color w:val="auto"/>
          <w:sz w:val="24"/>
          <w:szCs w:val="24"/>
          <w:highlight w:val="none"/>
        </w:rPr>
        <w:t xml:space="preserve">3</w:t>
      </w:r>
      <w:r>
        <w:rPr>
          <w:rFonts w:ascii="Times New Roman" w:hAnsi="Times New Roman"/>
          <w:bCs/>
          <w:color w:val="auto"/>
          <w:sz w:val="24"/>
          <w:szCs w:val="24"/>
          <w:highlight w:val="none"/>
        </w:rPr>
        <w:t xml:space="preserve">1</w:t>
      </w:r>
      <w:r>
        <w:rPr>
          <w:rFonts w:hint="eastAsia" w:ascii="Times New Roman" w:hAnsi="Times New Roman"/>
          <w:color w:val="auto"/>
          <w:sz w:val="24"/>
          <w:szCs w:val="24"/>
          <w:highlight w:val="none"/>
        </w:rPr>
        <w:t xml:space="preserve">.l成交供应商应当在成交通知书发出之日起1</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日内，按照磋商文件确定的事项与采购人签订政府采购合同。</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.2磋商文件、成交供应商的响应文件及磋商过程中有关澄清、承诺文件均应作为合同附件。</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31.4本项目的非主体、非关键性工作是否允许分包按以下第</w:t>
      </w:r>
      <w:r>
        <w:rPr>
          <w:rFonts w:ascii="Times New Roman" w:hAnsi="Times New Roman"/>
          <w:color w:val="auto"/>
          <w:sz w:val="24"/>
          <w:szCs w:val="24"/>
          <w:highlight w:val="none"/>
          <w:u w:val="single"/>
        </w:rPr>
        <w:t xml:space="preserve">2</w:t>
      </w:r>
      <w:r>
        <w:rPr>
          <w:rFonts w:hint="eastAsia" w:ascii="Times New Roman" w:hAnsi="Times New Roman"/>
          <w:color w:val="auto"/>
          <w:sz w:val="24"/>
          <w:szCs w:val="24"/>
          <w:highlight w:val="none"/>
        </w:rPr>
        <w:t xml:space="preserve">种方式确定：</w:t>
      </w:r>
      <w:r/>
    </w:p>
    <w:p>
      <w:pPr>
        <w:ind w:firstLine="72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1.允许分包，允许大中型企业向一家或者多家小微企业分包，分包具体内容、金额或比例：</w:t>
      </w:r>
      <w:r>
        <w:rPr>
          <w:rFonts w:hint="eastAsia" w:ascii="Times New Roman" w:hAnsi="Times New Roman"/>
          <w:color w:val="auto"/>
          <w:sz w:val="24"/>
          <w:szCs w:val="24"/>
          <w:highlight w:val="none"/>
          <w:u w:val="single"/>
        </w:rPr>
        <w:t xml:space="preserve">/</w:t>
      </w:r>
      <w:r/>
    </w:p>
    <w:p>
      <w:pPr>
        <w:ind w:firstLine="720"/>
        <w:spacing w:line="560" w:lineRule="exact"/>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firstLine="60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31.5履约保证金</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按照以下第</w:t>
      </w:r>
      <w:r>
        <w:rPr>
          <w:rFonts w:hint="eastAsia" w:ascii="Times New Roman" w:hAnsi="Times New Roman"/>
          <w:bCs/>
          <w:color w:val="auto"/>
          <w:sz w:val="24"/>
          <w:highlight w:val="none"/>
          <w:u w:val="single"/>
        </w:rPr>
        <w:t xml:space="preserve">（</w:t>
      </w:r>
      <w:r>
        <w:rPr>
          <w:rFonts w:hint="eastAsia" w:ascii="Times New Roman" w:hAnsi="Times New Roman"/>
          <w:bCs/>
          <w:color w:val="auto"/>
          <w:sz w:val="24"/>
          <w:highlight w:val="none"/>
          <w:u w:val="single"/>
          <w:lang w:val="en-US" w:eastAsia="zh-CN"/>
        </w:rPr>
        <w:t xml:space="preserve">2</w:t>
      </w:r>
      <w:r>
        <w:rPr>
          <w:rFonts w:hint="eastAsia" w:ascii="Times New Roman" w:hAnsi="Times New Roman"/>
          <w:bCs/>
          <w:color w:val="auto"/>
          <w:sz w:val="24"/>
          <w:highlight w:val="none"/>
          <w:u w:val="single"/>
        </w:rPr>
        <w:t xml:space="preserve">）</w:t>
      </w:r>
      <w:r>
        <w:rPr>
          <w:rFonts w:hint="eastAsia" w:ascii="Times New Roman" w:hAnsi="Times New Roman"/>
          <w:bCs/>
          <w:color w:val="auto"/>
          <w:sz w:val="24"/>
          <w:highlight w:val="none"/>
          <w:lang w:val="zh-CN"/>
        </w:rPr>
        <w:t xml:space="preserve">方式确定履约保证收取方式。</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(1)不收取履约保证金。</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(2)履约保证金应在采购合同签订前提交，履约保证金的金额：按采购合同总价的</w:t>
      </w:r>
      <w:r>
        <w:rPr>
          <w:bCs/>
          <w:color w:val="auto"/>
          <w:sz w:val="24"/>
          <w:highlight w:val="none"/>
          <w:u w:val="single"/>
        </w:rPr>
        <w:t xml:space="preserve">5</w:t>
      </w:r>
      <w:r>
        <w:rPr>
          <w:rFonts w:hint="eastAsia" w:ascii="Times New Roman" w:hAnsi="Times New Roman"/>
          <w:bCs/>
          <w:color w:val="auto"/>
          <w:sz w:val="24"/>
          <w:highlight w:val="none"/>
          <w:lang w:val="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zh-CN"/>
        </w:rPr>
        <w:t xml:space="preserve">使用江苏政府采购电子履约保函（保险）代缴履约保证金，按采购合同价的</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lang w:val="zh-CN"/>
        </w:rPr>
        <w:t xml:space="preserve">%）计取。</w:t>
      </w:r>
      <w:r>
        <w:rPr>
          <w:rFonts w:hint="eastAsia" w:ascii="Times New Roman" w:hAnsi="Times New Roman"/>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履约保证金退还的条件：按以下第</w:t>
      </w:r>
      <w:r>
        <w:rPr>
          <w:rFonts w:hint="eastAsia" w:ascii="Times New Roman" w:hAnsi="Times New Roman"/>
          <w:bCs/>
          <w:color w:val="auto"/>
          <w:sz w:val="24"/>
          <w:highlight w:val="none"/>
          <w:u w:val="single"/>
          <w:lang w:val="zh-CN"/>
        </w:rPr>
        <w:t xml:space="preserve"> c </w:t>
      </w:r>
      <w:r>
        <w:rPr>
          <w:rFonts w:hint="eastAsia" w:ascii="Times New Roman" w:hAnsi="Times New Roman"/>
          <w:bCs/>
          <w:color w:val="auto"/>
          <w:sz w:val="24"/>
          <w:highlight w:val="none"/>
          <w:lang w:val="zh-CN"/>
        </w:rPr>
        <w:t xml:space="preserve">种方式执行：</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a、货物类项目，项目验收合格，出具验收报告及履约保证金收据申请退付；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b、服务类项目，项目履约期满评价合格，出具履约评价报告及履约保证金收据申请退付；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c、工程类项目，项目完工验收合格，出具完工证明及履约保证金收据申请退付；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履约保证金退还时间：采购单位收到供应商退付申请后5个工作日内退还；</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560" w:lineRule="exact"/>
        <w:rPr>
          <w:rFonts w:ascii="Times New Roman" w:hAnsi="Times New Roman"/>
          <w:bCs/>
          <w:color w:val="auto"/>
          <w:sz w:val="24"/>
          <w:highlight w:val="none"/>
          <w:lang w:val="zh-CN"/>
        </w:rPr>
      </w:pPr>
      <w:r>
        <w:rPr>
          <w:rFonts w:hint="eastAsia" w:ascii="Times New Roman" w:hAnsi="Times New Roman"/>
          <w:bCs/>
          <w:color w:val="auto"/>
          <w:sz w:val="24"/>
          <w:highlight w:val="none"/>
          <w:lang w:val="zh-CN"/>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600"/>
        <w:spacing w:line="560" w:lineRule="exact"/>
        <w:rPr>
          <w:rFonts w:ascii="Times New Roman" w:hAnsi="Times New Roman"/>
          <w:color w:val="auto"/>
          <w:sz w:val="24"/>
          <w:szCs w:val="24"/>
          <w:highlight w:val="none"/>
        </w:rPr>
      </w:pPr>
      <w:r>
        <w:rPr>
          <w:rFonts w:ascii="Times New Roman" w:hAnsi="Times New Roman"/>
          <w:bCs/>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300"/>
        <w:keepLines/>
        <w:keepNext/>
        <w:spacing w:line="56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、标的物的追加</w:t>
      </w:r>
      <w:r/>
    </w:p>
    <w:p>
      <w:pPr>
        <w:ind w:firstLine="480"/>
        <w:spacing w:line="5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政府采购合同履行中，采购人需追加与合同标的相同的工程、货物、服务（包含与货物相关的服务、工程及与服务相关的货物、工程、与工程相关的货物、服务）的，在不改变合同其他条款的前提下，可以与成交供应商协商签订补充合同，但所有补充合同的采购金额不超过原合同金额10%。</w:t>
      </w:r>
      <w:bookmarkEnd w:id="191"/>
      <w:r/>
      <w:bookmarkEnd w:id="192"/>
      <w:r/>
      <w:bookmarkEnd w:id="193"/>
      <w:r/>
      <w:r/>
    </w:p>
    <w:p>
      <w:pPr>
        <w:ind w:firstLine="600"/>
        <w:keepLines/>
        <w:keepNext/>
        <w:spacing w:line="560" w:lineRule="exact"/>
        <w:rPr>
          <w:rFonts w:ascii="Times New Roman" w:hAnsi="Times New Roman" w:eastAsia="黑体"/>
          <w:bCs/>
          <w:color w:val="auto"/>
          <w:sz w:val="30"/>
          <w:szCs w:val="30"/>
          <w:highlight w:val="none"/>
        </w:rPr>
        <w:outlineLvl w:val="3"/>
      </w:pPr>
      <w:r/>
      <w:bookmarkStart w:id="194" w:name="_Toc16938558"/>
      <w:r/>
      <w:bookmarkStart w:id="195" w:name="_Toc120614221"/>
      <w:r/>
      <w:bookmarkStart w:id="196" w:name="_Toc20823314"/>
      <w:r/>
      <w:bookmarkStart w:id="197" w:name="_Toc513029242"/>
      <w:r/>
      <w:bookmarkStart w:id="198" w:name="_Toc479757207"/>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3</w:t>
      </w:r>
      <w:r>
        <w:rPr>
          <w:rFonts w:hint="eastAsia" w:ascii="Times New Roman" w:hAnsi="Times New Roman" w:eastAsia="黑体"/>
          <w:bCs/>
          <w:color w:val="auto"/>
          <w:sz w:val="30"/>
          <w:szCs w:val="30"/>
          <w:highlight w:val="none"/>
        </w:rPr>
        <w:t xml:space="preserve">、政府采购履约资金扶持政策</w:t>
      </w:r>
      <w:r/>
    </w:p>
    <w:p>
      <w:pPr>
        <w:ind w:firstLine="420"/>
        <w:spacing w:line="560" w:lineRule="exact"/>
        <w:rPr>
          <w:rFonts w:ascii="Times New Roman" w:hAnsi="Times New Roman"/>
          <w:color w:val="auto"/>
          <w:szCs w:val="21"/>
          <w:highlight w:val="none"/>
        </w:rPr>
      </w:pPr>
      <w:r>
        <w:rPr>
          <w:rFonts w:hint="eastAsia" w:ascii="Times New Roman" w:hAnsi="Times New Roman"/>
          <w:bCs/>
          <w:color w:val="auto"/>
          <w:sz w:val="24"/>
          <w:highlight w:val="none"/>
        </w:rPr>
        <w:t xml:space="preserve">33.1依</w:t>
      </w:r>
      <w:r>
        <w:rPr>
          <w:rFonts w:hint="eastAsia" w:ascii="Times New Roman" w:hAnsi="Times New Roman"/>
          <w:bCs/>
          <w:color w:val="auto"/>
          <w:sz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pStyle w:val="1088"/>
        <w:ind w:firstLine="602"/>
        <w:spacing w:before="0" w:after="0" w:line="560" w:lineRule="exact"/>
        <w:rPr>
          <w:rFonts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 xml:space="preserve">3</w:t>
      </w:r>
      <w:r>
        <w:rPr>
          <w:rFonts w:ascii="Times New Roman" w:hAnsi="Times New Roman" w:cs="Times New Roman"/>
          <w:color w:val="auto"/>
          <w:sz w:val="30"/>
          <w:szCs w:val="30"/>
          <w:highlight w:val="none"/>
        </w:rPr>
        <w:t xml:space="preserve">4</w:t>
      </w:r>
      <w:r>
        <w:rPr>
          <w:rFonts w:hint="eastAsia" w:ascii="Times New Roman" w:hAnsi="Times New Roman" w:cs="Times New Roman"/>
          <w:color w:val="auto"/>
          <w:sz w:val="30"/>
          <w:szCs w:val="30"/>
          <w:highlight w:val="none"/>
        </w:rPr>
        <w:t xml:space="preserve">、验收及付款</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.2采购人可以邀请参加本项目的其他供应商或者第三方机构参与验收。参与验收的供应商或者第三方机构的意见作为验收书的参考资料一并存档。</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挂钩。履约验收的各项资料应当存档备查。</w:t>
      </w:r>
      <w:r/>
    </w:p>
    <w:p>
      <w:pPr>
        <w:ind w:firstLine="482"/>
        <w:spacing w:line="560" w:lineRule="exact"/>
        <w:rPr>
          <w:rFonts w:ascii="Times New Roman" w:hAnsi="Times New Roman" w:cs="宋体"/>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4</w:t>
      </w:r>
      <w:r>
        <w:rPr>
          <w:rFonts w:hint="eastAsia" w:ascii="Times New Roman" w:hAnsi="Times New Roman"/>
          <w:bCs/>
          <w:color w:val="auto"/>
          <w:sz w:val="24"/>
          <w:highlight w:val="none"/>
        </w:rPr>
        <w:t xml:space="preserve">.4验收合格的项目，采购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3</w:t>
      </w:r>
      <w:r>
        <w:rPr>
          <w:rFonts w:ascii="Times New Roman" w:hAnsi="Times New Roman"/>
          <w:b/>
          <w:color w:val="auto"/>
          <w:sz w:val="24"/>
          <w:highlight w:val="none"/>
        </w:rPr>
        <w:t xml:space="preserve">5</w:t>
      </w:r>
      <w:r>
        <w:rPr>
          <w:rFonts w:hint="eastAsia" w:ascii="Times New Roman" w:hAnsi="Times New Roman"/>
          <w:b/>
          <w:color w:val="auto"/>
          <w:sz w:val="24"/>
          <w:highlight w:val="none"/>
        </w:rPr>
        <w:t xml:space="preserve">、付款</w:t>
      </w:r>
      <w:r/>
    </w:p>
    <w:p>
      <w:pPr>
        <w:ind w:firstLine="482"/>
        <w:spacing w:line="560" w:lineRule="exact"/>
        <w:rPr>
          <w:rFonts w:ascii="Times New Roman" w:hAnsi="Times New Roman"/>
          <w:bCs/>
          <w:color w:val="auto"/>
          <w:sz w:val="24"/>
          <w:highlight w:val="none"/>
        </w:rPr>
      </w:pPr>
      <w:r/>
      <w:bookmarkStart w:id="199" w:name="EBec7f529f50594afd871ea9378869e456"/>
      <w:r>
        <w:rPr>
          <w:rFonts w:hint="eastAsia" w:ascii="Times New Roman" w:hAnsi="Times New Roman"/>
          <w:bCs/>
          <w:color w:val="auto"/>
          <w:sz w:val="24"/>
          <w:highlight w:val="none"/>
        </w:rPr>
        <w:t xml:space="preserve">按照以下</w:t>
      </w:r>
      <w:r>
        <w:rPr>
          <w:rFonts w:hint="eastAsia" w:ascii="Times New Roman" w:hAnsi="Times New Roman"/>
          <w:bCs/>
          <w:color w:val="auto"/>
          <w:sz w:val="24"/>
          <w:highlight w:val="none"/>
          <w:u w:val="single"/>
        </w:rPr>
        <w:t xml:space="preserve">（3）</w:t>
      </w:r>
      <w:r>
        <w:rPr>
          <w:rFonts w:hint="eastAsia" w:ascii="Times New Roman" w:hAnsi="Times New Roman"/>
          <w:bCs/>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99"/>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（1）货物类项目</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预付款：合同金额的%，合同签订后按规定支付； </w:t>
      </w:r>
      <w:r/>
    </w:p>
    <w:p>
      <w:pPr>
        <w:ind w:firstLine="482"/>
        <w:spacing w:line="56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进度款：</w:t>
      </w:r>
      <w:bookmarkStart w:id="200" w:name="EBf1f8b954f7504a2cb44cef25707c76a6"/>
      <w:r/>
      <w:bookmarkEnd w:id="200"/>
      <w:r>
        <w:rPr>
          <w:rFonts w:hint="eastAsia" w:ascii="Times New Roman" w:hAnsi="Times New Roman"/>
          <w:bCs/>
          <w:color w:val="auto"/>
          <w:sz w:val="24"/>
          <w:highlight w:val="none"/>
          <w:u w:val="single"/>
        </w:rPr>
        <w:t xml:space="preserve">                                。</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（2）服务类项目</w:t>
      </w:r>
      <w:r/>
    </w:p>
    <w:p>
      <w:pPr>
        <w:ind w:firstLine="482"/>
        <w:spacing w:line="560" w:lineRule="exact"/>
        <w:rPr>
          <w:rFonts w:ascii="Times New Roman" w:hAnsi="Times New Roman" w:eastAsia="仿宋_GB2312" w:cs="仿宋_GB2312"/>
          <w:color w:val="auto"/>
          <w:sz w:val="24"/>
          <w:highlight w:val="none"/>
        </w:rPr>
      </w:pPr>
      <w:r>
        <w:rPr>
          <w:rFonts w:hint="eastAsia" w:ascii="Times New Roman" w:hAnsi="Times New Roman"/>
          <w:bCs/>
          <w:color w:val="auto"/>
          <w:sz w:val="24"/>
          <w:highlight w:val="none"/>
        </w:rPr>
        <w:t xml:space="preserve">预付款：合同金额的</w:t>
      </w:r>
      <w:bookmarkStart w:id="201" w:name="EBe373fd05aa034cc3a1a41aadf8509e01"/>
      <w:r>
        <w:rPr>
          <w:rFonts w:hint="eastAsia" w:ascii="Times New Roman" w:hAnsi="Times New Roman"/>
          <w:bCs/>
          <w:color w:val="auto"/>
          <w:sz w:val="24"/>
          <w:highlight w:val="none"/>
        </w:rPr>
        <w:t xml:space="preserve">%</w:t>
      </w:r>
      <w:bookmarkEnd w:id="201"/>
      <w:r>
        <w:rPr>
          <w:rFonts w:hint="eastAsia" w:ascii="Times New Roman" w:hAnsi="Times New Roman"/>
          <w:bCs/>
          <w:color w:val="auto"/>
          <w:sz w:val="24"/>
          <w:highlight w:val="none"/>
        </w:rPr>
        <w:t xml:space="preserve">，合同签订后按规定支付；</w:t>
      </w:r>
      <w:r/>
    </w:p>
    <w:p>
      <w:pPr>
        <w:ind w:firstLine="482"/>
        <w:spacing w:line="560" w:lineRule="exact"/>
        <w:rPr>
          <w:rFonts w:hint="eastAsia" w:ascii="Times New Roman" w:hAnsi="Times New Roman"/>
          <w:bCs/>
          <w:color w:val="auto"/>
          <w:sz w:val="24"/>
          <w:highlight w:val="none"/>
          <w:u w:val="single"/>
        </w:rPr>
      </w:pPr>
      <w:r>
        <w:rPr>
          <w:rFonts w:hint="eastAsia" w:ascii="Times New Roman" w:hAnsi="Times New Roman"/>
          <w:bCs/>
          <w:color w:val="auto"/>
          <w:sz w:val="24"/>
          <w:highlight w:val="none"/>
        </w:rPr>
        <w:t xml:space="preserve">进度款：</w:t>
      </w:r>
      <w:bookmarkStart w:id="202" w:name="EB5e42c1c1be704ecfa15d9f8f317e8f12"/>
      <w:r/>
      <w:bookmarkEnd w:id="202"/>
      <w:r>
        <w:rPr>
          <w:rFonts w:hint="eastAsia" w:ascii="Times New Roman" w:hAnsi="Times New Roman"/>
          <w:bCs/>
          <w:color w:val="auto"/>
          <w:sz w:val="24"/>
          <w:highlight w:val="none"/>
          <w:u w:val="single"/>
        </w:rPr>
        <w:t xml:space="preserve">                                。</w:t>
      </w:r>
      <w:r/>
    </w:p>
    <w:p>
      <w:pPr>
        <w:ind w:firstLine="482"/>
        <w:spacing w:line="56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（3）工程类项目</w:t>
      </w:r>
      <w:r/>
    </w:p>
    <w:p>
      <w:pPr>
        <w:ind w:firstLine="482"/>
        <w:spacing w:line="560" w:lineRule="exact"/>
        <w:rPr>
          <w:rFonts w:ascii="Times New Roman" w:hAnsi="Times New Roman"/>
          <w:bCs/>
          <w:color w:val="auto"/>
          <w:sz w:val="24"/>
          <w:highlight w:val="none"/>
          <w:u w:val="single"/>
        </w:rPr>
      </w:pPr>
      <w:r>
        <w:rPr>
          <w:rFonts w:hint="eastAsia" w:ascii="Times New Roman" w:hAnsi="Times New Roman" w:cs="Courier New"/>
          <w:color w:val="auto"/>
          <w:sz w:val="24"/>
          <w:szCs w:val="24"/>
          <w:highlight w:val="none"/>
        </w:rPr>
        <w:t xml:space="preserve">预付款：</w:t>
      </w:r>
      <w:r>
        <w:rPr>
          <w:rFonts w:hint="eastAsia" w:ascii="Times New Roman" w:hAnsi="Times New Roman"/>
          <w:bCs/>
          <w:color w:val="auto"/>
          <w:sz w:val="24"/>
          <w:highlight w:val="none"/>
          <w:u w:val="single"/>
        </w:rPr>
        <w:t xml:space="preserve">合同金额的</w:t>
      </w:r>
      <w:r>
        <w:rPr>
          <w:rFonts w:ascii="Times New Roman" w:hAnsi="Times New Roman"/>
          <w:bCs/>
          <w:color w:val="auto"/>
          <w:sz w:val="24"/>
          <w:highlight w:val="none"/>
          <w:u w:val="single"/>
        </w:rPr>
        <w:t xml:space="preserve">10</w:t>
      </w:r>
      <w:r>
        <w:rPr>
          <w:rFonts w:hint="eastAsia" w:ascii="Times New Roman" w:hAnsi="Times New Roman"/>
          <w:bCs/>
          <w:color w:val="auto"/>
          <w:sz w:val="24"/>
          <w:highlight w:val="none"/>
          <w:u w:val="single"/>
        </w:rPr>
        <w:t xml:space="preserve">%，合同签订后按规定支付；</w:t>
      </w:r>
      <w:r/>
    </w:p>
    <w:p>
      <w:pPr>
        <w:ind w:firstLine="482"/>
        <w:spacing w:line="560" w:lineRule="exact"/>
        <w:rPr>
          <w:rFonts w:hint="eastAsia" w:ascii="Times New Roman" w:hAnsi="Times New Roman" w:cs="Courier New"/>
          <w:color w:val="auto"/>
          <w:sz w:val="24"/>
          <w:szCs w:val="24"/>
          <w:highlight w:val="none"/>
        </w:rPr>
      </w:pPr>
      <w:r>
        <w:rPr>
          <w:rFonts w:hint="eastAsia" w:ascii="宋体" w:hAnsi="宋体" w:eastAsia="宋体" w:cs="宋体"/>
          <w:bCs/>
          <w:color w:val="auto"/>
          <w:sz w:val="24"/>
          <w:highlight w:val="none"/>
        </w:rPr>
        <w:t xml:space="preserve">进度款：</w:t>
      </w:r>
      <w:r>
        <w:rPr>
          <w:rFonts w:hint="eastAsia" w:ascii="宋体" w:hAnsi="宋体" w:cs="宋体"/>
          <w:bCs/>
          <w:color w:val="auto"/>
          <w:sz w:val="24"/>
          <w:highlight w:val="none"/>
          <w:u w:val="single"/>
          <w:lang w:eastAsia="zh-CN"/>
        </w:rPr>
        <w:t xml:space="preserve">竣工验收合格后付至合同价款的80%，工程审计结束后付至审定价的97%，质保期满且无质量问题付清余款（无息）。</w:t>
      </w:r>
      <w:r/>
    </w:p>
    <w:p>
      <w:pPr>
        <w:ind w:firstLine="482"/>
        <w:spacing w:line="560" w:lineRule="exact"/>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注：在签订合同时，成交人明确表示无需预付款或者主动要求降低预付款比例的金额，采购人可不适用预付款规定。</w:t>
      </w:r>
      <w:r/>
    </w:p>
    <w:p>
      <w:pPr>
        <w:ind w:firstLine="482"/>
        <w:spacing w:line="560" w:lineRule="exact"/>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ind w:firstLine="482"/>
        <w:spacing w:line="560" w:lineRule="exact"/>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jc w:val="center"/>
        <w:keepNext/>
        <w:rPr>
          <w:rFonts w:ascii="Times New Roman" w:hAnsi="Times New Roman" w:eastAsia="黑体"/>
          <w:color w:val="auto"/>
          <w:sz w:val="44"/>
          <w:szCs w:val="44"/>
          <w:highlight w:val="none"/>
        </w:rPr>
        <w:outlineLvl w:val="0"/>
      </w:pPr>
      <w:r>
        <w:rPr>
          <w:rFonts w:hint="eastAsia" w:ascii="Times New Roman" w:hAnsi="Times New Roman" w:eastAsia="黑体"/>
          <w:bCs/>
          <w:color w:val="auto"/>
          <w:sz w:val="44"/>
          <w:szCs w:val="28"/>
          <w:highlight w:val="none"/>
        </w:rPr>
        <w:br w:type="page" w:clear="all"/>
      </w:r>
      <w:bookmarkStart w:id="203" w:name="_Toc169207395"/>
      <w:r>
        <w:rPr>
          <w:rFonts w:hint="eastAsia" w:ascii="Times New Roman" w:hAnsi="Times New Roman" w:eastAsia="黑体"/>
          <w:color w:val="auto"/>
          <w:sz w:val="44"/>
          <w:szCs w:val="44"/>
          <w:highlight w:val="none"/>
        </w:rPr>
        <w:t xml:space="preserve">第三章  合同</w:t>
      </w:r>
      <w:bookmarkEnd w:id="194"/>
      <w:r/>
      <w:bookmarkEnd w:id="195"/>
      <w:r/>
      <w:bookmarkEnd w:id="196"/>
      <w:r/>
      <w:bookmarkEnd w:id="197"/>
      <w:r/>
      <w:bookmarkEnd w:id="198"/>
      <w:r>
        <w:rPr>
          <w:rFonts w:hint="eastAsia" w:ascii="Times New Roman" w:hAnsi="Times New Roman" w:eastAsia="黑体"/>
          <w:color w:val="auto"/>
          <w:sz w:val="44"/>
          <w:szCs w:val="44"/>
          <w:highlight w:val="none"/>
        </w:rPr>
        <w:t xml:space="preserve">文本</w:t>
      </w:r>
      <w:bookmarkEnd w:id="203"/>
      <w:r/>
      <w:r/>
    </w:p>
    <w:p>
      <w:pPr>
        <w:jc w:val="right"/>
        <w:spacing w:before="78" w:line="884" w:lineRule="exact"/>
        <w:shd w:val="clear" w:color="auto" w:fill="auto"/>
        <w:rPr>
          <w:rFonts w:ascii="宋体" w:hAnsi="宋体" w:eastAsia="宋体" w:cs="宋体"/>
          <w:color w:val="auto"/>
          <w:sz w:val="24"/>
          <w:szCs w:val="24"/>
          <w:highlight w:val="none"/>
          <w:lang w:val="en-US" w:eastAsia="zh-CN" w:bidi="ar-SA"/>
        </w:rPr>
      </w:pPr>
      <w:r/>
      <w:bookmarkStart w:id="204" w:name="_Hlt16619350"/>
      <w:r/>
      <w:bookmarkStart w:id="205" w:name="_Toc169207396"/>
      <w:r/>
      <w:bookmarkStart w:id="206" w:name="_Toc16938590"/>
      <w:r/>
      <w:bookmarkStart w:id="207" w:name="_Toc20823346"/>
      <w:r/>
      <w:bookmarkStart w:id="208" w:name="_Toc120614244"/>
      <w:r/>
      <w:bookmarkStart w:id="209" w:name="_Toc462564139"/>
      <w:r/>
      <w:bookmarkStart w:id="210" w:name="_Toc479757211"/>
      <w:r>
        <w:rPr>
          <w:rFonts w:ascii="宋体" w:hAnsi="宋体" w:eastAsia="宋体" w:cs="宋体"/>
          <w:color w:val="auto"/>
          <w:spacing w:val="-2"/>
          <w:position w:val="50"/>
          <w:sz w:val="24"/>
          <w:szCs w:val="24"/>
          <w:highlight w:val="none"/>
          <w:lang w:val="en-US" w:eastAsia="zh-CN" w:bidi="ar-SA"/>
        </w:rPr>
        <w:t xml:space="preserve">以下为成交后签定本项目合同的通用条款，成交供应商不得提出</w:t>
      </w:r>
      <w:r>
        <w:rPr>
          <w:rFonts w:ascii="宋体" w:hAnsi="宋体" w:eastAsia="宋体" w:cs="宋体"/>
          <w:color w:val="auto"/>
          <w:spacing w:val="-3"/>
          <w:position w:val="50"/>
          <w:sz w:val="24"/>
          <w:szCs w:val="24"/>
          <w:highlight w:val="none"/>
          <w:lang w:val="en-US" w:eastAsia="zh-CN" w:bidi="ar-SA"/>
        </w:rPr>
        <w:t xml:space="preserve">实质性的修改。</w:t>
      </w:r>
      <w:r/>
    </w:p>
    <w:p>
      <w:pPr>
        <w:spacing w:before="1" w:line="236" w:lineRule="auto"/>
        <w:shd w:val="clear" w:color="auto" w:fill="auto"/>
        <w:rPr>
          <w:rFonts w:ascii="仿宋" w:hAnsi="仿宋" w:eastAsia="仿宋" w:cs="仿宋"/>
          <w:color w:val="auto"/>
          <w:sz w:val="40"/>
          <w:szCs w:val="40"/>
          <w:highlight w:val="none"/>
          <w:lang w:val="en-US" w:eastAsia="zh-CN" w:bidi="ar-SA"/>
        </w:rPr>
      </w:pPr>
      <w:r>
        <w:rPr>
          <w:rFonts w:ascii="仿宋" w:hAnsi="仿宋" w:eastAsia="仿宋" w:cs="仿宋"/>
          <w:color w:val="auto"/>
          <w:spacing w:val="-2"/>
          <w:sz w:val="40"/>
          <w:szCs w:val="40"/>
          <w:highlight w:val="none"/>
          <w:lang w:val="en-US" w:eastAsia="zh-CN" w:bidi="ar-SA"/>
        </w:rPr>
        <w:t xml:space="preserve">（GF—2017—0201）</w:t>
      </w:r>
      <w:r/>
    </w:p>
    <w:p>
      <w:pPr>
        <w:jc w:val="both"/>
        <w:spacing w:line="245"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5"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5"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5"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6"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6"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6"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46"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ind w:left="2550"/>
        <w:spacing w:before="153" w:line="226" w:lineRule="auto"/>
        <w:shd w:val="clear" w:color="auto" w:fill="auto"/>
        <w:rPr>
          <w:rFonts w:ascii="黑体" w:hAnsi="黑体" w:eastAsia="黑体" w:cs="黑体"/>
          <w:color w:val="auto"/>
          <w:sz w:val="47"/>
          <w:szCs w:val="47"/>
          <w:highlight w:val="none"/>
          <w:lang w:val="en-US" w:eastAsia="zh-CN" w:bidi="ar-SA"/>
        </w:rPr>
      </w:pPr>
      <w:r/>
      <w:bookmarkStart w:id="211" w:name="bookmark18"/>
      <w:r/>
      <w:bookmarkEnd w:id="211"/>
      <w:r>
        <w:rPr>
          <w:rFonts w:ascii="黑体" w:hAnsi="黑体" w:eastAsia="黑体" w:cs="黑体"/>
          <w:color w:val="auto"/>
          <w:spacing w:val="7"/>
          <w:sz w:val="47"/>
          <w:szCs w:val="47"/>
          <w:highlight w:val="none"/>
          <w:lang w:val="en-US" w:eastAsia="zh-CN" w:bidi="ar-SA"/>
        </w:rPr>
        <w:t xml:space="preserve">建设工程施工合同</w:t>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1"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2"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2"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2"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2"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52"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ind w:left="2692"/>
        <w:spacing w:before="98" w:line="239" w:lineRule="auto"/>
        <w:shd w:val="clear" w:color="auto" w:fill="auto"/>
        <w:rPr>
          <w:rFonts w:ascii="仿宋" w:hAnsi="仿宋" w:eastAsia="仿宋" w:cs="仿宋"/>
          <w:color w:val="auto"/>
          <w:sz w:val="30"/>
          <w:szCs w:val="30"/>
          <w:highlight w:val="none"/>
          <w:lang w:val="en-US" w:eastAsia="zh-CN" w:bidi="ar-SA"/>
        </w:rPr>
      </w:pPr>
      <w:r>
        <w:rPr>
          <w:rFonts w:ascii="Times New Roman" w:hAnsi="Times New Roman" w:eastAsia="宋体" w:cs="Times New Roman"/>
          <w:color w:val="auto"/>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3935095</wp:posOffset>
                </wp:positionH>
                <wp:positionV relativeFrom="paragraph">
                  <wp:posOffset>136525</wp:posOffset>
                </wp:positionV>
                <wp:extent cx="759460" cy="492125"/>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759460" cy="492125"/>
                        </a:xfrm>
                        <a:prstGeom prst="rect">
                          <a:avLst/>
                        </a:prstGeom>
                        <a:noFill/>
                        <a:ln>
                          <a:noFill/>
                        </a:ln>
                        <a:effectLst/>
                      </wps:spPr>
                      <wps:txbx>
                        <w:txbxContent>
                          <w:p>
                            <w:pPr>
                              <w:spacing w:line="20" w:lineRule="exact"/>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bl>
                            <w:tblPr>
                              <w:tblStyle w:val="1550"/>
                              <w:tblW w:w="1140" w:type="dxa"/>
                              <w:tblInd w:w="2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W w:w="1140" w:type="dxa"/>
                                  <w:vAlign w:val="top"/>
                                  <w:textDirection w:val="lrTb"/>
                                  <w:noWrap w:val="false"/>
                                </w:tcPr>
                                <w:p>
                                  <w:pPr>
                                    <w:ind w:left="149"/>
                                    <w:jc w:val="both"/>
                                    <w:spacing w:before="113" w:line="226" w:lineRule="auto"/>
                                    <w:widowControl w:val="off"/>
                                    <w:rPr>
                                      <w:rFonts w:hint="default" w:ascii="宋体" w:hAnsi="宋体" w:eastAsia="宋体" w:cs="宋体"/>
                                      <w:sz w:val="31"/>
                                      <w:szCs w:val="31"/>
                                      <w:lang w:val="en-US" w:eastAsia="en-US" w:bidi="ar-SA"/>
                                    </w:rPr>
                                  </w:pPr>
                                  <w:r>
                                    <w:rPr>
                                      <w:rFonts w:hint="default" w:ascii="宋体" w:hAnsi="宋体" w:eastAsia="宋体" w:cs="宋体"/>
                                      <w:spacing w:val="2"/>
                                      <w:sz w:val="31"/>
                                      <w:szCs w:val="31"/>
                                      <w:lang w:val="en-US" w:eastAsia="en-US" w:bidi="ar-SA"/>
                                    </w:rPr>
                                    <w:t xml:space="preserve">制定</w:t>
                                  </w:r>
                                  <w:r/>
                                </w:p>
                              </w:tc>
                            </w:tr>
                          </w:tbl>
                          <w:p>
                            <w:pPr>
                              <w:jc w:val="both"/>
                              <w:widowControl w:val="off"/>
                              <w:rPr>
                                <w:rFonts w:hint="default" w:ascii="楷体_GB2312" w:hAnsi="Arial" w:eastAsia="楷体_GB2312" w:cs="Times New Roman"/>
                                <w:sz w:val="28"/>
                                <w:szCs w:val="28"/>
                                <w:lang w:val="en-US" w:eastAsia="zh-CN" w:bidi="ar-SA"/>
                              </w:rPr>
                            </w:pPr>
                            <w:r>
                              <w:rPr>
                                <w:rFonts w:hint="default" w:ascii="楷体_GB2312" w:hAnsi="Arial" w:eastAsia="楷体_GB2312" w:cs="Times New Roman"/>
                                <w:sz w:val="28"/>
                                <w:szCs w:val="28"/>
                                <w:lang w:val="en-US" w:eastAsia="zh-CN" w:bidi="ar-SA"/>
                              </w:rPr>
                            </w:r>
                            <w:r/>
                          </w:p>
                        </w:txbxContent>
                      </wps:txbx>
                      <wps:bodyPr vert="horz" wrap="square" lIns="0" tIns="0" rIns="0" bIns="0" anchor="t" anchorCtr="0" upright="1"/>
                    </wps:wsp>
                  </a:graphicData>
                </a:graphic>
              </wp:anchor>
            </w:drawing>
          </mc:Choice>
          <mc:Fallback>
            <w:pict>
              <v:shape id="shape 6" o:spid="_x0000_s6" o:spt="202" type="#_x0000_t202" style="position:absolute;z-index:251659264;o:allowoverlap:true;o:allowincell:true;mso-position-horizontal-relative:text;margin-left:309.8pt;mso-position-horizontal:absolute;mso-position-vertical-relative:text;margin-top:10.8pt;mso-position-vertical:absolute;width:59.8pt;height:38.8pt;mso-wrap-distance-left:9.0pt;mso-wrap-distance-top:0.0pt;mso-wrap-distance-right:9.0pt;mso-wrap-distance-bottom:0.0pt;v-text-anchor:top;visibility:visible;" filled="f" stroked="f">
                <v:textbox inset="0,0,0,0">
                  <w:txbxContent>
                    <w:p>
                      <w:pPr>
                        <w:spacing w:line="20" w:lineRule="exact"/>
                        <w:rPr>
                          <w:rFonts w:ascii="Times New Roman" w:hAnsi="Times New Roman" w:eastAsia="宋体" w:cs="Times New Roman"/>
                          <w:lang w:val="en-US" w:eastAsia="zh-CN" w:bidi="ar-SA"/>
                        </w:rPr>
                      </w:pPr>
                      <w:r>
                        <w:rPr>
                          <w:rFonts w:ascii="Times New Roman" w:hAnsi="Times New Roman" w:eastAsia="宋体" w:cs="Times New Roman"/>
                          <w:lang w:val="en-US" w:eastAsia="zh-CN" w:bidi="ar-SA"/>
                        </w:rPr>
                      </w:r>
                      <w:r/>
                    </w:p>
                    <w:tbl>
                      <w:tblPr>
                        <w:tblStyle w:val="1550"/>
                        <w:tblW w:w="1140" w:type="dxa"/>
                        <w:tblInd w:w="27"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140"/>
                      </w:tblGrid>
                      <w:tr>
                        <w:trPr>
                          <w:trHeight w:val="705"/>
                        </w:trPr>
                        <w:tc>
                          <w:tcPr>
                            <w:tcW w:w="1140" w:type="dxa"/>
                            <w:vAlign w:val="top"/>
                            <w:textDirection w:val="lrTb"/>
                            <w:noWrap w:val="false"/>
                          </w:tcPr>
                          <w:p>
                            <w:pPr>
                              <w:ind w:left="149"/>
                              <w:jc w:val="both"/>
                              <w:spacing w:before="113" w:line="226" w:lineRule="auto"/>
                              <w:widowControl w:val="off"/>
                              <w:rPr>
                                <w:rFonts w:hint="default" w:ascii="宋体" w:hAnsi="宋体" w:eastAsia="宋体" w:cs="宋体"/>
                                <w:sz w:val="31"/>
                                <w:szCs w:val="31"/>
                                <w:lang w:val="en-US" w:eastAsia="en-US" w:bidi="ar-SA"/>
                              </w:rPr>
                            </w:pPr>
                            <w:r>
                              <w:rPr>
                                <w:rFonts w:hint="default" w:ascii="宋体" w:hAnsi="宋体" w:eastAsia="宋体" w:cs="宋体"/>
                                <w:spacing w:val="2"/>
                                <w:sz w:val="31"/>
                                <w:szCs w:val="31"/>
                                <w:lang w:val="en-US" w:eastAsia="en-US" w:bidi="ar-SA"/>
                              </w:rPr>
                              <w:t xml:space="preserve">制定</w:t>
                            </w:r>
                            <w:r/>
                          </w:p>
                        </w:tc>
                      </w:tr>
                    </w:tbl>
                    <w:p>
                      <w:pPr>
                        <w:jc w:val="both"/>
                        <w:widowControl w:val="off"/>
                        <w:rPr>
                          <w:rFonts w:hint="default" w:ascii="楷体_GB2312" w:hAnsi="Arial" w:eastAsia="楷体_GB2312" w:cs="Times New Roman"/>
                          <w:sz w:val="28"/>
                          <w:szCs w:val="28"/>
                          <w:lang w:val="en-US" w:eastAsia="zh-CN" w:bidi="ar-SA"/>
                        </w:rPr>
                      </w:pPr>
                      <w:r>
                        <w:rPr>
                          <w:rFonts w:hint="default" w:ascii="楷体_GB2312" w:hAnsi="Arial" w:eastAsia="楷体_GB2312" w:cs="Times New Roman"/>
                          <w:sz w:val="28"/>
                          <w:szCs w:val="28"/>
                          <w:lang w:val="en-US" w:eastAsia="zh-CN" w:bidi="ar-SA"/>
                        </w:rPr>
                      </w:r>
                      <w:r/>
                    </w:p>
                  </w:txbxContent>
                </v:textbox>
              </v:shape>
            </w:pict>
          </mc:Fallback>
        </mc:AlternateContent>
      </w:r>
      <w:r>
        <w:rPr>
          <w:rFonts w:hint="eastAsia" w:ascii="Times New Roman" w:hAnsi="Times New Roman" w:eastAsia="宋体" w:cs="Times New Roman"/>
          <w:color w:val="auto"/>
          <w:highlight w:val="none"/>
          <w:lang w:val="en-US" w:eastAsia="zh-CN" w:bidi="ar-SA"/>
        </w:rPr>
        <w:t xml:space="preserve">住房和城乡建设部</w:t>
      </w:r>
      <w:r/>
    </w:p>
    <w:p>
      <w:pPr>
        <w:ind w:left="2692"/>
        <w:spacing w:before="98" w:line="239" w:lineRule="auto"/>
        <w:shd w:val="clear" w:color="auto" w:fill="auto"/>
        <w:rPr>
          <w:rFonts w:hint="eastAsia" w:ascii="Times New Roman" w:hAnsi="Times New Roman" w:eastAsia="宋体" w:cs="Times New Roman"/>
          <w:color w:val="auto"/>
          <w:highlight w:val="none"/>
          <w:lang w:val="en-US" w:eastAsia="zh-CN" w:bidi="ar-SA"/>
        </w:rPr>
      </w:pPr>
      <w:r>
        <w:rPr>
          <w:rFonts w:hint="eastAsia" w:ascii="Times New Roman" w:hAnsi="Times New Roman" w:eastAsia="宋体" w:cs="Times New Roman"/>
          <w:color w:val="auto"/>
          <w:highlight w:val="none"/>
          <w:lang w:val="en-US" w:eastAsia="zh-CN" w:bidi="ar-SA"/>
        </w:rPr>
        <w:t xml:space="preserve">国家工商行政管理总局</w:t>
      </w:r>
      <w:r/>
    </w:p>
    <w:p>
      <w:pPr>
        <w:spacing w:line="220" w:lineRule="auto"/>
        <w:shd w:val="clear" w:color="auto" w:fill="auto"/>
        <w:rPr>
          <w:rFonts w:ascii="仿宋" w:hAnsi="仿宋" w:eastAsia="仿宋" w:cs="仿宋"/>
          <w:color w:val="auto"/>
          <w:sz w:val="30"/>
          <w:szCs w:val="30"/>
          <w:highlight w:val="none"/>
        </w:rPr>
        <w:sectPr>
          <w:footerReference w:type="default" r:id="rId9"/>
          <w:footnotePr/>
          <w:endnotePr/>
          <w:type w:val="nextPage"/>
          <w:pgSz w:w="11906" w:h="16839" w:orient="portrait"/>
          <w:pgMar w:top="1431" w:right="1591" w:bottom="1058" w:left="1500" w:header="0" w:footer="879" w:gutter="0"/>
          <w:pgNumType w:start="1"/>
          <w:cols w:num="1" w:sep="0" w:space="720" w:equalWidth="1"/>
          <w:docGrid w:linePitch="360"/>
        </w:sectPr>
      </w:pPr>
      <w:r>
        <w:rPr>
          <w:rFonts w:ascii="仿宋" w:hAnsi="仿宋" w:eastAsia="仿宋" w:cs="仿宋"/>
          <w:color w:val="auto"/>
          <w:sz w:val="30"/>
          <w:szCs w:val="30"/>
          <w:highlight w:val="none"/>
        </w:rPr>
      </w:r>
      <w:r/>
    </w:p>
    <w:p>
      <w:pPr>
        <w:ind w:left="3208"/>
        <w:spacing w:before="114" w:line="225" w:lineRule="auto"/>
        <w:shd w:val="clear" w:color="auto" w:fill="auto"/>
        <w:rPr>
          <w:rFonts w:ascii="宋体" w:hAnsi="宋体" w:eastAsia="宋体" w:cs="宋体"/>
          <w:color w:val="auto"/>
          <w:sz w:val="35"/>
          <w:szCs w:val="35"/>
          <w:highlight w:val="none"/>
          <w:lang w:val="en-US" w:eastAsia="zh-CN" w:bidi="ar-SA"/>
        </w:rPr>
      </w:pPr>
      <w:r>
        <w:rPr>
          <w:rFonts w:ascii="宋体" w:hAnsi="宋体" w:eastAsia="宋体" w:cs="宋体"/>
          <w:color w:val="auto"/>
          <w:spacing w:val="9"/>
          <w:sz w:val="35"/>
          <w:szCs w:val="35"/>
          <w:highlight w:val="none"/>
          <w:lang w:val="en-US" w:eastAsia="zh-CN" w:bidi="ar-SA"/>
        </w:rPr>
        <w:t xml:space="preserve">第一部分合同协议书</w:t>
      </w:r>
      <w:r/>
    </w:p>
    <w:p>
      <w:pPr>
        <w:jc w:val="both"/>
        <w:spacing w:line="263"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ind w:left="3"/>
        <w:spacing w:before="78" w:line="36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发包人（全称</w:t>
      </w:r>
      <w:r>
        <w:rPr>
          <w:rFonts w:ascii="宋体" w:hAnsi="宋体" w:eastAsia="宋体" w:cs="宋体"/>
          <w:color w:val="auto"/>
          <w:spacing w:val="-46"/>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宿迁学院附属学校 </w:t>
      </w:r>
      <w:r/>
    </w:p>
    <w:p>
      <w:pPr>
        <w:ind w:left="3"/>
        <w:spacing w:before="78" w:line="369" w:lineRule="auto"/>
        <w:shd w:val="clear" w:color="auto" w:fill="auto"/>
        <w:rPr>
          <w:rFonts w:hint="default" w:ascii="宋体" w:hAnsi="宋体" w:eastAsia="宋体" w:cs="宋体"/>
          <w:color w:val="auto"/>
          <w:spacing w:val="-2"/>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承包人（全称）：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pacing w:val="-2"/>
          <w:sz w:val="24"/>
          <w:szCs w:val="24"/>
          <w:highlight w:val="none"/>
          <w:lang w:val="en-US" w:eastAsia="zh-CN" w:bidi="ar-SA"/>
        </w:rPr>
        <w:t xml:space="preserve">                                  </w:t>
      </w:r>
      <w:r/>
    </w:p>
    <w:p>
      <w:pPr>
        <w:ind w:firstLine="480"/>
        <w:jc w:val="both"/>
        <w:spacing w:before="194"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5"/>
          <w:sz w:val="24"/>
          <w:szCs w:val="24"/>
          <w:highlight w:val="none"/>
          <w:lang w:val="en-US" w:eastAsia="zh-CN" w:bidi="ar-SA"/>
        </w:rPr>
        <w:t xml:space="preserve">根据《中华人民共和国民法典》、《中华人民共和国建筑法》及有关法律规定，遵</w:t>
      </w:r>
      <w:r>
        <w:rPr>
          <w:rFonts w:ascii="宋体" w:hAnsi="宋体" w:eastAsia="宋体" w:cs="宋体"/>
          <w:color w:val="auto"/>
          <w:sz w:val="24"/>
          <w:szCs w:val="24"/>
          <w:highlight w:val="none"/>
          <w:lang w:val="en-US" w:eastAsia="zh-CN" w:bidi="ar-SA"/>
        </w:rPr>
        <w:t xml:space="preserve">循平等、自愿、公平和诚实信用的原则，双方就</w:t>
      </w:r>
      <w:r>
        <w:rPr>
          <w:rFonts w:hint="eastAsia" w:ascii="宋体" w:hAnsi="宋体" w:eastAsia="宋体" w:cs="宋体"/>
          <w:color w:val="auto"/>
          <w:sz w:val="24"/>
          <w:szCs w:val="24"/>
          <w:highlight w:val="none"/>
          <w:u w:val="single"/>
          <w:lang w:val="en-US" w:eastAsia="zh-CN" w:bidi="ar-SA"/>
        </w:rPr>
        <w:t xml:space="preserve">宿迁学院附属学校运动场改造工程</w:t>
      </w:r>
      <w:r>
        <w:rPr>
          <w:rFonts w:ascii="宋体" w:hAnsi="宋体" w:eastAsia="宋体" w:cs="宋体"/>
          <w:color w:val="auto"/>
          <w:sz w:val="24"/>
          <w:szCs w:val="24"/>
          <w:highlight w:val="none"/>
          <w:lang w:val="en-US" w:eastAsia="zh-CN" w:bidi="ar-SA"/>
        </w:rPr>
        <w:t xml:space="preserve">施工及有关事项</w:t>
      </w:r>
      <w:r>
        <w:rPr>
          <w:rFonts w:ascii="宋体" w:hAnsi="宋体" w:eastAsia="宋体" w:cs="宋体"/>
          <w:color w:val="auto"/>
          <w:spacing w:val="-1"/>
          <w:sz w:val="24"/>
          <w:szCs w:val="24"/>
          <w:highlight w:val="none"/>
          <w:lang w:val="en-US" w:eastAsia="zh-CN" w:bidi="ar-SA"/>
        </w:rPr>
        <w:t xml:space="preserve">协商一致，共同达成如下协议：</w:t>
      </w:r>
      <w:r/>
    </w:p>
    <w:p>
      <w:pPr>
        <w:ind w:left="483"/>
        <w:spacing w:before="194"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一、工程概况</w:t>
      </w:r>
      <w:r/>
    </w:p>
    <w:p>
      <w:pPr>
        <w:ind w:left="497"/>
        <w:spacing w:before="194"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1.工程名称：</w:t>
      </w:r>
      <w:r>
        <w:rPr>
          <w:rFonts w:hint="eastAsia" w:ascii="宋体" w:hAnsi="宋体" w:eastAsia="宋体" w:cs="宋体"/>
          <w:color w:val="auto"/>
          <w:sz w:val="24"/>
          <w:szCs w:val="24"/>
          <w:highlight w:val="none"/>
          <w:u w:val="single"/>
          <w:lang w:val="en-US" w:eastAsia="zh-CN" w:bidi="ar-SA"/>
        </w:rPr>
        <w:t xml:space="preserve">宿迁学院附属学校运动场改造工程</w:t>
      </w:r>
      <w:r>
        <w:rPr>
          <w:rFonts w:ascii="宋体" w:hAnsi="宋体" w:eastAsia="宋体" w:cs="宋体"/>
          <w:color w:val="auto"/>
          <w:spacing w:val="-2"/>
          <w:sz w:val="24"/>
          <w:szCs w:val="24"/>
          <w:highlight w:val="none"/>
          <w:lang w:val="en-US" w:eastAsia="zh-CN" w:bidi="ar-SA"/>
        </w:rPr>
        <w:t xml:space="preserve">；</w:t>
      </w:r>
      <w:r/>
    </w:p>
    <w:p>
      <w:pPr>
        <w:ind w:left="482"/>
        <w:spacing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2.工程地点：</w:t>
      </w:r>
      <w:r>
        <w:rPr>
          <w:rFonts w:hint="eastAsia" w:ascii="宋体" w:hAnsi="宋体" w:eastAsia="宋体" w:cs="宋体"/>
          <w:color w:val="auto"/>
          <w:sz w:val="24"/>
          <w:szCs w:val="24"/>
          <w:highlight w:val="none"/>
          <w:u w:val="single"/>
          <w:lang w:val="en-US" w:eastAsia="zh-CN" w:bidi="ar-SA"/>
        </w:rPr>
        <w:t xml:space="preserve"> 宿迁学院附属学校 </w:t>
      </w:r>
      <w:r>
        <w:rPr>
          <w:rFonts w:ascii="宋体" w:hAnsi="宋体" w:eastAsia="宋体" w:cs="宋体"/>
          <w:color w:val="auto"/>
          <w:spacing w:val="-1"/>
          <w:sz w:val="24"/>
          <w:szCs w:val="24"/>
          <w:highlight w:val="none"/>
          <w:lang w:val="en-US" w:eastAsia="zh-CN" w:bidi="ar-SA"/>
        </w:rPr>
        <w:t xml:space="preserve">；</w:t>
      </w:r>
      <w:r/>
    </w:p>
    <w:p>
      <w:pPr>
        <w:ind w:left="484"/>
        <w:spacing w:before="194"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3.工程立项批准文号：</w:t>
      </w:r>
      <w:r>
        <w:rPr>
          <w:rFonts w:hint="eastAsia" w:ascii="宋体" w:hAnsi="宋体" w:eastAsia="宋体" w:cs="宋体"/>
          <w:color w:val="auto"/>
          <w:sz w:val="24"/>
          <w:szCs w:val="24"/>
          <w:highlight w:val="none"/>
          <w:u w:val="single"/>
          <w:lang w:val="en-US" w:eastAsia="zh-CN" w:bidi="ar-SA"/>
        </w:rPr>
        <w:t xml:space="preserve">  / </w:t>
      </w:r>
      <w:r>
        <w:rPr>
          <w:rFonts w:ascii="宋体" w:hAnsi="宋体" w:eastAsia="宋体" w:cs="宋体"/>
          <w:color w:val="auto"/>
          <w:spacing w:val="-1"/>
          <w:sz w:val="24"/>
          <w:szCs w:val="24"/>
          <w:highlight w:val="none"/>
          <w:lang w:val="en-US" w:eastAsia="zh-CN" w:bidi="ar-SA"/>
        </w:rPr>
        <w:t xml:space="preserve">；</w:t>
      </w:r>
      <w:r/>
    </w:p>
    <w:p>
      <w:pPr>
        <w:ind w:left="479"/>
        <w:spacing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4.资金来源</w:t>
      </w:r>
      <w:r>
        <w:rPr>
          <w:rFonts w:ascii="宋体" w:hAnsi="宋体" w:eastAsia="宋体" w:cs="宋体"/>
          <w:color w:val="auto"/>
          <w:spacing w:val="1"/>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财政资金 </w:t>
      </w:r>
      <w:r>
        <w:rPr>
          <w:rFonts w:ascii="宋体" w:hAnsi="宋体" w:eastAsia="宋体" w:cs="宋体"/>
          <w:color w:val="auto"/>
          <w:spacing w:val="1"/>
          <w:sz w:val="24"/>
          <w:szCs w:val="24"/>
          <w:highlight w:val="none"/>
          <w:lang w:val="en-US" w:eastAsia="zh-CN" w:bidi="ar-SA"/>
        </w:rPr>
        <w:t xml:space="preserve">；</w:t>
      </w:r>
      <w:r/>
    </w:p>
    <w:p>
      <w:pPr>
        <w:ind w:left="484"/>
        <w:spacing w:before="194"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5.工程内容：</w:t>
      </w:r>
      <w:r>
        <w:rPr>
          <w:rFonts w:hint="eastAsia" w:ascii="宋体" w:hAnsi="宋体" w:eastAsia="宋体" w:cs="宋体"/>
          <w:color w:val="auto"/>
          <w:sz w:val="24"/>
          <w:szCs w:val="24"/>
          <w:highlight w:val="none"/>
          <w:u w:val="single"/>
          <w:lang w:val="en-US" w:eastAsia="zh-CN" w:bidi="ar-SA"/>
        </w:rPr>
        <w:t xml:space="preserve">宿迁学院附属学校运动场改造工程</w:t>
      </w:r>
      <w:r>
        <w:rPr>
          <w:rFonts w:ascii="宋体" w:hAnsi="宋体" w:eastAsia="宋体" w:cs="宋体"/>
          <w:color w:val="auto"/>
          <w:spacing w:val="-1"/>
          <w:sz w:val="24"/>
          <w:szCs w:val="24"/>
          <w:highlight w:val="none"/>
          <w:lang w:val="en-US" w:eastAsia="zh-CN" w:bidi="ar-SA"/>
        </w:rPr>
        <w:t xml:space="preserve">；</w:t>
      </w:r>
      <w:r/>
    </w:p>
    <w:p>
      <w:pPr>
        <w:ind w:left="480"/>
        <w:spacing w:before="194" w:line="480" w:lineRule="exact"/>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0"/>
          <w:position w:val="18"/>
          <w:sz w:val="24"/>
          <w:szCs w:val="24"/>
          <w:highlight w:val="none"/>
          <w:lang w:val="en-US" w:eastAsia="zh-CN" w:bidi="ar-SA"/>
        </w:rPr>
        <w:t xml:space="preserve">群体工程应附《承包人承揽工程项目一览表》（附件1）。</w:t>
      </w:r>
      <w:r/>
    </w:p>
    <w:p>
      <w:pPr>
        <w:ind w:left="481"/>
        <w:spacing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6.工程承包范围：</w:t>
      </w:r>
      <w:r>
        <w:rPr>
          <w:rFonts w:ascii="宋体" w:hAnsi="宋体" w:eastAsia="宋体" w:cs="宋体"/>
          <w:color w:val="auto"/>
          <w:spacing w:val="-1"/>
          <w:sz w:val="24"/>
          <w:szCs w:val="24"/>
          <w:highlight w:val="none"/>
          <w:u w:val="single"/>
          <w:lang w:val="en-US" w:eastAsia="zh-CN" w:bidi="ar-SA"/>
        </w:rPr>
        <w:t xml:space="preserve">包含工程量清单全部内容</w:t>
      </w:r>
      <w:r>
        <w:rPr>
          <w:rFonts w:ascii="宋体" w:hAnsi="宋体" w:eastAsia="宋体" w:cs="宋体"/>
          <w:color w:val="auto"/>
          <w:spacing w:val="-1"/>
          <w:sz w:val="24"/>
          <w:szCs w:val="24"/>
          <w:highlight w:val="none"/>
          <w:lang w:val="en-US" w:eastAsia="zh-CN" w:bidi="ar-SA"/>
        </w:rPr>
        <w:t xml:space="preserve">。</w:t>
      </w:r>
      <w:r/>
    </w:p>
    <w:p>
      <w:pPr>
        <w:ind w:left="483"/>
        <w:spacing w:before="194" w:line="221"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二、合同工期</w:t>
      </w:r>
      <w:r/>
    </w:p>
    <w:p>
      <w:pPr>
        <w:ind w:right="2" w:firstLine="488"/>
        <w:jc w:val="left"/>
        <w:spacing w:before="193"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工期总日历天数：</w:t>
      </w:r>
      <w:r>
        <w:rPr>
          <w:rFonts w:hint="eastAsia" w:ascii="宋体" w:hAnsi="宋体" w:eastAsia="宋体" w:cs="宋体"/>
          <w:color w:val="auto"/>
          <w:sz w:val="24"/>
          <w:szCs w:val="24"/>
          <w:highlight w:val="none"/>
          <w:u w:val="single"/>
          <w:lang w:val="en-US" w:eastAsia="zh-CN" w:bidi="ar-SA"/>
        </w:rPr>
        <w:t xml:space="preserve"> 45 </w:t>
      </w:r>
      <w:r>
        <w:rPr>
          <w:rFonts w:hint="eastAsia" w:ascii="宋体" w:hAnsi="宋体" w:eastAsia="宋体" w:cs="宋体"/>
          <w:color w:val="auto"/>
          <w:sz w:val="24"/>
          <w:szCs w:val="24"/>
          <w:highlight w:val="none"/>
          <w:u w:val="none"/>
          <w:lang w:val="en-US" w:eastAsia="zh-CN" w:bidi="ar-SA"/>
        </w:rPr>
        <w:t xml:space="preserve">日历</w:t>
      </w:r>
      <w:r>
        <w:rPr>
          <w:rFonts w:ascii="宋体" w:hAnsi="宋体" w:eastAsia="宋体" w:cs="宋体"/>
          <w:color w:val="auto"/>
          <w:spacing w:val="2"/>
          <w:sz w:val="24"/>
          <w:szCs w:val="24"/>
          <w:highlight w:val="none"/>
          <w:lang w:val="en-US" w:eastAsia="zh-CN" w:bidi="ar-SA"/>
        </w:rPr>
        <w:t xml:space="preserve">天。工期总日历天数与根据前述</w:t>
      </w:r>
      <w:r>
        <w:rPr>
          <w:rFonts w:ascii="宋体" w:hAnsi="宋体" w:eastAsia="宋体" w:cs="宋体"/>
          <w:color w:val="auto"/>
          <w:spacing w:val="1"/>
          <w:sz w:val="24"/>
          <w:szCs w:val="24"/>
          <w:highlight w:val="none"/>
          <w:lang w:val="en-US" w:eastAsia="zh-CN" w:bidi="ar-SA"/>
        </w:rPr>
        <w:t xml:space="preserve">计划开竣工日期计算的工</w:t>
      </w:r>
      <w:r>
        <w:rPr>
          <w:rFonts w:ascii="宋体" w:hAnsi="宋体" w:eastAsia="宋体" w:cs="宋体"/>
          <w:color w:val="auto"/>
          <w:spacing w:val="-1"/>
          <w:sz w:val="24"/>
          <w:szCs w:val="24"/>
          <w:highlight w:val="none"/>
          <w:lang w:val="en-US" w:eastAsia="zh-CN" w:bidi="ar-SA"/>
        </w:rPr>
        <w:t xml:space="preserve">期天数不一致的，以工期总日历天数为准。</w:t>
      </w:r>
      <w:r/>
    </w:p>
    <w:p>
      <w:pPr>
        <w:ind w:left="480"/>
        <w:spacing w:before="194" w:line="221"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三、质量标准</w:t>
      </w:r>
      <w:r/>
    </w:p>
    <w:p>
      <w:pPr>
        <w:ind w:left="482"/>
        <w:spacing w:before="193"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工程质量符合</w:t>
      </w:r>
      <w:r>
        <w:rPr>
          <w:rFonts w:ascii="宋体" w:hAnsi="宋体" w:eastAsia="宋体" w:cs="宋体"/>
          <w:color w:val="auto"/>
          <w:spacing w:val="-1"/>
          <w:sz w:val="24"/>
          <w:szCs w:val="24"/>
          <w:highlight w:val="none"/>
          <w:u w:val="single"/>
          <w:lang w:val="en-US" w:eastAsia="zh-CN" w:bidi="ar-SA"/>
        </w:rPr>
        <w:t xml:space="preserve">合格</w:t>
      </w:r>
      <w:r>
        <w:rPr>
          <w:rFonts w:ascii="宋体" w:hAnsi="宋体" w:eastAsia="宋体" w:cs="宋体"/>
          <w:color w:val="auto"/>
          <w:spacing w:val="-1"/>
          <w:sz w:val="24"/>
          <w:szCs w:val="24"/>
          <w:highlight w:val="none"/>
          <w:lang w:val="en-US" w:eastAsia="zh-CN" w:bidi="ar-SA"/>
        </w:rPr>
        <w:t xml:space="preserve">标准。</w:t>
      </w:r>
      <w:r/>
    </w:p>
    <w:p>
      <w:pPr>
        <w:ind w:left="502"/>
        <w:spacing w:before="193"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四、签约合同价与合同价格形式</w:t>
      </w:r>
      <w:r/>
    </w:p>
    <w:p>
      <w:pPr>
        <w:ind w:left="497"/>
        <w:spacing w:before="195"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4"/>
          <w:sz w:val="24"/>
          <w:szCs w:val="24"/>
          <w:highlight w:val="none"/>
          <w:lang w:val="en-US" w:eastAsia="zh-CN" w:bidi="ar-SA"/>
        </w:rPr>
        <w:t xml:space="preserve">1.签约合同价为：</w:t>
      </w:r>
      <w:r/>
    </w:p>
    <w:p>
      <w:pPr>
        <w:ind w:left="481"/>
        <w:spacing w:before="196"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人民币（大写）</w:t>
      </w:r>
      <w:r>
        <w:rPr>
          <w:rFonts w:hint="eastAsia" w:ascii="宋体" w:hAnsi="宋体" w:eastAsia="宋体" w:cs="宋体"/>
          <w:color w:val="auto"/>
          <w:spacing w:val="-7"/>
          <w:sz w:val="24"/>
          <w:szCs w:val="24"/>
          <w:highlight w:val="none"/>
          <w:u w:val="single"/>
          <w:lang w:val="en-US" w:eastAsia="zh-CN" w:bidi="ar-SA"/>
        </w:rPr>
        <w:t xml:space="preserve">             </w:t>
      </w:r>
      <w:r>
        <w:rPr>
          <w:rFonts w:ascii="宋体" w:hAnsi="宋体" w:eastAsia="宋体" w:cs="宋体"/>
          <w:color w:val="auto"/>
          <w:spacing w:val="-7"/>
          <w:sz w:val="24"/>
          <w:szCs w:val="24"/>
          <w:highlight w:val="none"/>
          <w:lang w:val="en-US" w:eastAsia="zh-CN" w:bidi="ar-SA"/>
        </w:rPr>
        <w:t xml:space="preserve">(¥</w:t>
      </w:r>
      <w:r>
        <w:rPr>
          <w:rFonts w:hint="eastAsia" w:ascii="宋体" w:hAnsi="宋体" w:eastAsia="宋体" w:cs="宋体"/>
          <w:color w:val="auto"/>
          <w:spacing w:val="-7"/>
          <w:sz w:val="24"/>
          <w:szCs w:val="24"/>
          <w:highlight w:val="none"/>
          <w:lang w:val="en-US" w:eastAsia="zh-CN" w:bidi="ar-SA"/>
        </w:rPr>
        <w:t xml:space="preserve"> </w:t>
      </w:r>
      <w:r>
        <w:rPr>
          <w:rFonts w:hint="eastAsia" w:ascii="宋体" w:hAnsi="宋体" w:eastAsia="宋体" w:cs="宋体"/>
          <w:color w:val="auto"/>
          <w:spacing w:val="-7"/>
          <w:sz w:val="24"/>
          <w:szCs w:val="24"/>
          <w:highlight w:val="none"/>
          <w:u w:val="single"/>
          <w:lang w:val="en-US" w:eastAsia="zh-CN" w:bidi="ar-SA"/>
        </w:rPr>
        <w:t xml:space="preserve">       </w:t>
      </w:r>
      <w:r>
        <w:rPr>
          <w:rFonts w:ascii="宋体" w:hAnsi="宋体" w:eastAsia="宋体" w:cs="宋体"/>
          <w:color w:val="auto"/>
          <w:spacing w:val="-7"/>
          <w:sz w:val="24"/>
          <w:szCs w:val="24"/>
          <w:highlight w:val="none"/>
          <w:lang w:val="en-US" w:eastAsia="zh-CN" w:bidi="ar-SA"/>
        </w:rPr>
        <w:t xml:space="preserve">元)；</w:t>
      </w:r>
      <w:r/>
    </w:p>
    <w:p>
      <w:pPr>
        <w:ind w:left="480"/>
        <w:spacing w:line="218"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2.合同价格形式：</w:t>
      </w:r>
      <w:r>
        <w:rPr>
          <w:rFonts w:ascii="宋体" w:hAnsi="宋体" w:eastAsia="宋体" w:cs="宋体"/>
          <w:color w:val="auto"/>
          <w:spacing w:val="-1"/>
          <w:sz w:val="24"/>
          <w:szCs w:val="24"/>
          <w:highlight w:val="none"/>
          <w:u w:val="single"/>
          <w:lang w:val="en-US" w:eastAsia="zh-CN" w:bidi="ar-SA"/>
        </w:rPr>
        <w:t xml:space="preserve">单价合同</w:t>
      </w:r>
      <w:r>
        <w:rPr>
          <w:rFonts w:ascii="宋体" w:hAnsi="宋体" w:eastAsia="宋体" w:cs="宋体"/>
          <w:color w:val="auto"/>
          <w:spacing w:val="-1"/>
          <w:sz w:val="24"/>
          <w:szCs w:val="24"/>
          <w:highlight w:val="none"/>
          <w:lang w:val="en-US" w:eastAsia="zh-CN" w:bidi="ar-SA"/>
        </w:rPr>
        <w:t xml:space="preserve">。</w:t>
      </w:r>
      <w:r/>
    </w:p>
    <w:p>
      <w:pPr>
        <w:ind w:left="480"/>
        <w:spacing w:before="195" w:line="221"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五、项目经理</w:t>
      </w:r>
      <w:r/>
    </w:p>
    <w:p>
      <w:pPr>
        <w:ind w:left="477"/>
        <w:spacing w:before="193"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承包人项目经理：</w:t>
      </w:r>
      <w:r>
        <w:rPr>
          <w:rFonts w:hint="eastAsia" w:ascii="宋体" w:hAnsi="宋体" w:eastAsia="宋体" w:cs="宋体"/>
          <w:color w:val="auto"/>
          <w:spacing w:val="-1"/>
          <w:sz w:val="24"/>
          <w:szCs w:val="24"/>
          <w:highlight w:val="none"/>
          <w:u w:val="single"/>
          <w:lang w:val="en-US" w:eastAsia="zh-CN" w:bidi="ar-SA"/>
        </w:rPr>
        <w:t xml:space="preserve">    </w:t>
      </w:r>
      <w:r>
        <w:rPr>
          <w:rFonts w:ascii="宋体" w:hAnsi="宋体" w:eastAsia="宋体" w:cs="宋体"/>
          <w:color w:val="auto"/>
          <w:spacing w:val="-1"/>
          <w:sz w:val="24"/>
          <w:szCs w:val="24"/>
          <w:highlight w:val="none"/>
          <w:lang w:val="en-US" w:eastAsia="zh-CN" w:bidi="ar-SA"/>
        </w:rPr>
        <w:t xml:space="preserve">。</w:t>
      </w:r>
      <w:r/>
    </w:p>
    <w:p>
      <w:pPr>
        <w:ind w:left="479"/>
        <w:spacing w:before="194"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六、合同文件构成</w:t>
      </w:r>
      <w:r/>
    </w:p>
    <w:p>
      <w:pPr>
        <w:ind w:left="478"/>
        <w:spacing w:before="194" w:line="480" w:lineRule="exact"/>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position w:val="18"/>
          <w:sz w:val="24"/>
          <w:szCs w:val="24"/>
          <w:highlight w:val="none"/>
          <w:lang w:val="en-US" w:eastAsia="zh-CN" w:bidi="ar-SA"/>
        </w:rPr>
        <w:t xml:space="preserve">本协议书与下列文件一起构成合同文件：</w:t>
      </w:r>
      <w:r/>
    </w:p>
    <w:p>
      <w:pPr>
        <w:ind w:left="488"/>
        <w:spacing w:before="1"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（1）中标通知书（如果有</w:t>
      </w:r>
      <w:r>
        <w:rPr>
          <w:rFonts w:ascii="宋体" w:hAnsi="宋体" w:eastAsia="宋体" w:cs="宋体"/>
          <w:color w:val="auto"/>
          <w:spacing w:val="-62"/>
          <w:sz w:val="24"/>
          <w:szCs w:val="24"/>
          <w:highlight w:val="none"/>
          <w:lang w:val="en-US" w:eastAsia="zh-CN" w:bidi="ar-SA"/>
        </w:rPr>
        <w:t xml:space="preserve">）；</w:t>
      </w:r>
      <w:r/>
    </w:p>
    <w:p>
      <w:pPr>
        <w:ind w:left="488"/>
        <w:spacing w:before="195" w:line="480" w:lineRule="exact"/>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position w:val="18"/>
          <w:sz w:val="24"/>
          <w:szCs w:val="24"/>
          <w:highlight w:val="none"/>
          <w:lang w:val="en-US" w:eastAsia="zh-CN" w:bidi="ar-SA"/>
        </w:rPr>
        <w:t xml:space="preserve">（2）投标函及其附录（如果有</w:t>
      </w:r>
      <w:r>
        <w:rPr>
          <w:rFonts w:ascii="宋体" w:hAnsi="宋体" w:eastAsia="宋体" w:cs="宋体"/>
          <w:color w:val="auto"/>
          <w:spacing w:val="-64"/>
          <w:position w:val="18"/>
          <w:sz w:val="24"/>
          <w:szCs w:val="24"/>
          <w:highlight w:val="none"/>
          <w:lang w:val="en-US" w:eastAsia="zh-CN" w:bidi="ar-SA"/>
        </w:rPr>
        <w:t xml:space="preserve">）；</w:t>
      </w:r>
      <w:r/>
    </w:p>
    <w:p>
      <w:pPr>
        <w:ind w:left="488"/>
        <w:spacing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（3）专用合同条款及其附件；</w:t>
      </w:r>
      <w:r/>
    </w:p>
    <w:p>
      <w:pPr>
        <w:ind w:left="488"/>
        <w:spacing w:before="195"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3"/>
          <w:sz w:val="24"/>
          <w:szCs w:val="24"/>
          <w:highlight w:val="none"/>
          <w:lang w:val="en-US" w:eastAsia="zh-CN" w:bidi="ar-SA"/>
        </w:rPr>
        <w:t xml:space="preserve">（4）通用合同条款；</w:t>
      </w:r>
      <w:r/>
    </w:p>
    <w:p>
      <w:pPr>
        <w:ind w:left="488"/>
        <w:spacing w:before="194" w:line="480" w:lineRule="exact"/>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position w:val="18"/>
          <w:sz w:val="24"/>
          <w:szCs w:val="24"/>
          <w:highlight w:val="none"/>
          <w:lang w:val="en-US" w:eastAsia="zh-CN" w:bidi="ar-SA"/>
        </w:rPr>
        <w:t xml:space="preserve">（5）技术标准和要求；</w:t>
      </w:r>
      <w:r/>
    </w:p>
    <w:p>
      <w:pPr>
        <w:ind w:left="488"/>
        <w:spacing w:before="1" w:line="221"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4"/>
          <w:sz w:val="24"/>
          <w:szCs w:val="24"/>
          <w:highlight w:val="none"/>
          <w:lang w:val="en-US" w:eastAsia="zh-CN" w:bidi="ar-SA"/>
        </w:rPr>
        <w:t xml:space="preserve">（6）图纸；</w:t>
      </w:r>
      <w:r/>
    </w:p>
    <w:p>
      <w:pPr>
        <w:ind w:left="488"/>
        <w:spacing w:before="192" w:line="480" w:lineRule="exact"/>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position w:val="18"/>
          <w:sz w:val="24"/>
          <w:szCs w:val="24"/>
          <w:highlight w:val="none"/>
          <w:lang w:val="en-US" w:eastAsia="zh-CN" w:bidi="ar-SA"/>
        </w:rPr>
        <w:t xml:space="preserve">（7）已标价工程量清单或预算书；</w:t>
      </w:r>
      <w:r/>
    </w:p>
    <w:p>
      <w:pPr>
        <w:ind w:left="488"/>
        <w:spacing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3"/>
          <w:sz w:val="24"/>
          <w:szCs w:val="24"/>
          <w:highlight w:val="none"/>
          <w:lang w:val="en-US" w:eastAsia="zh-CN" w:bidi="ar-SA"/>
        </w:rPr>
        <w:t xml:space="preserve">（8）其他合同文件。</w:t>
      </w:r>
      <w:r/>
    </w:p>
    <w:p>
      <w:pPr>
        <w:ind w:left="476"/>
        <w:spacing w:before="194"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在合同订立及履行过程中形成的与合同有关的文件均构</w:t>
      </w:r>
      <w:r>
        <w:rPr>
          <w:rFonts w:ascii="宋体" w:hAnsi="宋体" w:eastAsia="宋体" w:cs="宋体"/>
          <w:color w:val="auto"/>
          <w:spacing w:val="-1"/>
          <w:sz w:val="24"/>
          <w:szCs w:val="24"/>
          <w:highlight w:val="none"/>
          <w:lang w:val="en-US" w:eastAsia="zh-CN" w:bidi="ar-SA"/>
        </w:rPr>
        <w:t xml:space="preserve">成合同文件组成部分。</w:t>
      </w:r>
      <w:r/>
    </w:p>
    <w:p>
      <w:pPr>
        <w:ind w:right="183" w:firstLine="478"/>
        <w:spacing w:before="194"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上述各项合同文件包括合同当事人就该项合同文件</w:t>
      </w:r>
      <w:r>
        <w:rPr>
          <w:rFonts w:ascii="宋体" w:hAnsi="宋体" w:eastAsia="宋体" w:cs="宋体"/>
          <w:color w:val="auto"/>
          <w:spacing w:val="-1"/>
          <w:sz w:val="24"/>
          <w:szCs w:val="24"/>
          <w:highlight w:val="none"/>
          <w:lang w:val="en-US" w:eastAsia="zh-CN" w:bidi="ar-SA"/>
        </w:rPr>
        <w:t xml:space="preserve">所作出的补充和修改，属于同</w:t>
      </w:r>
      <w:r>
        <w:rPr>
          <w:rFonts w:ascii="宋体" w:hAnsi="宋体" w:eastAsia="宋体" w:cs="宋体"/>
          <w:color w:val="auto"/>
          <w:sz w:val="24"/>
          <w:szCs w:val="24"/>
          <w:highlight w:val="none"/>
          <w:lang w:val="en-US" w:eastAsia="zh-CN" w:bidi="ar-SA"/>
        </w:rPr>
        <w:t xml:space="preserve">一类内容的文件，应以最新签署的为准。专用合同</w:t>
      </w:r>
      <w:r>
        <w:rPr>
          <w:rFonts w:ascii="宋体" w:hAnsi="宋体" w:eastAsia="宋体" w:cs="宋体"/>
          <w:color w:val="auto"/>
          <w:spacing w:val="-1"/>
          <w:sz w:val="24"/>
          <w:szCs w:val="24"/>
          <w:highlight w:val="none"/>
          <w:lang w:val="en-US" w:eastAsia="zh-CN" w:bidi="ar-SA"/>
        </w:rPr>
        <w:t xml:space="preserve">条款及其附件须经合同当事人签字</w:t>
      </w:r>
      <w:r/>
    </w:p>
    <w:p>
      <w:pPr>
        <w:spacing w:before="1"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4"/>
          <w:sz w:val="24"/>
          <w:szCs w:val="24"/>
          <w:highlight w:val="none"/>
          <w:lang w:val="en-US" w:eastAsia="zh-CN" w:bidi="ar-SA"/>
        </w:rPr>
        <w:t xml:space="preserve">或盖章。</w:t>
      </w:r>
      <w:r/>
    </w:p>
    <w:p>
      <w:pPr>
        <w:ind w:left="476"/>
        <w:spacing w:before="195"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七、承诺</w:t>
      </w:r>
      <w:r/>
    </w:p>
    <w:p>
      <w:pPr>
        <w:ind w:firstLine="472"/>
        <w:spacing w:before="194" w:line="480" w:lineRule="exact"/>
        <w:shd w:val="clear" w:color="auto" w:fill="auto"/>
        <w:rPr>
          <w:rFonts w:ascii="宋体" w:hAnsi="宋体" w:eastAsia="宋体" w:cs="宋体"/>
          <w:color w:val="auto"/>
          <w:spacing w:val="-2"/>
          <w:position w:val="18"/>
          <w:sz w:val="24"/>
          <w:szCs w:val="24"/>
          <w:highlight w:val="none"/>
          <w:lang w:val="en-US" w:eastAsia="zh-CN" w:bidi="ar-SA"/>
        </w:rPr>
      </w:pPr>
      <w:r>
        <w:rPr>
          <w:rFonts w:ascii="宋体" w:hAnsi="宋体" w:eastAsia="宋体" w:cs="宋体"/>
          <w:color w:val="auto"/>
          <w:spacing w:val="-2"/>
          <w:position w:val="18"/>
          <w:sz w:val="24"/>
          <w:szCs w:val="24"/>
          <w:highlight w:val="none"/>
          <w:lang w:val="en-US" w:eastAsia="zh-CN" w:bidi="ar-SA"/>
        </w:rPr>
        <w:t xml:space="preserve">1.发包人承诺按照法律规定履行项目审批手续、筹集工程建设资金并按照合同约定的期限和方式支付合同价款。</w:t>
      </w:r>
      <w:r/>
    </w:p>
    <w:p>
      <w:pPr>
        <w:ind w:firstLine="472"/>
        <w:spacing w:before="194" w:line="480" w:lineRule="exact"/>
        <w:shd w:val="clear" w:color="auto" w:fill="auto"/>
        <w:rPr>
          <w:rFonts w:ascii="宋体" w:hAnsi="宋体" w:eastAsia="宋体" w:cs="宋体"/>
          <w:color w:val="auto"/>
          <w:spacing w:val="-2"/>
          <w:position w:val="18"/>
          <w:sz w:val="24"/>
          <w:szCs w:val="24"/>
          <w:highlight w:val="none"/>
          <w:lang w:val="en-US" w:eastAsia="zh-CN" w:bidi="ar-SA"/>
        </w:rPr>
      </w:pPr>
      <w:r>
        <w:rPr>
          <w:rFonts w:ascii="宋体" w:hAnsi="宋体" w:eastAsia="宋体" w:cs="宋体"/>
          <w:color w:val="auto"/>
          <w:spacing w:val="-2"/>
          <w:position w:val="18"/>
          <w:sz w:val="24"/>
          <w:szCs w:val="24"/>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72"/>
        <w:spacing w:before="194" w:line="480" w:lineRule="exact"/>
        <w:shd w:val="clear" w:color="auto" w:fill="auto"/>
        <w:rPr>
          <w:rFonts w:ascii="宋体" w:hAnsi="宋体" w:eastAsia="宋体" w:cs="宋体"/>
          <w:color w:val="auto"/>
          <w:spacing w:val="-2"/>
          <w:position w:val="18"/>
          <w:sz w:val="24"/>
          <w:szCs w:val="24"/>
          <w:highlight w:val="none"/>
          <w:lang w:val="en-US" w:eastAsia="zh-CN" w:bidi="ar-SA"/>
        </w:rPr>
      </w:pPr>
      <w:r>
        <w:rPr>
          <w:rFonts w:ascii="宋体" w:hAnsi="宋体" w:eastAsia="宋体" w:cs="宋体"/>
          <w:color w:val="auto"/>
          <w:spacing w:val="-2"/>
          <w:position w:val="18"/>
          <w:sz w:val="24"/>
          <w:szCs w:val="24"/>
          <w:highlight w:val="none"/>
          <w:lang w:val="en-US" w:eastAsia="zh-CN" w:bidi="ar-SA"/>
        </w:rPr>
        <w:t xml:space="preserve">3.发包人和承包人通过招投标形式签订合同的，双方理解并承诺不再就同一工程另行签订与合同实质性内容相背离的协议。</w:t>
      </w:r>
      <w:r/>
    </w:p>
    <w:p>
      <w:pPr>
        <w:ind w:left="483"/>
        <w:spacing w:before="194"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八、词语含义</w:t>
      </w:r>
      <w:r/>
    </w:p>
    <w:p>
      <w:pPr>
        <w:ind w:left="480"/>
        <w:spacing w:before="194"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本协议书中词语含义与第二部分通用合同条款中赋予的含义相同。</w:t>
      </w:r>
      <w:r/>
    </w:p>
    <w:p>
      <w:pPr>
        <w:ind w:left="485"/>
        <w:spacing w:before="195" w:line="222"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九、签订时间</w:t>
      </w:r>
      <w:r/>
    </w:p>
    <w:p>
      <w:pPr>
        <w:ind w:left="480"/>
        <w:spacing w:before="191"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6"/>
          <w:sz w:val="24"/>
          <w:szCs w:val="24"/>
          <w:highlight w:val="none"/>
          <w:lang w:val="en-US" w:eastAsia="zh-CN" w:bidi="ar-SA"/>
        </w:rPr>
        <w:t xml:space="preserve">本合同于</w:t>
      </w:r>
      <w:r>
        <w:rPr>
          <w:rFonts w:ascii="宋体" w:hAnsi="宋体" w:eastAsia="宋体" w:cs="宋体"/>
          <w:color w:val="auto"/>
          <w:spacing w:val="-6"/>
          <w:sz w:val="24"/>
          <w:szCs w:val="24"/>
          <w:highlight w:val="none"/>
          <w:u w:val="single"/>
          <w:lang w:val="en-US" w:eastAsia="zh-CN" w:bidi="ar-SA"/>
        </w:rPr>
        <w:t xml:space="preserve">    年   月   日</w:t>
      </w:r>
      <w:r>
        <w:rPr>
          <w:rFonts w:ascii="宋体" w:hAnsi="宋体" w:eastAsia="宋体" w:cs="宋体"/>
          <w:color w:val="auto"/>
          <w:spacing w:val="-6"/>
          <w:sz w:val="24"/>
          <w:szCs w:val="24"/>
          <w:highlight w:val="none"/>
          <w:lang w:val="en-US" w:eastAsia="zh-CN" w:bidi="ar-SA"/>
        </w:rPr>
        <w:t xml:space="preserve">签订。</w:t>
      </w:r>
      <w:r/>
    </w:p>
    <w:p>
      <w:pPr>
        <w:ind w:left="480"/>
        <w:spacing w:before="194" w:line="222"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十、签订地点</w:t>
      </w:r>
      <w:r/>
    </w:p>
    <w:p>
      <w:pPr>
        <w:ind w:left="480"/>
        <w:spacing w:before="192"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本合同在</w:t>
      </w:r>
      <w:r>
        <w:rPr>
          <w:rFonts w:hint="eastAsia" w:ascii="宋体" w:hAnsi="宋体" w:eastAsia="宋体" w:cs="宋体"/>
          <w:color w:val="auto"/>
          <w:spacing w:val="-1"/>
          <w:sz w:val="24"/>
          <w:szCs w:val="24"/>
          <w:highlight w:val="none"/>
          <w:u w:val="single"/>
          <w:lang w:val="en-US" w:eastAsia="zh-CN" w:bidi="ar-SA"/>
        </w:rPr>
        <w:t xml:space="preserve">宿迁学院附属学校</w:t>
      </w:r>
      <w:r>
        <w:rPr>
          <w:rFonts w:ascii="宋体" w:hAnsi="宋体" w:eastAsia="宋体" w:cs="宋体"/>
          <w:color w:val="auto"/>
          <w:spacing w:val="-1"/>
          <w:sz w:val="24"/>
          <w:szCs w:val="24"/>
          <w:highlight w:val="none"/>
          <w:lang w:val="en-US" w:eastAsia="zh-CN" w:bidi="ar-SA"/>
        </w:rPr>
        <w:t xml:space="preserve">签订。</w:t>
      </w:r>
      <w:r/>
    </w:p>
    <w:p>
      <w:pPr>
        <w:ind w:left="480"/>
        <w:spacing w:before="194" w:line="221"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十一、补充协议</w:t>
      </w:r>
      <w:r/>
    </w:p>
    <w:p>
      <w:pPr>
        <w:ind w:left="480"/>
        <w:spacing w:before="193"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合同未尽事宜，合同当事人另行签订补充协议，补</w:t>
      </w:r>
      <w:r>
        <w:rPr>
          <w:rFonts w:ascii="宋体" w:hAnsi="宋体" w:eastAsia="宋体" w:cs="宋体"/>
          <w:color w:val="auto"/>
          <w:spacing w:val="-1"/>
          <w:sz w:val="24"/>
          <w:szCs w:val="24"/>
          <w:highlight w:val="none"/>
          <w:lang w:val="en-US" w:eastAsia="zh-CN" w:bidi="ar-SA"/>
        </w:rPr>
        <w:t xml:space="preserve">充协议是合同的组成部分。</w:t>
      </w:r>
      <w:r/>
    </w:p>
    <w:p>
      <w:pPr>
        <w:ind w:left="480"/>
        <w:spacing w:before="194" w:line="221"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十二、合同生效</w:t>
      </w:r>
      <w:r/>
    </w:p>
    <w:p>
      <w:pPr>
        <w:ind w:left="480"/>
        <w:spacing w:before="193"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本合同自</w:t>
      </w:r>
      <w:r>
        <w:rPr>
          <w:rFonts w:ascii="宋体" w:hAnsi="宋体" w:eastAsia="宋体" w:cs="宋体"/>
          <w:color w:val="auto"/>
          <w:spacing w:val="-2"/>
          <w:sz w:val="24"/>
          <w:szCs w:val="24"/>
          <w:highlight w:val="none"/>
          <w:u w:val="single"/>
          <w:lang w:val="en-US" w:eastAsia="zh-CN" w:bidi="ar-SA"/>
        </w:rPr>
        <w:t xml:space="preserve">双方签章后立即</w:t>
      </w:r>
      <w:r>
        <w:rPr>
          <w:rFonts w:ascii="宋体" w:hAnsi="宋体" w:eastAsia="宋体" w:cs="宋体"/>
          <w:color w:val="auto"/>
          <w:spacing w:val="-2"/>
          <w:sz w:val="24"/>
          <w:szCs w:val="24"/>
          <w:highlight w:val="none"/>
          <w:lang w:val="en-US" w:eastAsia="zh-CN" w:bidi="ar-SA"/>
        </w:rPr>
        <w:t xml:space="preserve">生效。</w:t>
      </w:r>
      <w:r/>
    </w:p>
    <w:p>
      <w:pPr>
        <w:ind w:left="480"/>
        <w:spacing w:before="195"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十三、合同份数</w:t>
      </w:r>
      <w:r/>
    </w:p>
    <w:p>
      <w:pPr>
        <w:jc w:val="center"/>
        <w:spacing w:before="194" w:line="36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7"/>
          <w:sz w:val="24"/>
          <w:szCs w:val="24"/>
          <w:highlight w:val="none"/>
          <w:lang w:val="en-US" w:eastAsia="zh-CN" w:bidi="ar-SA"/>
        </w:rPr>
        <w:t xml:space="preserve">本合同一式</w:t>
      </w:r>
      <w:r>
        <w:rPr>
          <w:rFonts w:hint="eastAsia" w:ascii="宋体" w:hAnsi="宋体" w:eastAsia="宋体" w:cs="宋体"/>
          <w:color w:val="auto"/>
          <w:spacing w:val="17"/>
          <w:sz w:val="24"/>
          <w:szCs w:val="24"/>
          <w:highlight w:val="none"/>
          <w:lang w:val="en-US" w:eastAsia="zh-CN" w:bidi="ar-SA"/>
        </w:rPr>
        <w:t xml:space="preserve">捌</w:t>
      </w:r>
      <w:r>
        <w:rPr>
          <w:rFonts w:ascii="宋体" w:hAnsi="宋体" w:eastAsia="宋体" w:cs="宋体"/>
          <w:color w:val="auto"/>
          <w:spacing w:val="17"/>
          <w:sz w:val="24"/>
          <w:szCs w:val="24"/>
          <w:highlight w:val="none"/>
          <w:lang w:val="en-US" w:eastAsia="zh-CN" w:bidi="ar-SA"/>
        </w:rPr>
        <w:t xml:space="preserve">份，均具有同等法律效力，发包人</w:t>
      </w:r>
      <w:r>
        <w:rPr>
          <w:rFonts w:ascii="宋体" w:hAnsi="宋体" w:eastAsia="宋体" w:cs="宋体"/>
          <w:color w:val="auto"/>
          <w:spacing w:val="16"/>
          <w:sz w:val="24"/>
          <w:szCs w:val="24"/>
          <w:highlight w:val="none"/>
          <w:lang w:val="en-US" w:eastAsia="zh-CN" w:bidi="ar-SA"/>
        </w:rPr>
        <w:t xml:space="preserve">执</w:t>
      </w:r>
      <w:r>
        <w:rPr>
          <w:rFonts w:hint="eastAsia" w:ascii="宋体" w:hAnsi="宋体" w:eastAsia="宋体" w:cs="宋体"/>
          <w:color w:val="auto"/>
          <w:spacing w:val="16"/>
          <w:sz w:val="24"/>
          <w:szCs w:val="24"/>
          <w:highlight w:val="none"/>
          <w:lang w:val="en-US" w:eastAsia="zh-CN" w:bidi="ar-SA"/>
        </w:rPr>
        <w:t xml:space="preserve">肆</w:t>
      </w:r>
      <w:r>
        <w:rPr>
          <w:rFonts w:ascii="宋体" w:hAnsi="宋体" w:eastAsia="宋体" w:cs="宋体"/>
          <w:color w:val="auto"/>
          <w:spacing w:val="16"/>
          <w:sz w:val="24"/>
          <w:szCs w:val="24"/>
          <w:highlight w:val="none"/>
          <w:lang w:val="en-US" w:eastAsia="zh-CN" w:bidi="ar-SA"/>
        </w:rPr>
        <w:t xml:space="preserve">份，承包人执</w:t>
      </w:r>
      <w:r/>
    </w:p>
    <w:p>
      <w:pPr>
        <w:spacing w:line="220" w:lineRule="auto"/>
        <w:shd w:val="clear" w:color="auto" w:fill="auto"/>
        <w:rPr>
          <w:rFonts w:ascii="宋体" w:hAnsi="宋体" w:eastAsia="宋体" w:cs="宋体"/>
          <w:color w:val="auto"/>
          <w:sz w:val="24"/>
          <w:szCs w:val="24"/>
          <w:highlight w:val="none"/>
          <w:lang w:val="en-US" w:eastAsia="zh-CN" w:bidi="ar-SA"/>
        </w:rPr>
      </w:pPr>
      <w:r>
        <w:rPr>
          <w:rFonts w:hint="eastAsia" w:ascii="宋体" w:hAnsi="宋体" w:eastAsia="宋体" w:cs="宋体"/>
          <w:color w:val="auto"/>
          <w:spacing w:val="-5"/>
          <w:sz w:val="24"/>
          <w:szCs w:val="24"/>
          <w:highlight w:val="none"/>
          <w:lang w:val="en-US" w:eastAsia="zh-CN" w:bidi="ar-SA"/>
        </w:rPr>
        <w:t xml:space="preserve">肆</w:t>
      </w:r>
      <w:r>
        <w:rPr>
          <w:rFonts w:ascii="宋体" w:hAnsi="宋体" w:eastAsia="宋体" w:cs="宋体"/>
          <w:color w:val="auto"/>
          <w:spacing w:val="-5"/>
          <w:sz w:val="24"/>
          <w:szCs w:val="24"/>
          <w:highlight w:val="none"/>
          <w:lang w:val="en-US" w:eastAsia="zh-CN" w:bidi="ar-SA"/>
        </w:rPr>
        <w:t xml:space="preserve">份。</w:t>
      </w:r>
      <w:r/>
    </w:p>
    <w:p>
      <w:pPr>
        <w:spacing w:before="47"/>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pacing w:before="47"/>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pacing w:before="47"/>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pacing w:before="47"/>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tbl>
      <w:tblPr>
        <w:tblStyle w:val="1550"/>
        <w:tblW w:w="7615" w:type="dxa"/>
        <w:tblInd w:w="4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15"/>
        <w:gridCol w:w="3300"/>
      </w:tblGrid>
      <w:tr>
        <w:trPr>
          <w:trHeight w:val="360"/>
        </w:trPr>
        <w:tc>
          <w:tcPr>
            <w:tcW w:w="4315" w:type="dxa"/>
            <w:vAlign w:val="top"/>
            <w:textDirection w:val="lrTb"/>
            <w:noWrap w:val="false"/>
          </w:tcPr>
          <w:p>
            <w:pPr>
              <w:ind w:left="3"/>
              <w:jc w:val="both"/>
              <w:spacing w:line="219"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9"/>
                <w:sz w:val="24"/>
                <w:szCs w:val="24"/>
                <w:highlight w:val="none"/>
                <w:lang w:val="en-US" w:eastAsia="en-US" w:bidi="ar-SA"/>
              </w:rPr>
              <w:t xml:space="preserve">发包人：(公章)</w:t>
            </w:r>
            <w:r/>
          </w:p>
        </w:tc>
        <w:tc>
          <w:tcPr>
            <w:tcW w:w="3300" w:type="dxa"/>
            <w:vAlign w:val="top"/>
            <w:textDirection w:val="lrTb"/>
            <w:noWrap w:val="false"/>
          </w:tcPr>
          <w:p>
            <w:pPr>
              <w:ind w:left="364"/>
              <w:jc w:val="both"/>
              <w:spacing w:line="219"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8"/>
                <w:sz w:val="24"/>
                <w:szCs w:val="24"/>
                <w:highlight w:val="none"/>
                <w:lang w:val="en-US" w:eastAsia="en-US" w:bidi="ar-SA"/>
              </w:rPr>
              <w:t xml:space="preserve">承包人：(公章)</w:t>
            </w:r>
            <w:r/>
          </w:p>
        </w:tc>
      </w:tr>
      <w:tr>
        <w:trPr>
          <w:trHeight w:val="480"/>
        </w:trPr>
        <w:tc>
          <w:tcPr>
            <w:tcW w:w="4315" w:type="dxa"/>
            <w:vAlign w:val="top"/>
            <w:textDirection w:val="lrTb"/>
            <w:noWrap w:val="false"/>
          </w:tcPr>
          <w:p>
            <w:pPr>
              <w:jc w:val="both"/>
              <w:spacing w:before="120" w:line="220"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1"/>
                <w:sz w:val="24"/>
                <w:szCs w:val="24"/>
                <w:highlight w:val="none"/>
                <w:lang w:val="en-US" w:eastAsia="en-US" w:bidi="ar-SA"/>
              </w:rPr>
              <w:t xml:space="preserve">法定代表人或其委托代理人：</w:t>
            </w:r>
            <w:r/>
          </w:p>
        </w:tc>
        <w:tc>
          <w:tcPr>
            <w:tcW w:w="3300" w:type="dxa"/>
            <w:vAlign w:val="top"/>
            <w:textDirection w:val="lrTb"/>
            <w:noWrap w:val="false"/>
          </w:tcPr>
          <w:p>
            <w:pPr>
              <w:jc w:val="right"/>
              <w:spacing w:before="120" w:line="220"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15"/>
                <w:sz w:val="24"/>
                <w:szCs w:val="24"/>
                <w:highlight w:val="none"/>
                <w:lang w:val="en-US" w:eastAsia="en-US" w:bidi="ar-SA"/>
              </w:rPr>
              <w:t xml:space="preserve">法定代表人或其委托代理人：</w:t>
            </w:r>
            <w:r/>
          </w:p>
        </w:tc>
      </w:tr>
      <w:tr>
        <w:trPr>
          <w:trHeight w:val="480"/>
        </w:trPr>
        <w:tc>
          <w:tcPr>
            <w:tcW w:w="4315" w:type="dxa"/>
            <w:vAlign w:val="top"/>
            <w:textDirection w:val="lrTb"/>
            <w:noWrap w:val="false"/>
          </w:tcPr>
          <w:p>
            <w:pPr>
              <w:ind w:left="11"/>
              <w:jc w:val="both"/>
              <w:spacing w:before="120" w:line="220"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6"/>
                <w:sz w:val="24"/>
                <w:szCs w:val="24"/>
                <w:highlight w:val="none"/>
                <w:lang w:val="en-US" w:eastAsia="en-US" w:bidi="ar-SA"/>
              </w:rPr>
              <w:t xml:space="preserve">（签字）</w:t>
            </w:r>
            <w:r/>
          </w:p>
        </w:tc>
        <w:tc>
          <w:tcPr>
            <w:tcW w:w="3300" w:type="dxa"/>
            <w:vAlign w:val="top"/>
            <w:textDirection w:val="lrTb"/>
            <w:noWrap w:val="false"/>
          </w:tcPr>
          <w:p>
            <w:pPr>
              <w:ind w:left="256"/>
              <w:jc w:val="both"/>
              <w:spacing w:before="120" w:line="220"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6"/>
                <w:sz w:val="24"/>
                <w:szCs w:val="24"/>
                <w:highlight w:val="none"/>
                <w:lang w:val="en-US" w:eastAsia="en-US" w:bidi="ar-SA"/>
              </w:rPr>
              <w:t xml:space="preserve">（签字）</w:t>
            </w:r>
            <w:r/>
          </w:p>
        </w:tc>
      </w:tr>
      <w:tr>
        <w:trPr>
          <w:trHeight w:val="480"/>
        </w:trPr>
        <w:tc>
          <w:tcPr>
            <w:tcW w:w="4315" w:type="dxa"/>
            <w:vAlign w:val="top"/>
            <w:textDirection w:val="lrTb"/>
            <w:noWrap w:val="false"/>
          </w:tcPr>
          <w:p>
            <w:pPr>
              <w:ind w:left="2"/>
              <w:jc w:val="both"/>
              <w:spacing w:before="120" w:line="219" w:lineRule="auto"/>
              <w:shd w:val="clear" w:color="auto" w:fill="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2"/>
                <w:sz w:val="24"/>
                <w:szCs w:val="24"/>
                <w:highlight w:val="none"/>
                <w:lang w:val="en-US" w:eastAsia="en-US" w:bidi="ar-SA"/>
              </w:rPr>
              <w:t xml:space="preserve">组织机构代码：</w:t>
            </w:r>
            <w:r/>
          </w:p>
        </w:tc>
        <w:tc>
          <w:tcPr>
            <w:tcW w:w="3300" w:type="dxa"/>
            <w:vAlign w:val="top"/>
            <w:textDirection w:val="lrTb"/>
            <w:noWrap w:val="false"/>
          </w:tcPr>
          <w:p>
            <w:pPr>
              <w:ind w:left="367"/>
              <w:jc w:val="both"/>
              <w:spacing w:before="120" w:line="219" w:lineRule="auto"/>
              <w:shd w:val="clear" w:color="auto" w:fill="auto"/>
              <w:widowControl w:val="off"/>
              <w:rPr>
                <w:rFonts w:hint="default" w:ascii="宋体" w:hAnsi="宋体" w:eastAsia="宋体" w:cs="宋体"/>
                <w:color w:val="auto"/>
                <w:sz w:val="24"/>
                <w:szCs w:val="24"/>
                <w:highlight w:val="none"/>
                <w:lang w:val="en-US" w:eastAsia="en-US" w:bidi="ar-SA"/>
              </w:rPr>
            </w:pPr>
            <w:r>
              <w:rPr>
                <w:rFonts w:hint="default" w:ascii="宋体" w:hAnsi="宋体" w:eastAsia="宋体" w:cs="宋体"/>
                <w:color w:val="auto"/>
                <w:spacing w:val="-2"/>
                <w:sz w:val="24"/>
                <w:szCs w:val="24"/>
                <w:highlight w:val="none"/>
                <w:lang w:val="en-US" w:eastAsia="en-US" w:bidi="ar-SA"/>
              </w:rPr>
              <w:t xml:space="preserve">组织机构代码：</w:t>
            </w:r>
            <w:r/>
          </w:p>
        </w:tc>
      </w:tr>
      <w:tr>
        <w:trPr>
          <w:trHeight w:val="360"/>
        </w:trPr>
        <w:tc>
          <w:tcPr>
            <w:tcW w:w="4315" w:type="dxa"/>
            <w:vAlign w:val="top"/>
            <w:textDirection w:val="lrTb"/>
            <w:noWrap w:val="false"/>
          </w:tcPr>
          <w:p>
            <w:pPr>
              <w:jc w:val="both"/>
              <w:spacing w:before="119" w:line="177" w:lineRule="auto"/>
              <w:shd w:val="clear" w:color="auto" w:fill="auto"/>
              <w:widowControl w:val="off"/>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pacing w:val="-7"/>
                <w:sz w:val="24"/>
                <w:szCs w:val="24"/>
                <w:highlight w:val="none"/>
                <w:lang w:val="en-US" w:eastAsia="en-US" w:bidi="ar-SA"/>
              </w:rPr>
              <w:t xml:space="preserve">地址：</w:t>
            </w:r>
            <w:r/>
          </w:p>
        </w:tc>
        <w:tc>
          <w:tcPr>
            <w:tcW w:w="3300" w:type="dxa"/>
            <w:vAlign w:val="top"/>
            <w:textDirection w:val="lrTb"/>
            <w:noWrap w:val="false"/>
          </w:tcPr>
          <w:p>
            <w:pPr>
              <w:ind w:left="364"/>
              <w:jc w:val="both"/>
              <w:spacing w:before="119" w:line="177" w:lineRule="auto"/>
              <w:shd w:val="clear" w:color="auto" w:fill="auto"/>
              <w:widowControl w:val="off"/>
              <w:rPr>
                <w:rFonts w:hint="default" w:ascii="宋体" w:hAnsi="宋体" w:eastAsia="宋体" w:cs="宋体"/>
                <w:color w:val="auto"/>
                <w:sz w:val="24"/>
                <w:szCs w:val="24"/>
                <w:highlight w:val="none"/>
                <w:lang w:val="en-US" w:eastAsia="en-US" w:bidi="ar-SA"/>
              </w:rPr>
              <w:outlineLvl w:val="1"/>
            </w:pPr>
            <w:r/>
            <w:bookmarkStart w:id="212" w:name="_Toc4624"/>
            <w:r>
              <w:rPr>
                <w:rFonts w:hint="default" w:ascii="宋体" w:hAnsi="宋体" w:eastAsia="宋体" w:cs="宋体"/>
                <w:color w:val="auto"/>
                <w:spacing w:val="-7"/>
                <w:sz w:val="24"/>
                <w:szCs w:val="24"/>
                <w:highlight w:val="none"/>
                <w:lang w:val="en-US" w:eastAsia="en-US" w:bidi="ar-SA"/>
              </w:rPr>
              <w:t xml:space="preserve">地址：</w:t>
            </w:r>
            <w:bookmarkEnd w:id="212"/>
            <w:r/>
            <w:r/>
          </w:p>
        </w:tc>
      </w:tr>
    </w:tbl>
    <w:p>
      <w:pPr>
        <w:ind w:left="481"/>
        <w:spacing w:before="194" w:line="220" w:lineRule="auto"/>
        <w:shd w:val="clear" w:color="auto" w:fill="auto"/>
        <w:rPr>
          <w:rFonts w:ascii="宋体" w:hAnsi="宋体" w:eastAsia="宋体" w:cs="宋体"/>
          <w:color w:val="auto"/>
          <w:sz w:val="24"/>
          <w:szCs w:val="24"/>
          <w:highlight w:val="none"/>
        </w:rPr>
        <w:sectPr>
          <w:footerReference w:type="default" r:id="rId10"/>
          <w:footnotePr/>
          <w:endnotePr/>
          <w:type w:val="nextPage"/>
          <w:pgSz w:w="11906" w:h="16839" w:orient="portrait"/>
          <w:pgMar w:top="1431" w:right="1369" w:bottom="1058" w:left="1485" w:header="0" w:footer="879" w:gutter="0"/>
          <w:cols w:num="1" w:sep="0" w:space="720" w:equalWidth="1"/>
          <w:docGrid w:linePitch="360"/>
        </w:sectPr>
      </w:pPr>
      <w:r>
        <w:rPr>
          <w:rFonts w:ascii="宋体" w:hAnsi="宋体" w:eastAsia="宋体" w:cs="宋体"/>
          <w:color w:val="auto"/>
          <w:sz w:val="24"/>
          <w:szCs w:val="24"/>
          <w:highlight w:val="none"/>
        </w:rPr>
      </w:r>
      <w:r/>
    </w:p>
    <w:p>
      <w:pPr>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jc w:val="center"/>
        <w:keepLines/>
        <w:keepNext/>
        <w:spacing w:before="260" w:after="26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0"/>
      </w:pPr>
      <w:r/>
      <w:bookmarkStart w:id="213" w:name="_Toc3481"/>
      <w:r>
        <w:rPr>
          <w:rFonts w:hint="eastAsia" w:ascii="宋体" w:hAnsi="宋体" w:eastAsia="宋体" w:cs="宋体"/>
          <w:b/>
          <w:bCs/>
          <w:color w:val="auto"/>
          <w:sz w:val="24"/>
          <w:szCs w:val="24"/>
          <w:highlight w:val="none"/>
          <w:lang w:val="en-US" w:eastAsia="zh-CN" w:bidi="ar-SA"/>
        </w:rPr>
        <w:t xml:space="preserve">第二部分 通用合同条款</w:t>
      </w:r>
      <w:bookmarkEnd w:id="213"/>
      <w:r/>
      <w:r/>
    </w:p>
    <w:p>
      <w:pPr>
        <w:jc w:val="center"/>
        <w:keepLines/>
        <w:keepNext/>
        <w:spacing w:before="260" w:after="260" w:line="520" w:lineRule="exact"/>
        <w:shd w:val="clear" w:color="auto" w:fill="auto"/>
        <w:widowControl w:val="off"/>
        <w:rPr>
          <w:rFonts w:hint="eastAsia" w:ascii="宋体" w:hAnsi="宋体" w:eastAsia="宋体" w:cs="宋体"/>
          <w:b w:val="0"/>
          <w:bCs/>
          <w:color w:val="auto"/>
          <w:sz w:val="24"/>
          <w:szCs w:val="24"/>
          <w:highlight w:val="none"/>
          <w:u w:val="single"/>
          <w:lang w:val="en-US" w:eastAsia="zh-CN" w:bidi="ar-SA"/>
        </w:rPr>
        <w:outlineLvl w:val="0"/>
      </w:pPr>
      <w:r/>
      <w:bookmarkStart w:id="214" w:name="_Toc5740"/>
      <w:r>
        <w:rPr>
          <w:rFonts w:hint="eastAsia" w:ascii="宋体" w:hAnsi="宋体" w:eastAsia="宋体" w:cs="宋体"/>
          <w:b w:val="0"/>
          <w:bCs/>
          <w:color w:val="auto"/>
          <w:sz w:val="24"/>
          <w:szCs w:val="24"/>
          <w:highlight w:val="none"/>
          <w:u w:val="single"/>
          <w:lang w:val="en-US" w:eastAsia="zh-CN" w:bidi="ar-SA"/>
        </w:rPr>
        <w:t xml:space="preserve">执行《建设工程施工合同（示范文本）》（GF-2017-0201）第二部分通用合同条款。</w:t>
      </w:r>
      <w:bookmarkEnd w:id="214"/>
      <w:r/>
      <w:r/>
    </w:p>
    <w:p>
      <w:pPr>
        <w:jc w:val="center"/>
        <w:keepLines/>
        <w:keepNext/>
        <w:spacing w:before="260" w:after="26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0"/>
      </w:pPr>
      <w:r/>
      <w:bookmarkStart w:id="215" w:name="_Toc1433"/>
      <w:r>
        <w:rPr>
          <w:rFonts w:hint="eastAsia" w:ascii="宋体" w:hAnsi="宋体" w:eastAsia="宋体" w:cs="宋体"/>
          <w:b/>
          <w:bCs/>
          <w:color w:val="auto"/>
          <w:sz w:val="24"/>
          <w:szCs w:val="24"/>
          <w:highlight w:val="none"/>
          <w:lang w:val="en-US" w:eastAsia="zh-CN" w:bidi="ar-SA"/>
        </w:rPr>
        <w:t xml:space="preserve">第三部分 专用合同条款</w:t>
      </w:r>
      <w:bookmarkEnd w:id="215"/>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 一般约定</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 词语定义</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1.1.1合同</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1.1.1.10其他合同文件包括：</w:t>
      </w:r>
      <w:r>
        <w:rPr>
          <w:rFonts w:hint="eastAsia" w:ascii="宋体" w:hAnsi="宋体" w:eastAsia="宋体" w:cs="宋体"/>
          <w:color w:val="auto"/>
          <w:sz w:val="24"/>
          <w:szCs w:val="24"/>
          <w:highlight w:val="none"/>
          <w:u w:val="single"/>
          <w:lang w:val="en-US" w:eastAsia="zh-CN" w:bidi="ar-SA"/>
        </w:rPr>
        <w:t xml:space="preserve">(1) 施工采购文件（包括修改澄清通知）及答疑、响应文件及附件；(2)明确双方权利、义务的纪要、协议；（3）双方有关工程的合同洽商、变更等书面协议或文件等。</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 合同当事人及其他相关方</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1.1.2.4监理人：</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资质类别和等级：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1.1.2.5 设计人：</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资质类别和等级：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 工程和设备</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1.1.3.7 作为施工现场组成部分的其他场所包括：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1.1.3.9 永久占地包括：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1.1.3.10 临时占地包括：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1.3法律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适用于合同的其他规范性文件：</w:t>
      </w:r>
      <w:r>
        <w:rPr>
          <w:rFonts w:hint="eastAsia" w:ascii="宋体" w:hAnsi="宋体" w:eastAsia="宋体" w:cs="宋体"/>
          <w:color w:val="auto"/>
          <w:sz w:val="24"/>
          <w:szCs w:val="24"/>
          <w:highlight w:val="none"/>
          <w:u w:val="single"/>
          <w:lang w:val="en-US" w:eastAsia="zh-CN" w:bidi="ar-SA"/>
        </w:rPr>
        <w:t xml:space="preserve">中华人民共和国法律、行政法规、部门规章，以及工程所在地的地方性法规、自治条例、单行条例和地方政府规章等，如《中华人民共和国民法典》、《中华人民共和国建筑法》、《中华人民共和国招标投标法》、《中华人民共和国招标投标法实施条例》《建设工程质量管理条例》、《中华人民共和国增值税条例及实施细则》等。</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 标准和规范</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1.4.1适用于工程的标准规范包括：</w:t>
      </w:r>
      <w:r>
        <w:rPr>
          <w:rFonts w:hint="eastAsia" w:ascii="宋体" w:hAnsi="宋体" w:eastAsia="宋体" w:cs="宋体"/>
          <w:color w:val="auto"/>
          <w:sz w:val="24"/>
          <w:szCs w:val="24"/>
          <w:highlight w:val="none"/>
          <w:u w:val="single"/>
          <w:lang w:val="en-US" w:eastAsia="zh-CN" w:bidi="ar-SA"/>
        </w:rPr>
        <w:t xml:space="preserve">适用于本工程的国家标准、行业标准、工程所在地的地方性标准，以及相应的规范、规程等。设计文件列明的相关规范，标准、图集、规程及本工程涉及的验收规范，标准等。</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1.4.2 发包人提供国外标准、规范的名称：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发包人提供国外标准、规范的份数：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发包人提供国外标准、规范的名称：</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1.4.3发包人对工程的技术标准和功能要求的特殊要求：</w:t>
      </w:r>
      <w:r/>
    </w:p>
    <w:p>
      <w:pPr>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 合同文件的优先顺序</w:t>
      </w:r>
      <w:r/>
    </w:p>
    <w:p>
      <w:pPr>
        <w:ind w:firstLine="480"/>
        <w:jc w:val="both"/>
        <w:spacing w:line="36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合同文件组成及优先顺序为：</w:t>
      </w:r>
      <w:r>
        <w:rPr>
          <w:rFonts w:hint="eastAsia" w:ascii="宋体" w:hAnsi="宋体" w:eastAsia="宋体" w:cs="宋体"/>
          <w:color w:val="auto"/>
          <w:sz w:val="24"/>
          <w:szCs w:val="24"/>
          <w:highlight w:val="none"/>
          <w:u w:val="single"/>
          <w:lang w:val="en-US" w:eastAsia="zh-CN" w:bidi="ar-SA"/>
        </w:rPr>
        <w:t xml:space="preserve">（1）本合同协议书；（2）中标通知书；（3）投标函及投标函附录；（4）本合同专用条款；（5）本合同通用条款；（6）技术标准和要求；（7）图纸；（8）已标价工程量清单；（9）工程报价单或预算书；（10）其他合同文件。</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 图纸和承包人文件</w:t>
      </w:r>
      <w:r>
        <w:rPr>
          <w:rFonts w:hint="eastAsia" w:ascii="宋体" w:hAnsi="宋体" w:eastAsia="宋体" w:cs="宋体"/>
          <w:color w:val="auto"/>
          <w:sz w:val="24"/>
          <w:szCs w:val="24"/>
          <w:highlight w:val="none"/>
          <w:lang w:val="en-US" w:eastAsia="zh-CN" w:bidi="ar-SA"/>
        </w:rPr>
        <w:tab/>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 图纸的提供</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发包人向承包人提供图纸的期限：</w:t>
      </w:r>
      <w:r>
        <w:rPr>
          <w:rFonts w:hint="eastAsia" w:ascii="宋体" w:hAnsi="宋体" w:eastAsia="宋体" w:cs="宋体"/>
          <w:color w:val="auto"/>
          <w:sz w:val="24"/>
          <w:szCs w:val="24"/>
          <w:highlight w:val="none"/>
          <w:u w:val="single"/>
          <w:lang w:val="en-US" w:eastAsia="zh-CN" w:bidi="ar-SA"/>
        </w:rPr>
        <w:t xml:space="preserve">开工前7日内</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发包人向承包人提供图纸的数量：</w:t>
      </w:r>
      <w:r>
        <w:rPr>
          <w:rFonts w:hint="eastAsia" w:ascii="宋体" w:hAnsi="宋体" w:eastAsia="宋体" w:cs="宋体"/>
          <w:color w:val="auto"/>
          <w:sz w:val="24"/>
          <w:szCs w:val="24"/>
          <w:highlight w:val="none"/>
          <w:u w:val="single"/>
          <w:lang w:val="en-US" w:eastAsia="zh-CN" w:bidi="ar-SA"/>
        </w:rPr>
        <w:t xml:space="preserve">全套施工图</w:t>
      </w:r>
      <w:r>
        <w:rPr>
          <w:rFonts w:hint="eastAsia" w:ascii="宋体" w:hAnsi="宋体" w:eastAsia="宋体" w:cs="宋体"/>
          <w:bCs/>
          <w:color w:val="auto"/>
          <w:sz w:val="24"/>
          <w:szCs w:val="24"/>
          <w:highlight w:val="none"/>
          <w:u w:val="single"/>
          <w:lang w:val="en-US" w:eastAsia="zh-CN" w:bidi="ar-SA"/>
        </w:rPr>
        <w:t xml:space="preserve">贰</w:t>
      </w:r>
      <w:r>
        <w:rPr>
          <w:rFonts w:hint="eastAsia" w:ascii="宋体" w:hAnsi="宋体" w:eastAsia="宋体" w:cs="宋体"/>
          <w:color w:val="auto"/>
          <w:sz w:val="24"/>
          <w:szCs w:val="24"/>
          <w:highlight w:val="none"/>
          <w:u w:val="single"/>
          <w:lang w:val="en-US" w:eastAsia="zh-CN" w:bidi="ar-SA"/>
        </w:rPr>
        <w:t xml:space="preserve">套，如承包人需增加图纸份数，可自行复制，复制费用由承包人承担</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发包人向承包人提供图纸的内容：</w:t>
      </w:r>
      <w:r>
        <w:rPr>
          <w:rFonts w:hint="eastAsia" w:ascii="宋体" w:hAnsi="宋体" w:eastAsia="宋体" w:cs="宋体"/>
          <w:color w:val="auto"/>
          <w:sz w:val="24"/>
          <w:szCs w:val="24"/>
          <w:highlight w:val="none"/>
          <w:u w:val="single"/>
          <w:lang w:val="en-US" w:eastAsia="zh-CN" w:bidi="ar-SA"/>
        </w:rPr>
        <w:t xml:space="preserve">与本合同工程内容相关的图纸，承包人收到图纸后应认真核对，如发现有明显错误或遗漏，应立即以书面形式报告发包人，否则应承担全部责任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1.6.4 承包人文件</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需要由承包人提供的文件，包括：</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（1）用于办理备案的企业及项目部相关人员资质证书、设备的合格证等；</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每月25日前按发包人及监理人要求提供已完工程量报表（含工程变更及签证预算），每月25日前提供下月施工进度计划、材料供应计划、承包人采购材料计划清单、发包人供应的设备进场计划、劳动力及用款计划等发包人需要的各种报表，每周按项目部要求报周进度计划，以上计划及报表必须经监理工程师签字认可后报发包人；</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（3）按发包人要求必须提供的已购材料清单等其他文件。未经发包人同意，其施工方案不允许做与投标方案有实质性不同的修改。如有修改，必须经发包人及监理人批准后方可实施，否则不予认可。</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承包人提供的文件的数量为：</w:t>
      </w:r>
      <w:r>
        <w:rPr>
          <w:rFonts w:hint="eastAsia" w:ascii="宋体" w:hAnsi="宋体" w:eastAsia="宋体" w:cs="宋体"/>
          <w:color w:val="auto"/>
          <w:sz w:val="24"/>
          <w:szCs w:val="24"/>
          <w:highlight w:val="none"/>
          <w:u w:val="single"/>
          <w:lang w:val="en-US" w:eastAsia="zh-CN" w:bidi="ar-SA"/>
        </w:rPr>
        <w:t xml:space="preserve"> 一式陆份，如提供的份数无法满足需求，承包人需无偿另行提供，承包人需一并提供上述资料的电子版文件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承包人提供的文件的形式为：</w:t>
      </w:r>
      <w:r>
        <w:rPr>
          <w:rFonts w:hint="eastAsia" w:ascii="宋体" w:hAnsi="宋体" w:eastAsia="宋体" w:cs="宋体"/>
          <w:color w:val="auto"/>
          <w:sz w:val="24"/>
          <w:szCs w:val="24"/>
          <w:highlight w:val="none"/>
          <w:u w:val="single"/>
          <w:lang w:val="en-US" w:eastAsia="zh-CN" w:bidi="ar-SA"/>
        </w:rPr>
        <w:t xml:space="preserve">纸质加盖承包人公章。</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发包人审批承包人文件的期限：</w:t>
      </w:r>
      <w:r>
        <w:rPr>
          <w:rFonts w:hint="eastAsia" w:ascii="宋体" w:hAnsi="宋体" w:eastAsia="宋体" w:cs="宋体"/>
          <w:color w:val="auto"/>
          <w:sz w:val="24"/>
          <w:szCs w:val="24"/>
          <w:highlight w:val="none"/>
          <w:u w:val="single"/>
          <w:lang w:val="en-US" w:eastAsia="zh-CN" w:bidi="ar-SA"/>
        </w:rPr>
        <w:t xml:space="preserve">承包人提交文件（文件需齐全、有效），经监理人上报发包人后7日内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1.6.5 现场图纸准备</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关于现场图纸准备的约定：</w:t>
      </w:r>
      <w:r>
        <w:rPr>
          <w:rFonts w:hint="eastAsia" w:ascii="宋体" w:hAnsi="宋体" w:eastAsia="宋体" w:cs="宋体"/>
          <w:color w:val="auto"/>
          <w:sz w:val="24"/>
          <w:szCs w:val="24"/>
          <w:highlight w:val="none"/>
          <w:u w:val="single"/>
          <w:lang w:val="en-US" w:eastAsia="zh-CN" w:bidi="ar-SA"/>
        </w:rPr>
        <w:t xml:space="preserve">由监理人在现场保管一套完整的施工图，供发包人、监理人及有关人员进行工程检查等活动使用</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1.7 联络</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1.7.1发包人和承包人应当在</w:t>
      </w:r>
      <w:r>
        <w:rPr>
          <w:rFonts w:hint="eastAsia" w:ascii="宋体" w:hAnsi="宋体" w:eastAsia="宋体" w:cs="宋体"/>
          <w:color w:val="auto"/>
          <w:sz w:val="24"/>
          <w:szCs w:val="24"/>
          <w:highlight w:val="none"/>
          <w:u w:val="single"/>
          <w:lang w:val="en-US" w:eastAsia="zh-CN" w:bidi="ar-SA"/>
        </w:rPr>
        <w:t xml:space="preserve">7</w:t>
      </w:r>
      <w:r>
        <w:rPr>
          <w:rFonts w:hint="eastAsia" w:ascii="宋体" w:hAnsi="宋体" w:eastAsia="宋体" w:cs="宋体"/>
          <w:color w:val="auto"/>
          <w:sz w:val="24"/>
          <w:szCs w:val="24"/>
          <w:highlight w:val="none"/>
          <w:lang w:val="en-US" w:eastAsia="zh-CN" w:bidi="ar-SA"/>
        </w:rPr>
        <w:t xml:space="preserve">天内将与合同有关的通知、批准、证明、证书、指示、指令、要求、请求、同意、意见、确定和决定等书面函件送达对方当事人。</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1.7.2 发包人接收文件的地点：</w:t>
      </w:r>
      <w:r>
        <w:rPr>
          <w:rFonts w:hint="eastAsia" w:ascii="宋体" w:hAnsi="宋体" w:eastAsia="宋体" w:cs="宋体"/>
          <w:bCs/>
          <w:color w:val="auto"/>
          <w:sz w:val="24"/>
          <w:szCs w:val="24"/>
          <w:highlight w:val="none"/>
          <w:u w:val="single"/>
          <w:lang w:val="en-US" w:eastAsia="zh-CN" w:bidi="ar-SA"/>
        </w:rPr>
        <w:t xml:space="preserve">宿迁学院附属学校</w:t>
      </w:r>
      <w:r>
        <w:rPr>
          <w:rFonts w:hint="eastAsia" w:ascii="宋体" w:hAnsi="宋体" w:eastAsia="宋体" w:cs="宋体"/>
          <w:bCs/>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承包人接收文件的地点：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监理人接收文件的地点：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监理人指定的接收人为：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1.10 交通运输</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1.10.1 出入现场的权利</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zh-TW" w:eastAsia="zh-TW" w:bidi="ar-SA"/>
        </w:rPr>
      </w:pPr>
      <w:r>
        <w:rPr>
          <w:rFonts w:hint="eastAsia" w:ascii="宋体" w:hAnsi="宋体" w:eastAsia="宋体" w:cs="宋体"/>
          <w:color w:val="auto"/>
          <w:sz w:val="24"/>
          <w:szCs w:val="24"/>
          <w:highlight w:val="none"/>
          <w:lang w:val="en-US" w:eastAsia="zh-CN" w:bidi="ar-SA"/>
        </w:rPr>
        <w:t xml:space="preserve">关于出入现场的权利的约定：只有项目施工人员办理许可证才能进入施工现场，其他无关人员一律不能进入施工现场，如果擅自进入现场，由此而产生的后果由承包人自行负责。出入施工现场所需的许可证手续批准权利属于发包人，承办人无条件配合。</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1.10.3 场内交通</w:t>
      </w:r>
      <w:r/>
    </w:p>
    <w:p>
      <w:pPr>
        <w:ind w:firstLine="480"/>
        <w:jc w:val="both"/>
        <w:spacing w:line="520" w:lineRule="exact"/>
        <w:shd w:val="clear" w:color="auto" w:fill="auto"/>
        <w:widowControl w:val="off"/>
        <w:rPr>
          <w:rFonts w:hint="eastAsia" w:ascii="宋体" w:hAnsi="宋体" w:eastAsia="宋体" w:cs="宋体"/>
          <w:strike/>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关于场外交通和场内交通的边界的约定：</w:t>
      </w:r>
      <w:r>
        <w:rPr>
          <w:rFonts w:hint="eastAsia" w:ascii="宋体" w:hAnsi="宋体" w:eastAsia="宋体" w:cs="宋体"/>
          <w:color w:val="auto"/>
          <w:sz w:val="24"/>
          <w:szCs w:val="24"/>
          <w:highlight w:val="none"/>
          <w:u w:val="single"/>
          <w:lang w:val="en-US" w:eastAsia="zh-CN" w:bidi="ar-SA"/>
        </w:rPr>
        <w:t xml:space="preserve">发包人在承包人进场施工前负责场外公共道路的畅通，场内交通由承包人负责。</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lang w:val="en-US" w:eastAsia="zh-CN" w:bidi="ar-SA"/>
        </w:rPr>
        <w:t xml:space="preserve">承包人自行解决</w:t>
      </w:r>
      <w:r>
        <w:rPr>
          <w:rFonts w:hint="eastAsia" w:ascii="宋体" w:hAnsi="宋体" w:eastAsia="宋体" w:cs="宋体"/>
          <w:color w:val="auto"/>
          <w:sz w:val="24"/>
          <w:szCs w:val="24"/>
          <w:highlight w:val="non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1.10.4超大件和超重件的运输</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lang w:val="en-US" w:eastAsia="zh-CN" w:bidi="ar-SA"/>
        </w:rPr>
        <w:t xml:space="preserve">承包人</w:t>
      </w:r>
      <w:r>
        <w:rPr>
          <w:rFonts w:hint="eastAsia" w:ascii="宋体" w:hAnsi="宋体" w:eastAsia="宋体" w:cs="宋体"/>
          <w:color w:val="auto"/>
          <w:sz w:val="24"/>
          <w:szCs w:val="24"/>
          <w:highlight w:val="none"/>
          <w:lang w:val="en-US" w:eastAsia="zh-CN" w:bidi="ar-SA"/>
        </w:rPr>
        <w:t xml:space="preserve">承担。</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1.11 知识产权</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lang w:val="en-US" w:eastAsia="zh-CN" w:bidi="ar-SA"/>
        </w:rPr>
        <w:t xml:space="preserve">归发包人所有</w:t>
      </w:r>
      <w:r>
        <w:rPr>
          <w:rFonts w:hint="eastAsia" w:ascii="宋体" w:hAnsi="宋体" w:eastAsia="宋体" w:cs="宋体"/>
          <w:color w:val="auto"/>
          <w:sz w:val="24"/>
          <w:szCs w:val="24"/>
          <w:highlight w:val="none"/>
          <w:u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关于发包人提供的上述文件的使用限制的要求：</w:t>
      </w:r>
      <w:r>
        <w:rPr>
          <w:rFonts w:hint="eastAsia" w:ascii="宋体" w:hAnsi="宋体" w:eastAsia="宋体" w:cs="宋体"/>
          <w:color w:val="auto"/>
          <w:sz w:val="24"/>
          <w:szCs w:val="24"/>
          <w:highlight w:val="none"/>
          <w:u w:val="single"/>
          <w:lang w:val="en-US" w:eastAsia="zh-CN" w:bidi="ar-SA"/>
        </w:rPr>
        <w:t xml:space="preserve">承包人未经发包人书面同意，不得使第三人接触本工程图纸及复印件（具体方式包括但不限于：出卖、出借、复制等），也不得做除本工程承包工作以外的任何用途。因承包人对资料保管不当、遗失、转借他人、复制等原因造成泄密后果，发包人对此保留终生追究的权利。</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lang w:val="en-US" w:eastAsia="zh-CN" w:bidi="ar-SA"/>
        </w:rPr>
        <w:t xml:space="preserve">1.11.2 关于承包人为实施工程所编制文件的著作权的归属：</w:t>
      </w:r>
      <w:r>
        <w:rPr>
          <w:rFonts w:hint="eastAsia" w:ascii="宋体" w:hAnsi="宋体" w:eastAsia="宋体" w:cs="宋体"/>
          <w:color w:val="auto"/>
          <w:sz w:val="24"/>
          <w:szCs w:val="24"/>
          <w:highlight w:val="none"/>
          <w:u w:val="single"/>
          <w:lang w:val="en-US" w:eastAsia="zh-CN" w:bidi="ar-SA"/>
        </w:rPr>
        <w:t xml:space="preserve">归发包人所有</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关于承包人提供的上述文件的使用限制的要求：</w:t>
      </w:r>
      <w:r>
        <w:rPr>
          <w:rFonts w:hint="eastAsia" w:ascii="宋体" w:hAnsi="宋体" w:eastAsia="宋体" w:cs="宋体"/>
          <w:color w:val="auto"/>
          <w:sz w:val="24"/>
          <w:szCs w:val="24"/>
          <w:highlight w:val="none"/>
          <w:u w:val="single"/>
          <w:lang w:val="en-US" w:eastAsia="zh-CN" w:bidi="ar-SA"/>
        </w:rPr>
        <w:t xml:space="preserve">不得用于与本工程无关的一切事宜。</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lang w:val="en-US" w:eastAsia="zh-CN" w:bidi="ar-SA"/>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lang w:val="en-US" w:eastAsia="zh-CN" w:bidi="ar-SA"/>
        </w:rPr>
        <w:t xml:space="preserve">由承包人承担，已含在签约合同价中，结算时不予调整。</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1.13工程量清单错误的修正</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出现工程量清单错误时，是否调整合同价格：</w:t>
      </w:r>
      <w:r>
        <w:rPr>
          <w:rFonts w:hint="eastAsia" w:ascii="宋体" w:hAnsi="宋体" w:eastAsia="宋体" w:cs="宋体"/>
          <w:color w:val="auto"/>
          <w:sz w:val="24"/>
          <w:szCs w:val="24"/>
          <w:highlight w:val="none"/>
          <w:u w:val="single"/>
          <w:lang w:val="en-US" w:eastAsia="zh-CN" w:bidi="ar-SA"/>
        </w:rPr>
        <w:t xml:space="preserve">是</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允许调整合同价格的工程量偏差范围：</w:t>
      </w:r>
      <w:r>
        <w:rPr>
          <w:rFonts w:hint="eastAsia" w:ascii="宋体" w:hAnsi="宋体" w:eastAsia="宋体" w:cs="宋体"/>
          <w:color w:val="auto"/>
          <w:sz w:val="24"/>
          <w:szCs w:val="24"/>
          <w:highlight w:val="none"/>
          <w:u w:val="single"/>
          <w:lang w:val="zh-CN" w:eastAsia="zh-CN" w:bidi="zh-CN"/>
        </w:rPr>
        <w:t xml:space="preserve"> （1）工程量清单存在缺项、漏项的；（2）未按照国家现行计量规范强制性规定计量的；（3）工程量清单偏差超出约定的工程量偏差范围的。</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 发包人</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2.2 发包人代表</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发包人代表：</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发包人对发包人代表的授权范围如下：</w:t>
      </w:r>
      <w:r>
        <w:rPr>
          <w:rFonts w:hint="eastAsia" w:ascii="宋体" w:hAnsi="宋体" w:eastAsia="宋体" w:cs="宋体"/>
          <w:color w:val="auto"/>
          <w:sz w:val="24"/>
          <w:szCs w:val="24"/>
          <w:highlight w:val="none"/>
          <w:u w:val="single"/>
          <w:lang w:val="en-US" w:eastAsia="zh-CN" w:bidi="ar-SA"/>
        </w:rPr>
        <w:t xml:space="preserve">施工组织设计和总进度计划的审批权、工程变更、签证的确认权、发布开工令、停工令、复工令权、工程款的审查权和支付权、特殊及重要施工工艺和材料发包、参与建筑材料价格的确认、合同的解释等。</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 施工现场、施工条件和基础资料的提供</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2.4.1 提供施工现场</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关于发包人移交施工现场的期限要求：</w:t>
      </w:r>
      <w:r>
        <w:rPr>
          <w:rFonts w:hint="eastAsia" w:ascii="宋体" w:hAnsi="宋体" w:eastAsia="宋体" w:cs="宋体"/>
          <w:color w:val="auto"/>
          <w:sz w:val="24"/>
          <w:szCs w:val="24"/>
          <w:highlight w:val="none"/>
          <w:u w:val="single"/>
          <w:lang w:val="en-US" w:eastAsia="zh-CN" w:bidi="ar-SA"/>
        </w:rPr>
        <w:t xml:space="preserve">根据工程进展实际需求，按发包人通知要求执行。</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2.4.2 提供施工条件</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发包人提供现有施工场地条件，承包人自行现场踏勘，根据实际施工条件自行负责，工作条件自行解决，所需费用由承包人承担。</w:t>
      </w:r>
      <w:r/>
    </w:p>
    <w:p>
      <w:pPr>
        <w:ind w:firstLine="480"/>
        <w:jc w:val="both"/>
        <w:spacing w:line="520" w:lineRule="exact"/>
        <w:shd w:val="clear" w:color="auto" w:fill="auto"/>
        <w:widowControl w:val="off"/>
        <w:rPr>
          <w:rFonts w:hint="eastAsia" w:ascii="Calibri" w:hAnsi="Calibri" w:eastAsia="宋体" w:cs="仿宋"/>
          <w:color w:val="auto"/>
          <w:sz w:val="20"/>
          <w:szCs w:val="21"/>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（2）施工所需临时用电，临时用水已接入现场,现场临时通讯线路承包人负责审批、接入，费用由承包人承担，发包人不再另行支付。</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（3）关于材料场地及办公用地由承包人根据现场条件自行负责 。</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（4）如现场现有施工用电源不能满足现场施工要求，须增加的电源供应负荷由承包人自行解决，所需费用由承包人承担。</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（5）发包人提供现有的施工场内交通条件，不额外提供正常施工所需要的进入施工现场的交通条件，由承包人自行解决，承包人应在投标报价中综合考虑本条款所述费用，发包人不再另行支付。</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2.5 资金来源证明及支付担保</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发包人提供资金来源证明的期限要求：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发包人是否提供支付担保：</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发包人提供支付担保的形式：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before="120" w:after="120" w:line="520" w:lineRule="exact"/>
        <w:shd w:val="clear" w:color="auto" w:fill="auto"/>
        <w:widowControl w:val="off"/>
        <w:rPr>
          <w:rFonts w:hint="eastAsia" w:ascii="宋体" w:hAnsi="宋体" w:eastAsia="宋体" w:cs="宋体"/>
          <w:b w:val="0"/>
          <w:color w:val="auto"/>
          <w:sz w:val="24"/>
          <w:szCs w:val="24"/>
          <w:highlight w:val="none"/>
          <w:lang w:val="en-US" w:eastAsia="zh-CN" w:bidi="ar-SA"/>
        </w:rPr>
        <w:outlineLvl w:val="9"/>
      </w:pPr>
      <w:r>
        <w:rPr>
          <w:rFonts w:hint="eastAsia" w:ascii="宋体" w:hAnsi="宋体" w:eastAsia="宋体" w:cs="宋体"/>
          <w:b w:val="0"/>
          <w:color w:val="auto"/>
          <w:sz w:val="24"/>
          <w:szCs w:val="24"/>
          <w:highlight w:val="none"/>
          <w:lang w:val="en-US" w:eastAsia="zh-CN" w:bidi="ar-SA"/>
        </w:rPr>
        <w:t xml:space="preserve">3. 承包人</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 承包人的一般义务</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承包人提交的竣工资料的内容：</w:t>
      </w:r>
      <w:r>
        <w:rPr>
          <w:rFonts w:hint="eastAsia" w:ascii="宋体" w:hAnsi="宋体" w:eastAsia="宋体" w:cs="宋体"/>
          <w:color w:val="auto"/>
          <w:sz w:val="24"/>
          <w:szCs w:val="24"/>
          <w:highlight w:val="none"/>
          <w:u w:val="single"/>
          <w:lang w:val="en-US" w:eastAsia="zh-CN" w:bidi="ar-SA"/>
        </w:rPr>
        <w:t xml:space="preserve"> 工程建设项目竣工验收前，承包人应根据合同工作内容及发包人要求，整理竣工验收资料（含竣工图），竣工图纸和资料必须符合城建备案、相关法律规范和发包人要求，汇总为完整的建设项目竣工资料一式陆套报发包人。并配合总承包人及发包人完成城建备案，并按发包人要求移交相关过程管理资料。否则每迟一天向发包人支付合同价款千分之一的违约金</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承包人需要提交的竣工资料套数：</w:t>
      </w:r>
      <w:r>
        <w:rPr>
          <w:rFonts w:hint="eastAsia" w:ascii="宋体" w:hAnsi="宋体" w:eastAsia="宋体" w:cs="宋体"/>
          <w:color w:val="auto"/>
          <w:sz w:val="24"/>
          <w:szCs w:val="24"/>
          <w:highlight w:val="none"/>
          <w:u w:val="single"/>
          <w:lang w:val="en-US" w:eastAsia="zh-CN" w:bidi="ar-SA"/>
        </w:rPr>
        <w:t xml:space="preserve">一式陆套</w:t>
      </w:r>
      <w:r>
        <w:rPr>
          <w:rFonts w:hint="eastAsia" w:ascii="宋体" w:hAnsi="宋体" w:eastAsia="宋体" w:cs="宋体"/>
          <w:color w:val="auto"/>
          <w:sz w:val="24"/>
          <w:szCs w:val="24"/>
          <w:highlight w:val="none"/>
          <w:lang w:val="en-US" w:eastAsia="zh-CN" w:bidi="ar-SA"/>
        </w:rPr>
        <w:t xml:space="preserve">。</w:t>
      </w:r>
      <w:r/>
    </w:p>
    <w:p>
      <w:pPr>
        <w:ind w:left="638"/>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承包人提交的竣工资料的费用承担：</w:t>
      </w:r>
      <w:r>
        <w:rPr>
          <w:rFonts w:hint="eastAsia" w:ascii="宋体" w:hAnsi="宋体" w:eastAsia="宋体" w:cs="宋体"/>
          <w:color w:val="auto"/>
          <w:sz w:val="24"/>
          <w:szCs w:val="24"/>
          <w:highlight w:val="none"/>
          <w:u w:val="single"/>
          <w:lang w:val="en-US" w:eastAsia="zh-CN" w:bidi="ar-SA"/>
        </w:rPr>
        <w:t xml:space="preserve">由承包人承担</w:t>
      </w:r>
      <w:r>
        <w:rPr>
          <w:rFonts w:hint="eastAsia" w:ascii="宋体" w:hAnsi="宋体" w:eastAsia="宋体" w:cs="宋体"/>
          <w:color w:val="auto"/>
          <w:sz w:val="24"/>
          <w:szCs w:val="24"/>
          <w:highlight w:val="none"/>
          <w:lang w:val="en-US" w:eastAsia="zh-CN" w:bidi="ar-SA"/>
        </w:rPr>
        <w:t xml:space="preserve">。</w:t>
      </w:r>
      <w:r/>
    </w:p>
    <w:p>
      <w:pPr>
        <w:ind w:left="638"/>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承包人提交的竣工资料移交时间：</w:t>
      </w:r>
      <w:r>
        <w:rPr>
          <w:rFonts w:hint="eastAsia" w:ascii="宋体" w:hAnsi="宋体" w:eastAsia="宋体" w:cs="宋体"/>
          <w:color w:val="auto"/>
          <w:sz w:val="24"/>
          <w:szCs w:val="24"/>
          <w:highlight w:val="none"/>
          <w:u w:val="single"/>
          <w:lang w:val="en-US" w:eastAsia="zh-CN" w:bidi="ar-SA"/>
        </w:rPr>
        <w:t xml:space="preserve">竣工验收合格后30内</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承包人提交的竣工资料形式要求：</w:t>
      </w:r>
      <w:r>
        <w:rPr>
          <w:rFonts w:hint="eastAsia" w:ascii="宋体" w:hAnsi="宋体" w:eastAsia="宋体" w:cs="宋体"/>
          <w:color w:val="auto"/>
          <w:sz w:val="24"/>
          <w:szCs w:val="24"/>
          <w:highlight w:val="none"/>
          <w:u w:val="single"/>
          <w:lang w:val="en-US" w:eastAsia="zh-CN" w:bidi="ar-SA"/>
        </w:rPr>
        <w:t xml:space="preserve">书面形式及电子形式（均有）</w:t>
      </w:r>
      <w:r>
        <w:rPr>
          <w:rFonts w:hint="eastAsia" w:ascii="宋体" w:hAnsi="宋体" w:eastAsia="宋体" w:cs="宋体"/>
          <w:color w:val="auto"/>
          <w:sz w:val="24"/>
          <w:szCs w:val="24"/>
          <w:highlight w:val="none"/>
          <w:lang w:val="en-US" w:eastAsia="zh-CN" w:bidi="ar-SA"/>
        </w:rPr>
        <w:t xml:space="preserve">。</w:t>
      </w:r>
      <w:r/>
    </w:p>
    <w:p>
      <w:pPr>
        <w:ind w:firstLine="696"/>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Pr>
      <w:r>
        <w:rPr>
          <w:rFonts w:hint="eastAsia" w:ascii="宋体" w:hAnsi="宋体" w:eastAsia="宋体" w:cs="宋体"/>
          <w:color w:val="auto"/>
          <w:sz w:val="24"/>
          <w:szCs w:val="24"/>
          <w:highlight w:val="none"/>
          <w:u w:val="none"/>
          <w:shd w:val="clear" w:color="auto" w:fill="auto"/>
          <w:lang w:val="en-US" w:eastAsia="zh-CN" w:bidi="ar-SA"/>
        </w:rPr>
        <w:t xml:space="preserve">承包人应履行的其他义务：承包人除应履行按通用条款义务外，还须履行的其他义务：</w:t>
      </w:r>
      <w:r/>
    </w:p>
    <w:p>
      <w:pPr>
        <w:numPr>
          <w:ilvl w:val="0"/>
          <w:numId w:val="4"/>
        </w:numPr>
        <w:ind w:firstLine="480"/>
        <w:jc w:val="both"/>
        <w:spacing w:after="0" w:line="520" w:lineRule="exact"/>
        <w:shd w:val="clear" w:color="auto" w:fill="auto"/>
        <w:widowControl w:val="off"/>
        <w:tabs>
          <w:tab w:val="clear" w:pos="312" w:leader="none"/>
          <w:tab w:val="left" w:pos="961" w:leader="none"/>
        </w:tabs>
        <w:rPr>
          <w:rFonts w:hint="eastAsia" w:ascii="宋体" w:hAnsi="宋体" w:eastAsia="宋体" w:cs="宋体"/>
          <w:color w:val="auto"/>
          <w:sz w:val="24"/>
          <w:szCs w:val="24"/>
          <w:highlight w:val="none"/>
          <w:u w:val="none"/>
          <w:shd w:val="clear" w:color="auto" w:fill="auto"/>
          <w:lang w:val="zh-TW"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承包人在中标公告发布之日起</w:t>
      </w:r>
      <w:r>
        <w:rPr>
          <w:rFonts w:hint="eastAsia" w:ascii="宋体" w:hAnsi="宋体" w:eastAsia="宋体" w:cs="宋体"/>
          <w:b/>
          <w:bCs/>
          <w:color w:val="auto"/>
          <w:sz w:val="24"/>
          <w:szCs w:val="24"/>
          <w:highlight w:val="none"/>
          <w:u w:val="none"/>
          <w:shd w:val="clear" w:color="auto" w:fill="auto"/>
          <w:lang w:val="en-US" w:eastAsia="zh-CN" w:bidi="ar-SA"/>
        </w:rPr>
        <w:t xml:space="preserve">7</w:t>
      </w:r>
      <w:r>
        <w:rPr>
          <w:rFonts w:hint="eastAsia" w:ascii="宋体" w:hAnsi="宋体" w:eastAsia="宋体" w:cs="宋体"/>
          <w:color w:val="auto"/>
          <w:sz w:val="24"/>
          <w:szCs w:val="24"/>
          <w:highlight w:val="none"/>
          <w:u w:val="none"/>
          <w:shd w:val="clear" w:color="auto" w:fill="auto"/>
          <w:lang w:val="en-US" w:eastAsia="zh-CN" w:bidi="ar-SA"/>
        </w:rPr>
        <w:t xml:space="preserve">日历天内完成施工准备工作，包括参与配合完成设计交底和图纸会审；整理好图纸会审资料；施工组织设计/施工方案；施工进度计划：材料进场计划；施工质量、安全生产管理体系；进场道路 及水、电、通信、临设等，并提交工程开工报审表。因承包人原因使开工日期延误，逾期开工</w:t>
      </w:r>
      <w:r>
        <w:rPr>
          <w:rFonts w:hint="eastAsia" w:ascii="宋体" w:hAnsi="宋体" w:eastAsia="宋体" w:cs="宋体"/>
          <w:b/>
          <w:bCs/>
          <w:color w:val="auto"/>
          <w:sz w:val="24"/>
          <w:szCs w:val="24"/>
          <w:highlight w:val="none"/>
          <w:u w:val="none"/>
          <w:shd w:val="clear" w:color="auto" w:fill="auto"/>
          <w:lang w:val="en-US" w:eastAsia="zh-CN" w:bidi="ar-SA"/>
        </w:rPr>
        <w:t xml:space="preserve">15</w:t>
      </w:r>
      <w:r>
        <w:rPr>
          <w:rFonts w:hint="eastAsia" w:ascii="宋体" w:hAnsi="宋体" w:eastAsia="宋体" w:cs="宋体"/>
          <w:color w:val="auto"/>
          <w:sz w:val="24"/>
          <w:szCs w:val="24"/>
          <w:highlight w:val="none"/>
          <w:u w:val="none"/>
          <w:shd w:val="clear" w:color="auto" w:fill="auto"/>
          <w:lang w:val="en-US" w:eastAsia="zh-CN" w:bidi="ar-SA"/>
        </w:rPr>
        <w:t xml:space="preserve">(含) 日历天内，发包人除按2万元/日历天收取逾期开工违约金外，由此造成的工期延误和损失由承包人负责。逾期开工超过</w:t>
      </w:r>
      <w:r>
        <w:rPr>
          <w:rFonts w:hint="eastAsia" w:ascii="宋体" w:hAnsi="宋体" w:eastAsia="宋体" w:cs="宋体"/>
          <w:b/>
          <w:bCs/>
          <w:color w:val="auto"/>
          <w:sz w:val="24"/>
          <w:szCs w:val="24"/>
          <w:highlight w:val="none"/>
          <w:u w:val="none"/>
          <w:shd w:val="clear" w:color="auto" w:fill="auto"/>
          <w:lang w:val="en-US" w:eastAsia="zh-CN" w:bidi="ar-SA"/>
        </w:rPr>
        <w:t xml:space="preserve">15</w:t>
      </w:r>
      <w:r>
        <w:rPr>
          <w:rFonts w:hint="eastAsia" w:ascii="宋体" w:hAnsi="宋体" w:eastAsia="宋体" w:cs="宋体"/>
          <w:color w:val="auto"/>
          <w:sz w:val="24"/>
          <w:szCs w:val="24"/>
          <w:highlight w:val="none"/>
          <w:u w:val="none"/>
          <w:shd w:val="clear" w:color="auto" w:fill="auto"/>
          <w:lang w:val="en-US" w:eastAsia="zh-CN" w:bidi="ar-SA"/>
        </w:rPr>
        <w:t xml:space="preserve">日历天，发包人有权解除合同，由此造成的工期延误和损失由承包人负责；中标通知书发出十日内协助发包人办理施工许可证等相关行政许</w:t>
      </w:r>
      <w:r>
        <w:rPr>
          <w:rFonts w:hint="eastAsia" w:ascii="Times New Roman" w:hAnsi="Times New Roman" w:eastAsia="宋体" w:cs="宋体"/>
          <w:color w:val="auto"/>
          <w:sz w:val="24"/>
          <w:szCs w:val="24"/>
          <w:highlight w:val="none"/>
          <w:u w:val="none"/>
          <w:shd w:val="clear" w:color="auto" w:fill="auto"/>
          <w:lang w:val="en-US" w:eastAsia="zh-CN" w:bidi="ar-SA"/>
        </w:rPr>
        <w:t xml:space="preserve">可。</w:t>
      </w:r>
      <w:r/>
    </w:p>
    <w:p>
      <w:pPr>
        <w:numPr>
          <w:ilvl w:val="0"/>
          <w:numId w:val="5"/>
        </w:numPr>
        <w:ind w:firstLine="480"/>
        <w:jc w:val="both"/>
        <w:spacing w:after="0" w:line="520" w:lineRule="exact"/>
        <w:shd w:val="clear" w:color="auto" w:fill="auto"/>
        <w:widowControl w:val="off"/>
        <w:tabs>
          <w:tab w:val="clear" w:pos="312" w:leader="none"/>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每周分别向发包人和监理单位提供详细的施工进度计划、已完工程量报表(含工程变更及签证预算)、材料进场计划、劳动力及用款计划、施工方案、安全台账、疫情防控等资料，如延误或不提供，承包人应当向发包人支付违约金</w:t>
      </w:r>
      <w:r>
        <w:rPr>
          <w:rFonts w:hint="eastAsia" w:ascii="宋体" w:hAnsi="宋体" w:eastAsia="宋体" w:cs="宋体"/>
          <w:b/>
          <w:bCs/>
          <w:color w:val="auto"/>
          <w:sz w:val="24"/>
          <w:szCs w:val="24"/>
          <w:highlight w:val="none"/>
          <w:u w:val="none"/>
          <w:shd w:val="clear" w:color="auto" w:fill="auto"/>
          <w:lang w:val="en-US" w:eastAsia="zh-CN" w:bidi="ar-SA"/>
        </w:rPr>
        <w:t xml:space="preserve">0.5</w:t>
      </w:r>
      <w:r>
        <w:rPr>
          <w:rFonts w:hint="eastAsia" w:ascii="宋体" w:hAnsi="宋体" w:eastAsia="宋体" w:cs="宋体"/>
          <w:color w:val="auto"/>
          <w:sz w:val="24"/>
          <w:szCs w:val="24"/>
          <w:highlight w:val="none"/>
          <w:u w:val="none"/>
          <w:shd w:val="clear" w:color="auto" w:fill="auto"/>
          <w:lang w:val="en-US" w:eastAsia="zh-CN" w:bidi="ar-SA"/>
        </w:rPr>
        <w:t xml:space="preserve">万元/次人民币，由此造成的 工期延误和损失由承包人负责。</w:t>
      </w:r>
      <w:r/>
    </w:p>
    <w:p>
      <w:pPr>
        <w:numPr>
          <w:ilvl w:val="0"/>
          <w:numId w:val="5"/>
        </w:numPr>
        <w:ind w:left="0" w:firstLine="480"/>
        <w:jc w:val="both"/>
        <w:spacing w:after="0" w:line="520" w:lineRule="exact"/>
        <w:shd w:val="clear" w:color="auto" w:fill="auto"/>
        <w:widowControl w:val="off"/>
        <w:tabs>
          <w:tab w:val="clear" w:pos="312" w:leader="none"/>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承包人进场使用的材料、设备等必须经发包人和监理单位同意后方可进场并施工，否则发包人有权不予支付相关工程款。未经发包人和监理单位同意擅自进场或使用的，承包人应当向发包人支付违约金</w:t>
      </w:r>
      <w:r>
        <w:rPr>
          <w:rFonts w:hint="eastAsia" w:ascii="宋体" w:hAnsi="宋体" w:eastAsia="宋体" w:cs="宋体"/>
          <w:b/>
          <w:bCs/>
          <w:color w:val="auto"/>
          <w:sz w:val="24"/>
          <w:szCs w:val="24"/>
          <w:highlight w:val="none"/>
          <w:u w:val="none"/>
          <w:shd w:val="clear" w:color="auto" w:fill="auto"/>
          <w:lang w:val="en-US" w:eastAsia="zh-CN" w:bidi="ar-SA"/>
        </w:rPr>
        <w:t xml:space="preserve">1</w:t>
      </w:r>
      <w:r>
        <w:rPr>
          <w:rFonts w:hint="eastAsia" w:ascii="宋体" w:hAnsi="宋体" w:eastAsia="宋体" w:cs="宋体"/>
          <w:color w:val="auto"/>
          <w:sz w:val="24"/>
          <w:szCs w:val="24"/>
          <w:highlight w:val="none"/>
          <w:u w:val="none"/>
          <w:shd w:val="clear" w:color="auto" w:fill="auto"/>
          <w:lang w:val="en-US" w:eastAsia="zh-CN" w:bidi="ar-SA"/>
        </w:rPr>
        <w:t xml:space="preserve">万元/次，由此造成的工期延误和损失由承包人负责。</w:t>
      </w:r>
      <w:r/>
    </w:p>
    <w:p>
      <w:pPr>
        <w:numPr>
          <w:ilvl w:val="0"/>
          <w:numId w:val="5"/>
        </w:numPr>
        <w:ind w:left="0" w:firstLine="480"/>
        <w:jc w:val="both"/>
        <w:keepLines w:val="0"/>
        <w:keepNext w:val="0"/>
        <w:pageBreakBefore w:val="0"/>
        <w:spacing w:after="0" w:line="520" w:lineRule="exact"/>
        <w:shd w:val="clear" w:color="auto" w:fill="auto"/>
        <w:widowControl w:val="off"/>
        <w:tabs>
          <w:tab w:val="clear" w:pos="312" w:leader="none"/>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需承包人办理的有关施工场地交通、环卫和施工噪音管理等手续，按有关规定办理，费用由承包人负责。施工中垃圾需运出施工现场外时，承包人需到相关主管部门办理相关手续并按相关主管部门指定地点放置，费用由承包人负责(包括因承包人责任所引起的处罚)</w:t>
      </w:r>
      <w:r>
        <w:rPr>
          <w:rFonts w:hint="eastAsia" w:ascii="宋体" w:hAnsi="宋体" w:eastAsia="宋体" w:cs="宋体"/>
          <w:color w:val="auto"/>
          <w:sz w:val="24"/>
          <w:szCs w:val="24"/>
          <w:highlight w:val="none"/>
          <w:u w:val="none"/>
          <w:shd w:val="clear" w:color="auto" w:fill="auto"/>
          <w:lang w:val="zh-CN" w:eastAsia="zh-CN" w:bidi="zh-CN"/>
        </w:rPr>
        <w:t xml:space="preserve">：</w:t>
      </w:r>
      <w:r>
        <w:rPr>
          <w:rFonts w:hint="eastAsia" w:ascii="宋体" w:hAnsi="宋体" w:eastAsia="宋体" w:cs="宋体"/>
          <w:color w:val="auto"/>
          <w:sz w:val="24"/>
          <w:szCs w:val="24"/>
          <w:highlight w:val="none"/>
          <w:u w:val="none"/>
          <w:shd w:val="clear" w:color="auto" w:fill="auto"/>
          <w:lang w:val="en-US" w:eastAsia="zh-CN" w:bidi="ar-SA"/>
        </w:rPr>
        <w:t xml:space="preserve">施工现场按照施工扬尘治理标准设置围墙封闭施工，围墙张贴文明标语，施工入口设置大门、车辆自动冲洗台、雾炮机、道路喷淋系统、电子显示屏等扬尘治理设施设备，达到建设工地施工扬尘、大气污染防治治理要求、《宿迁市市区扬尘污染防治标准化管理有关规定》、《宿迁市建设工地扬尘防治和指导意见》、《关于印发2022</w:t>
      </w:r>
      <w:r>
        <w:rPr>
          <w:rFonts w:hint="eastAsia" w:ascii="宋体" w:hAnsi="宋体" w:eastAsia="宋体" w:cs="宋体"/>
          <w:color w:val="auto"/>
          <w:sz w:val="24"/>
          <w:szCs w:val="24"/>
          <w:highlight w:val="none"/>
          <w:u w:val="none"/>
          <w:shd w:val="clear" w:color="auto" w:fill="auto"/>
          <w:lang w:val="en-US" w:eastAsia="zh-CN" w:bidi="ar-SA"/>
        </w:rPr>
        <w:t xml:space="preserve">年宿迁市扬尘污染专项整治工作方案的通知》要求，以上所有费用包含在合同价款内不另计。</w:t>
      </w:r>
      <w:r>
        <w:rPr>
          <w:rFonts w:hint="eastAsia" w:ascii="宋体" w:hAnsi="宋体" w:cs="宋体"/>
          <w:color w:val="auto"/>
          <w:sz w:val="24"/>
          <w:szCs w:val="24"/>
          <w:highlight w:val="none"/>
          <w:u w:val="none"/>
          <w:shd w:val="clear" w:color="auto" w:fill="auto"/>
          <w:lang w:val="en-US" w:eastAsia="zh-CN" w:bidi="ar-SA"/>
        </w:rPr>
        <w:t xml:space="preserve">（5）</w:t>
      </w:r>
      <w:r>
        <w:rPr>
          <w:rFonts w:hint="eastAsia" w:ascii="宋体" w:hAnsi="宋体" w:eastAsia="宋体" w:cs="宋体"/>
          <w:color w:val="auto"/>
          <w:sz w:val="24"/>
          <w:szCs w:val="24"/>
          <w:highlight w:val="none"/>
          <w:u w:val="none"/>
          <w:shd w:val="clear" w:color="auto" w:fill="auto"/>
          <w:lang w:val="en-US" w:eastAsia="zh-CN" w:bidi="ar-SA"/>
        </w:rPr>
        <w:t xml:space="preserve">施工过程中应采用样板引路，采取挂牌标识，严格质量责任，建立健全质量管理体系。否则，承包人应向发包人支付人民币1万元/次的违约金。</w:t>
      </w:r>
      <w:r/>
    </w:p>
    <w:p>
      <w:pPr>
        <w:numPr>
          <w:numId w:val="0"/>
        </w:numPr>
        <w:ind w:firstLine="480"/>
        <w:jc w:val="both"/>
        <w:keepLines w:val="0"/>
        <w:keepNext w:val="0"/>
        <w:pageBreakBefore w:val="0"/>
        <w:spacing w:after="0" w:line="520" w:lineRule="exact"/>
        <w:shd w:val="clear" w:color="auto" w:fill="auto"/>
        <w:widowControl w:val="off"/>
        <w:tabs>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（6）</w:t>
      </w:r>
      <w:r>
        <w:rPr>
          <w:rFonts w:hint="eastAsia" w:ascii="宋体" w:hAnsi="宋体" w:eastAsia="宋体" w:cs="宋体"/>
          <w:color w:val="auto"/>
          <w:sz w:val="24"/>
          <w:szCs w:val="24"/>
          <w:highlight w:val="none"/>
          <w:u w:val="none"/>
          <w:shd w:val="clear" w:color="auto" w:fill="auto"/>
          <w:lang w:val="en-US" w:eastAsia="zh-CN" w:bidi="ar-SA"/>
        </w:rPr>
        <w:t xml:space="preserve">自觉接受发包人及委托管理、监理单位的监督管理，参加发包人和监理组织的工地例会，及时报告工程情况，并接受整改要求。否则，承包人应向发包人支付人民币</w:t>
      </w:r>
      <w:r>
        <w:rPr>
          <w:rFonts w:hint="eastAsia" w:ascii="宋体" w:hAnsi="宋体" w:eastAsia="宋体" w:cs="宋体"/>
          <w:b/>
          <w:bCs/>
          <w:color w:val="auto"/>
          <w:sz w:val="24"/>
          <w:szCs w:val="24"/>
          <w:highlight w:val="none"/>
          <w:u w:val="none"/>
          <w:shd w:val="clear" w:color="auto" w:fill="auto"/>
          <w:lang w:val="en-US" w:eastAsia="zh-CN" w:bidi="ar-SA"/>
        </w:rPr>
        <w:t xml:space="preserve">1</w:t>
      </w:r>
      <w:r>
        <w:rPr>
          <w:rFonts w:hint="eastAsia" w:ascii="宋体" w:hAnsi="宋体" w:eastAsia="宋体" w:cs="宋体"/>
          <w:color w:val="auto"/>
          <w:sz w:val="24"/>
          <w:szCs w:val="24"/>
          <w:highlight w:val="none"/>
          <w:u w:val="none"/>
          <w:shd w:val="clear" w:color="auto" w:fill="auto"/>
          <w:lang w:val="en-US" w:eastAsia="zh-CN" w:bidi="ar-SA"/>
        </w:rPr>
        <w:t xml:space="preserve">万元/次的违约金。</w:t>
      </w:r>
      <w:r/>
    </w:p>
    <w:p>
      <w:pPr>
        <w:numPr>
          <w:numId w:val="0"/>
        </w:numPr>
        <w:ind w:firstLine="480"/>
        <w:jc w:val="both"/>
        <w:keepLines w:val="0"/>
        <w:keepNext w:val="0"/>
        <w:pageBreakBefore w:val="0"/>
        <w:spacing w:after="0" w:line="520" w:lineRule="exact"/>
        <w:shd w:val="clear" w:color="auto" w:fill="auto"/>
        <w:widowControl w:val="off"/>
        <w:tabs>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（7）</w:t>
      </w:r>
      <w:r>
        <w:rPr>
          <w:rFonts w:hint="eastAsia" w:ascii="宋体" w:hAnsi="宋体" w:eastAsia="宋体" w:cs="宋体"/>
          <w:color w:val="auto"/>
          <w:sz w:val="24"/>
          <w:szCs w:val="24"/>
          <w:highlight w:val="none"/>
          <w:u w:val="none"/>
          <w:shd w:val="clear" w:color="auto" w:fill="auto"/>
          <w:lang w:val="en-US" w:eastAsia="zh-CN" w:bidi="ar-SA"/>
        </w:rPr>
        <w:t xml:space="preserve">协调处理好各种公共关系，承担因承包人责任引发的民事纠纷的损失和处理工作，包括因承包人违反有关规定而导致政府相关部门的处罚，另承包人应向发包人支付人民币</w:t>
      </w:r>
      <w:r>
        <w:rPr>
          <w:rFonts w:hint="eastAsia" w:ascii="宋体" w:hAnsi="宋体" w:eastAsia="宋体" w:cs="宋体"/>
          <w:b/>
          <w:bCs/>
          <w:color w:val="auto"/>
          <w:sz w:val="24"/>
          <w:szCs w:val="24"/>
          <w:highlight w:val="none"/>
          <w:u w:val="none"/>
          <w:shd w:val="clear" w:color="auto" w:fill="auto"/>
          <w:lang w:val="en-US" w:eastAsia="zh-CN" w:bidi="ar-SA"/>
        </w:rPr>
        <w:t xml:space="preserve">1</w:t>
      </w:r>
      <w:r>
        <w:rPr>
          <w:rFonts w:hint="eastAsia" w:ascii="宋体" w:hAnsi="宋体" w:eastAsia="宋体" w:cs="宋体"/>
          <w:color w:val="auto"/>
          <w:sz w:val="24"/>
          <w:szCs w:val="24"/>
          <w:highlight w:val="none"/>
          <w:u w:val="none"/>
          <w:shd w:val="clear" w:color="auto" w:fill="auto"/>
          <w:lang w:val="en-US" w:eastAsia="zh-CN" w:bidi="ar-SA"/>
        </w:rPr>
        <w:t xml:space="preserve">万元/次的违约金。</w:t>
      </w:r>
      <w:r/>
    </w:p>
    <w:p>
      <w:pPr>
        <w:numPr>
          <w:numId w:val="0"/>
        </w:numPr>
        <w:ind w:firstLine="480"/>
        <w:jc w:val="both"/>
        <w:keepLines w:val="0"/>
        <w:keepNext w:val="0"/>
        <w:pageBreakBefore w:val="0"/>
        <w:spacing w:after="0" w:line="520" w:lineRule="exact"/>
        <w:shd w:val="clear" w:color="auto" w:fill="auto"/>
        <w:widowControl w:val="off"/>
        <w:tabs>
          <w:tab w:val="left" w:pos="961" w:leader="none"/>
        </w:tabs>
        <w:rPr>
          <w:rFonts w:hint="eastAsia" w:ascii="宋体" w:hAnsi="宋体" w:eastAsia="宋体" w:cs="宋体"/>
          <w:color w:val="auto"/>
          <w:sz w:val="24"/>
          <w:szCs w:val="24"/>
          <w:highlight w:val="none"/>
          <w:u w:val="none"/>
          <w:shd w:val="clear" w:color="auto" w:fill="auto"/>
          <w:lang w:val="en-US" w:eastAsia="zh-CN"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（8）</w:t>
      </w:r>
      <w:r>
        <w:rPr>
          <w:rFonts w:hint="eastAsia" w:ascii="宋体" w:hAnsi="宋体" w:eastAsia="宋体" w:cs="宋体"/>
          <w:color w:val="auto"/>
          <w:sz w:val="24"/>
          <w:szCs w:val="24"/>
          <w:highlight w:val="none"/>
          <w:u w:val="none"/>
          <w:shd w:val="clear" w:color="auto" w:fill="auto"/>
          <w:lang w:val="en-US" w:eastAsia="zh-CN" w:bidi="ar-SA"/>
        </w:rPr>
        <w:t xml:space="preserve">承包人需配合完成竣工验收备案和整体项目移交、档案移交及工程保修期内缺陷修复和保修工作，完成并配合发包人办理相关部门结(决)算审计等工作。档案按照省标整理、收集、归档。否则，承包人应向发包人支付人民币</w:t>
      </w:r>
      <w:r>
        <w:rPr>
          <w:rFonts w:hint="eastAsia" w:ascii="宋体" w:hAnsi="宋体" w:eastAsia="宋体" w:cs="宋体"/>
          <w:b/>
          <w:bCs/>
          <w:color w:val="auto"/>
          <w:sz w:val="24"/>
          <w:szCs w:val="24"/>
          <w:highlight w:val="none"/>
          <w:u w:val="none"/>
          <w:shd w:val="clear" w:color="auto" w:fill="auto"/>
          <w:lang w:val="en-US" w:eastAsia="zh-CN" w:bidi="ar-SA"/>
        </w:rPr>
        <w:t xml:space="preserve">1</w:t>
      </w:r>
      <w:r>
        <w:rPr>
          <w:rFonts w:hint="eastAsia" w:ascii="宋体" w:hAnsi="宋体" w:eastAsia="宋体" w:cs="宋体"/>
          <w:color w:val="auto"/>
          <w:sz w:val="24"/>
          <w:szCs w:val="24"/>
          <w:highlight w:val="none"/>
          <w:u w:val="none"/>
          <w:shd w:val="clear" w:color="auto" w:fill="auto"/>
          <w:lang w:val="en-US" w:eastAsia="zh-CN" w:bidi="ar-SA"/>
        </w:rPr>
        <w:t xml:space="preserve">万元/次的违约金。</w:t>
      </w:r>
      <w:r>
        <w:rPr>
          <w:rFonts w:hint="eastAsia" w:ascii="Times New Roman" w:hAnsi="Times New Roman" w:eastAsia="宋体" w:cs="宋体"/>
          <w:color w:val="auto"/>
          <w:sz w:val="24"/>
          <w:szCs w:val="24"/>
          <w:highlight w:val="none"/>
          <w:u w:val="none"/>
          <w:shd w:val="clear" w:color="auto" w:fill="auto"/>
          <w:lang w:val="en-US" w:eastAsia="zh-CN" w:bidi="ar-SA"/>
        </w:rPr>
        <w:t xml:space="preserve">  </w:t>
      </w:r>
      <w:r/>
    </w:p>
    <w:p>
      <w:pPr>
        <w:numPr>
          <w:numId w:val="0"/>
        </w:numPr>
        <w:ind w:firstLine="480"/>
        <w:jc w:val="both"/>
        <w:keepLines w:val="0"/>
        <w:keepNext w:val="0"/>
        <w:pageBreakBefore w:val="0"/>
        <w:spacing w:after="0" w:line="520" w:lineRule="exact"/>
        <w:shd w:val="clear" w:color="auto" w:fill="auto"/>
        <w:widowControl w:val="off"/>
        <w:tabs>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（9）</w:t>
      </w:r>
      <w:r>
        <w:rPr>
          <w:rFonts w:hint="eastAsia" w:ascii="宋体" w:hAnsi="宋体" w:eastAsia="宋体" w:cs="宋体"/>
          <w:color w:val="auto"/>
          <w:sz w:val="24"/>
          <w:szCs w:val="24"/>
          <w:highlight w:val="none"/>
          <w:u w:val="none"/>
          <w:shd w:val="clear" w:color="auto" w:fill="auto"/>
          <w:lang w:val="en-US" w:eastAsia="zh-CN" w:bidi="ar-SA"/>
        </w:rPr>
        <w:t xml:space="preserve">承包人负责采取措施保护承包范围内已完工程(包含现场其他工程)的现场保护工作，如有因施工而损毁、污损其他工程等，由承包人按实赔偿，另承包人应向发包人支付人民币2万元的违约金。如交付后，发包人要求承包人继续保护，费用另行商定；</w:t>
      </w:r>
      <w:r/>
    </w:p>
    <w:p>
      <w:pPr>
        <w:numPr>
          <w:numId w:val="0"/>
        </w:numPr>
        <w:ind w:firstLine="480"/>
        <w:jc w:val="both"/>
        <w:keepLines w:val="0"/>
        <w:keepNext w:val="0"/>
        <w:pageBreakBefore w:val="0"/>
        <w:spacing w:after="0" w:line="520" w:lineRule="exact"/>
        <w:shd w:val="clear" w:color="auto" w:fill="auto"/>
        <w:widowControl w:val="off"/>
        <w:tabs>
          <w:tab w:val="left" w:pos="961"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（10）</w:t>
      </w:r>
      <w:r>
        <w:rPr>
          <w:rFonts w:hint="eastAsia" w:ascii="宋体" w:hAnsi="宋体" w:eastAsia="宋体" w:cs="宋体"/>
          <w:color w:val="auto"/>
          <w:sz w:val="24"/>
          <w:szCs w:val="24"/>
          <w:highlight w:val="none"/>
          <w:u w:val="none"/>
          <w:shd w:val="clear" w:color="auto" w:fill="auto"/>
          <w:lang w:val="en-US" w:eastAsia="zh-CN" w:bidi="ar-SA"/>
        </w:rPr>
        <w:t xml:space="preserve">工程施工期间及工程竣工后及时清理现场，做到工完场清。否则，承包人应向发包人支付人民币</w:t>
      </w:r>
      <w:r>
        <w:rPr>
          <w:rFonts w:hint="eastAsia" w:ascii="宋体" w:hAnsi="宋体" w:eastAsia="宋体" w:cs="宋体"/>
          <w:b/>
          <w:bCs/>
          <w:color w:val="auto"/>
          <w:sz w:val="24"/>
          <w:szCs w:val="24"/>
          <w:highlight w:val="none"/>
          <w:u w:val="none"/>
          <w:shd w:val="clear" w:color="auto" w:fill="auto"/>
          <w:lang w:val="en-US" w:eastAsia="zh-CN" w:bidi="ar-SA"/>
        </w:rPr>
        <w:t xml:space="preserve">1</w:t>
      </w:r>
      <w:r>
        <w:rPr>
          <w:rFonts w:hint="eastAsia" w:ascii="宋体" w:hAnsi="宋体" w:eastAsia="宋体" w:cs="宋体"/>
          <w:color w:val="auto"/>
          <w:sz w:val="24"/>
          <w:szCs w:val="24"/>
          <w:highlight w:val="none"/>
          <w:u w:val="none"/>
          <w:shd w:val="clear" w:color="auto" w:fill="auto"/>
          <w:lang w:val="en-US" w:eastAsia="zh-CN" w:bidi="ar-SA"/>
        </w:rPr>
        <w:t xml:space="preserve">万元/次的违约金。清理现场的费用由承包人承担，包含在合同价款内，不另计。</w:t>
      </w:r>
      <w:r/>
    </w:p>
    <w:p>
      <w:pPr>
        <w:numPr>
          <w:ilvl w:val="0"/>
          <w:numId w:val="0"/>
        </w:numPr>
        <w:ind w:firstLine="480"/>
        <w:jc w:val="both"/>
        <w:keepLines w:val="0"/>
        <w:keepNext w:val="0"/>
        <w:pageBreakBefore w:val="0"/>
        <w:spacing w:after="0" w:line="520" w:lineRule="exact"/>
        <w:shd w:val="clear" w:color="auto" w:fill="auto"/>
        <w:widowControl w:val="off"/>
        <w:tabs>
          <w:tab w:val="left" w:pos="961" w:leader="none"/>
        </w:tabs>
        <w:rPr>
          <w:rFonts w:hint="eastAsia" w:ascii="宋体" w:hAnsi="宋体" w:eastAsia="宋体" w:cs="宋体"/>
          <w:color w:val="auto"/>
          <w:sz w:val="24"/>
          <w:szCs w:val="24"/>
          <w:highlight w:val="none"/>
          <w:u w:val="none"/>
          <w:shd w:val="clear" w:color="auto" w:fill="auto"/>
          <w:lang w:val="en-US" w:eastAsia="zh-CN"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（11）</w:t>
      </w:r>
      <w:r>
        <w:rPr>
          <w:rFonts w:hint="eastAsia" w:ascii="宋体" w:hAnsi="宋体" w:eastAsia="宋体" w:cs="宋体"/>
          <w:color w:val="auto"/>
          <w:sz w:val="24"/>
          <w:szCs w:val="24"/>
          <w:highlight w:val="none"/>
          <w:u w:val="none"/>
          <w:shd w:val="clear" w:color="auto" w:fill="auto"/>
          <w:lang w:val="en-US" w:eastAsia="zh-CN" w:bidi="ar-SA"/>
        </w:rPr>
        <w:t xml:space="preserve">承包人应积极参与发包人组织的各种活动，并执行工地各类会议决议要求。否则，承包人应向发包人支付人民币</w:t>
      </w:r>
      <w:r>
        <w:rPr>
          <w:rFonts w:hint="eastAsia" w:ascii="宋体" w:hAnsi="宋体" w:eastAsia="宋体" w:cs="宋体"/>
          <w:b/>
          <w:bCs/>
          <w:color w:val="auto"/>
          <w:sz w:val="24"/>
          <w:szCs w:val="24"/>
          <w:highlight w:val="none"/>
          <w:u w:val="none"/>
          <w:shd w:val="clear" w:color="auto" w:fill="auto"/>
          <w:lang w:val="en-US" w:eastAsia="zh-CN" w:bidi="ar-SA"/>
        </w:rPr>
        <w:t xml:space="preserve">1</w:t>
      </w:r>
      <w:r>
        <w:rPr>
          <w:rFonts w:hint="eastAsia" w:ascii="宋体" w:hAnsi="宋体" w:eastAsia="宋体" w:cs="宋体"/>
          <w:color w:val="auto"/>
          <w:sz w:val="24"/>
          <w:szCs w:val="24"/>
          <w:highlight w:val="none"/>
          <w:u w:val="none"/>
          <w:shd w:val="clear" w:color="auto" w:fill="auto"/>
          <w:lang w:val="en-US" w:eastAsia="zh-CN" w:bidi="ar-SA"/>
        </w:rPr>
        <w:t xml:space="preserve">万元/次的违约金。</w:t>
      </w:r>
      <w:r>
        <w:rPr>
          <w:rFonts w:hint="eastAsia" w:ascii="宋体" w:hAnsi="宋体" w:cs="宋体"/>
          <w:color w:val="auto"/>
          <w:sz w:val="24"/>
          <w:szCs w:val="24"/>
          <w:highlight w:val="none"/>
          <w:u w:val="none"/>
          <w:shd w:val="clear" w:color="auto" w:fill="auto"/>
          <w:lang w:val="en-US" w:eastAsia="zh-CN" w:bidi="ar-SA"/>
        </w:rPr>
        <w:t xml:space="preserve">（12）</w:t>
      </w:r>
      <w:r>
        <w:rPr>
          <w:rFonts w:hint="eastAsia" w:ascii="宋体" w:hAnsi="宋体" w:eastAsia="宋体" w:cs="宋体"/>
          <w:color w:val="auto"/>
          <w:sz w:val="24"/>
          <w:szCs w:val="24"/>
          <w:highlight w:val="none"/>
          <w:u w:val="none"/>
          <w:shd w:val="clear" w:color="auto" w:fill="auto"/>
          <w:lang w:val="en-US" w:eastAsia="zh-CN" w:bidi="ar-SA"/>
        </w:rPr>
        <w:t xml:space="preserve">遇危大、重大工程，承包人需提前考虑经专家审核通过后将相关完整合格资料提交给发包人及监理方。否则，承包人应向发包人支付人民币</w:t>
      </w:r>
      <w:r>
        <w:rPr>
          <w:rFonts w:hint="eastAsia" w:ascii="宋体" w:hAnsi="宋体" w:eastAsia="宋体" w:cs="宋体"/>
          <w:b/>
          <w:bCs/>
          <w:color w:val="auto"/>
          <w:sz w:val="24"/>
          <w:szCs w:val="24"/>
          <w:highlight w:val="none"/>
          <w:u w:val="none"/>
          <w:shd w:val="clear" w:color="auto" w:fill="auto"/>
          <w:lang w:val="en-US" w:eastAsia="zh-CN" w:bidi="ar-SA"/>
        </w:rPr>
        <w:t xml:space="preserve">2</w:t>
      </w:r>
      <w:r>
        <w:rPr>
          <w:rFonts w:hint="eastAsia" w:ascii="宋体" w:hAnsi="宋体" w:eastAsia="宋体" w:cs="宋体"/>
          <w:color w:val="auto"/>
          <w:sz w:val="24"/>
          <w:szCs w:val="24"/>
          <w:highlight w:val="none"/>
          <w:u w:val="none"/>
          <w:shd w:val="clear" w:color="auto" w:fill="auto"/>
          <w:lang w:val="en-US" w:eastAsia="zh-CN" w:bidi="ar-SA"/>
        </w:rPr>
        <w:t xml:space="preserve">万元/次的违约金。</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(13</w:t>
      </w:r>
      <w:r>
        <w:rPr>
          <w:rFonts w:hint="eastAsia" w:ascii="宋体" w:hAnsi="宋体" w:cs="宋体"/>
          <w:color w:val="auto"/>
          <w:sz w:val="24"/>
          <w:szCs w:val="24"/>
          <w:highlight w:val="none"/>
          <w:u w:val="none"/>
          <w:shd w:val="clear" w:color="auto" w:fill="auto"/>
          <w:lang w:val="en-US" w:eastAsia="zh-CN" w:bidi="ar-SA"/>
        </w:rPr>
        <w:t xml:space="preserve">）</w:t>
      </w:r>
      <w:r>
        <w:rPr>
          <w:rFonts w:hint="eastAsia" w:ascii="宋体" w:hAnsi="宋体" w:eastAsia="宋体" w:cs="宋体"/>
          <w:color w:val="auto"/>
          <w:sz w:val="24"/>
          <w:szCs w:val="24"/>
          <w:highlight w:val="none"/>
          <w:u w:val="none"/>
          <w:shd w:val="clear" w:color="auto" w:fill="auto"/>
          <w:lang w:val="en-US" w:eastAsia="zh-CN" w:bidi="ar-SA"/>
        </w:rPr>
        <w:t xml:space="preserve">对发包人和监理人交办的合理事项或者问题整改，不能在合理规定的期限内完成，延期向发包人支付违约金1000元/天/项。</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（14）发包人出具的工程联系单必须在规定的时间内给予回复，延期向发包人支付违约金1000元/天/份。</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cs="宋体"/>
          <w:color w:val="auto"/>
          <w:sz w:val="24"/>
          <w:szCs w:val="24"/>
          <w:highlight w:val="none"/>
          <w:u w:val="none"/>
          <w:shd w:val="clear" w:color="auto" w:fill="auto"/>
          <w:lang w:val="en-US" w:eastAsia="zh-CN" w:bidi="ar-SA"/>
        </w:rPr>
        <w:t xml:space="preserve">（15）</w:t>
      </w:r>
      <w:r>
        <w:rPr>
          <w:rFonts w:hint="eastAsia" w:ascii="宋体" w:hAnsi="宋体" w:eastAsia="宋体" w:cs="宋体"/>
          <w:color w:val="auto"/>
          <w:sz w:val="24"/>
          <w:szCs w:val="24"/>
          <w:highlight w:val="none"/>
          <w:u w:val="none"/>
          <w:shd w:val="clear" w:color="auto" w:fill="auto"/>
          <w:lang w:val="en-US" w:eastAsia="zh-CN" w:bidi="ar-SA"/>
        </w:rPr>
        <w:t xml:space="preserve">承包人应按图纸施工，如与别的参建单位有配合的施工内容，承包人须确保配合内容合格且满足下道工序施工要求，否则由此一切后果由承包人自行承担。</w:t>
      </w:r>
      <w:r/>
    </w:p>
    <w:p>
      <w:pPr>
        <w:ind w:firstLine="40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（16）各级政府相关管理部门对施工现场进行的有关建筑工程安全防护、文明施工的各种检查而发生的费用，无论在投标报价中是否单独列出均由承包人承担；</w:t>
      </w:r>
      <w:r/>
    </w:p>
    <w:p>
      <w:pPr>
        <w:ind w:firstLine="40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17）承包人应严格按照《保障农民工工资支付条例》、建市〔2019〕18号文《建筑工人实名制管理办法（试行）》、苏建规字〔2019〕4号关于印发《江苏省建筑工人实名制管理和工资支付保障实施办法（试行）》的通知。落实实名制管理的专项责任人，落实相关设备和资金，服从主管部门的监督检查。建立农民工工资（劳务费）专用账户，实行农民工实名制管理，按月足额支付农民工工资，如果发生拖欠农民工工资的现象，发包人有权直接从工程进度款或未结清的工程款中直接扣除予以补全，但并不免除承包人应承担的责任和义务；</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w:t>
      </w:r>
      <w:r>
        <w:rPr>
          <w:rFonts w:hint="eastAsia" w:ascii="Times New Roman" w:hAnsi="Times New Roman" w:eastAsia="宋体" w:cs="宋体"/>
          <w:color w:val="auto"/>
          <w:sz w:val="24"/>
          <w:szCs w:val="24"/>
          <w:highlight w:val="none"/>
          <w:u w:val="none"/>
          <w:shd w:val="clear" w:color="auto" w:fill="auto"/>
          <w:lang w:val="en-US" w:eastAsia="zh-CN" w:bidi="ar-SA"/>
        </w:rPr>
        <w:t xml:space="preserve">18</w:t>
      </w:r>
      <w:r>
        <w:rPr>
          <w:rFonts w:hint="eastAsia" w:ascii="宋体" w:hAnsi="宋体" w:eastAsia="宋体" w:cs="宋体"/>
          <w:color w:val="auto"/>
          <w:sz w:val="24"/>
          <w:szCs w:val="24"/>
          <w:highlight w:val="none"/>
          <w:u w:val="none"/>
          <w:shd w:val="clear" w:color="auto" w:fill="auto"/>
          <w:lang w:val="en-US" w:eastAsia="zh-CN" w:bidi="ar-SA"/>
        </w:rPr>
        <w:t xml:space="preserve">)出现工程量清单描述不全或招标图纸、技术规格书与工程量清单描述不一致的，默认为承包人的报价已按标准更高或要求更高的进行了报价，承包人已在投标报价中予以考虑，相应子目单价均不作调整。</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w:t>
      </w:r>
      <w:r>
        <w:rPr>
          <w:rFonts w:hint="eastAsia" w:ascii="Times New Roman" w:hAnsi="Times New Roman" w:eastAsia="宋体" w:cs="宋体"/>
          <w:color w:val="auto"/>
          <w:sz w:val="24"/>
          <w:szCs w:val="24"/>
          <w:highlight w:val="none"/>
          <w:u w:val="none"/>
          <w:shd w:val="clear" w:color="auto" w:fill="auto"/>
          <w:lang w:val="en-US" w:eastAsia="zh-CN" w:bidi="ar-SA"/>
        </w:rPr>
        <w:t xml:space="preserve">19</w:t>
      </w:r>
      <w:r>
        <w:rPr>
          <w:rFonts w:hint="eastAsia" w:ascii="宋体" w:hAnsi="宋体" w:eastAsia="宋体" w:cs="宋体"/>
          <w:color w:val="auto"/>
          <w:sz w:val="24"/>
          <w:szCs w:val="24"/>
          <w:highlight w:val="none"/>
          <w:u w:val="none"/>
          <w:shd w:val="clear" w:color="auto" w:fill="auto"/>
          <w:lang w:val="en-US" w:eastAsia="zh-CN" w:bidi="ar-SA"/>
        </w:rPr>
        <w:t xml:space="preserve">）投标报价已经综合考虑了停电、停水、二次搬运、施工场地不足、发包人现场约束、成品保护等所需措施和维护产生一切费用, 并已考虑了各种可能影响施工的因素及其所增加的费用。</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w:t>
      </w:r>
      <w:r>
        <w:rPr>
          <w:rFonts w:hint="eastAsia" w:ascii="Times New Roman" w:hAnsi="Times New Roman" w:eastAsia="宋体" w:cs="宋体"/>
          <w:color w:val="auto"/>
          <w:sz w:val="24"/>
          <w:szCs w:val="24"/>
          <w:highlight w:val="none"/>
          <w:u w:val="none"/>
          <w:shd w:val="clear" w:color="auto" w:fill="auto"/>
          <w:lang w:val="en-US" w:eastAsia="zh-CN" w:bidi="ar-SA"/>
        </w:rPr>
        <w:t xml:space="preserve">20</w:t>
      </w:r>
      <w:r>
        <w:rPr>
          <w:rFonts w:hint="eastAsia" w:ascii="宋体" w:hAnsi="宋体" w:eastAsia="宋体" w:cs="宋体"/>
          <w:color w:val="auto"/>
          <w:sz w:val="24"/>
          <w:szCs w:val="24"/>
          <w:highlight w:val="none"/>
          <w:u w:val="none"/>
          <w:shd w:val="clear" w:color="auto" w:fill="auto"/>
          <w:lang w:val="en-US" w:eastAsia="zh-CN" w:bidi="ar-SA"/>
        </w:rPr>
        <w:t xml:space="preserve">）承包人不得造成水、电浪费，否则发包人支付违约金1000元/次。</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w:t>
      </w:r>
      <w:r>
        <w:rPr>
          <w:rFonts w:hint="eastAsia" w:ascii="Times New Roman" w:hAnsi="Times New Roman" w:eastAsia="宋体" w:cs="宋体"/>
          <w:color w:val="auto"/>
          <w:sz w:val="24"/>
          <w:szCs w:val="24"/>
          <w:highlight w:val="none"/>
          <w:u w:val="none"/>
          <w:shd w:val="clear" w:color="auto" w:fill="auto"/>
          <w:lang w:val="en-US" w:eastAsia="zh-CN" w:bidi="ar-SA"/>
        </w:rPr>
        <w:t xml:space="preserve">21</w:t>
      </w:r>
      <w:r>
        <w:rPr>
          <w:rFonts w:hint="eastAsia" w:ascii="宋体" w:hAnsi="宋体" w:eastAsia="宋体" w:cs="宋体"/>
          <w:color w:val="auto"/>
          <w:sz w:val="24"/>
          <w:szCs w:val="24"/>
          <w:highlight w:val="none"/>
          <w:u w:val="none"/>
          <w:shd w:val="clear" w:color="auto" w:fill="auto"/>
          <w:lang w:val="en-US" w:eastAsia="zh-CN" w:bidi="ar-SA"/>
        </w:rPr>
        <w:t xml:space="preserve">）凡是承包人因农民工工资问题造成的到区、市 、省、国家等政府主管部门上访、集访的，所有接访费用由承包人负责，包括发包人的接访费用，凡是拉横幅，堵大门等不文明讨薪行为的影像，图片被发布到网络等新媒体，由承包人负责删除，所有费用由承包人负责，承包人拒不支付的，由发包人根据实际产生的费用从工程款中直接抵扣。并且每发生一次区级及以上政府部门上访，处罚违约金1万元，发布网络，新媒体的，每一条信息处罚违约金2万元。</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en-US"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w:t>
      </w:r>
      <w:r>
        <w:rPr>
          <w:rFonts w:hint="eastAsia" w:ascii="Times New Roman" w:hAnsi="Times New Roman" w:eastAsia="宋体" w:cs="宋体"/>
          <w:color w:val="auto"/>
          <w:sz w:val="24"/>
          <w:szCs w:val="24"/>
          <w:highlight w:val="none"/>
          <w:u w:val="none"/>
          <w:shd w:val="clear" w:color="auto" w:fill="auto"/>
          <w:lang w:val="en-US" w:eastAsia="zh-CN" w:bidi="ar-SA"/>
        </w:rPr>
        <w:t xml:space="preserve">22</w:t>
      </w:r>
      <w:r>
        <w:rPr>
          <w:rFonts w:hint="eastAsia" w:ascii="宋体" w:hAnsi="宋体" w:eastAsia="宋体" w:cs="宋体"/>
          <w:color w:val="auto"/>
          <w:sz w:val="24"/>
          <w:szCs w:val="24"/>
          <w:highlight w:val="none"/>
          <w:u w:val="none"/>
          <w:shd w:val="clear" w:color="auto" w:fill="auto"/>
          <w:lang w:val="en-US" w:eastAsia="zh-CN" w:bidi="ar-SA"/>
        </w:rPr>
        <w:t xml:space="preserve">）其他未尽事宜另订协议。</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3.2 项目负责人</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身份证号：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建造师执业资格等级：</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建造师注册证书号：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建造师执业印章号：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安全生产考核合格证书号：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承包人对项目经理的授权范围如下：</w:t>
      </w:r>
      <w:r>
        <w:rPr>
          <w:rFonts w:hint="eastAsia" w:ascii="宋体" w:hAnsi="宋体" w:eastAsia="宋体" w:cs="宋体"/>
          <w:color w:val="auto"/>
          <w:sz w:val="24"/>
          <w:szCs w:val="24"/>
          <w:highlight w:val="none"/>
          <w:u w:val="single"/>
          <w:shd w:val="clear" w:color="auto" w:fill="auto"/>
          <w:lang w:val="en-US" w:eastAsia="zh-CN" w:bidi="ar-SA"/>
        </w:rPr>
        <w:t xml:space="preserve">受承包人委托全面负责工程安全、质量、进度、投资四大控制要素，完善合同、信息、组织管理体系，做好安全监督，文明标准化现场工作。代表承包人行使合同约定的承包人权利和义务，履行合同约定的承包人职责，包含不限于以下：负责统筹协调项目总体施工进度；协助全程做好驻场服务工作；负责施工过程中工程材料的调度、采购等一系列工作；保证工程进度并保证建设质量；对工程施工的质量和标准负责；参加设计交底、询价定价、工程验收；协调与项目施工有关的内、外部关系；有关工程施工过程中一切问题的提出、解释、签字等均由施工项目负责人本人承办。</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关于项目经理每月在施工现场的时间要求：</w:t>
      </w:r>
      <w:r>
        <w:rPr>
          <w:rFonts w:hint="eastAsia" w:ascii="宋体" w:hAnsi="宋体" w:eastAsia="宋体" w:cs="宋体"/>
          <w:color w:val="auto"/>
          <w:sz w:val="24"/>
          <w:szCs w:val="24"/>
          <w:highlight w:val="none"/>
          <w:u w:val="single"/>
          <w:shd w:val="clear" w:color="auto" w:fill="auto"/>
          <w:lang w:val="en-US" w:eastAsia="zh-CN" w:bidi="ar-SA"/>
        </w:rPr>
        <w:t xml:space="preserve">响应文件中明确的项目负责人必须常驻施工现场，要求其本人每周不少于6个日历天、每天24小时在本工程现场工作，特殊情况下离开现场需事先书面征得发包人同意。</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承包人未提交劳动合同，以及没有为项目经理缴纳社会保险证明的违约责任：</w:t>
      </w:r>
      <w:r>
        <w:rPr>
          <w:rFonts w:hint="eastAsia" w:ascii="宋体" w:hAnsi="宋体" w:eastAsia="宋体" w:cs="宋体"/>
          <w:color w:val="auto"/>
          <w:sz w:val="24"/>
          <w:szCs w:val="24"/>
          <w:highlight w:val="none"/>
          <w:u w:val="single"/>
          <w:shd w:val="clear" w:color="auto" w:fill="auto"/>
          <w:lang w:val="en-US" w:eastAsia="zh-CN" w:bidi="ar-SA"/>
        </w:rPr>
        <w:t xml:space="preserve">承包人应向发包人支付违约金5万元/次。</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项目经理未经批准，擅自离开施工现场的违约责任：</w:t>
      </w:r>
      <w:r>
        <w:rPr>
          <w:rFonts w:hint="eastAsia" w:ascii="宋体" w:hAnsi="宋体" w:eastAsia="宋体" w:cs="宋体"/>
          <w:color w:val="auto"/>
          <w:sz w:val="24"/>
          <w:szCs w:val="24"/>
          <w:highlight w:val="none"/>
          <w:u w:val="single"/>
          <w:shd w:val="clear" w:color="auto" w:fill="auto"/>
          <w:lang w:val="en-US" w:eastAsia="zh-CN" w:bidi="ar-SA"/>
        </w:rPr>
        <w:t xml:space="preserve">项目经理擅自离开现场按每天500元交纳违约金，从第六天起按每天1000元交纳违约金。</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single"/>
          <w:shd w:val="clear" w:color="auto" w:fill="auto"/>
          <w:lang w:val="en-US" w:eastAsia="zh-CN" w:bidi="ar-SA"/>
        </w:rPr>
        <w:t xml:space="preserve">项目经理必须参加每周召开的工程例会，有事必须请假。如项目经理未经发包人同意违反上述规定，每缺席一次例会支付违约金1000元整。一周如有两个工作日或两个月累计10天不在现场或两个月缺席例会三次，为严重违约，承包人自愿向发包人支付违约金1万元，同时发包人有权终止合同。</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3.2.3 承包人擅自更换项目经理的违约责任：</w:t>
      </w:r>
      <w:r>
        <w:rPr>
          <w:rFonts w:hint="eastAsia" w:ascii="宋体" w:hAnsi="宋体" w:eastAsia="宋体" w:cs="宋体"/>
          <w:color w:val="auto"/>
          <w:sz w:val="24"/>
          <w:szCs w:val="24"/>
          <w:highlight w:val="none"/>
          <w:u w:val="single"/>
          <w:shd w:val="clear" w:color="auto" w:fill="auto"/>
          <w:lang w:val="en-US" w:eastAsia="zh-CN" w:bidi="ar-SA"/>
        </w:rPr>
        <w:t xml:space="preserve"> 除出现江苏省建设厅苏建招〔2005〕580号文件中所列情形之外不予变更。承包人未经发包人书面同意自行更换项目经理的，处以合同价的5%违约金额。并追究由此带来的发包人的一切损失；如有变更，也必须执行江苏省建设厅苏建招〔2005〕580号文件中规定的变更程序。</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3.2.4 承包人无正当理由拒绝更换项目经理的违约责任：</w:t>
      </w:r>
      <w:r>
        <w:rPr>
          <w:rFonts w:hint="eastAsia" w:ascii="宋体" w:hAnsi="宋体" w:eastAsia="宋体" w:cs="宋体"/>
          <w:color w:val="auto"/>
          <w:sz w:val="24"/>
          <w:szCs w:val="24"/>
          <w:highlight w:val="none"/>
          <w:u w:val="single"/>
          <w:shd w:val="clear" w:color="auto" w:fill="auto"/>
          <w:lang w:val="en-US" w:eastAsia="zh-CN" w:bidi="ar-SA"/>
        </w:rPr>
        <w:t xml:space="preserve">除出现江苏省建设厅苏建招〔2005〕580号文件中所列情形之外不予变更。承包人未经发包人书面同意自行更换项目负责人的，处以合同价的5%违约金额。并追究由此带来的发包人的一切损失；如有变更，也必须执行江苏省建设厅苏建招〔2005〕580号文件中规定的变更程序。</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3.3 承包人人员</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3.3.1 承包人提交项目管理机构及施工现场管理人员安排报告的期限：</w:t>
      </w:r>
      <w:r>
        <w:rPr>
          <w:rFonts w:hint="eastAsia" w:ascii="宋体" w:hAnsi="宋体" w:eastAsia="宋体" w:cs="宋体"/>
          <w:color w:val="auto"/>
          <w:sz w:val="24"/>
          <w:szCs w:val="24"/>
          <w:highlight w:val="none"/>
          <w:u w:val="single"/>
          <w:shd w:val="clear" w:color="auto" w:fill="auto"/>
          <w:lang w:val="en-US" w:eastAsia="zh-CN" w:bidi="ar-SA"/>
        </w:rPr>
        <w:t xml:space="preserve">中标通知书发出后1日内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en-US"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3.3.3 承包人无正当理由拒绝撤换主要施工管理人员的违约责任：</w:t>
      </w:r>
      <w:r>
        <w:rPr>
          <w:rFonts w:hint="eastAsia" w:ascii="宋体" w:hAnsi="宋体" w:eastAsia="宋体" w:cs="宋体"/>
          <w:color w:val="auto"/>
          <w:sz w:val="24"/>
          <w:szCs w:val="24"/>
          <w:highlight w:val="none"/>
          <w:u w:val="single"/>
          <w:shd w:val="clear" w:color="auto" w:fill="auto"/>
          <w:lang w:val="en-US" w:eastAsia="zh-CN" w:bidi="ar-SA"/>
        </w:rPr>
        <w:t xml:space="preserve">承包人主要施工管理人员不称职造成工程质量、安全管理、进度管理、文明管理明显无法达到原定计划标准时，发包人有权要求承包人在7日内撤换或调整其认为不称职的主要施工管理人员，承包人无正当理由拒绝撤换该主要施工管理人员的，自承包人接收发包人书面通知之日起，每延迟更换一天，应当向发包人支付1万元/人的违约金，直至将主要施工管理人员按照</w:t>
      </w:r>
      <w:r>
        <w:rPr>
          <w:rFonts w:hint="eastAsia" w:ascii="Times New Roman" w:hAnsi="Times New Roman" w:eastAsia="宋体" w:cs="宋体"/>
          <w:color w:val="auto"/>
          <w:sz w:val="24"/>
          <w:szCs w:val="24"/>
          <w:highlight w:val="none"/>
          <w:u w:val="single"/>
          <w:shd w:val="clear" w:color="auto" w:fill="auto"/>
          <w:lang w:val="en-US" w:eastAsia="zh-CN" w:bidi="ar-SA"/>
        </w:rPr>
        <w:t xml:space="preserve">采购</w:t>
      </w:r>
      <w:r>
        <w:rPr>
          <w:rFonts w:hint="eastAsia" w:ascii="宋体" w:hAnsi="宋体" w:eastAsia="宋体" w:cs="宋体"/>
          <w:color w:val="auto"/>
          <w:sz w:val="24"/>
          <w:szCs w:val="24"/>
          <w:highlight w:val="none"/>
          <w:u w:val="single"/>
          <w:shd w:val="clear" w:color="auto" w:fill="auto"/>
          <w:lang w:val="en-US" w:eastAsia="zh-CN" w:bidi="ar-SA"/>
        </w:rPr>
        <w:t xml:space="preserve">文件及本合同要求的称职人员之日止。承包人无正当理由拒绝更换的，发包人有权终止合同，并追究由此给发包人造成的一切损失。</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3.3.4 承包人主要施工管理人员离开施工现场的批准要求：</w:t>
      </w:r>
      <w:r>
        <w:rPr>
          <w:rFonts w:hint="eastAsia" w:ascii="宋体" w:hAnsi="宋体" w:eastAsia="宋体" w:cs="宋体"/>
          <w:color w:val="auto"/>
          <w:sz w:val="24"/>
          <w:szCs w:val="24"/>
          <w:highlight w:val="none"/>
          <w:u w:val="single"/>
          <w:shd w:val="clear" w:color="auto" w:fill="auto"/>
          <w:lang w:val="en-US" w:eastAsia="zh-CN" w:bidi="ar-SA"/>
        </w:rPr>
        <w:t xml:space="preserve">由发包人和总监理工程师书面批准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3.3.5承包人擅自更换主要施工管理人员的违约责任：</w:t>
      </w:r>
      <w:r>
        <w:rPr>
          <w:rFonts w:hint="eastAsia" w:ascii="宋体" w:hAnsi="宋体" w:eastAsia="宋体" w:cs="宋体"/>
          <w:color w:val="auto"/>
          <w:sz w:val="24"/>
          <w:szCs w:val="24"/>
          <w:highlight w:val="none"/>
          <w:u w:val="single"/>
          <w:shd w:val="clear" w:color="auto" w:fill="auto"/>
          <w:lang w:val="en-US" w:eastAsia="zh-CN" w:bidi="ar-SA"/>
        </w:rPr>
        <w:t xml:space="preserve"> 承包人未经发包人同意，擅自更换主要施工管理人员，将视为承包人将工程转包或挂靠，发包人可单方面终止合同，没收承包人履约保证金，并将上报建设行政主管部门，对承包人作不良行为记录。</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承包人主要施工管理人员擅自离开施工现场的违约责任：</w:t>
      </w:r>
      <w:r>
        <w:rPr>
          <w:rFonts w:hint="eastAsia" w:ascii="宋体" w:hAnsi="宋体" w:eastAsia="宋体" w:cs="宋体"/>
          <w:color w:val="auto"/>
          <w:sz w:val="24"/>
          <w:szCs w:val="24"/>
          <w:highlight w:val="none"/>
          <w:u w:val="single"/>
          <w:shd w:val="clear" w:color="auto" w:fill="auto"/>
          <w:lang w:val="en-US" w:eastAsia="zh-CN" w:bidi="ar-SA"/>
        </w:rPr>
        <w:t xml:space="preserve">发包人将对主要施工管理人员在施工现场的时间进行考勤，如主要管理人员未经发包人同意，擅自离开施工现场，每人每天扣罚承包人违约金1000元，累计达7天及以上，将视为该主要施工管理人员不能履行职责，要求承包人更换相应施工管理人员。</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3.5 分包和总承包配合服务</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3.5.1 分包的一般约定</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禁止分包的工程包括：</w:t>
      </w:r>
      <w:r>
        <w:rPr>
          <w:rFonts w:hint="eastAsia" w:ascii="宋体" w:hAnsi="宋体" w:eastAsia="宋体" w:cs="宋体"/>
          <w:color w:val="auto"/>
          <w:sz w:val="24"/>
          <w:szCs w:val="24"/>
          <w:highlight w:val="none"/>
          <w:u w:val="single"/>
          <w:shd w:val="clear" w:color="auto" w:fill="auto"/>
          <w:lang w:val="en-US" w:eastAsia="zh-CN" w:bidi="ar-SA"/>
        </w:rPr>
        <w:t xml:space="preserve">禁止分包。如擅自分包，无论工程质量是否合格，发包人有权不予支付相应工程价款。</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主体结构、关键性工作的范围：</w:t>
      </w:r>
      <w:r>
        <w:rPr>
          <w:rFonts w:hint="eastAsia" w:ascii="宋体" w:hAnsi="宋体" w:eastAsia="宋体" w:cs="宋体"/>
          <w:color w:val="auto"/>
          <w:sz w:val="24"/>
          <w:szCs w:val="24"/>
          <w:highlight w:val="none"/>
          <w:u w:val="single"/>
          <w:shd w:val="clear" w:color="auto" w:fill="auto"/>
          <w:lang w:val="en-US" w:eastAsia="zh-CN" w:bidi="ar-SA"/>
        </w:rPr>
        <w:t xml:space="preserve"> /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3.5.2分包的确定</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允许分包的专业工程包括：</w:t>
      </w:r>
      <w:r>
        <w:rPr>
          <w:rFonts w:hint="eastAsia" w:ascii="宋体" w:hAnsi="宋体" w:eastAsia="宋体" w:cs="宋体"/>
          <w:color w:val="auto"/>
          <w:sz w:val="24"/>
          <w:szCs w:val="24"/>
          <w:highlight w:val="none"/>
          <w:u w:val="single"/>
          <w:shd w:val="clear" w:color="auto" w:fill="auto"/>
          <w:lang w:val="en-US" w:eastAsia="zh-CN" w:bidi="ar-SA"/>
        </w:rPr>
        <w:t xml:space="preserve"> /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其他关于分包的约定：</w:t>
      </w:r>
      <w:r>
        <w:rPr>
          <w:rFonts w:hint="eastAsia" w:ascii="宋体" w:hAnsi="宋体" w:eastAsia="宋体" w:cs="宋体"/>
          <w:color w:val="auto"/>
          <w:sz w:val="24"/>
          <w:szCs w:val="24"/>
          <w:highlight w:val="none"/>
          <w:u w:val="single"/>
          <w:shd w:val="clear" w:color="auto" w:fill="auto"/>
          <w:lang w:val="en-US" w:eastAsia="zh-CN" w:bidi="ar-SA"/>
        </w:rPr>
        <w:t xml:space="preserve">               /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80"/>
        <w:jc w:val="both"/>
        <w:spacing w:after="0" w:line="520" w:lineRule="exact"/>
        <w:shd w:val="clear" w:color="auto" w:fill="auto"/>
        <w:widowControl w:val="off"/>
        <w:tabs>
          <w:tab w:val="left" w:pos="1174" w:leader="none"/>
        </w:tabs>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3.5.4 分包合同价款</w:t>
      </w:r>
      <w:r/>
    </w:p>
    <w:p>
      <w:pPr>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关于分包合同价款支付的约定：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3.5.5总承包配合服务约定：如遇工程交叉情况，无条件服从甲方的协调与配合。</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 工程照管与成品、半成品保护</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承包人负责照管工程及工程相关的材料、工程设备的起始时间：  </w:t>
      </w:r>
      <w:r>
        <w:rPr>
          <w:rFonts w:hint="eastAsia" w:ascii="宋体" w:hAnsi="宋体" w:eastAsia="宋体" w:cs="宋体"/>
          <w:color w:val="auto"/>
          <w:sz w:val="24"/>
          <w:szCs w:val="24"/>
          <w:highlight w:val="none"/>
          <w:u w:val="single"/>
          <w:lang w:val="en-US" w:eastAsia="zh-CN" w:bidi="ar-SA"/>
        </w:rPr>
        <w:t xml:space="preserve">设备、材料、构配件等，人员进场至验收交付使用前由承包人负责照管与成品、半成品保护，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不再另行计取，投标报价时综合考虑，包含在合同价内。</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3.7 履约担保</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承包人是否提供履约担保：</w:t>
      </w:r>
      <w:r>
        <w:rPr>
          <w:rFonts w:hint="eastAsia" w:ascii="宋体" w:hAnsi="宋体" w:eastAsia="宋体" w:cs="宋体"/>
          <w:color w:val="auto"/>
          <w:sz w:val="24"/>
          <w:szCs w:val="24"/>
          <w:highlight w:val="none"/>
          <w:u w:val="single"/>
          <w:lang w:val="en-US" w:eastAsia="zh-CN" w:bidi="ar-SA"/>
        </w:rPr>
        <w:t xml:space="preserve">是</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承包人提供履约担保的形式：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履约保证金应在采购合同签订前提交，履约保证金的金额：按采购合同总价的5%（使用江苏政府采购电子履约保函（保险）代缴履约保证金，按采购合同价的3%）计取。除银行电汇、网上银行、数字人民币外，供应商还可选用银行保函、担保公司的保证担保或保险公司的保证保险等多种形式向采购人缴纳；</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履约保证金退还的条件：按以下第 c 种方式执行：</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a、货物类项目，项目验收合格，出具验收报告及履约保证金收据申请退付；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b、服务类项目，项目履约期满评价合格，出具履约评价报告及履约保证金收据申请退付；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c、工程类项目，项目完工验收合格，出具完工证明及履约保证金收据申请退付；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履约保证金退还时间：采购单位收到供应商退付申请后5个工作日内退还；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2"/>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4. 监理人</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4.1监理人的一般规定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关于监理人的监理内容：关于监理人的监理权限：</w:t>
      </w:r>
      <w:r>
        <w:rPr>
          <w:rFonts w:hint="eastAsia" w:ascii="宋体" w:hAnsi="宋体" w:eastAsia="宋体" w:cs="宋体"/>
          <w:color w:val="auto"/>
          <w:sz w:val="24"/>
          <w:szCs w:val="24"/>
          <w:highlight w:val="none"/>
          <w:u w:val="single"/>
          <w:lang w:val="en-US" w:eastAsia="zh-CN" w:bidi="ar-SA"/>
        </w:rPr>
        <w:t xml:space="preserve">与监理合同一致。</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SA"/>
        </w:rPr>
        <w:t xml:space="preserve">与监理合同一致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 监理人员</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总监理工程师：</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    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    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监理工程师执业资格证书号：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电子信箱：</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通信地址：</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关于监理人的其他约定：</w:t>
      </w:r>
      <w:r>
        <w:rPr>
          <w:rFonts w:hint="eastAsia" w:ascii="宋体" w:hAnsi="宋体" w:eastAsia="宋体" w:cs="宋体"/>
          <w:color w:val="auto"/>
          <w:sz w:val="24"/>
          <w:szCs w:val="24"/>
          <w:highlight w:val="none"/>
          <w:u w:val="single"/>
          <w:lang w:val="en-US" w:eastAsia="zh-CN" w:bidi="ar-SA"/>
        </w:rPr>
        <w:t xml:space="preserve">按通用条款执行</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 商定或确定</w:t>
      </w:r>
      <w:r/>
    </w:p>
    <w:p>
      <w:pPr>
        <w:ind w:firstLine="48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在发包人和承包人不能通过协商达成一致意见时，发包人授权监理人对以下事项进行确定：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u w:val="single"/>
          <w:lang w:val="en-US" w:eastAsia="zh-CN" w:bidi="ar-SA"/>
        </w:rPr>
        <w:t xml:space="preserve">工程变更的确认权按通用条款执行</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签证权按通用条款执行</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u w:val="single"/>
          <w:lang w:val="en-US" w:eastAsia="zh-CN" w:bidi="ar-SA"/>
        </w:rPr>
        <w:t xml:space="preserve">发布开工令、停工令、复工令权按通用条款执行，并提供主要管理技术人员清单及进退场时间</w:t>
      </w:r>
      <w:r>
        <w:rPr>
          <w:rFonts w:hint="eastAsia" w:ascii="宋体" w:hAnsi="宋体" w:eastAsia="宋体" w:cs="宋体"/>
          <w:color w:val="auto"/>
          <w:sz w:val="24"/>
          <w:szCs w:val="24"/>
          <w:highlight w:val="none"/>
          <w:lang w:val="en-US" w:eastAsia="zh-CN" w:bidi="ar-SA"/>
        </w:rPr>
        <w:t xml:space="preserve"> 。</w:t>
      </w:r>
      <w:r/>
    </w:p>
    <w:p>
      <w:pPr>
        <w:ind w:firstLine="480"/>
        <w:jc w:val="both"/>
        <w:spacing w:before="120" w:after="120" w:line="520" w:lineRule="exact"/>
        <w:shd w:val="clear" w:color="auto" w:fill="auto"/>
        <w:widowControl w:val="off"/>
        <w:rPr>
          <w:rFonts w:hint="eastAsia" w:ascii="宋体" w:hAnsi="宋体" w:eastAsia="宋体" w:cs="宋体"/>
          <w:b w:val="0"/>
          <w:color w:val="auto"/>
          <w:sz w:val="24"/>
          <w:szCs w:val="24"/>
          <w:highlight w:val="none"/>
          <w:lang w:val="en-US" w:eastAsia="zh-CN" w:bidi="ar-SA"/>
        </w:rPr>
        <w:outlineLvl w:val="9"/>
      </w:pPr>
      <w:r>
        <w:rPr>
          <w:rFonts w:hint="eastAsia" w:ascii="宋体" w:hAnsi="宋体" w:eastAsia="宋体" w:cs="宋体"/>
          <w:b w:val="0"/>
          <w:color w:val="auto"/>
          <w:sz w:val="24"/>
          <w:szCs w:val="24"/>
          <w:highlight w:val="none"/>
          <w:lang w:val="en-US" w:eastAsia="zh-CN" w:bidi="ar-SA"/>
        </w:rPr>
        <w:t xml:space="preserve">5. 工程质量</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5.1 质量要求</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5.1.1 特殊质量标准和要求：</w:t>
      </w:r>
      <w:r>
        <w:rPr>
          <w:rFonts w:hint="eastAsia" w:ascii="宋体" w:hAnsi="宋体" w:eastAsia="宋体" w:cs="宋体"/>
          <w:color w:val="auto"/>
          <w:sz w:val="24"/>
          <w:szCs w:val="24"/>
          <w:highlight w:val="none"/>
          <w:u w:val="single"/>
          <w:lang w:val="en-US" w:eastAsia="zh-CN" w:bidi="ar-SA"/>
        </w:rPr>
        <w:t xml:space="preserve">①符合《中小学合成材料面层运动场地》(GB36246-2018)等现行国家有关验收标准，并达到招标要求的质量等级标准。②材料质量要求：符合现行的产品标准规定，并附有出厂合格证明，严禁使用不合格和过期材料和附件。无论总监理工程师是否进行并通过了各项检验，均不解除承包人对自己承包的工程的质量所负责</w:t>
      </w:r>
      <w:r>
        <w:rPr>
          <w:rFonts w:hint="eastAsia" w:ascii="宋体" w:hAnsi="宋体" w:eastAsia="宋体" w:cs="宋体"/>
          <w:color w:val="auto"/>
          <w:sz w:val="24"/>
          <w:szCs w:val="24"/>
          <w:highlight w:val="none"/>
          <w:u w:val="single"/>
          <w:lang w:val="en-US" w:eastAsia="zh-CN" w:bidi="ar-SA"/>
        </w:rPr>
        <w:t xml:space="preserve">任，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③招标文件和有关规范规定的各种材料检验、工艺试验等必须按规定实施，由承包人提供法定检测机构出具的试验合格证书，所需费用包含在合同价中。</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关于工程奖项的约定：</w:t>
      </w:r>
      <w:r>
        <w:rPr>
          <w:rFonts w:hint="eastAsia" w:ascii="宋体" w:hAnsi="宋体" w:eastAsia="宋体" w:cs="宋体"/>
          <w:color w:val="auto"/>
          <w:sz w:val="24"/>
          <w:szCs w:val="24"/>
          <w:highlight w:val="none"/>
          <w:u w:val="single"/>
          <w:lang w:val="en-US" w:eastAsia="zh-CN" w:bidi="ar-SA"/>
        </w:rPr>
        <w:t xml:space="preserve">   /                               </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5.3 隐蔽工程检查</w:t>
      </w:r>
      <w:r/>
    </w:p>
    <w:p>
      <w:pPr>
        <w:ind w:firstLine="36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5.3.2承包人提前通知监理人隐蔽工程检查的期限的约定：</w:t>
      </w:r>
      <w:r>
        <w:rPr>
          <w:rFonts w:hint="eastAsia" w:ascii="宋体" w:hAnsi="宋体" w:eastAsia="宋体" w:cs="宋体"/>
          <w:color w:val="auto"/>
          <w:sz w:val="24"/>
          <w:szCs w:val="24"/>
          <w:highlight w:val="none"/>
          <w:u w:val="single"/>
          <w:lang w:val="en-US" w:eastAsia="zh-CN" w:bidi="ar-SA"/>
        </w:rPr>
        <w:t xml:space="preserve">按通用条款执行，验收、签证都实行现场签字，过时不补。</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监理人不能按时进行检查时，应提前</w:t>
      </w:r>
      <w:r>
        <w:rPr>
          <w:rFonts w:hint="eastAsia" w:ascii="宋体" w:hAnsi="宋体" w:eastAsia="宋体" w:cs="宋体"/>
          <w:color w:val="auto"/>
          <w:sz w:val="24"/>
          <w:szCs w:val="24"/>
          <w:highlight w:val="none"/>
          <w:u w:val="single"/>
          <w:lang w:val="en-US" w:eastAsia="zh-CN" w:bidi="ar-SA"/>
        </w:rPr>
        <w:t xml:space="preserve"> 24 </w:t>
      </w:r>
      <w:r>
        <w:rPr>
          <w:rFonts w:hint="eastAsia" w:ascii="宋体" w:hAnsi="宋体" w:eastAsia="宋体" w:cs="宋体"/>
          <w:color w:val="auto"/>
          <w:sz w:val="24"/>
          <w:szCs w:val="24"/>
          <w:highlight w:val="none"/>
          <w:lang w:val="en-US" w:eastAsia="zh-CN" w:bidi="ar-SA"/>
        </w:rPr>
        <w:t xml:space="preserve">小时提交书面延期要求。</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 48 </w:t>
      </w:r>
      <w:r>
        <w:rPr>
          <w:rFonts w:hint="eastAsia" w:ascii="宋体" w:hAnsi="宋体" w:eastAsia="宋体" w:cs="宋体"/>
          <w:color w:val="auto"/>
          <w:sz w:val="24"/>
          <w:szCs w:val="24"/>
          <w:highlight w:val="none"/>
          <w:lang w:val="en-US" w:eastAsia="zh-CN" w:bidi="ar-SA"/>
        </w:rPr>
        <w:t xml:space="preserve">小时。</w:t>
      </w:r>
      <w:r/>
    </w:p>
    <w:p>
      <w:pPr>
        <w:ind w:firstLine="480"/>
        <w:jc w:val="both"/>
        <w:spacing w:before="120" w:after="120" w:line="520" w:lineRule="exact"/>
        <w:shd w:val="clear" w:color="auto" w:fill="auto"/>
        <w:widowControl w:val="off"/>
        <w:rPr>
          <w:rFonts w:hint="eastAsia" w:ascii="宋体" w:hAnsi="宋体" w:eastAsia="宋体" w:cs="宋体"/>
          <w:b w:val="0"/>
          <w:color w:val="auto"/>
          <w:sz w:val="24"/>
          <w:szCs w:val="24"/>
          <w:highlight w:val="none"/>
          <w:lang w:val="en-US" w:eastAsia="zh-CN" w:bidi="ar-SA"/>
        </w:rPr>
        <w:outlineLvl w:val="9"/>
      </w:pPr>
      <w:r>
        <w:rPr>
          <w:rFonts w:hint="eastAsia" w:ascii="宋体" w:hAnsi="宋体" w:eastAsia="宋体" w:cs="宋体"/>
          <w:b w:val="0"/>
          <w:color w:val="auto"/>
          <w:sz w:val="24"/>
          <w:szCs w:val="24"/>
          <w:highlight w:val="none"/>
          <w:lang w:val="en-US" w:eastAsia="zh-CN" w:bidi="ar-SA"/>
        </w:rPr>
        <w:t xml:space="preserve">6. 安全文明施工与环境保护</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6.1安全文明施工</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6.1.1 项目安全生产的达标目标及相应事项的约定：</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CN"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 1、进入施工现场的各类安全防护由承包人统一协调管理，安全责任由承包人承担，费用含在报价中；2、承包人负责进入施工现场所有人员及财物安全，发生任何伤亡事故与发包人无关，承包人自行解决；3、承包人应合理安排、安全使用水、电设施，否则引起的一切责任由承包人承担。承包人应负责保管水、电设施，若发生丢失或损坏，由承包人赔偿。</w:t>
      </w:r>
      <w:r>
        <w:rPr>
          <w:rFonts w:hint="eastAsia" w:ascii="宋体" w:hAnsi="宋体" w:eastAsia="宋体" w:cs="宋体"/>
          <w:color w:val="auto"/>
          <w:sz w:val="24"/>
          <w:szCs w:val="24"/>
          <w:highlight w:val="none"/>
          <w:u w:val="none"/>
          <w:shd w:val="clear" w:color="auto" w:fill="auto"/>
          <w:lang w:val="en-US" w:eastAsia="zh-CN" w:bidi="ar-SA"/>
        </w:rPr>
        <w:t xml:space="preserve">4、严格执行《中华人民共和国安全生产法》、《建设工程安全生产管理条例》（国务院第393号令）等相关法律法规、双方签定的《安全施工协议》。承包人应当遵守工程建设安全生产有关管理规定，严格按安全标准组织施工，并随时接受发包人及行业安全检查人员依法实施的监督检查，采取必要的安全防护措施，消除事故隐患。、承包人在施工现场的安全管理、教育和施工范围内发生或因承包人施工活动有关的安全事故由承包人负责处理并承担责任，以上所发生的费用均由承包方承担。5、由承包人按规范施工并对安全生产负全责，除执行通用条款的相关规定外，承包</w:t>
      </w:r>
      <w:r>
        <w:rPr>
          <w:rFonts w:hint="eastAsia" w:ascii="宋体" w:hAnsi="宋体" w:eastAsia="宋体" w:cs="宋体"/>
          <w:color w:val="auto"/>
          <w:sz w:val="24"/>
          <w:szCs w:val="24"/>
          <w:highlight w:val="none"/>
          <w:u w:val="none"/>
          <w:shd w:val="clear" w:color="auto" w:fill="auto"/>
          <w:lang w:val="en-US" w:eastAsia="zh-CN" w:bidi="ar-SA"/>
        </w:rPr>
        <w:t xml:space="preserve">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该规定承包人在投标时必须充分考虑，在投标前需根据工程实际和施工时拟采用的施工方案进行报价，上述内容无论承包人投标时是否在投标报价中单独列支或包含在其他内容中，发包人均认为此项费用已包含在承包人的投标报价和合同价中，在结算时发包人对此项费用不再另行支付</w:t>
      </w:r>
      <w:r>
        <w:rPr>
          <w:rFonts w:hint="eastAsia" w:ascii="宋体" w:hAnsi="宋体" w:eastAsia="宋体" w:cs="宋体"/>
          <w:color w:val="auto"/>
          <w:sz w:val="24"/>
          <w:szCs w:val="24"/>
          <w:highlight w:val="none"/>
          <w:u w:val="none"/>
          <w:shd w:val="clear" w:color="auto" w:fill="auto"/>
          <w:lang w:val="zh-CN"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6.1.4 关于治安保卫的特别约定：</w:t>
      </w:r>
      <w:r>
        <w:rPr>
          <w:rFonts w:hint="eastAsia" w:ascii="宋体" w:hAnsi="宋体" w:eastAsia="宋体" w:cs="宋体"/>
          <w:color w:val="auto"/>
          <w:sz w:val="24"/>
          <w:szCs w:val="24"/>
          <w:highlight w:val="none"/>
          <w:u w:val="single"/>
          <w:shd w:val="clear" w:color="auto" w:fill="auto"/>
          <w:lang w:val="en-US" w:eastAsia="zh-CN" w:bidi="ar-SA"/>
        </w:rPr>
        <w:t xml:space="preserve"> 满足发包人、城管、卫生防疫、环保及有关部门的相关要求</w:t>
      </w:r>
      <w:r>
        <w:rPr>
          <w:rFonts w:hint="eastAsia" w:ascii="Times New Roman" w:hAnsi="Times New Roman" w:eastAsia="宋体" w:cs="宋体"/>
          <w:color w:val="auto"/>
          <w:sz w:val="24"/>
          <w:szCs w:val="24"/>
          <w:highlight w:val="none"/>
          <w:u w:val="singl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关于编制施工场地治安管理计划的约定：</w:t>
      </w:r>
      <w:r>
        <w:rPr>
          <w:rFonts w:hint="eastAsia" w:ascii="宋体" w:hAnsi="宋体" w:eastAsia="宋体" w:cs="宋体"/>
          <w:color w:val="auto"/>
          <w:sz w:val="24"/>
          <w:szCs w:val="24"/>
          <w:highlight w:val="none"/>
          <w:u w:val="single"/>
          <w:shd w:val="clear" w:color="auto" w:fill="auto"/>
          <w:lang w:val="en-US" w:eastAsia="zh-CN" w:bidi="ar-SA"/>
        </w:rPr>
        <w:t xml:space="preserve"> 承包人自行考虑，费用由承包人承担  。</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6.1.5 文明施工</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合同当事人对文明施工的要求：</w:t>
      </w:r>
      <w:r>
        <w:rPr>
          <w:rFonts w:hint="eastAsia" w:ascii="宋体" w:hAnsi="宋体" w:eastAsia="宋体" w:cs="宋体"/>
          <w:color w:val="auto"/>
          <w:sz w:val="24"/>
          <w:szCs w:val="24"/>
          <w:highlight w:val="none"/>
          <w:u w:val="single"/>
          <w:shd w:val="clear" w:color="auto" w:fill="auto"/>
          <w:lang w:val="en-US" w:eastAsia="zh-CN" w:bidi="ar-SA"/>
        </w:rPr>
        <w:t xml:space="preserve"> 合同当事人对文明施工的要求：一、施工安全： ⑴承包人报请监理工程师和发包人代表审批的施工组织设计中应有安全施工方案，要有安全施工管理系统，配备安全管理人员负责</w:t>
      </w:r>
      <w:r>
        <w:rPr>
          <w:rFonts w:hint="eastAsia" w:ascii="宋体" w:hAnsi="宋体" w:eastAsia="宋体" w:cs="宋体"/>
          <w:color w:val="auto"/>
          <w:sz w:val="24"/>
          <w:szCs w:val="24"/>
          <w:highlight w:val="none"/>
          <w:u w:val="single"/>
          <w:shd w:val="clear" w:color="auto" w:fill="auto"/>
          <w:lang w:val="en-US" w:eastAsia="zh-CN" w:bidi="ar-SA"/>
        </w:rPr>
        <w:t xml:space="preserve">工程、车辆机械和施工人员的安全工作，将施工安全落到实处。⑵承包人要认真做好车辆机械的保养维护工作和驾驶操作人员的安全教育工作，车辆机械不得带病作业，不得违规操作，杜绝机械和车辆事故。 二、施工噪音 ：工程施工期间，噪声对环境的影响必须满足国家和宿迁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 三、污水排放： 所有的</w:t>
      </w:r>
      <w:r>
        <w:rPr>
          <w:rFonts w:hint="eastAsia" w:ascii="宋体" w:hAnsi="宋体" w:eastAsia="宋体" w:cs="宋体"/>
          <w:color w:val="auto"/>
          <w:sz w:val="24"/>
          <w:szCs w:val="24"/>
          <w:highlight w:val="none"/>
          <w:u w:val="single"/>
          <w:shd w:val="clear" w:color="auto" w:fill="auto"/>
          <w:lang w:val="en-US" w:eastAsia="zh-CN" w:bidi="ar-SA"/>
        </w:rPr>
        <w:t xml:space="preserve">废水、污水应按批准的方法处理后排入排污系统，不得污染环境，由此而引起的后果由承包人自行负责。 所有的施工垃圾应按照批准的方法运往批准的地点进行处理，生活垃圾应按照城市规定每天集中，纳入城市垃圾处理系统。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文明工地按照相关文件执行  。</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CN"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6.1.6 关于安全文明施工费支付比例和支付期限的约定：</w:t>
      </w:r>
      <w:r>
        <w:rPr>
          <w:rFonts w:hint="eastAsia" w:ascii="宋体" w:hAnsi="宋体" w:eastAsia="宋体" w:cs="宋体"/>
          <w:color w:val="auto"/>
          <w:sz w:val="24"/>
          <w:szCs w:val="24"/>
          <w:highlight w:val="none"/>
          <w:u w:val="single"/>
          <w:shd w:val="clear" w:color="auto" w:fill="auto"/>
          <w:lang w:val="en-US" w:eastAsia="zh-CN" w:bidi="ar-SA"/>
        </w:rPr>
        <w:t xml:space="preserve">按进度支付工程款，安全文明施工费不单独支付。在合同履行期间，承包人应采取合理措施保护施工现场环境。对施工作业过程中可能引起的大气、水、噪音以及固体废物污染采取具体可行的防范措施承包人应当承担因其原因引起的环境污染侵权损害赔偿责任，因上述环境污染引起纠纷而导致暂停施工的，由此增加的费用和(或)延误的工期由承包人承担</w:t>
      </w:r>
      <w:r>
        <w:rPr>
          <w:rFonts w:hint="eastAsia" w:ascii="Times New Roman" w:hAnsi="Times New Roman" w:eastAsia="宋体" w:cs="宋体"/>
          <w:color w:val="auto"/>
          <w:sz w:val="24"/>
          <w:szCs w:val="24"/>
          <w:highlight w:val="none"/>
          <w:u w:val="singl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b w:val="0"/>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b w:val="0"/>
          <w:color w:val="auto"/>
          <w:sz w:val="24"/>
          <w:szCs w:val="24"/>
          <w:highlight w:val="none"/>
          <w:u w:val="none"/>
          <w:shd w:val="clear" w:color="auto" w:fill="auto"/>
          <w:lang w:val="en-US" w:eastAsia="zh-CN" w:bidi="ar-SA"/>
        </w:rPr>
        <w:t xml:space="preserve">7. 工期和进度</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7.1 施工组织设计</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7.1.1 合同当事人约定的施工组织设计应包括的其他内容：</w:t>
      </w:r>
      <w:r>
        <w:rPr>
          <w:rFonts w:hint="eastAsia" w:ascii="宋体" w:hAnsi="宋体" w:eastAsia="宋体" w:cs="宋体"/>
          <w:color w:val="auto"/>
          <w:sz w:val="24"/>
          <w:szCs w:val="24"/>
          <w:highlight w:val="none"/>
          <w:u w:val="single"/>
          <w:shd w:val="clear" w:color="auto" w:fill="auto"/>
          <w:lang w:val="en-US" w:eastAsia="zh-CN" w:bidi="ar-SA"/>
        </w:rPr>
        <w:t xml:space="preserve">承包人应在中标公告发布后7天内编制详细的施工组织设计、总进度计划、材料、设备、人员进场计划、提交发包人及监理工程师审批，总进度计划应满足</w:t>
      </w:r>
      <w:r>
        <w:rPr>
          <w:rFonts w:hint="eastAsia" w:ascii="Times New Roman" w:hAnsi="Times New Roman" w:eastAsia="宋体" w:cs="宋体"/>
          <w:color w:val="auto"/>
          <w:sz w:val="24"/>
          <w:szCs w:val="24"/>
          <w:highlight w:val="none"/>
          <w:u w:val="single"/>
          <w:shd w:val="clear" w:color="auto" w:fill="auto"/>
          <w:lang w:val="en-US" w:eastAsia="zh-CN" w:bidi="ar-SA"/>
        </w:rPr>
        <w:t xml:space="preserve">采购</w:t>
      </w:r>
      <w:r>
        <w:rPr>
          <w:rFonts w:hint="eastAsia" w:ascii="宋体" w:hAnsi="宋体" w:eastAsia="宋体" w:cs="宋体"/>
          <w:color w:val="auto"/>
          <w:sz w:val="24"/>
          <w:szCs w:val="24"/>
          <w:highlight w:val="none"/>
          <w:u w:val="single"/>
          <w:shd w:val="clear" w:color="auto" w:fill="auto"/>
          <w:lang w:val="en-US" w:eastAsia="zh-CN" w:bidi="ar-SA"/>
        </w:rPr>
        <w:t xml:space="preserve">文件和合同对工期的要求，承包人每周五下午</w:t>
      </w:r>
      <w:r>
        <w:rPr>
          <w:rFonts w:hint="eastAsia" w:ascii="宋体" w:hAnsi="宋体" w:eastAsia="宋体" w:cs="宋体"/>
          <w:b/>
          <w:bCs/>
          <w:color w:val="auto"/>
          <w:sz w:val="24"/>
          <w:szCs w:val="24"/>
          <w:highlight w:val="none"/>
          <w:u w:val="single"/>
          <w:shd w:val="clear" w:color="auto" w:fill="auto"/>
          <w:lang w:val="en-US" w:eastAsia="zh-CN" w:bidi="ar-SA"/>
        </w:rPr>
        <w:t xml:space="preserve">4</w:t>
      </w:r>
      <w:r>
        <w:rPr>
          <w:rFonts w:hint="eastAsia" w:ascii="宋体" w:hAnsi="宋体" w:eastAsia="宋体" w:cs="宋体"/>
          <w:color w:val="auto"/>
          <w:sz w:val="24"/>
          <w:szCs w:val="24"/>
          <w:highlight w:val="none"/>
          <w:u w:val="single"/>
          <w:shd w:val="clear" w:color="auto" w:fill="auto"/>
          <w:lang w:val="en-US" w:eastAsia="zh-CN" w:bidi="ar-SA"/>
        </w:rPr>
        <w:t xml:space="preserve">点前报送下周进度计划和本周工作完成情况，每月</w:t>
      </w:r>
      <w:r>
        <w:rPr>
          <w:rFonts w:hint="eastAsia" w:ascii="宋体" w:hAnsi="宋体" w:eastAsia="宋体" w:cs="宋体"/>
          <w:b/>
          <w:bCs/>
          <w:color w:val="auto"/>
          <w:sz w:val="24"/>
          <w:szCs w:val="24"/>
          <w:highlight w:val="none"/>
          <w:u w:val="single"/>
          <w:shd w:val="clear" w:color="auto" w:fill="auto"/>
          <w:lang w:val="en-US" w:eastAsia="zh-CN" w:bidi="ar-SA"/>
        </w:rPr>
        <w:t xml:space="preserve">25</w:t>
      </w:r>
      <w:r>
        <w:rPr>
          <w:rFonts w:hint="eastAsia" w:ascii="宋体" w:hAnsi="宋体" w:eastAsia="宋体" w:cs="宋体"/>
          <w:color w:val="auto"/>
          <w:sz w:val="24"/>
          <w:szCs w:val="24"/>
          <w:highlight w:val="none"/>
          <w:u w:val="single"/>
          <w:shd w:val="clear" w:color="auto" w:fill="auto"/>
          <w:lang w:val="en-US" w:eastAsia="zh-CN" w:bidi="ar-SA"/>
        </w:rPr>
        <w:t xml:space="preserve">日前报送下月进度计划和本月工作完成情况，如有违反每次支付2000元人民币违约金，违约金发包人有权优先从工程款中直接扣除。</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7.1.2 施工组织设计的提交和修改</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承包人提交详细施工组织设计的期限的约定：</w:t>
      </w:r>
      <w:r>
        <w:rPr>
          <w:rFonts w:hint="eastAsia" w:ascii="宋体" w:hAnsi="宋体" w:eastAsia="宋体" w:cs="宋体"/>
          <w:color w:val="auto"/>
          <w:sz w:val="24"/>
          <w:szCs w:val="24"/>
          <w:highlight w:val="none"/>
          <w:u w:val="single"/>
          <w:shd w:val="clear" w:color="auto" w:fill="auto"/>
          <w:lang w:val="en-US" w:eastAsia="zh-CN" w:bidi="ar-SA"/>
        </w:rPr>
        <w:t xml:space="preserve">收到资料后7天内。</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发包人和监理人在收到详细的施工组织设计后确认或提出修改意见的期限：</w:t>
      </w:r>
      <w:r>
        <w:rPr>
          <w:rFonts w:hint="eastAsia" w:ascii="宋体" w:hAnsi="宋体" w:eastAsia="宋体" w:cs="宋体"/>
          <w:color w:val="auto"/>
          <w:sz w:val="24"/>
          <w:szCs w:val="24"/>
          <w:highlight w:val="none"/>
          <w:u w:val="single"/>
          <w:shd w:val="clear" w:color="auto" w:fill="auto"/>
          <w:lang w:val="en-US" w:eastAsia="zh-CN" w:bidi="ar-SA"/>
        </w:rPr>
        <w:t xml:space="preserve"> 收到资料后3天内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7.2 施工进度计划</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7.2.2 施工进度计划的修订</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shd w:val="clear" w:color="auto" w:fill="auto"/>
          <w:lang w:val="en-US" w:eastAsia="zh-CN" w:bidi="ar-SA"/>
        </w:rPr>
        <w:t xml:space="preserve">收到资料后3天内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7.3 开工</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7.3.1 开工准备</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关于承包人提交工程开工报审表的期限：</w:t>
      </w:r>
      <w:r>
        <w:rPr>
          <w:rFonts w:hint="eastAsia" w:ascii="宋体" w:hAnsi="宋体" w:eastAsia="宋体" w:cs="宋体"/>
          <w:color w:val="auto"/>
          <w:sz w:val="24"/>
          <w:szCs w:val="24"/>
          <w:highlight w:val="none"/>
          <w:u w:val="single"/>
          <w:shd w:val="clear" w:color="auto" w:fill="auto"/>
          <w:lang w:val="en-US" w:eastAsia="zh-CN" w:bidi="ar-SA"/>
        </w:rPr>
        <w:t xml:space="preserve">按通用条款执行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关于发包人应完成的其他开工准备工作及期限：</w:t>
      </w:r>
      <w:r>
        <w:rPr>
          <w:rFonts w:hint="eastAsia" w:ascii="宋体" w:hAnsi="宋体" w:eastAsia="宋体" w:cs="宋体"/>
          <w:color w:val="auto"/>
          <w:sz w:val="24"/>
          <w:szCs w:val="24"/>
          <w:highlight w:val="none"/>
          <w:u w:val="single"/>
          <w:shd w:val="clear" w:color="auto" w:fill="auto"/>
          <w:lang w:val="en-US" w:eastAsia="zh-CN" w:bidi="ar-SA"/>
        </w:rPr>
        <w:t xml:space="preserve">按通用条款执行</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关于承包人应完成的其他开工准备工作及期限：</w:t>
      </w:r>
      <w:r>
        <w:rPr>
          <w:rFonts w:hint="eastAsia" w:ascii="宋体" w:hAnsi="宋体" w:eastAsia="宋体" w:cs="宋体"/>
          <w:color w:val="auto"/>
          <w:sz w:val="24"/>
          <w:szCs w:val="24"/>
          <w:highlight w:val="none"/>
          <w:u w:val="single"/>
          <w:shd w:val="clear" w:color="auto" w:fill="auto"/>
          <w:lang w:val="en-US" w:eastAsia="zh-CN" w:bidi="ar-SA"/>
        </w:rPr>
        <w:t xml:space="preserve">按通用条款执行</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7.3.2开工通知</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因发包人原因造成监理人未能在计划开工日期之日起</w:t>
      </w:r>
      <w:r>
        <w:rPr>
          <w:rFonts w:hint="eastAsia" w:ascii="宋体" w:hAnsi="宋体" w:eastAsia="宋体" w:cs="宋体"/>
          <w:color w:val="auto"/>
          <w:sz w:val="24"/>
          <w:szCs w:val="24"/>
          <w:highlight w:val="none"/>
          <w:u w:val="single"/>
          <w:shd w:val="clear" w:color="auto" w:fill="auto"/>
          <w:lang w:val="en-US" w:eastAsia="zh-CN" w:bidi="ar-SA"/>
        </w:rPr>
        <w:t xml:space="preserve">   /  </w:t>
      </w:r>
      <w:r>
        <w:rPr>
          <w:rFonts w:hint="eastAsia" w:ascii="宋体" w:hAnsi="宋体" w:eastAsia="宋体" w:cs="宋体"/>
          <w:color w:val="auto"/>
          <w:sz w:val="24"/>
          <w:szCs w:val="24"/>
          <w:highlight w:val="none"/>
          <w:u w:val="none"/>
          <w:shd w:val="clear" w:color="auto" w:fill="auto"/>
          <w:lang w:val="en-US" w:eastAsia="zh-CN" w:bidi="ar-SA"/>
        </w:rPr>
        <w:t xml:space="preserve">天内发出开工通知的，承包人有权提出价格调整要求，或者解除合同。</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7.4 测量放线</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en-US" w:eastAsia="zh-CN" w:bidi="ar-SA"/>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7.4.1发包人通过监理人向承包人提供测量基准点、基准线和水准点及其书面资料的期限：发出开工通知后7天内。在开始施工之前，承包人应核查、复测本工程的各种基准标志。承包人应及时将上述基准标志中存在的错误、不完整或其他缺陷通知发包人，以便发包人核实后重新确认。</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7.5 工期延误</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7.5.1 因发包人原因导致工期延误</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（1）因发包人原因导致工期延误的其他情形：</w:t>
      </w:r>
      <w:r>
        <w:rPr>
          <w:rFonts w:hint="eastAsia" w:ascii="宋体" w:hAnsi="宋体" w:eastAsia="宋体" w:cs="宋体"/>
          <w:color w:val="auto"/>
          <w:sz w:val="24"/>
          <w:szCs w:val="24"/>
          <w:highlight w:val="none"/>
          <w:u w:val="single"/>
          <w:shd w:val="clear" w:color="auto" w:fill="auto"/>
          <w:lang w:val="en-US" w:eastAsia="zh-CN" w:bidi="ar-SA"/>
        </w:rPr>
        <w:t xml:space="preserve"> / </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7.5.2 因承包人原因导致工期延误</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因承包人原因造成工期延误，逾期竣工违约金的计算方法为：</w:t>
      </w:r>
      <w:r/>
    </w:p>
    <w:p>
      <w:pPr>
        <w:ind w:firstLine="400"/>
        <w:jc w:val="both"/>
        <w:spacing w:after="0" w:line="520" w:lineRule="exact"/>
        <w:shd w:val="clear" w:color="auto" w:fill="auto"/>
        <w:widowControl w:val="off"/>
        <w:rPr>
          <w:rFonts w:hint="eastAsia" w:ascii="宋体" w:hAnsi="宋体" w:eastAsia="宋体" w:cs="宋体"/>
          <w:bCs/>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bCs/>
          <w:color w:val="auto"/>
          <w:sz w:val="24"/>
          <w:szCs w:val="24"/>
          <w:highlight w:val="none"/>
          <w:u w:val="single"/>
          <w:shd w:val="clear" w:color="auto" w:fill="auto"/>
          <w:lang w:val="en-US" w:eastAsia="zh-CN" w:bidi="ar-SA"/>
        </w:rPr>
        <w:t xml:space="preserve">当承包人施工进度明显无法达到原定计划标准时，发包人有权提出更换项目负责人，且每延误一天支付违约金5000元，延误五天（含）以上支付合同价的 10% 作为违约金，同时发包人有权终止合同，并要求承包人赔偿损失，违约金上限不超过合同价款的20%。合同解除后 ，发包人可派员进驻施工场地，另行组织人员或委托其他承包人施工。</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7.6 不利物质条件</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不利物质条件的其他情形和有关约定：</w:t>
      </w:r>
      <w:r>
        <w:rPr>
          <w:rFonts w:hint="eastAsia" w:ascii="宋体" w:hAnsi="宋体" w:eastAsia="宋体" w:cs="宋体"/>
          <w:color w:val="auto"/>
          <w:sz w:val="24"/>
          <w:szCs w:val="24"/>
          <w:highlight w:val="none"/>
          <w:u w:val="single"/>
          <w:shd w:val="clear" w:color="auto" w:fill="auto"/>
          <w:lang w:val="en-US" w:eastAsia="zh-CN" w:bidi="ar-SA"/>
        </w:rPr>
        <w:t xml:space="preserve">按通用条款执行</w:t>
      </w:r>
      <w:r>
        <w:rPr>
          <w:rFonts w:hint="eastAsia" w:ascii="宋体" w:hAnsi="宋体" w:eastAsia="宋体" w:cs="宋体"/>
          <w:color w:val="auto"/>
          <w:sz w:val="24"/>
          <w:szCs w:val="24"/>
          <w:highlight w:val="none"/>
          <w:u w:val="none"/>
          <w:shd w:val="clear" w:color="auto" w:fill="auto"/>
          <w:lang w:val="en-US" w:eastAsia="zh-CN" w:bidi="ar-SA"/>
        </w:rPr>
        <w:t xml:space="preserve">。</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7.7异常恶劣的气候条件</w:t>
      </w:r>
      <w:r/>
    </w:p>
    <w:p>
      <w:p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non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none"/>
          <w:shd w:val="clear" w:color="auto" w:fill="auto"/>
          <w:lang w:val="en-US" w:eastAsia="zh-CN" w:bidi="ar-SA"/>
        </w:rPr>
        <w:t xml:space="preserve">发包人和承包人同意以下情形视为异常恶劣的气候条件：</w:t>
      </w:r>
      <w:r/>
    </w:p>
    <w:p>
      <w:pPr>
        <w:numPr>
          <w:ilvl w:val="0"/>
          <w:numId w:val="6"/>
        </w:numPr>
        <w:ind w:firstLine="40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single"/>
          <w:shd w:val="clear" w:color="auto" w:fill="auto"/>
          <w:lang w:val="en-US" w:eastAsia="zh-CN" w:bidi="ar-SA"/>
        </w:rPr>
        <w:t xml:space="preserve">风力达到或超过8级的天气现象；地震震级达到5级及以上的自然现象等；</w:t>
      </w:r>
      <w:r/>
    </w:p>
    <w:p>
      <w:pPr>
        <w:numPr>
          <w:ilvl w:val="0"/>
          <w:numId w:val="0"/>
        </w:numPr>
        <w:ind w:firstLine="480"/>
        <w:jc w:val="both"/>
        <w:spacing w:after="0" w:line="520" w:lineRule="exact"/>
        <w:shd w:val="clear" w:color="auto" w:fill="auto"/>
        <w:widowControl w:val="off"/>
        <w:rPr>
          <w:rFonts w:hint="eastAsia" w:ascii="宋体" w:hAnsi="宋体" w:eastAsia="宋体" w:cs="宋体"/>
          <w:color w:val="auto"/>
          <w:sz w:val="24"/>
          <w:szCs w:val="24"/>
          <w:highlight w:val="none"/>
          <w:u w:val="single"/>
          <w:shd w:val="clear" w:color="auto" w:fill="auto"/>
          <w:lang w:val="zh-TW" w:eastAsia="zh-TW" w:bidi="zh-TW"/>
        </w:rPr>
        <w:pBdr>
          <w:bottom w:val="single" w:color="auto" w:sz="4" w:space="0"/>
        </w:pBdr>
      </w:pPr>
      <w:r>
        <w:rPr>
          <w:rFonts w:hint="eastAsia" w:ascii="宋体" w:hAnsi="宋体" w:eastAsia="宋体" w:cs="宋体"/>
          <w:color w:val="auto"/>
          <w:sz w:val="24"/>
          <w:szCs w:val="24"/>
          <w:highlight w:val="none"/>
          <w:u w:val="single"/>
          <w:shd w:val="clear" w:color="auto" w:fill="auto"/>
          <w:lang w:val="en-US" w:eastAsia="zh-CN" w:bidi="ar-SA"/>
        </w:rPr>
        <w:t xml:space="preserve">（2）日降水量大于80mm且降水持续三日的天气现象；</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 xml:space="preserve">是否发生上述3项气候条件情形，以宿迁市市级权威部门发布的最新资料为准。</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7.9 提前竣工的奖励</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7.9.2提前竣工的奖励：</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2"/>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8. 材料与设备</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8.4材料与工程设备的保管与使用</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8.4.1发包人供应的材料设备的保管费用的承担：</w:t>
      </w:r>
      <w:r>
        <w:rPr>
          <w:rFonts w:hint="eastAsia" w:ascii="宋体" w:hAnsi="宋体" w:eastAsia="宋体" w:cs="宋体"/>
          <w:color w:val="auto"/>
          <w:sz w:val="24"/>
          <w:szCs w:val="24"/>
          <w:highlight w:val="none"/>
          <w:u w:val="single"/>
          <w:lang w:val="en-US" w:eastAsia="zh-CN" w:bidi="ar-SA"/>
        </w:rPr>
        <w:t xml:space="preserve"> 由承包人承担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8.6 样品</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8.6.1</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样品的报送与封存</w:t>
      </w:r>
      <w:r/>
    </w:p>
    <w:p>
      <w:pPr>
        <w:ind w:firstLine="480"/>
        <w:jc w:val="left"/>
        <w:spacing w:line="520" w:lineRule="exact"/>
        <w:shd w:val="clear" w:color="auto" w:fill="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需要承包人报送样品的材料或工程设备，样品的种类、名称、规格、数量要求：</w:t>
      </w:r>
      <w:r>
        <w:rPr>
          <w:rFonts w:hint="eastAsia" w:ascii="宋体" w:hAnsi="宋体" w:eastAsia="宋体" w:cs="宋体"/>
          <w:bCs/>
          <w:color w:val="auto"/>
          <w:sz w:val="24"/>
          <w:szCs w:val="24"/>
          <w:highlight w:val="none"/>
          <w:u w:val="single"/>
          <w:lang w:val="en-US" w:eastAsia="zh-CN" w:bidi="ar-SA"/>
        </w:rPr>
        <w:t xml:space="preserve">符合图纸设计、工程量清单等相关规范要求，所有材料使用前必须经过发包人和监理单位共同确认，封样留样。凡是不留样封存的，每一种材料向发包人支付违约金2万元整。承包人应保证进场材料与样品一致。承包人按合同约定和发包人指示，进行材料的抽样检验和设备的检验测试，检验和测试结果应提交发包人。</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8.8 施工设备和临时设施</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8.8.1 承包人提供的施工设备和临时设施</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关于修建临时设施费用承担的约定：</w:t>
      </w:r>
      <w:r>
        <w:rPr>
          <w:rFonts w:hint="eastAsia" w:ascii="宋体" w:hAnsi="宋体" w:eastAsia="宋体" w:cs="宋体"/>
          <w:color w:val="auto"/>
          <w:sz w:val="24"/>
          <w:szCs w:val="24"/>
          <w:highlight w:val="none"/>
          <w:u w:val="single"/>
          <w:lang w:val="en-US" w:eastAsia="zh-CN" w:bidi="ar-SA"/>
        </w:rPr>
        <w:t xml:space="preserve">由承包人自行承担 。</w:t>
      </w:r>
      <w:r/>
    </w:p>
    <w:p>
      <w:pPr>
        <w:ind w:firstLine="482"/>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9. 试验与检验</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9.1试验设备与试验人员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9.1.2 试验设备</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施工现场需要配置的试验场所：</w:t>
      </w:r>
      <w:r>
        <w:rPr>
          <w:rFonts w:hint="eastAsia" w:ascii="宋体" w:hAnsi="宋体" w:eastAsia="宋体" w:cs="宋体"/>
          <w:color w:val="auto"/>
          <w:sz w:val="24"/>
          <w:szCs w:val="24"/>
          <w:highlight w:val="none"/>
          <w:u w:val="single"/>
          <w:lang w:val="en-US" w:eastAsia="zh-CN" w:bidi="ar-SA"/>
        </w:rPr>
        <w:t xml:space="preserve">按通用条款执行，施工项目部现场  。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施工现场需要配备的试验设备：</w:t>
      </w:r>
      <w:r>
        <w:rPr>
          <w:rFonts w:hint="eastAsia" w:ascii="宋体" w:hAnsi="宋体" w:eastAsia="宋体" w:cs="宋体"/>
          <w:color w:val="auto"/>
          <w:sz w:val="24"/>
          <w:szCs w:val="24"/>
          <w:highlight w:val="none"/>
          <w:u w:val="single"/>
          <w:lang w:val="en-US" w:eastAsia="zh-CN" w:bidi="ar-SA"/>
        </w:rPr>
        <w:t xml:space="preserve">按通用条款执行。</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施工现场需要具备的其他试验条件：</w:t>
      </w:r>
      <w:r>
        <w:rPr>
          <w:rFonts w:hint="eastAsia" w:ascii="宋体" w:hAnsi="宋体" w:eastAsia="宋体" w:cs="宋体"/>
          <w:color w:val="auto"/>
          <w:sz w:val="24"/>
          <w:szCs w:val="24"/>
          <w:highlight w:val="none"/>
          <w:u w:val="single"/>
          <w:lang w:val="en-US" w:eastAsia="zh-CN" w:bidi="ar-SA"/>
        </w:rPr>
        <w:t xml:space="preserve">按通用条款执行 ，满足现场工程需要。</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9.4 现场工艺试验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现场工艺试验的有关约定：按通用条款执行。</w:t>
      </w:r>
      <w:r/>
    </w:p>
    <w:p>
      <w:pPr>
        <w:ind w:firstLine="482"/>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10. 变更</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10.1变更的范围</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关于变更的范围的约定：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1、设计变更需有设计单位的设计变更通知单，并经发包人现场负责人签字并由单位盖章。</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现场签证应在签证事件发生后三日内由承包人申报，签证时须附对应签证部位的现场照片及图示尺寸等、详细计算说明书，要求施工单位、建设单位、代建单位、监理单位、跟踪审计单位五方代表在场，必须在7日历天内将量、价申请报告经各方（施工单位、建设单位、代建单位、监理单位、跟踪审计单位）共同同意并签字盖章确认方可有效；若承包人在三日内未报：若是增加金额，则视为放弃，不再计入结算中；若是减少金额无论承包人是否申报，则在结算金额及付款时扣减。签证单上应明确签证的原因及工程量等相关内容，必须连续编号，无编号的签证不予结算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3、承包人不得对原有工程设计进行变更，因承包人自身原因导致的工程变更，承包人无权要求追加合同价款的签证，并承担由此给发包人带来的一切损失。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4、因工程设计变更和工程量的增加，承包人提出顺延工期的，需双方协商解决。</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5、因设计变更或其他等原因导致取消相应工作内容的，承包人应无条件服从发包人安排。</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10.4 变更估价</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 变更估价原则</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（1）已标价工程量清单或预算书有相同项目的，按照相同项目单价认定；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（2）已标价工程量清单或预算书中无相同项目，但有类似项目的，参照类似项目的单价认定；仅作主要材料变换的，也仅对变更后发包人方指定产品的招标价差部分进行调整后并入结算价（含相关税费）；</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当应予计算的实际工程量与招标工程量清单出现偏差（包括因工程变更等原因导致的工程量偏差）超过15%的，对综合单价的调整原则为：当工程量增加15%以上时，其增加部分的工程量的综合单价应予调低；当工程量减少15%以上时，减少后剩余部分的工程量的综合单价应予调高；调整办法参照2013清单规范及相关文件参考。</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已标价工程量清单或预算书中无相同项目及类似项目单价的：a依据报价中相应的人工、材料、机械价格及费用计取标准计算组成新增项目的结算价；b对于报价中相关价格、标准混乱或无法鉴别的，则按编制工程招标控制价相同的标准计算新增项目的预算价，以预算价下浮后【下浮率= (1-中标价/招标控制价)×100%，不含暂估价材料、暂列金额、专业工程暂估价】确定新增项目的结算价。</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10.5承包人的合理化建议</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监理人审查承包人合理化建议的期限：</w:t>
      </w:r>
      <w:r>
        <w:rPr>
          <w:rFonts w:hint="eastAsia" w:ascii="宋体" w:hAnsi="宋体" w:eastAsia="宋体" w:cs="宋体"/>
          <w:color w:val="auto"/>
          <w:sz w:val="24"/>
          <w:szCs w:val="24"/>
          <w:highlight w:val="none"/>
          <w:u w:val="single"/>
          <w:lang w:val="en-US" w:eastAsia="zh-CN" w:bidi="ar-SA"/>
        </w:rPr>
        <w:t xml:space="preserve">监理人应在收到承包 人提交的合理化建议后2天内审查完毕并报送发包人 。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发包人审批承包人合理化建议的期限：</w:t>
      </w:r>
      <w:r>
        <w:rPr>
          <w:rFonts w:hint="eastAsia" w:ascii="宋体" w:hAnsi="宋体" w:eastAsia="宋体" w:cs="宋体"/>
          <w:color w:val="auto"/>
          <w:sz w:val="24"/>
          <w:szCs w:val="24"/>
          <w:highlight w:val="none"/>
          <w:u w:val="single"/>
          <w:lang w:val="en-US" w:eastAsia="zh-CN" w:bidi="ar-SA"/>
        </w:rPr>
        <w:t xml:space="preserve">  发包人应在收到监理人报送的合理化建议后3天内审批完毕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10.7 暂估价</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暂估价材料和工程设备的明细详见附件11：《暂估价一览表》。</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10.7.1 依法必须招标的暂估价项目</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种方式确定。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10.7.2 不属于依法必须招标的暂估价项目</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对于不属于依法必须招标的暂估价项目的确认和批准采取第</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种方式确定。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第3种方式：承包人直接实施的暂估价项目</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承包人直接实施的暂估价项目的约定：</w:t>
      </w:r>
      <w:r>
        <w:rPr>
          <w:rFonts w:hint="eastAsia" w:ascii="宋体" w:hAnsi="宋体" w:eastAsia="宋体" w:cs="宋体"/>
          <w:color w:val="auto"/>
          <w:sz w:val="24"/>
          <w:szCs w:val="24"/>
          <w:highlight w:val="none"/>
          <w:u w:val="single"/>
          <w:lang w:val="en-US" w:eastAsia="zh-CN" w:bidi="ar-SA"/>
        </w:rPr>
        <w:t xml:space="preserve">  经发包人同意后，由承包人实施 。</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10.8 暂列金额</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合同当事人关于暂列金额使用的约定：</w:t>
      </w:r>
      <w:r>
        <w:rPr>
          <w:rFonts w:hint="eastAsia" w:ascii="宋体" w:hAnsi="宋体" w:eastAsia="宋体" w:cs="宋体"/>
          <w:color w:val="auto"/>
          <w:sz w:val="24"/>
          <w:szCs w:val="24"/>
          <w:highlight w:val="none"/>
          <w:u w:val="single"/>
          <w:lang w:val="en-US" w:eastAsia="zh-CN" w:bidi="ar-SA"/>
        </w:rPr>
        <w:t xml:space="preserve">由发包人自行决定是否使用，与承包人无关。</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11. 价格调整</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 市场价格波动引起的调整</w:t>
      </w:r>
      <w:r/>
    </w:p>
    <w:p>
      <w:pPr>
        <w:ind w:firstLine="480"/>
        <w:jc w:val="left"/>
        <w:spacing w:line="360" w:lineRule="auto"/>
        <w:shd w:val="clear" w:color="auto" w:fill="auto"/>
        <w:widowControl w:val="off"/>
        <w:rPr>
          <w:rFonts w:hint="default" w:ascii="Times New Roman" w:hAnsi="Times New Roman" w:eastAsia="仿宋_GB2312" w:cs="Times New Roman"/>
          <w:color w:val="auto"/>
          <w:sz w:val="30"/>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市场价格波动是否调整合同价格的约定：</w:t>
      </w:r>
      <w:r>
        <w:rPr>
          <w:rFonts w:hint="default" w:ascii="Times New Roman" w:hAnsi="Times New Roman" w:eastAsia="仿宋_GB2312" w:cs="Times New Roman"/>
          <w:color w:val="auto"/>
          <w:sz w:val="30"/>
          <w:szCs w:val="32"/>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不调整 。</w:t>
      </w:r>
      <w:r/>
    </w:p>
    <w:p>
      <w:pPr>
        <w:ind w:firstLine="420"/>
        <w:jc w:val="both"/>
        <w:spacing w:line="520" w:lineRule="exact"/>
        <w:shd w:val="clear" w:color="auto" w:fill="auto"/>
        <w:widowControl w:val="off"/>
        <w:tabs>
          <w:tab w:val="left" w:pos="0" w:leader="none"/>
          <w:tab w:val="left" w:pos="993" w:leader="none"/>
          <w:tab w:val="left" w:pos="1134"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 xml:space="preserve">11.2施工期间政策性和市场性调整造成的人工、材料、机械等价格上下浮动，承包人可以或者应该预见的风险、符合行业惯例的其他费用以及招标明确的其他风险等均由承包人自行承担。因承包人管理不善等原因引起的费用增加及为方便施工而增加的费用均由承包人承担。</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 合同价格、计量与支付</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12.1 合同价格形式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w:t>
      </w:r>
      <w:r/>
    </w:p>
    <w:p>
      <w:pPr>
        <w:ind w:firstLine="420"/>
        <w:jc w:val="both"/>
        <w:spacing w:line="360" w:lineRule="exact"/>
        <w:shd w:val="clear" w:color="auto" w:fill="auto"/>
        <w:widowControl w:val="off"/>
        <w:tabs>
          <w:tab w:val="left" w:pos="0" w:leader="none"/>
          <w:tab w:val="left" w:pos="993" w:leader="none"/>
          <w:tab w:val="left" w:pos="1134" w:leader="none"/>
        </w:tabs>
        <w:rPr>
          <w:rFonts w:hint="default" w:ascii="宋体" w:hAnsi="宋体" w:eastAsia="宋体" w:cs="仿宋"/>
          <w:color w:val="auto"/>
          <w:sz w:val="21"/>
          <w:szCs w:val="21"/>
          <w:highlight w:val="none"/>
          <w:u w:val="single"/>
          <w:lang w:val="en-US" w:eastAsia="zh-CN" w:bidi="ar-SA"/>
        </w:rPr>
      </w:pPr>
      <w:r>
        <w:rPr>
          <w:rFonts w:hint="eastAsia" w:ascii="宋体" w:hAnsi="宋体" w:eastAsia="宋体" w:cs="宋体"/>
          <w:color w:val="auto"/>
          <w:sz w:val="24"/>
          <w:szCs w:val="22"/>
          <w:highlight w:val="none"/>
          <w:lang w:val="en-US" w:eastAsia="zh-CN" w:bidi="ar-SA"/>
        </w:rPr>
        <w:t xml:space="preserve">综合单价包含的风险范围</w:t>
      </w:r>
      <w:r>
        <w:rPr>
          <w:rFonts w:hint="eastAsia" w:ascii="宋体" w:hAnsi="宋体" w:eastAsia="宋体" w:cs="宋体"/>
          <w:color w:val="auto"/>
          <w:sz w:val="24"/>
          <w:szCs w:val="22"/>
          <w:highlight w:val="none"/>
          <w:u w:val="single"/>
          <w:lang w:val="en-US" w:eastAsia="zh-CN" w:bidi="ar-SA"/>
        </w:rPr>
        <w:t xml:space="preserve">          /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          /      </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 1、项目招标工程量清单错、漏项，结算时按实调整；设计变更、发包方和监理方均认可的签证（含合同以外的零星工作或发生非承包人责任事件的工程量调整）。</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2、双方约定合同价款的其他调整因素：</w:t>
      </w:r>
      <w:r/>
    </w:p>
    <w:p>
      <w:pPr>
        <w:ind w:firstLine="480"/>
        <w:jc w:val="both"/>
        <w:spacing w:line="520" w:lineRule="exact"/>
        <w:shd w:val="clear" w:color="auto" w:fill="auto"/>
        <w:widowControl w:val="off"/>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A、由发包人签发的设计变更、现场签证、图纸会审纪要和洽商记录中有关牵涉到工程造价变化的部分，均按工程变更考虑。</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B、招标图纸以外发包人委托承包人施工的其他工程内容按新增加的工程项目计算；</w:t>
      </w:r>
      <w:r/>
    </w:p>
    <w:p>
      <w:pPr>
        <w:ind w:firstLine="36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C、工程量清单、工程量清单编制说明、洽商记录及约定的材料暂估价项目；</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2、总价合同。</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总价包含的风险范围：</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风险费用的计算方法：</w:t>
      </w:r>
      <w:r>
        <w:rPr>
          <w:rFonts w:hint="eastAsia" w:ascii="宋体" w:hAnsi="宋体" w:eastAsia="宋体" w:cs="宋体"/>
          <w:color w:val="auto"/>
          <w:sz w:val="24"/>
          <w:szCs w:val="24"/>
          <w:highlight w:val="none"/>
          <w:u w:val="single"/>
          <w:lang w:val="en-US" w:eastAsia="zh-CN" w:bidi="ar-SA"/>
        </w:rPr>
        <w:t xml:space="preserve">            /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3、其他价格方式：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spacing w:after="120" w:line="520" w:lineRule="exact"/>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 预付款</w:t>
      </w:r>
      <w:r/>
    </w:p>
    <w:p>
      <w:pPr>
        <w:ind w:firstLine="480"/>
        <w:jc w:val="left"/>
        <w:spacing w:line="520" w:lineRule="exact"/>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12.2.1 预付款的支付</w:t>
      </w:r>
      <w:r/>
    </w:p>
    <w:p>
      <w:pPr>
        <w:ind w:firstLine="480"/>
        <w:jc w:val="left"/>
        <w:spacing w:line="520" w:lineRule="exact"/>
        <w:shd w:val="clear" w:color="auto" w:fil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预付款支付比例或金额：</w:t>
      </w:r>
      <w:r>
        <w:rPr>
          <w:rFonts w:hint="eastAsia" w:ascii="宋体" w:hAnsi="宋体" w:eastAsia="宋体" w:cs="宋体"/>
          <w:color w:val="auto"/>
          <w:sz w:val="24"/>
          <w:szCs w:val="24"/>
          <w:highlight w:val="none"/>
          <w:u w:val="single"/>
          <w:lang w:val="en-US" w:eastAsia="zh-CN" w:bidi="ar-SA"/>
        </w:rPr>
        <w:t xml:space="preserve">按约定支付预付款 </w:t>
      </w:r>
      <w:r>
        <w:rPr>
          <w:rFonts w:hint="eastAsia" w:ascii="宋体" w:hAnsi="宋体" w:eastAsia="宋体" w:cs="宋体"/>
          <w:color w:val="auto"/>
          <w:sz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 计量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12.3.1 计量原则</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工程量计算规则：</w:t>
      </w:r>
      <w:r>
        <w:rPr>
          <w:rFonts w:hint="eastAsia" w:ascii="宋体" w:hAnsi="宋体" w:eastAsia="宋体" w:cs="宋体"/>
          <w:color w:val="auto"/>
          <w:sz w:val="24"/>
          <w:szCs w:val="24"/>
          <w:highlight w:val="none"/>
          <w:u w:val="single"/>
          <w:lang w:val="en-US" w:eastAsia="zh-CN" w:bidi="ar-SA"/>
        </w:rPr>
        <w:t xml:space="preserve"> 工程的计量均以《建设工程工程量清单计价规范》（GB50500--2013)及江苏省、市、区相关计价规定执行。</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12.3.2 计量周期</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关于计量周期的约定：</w:t>
      </w:r>
      <w:r>
        <w:rPr>
          <w:rFonts w:hint="eastAsia" w:ascii="宋体" w:hAnsi="宋体" w:eastAsia="宋体" w:cs="宋体"/>
          <w:color w:val="auto"/>
          <w:sz w:val="24"/>
          <w:szCs w:val="24"/>
          <w:highlight w:val="none"/>
          <w:u w:val="single"/>
          <w:lang w:val="en-US" w:eastAsia="zh-CN" w:bidi="ar-SA"/>
        </w:rPr>
        <w:t xml:space="preserve"> 每月25日前</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12.3.3 单价合同的计量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关于单价合同计量的约定：</w:t>
      </w:r>
      <w:r>
        <w:rPr>
          <w:rFonts w:hint="eastAsia" w:ascii="宋体" w:hAnsi="宋体" w:eastAsia="宋体" w:cs="宋体"/>
          <w:color w:val="auto"/>
          <w:sz w:val="24"/>
          <w:szCs w:val="24"/>
          <w:highlight w:val="none"/>
          <w:u w:val="single"/>
          <w:lang w:val="en-US" w:eastAsia="zh-CN" w:bidi="ar-SA"/>
        </w:rPr>
        <w:t xml:space="preserve">（1）工程量清单所列的工程量，不能作为承包人按合同履行其责任依据，实际施工中发生的工程量增加或减少并不影响承包人履行合同的责任，工程结算以完成的实际工程量为准。（2）除另有规定外，跟踪审计及相关计价人员应按照合同通过计量来核实确定已完成的工程量和价款，承包人应得到该价款扣除保留金后的金额，当发包人、监理人、跟踪审计对已完工的工程量进行计量时，应适时地通知承包人。</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12.3.4 总价合同的计量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关于总价合同计量的约定：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12.3.5总价合同采用支付分解表计量支付的，是否适用第12.3.4 项〔总价合同的计量〕约定进行计量：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12.3.6 其他价格形式合同的计量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其他价格形式的计量方式和程序：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 工程进度款支付</w:t>
      </w:r>
      <w:r/>
    </w:p>
    <w:p>
      <w:pPr>
        <w:ind w:firstLine="420"/>
        <w:jc w:val="left"/>
        <w:spacing w:line="440" w:lineRule="exact"/>
        <w:widowControl/>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12.4.1 付款周期</w:t>
      </w:r>
      <w:r/>
    </w:p>
    <w:p>
      <w:pPr>
        <w:ind w:firstLine="480"/>
        <w:jc w:val="left"/>
        <w:spacing w:line="360" w:lineRule="auto"/>
        <w:shd w:val="clear" w:color="auto" w:fill="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关于付款周期的约定：合同签订后支付合同价款的10%作为预付款，竣工验收合格后付至合同价款的80%，工程审计结束后付至审定价的97%，质保期满且无质量问题付清余款（无息）。</w:t>
      </w:r>
      <w:r/>
    </w:p>
    <w:p>
      <w:pPr>
        <w:ind w:firstLine="482"/>
        <w:jc w:val="left"/>
        <w:spacing w:line="360" w:lineRule="auto"/>
        <w:shd w:val="clear" w:color="auto" w:fill="auto"/>
        <w:widowControl/>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注：在签订合同时，中标人明确表示无需预付款或者主动要求降低预付款比例的金额，采购人可不适用预付款规定。</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关于付款的相关要求：</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b、发包人有权按合同规定直接从工程款中扣除承包人的违约金；施工过程中工程款的支付，必须经发包人项目负责人，总监理工程师签发付款证书，在经过发包人确认后方可支付。</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c、</w:t>
      </w:r>
      <w:r>
        <w:rPr>
          <w:rFonts w:hint="eastAsia" w:ascii="宋体" w:hAnsi="宋体" w:eastAsia="宋体" w:cs="宋体"/>
          <w:color w:val="auto"/>
          <w:sz w:val="24"/>
          <w:szCs w:val="24"/>
          <w:highlight w:val="none"/>
          <w:u w:val="single"/>
          <w:lang w:val="en-US" w:eastAsia="zh-CN" w:bidi="ar-SA"/>
        </w:rPr>
        <w:t xml:space="preserve">所有款项的支付应提出申请，并附相关证明材料，经发包人审核后方可办理支付手续。每次支付时，承包人均需提供实际支付金额等额的增值税专用发票，承包人提供的发票必须合法、合规，如因发票存在的违规行为造成损失，承包人应该承担违约责任。</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d、其他：</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（1）上述工程款支付的金额均为扣除甲供材、专业工程暂估价、暂列金额及其他属于发包人款项的价格。</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发包人支付给承包人的工程进度款，承包人只能用于与本工程相关的人力、材料、机械等费用，对承包人在施工期间拖欠材料供应商材料费造成严重影响的，发包人有权从工程款中直接支付。如工程进度款用于支付与本工程无关的费用，发包人有权选择停止支付工程款, 并由承包人支付该合同总价2%的违约金。</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（3）承包人必须按发包人要求优先支付工人工资，并按发包人要求填写工程款及工人工资发放情况表，否则，发包人有权选择停止支付工程款, 并由承包人支付该合同总价2%或实际拖欠农民工工资总额 2倍的违约金。</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（4）在下列情况下，发包人有权暂时停止支付工程款，直至承包人解决问题：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1）承包人工程进度落后合同进度计划达十四天以上, 发包人有权暂扣应付工程进度款的10%—50%，在承包人采取措施赶回工期后，下期再补回暂扣的工程进度款；</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2）承包人工程质量未达到合同约定标准；</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3）承包人无正当理由故意拒绝或拖延执行发包人代表的指示；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4）工地未符合标准化文明施工要求；</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5）发生与工人工资纠纷、拖欠农民工工资的有关事件。承包人保证及时给工人结算、支付工人工资。如因拖欠工人工资引起工人信访、诉讼等群体性事件，发包人将追究项目负责人管理责任，同时解除合同，并有权按工程最终决算审计价款的5%扣除承包人工程款作为承包人应付的违约金。</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6）工程资料没有与工程形象进度及其他合同约定资料同步提交；</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7）发生安全事故，引起或可能引起发包人承担赔偿责任或连带责任。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12.4.2 进度付款申请单的编制</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关于进度付款申请单编制的约定：</w:t>
      </w:r>
      <w:r>
        <w:rPr>
          <w:rFonts w:hint="eastAsia" w:ascii="宋体" w:hAnsi="宋体" w:eastAsia="宋体" w:cs="宋体"/>
          <w:color w:val="auto"/>
          <w:sz w:val="24"/>
          <w:szCs w:val="24"/>
          <w:highlight w:val="none"/>
          <w:u w:val="single"/>
          <w:lang w:val="en-US" w:eastAsia="zh-CN" w:bidi="ar-SA"/>
        </w:rPr>
        <w:t xml:space="preserve">符合财政部门的规定，一式陆份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12.4.3 进度付款申请单的提交</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（2）总价合同进度付款申请单提交的约定：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（3）其他价格形式合同进度付款申请单提交的约定：</w:t>
      </w:r>
      <w:r>
        <w:rPr>
          <w:rFonts w:hint="eastAsia" w:ascii="宋体" w:hAnsi="宋体" w:eastAsia="宋体" w:cs="宋体"/>
          <w:color w:val="auto"/>
          <w:sz w:val="24"/>
          <w:szCs w:val="24"/>
          <w:highlight w:val="none"/>
          <w:u w:val="single"/>
          <w:lang w:val="en-US" w:eastAsia="zh-CN" w:bidi="ar-SA"/>
        </w:rPr>
        <w:t xml:space="preserve">  待定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12.4.4 进度款审核和支付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（1）监理人审查并报送发包人的期限：</w:t>
      </w:r>
      <w:r>
        <w:rPr>
          <w:rFonts w:hint="eastAsia" w:ascii="宋体" w:hAnsi="宋体" w:eastAsia="宋体" w:cs="宋体"/>
          <w:color w:val="auto"/>
          <w:sz w:val="24"/>
          <w:szCs w:val="24"/>
          <w:highlight w:val="none"/>
          <w:u w:val="single"/>
          <w:lang w:val="en-US" w:eastAsia="zh-CN" w:bidi="ar-SA"/>
        </w:rPr>
        <w:t xml:space="preserve">   收到申请后7天内  </w:t>
      </w:r>
      <w:r>
        <w:rPr>
          <w:rFonts w:hint="eastAsia" w:ascii="宋体" w:hAnsi="宋体" w:eastAsia="宋体" w:cs="宋体"/>
          <w:color w:val="auto"/>
          <w:sz w:val="24"/>
          <w:szCs w:val="24"/>
          <w:highlight w:val="none"/>
          <w:lang w:val="en-US" w:eastAsia="zh-CN" w:bidi="ar-SA"/>
        </w:rPr>
        <w:t xml:space="preserve">。</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发包人完成审批并签发进度款支付证书的期限：</w:t>
      </w:r>
      <w:r>
        <w:rPr>
          <w:rFonts w:hint="eastAsia" w:ascii="宋体" w:hAnsi="宋体" w:eastAsia="宋体" w:cs="宋体"/>
          <w:color w:val="auto"/>
          <w:sz w:val="24"/>
          <w:szCs w:val="24"/>
          <w:highlight w:val="none"/>
          <w:u w:val="singl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（2）发包人支付进度款的期限：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发包人逾期支付进度款的违约金的计算方式：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60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12.4.6 支付分解表的编制</w:t>
      </w:r>
      <w:r/>
    </w:p>
    <w:p>
      <w:pPr>
        <w:ind w:left="4916" w:hanging="432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lang w:val="en-US" w:eastAsia="zh-CN" w:bidi="ar-SA"/>
        </w:rPr>
        <w:t xml:space="preserve">1、总价合同支付分解表的编制与审批：</w:t>
      </w:r>
      <w:r>
        <w:rPr>
          <w:rFonts w:hint="eastAsia" w:ascii="宋体" w:hAnsi="宋体" w:eastAsia="宋体" w:cs="宋体"/>
          <w:color w:val="auto"/>
          <w:sz w:val="24"/>
          <w:szCs w:val="24"/>
          <w:highlight w:val="none"/>
          <w:u w:val="singl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2、单价合同的总价项目支付分解表的编制与审批：</w:t>
      </w:r>
      <w:r>
        <w:rPr>
          <w:rFonts w:hint="eastAsia" w:ascii="宋体" w:hAnsi="宋体" w:eastAsia="宋体" w:cs="宋体"/>
          <w:color w:val="auto"/>
          <w:sz w:val="24"/>
          <w:szCs w:val="24"/>
          <w:highlight w:val="none"/>
          <w:u w:val="single"/>
          <w:lang w:val="en-US" w:eastAsia="zh-CN" w:bidi="ar-SA"/>
        </w:rPr>
        <w:t xml:space="preserve">/。</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13. 验收和工程试车</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 分部分项工程验收</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13.1.2监理人不能按时进行验收时，应提前</w:t>
      </w:r>
      <w:r>
        <w:rPr>
          <w:rFonts w:hint="eastAsia" w:ascii="宋体" w:hAnsi="宋体" w:eastAsia="宋体" w:cs="宋体"/>
          <w:color w:val="auto"/>
          <w:sz w:val="24"/>
          <w:szCs w:val="24"/>
          <w:highlight w:val="none"/>
          <w:u w:val="single"/>
          <w:lang w:val="en-US" w:eastAsia="zh-CN" w:bidi="ar-SA"/>
        </w:rPr>
        <w:t xml:space="preserve"> 48 </w:t>
      </w:r>
      <w:r>
        <w:rPr>
          <w:rFonts w:hint="eastAsia" w:ascii="宋体" w:hAnsi="宋体" w:eastAsia="宋体" w:cs="宋体"/>
          <w:color w:val="auto"/>
          <w:sz w:val="24"/>
          <w:szCs w:val="24"/>
          <w:highlight w:val="none"/>
          <w:lang w:val="en-US" w:eastAsia="zh-CN" w:bidi="ar-SA"/>
        </w:rPr>
        <w:t xml:space="preserve">小时提交书面延期要求。</w:t>
      </w:r>
      <w:r/>
    </w:p>
    <w:p>
      <w:pPr>
        <w:ind w:firstLine="480"/>
        <w:jc w:val="left"/>
        <w:spacing w:line="520" w:lineRule="exact"/>
        <w:shd w:val="clear" w:color="auto" w:fill="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关于延期最长不得超过：</w:t>
      </w:r>
      <w:r>
        <w:rPr>
          <w:rFonts w:hint="eastAsia" w:ascii="宋体" w:hAnsi="宋体" w:eastAsia="宋体" w:cs="宋体"/>
          <w:color w:val="auto"/>
          <w:sz w:val="24"/>
          <w:szCs w:val="24"/>
          <w:highlight w:val="none"/>
          <w:u w:val="single"/>
          <w:lang w:val="en-US" w:eastAsia="zh-CN" w:bidi="ar-SA"/>
        </w:rPr>
        <w:t xml:space="preserve">48</w:t>
      </w:r>
      <w:r>
        <w:rPr>
          <w:rFonts w:hint="eastAsia" w:ascii="宋体" w:hAnsi="宋体" w:eastAsia="宋体" w:cs="宋体"/>
          <w:color w:val="auto"/>
          <w:sz w:val="24"/>
          <w:szCs w:val="24"/>
          <w:highlight w:val="none"/>
          <w:lang w:val="en-US" w:eastAsia="zh-CN" w:bidi="ar-SA"/>
        </w:rPr>
        <w:t xml:space="preserve">小时。</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 竣工验收</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13.2.2竣工验收程序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关于竣工验收程序的约定：</w:t>
      </w:r>
      <w:r>
        <w:rPr>
          <w:rFonts w:hint="eastAsia" w:ascii="宋体" w:hAnsi="宋体" w:eastAsia="宋体" w:cs="宋体"/>
          <w:color w:val="auto"/>
          <w:sz w:val="24"/>
          <w:szCs w:val="24"/>
          <w:highlight w:val="none"/>
          <w:u w:val="single"/>
          <w:lang w:val="en-US" w:eastAsia="zh-CN" w:bidi="ar-SA"/>
        </w:rPr>
        <w:t xml:space="preserve">承包人准备的竣工验收资料齐全，并编制了竣工图（附电子文档）后向监理人提出预验收申请 ，预验收合格监理人签署同意验收后发包人在30天组织有关部门竣工验收</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13.2.5移交、接收全部与部分工程</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承包人向发包人移交工程的期限：</w:t>
      </w:r>
      <w:r>
        <w:rPr>
          <w:rFonts w:hint="eastAsia" w:ascii="宋体" w:hAnsi="宋体" w:eastAsia="宋体" w:cs="宋体"/>
          <w:color w:val="auto"/>
          <w:sz w:val="24"/>
          <w:szCs w:val="24"/>
          <w:highlight w:val="none"/>
          <w:u w:val="single"/>
          <w:lang w:val="en-US" w:eastAsia="zh-CN" w:bidi="ar-SA"/>
        </w:rPr>
        <w:t xml:space="preserve"> 竣工验收合格后10天内及发包人要求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发包人未按本合同约定接收全部或部分工程的，违约金的计算方法为：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承包人未按时移交工程的，违约金的计算方法为：</w:t>
      </w:r>
      <w:r>
        <w:rPr>
          <w:rFonts w:hint="eastAsia" w:ascii="宋体" w:hAnsi="宋体" w:eastAsia="宋体" w:cs="宋体"/>
          <w:color w:val="auto"/>
          <w:sz w:val="24"/>
          <w:szCs w:val="24"/>
          <w:highlight w:val="none"/>
          <w:u w:val="single"/>
          <w:lang w:val="en-US" w:eastAsia="zh-CN" w:bidi="ar-SA"/>
        </w:rPr>
        <w:t xml:space="preserve">每延迟一天按合同价款千分之三收取。</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 工程试车</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13.3.1 试车程序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工程试车内容：</w:t>
      </w:r>
      <w:r>
        <w:rPr>
          <w:rFonts w:hint="eastAsia" w:ascii="宋体" w:hAnsi="宋体" w:eastAsia="宋体" w:cs="宋体"/>
          <w:color w:val="auto"/>
          <w:sz w:val="24"/>
          <w:szCs w:val="24"/>
          <w:highlight w:val="none"/>
          <w:u w:val="single"/>
          <w:lang w:val="en-US" w:eastAsia="zh-CN" w:bidi="ar-SA"/>
        </w:rPr>
        <w:t xml:space="preserve">根据设计图纸或规范要求试车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（1）单机无负荷试车费用由</w:t>
      </w:r>
      <w:r>
        <w:rPr>
          <w:rFonts w:hint="eastAsia" w:ascii="宋体" w:hAnsi="宋体" w:eastAsia="宋体" w:cs="宋体"/>
          <w:color w:val="auto"/>
          <w:sz w:val="24"/>
          <w:szCs w:val="24"/>
          <w:highlight w:val="none"/>
          <w:u w:val="single"/>
          <w:lang w:val="en-US" w:eastAsia="zh-CN" w:bidi="ar-SA"/>
        </w:rPr>
        <w:t xml:space="preserve"> 承包人  </w:t>
      </w:r>
      <w:r>
        <w:rPr>
          <w:rFonts w:hint="eastAsia" w:ascii="宋体" w:hAnsi="宋体" w:eastAsia="宋体" w:cs="宋体"/>
          <w:color w:val="auto"/>
          <w:sz w:val="24"/>
          <w:szCs w:val="24"/>
          <w:highlight w:val="none"/>
          <w:lang w:val="en-US" w:eastAsia="zh-CN" w:bidi="ar-SA"/>
        </w:rPr>
        <w:t xml:space="preserve">承担；</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（2）无负荷联动试车费用由</w:t>
      </w:r>
      <w:r>
        <w:rPr>
          <w:rFonts w:hint="eastAsia" w:ascii="宋体" w:hAnsi="宋体" w:eastAsia="宋体" w:cs="宋体"/>
          <w:color w:val="auto"/>
          <w:sz w:val="24"/>
          <w:szCs w:val="24"/>
          <w:highlight w:val="none"/>
          <w:u w:val="single"/>
          <w:lang w:val="en-US" w:eastAsia="zh-CN" w:bidi="ar-SA"/>
        </w:rPr>
        <w:t xml:space="preserve">  承包人  </w:t>
      </w:r>
      <w:r>
        <w:rPr>
          <w:rFonts w:hint="eastAsia" w:ascii="宋体" w:hAnsi="宋体" w:eastAsia="宋体" w:cs="宋体"/>
          <w:color w:val="auto"/>
          <w:sz w:val="24"/>
          <w:szCs w:val="24"/>
          <w:highlight w:val="none"/>
          <w:lang w:val="en-US" w:eastAsia="zh-CN" w:bidi="ar-SA"/>
        </w:rPr>
        <w:t xml:space="preserve">承担。</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13.3.3 投料试车</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关于投料试车相关事项的约定：</w:t>
      </w:r>
      <w:r>
        <w:rPr>
          <w:rFonts w:hint="eastAsia" w:ascii="宋体" w:hAnsi="宋体" w:eastAsia="宋体" w:cs="宋体"/>
          <w:color w:val="auto"/>
          <w:sz w:val="24"/>
          <w:szCs w:val="24"/>
          <w:highlight w:val="none"/>
          <w:u w:val="single"/>
          <w:lang w:val="en-US" w:eastAsia="zh-CN" w:bidi="ar-SA"/>
        </w:rPr>
        <w:t xml:space="preserve">根据设计图纸或规范要求试车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13.6 竣工退场</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13.6.1 竣工退场</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承包人完成竣工退场的期限：</w:t>
      </w:r>
      <w:r>
        <w:rPr>
          <w:rFonts w:hint="eastAsia" w:ascii="宋体" w:hAnsi="宋体" w:eastAsia="宋体" w:cs="宋体"/>
          <w:color w:val="auto"/>
          <w:sz w:val="24"/>
          <w:szCs w:val="24"/>
          <w:highlight w:val="none"/>
          <w:u w:val="single"/>
          <w:lang w:val="en-US" w:eastAsia="zh-CN" w:bidi="ar-SA"/>
        </w:rPr>
        <w:t xml:space="preserve">  竣工验收合格10天内        </w:t>
      </w:r>
      <w:r>
        <w:rPr>
          <w:rFonts w:hint="eastAsia" w:ascii="宋体" w:hAnsi="宋体" w:eastAsia="宋体" w:cs="宋体"/>
          <w:color w:val="auto"/>
          <w:sz w:val="24"/>
          <w:szCs w:val="24"/>
          <w:highlight w:val="none"/>
          <w:lang w:val="en-US" w:eastAsia="zh-CN" w:bidi="ar-SA"/>
        </w:rPr>
        <w:t xml:space="preserve">。</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14. 竣工结算</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 竣工结算申请</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承包人提交竣工结算申请单的期限：</w:t>
      </w:r>
      <w:r>
        <w:rPr>
          <w:rFonts w:hint="eastAsia" w:ascii="宋体" w:hAnsi="宋体" w:eastAsia="宋体" w:cs="宋体"/>
          <w:color w:val="auto"/>
          <w:sz w:val="24"/>
          <w:szCs w:val="24"/>
          <w:highlight w:val="none"/>
          <w:u w:val="single"/>
          <w:lang w:val="en-US" w:eastAsia="zh-CN" w:bidi="ar-SA"/>
        </w:rPr>
        <w:t xml:space="preserve">竣工结算经审计部门审定后14天内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竣工结算申请单应包括的内容：</w:t>
      </w:r>
      <w:r>
        <w:rPr>
          <w:rFonts w:hint="eastAsia" w:ascii="宋体" w:hAnsi="宋体" w:eastAsia="宋体" w:cs="宋体"/>
          <w:color w:val="auto"/>
          <w:sz w:val="24"/>
          <w:szCs w:val="24"/>
          <w:highlight w:val="none"/>
          <w:u w:val="single"/>
          <w:lang w:val="en-US" w:eastAsia="zh-CN" w:bidi="ar-SA"/>
        </w:rPr>
        <w:t xml:space="preserve"> 结算书、签证资料、竣工图、会议纪要、洽商记录、施工组织设计、多项施工方案、采购文件、响应文件、施工合同、施工日记等、并应符合审计部门的要求。    </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14.2 竣工结算审核</w:t>
      </w:r>
      <w:r/>
    </w:p>
    <w:p>
      <w:pPr>
        <w:ind w:firstLine="420"/>
        <w:jc w:val="both"/>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供的结算资料不符合审计要求的，必须及时补充提供，后果由承包人自行承担，且不能因此推断发包人同意承包人提供的结算。审计期的长短与发包人无关，承包人承诺不因此向发包人主张损失赔偿权利。 </w:t>
      </w:r>
      <w:r/>
    </w:p>
    <w:p>
      <w:pPr>
        <w:ind w:firstLine="420"/>
        <w:jc w:val="left"/>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发包人完成竣工付款的期限：</w:t>
      </w:r>
      <w:r>
        <w:rPr>
          <w:rFonts w:hint="eastAsia" w:ascii="宋体" w:hAnsi="宋体" w:eastAsia="宋体" w:cs="宋体"/>
          <w:bCs/>
          <w:color w:val="auto"/>
          <w:sz w:val="24"/>
          <w:szCs w:val="24"/>
          <w:highlight w:val="none"/>
          <w:u w:val="single"/>
          <w:lang w:val="en-US" w:eastAsia="zh-CN" w:bidi="ar-SA"/>
        </w:rPr>
        <w:t xml:space="preserve">按照通用条款执行；</w:t>
      </w:r>
      <w:r/>
    </w:p>
    <w:p>
      <w:pPr>
        <w:ind w:firstLine="42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关于竣工付款证书异议部分复核的方式和程序：</w:t>
      </w:r>
      <w:r>
        <w:rPr>
          <w:rFonts w:hint="eastAsia" w:ascii="宋体" w:hAnsi="宋体" w:eastAsia="宋体" w:cs="宋体"/>
          <w:bCs/>
          <w:color w:val="auto"/>
          <w:sz w:val="24"/>
          <w:szCs w:val="24"/>
          <w:highlight w:val="none"/>
          <w:u w:val="single"/>
          <w:lang w:val="en-US" w:eastAsia="zh-CN" w:bidi="ar-SA"/>
        </w:rPr>
        <w:t xml:space="preserve">按照通用条款执行；</w:t>
      </w:r>
      <w:r/>
    </w:p>
    <w:p>
      <w:pPr>
        <w:ind w:firstLine="420"/>
        <w:jc w:val="left"/>
        <w:spacing w:line="520" w:lineRule="exact"/>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 最终结清</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14.3.1 最终结清申请单</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承包人提交最终结清申请单的份数：</w:t>
      </w:r>
      <w:r>
        <w:rPr>
          <w:rFonts w:hint="eastAsia" w:ascii="宋体" w:hAnsi="宋体" w:eastAsia="宋体" w:cs="宋体"/>
          <w:color w:val="auto"/>
          <w:sz w:val="24"/>
          <w:szCs w:val="24"/>
          <w:highlight w:val="none"/>
          <w:u w:val="single"/>
          <w:lang w:val="en-US" w:eastAsia="zh-CN" w:bidi="ar-SA"/>
        </w:rPr>
        <w:t xml:space="preserve">  一式陆份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承包人提交最终结算申请单的期限：</w:t>
      </w:r>
      <w:r>
        <w:rPr>
          <w:rFonts w:hint="eastAsia" w:ascii="宋体" w:hAnsi="宋体" w:eastAsia="宋体" w:cs="宋体"/>
          <w:color w:val="auto"/>
          <w:sz w:val="24"/>
          <w:szCs w:val="24"/>
          <w:highlight w:val="none"/>
          <w:u w:val="single"/>
          <w:lang w:val="en-US" w:eastAsia="zh-CN" w:bidi="ar-SA"/>
        </w:rPr>
        <w:t xml:space="preserve"> 缺陷责任期终止，保修责任期满且双方无异议后14天内          </w:t>
      </w:r>
      <w:r>
        <w:rPr>
          <w:rFonts w:hint="eastAsia" w:ascii="宋体" w:hAnsi="宋体" w:eastAsia="宋体" w:cs="宋体"/>
          <w:color w:val="auto"/>
          <w:sz w:val="24"/>
          <w:szCs w:val="24"/>
          <w:highlight w:val="non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14.3.2 最终结清证书和支付</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（1）发包人完成最终结清申请单的审批并颁发最终结清证书的期限：</w:t>
      </w:r>
      <w:r>
        <w:rPr>
          <w:rFonts w:hint="eastAsia" w:ascii="宋体" w:hAnsi="宋体" w:eastAsia="宋体" w:cs="宋体"/>
          <w:color w:val="auto"/>
          <w:sz w:val="24"/>
          <w:szCs w:val="24"/>
          <w:highlight w:val="none"/>
          <w:u w:val="single"/>
          <w:lang w:val="en-US" w:eastAsia="zh-CN" w:bidi="ar-SA"/>
        </w:rPr>
        <w:t xml:space="preserve">承包人同意工程竣工验收合格后，由审计部门或其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核减率超过 5%的，审计费由承包人自行承担。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（2）发包人完成支付的期限：</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u w:val="single"/>
          <w:lang w:val="en-US" w:eastAsia="zh-CN" w:bidi="ar-SA"/>
        </w:rPr>
        <w:t xml:space="preserve">按照通用条款执行</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15. 缺陷责任期与保修</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15.2缺陷责任期</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缺陷责任期的具体期限：</w:t>
      </w:r>
      <w:r>
        <w:rPr>
          <w:rFonts w:hint="eastAsia" w:ascii="宋体" w:hAnsi="宋体" w:eastAsia="宋体" w:cs="宋体"/>
          <w:color w:val="auto"/>
          <w:sz w:val="24"/>
          <w:szCs w:val="24"/>
          <w:highlight w:val="none"/>
          <w:u w:val="single"/>
          <w:lang w:val="en-US" w:eastAsia="zh-CN" w:bidi="ar-SA"/>
        </w:rPr>
        <w:t xml:space="preserve">缺陷责任期从工程通过竣工验收合格之日起计算（工程交付使用早于竣工验收的，以竣工验收合格日期为准），期限为24个月。</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单位工程先于全部工程进行验收，经验收合格并交付使用的，该单位工程缺陷责任期仍从项目工程整体竣工验收合格之日起算。无论何种原因导致工程无法按合同约定期限进行竣工验收的，缺陷责任期都从实际通过竣工验收之日起计算。</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应于工程整体的缺陷责任期届满后7天内向发包人发出缺陷责任期届满通知，发包人应在收到缺陷责任期满通知后30个工作日内核实承包人是否履行缺陷修复义务，承包人未能履行缺陷修复义务的，发包人有权扣除相应金额的维修费用。</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15.3 质量保证金</w:t>
      </w:r>
      <w:r/>
    </w:p>
    <w:p>
      <w:pPr>
        <w:ind w:left="420"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关于是否扣留质量保证金的约定：</w:t>
      </w:r>
      <w:r>
        <w:rPr>
          <w:rFonts w:hint="eastAsia" w:ascii="宋体" w:hAnsi="宋体" w:eastAsia="宋体" w:cs="宋体"/>
          <w:color w:val="auto"/>
          <w:sz w:val="24"/>
          <w:szCs w:val="24"/>
          <w:highlight w:val="none"/>
          <w:u w:val="single"/>
          <w:lang w:val="en-US" w:eastAsia="zh-CN" w:bidi="ar-SA"/>
        </w:rPr>
        <w:t xml:space="preserve">是。</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在工程项目竣工前，承包人按专用合同条款第3.7条提供履约担保的，发包人不得同时预留工程质量保证金。</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15.3.1 承包人提供质量保证金的方式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质量保证金采用以下第</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种方式：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（1）质量保证金保函，保证金额为：</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u w:val="single"/>
          <w:lang w:val="en-US" w:eastAsia="zh-CN" w:bidi="ar-SA"/>
        </w:rPr>
        <w:t xml:space="preserve"> 3 </w:t>
      </w:r>
      <w:r>
        <w:rPr>
          <w:rFonts w:hint="eastAsia" w:ascii="宋体" w:hAnsi="宋体" w:eastAsia="宋体" w:cs="宋体"/>
          <w:color w:val="auto"/>
          <w:sz w:val="24"/>
          <w:szCs w:val="24"/>
          <w:highlight w:val="none"/>
          <w:lang w:val="en-US" w:eastAsia="zh-CN" w:bidi="ar-SA"/>
        </w:rPr>
        <w:t xml:space="preserve">%的工程款；</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15.3.2 质量保证金的扣留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质量保证金的扣留采取以下第</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种方式：</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（1）在支付工程进度款时逐次扣留，在此情形下，质量保证金的计算基数不包括预付款的支付、扣回以及价格调整的金额；</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（2）工程竣工结算时一次性扣留质量保证金；</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（3）其他扣留方式:</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关于质量保证金的补充约定：</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15.4保修</w:t>
      </w:r>
      <w:r/>
    </w:p>
    <w:p>
      <w:pPr>
        <w:ind w:firstLine="468"/>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15.4.1 保修责任</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工程保修期为：</w:t>
      </w:r>
      <w:r>
        <w:rPr>
          <w:rFonts w:hint="eastAsia" w:ascii="宋体" w:hAnsi="宋体" w:eastAsia="宋体" w:cs="宋体"/>
          <w:b/>
          <w:color w:val="auto"/>
          <w:sz w:val="24"/>
          <w:szCs w:val="24"/>
          <w:highlight w:val="none"/>
          <w:u w:val="single"/>
          <w:lang w:val="en-US" w:eastAsia="zh-CN" w:bidi="ar-SA"/>
        </w:rPr>
        <w:t xml:space="preserve">按现行相关规范执行 </w:t>
      </w:r>
      <w:r>
        <w:rPr>
          <w:rFonts w:hint="eastAsia" w:ascii="宋体" w:hAnsi="宋体" w:eastAsia="宋体" w:cs="宋体"/>
          <w:color w:val="auto"/>
          <w:sz w:val="24"/>
          <w:szCs w:val="24"/>
          <w:highlight w:val="none"/>
          <w:lang w:val="en-US" w:eastAsia="zh-CN" w:bidi="ar-SA"/>
        </w:rPr>
        <w:t xml:space="preserve">。</w:t>
      </w:r>
      <w:r/>
    </w:p>
    <w:p>
      <w:pPr>
        <w:ind w:firstLine="468"/>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15.4.3 修复通知</w:t>
      </w:r>
      <w:r/>
    </w:p>
    <w:p>
      <w:pPr>
        <w:ind w:firstLine="468"/>
        <w:jc w:val="left"/>
        <w:spacing w:line="520" w:lineRule="exact"/>
        <w:shd w:val="clear" w:color="auto" w:fill="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承包人收到保修通知并到达工程现场的合理时间：</w:t>
      </w:r>
      <w:r>
        <w:rPr>
          <w:rFonts w:hint="eastAsia" w:ascii="宋体" w:hAnsi="宋体" w:eastAsia="宋体" w:cs="宋体"/>
          <w:bCs/>
          <w:color w:val="auto"/>
          <w:sz w:val="24"/>
          <w:szCs w:val="24"/>
          <w:highlight w:val="none"/>
          <w:u w:val="single"/>
          <w:lang w:val="en-US" w:eastAsia="zh-CN" w:bidi="ar-SA"/>
        </w:rPr>
        <w:t xml:space="preserve"> 3天内  。</w:t>
      </w:r>
      <w:r/>
    </w:p>
    <w:p>
      <w:pPr>
        <w:ind w:firstLine="468"/>
        <w:jc w:val="left"/>
        <w:spacing w:line="520" w:lineRule="exact"/>
        <w:shd w:val="clear" w:color="auto" w:fill="auto"/>
        <w:widowControl w:val="off"/>
        <w:rPr>
          <w:rFonts w:hint="eastAsia" w:ascii="宋体" w:hAnsi="宋体" w:eastAsia="宋体" w:cs="宋体"/>
          <w:bCs/>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t xml:space="preserve">1.承包人应当在接到保修通知之日起48小时内派人保修。承包人不在约定期限内派人保修的，发包人可以委托他人修理，保修费用从质量保修金内扣除。2.对于涉及结构安全的质量问题，应当按照《房屋建筑工程质量保修办法》的规定，立即向当地建设行政主管部门报告，采取安全防范措施；由原设计单位或者具有相应资质等级的设计单位提出保修方案，承包人实施保修。3.质量保修完成后，由发包人组织验收。</w:t>
      </w:r>
      <w:r/>
    </w:p>
    <w:p>
      <w:pPr>
        <w:ind w:firstLine="482"/>
        <w:jc w:val="left"/>
        <w:spacing w:line="520" w:lineRule="exact"/>
        <w:shd w:val="clear" w:color="auto" w:fill="auto"/>
        <w:widowControl w:val="off"/>
        <w:rPr>
          <w:rFonts w:hint="eastAsia" w:ascii="宋体" w:hAnsi="宋体" w:eastAsia="宋体" w:cs="宋体"/>
          <w:b/>
          <w:color w:val="auto"/>
          <w:sz w:val="24"/>
          <w:szCs w:val="24"/>
          <w:highlight w:val="none"/>
          <w:lang w:val="en-US" w:eastAsia="zh-CN" w:bidi="ar-SA"/>
        </w:rPr>
        <w:outlineLvl w:val="9"/>
      </w:pPr>
      <w:r>
        <w:rPr>
          <w:rFonts w:hint="eastAsia" w:ascii="宋体" w:hAnsi="宋体" w:eastAsia="宋体" w:cs="宋体"/>
          <w:b/>
          <w:color w:val="auto"/>
          <w:sz w:val="24"/>
          <w:szCs w:val="24"/>
          <w:highlight w:val="none"/>
          <w:lang w:val="en-US" w:eastAsia="zh-CN" w:bidi="ar-SA"/>
        </w:rPr>
        <w:t xml:space="preserve">16. 违约</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16.1 发包人违约</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16.1.1发包人违约的情形</w:t>
      </w:r>
      <w:r/>
    </w:p>
    <w:p>
      <w:pPr>
        <w:ind w:left="1316" w:hanging="72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发包人违约的其他情形：</w:t>
      </w:r>
      <w:r>
        <w:rPr>
          <w:rFonts w:hint="eastAsia" w:ascii="宋体" w:hAnsi="宋体" w:eastAsia="宋体" w:cs="宋体"/>
          <w:color w:val="auto"/>
          <w:sz w:val="24"/>
          <w:szCs w:val="24"/>
          <w:highlight w:val="none"/>
          <w:u w:val="single"/>
          <w:lang w:val="en-US" w:eastAsia="zh-CN" w:bidi="ar-SA"/>
        </w:rPr>
        <w:t xml:space="preserve">按通用条款执行   </w:t>
      </w:r>
      <w:r>
        <w:rPr>
          <w:rFonts w:hint="eastAsia" w:ascii="宋体" w:hAnsi="宋体" w:eastAsia="宋体" w:cs="宋体"/>
          <w:color w:val="auto"/>
          <w:sz w:val="24"/>
          <w:szCs w:val="24"/>
          <w:highlight w:val="none"/>
          <w:lang w:val="en-US" w:eastAsia="zh-CN" w:bidi="ar-SA"/>
        </w:rPr>
        <w:t xml:space="preserve">。</w:t>
      </w:r>
      <w:r/>
    </w:p>
    <w:p>
      <w:pPr>
        <w:ind w:left="1500" w:hanging="120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16.1.2 发包人违约的责任</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发包人违约责任的承担方式和计算方法：</w:t>
      </w:r>
      <w:r/>
    </w:p>
    <w:p>
      <w:pPr>
        <w:numPr>
          <w:ilvl w:val="0"/>
          <w:numId w:val="7"/>
        </w:num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因发包人原因未能在计划开工日期前7天内下达开工通知的违约责任：</w:t>
      </w:r>
      <w:r>
        <w:rPr>
          <w:rFonts w:hint="eastAsia" w:ascii="宋体" w:hAnsi="宋体" w:eastAsia="宋体" w:cs="宋体"/>
          <w:color w:val="auto"/>
          <w:sz w:val="24"/>
          <w:szCs w:val="24"/>
          <w:highlight w:val="none"/>
          <w:u w:val="singl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（2）因发包人原因未能按合同约定支付合同价款的违约责任：</w:t>
      </w:r>
      <w:r>
        <w:rPr>
          <w:rFonts w:hint="eastAsia" w:ascii="宋体" w:hAnsi="宋体" w:eastAsia="宋体" w:cs="宋体"/>
          <w:color w:val="auto"/>
          <w:sz w:val="24"/>
          <w:szCs w:val="24"/>
          <w:highlight w:val="none"/>
          <w:u w:val="singl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lang w:val="en-US" w:eastAsia="zh-CN" w:bidi="ar-SA"/>
        </w:rPr>
        <w:t xml:space="preserve">发包人负责退货，工期顺延并承担工期延误的费用</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（5）因发包人违反合同约定造成暂停施工的违约责任：</w:t>
      </w:r>
      <w:r>
        <w:rPr>
          <w:rFonts w:hint="eastAsia" w:ascii="宋体" w:hAnsi="宋体" w:eastAsia="宋体" w:cs="宋体"/>
          <w:color w:val="auto"/>
          <w:sz w:val="24"/>
          <w:szCs w:val="24"/>
          <w:highlight w:val="none"/>
          <w:u w:val="single"/>
          <w:lang w:val="en-US" w:eastAsia="zh-CN" w:bidi="ar-SA"/>
        </w:rPr>
        <w:t xml:space="preserve"> 工期顺延并承担费用补偿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lang w:val="en-US" w:eastAsia="zh-CN" w:bidi="ar-SA"/>
        </w:rPr>
        <w:t xml:space="preserve">工期顺延并承担费用补偿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（7）其他：</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16.1.3 因发包人违约解除合同</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承包人按16.1.1项〔发包人违约的情形〕约定暂停施工满</w:t>
      </w:r>
      <w:r>
        <w:rPr>
          <w:rFonts w:hint="eastAsia" w:ascii="宋体" w:hAnsi="宋体" w:eastAsia="宋体" w:cs="宋体"/>
          <w:color w:val="auto"/>
          <w:sz w:val="24"/>
          <w:szCs w:val="24"/>
          <w:highlight w:val="none"/>
          <w:u w:val="single"/>
          <w:lang w:val="en-US" w:eastAsia="zh-CN" w:bidi="ar-SA"/>
        </w:rPr>
        <w:t xml:space="preserve"> 30</w:t>
      </w:r>
      <w:r>
        <w:rPr>
          <w:rFonts w:hint="eastAsia" w:ascii="宋体" w:hAnsi="宋体" w:eastAsia="宋体" w:cs="宋体"/>
          <w:color w:val="auto"/>
          <w:sz w:val="24"/>
          <w:szCs w:val="24"/>
          <w:highlight w:val="none"/>
          <w:lang w:val="en-US" w:eastAsia="zh-CN" w:bidi="ar-SA"/>
        </w:rPr>
        <w:t xml:space="preserve">天后发包人仍不纠正其违约行为并致使合同目的不能实现的，承包人有权解除合同。</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16.2 承包人违约</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16.2.1 承包人违约的情形</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承包人违约的其他情形：</w:t>
      </w:r>
      <w:r>
        <w:rPr>
          <w:rFonts w:hint="eastAsia" w:ascii="宋体" w:hAnsi="宋体" w:eastAsia="宋体" w:cs="宋体"/>
          <w:color w:val="auto"/>
          <w:sz w:val="24"/>
          <w:szCs w:val="24"/>
          <w:highlight w:val="none"/>
          <w:u w:val="single"/>
          <w:lang w:val="en-US" w:eastAsia="zh-CN" w:bidi="ar-SA"/>
        </w:rPr>
        <w:t xml:space="preserve"> 在合同履行过程中发生的下列情形，属于承包人违约：</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承包人违反合同约定进行转包或分包；</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承包人违反合同约定采购和使用不合格的材料和工程设备的；</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highlight w:val="none"/>
          <w:u w:val="single"/>
          <w:lang w:val="en-US" w:eastAsia="zh-CN" w:bidi="ar-SA"/>
        </w:rPr>
        <w:t xml:space="preserve">因承包人原因导致工程质量不符合合同要求的；</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承包人未能按施工进度计划及时完成合同约定的工作，造成工期延误的；</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承包人在缺陷责任期及保修期内，未能在合理期限对工程缺陷进行修复，或拒绝按发包人要求进行修复的；</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承包人明确表示或者以其行为表明不履行合同主要义务的；</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承包人未能按照合同约定履行其他义务的</w:t>
      </w:r>
      <w:r/>
    </w:p>
    <w:p>
      <w:pPr>
        <w:numPr>
          <w:ilvl w:val="0"/>
          <w:numId w:val="8"/>
        </w:numPr>
        <w:ind w:firstLine="60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承包人发生除本条约定以外的其他违约情况时，监理人可向承包人发出整改通知，要求其在指定的期限内改正。</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16.2.2承包人违约的责任</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none"/>
          <w:lang w:val="en-US" w:eastAsia="zh-CN" w:bidi="ar"/>
        </w:rPr>
        <w:t xml:space="preserve">承包人违约责任的承担方式和计算方法：</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1）承包人未按照现行的国家施工验收规范和资料评定标准施工的。如第一次工程竣工验收时工程质量达不到合格标准时，承包人应向发包人支付违约金为履约保证金的30%，如第二次工程竣工验收时工程质量达不到合格标准时，承包人应向发包人支付违约金为履约保证金的70%，且发包人有权解除合同并不再支付剩余工程款，承包人还应当另行承担因此给发包人造成的实际损失。因承包人自身原因，致使工程达不到合格标准的，承包人必须进行整改，其整改所需时间计算在合同总工期内。因此造成的工期延误按前述有关条款处理。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（2）承包人在施工中对规定现场的已完工工程的成品造成损毁及污染的；需负责整改并承担所发生的一切费用，同时承包人同意向发包人支付5000元/次的违约金。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（3）在施工期间由于承包人原因发生安全及质量事故；每发生一次，根据事故的影响程度，承包人还须向发包人支付5000—200000元的违约金；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（4）如承包人未能按本合同约定在工程竣工后及时清理垃圾、平整场地，则发包人有权自行清理垃圾、平整场地，承包人除应负担发包人因此而发生的费用外，还应按本合同总价款2%的标准向发包人支付违约金。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（5）如因承包人原因，导致周边住户和单位投诉或被新闻媒体给予负面曝光的；承包人需承担由此造成的一切后果并承担由此产生的相关费用，同时承包人同意向发包人支付50000元/次的违约金。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（6）如因承包人原因发生保险事故给发包人造成影响的；承包人承担违约责任，需向发包人支付保险赔付金10%的违约金。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（7）承包人现场施工人员未佩戴安全帽及违规操作的；承包人同意向发包人支付200元/人·次的违约金。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8）承包人用电安全、施工围挡未按规定要求执行的；承包人同意向发包人支付5000元/次的违约金；承包人施工围挡应内外整洁，至少每周清理一次，对未予及时处理的污垢，承包人同意向发包人支付1000元/处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9）如承包人未能采取有效措施来控制、降低施工现场的扬尘、噪音等环境污染，或因环境污染造成被相关部门责令停工的，承包人同意向发包人支付10000元/次的违约金；因环境污染造成被相关部门责令整改的，承包人同意向发包人支付30000元/次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10）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2000—100000元的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11）如承包人未经发包人同意擅自将其在施工过程中获悉的发包人商业秘密向第三人泄露（如发包人提供的图纸内容），发包人有权单方终止合同，同时发包人有权要求承包人按本合同总价款的10%标准支付违约金。如承包人支付了违约金后仍不能弥补因其泄露发包人商业秘密给发包人造成的经济损失的，承包人还应赔偿发包人的实际经济损失。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（12）为加强工期、质量、安全、文明方面的控制，确保工程顺利进行，便于发包人定期对工程建设情况进行考核，对考核不合格的将要求限期整改，并按相关要求对承包人收取违约金。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质量方面：①承包方应保证每次自检资料完整、规范，数据真实、准确，检查频率必须符合规范设计和相关要求。达不到要求的，视同承包人违约，承包方应按500元/次的标准向发包方支付违约金。②</w:t>
      </w:r>
      <w:r>
        <w:rPr>
          <w:rFonts w:hint="eastAsia" w:ascii="宋体" w:hAnsi="宋体" w:eastAsia="宋体" w:cs="宋体"/>
          <w:color w:val="auto"/>
          <w:sz w:val="24"/>
          <w:szCs w:val="24"/>
          <w:highlight w:val="none"/>
          <w:u w:val="single"/>
          <w:lang w:val="en-US" w:eastAsia="zh-CN" w:bidi="ar"/>
        </w:rPr>
        <w:t xml:space="preserve">承包方应及时、准确对分项工程质量进行自验评定。监理方和指挥部定期抽查，每次抽查合格率达不到100%的，视同承包人违约，承包方应按1000元/次的标准向发包方支付违约金。③施工抽查中需确保无质量问题。如存在质量问题，每发现一处，承包方按相关要求整改外并按500元/处的标准向发包方支付违约金；造成局部返工时，承包方应按2000元/处的标准向发包方支付违约金；问题较严重且因返工影响工程整体进度时，根据实际情况，承包方应按2000—5000元/处的标准向发包方支付违约金。④原材料进场前应经监理工程师检查认可，同意后</w:t>
      </w:r>
      <w:r>
        <w:rPr>
          <w:rFonts w:hint="eastAsia" w:ascii="宋体" w:hAnsi="宋体" w:eastAsia="宋体" w:cs="宋体"/>
          <w:color w:val="auto"/>
          <w:sz w:val="24"/>
          <w:szCs w:val="24"/>
          <w:highlight w:val="none"/>
          <w:u w:val="single"/>
          <w:lang w:val="en-US" w:eastAsia="zh-CN" w:bidi="ar"/>
        </w:rPr>
        <w:t xml:space="preserve">方可进场，检测频率应符合要求，不合格的材料不得用于工程施工。违反上述规定的，发包人将责令清退出场，承包方应按1000元/批次的标准向发包方支付违约金。⑤工程相关试验频率应符合要求，能全面反映工程总体质量状况，实验数据真实、正确、及时、有效。施工单位负责人在资料中签署姓名必须齐全、字迹清晰可辨、整洁、符合标准文件的要求。违反上述规定的，承包方应按1000元/页的标准向发包方支付违约金。⑥承包人因工程质量和规范管理问题，受到质量监督等行政主管部门查处和通报的，承包方应按2000元/次的标准向发包方支付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安全文明施工方面：①对承包人违反安全规范要求进行施工的，或现场存在安全施工隐患的，每发现一处，扣除10000元的安全措施费，并限期整改。②如因安全文明问题受到质量监督等行政主管部门查处和通报的，按20000元/次的标准扣除安全措施费。现场出现施工安全事故的，根据程度和影响，发包人将及时报行政主管部门并依法追究施工单位相关责任。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工程进度方面：①承包人应根据施工合同工期的约定，制定切实可行的施工组织</w:t>
      </w:r>
      <w:r>
        <w:rPr>
          <w:rFonts w:hint="eastAsia" w:ascii="宋体" w:hAnsi="宋体" w:eastAsia="宋体" w:cs="宋体"/>
          <w:color w:val="auto"/>
          <w:sz w:val="24"/>
          <w:szCs w:val="24"/>
          <w:highlight w:val="none"/>
          <w:u w:val="single"/>
          <w:lang w:val="en-US" w:eastAsia="zh-CN" w:bidi="ar"/>
        </w:rPr>
        <w:t xml:space="preserve">计划，并形成工期进度计划表，中标后7日内报监理和发包人审核后予以公开，接受考核。②承包人和监理人根据工期进度计划对每天应完成的工作量及在岗人员数量进行考核备案，分部分项的工程量不能按时完成的，承包方应按50000元/天的标准向发包方支付违约金。③以每周为一个节点，工期延误超过7天的将对施工单位进行双倍收取违约金，并发包人可根据工程需要，另行安排其他施工队伍替换承包人赶工期，所需费用双倍从总包单位的工程进度款中扣除。④承包人按合同约定的竣工时间提前交付的，每超前一天，可按工期滞后违约金的相同标准抵扣违约金。 </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13）如承包人在本工程投标期间弄虚作假、相互串通投标，在工程实施期间被查证属实的，视同承包人违约，发包人将没收全部履约保证金，并可采取终止施工合同并不再支付剩余工程款、向招投标管理部门报告等措施。</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
        </w:rPr>
      </w:pPr>
      <w:r>
        <w:rPr>
          <w:rFonts w:hint="eastAsia" w:ascii="宋体" w:hAnsi="宋体" w:eastAsia="宋体" w:cs="宋体"/>
          <w:color w:val="auto"/>
          <w:sz w:val="24"/>
          <w:szCs w:val="24"/>
          <w:highlight w:val="none"/>
          <w:u w:val="single"/>
          <w:lang w:val="en-US" w:eastAsia="zh-CN" w:bidi="ar"/>
        </w:rPr>
        <w:t xml:space="preserve">（14）承包人同意违约赔偿金在每次付工程款中扣除，且承包人不存在任何异议。</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16.2.3 因承包人违约解除合同</w:t>
      </w:r>
      <w:r/>
    </w:p>
    <w:p>
      <w:pPr>
        <w:ind w:firstLine="480"/>
        <w:jc w:val="both"/>
        <w:spacing w:before="120" w:after="120"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关于承包人违约解除合同的特别约定：</w:t>
      </w:r>
      <w:r>
        <w:rPr>
          <w:rFonts w:hint="eastAsia" w:ascii="宋体" w:hAnsi="宋体" w:eastAsia="宋体" w:cs="宋体"/>
          <w:color w:val="auto"/>
          <w:sz w:val="24"/>
          <w:szCs w:val="24"/>
          <w:highlight w:val="none"/>
          <w:u w:val="single"/>
          <w:lang w:val="en-US" w:eastAsia="zh-CN" w:bidi="ar-SA"/>
        </w:rPr>
        <w:t xml:space="preserve"> 承包人有违反以下情况之一的，发包人有权解除合同，并没收其全部履约保证金。</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(1)承包人无正当理由不按开工通知的要求及时进场组织施工和不按签订协议书时商订的进度计划有效地开展施工准备，造成工期延误的；</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(2)承包人违反本合同通用条款第3.5条规定私自将合同或合同的任何部分或任何权利转让给其他人，或私自将工程或工程的一部分分包出去的；</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(3)未经监理人批准，承包人私自将已按响应文件承诺进入工地的工程设备、施工设备、临时工程或材料撤离工地的；</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(4)由于承包人原因拒绝按合同进度计划及时完成合同规定的工程，而又未采取有效措施赶上进度，造成工期延误的；</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(5)承包人否认合同有效或拒绝履行合同规定的承包人义务，或由于法律、财务等原因导致承包人无法继续履行或实质上已停止履行合同的义务的；</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(6)合同签订之日起十五日内，承包人无法按合同规定及响应文件的承诺进场经监理工程师认可的全部人员和机械的。</w:t>
      </w:r>
      <w:r/>
    </w:p>
    <w:p>
      <w:pPr>
        <w:ind w:firstLine="480"/>
        <w:jc w:val="left"/>
        <w:spacing w:line="520" w:lineRule="exact"/>
        <w:shd w:val="clear" w:color="auto" w:fill="auto"/>
        <w:widowControl/>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
        </w:rPr>
        <w:t xml:space="preserve">(7)承包人在超出一个月时间不能按期完工（不可抗力除外），招标人即与承包人终止合同，承包人无条件退出，工程款经审计结算后按完成工程量的70%计付，并没收履约保证金。</w:t>
      </w:r>
      <w:r/>
    </w:p>
    <w:p>
      <w:pPr>
        <w:ind w:firstLine="480"/>
        <w:jc w:val="both"/>
        <w:spacing w:before="120"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lang w:val="en-US" w:eastAsia="zh-CN" w:bidi="ar-SA"/>
        </w:rPr>
        <w:t xml:space="preserve">  由承包人承担  </w:t>
      </w:r>
      <w:r>
        <w:rPr>
          <w:rFonts w:hint="eastAsia" w:ascii="宋体" w:hAnsi="宋体" w:eastAsia="宋体" w:cs="宋体"/>
          <w:color w:val="auto"/>
          <w:sz w:val="24"/>
          <w:szCs w:val="24"/>
          <w:highlight w:val="none"/>
          <w:lang w:val="en-US" w:eastAsia="zh-CN" w:bidi="ar-SA"/>
        </w:rPr>
        <w:t xml:space="preserve">。</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17. 不可抗力 </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17.1 不可抗力的确认</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除通用合同条款约定的不可抗力事件之外，视为不可抗力的其他情形： </w:t>
      </w:r>
      <w:r>
        <w:rPr>
          <w:rFonts w:hint="eastAsia" w:ascii="宋体" w:hAnsi="宋体" w:eastAsia="宋体" w:cs="宋体"/>
          <w:color w:val="auto"/>
          <w:sz w:val="24"/>
          <w:szCs w:val="24"/>
          <w:highlight w:val="none"/>
          <w:u w:val="single"/>
          <w:lang w:val="en-US" w:eastAsia="zh-CN" w:bidi="ar-SA"/>
        </w:rPr>
        <w:t xml:space="preserve">  无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17.4 因不可抗力解除合同</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合同解除后，发包人应在商定或确定发包人应支付款项后</w:t>
      </w:r>
      <w:r>
        <w:rPr>
          <w:rFonts w:hint="eastAsia" w:ascii="宋体" w:hAnsi="宋体" w:eastAsia="宋体" w:cs="宋体"/>
          <w:color w:val="auto"/>
          <w:sz w:val="24"/>
          <w:szCs w:val="24"/>
          <w:highlight w:val="none"/>
          <w:u w:val="single"/>
          <w:lang w:val="en-US" w:eastAsia="zh-CN" w:bidi="ar-SA"/>
        </w:rPr>
        <w:t xml:space="preserve"> 60 </w:t>
      </w:r>
      <w:r>
        <w:rPr>
          <w:rFonts w:hint="eastAsia" w:ascii="宋体" w:hAnsi="宋体" w:eastAsia="宋体" w:cs="宋体"/>
          <w:color w:val="auto"/>
          <w:sz w:val="24"/>
          <w:szCs w:val="24"/>
          <w:highlight w:val="none"/>
          <w:lang w:val="en-US" w:eastAsia="zh-CN" w:bidi="ar-SA"/>
        </w:rPr>
        <w:t xml:space="preserve">天内完成款项的支付。</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18. 保险</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18.1 工程保险</w:t>
      </w:r>
      <w:r/>
    </w:p>
    <w:p>
      <w:pPr>
        <w:ind w:firstLine="600"/>
        <w:jc w:val="both"/>
        <w:spacing w:line="312" w:lineRule="auto"/>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关于工程保险的特别约定： 承包人必须按国家或地方有关规定依法为本工程职工参加工伤保险，缴纳工伤保险费；承包人必须为从事危险作业的职工办理意外伤害保险、第三方责任险；承包人必须投保建筑工程一切险、安装工程一切险等，相关费用由承包人承担。</w:t>
      </w:r>
      <w:r/>
    </w:p>
    <w:p>
      <w:pPr>
        <w:ind w:firstLine="600"/>
        <w:jc w:val="both"/>
        <w:spacing w:line="312" w:lineRule="auto"/>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承包人须对进入施工现场人员的意外或伤亡负全部责任，但不限于任何人员的意外或伤亡，不论该人员是否受雇于承包人或其分包人，承包人须保障发包人免负任何有关的索偿、要求、诉讼、成本、费用和支出。</w:t>
      </w:r>
      <w:r/>
    </w:p>
    <w:p>
      <w:pPr>
        <w:ind w:firstLine="600"/>
        <w:jc w:val="both"/>
        <w:spacing w:line="312" w:lineRule="auto"/>
        <w:shd w:val="clear" w:color="auto" w:fill="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18.3 其他保险</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关于其他保险的约定：</w:t>
      </w:r>
      <w:r>
        <w:rPr>
          <w:rFonts w:hint="eastAsia" w:ascii="宋体" w:hAnsi="宋体" w:eastAsia="宋体" w:cs="宋体"/>
          <w:color w:val="auto"/>
          <w:sz w:val="24"/>
          <w:szCs w:val="24"/>
          <w:highlight w:val="none"/>
          <w:u w:val="single"/>
          <w:lang w:val="en-US" w:eastAsia="zh-CN" w:bidi="ar-SA"/>
        </w:rPr>
        <w:t xml:space="preserve"> 按通用条款执行   </w:t>
      </w:r>
      <w:r>
        <w:rPr>
          <w:rFonts w:hint="eastAsia" w:ascii="宋体" w:hAnsi="宋体" w:eastAsia="宋体" w:cs="宋体"/>
          <w:color w:val="auto"/>
          <w:sz w:val="24"/>
          <w:szCs w:val="24"/>
          <w:highlight w:val="none"/>
          <w:lang w:val="en-US" w:eastAsia="zh-CN" w:bidi="ar-SA"/>
        </w:rPr>
        <w:t xml:space="preserve">。</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承包人是否应为其施工设备等办理财产保险：</w:t>
      </w:r>
      <w:r>
        <w:rPr>
          <w:rFonts w:hint="eastAsia" w:ascii="宋体" w:hAnsi="宋体" w:eastAsia="宋体" w:cs="宋体"/>
          <w:color w:val="auto"/>
          <w:sz w:val="24"/>
          <w:szCs w:val="24"/>
          <w:highlight w:val="none"/>
          <w:u w:val="single"/>
          <w:lang w:val="en-US" w:eastAsia="zh-CN" w:bidi="ar-SA"/>
        </w:rPr>
        <w:t xml:space="preserve">由承包人选择 。</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18.7 通知义务</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关于变更保险合同时的通知义务的约定：</w:t>
      </w:r>
      <w:r>
        <w:rPr>
          <w:rFonts w:hint="eastAsia" w:ascii="宋体" w:hAnsi="宋体" w:eastAsia="宋体" w:cs="宋体"/>
          <w:color w:val="auto"/>
          <w:sz w:val="24"/>
          <w:szCs w:val="24"/>
          <w:highlight w:val="none"/>
          <w:u w:val="single"/>
          <w:lang w:val="en-US" w:eastAsia="zh-CN" w:bidi="ar-SA"/>
        </w:rPr>
        <w:t xml:space="preserve">由办理方告知 。</w:t>
      </w:r>
      <w:r/>
    </w:p>
    <w:p>
      <w:pPr>
        <w:jc w:val="both"/>
        <w:spacing w:before="120" w:after="120" w:line="520" w:lineRule="exact"/>
        <w:shd w:val="clear" w:color="auto" w:fill="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20. 争议解决</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 争议评审</w:t>
      </w:r>
      <w:r/>
    </w:p>
    <w:p>
      <w:pPr>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合同当事人是否同意将工程争议提交争议评审小组决定：</w:t>
      </w:r>
      <w:r>
        <w:rPr>
          <w:rFonts w:hint="eastAsia" w:ascii="宋体" w:hAnsi="宋体" w:eastAsia="宋体" w:cs="宋体"/>
          <w:color w:val="auto"/>
          <w:sz w:val="24"/>
          <w:szCs w:val="24"/>
          <w:highlight w:val="none"/>
          <w:u w:val="single"/>
          <w:lang w:val="en-US" w:eastAsia="zh-CN" w:bidi="ar-SA"/>
        </w:rPr>
        <w:t xml:space="preserve"> 同意 </w:t>
      </w:r>
      <w:r>
        <w:rPr>
          <w:rFonts w:hint="eastAsia" w:ascii="宋体" w:hAnsi="宋体" w:eastAsia="宋体" w:cs="宋体"/>
          <w:color w:val="auto"/>
          <w:sz w:val="24"/>
          <w:szCs w:val="24"/>
          <w:highlight w:val="non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20.3.1 争议评审小组的确定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争议评审小组成员的确定：</w:t>
      </w:r>
      <w:r>
        <w:rPr>
          <w:rFonts w:hint="eastAsia" w:ascii="宋体" w:hAnsi="宋体" w:eastAsia="宋体" w:cs="宋体"/>
          <w:color w:val="auto"/>
          <w:sz w:val="24"/>
          <w:szCs w:val="24"/>
          <w:highlight w:val="none"/>
          <w:u w:val="single"/>
          <w:lang w:val="en-US" w:eastAsia="zh-CN" w:bidi="ar-SA"/>
        </w:rPr>
        <w:t xml:space="preserve">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选定争议评审员的期限：</w:t>
      </w:r>
      <w:r>
        <w:rPr>
          <w:rFonts w:hint="eastAsia" w:ascii="宋体" w:hAnsi="宋体" w:eastAsia="宋体" w:cs="宋体"/>
          <w:color w:val="auto"/>
          <w:sz w:val="24"/>
          <w:szCs w:val="24"/>
          <w:highlight w:val="none"/>
          <w:u w:val="single"/>
          <w:lang w:val="en-US" w:eastAsia="zh-CN" w:bidi="ar-SA"/>
        </w:rPr>
        <w:t xml:space="preserve">  争议事件发生后45天内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争议评审小组成员的报酬承担方式：</w:t>
      </w:r>
      <w:r>
        <w:rPr>
          <w:rFonts w:hint="eastAsia" w:ascii="宋体" w:hAnsi="宋体" w:eastAsia="宋体" w:cs="宋体"/>
          <w:color w:val="auto"/>
          <w:sz w:val="24"/>
          <w:szCs w:val="24"/>
          <w:highlight w:val="none"/>
          <w:u w:val="single"/>
          <w:lang w:val="en-US" w:eastAsia="zh-CN" w:bidi="ar-SA"/>
        </w:rPr>
        <w:t xml:space="preserve">  按责任大小比例承担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其他事项的约定：</w:t>
      </w:r>
      <w:r>
        <w:rPr>
          <w:rFonts w:hint="eastAsia" w:ascii="宋体" w:hAnsi="宋体" w:eastAsia="宋体" w:cs="宋体"/>
          <w:color w:val="auto"/>
          <w:sz w:val="24"/>
          <w:szCs w:val="24"/>
          <w:highlight w:val="none"/>
          <w:u w:val="single"/>
          <w:lang w:val="en-US" w:eastAsia="zh-CN" w:bidi="ar-SA"/>
        </w:rPr>
        <w:t xml:space="preserve">   无   。</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20.3.2 争议评审小组的决定</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合同当事人关于本项的约定：</w:t>
      </w:r>
      <w:r>
        <w:rPr>
          <w:rFonts w:hint="eastAsia" w:ascii="宋体" w:hAnsi="宋体" w:eastAsia="宋体" w:cs="宋体"/>
          <w:color w:val="auto"/>
          <w:sz w:val="24"/>
          <w:szCs w:val="24"/>
          <w:highlight w:val="none"/>
          <w:u w:val="single"/>
          <w:lang w:val="en-US" w:eastAsia="zh-CN" w:bidi="ar-SA"/>
        </w:rPr>
        <w:t xml:space="preserve">  同意评审小组的决定     。</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20.4仲裁或诉讼</w:t>
      </w:r>
      <w:r/>
    </w:p>
    <w:p>
      <w:pPr>
        <w:ind w:firstLine="480"/>
        <w:jc w:val="both"/>
        <w:spacing w:after="120"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因合同及合同有关事项发生的争议，按下列第</w:t>
      </w:r>
      <w:r>
        <w:rPr>
          <w:rFonts w:hint="eastAsia" w:ascii="宋体" w:hAnsi="宋体" w:eastAsia="宋体" w:cs="宋体"/>
          <w:color w:val="auto"/>
          <w:sz w:val="24"/>
          <w:szCs w:val="24"/>
          <w:highlight w:val="none"/>
          <w:u w:val="single"/>
          <w:lang w:val="en-US" w:eastAsia="zh-CN" w:bidi="ar-SA"/>
        </w:rPr>
        <w:t xml:space="preserve"> 2  </w:t>
      </w:r>
      <w:r>
        <w:rPr>
          <w:rFonts w:hint="eastAsia" w:ascii="宋体" w:hAnsi="宋体" w:eastAsia="宋体" w:cs="宋体"/>
          <w:color w:val="auto"/>
          <w:sz w:val="24"/>
          <w:szCs w:val="24"/>
          <w:highlight w:val="none"/>
          <w:lang w:val="en-US" w:eastAsia="zh-CN" w:bidi="ar-SA"/>
        </w:rPr>
        <w:t xml:space="preserve">种方式解决：</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（1）向</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 xml:space="preserve">仲裁委员会申请仲裁；</w:t>
      </w:r>
      <w:r/>
    </w:p>
    <w:p>
      <w:pPr>
        <w:ind w:firstLine="480"/>
        <w:jc w:val="left"/>
        <w:spacing w:line="52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（2）向</w:t>
      </w:r>
      <w:r>
        <w:rPr>
          <w:rFonts w:hint="eastAsia" w:ascii="宋体" w:hAnsi="宋体" w:eastAsia="宋体" w:cs="宋体"/>
          <w:color w:val="auto"/>
          <w:sz w:val="24"/>
          <w:szCs w:val="24"/>
          <w:highlight w:val="none"/>
          <w:u w:val="single"/>
          <w:lang w:val="en-US" w:eastAsia="zh-CN" w:bidi="ar-SA"/>
        </w:rPr>
        <w:t xml:space="preserve"> 本工程所在地有管辖权的  </w:t>
      </w:r>
      <w:r>
        <w:rPr>
          <w:rFonts w:hint="eastAsia" w:ascii="宋体" w:hAnsi="宋体" w:eastAsia="宋体" w:cs="宋体"/>
          <w:color w:val="auto"/>
          <w:sz w:val="24"/>
          <w:szCs w:val="24"/>
          <w:highlight w:val="none"/>
          <w:lang w:val="en-US" w:eastAsia="zh-CN" w:bidi="ar-SA"/>
        </w:rPr>
        <w:t xml:space="preserve">人民法院起诉。</w:t>
      </w:r>
      <w:r/>
    </w:p>
    <w:p>
      <w:pPr>
        <w:shd w:val="clear" w:color="auto" w:fill="auto"/>
        <w:rPr>
          <w:color w:val="auto"/>
          <w:highlight w:val="none"/>
        </w:rPr>
        <w:sectPr>
          <w:footerReference w:type="default" r:id="rId11"/>
          <w:footnotePr/>
          <w:endnotePr/>
          <w:type w:val="nextPage"/>
          <w:pgSz w:w="11906" w:h="16839" w:orient="portrait"/>
          <w:pgMar w:top="1431" w:right="1475" w:bottom="1058" w:left="1482" w:header="0" w:footer="879" w:gutter="0"/>
          <w:cols w:num="1" w:sep="0" w:space="720" w:equalWidth="1"/>
          <w:docGrid w:linePitch="360"/>
        </w:sectPr>
      </w:pPr>
      <w:r>
        <w:rPr>
          <w:color w:val="auto"/>
          <w:highlight w:val="none"/>
        </w:rPr>
      </w:r>
      <w:r/>
    </w:p>
    <w:p>
      <w:pPr>
        <w:spacing w:before="79"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5"/>
          <w:sz w:val="24"/>
          <w:szCs w:val="24"/>
          <w:highlight w:val="none"/>
          <w:lang w:val="en-US" w:eastAsia="zh-CN" w:bidi="ar-SA"/>
        </w:rPr>
        <w:t xml:space="preserve">附件</w:t>
      </w:r>
      <w:r/>
    </w:p>
    <w:p>
      <w:pPr>
        <w:ind w:left="482"/>
        <w:spacing w:before="195"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协议书附件：</w:t>
      </w:r>
      <w:r/>
    </w:p>
    <w:p>
      <w:pPr>
        <w:ind w:left="500"/>
        <w:spacing w:before="195" w:line="480" w:lineRule="exact"/>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4"/>
          <w:position w:val="18"/>
          <w:sz w:val="24"/>
          <w:szCs w:val="24"/>
          <w:highlight w:val="none"/>
          <w:lang w:val="en-US" w:eastAsia="zh-CN" w:bidi="ar-SA"/>
        </w:rPr>
        <w:t xml:space="preserve">附件1：承包人承揽工程项目一览表</w:t>
      </w:r>
      <w:r/>
    </w:p>
    <w:p>
      <w:pPr>
        <w:ind w:left="500"/>
        <w:spacing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3"/>
          <w:sz w:val="24"/>
          <w:szCs w:val="24"/>
          <w:highlight w:val="none"/>
          <w:lang w:val="en-US" w:eastAsia="zh-CN" w:bidi="ar-SA"/>
        </w:rPr>
        <w:t xml:space="preserve">附件2：发包人供应材料设备一览表</w:t>
      </w:r>
      <w:r/>
    </w:p>
    <w:p>
      <w:pPr>
        <w:ind w:left="500"/>
        <w:spacing w:before="196" w:line="219" w:lineRule="auto"/>
        <w:shd w:val="clear" w:color="auto" w:fill="auto"/>
        <w:rPr>
          <w:rFonts w:ascii="宋体" w:hAnsi="宋体" w:eastAsia="宋体" w:cs="宋体"/>
          <w:color w:val="auto"/>
          <w:spacing w:val="-4"/>
          <w:sz w:val="24"/>
          <w:szCs w:val="24"/>
          <w:highlight w:val="none"/>
          <w:lang w:val="en-US" w:eastAsia="zh-CN" w:bidi="ar-SA"/>
        </w:rPr>
      </w:pPr>
      <w:r>
        <w:rPr>
          <w:rFonts w:ascii="宋体" w:hAnsi="宋体" w:eastAsia="宋体" w:cs="宋体"/>
          <w:color w:val="auto"/>
          <w:spacing w:val="-4"/>
          <w:sz w:val="24"/>
          <w:szCs w:val="24"/>
          <w:highlight w:val="none"/>
          <w:lang w:val="en-US" w:eastAsia="zh-CN" w:bidi="ar-SA"/>
        </w:rPr>
        <w:t xml:space="preserve">附件3：工程质量保修书</w:t>
      </w:r>
      <w:r/>
    </w:p>
    <w:p>
      <w:pPr>
        <w:ind w:left="500"/>
        <w:spacing w:before="196" w:line="219" w:lineRule="auto"/>
        <w:shd w:val="clear" w:color="auto" w:fill="auto"/>
        <w:rPr>
          <w:rFonts w:ascii="宋体" w:hAnsi="宋体" w:eastAsia="宋体" w:cs="宋体"/>
          <w:color w:val="auto"/>
          <w:spacing w:val="-4"/>
          <w:sz w:val="24"/>
          <w:szCs w:val="24"/>
          <w:highlight w:val="none"/>
          <w:lang w:val="en-US" w:eastAsia="zh-CN" w:bidi="ar-SA"/>
        </w:rPr>
      </w:pPr>
      <w:r>
        <w:rPr>
          <w:rFonts w:ascii="宋体" w:hAnsi="宋体" w:eastAsia="宋体" w:cs="宋体"/>
          <w:color w:val="auto"/>
          <w:spacing w:val="-4"/>
          <w:sz w:val="24"/>
          <w:szCs w:val="24"/>
          <w:highlight w:val="none"/>
          <w:lang w:val="en-US" w:eastAsia="zh-CN" w:bidi="ar-SA"/>
        </w:rPr>
        <w:t xml:space="preserve">附件</w:t>
      </w:r>
      <w:r>
        <w:rPr>
          <w:rFonts w:hint="eastAsia" w:ascii="宋体" w:hAnsi="宋体" w:eastAsia="宋体" w:cs="宋体"/>
          <w:color w:val="auto"/>
          <w:spacing w:val="-4"/>
          <w:sz w:val="24"/>
          <w:szCs w:val="24"/>
          <w:highlight w:val="none"/>
          <w:lang w:val="en-US" w:eastAsia="zh-CN" w:bidi="ar-SA"/>
        </w:rPr>
        <w:t xml:space="preserve">4</w:t>
      </w:r>
      <w:r>
        <w:rPr>
          <w:rFonts w:ascii="宋体" w:hAnsi="宋体" w:eastAsia="宋体" w:cs="宋体"/>
          <w:color w:val="auto"/>
          <w:spacing w:val="-4"/>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建设工程廉政责任书</w:t>
      </w:r>
      <w:r/>
    </w:p>
    <w:p>
      <w:pPr>
        <w:spacing w:line="219" w:lineRule="auto"/>
        <w:shd w:val="clear" w:color="auto" w:fill="auto"/>
        <w:rPr>
          <w:rFonts w:ascii="宋体" w:hAnsi="宋体" w:eastAsia="宋体" w:cs="宋体"/>
          <w:color w:val="auto"/>
          <w:sz w:val="24"/>
          <w:szCs w:val="24"/>
          <w:highlight w:val="none"/>
        </w:rPr>
        <w:sectPr>
          <w:footerReference w:type="default" r:id="rId12"/>
          <w:footnotePr/>
          <w:endnotePr/>
          <w:type w:val="nextPage"/>
          <w:pgSz w:w="11906" w:h="16839" w:orient="portrait"/>
          <w:pgMar w:top="1431" w:right="1333" w:bottom="1058" w:left="1481" w:header="0" w:footer="879" w:gutter="0"/>
          <w:cols w:num="1" w:sep="0" w:space="720" w:equalWidth="1"/>
          <w:docGrid w:linePitch="360"/>
        </w:sectPr>
      </w:pPr>
      <w:r>
        <w:rPr>
          <w:rFonts w:ascii="宋体" w:hAnsi="宋体" w:eastAsia="宋体" w:cs="宋体"/>
          <w:color w:val="auto"/>
          <w:sz w:val="24"/>
          <w:szCs w:val="24"/>
          <w:highlight w:val="none"/>
        </w:rPr>
      </w:r>
      <w:r/>
    </w:p>
    <w:p>
      <w:pPr>
        <w:ind w:left="87"/>
        <w:spacing w:before="305" w:line="224" w:lineRule="auto"/>
        <w:shd w:val="clear" w:color="auto" w:fill="auto"/>
        <w:rPr>
          <w:rFonts w:ascii="黑体" w:hAnsi="黑体" w:eastAsia="黑体" w:cs="黑体"/>
          <w:color w:val="auto"/>
          <w:sz w:val="24"/>
          <w:szCs w:val="24"/>
          <w:highlight w:val="none"/>
          <w:lang w:val="en-US" w:eastAsia="zh-CN" w:bidi="ar-SA"/>
        </w:rPr>
      </w:pPr>
      <w:r>
        <w:rPr>
          <w:rFonts w:ascii="黑体" w:hAnsi="黑体" w:eastAsia="黑体" w:cs="黑体"/>
          <w:color w:val="auto"/>
          <w:spacing w:val="-12"/>
          <w:sz w:val="24"/>
          <w:szCs w:val="24"/>
          <w:highlight w:val="none"/>
          <w:lang w:val="en-US" w:eastAsia="zh-CN" w:bidi="ar-SA"/>
        </w:rPr>
        <w:t xml:space="preserve">附件1：</w:t>
      </w:r>
      <w:r/>
    </w:p>
    <w:p>
      <w:pPr>
        <w:ind w:left="3347"/>
        <w:spacing w:before="250"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承包人承揽工程项目一览表</w:t>
      </w:r>
      <w:r/>
    </w:p>
    <w:p>
      <w:pPr>
        <w:spacing w:line="127" w:lineRule="exact"/>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tbl>
      <w:tblPr>
        <w:tblStyle w:val="1550"/>
        <w:tblW w:w="9005"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4"/>
        <w:gridCol w:w="828"/>
        <w:gridCol w:w="1271"/>
        <w:gridCol w:w="769"/>
        <w:gridCol w:w="580"/>
        <w:gridCol w:w="722"/>
        <w:gridCol w:w="1131"/>
        <w:gridCol w:w="989"/>
        <w:gridCol w:w="849"/>
        <w:gridCol w:w="862"/>
      </w:tblGrid>
      <w:tr>
        <w:trPr>
          <w:trHeight w:val="1354"/>
        </w:trPr>
        <w:tc>
          <w:tcPr>
            <w:tcBorders>
              <w:top w:val="single" w:color="000000" w:sz="10" w:space="0"/>
              <w:left w:val="single" w:color="000000" w:sz="10" w:space="0"/>
            </w:tcBorders>
            <w:tcW w:w="1004"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0"/>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position w:val="17"/>
                <w:sz w:val="20"/>
                <w:szCs w:val="20"/>
                <w:highlight w:val="none"/>
                <w:lang w:val="en-US" w:eastAsia="en-US" w:bidi="ar-SA"/>
              </w:rPr>
              <w:t xml:space="preserve">单位工</w:t>
            </w:r>
            <w:r/>
          </w:p>
          <w:p>
            <w:pPr>
              <w:ind w:left="87"/>
              <w:jc w:val="both"/>
              <w:spacing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7"/>
                <w:sz w:val="20"/>
                <w:szCs w:val="20"/>
                <w:highlight w:val="none"/>
                <w:lang w:val="en-US" w:eastAsia="en-US" w:bidi="ar-SA"/>
              </w:rPr>
              <w:t xml:space="preserve">程名称</w:t>
            </w:r>
            <w:r/>
          </w:p>
        </w:tc>
        <w:tc>
          <w:tcPr>
            <w:tcBorders>
              <w:top w:val="single" w:color="000000" w:sz="10" w:space="0"/>
            </w:tcBorders>
            <w:tcW w:w="828"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88"/>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1"/>
                <w:position w:val="17"/>
                <w:sz w:val="20"/>
                <w:szCs w:val="20"/>
                <w:highlight w:val="none"/>
                <w:lang w:val="en-US" w:eastAsia="en-US" w:bidi="ar-SA"/>
              </w:rPr>
              <w:t xml:space="preserve">建设规</w:t>
            </w:r>
            <w:r/>
          </w:p>
          <w:p>
            <w:pPr>
              <w:ind w:left="85"/>
              <w:jc w:val="both"/>
              <w:spacing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
                <w:sz w:val="20"/>
                <w:szCs w:val="20"/>
                <w:highlight w:val="none"/>
                <w:lang w:val="en-US" w:eastAsia="en-US" w:bidi="ar-SA"/>
              </w:rPr>
              <w:t xml:space="preserve">模</w:t>
            </w:r>
            <w:r/>
          </w:p>
        </w:tc>
        <w:tc>
          <w:tcPr>
            <w:tcBorders>
              <w:top w:val="single" w:color="000000" w:sz="10" w:space="0"/>
            </w:tcBorders>
            <w:tcW w:w="1271"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88"/>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2"/>
                <w:position w:val="17"/>
                <w:sz w:val="20"/>
                <w:szCs w:val="20"/>
                <w:highlight w:val="none"/>
                <w:lang w:val="en-US" w:eastAsia="en-US" w:bidi="ar-SA"/>
              </w:rPr>
              <w:t xml:space="preserve">建筑面积</w:t>
            </w:r>
            <w:r/>
          </w:p>
          <w:p>
            <w:pPr>
              <w:ind w:left="122"/>
              <w:jc w:val="both"/>
              <w:spacing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
                <w:sz w:val="20"/>
                <w:szCs w:val="20"/>
                <w:highlight w:val="none"/>
                <w:lang w:val="en-US" w:eastAsia="en-US" w:bidi="ar-SA"/>
              </w:rPr>
              <w:t xml:space="preserve">(平方米)</w:t>
            </w:r>
            <w:r/>
          </w:p>
        </w:tc>
        <w:tc>
          <w:tcPr>
            <w:tcBorders>
              <w:top w:val="single" w:color="000000" w:sz="10" w:space="0"/>
            </w:tcBorders>
            <w:tcW w:w="769"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6"/>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3"/>
                <w:position w:val="17"/>
                <w:sz w:val="20"/>
                <w:szCs w:val="20"/>
                <w:highlight w:val="none"/>
                <w:lang w:val="en-US" w:eastAsia="en-US" w:bidi="ar-SA"/>
              </w:rPr>
              <w:t xml:space="preserve">结构</w:t>
            </w:r>
            <w:r/>
          </w:p>
          <w:p>
            <w:pPr>
              <w:ind w:left="94"/>
              <w:jc w:val="both"/>
              <w:spacing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3"/>
                <w:sz w:val="20"/>
                <w:szCs w:val="20"/>
                <w:highlight w:val="none"/>
                <w:lang w:val="en-US" w:eastAsia="en-US" w:bidi="ar-SA"/>
              </w:rPr>
              <w:t xml:space="preserve">形式</w:t>
            </w:r>
            <w:r/>
          </w:p>
        </w:tc>
        <w:tc>
          <w:tcPr>
            <w:tcBorders>
              <w:top w:val="single" w:color="000000" w:sz="10" w:space="0"/>
            </w:tcBorders>
            <w:tcW w:w="580" w:type="dxa"/>
            <w:vAlign w:val="top"/>
            <w:textDirection w:val="tbRlV"/>
            <w:noWrap w:val="false"/>
          </w:tcPr>
          <w:p>
            <w:pPr>
              <w:ind w:left="397"/>
              <w:jc w:val="both"/>
              <w:spacing w:before="275" w:line="216"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9"/>
                <w:sz w:val="20"/>
                <w:szCs w:val="20"/>
                <w:highlight w:val="none"/>
                <w:lang w:val="en-US" w:eastAsia="en-US" w:bidi="ar-SA"/>
              </w:rPr>
              <w:t xml:space="preserve">层数</w:t>
            </w:r>
            <w:r/>
          </w:p>
        </w:tc>
        <w:tc>
          <w:tcPr>
            <w:tcBorders>
              <w:top w:val="single" w:color="000000" w:sz="10" w:space="0"/>
            </w:tcBorders>
            <w:tcW w:w="722"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5"/>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position w:val="17"/>
                <w:sz w:val="20"/>
                <w:szCs w:val="20"/>
                <w:highlight w:val="none"/>
                <w:lang w:val="en-US" w:eastAsia="en-US" w:bidi="ar-SA"/>
              </w:rPr>
              <w:t xml:space="preserve">生产</w:t>
            </w:r>
            <w:r/>
          </w:p>
          <w:p>
            <w:pPr>
              <w:ind w:left="102"/>
              <w:jc w:val="both"/>
              <w:spacing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能力</w:t>
            </w:r>
            <w:r/>
          </w:p>
        </w:tc>
        <w:tc>
          <w:tcPr>
            <w:tcBorders>
              <w:top w:val="single" w:color="000000" w:sz="10" w:space="0"/>
            </w:tcBorders>
            <w:tcW w:w="1131"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9"/>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34"/>
                <w:position w:val="17"/>
                <w:sz w:val="20"/>
                <w:szCs w:val="20"/>
                <w:highlight w:val="none"/>
                <w:lang w:val="en-US" w:eastAsia="en-US" w:bidi="ar-SA"/>
              </w:rPr>
              <w:t xml:space="preserve">设备安装</w:t>
            </w:r>
            <w:r/>
          </w:p>
          <w:p>
            <w:pPr>
              <w:ind w:left="121"/>
              <w:jc w:val="both"/>
              <w:spacing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8"/>
                <w:sz w:val="20"/>
                <w:szCs w:val="20"/>
                <w:highlight w:val="none"/>
                <w:lang w:val="en-US" w:eastAsia="en-US" w:bidi="ar-SA"/>
              </w:rPr>
              <w:t xml:space="preserve">内容</w:t>
            </w:r>
            <w:r/>
          </w:p>
        </w:tc>
        <w:tc>
          <w:tcPr>
            <w:tcBorders>
              <w:top w:val="single" w:color="000000" w:sz="10" w:space="0"/>
            </w:tcBorders>
            <w:tcW w:w="989" w:type="dxa"/>
            <w:vAlign w:val="top"/>
            <w:textDirection w:val="lrTb"/>
            <w:noWrap w:val="false"/>
          </w:tcPr>
          <w:p>
            <w:pPr>
              <w:ind w:left="101"/>
              <w:jc w:val="both"/>
              <w:spacing w:before="176" w:line="442"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5"/>
                <w:position w:val="18"/>
                <w:sz w:val="20"/>
                <w:szCs w:val="20"/>
                <w:highlight w:val="none"/>
                <w:lang w:val="en-US" w:eastAsia="en-US" w:bidi="ar-SA"/>
              </w:rPr>
              <w:t xml:space="preserve">合同价</w:t>
            </w:r>
            <w:r/>
          </w:p>
          <w:p>
            <w:pPr>
              <w:ind w:left="100"/>
              <w:jc w:val="both"/>
              <w:spacing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格</w:t>
            </w:r>
            <w:r/>
          </w:p>
          <w:p>
            <w:pPr>
              <w:ind w:left="110"/>
              <w:jc w:val="both"/>
              <w:spacing w:before="191"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
                <w:sz w:val="20"/>
                <w:szCs w:val="20"/>
                <w:highlight w:val="none"/>
                <w:lang w:val="en-US" w:eastAsia="en-US" w:bidi="ar-SA"/>
              </w:rPr>
              <w:t xml:space="preserve">（元）</w:t>
            </w:r>
            <w:r/>
          </w:p>
        </w:tc>
        <w:tc>
          <w:tcPr>
            <w:tcBorders>
              <w:top w:val="single" w:color="000000" w:sz="10" w:space="0"/>
            </w:tcBorders>
            <w:tcW w:w="849"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103"/>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9"/>
                <w:position w:val="18"/>
                <w:sz w:val="20"/>
                <w:szCs w:val="20"/>
                <w:highlight w:val="none"/>
                <w:lang w:val="en-US" w:eastAsia="en-US" w:bidi="ar-SA"/>
              </w:rPr>
              <w:t xml:space="preserve">开工日</w:t>
            </w:r>
            <w:r/>
          </w:p>
          <w:p>
            <w:pPr>
              <w:ind w:left="105"/>
              <w:jc w:val="both"/>
              <w:spacing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期</w:t>
            </w:r>
            <w:r/>
          </w:p>
        </w:tc>
        <w:tc>
          <w:tcPr>
            <w:tcBorders>
              <w:top w:val="single" w:color="000000" w:sz="10" w:space="0"/>
              <w:right w:val="single" w:color="000000" w:sz="10" w:space="0"/>
            </w:tcBorders>
            <w:tcW w:w="862" w:type="dxa"/>
            <w:vAlign w:val="top"/>
            <w:textDirection w:val="lrTb"/>
            <w:noWrap w:val="false"/>
          </w:tcPr>
          <w:p>
            <w:pPr>
              <w:spacing w:line="330"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106"/>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9"/>
                <w:position w:val="17"/>
                <w:sz w:val="20"/>
                <w:szCs w:val="20"/>
                <w:highlight w:val="none"/>
                <w:lang w:val="en-US" w:eastAsia="en-US" w:bidi="ar-SA"/>
              </w:rPr>
              <w:t xml:space="preserve">竣工日</w:t>
            </w:r>
            <w:r/>
          </w:p>
          <w:p>
            <w:pPr>
              <w:ind w:left="108"/>
              <w:jc w:val="both"/>
              <w:spacing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期</w:t>
            </w:r>
            <w:r/>
          </w:p>
        </w:tc>
      </w:tr>
      <w:tr>
        <w:trPr>
          <w:trHeight w:val="570"/>
        </w:trPr>
        <w:tc>
          <w:tcPr>
            <w:tcBorders>
              <w:lef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28"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27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6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58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2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13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86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9"/>
        </w:trPr>
        <w:tc>
          <w:tcPr>
            <w:tcBorders>
              <w:lef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28"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27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6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58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2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13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86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9"/>
        </w:trPr>
        <w:tc>
          <w:tcPr>
            <w:tcBorders>
              <w:lef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28"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27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6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58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2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13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86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9"/>
        </w:trPr>
        <w:tc>
          <w:tcPr>
            <w:tcBorders>
              <w:lef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28"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27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6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58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2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13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86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9"/>
        </w:trPr>
        <w:tc>
          <w:tcPr>
            <w:tcBorders>
              <w:lef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28"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27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6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58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2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13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86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90"/>
        </w:trPr>
        <w:tc>
          <w:tcPr>
            <w:tcBorders>
              <w:left w:val="single" w:color="000000" w:sz="10" w:space="0"/>
              <w:bottom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828"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127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76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58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72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113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right w:val="single" w:color="000000" w:sz="10" w:space="0"/>
            </w:tcBorders>
            <w:tcW w:w="86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bl>
    <w:p>
      <w:pPr>
        <w:jc w:val="both"/>
        <w:spacing w:line="277"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78"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jc w:val="both"/>
        <w:spacing w:line="278"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ind w:left="87"/>
        <w:spacing w:before="78" w:line="224" w:lineRule="auto"/>
        <w:shd w:val="clear" w:color="auto" w:fill="auto"/>
        <w:rPr>
          <w:rFonts w:ascii="黑体" w:hAnsi="黑体" w:eastAsia="黑体" w:cs="黑体"/>
          <w:color w:val="auto"/>
          <w:sz w:val="24"/>
          <w:szCs w:val="24"/>
          <w:highlight w:val="none"/>
          <w:lang w:val="en-US" w:eastAsia="zh-CN" w:bidi="ar-SA"/>
        </w:rPr>
      </w:pPr>
      <w:r>
        <w:rPr>
          <w:rFonts w:ascii="黑体" w:hAnsi="黑体" w:eastAsia="黑体" w:cs="黑体"/>
          <w:color w:val="auto"/>
          <w:spacing w:val="-8"/>
          <w:sz w:val="24"/>
          <w:szCs w:val="24"/>
          <w:highlight w:val="none"/>
          <w:lang w:val="en-US" w:eastAsia="zh-CN" w:bidi="ar-SA"/>
        </w:rPr>
        <w:t xml:space="preserve">附件2：</w:t>
      </w:r>
      <w:r/>
    </w:p>
    <w:p>
      <w:pPr>
        <w:ind w:left="3351"/>
        <w:spacing w:before="251"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发包人供应材料设备一览表</w:t>
      </w:r>
      <w:r/>
    </w:p>
    <w:p>
      <w:pPr>
        <w:spacing w:line="129" w:lineRule="exact"/>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tbl>
      <w:tblPr>
        <w:tblStyle w:val="1550"/>
        <w:tblW w:w="9062"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3"/>
        <w:gridCol w:w="911"/>
        <w:gridCol w:w="1092"/>
        <w:gridCol w:w="714"/>
        <w:gridCol w:w="737"/>
        <w:gridCol w:w="933"/>
        <w:gridCol w:w="989"/>
        <w:gridCol w:w="849"/>
        <w:gridCol w:w="970"/>
        <w:gridCol w:w="1004"/>
      </w:tblGrid>
      <w:tr>
        <w:trPr>
          <w:trHeight w:val="1353"/>
        </w:trPr>
        <w:tc>
          <w:tcPr>
            <w:tcBorders>
              <w:top w:val="single" w:color="000000" w:sz="10" w:space="0"/>
              <w:left w:val="single" w:color="000000" w:sz="10" w:space="0"/>
            </w:tcBorders>
            <w:tcW w:w="863" w:type="dxa"/>
            <w:vAlign w:val="top"/>
            <w:textDirection w:val="lrTb"/>
            <w:noWrap w:val="false"/>
          </w:tcPr>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88"/>
              <w:jc w:val="both"/>
              <w:spacing w:before="65" w:line="230"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5"/>
                <w:sz w:val="20"/>
                <w:szCs w:val="20"/>
                <w:highlight w:val="none"/>
                <w:lang w:val="en-US" w:eastAsia="en-US" w:bidi="ar-SA"/>
              </w:rPr>
              <w:t xml:space="preserve">序号</w:t>
            </w:r>
            <w:r/>
          </w:p>
        </w:tc>
        <w:tc>
          <w:tcPr>
            <w:tcBorders>
              <w:top w:val="single" w:color="000000" w:sz="10" w:space="0"/>
            </w:tcBorders>
            <w:tcW w:w="911" w:type="dxa"/>
            <w:vAlign w:val="top"/>
            <w:textDirection w:val="lrTb"/>
            <w:noWrap w:val="false"/>
          </w:tcPr>
          <w:p>
            <w:pPr>
              <w:ind w:left="23" w:right="93" w:hanging="3"/>
              <w:jc w:val="both"/>
              <w:spacing w:before="174" w:line="407"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5"/>
                <w:sz w:val="20"/>
                <w:szCs w:val="20"/>
                <w:highlight w:val="none"/>
                <w:lang w:val="en-US" w:eastAsia="en-US" w:bidi="ar-SA"/>
              </w:rPr>
              <w:t xml:space="preserve">材料、</w:t>
            </w:r>
            <w:r>
              <w:rPr>
                <w:rFonts w:hint="default" w:ascii="宋体" w:hAnsi="宋体" w:eastAsia="宋体" w:cs="宋体"/>
                <w:color w:val="auto"/>
                <w:spacing w:val="-7"/>
                <w:sz w:val="20"/>
                <w:szCs w:val="20"/>
                <w:highlight w:val="none"/>
                <w:lang w:val="en-US" w:eastAsia="en-US" w:bidi="ar-SA"/>
              </w:rPr>
              <w:t xml:space="preserve">设备品</w:t>
            </w:r>
            <w:r/>
          </w:p>
          <w:p>
            <w:pPr>
              <w:ind w:left="20"/>
              <w:jc w:val="both"/>
              <w:spacing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种</w:t>
            </w:r>
            <w:r/>
          </w:p>
        </w:tc>
        <w:tc>
          <w:tcPr>
            <w:tcBorders>
              <w:top w:val="single" w:color="000000" w:sz="10" w:space="0"/>
            </w:tcBorders>
            <w:tcW w:w="1092" w:type="dxa"/>
            <w:vAlign w:val="top"/>
            <w:textDirection w:val="lrTb"/>
            <w:noWrap w:val="false"/>
          </w:tcPr>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87"/>
              <w:jc w:val="both"/>
              <w:spacing w:before="65"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7"/>
                <w:sz w:val="20"/>
                <w:szCs w:val="20"/>
                <w:highlight w:val="none"/>
                <w:lang w:val="en-US" w:eastAsia="en-US" w:bidi="ar-SA"/>
              </w:rPr>
              <w:t xml:space="preserve">规格型号</w:t>
            </w:r>
            <w:r/>
          </w:p>
        </w:tc>
        <w:tc>
          <w:tcPr>
            <w:tcBorders>
              <w:top w:val="single" w:color="000000" w:sz="10" w:space="0"/>
            </w:tcBorders>
            <w:tcW w:w="714" w:type="dxa"/>
            <w:vAlign w:val="top"/>
            <w:textDirection w:val="lrTb"/>
            <w:noWrap w:val="false"/>
          </w:tcPr>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0"/>
              <w:jc w:val="both"/>
              <w:spacing w:before="65"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3"/>
                <w:sz w:val="20"/>
                <w:szCs w:val="20"/>
                <w:highlight w:val="none"/>
                <w:lang w:val="en-US" w:eastAsia="en-US" w:bidi="ar-SA"/>
              </w:rPr>
              <w:t xml:space="preserve">单位</w:t>
            </w:r>
            <w:r/>
          </w:p>
        </w:tc>
        <w:tc>
          <w:tcPr>
            <w:tcBorders>
              <w:top w:val="single" w:color="000000" w:sz="10" w:space="0"/>
            </w:tcBorders>
            <w:tcW w:w="737" w:type="dxa"/>
            <w:vAlign w:val="top"/>
            <w:textDirection w:val="lrTb"/>
            <w:noWrap w:val="false"/>
          </w:tcPr>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4"/>
              <w:jc w:val="both"/>
              <w:spacing w:before="65" w:line="228"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3"/>
                <w:sz w:val="20"/>
                <w:szCs w:val="20"/>
                <w:highlight w:val="none"/>
                <w:lang w:val="en-US" w:eastAsia="en-US" w:bidi="ar-SA"/>
              </w:rPr>
              <w:t xml:space="preserve">数量</w:t>
            </w:r>
            <w:r/>
          </w:p>
        </w:tc>
        <w:tc>
          <w:tcPr>
            <w:tcBorders>
              <w:top w:val="single" w:color="000000" w:sz="10" w:space="0"/>
            </w:tcBorders>
            <w:tcW w:w="933" w:type="dxa"/>
            <w:vAlign w:val="top"/>
            <w:textDirection w:val="lrTb"/>
            <w:noWrap w:val="false"/>
          </w:tcPr>
          <w:p>
            <w:pPr>
              <w:spacing w:line="329"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6"/>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
                <w:position w:val="18"/>
                <w:sz w:val="20"/>
                <w:szCs w:val="20"/>
                <w:highlight w:val="none"/>
                <w:lang w:val="en-US" w:eastAsia="en-US" w:bidi="ar-SA"/>
              </w:rPr>
              <w:t xml:space="preserve">单价</w:t>
            </w:r>
            <w:r/>
          </w:p>
          <w:p>
            <w:pPr>
              <w:ind w:left="104"/>
              <w:jc w:val="both"/>
              <w:spacing w:line="229"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
                <w:sz w:val="20"/>
                <w:szCs w:val="20"/>
                <w:highlight w:val="none"/>
                <w:lang w:val="en-US" w:eastAsia="en-US" w:bidi="ar-SA"/>
              </w:rPr>
              <w:t xml:space="preserve">（元）</w:t>
            </w:r>
            <w:r/>
          </w:p>
        </w:tc>
        <w:tc>
          <w:tcPr>
            <w:tcBorders>
              <w:top w:val="single" w:color="000000" w:sz="10" w:space="0"/>
            </w:tcBorders>
            <w:tcW w:w="989" w:type="dxa"/>
            <w:vAlign w:val="top"/>
            <w:textDirection w:val="lrTb"/>
            <w:noWrap w:val="false"/>
          </w:tcPr>
          <w:p>
            <w:pPr>
              <w:spacing w:line="329"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8"/>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position w:val="17"/>
                <w:sz w:val="20"/>
                <w:szCs w:val="20"/>
                <w:highlight w:val="none"/>
                <w:lang w:val="en-US" w:eastAsia="en-US" w:bidi="ar-SA"/>
              </w:rPr>
              <w:t xml:space="preserve">质量等</w:t>
            </w:r>
            <w:r/>
          </w:p>
          <w:p>
            <w:pPr>
              <w:ind w:left="100"/>
              <w:jc w:val="both"/>
              <w:spacing w:line="230"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级</w:t>
            </w:r>
            <w:r/>
          </w:p>
        </w:tc>
        <w:tc>
          <w:tcPr>
            <w:tcBorders>
              <w:top w:val="single" w:color="000000" w:sz="10" w:space="0"/>
            </w:tcBorders>
            <w:tcW w:w="849" w:type="dxa"/>
            <w:vAlign w:val="top"/>
            <w:textDirection w:val="lrTb"/>
            <w:noWrap w:val="false"/>
          </w:tcPr>
          <w:p>
            <w:pPr>
              <w:spacing w:line="329"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99"/>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9"/>
                <w:position w:val="18"/>
                <w:sz w:val="20"/>
                <w:szCs w:val="20"/>
                <w:highlight w:val="none"/>
                <w:lang w:val="en-US" w:eastAsia="en-US" w:bidi="ar-SA"/>
              </w:rPr>
              <w:t xml:space="preserve">供应时</w:t>
            </w:r>
            <w:r/>
          </w:p>
          <w:p>
            <w:pPr>
              <w:ind w:left="116"/>
              <w:jc w:val="both"/>
              <w:spacing w:line="231"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间</w:t>
            </w:r>
            <w:r/>
          </w:p>
        </w:tc>
        <w:tc>
          <w:tcPr>
            <w:tcBorders>
              <w:top w:val="single" w:color="000000" w:sz="10" w:space="0"/>
            </w:tcBorders>
            <w:tcW w:w="970" w:type="dxa"/>
            <w:vAlign w:val="top"/>
            <w:textDirection w:val="lrTb"/>
            <w:noWrap w:val="false"/>
          </w:tcPr>
          <w:p>
            <w:pPr>
              <w:spacing w:line="329"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101"/>
              <w:jc w:val="both"/>
              <w:spacing w:before="65" w:line="439" w:lineRule="exact"/>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1"/>
                <w:position w:val="17"/>
                <w:sz w:val="20"/>
                <w:szCs w:val="20"/>
                <w:highlight w:val="none"/>
                <w:lang w:val="en-US" w:eastAsia="en-US" w:bidi="ar-SA"/>
              </w:rPr>
              <w:t xml:space="preserve">送达地</w:t>
            </w:r>
            <w:r/>
          </w:p>
          <w:p>
            <w:pPr>
              <w:ind w:left="110"/>
              <w:jc w:val="both"/>
              <w:spacing w:line="232"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z w:val="20"/>
                <w:szCs w:val="20"/>
                <w:highlight w:val="none"/>
                <w:lang w:val="en-US" w:eastAsia="en-US" w:bidi="ar-SA"/>
              </w:rPr>
              <w:t xml:space="preserve">点</w:t>
            </w:r>
            <w:r/>
          </w:p>
        </w:tc>
        <w:tc>
          <w:tcPr>
            <w:tcBorders>
              <w:top w:val="single" w:color="000000" w:sz="10" w:space="0"/>
              <w:right w:val="single" w:color="000000" w:sz="10" w:space="0"/>
            </w:tcBorders>
            <w:tcW w:w="1004" w:type="dxa"/>
            <w:vAlign w:val="top"/>
            <w:textDirection w:val="lrTb"/>
            <w:noWrap w:val="false"/>
          </w:tcPr>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spacing w:line="274" w:lineRule="auto"/>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p>
            <w:pPr>
              <w:ind w:left="107"/>
              <w:jc w:val="both"/>
              <w:spacing w:before="65" w:line="230" w:lineRule="auto"/>
              <w:shd w:val="clear" w:color="auto" w:fill="auto"/>
              <w:widowControl w:val="off"/>
              <w:rPr>
                <w:rFonts w:hint="default" w:ascii="宋体" w:hAnsi="宋体" w:eastAsia="宋体" w:cs="宋体"/>
                <w:color w:val="auto"/>
                <w:sz w:val="20"/>
                <w:szCs w:val="20"/>
                <w:highlight w:val="none"/>
                <w:lang w:val="en-US" w:eastAsia="en-US" w:bidi="ar-SA"/>
              </w:rPr>
            </w:pPr>
            <w:r>
              <w:rPr>
                <w:rFonts w:hint="default" w:ascii="宋体" w:hAnsi="宋体" w:eastAsia="宋体" w:cs="宋体"/>
                <w:color w:val="auto"/>
                <w:spacing w:val="3"/>
                <w:sz w:val="20"/>
                <w:szCs w:val="20"/>
                <w:highlight w:val="none"/>
                <w:lang w:val="en-US" w:eastAsia="en-US" w:bidi="ar-SA"/>
              </w:rPr>
              <w:t xml:space="preserve">备注</w:t>
            </w:r>
            <w:r/>
          </w:p>
        </w:tc>
      </w:tr>
      <w:tr>
        <w:trPr>
          <w:trHeight w:val="570"/>
        </w:trPr>
        <w:tc>
          <w:tcPr>
            <w:tcBorders>
              <w:left w:val="single" w:color="000000" w:sz="10" w:space="0"/>
            </w:tcBorders>
            <w:tcW w:w="86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1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09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1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37"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3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7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8"/>
        </w:trPr>
        <w:tc>
          <w:tcPr>
            <w:tcBorders>
              <w:left w:val="single" w:color="000000" w:sz="10" w:space="0"/>
            </w:tcBorders>
            <w:tcW w:w="86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1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09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1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37"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3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7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9"/>
        </w:trPr>
        <w:tc>
          <w:tcPr>
            <w:tcBorders>
              <w:left w:val="single" w:color="000000" w:sz="10" w:space="0"/>
            </w:tcBorders>
            <w:tcW w:w="86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1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09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1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37"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3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7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68"/>
        </w:trPr>
        <w:tc>
          <w:tcPr>
            <w:tcBorders>
              <w:left w:val="single" w:color="000000" w:sz="10" w:space="0"/>
            </w:tcBorders>
            <w:tcW w:w="86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1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109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1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737"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3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W w:w="97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righ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r>
        <w:trPr>
          <w:trHeight w:val="590"/>
        </w:trPr>
        <w:tc>
          <w:tcPr>
            <w:tcBorders>
              <w:left w:val="single" w:color="000000" w:sz="10" w:space="0"/>
              <w:bottom w:val="single" w:color="000000" w:sz="10" w:space="0"/>
            </w:tcBorders>
            <w:tcW w:w="86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911"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1092"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71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737"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933"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98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849"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tcBorders>
            <w:tcW w:w="970"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c>
          <w:tcPr>
            <w:tcBorders>
              <w:bottom w:val="single" w:color="000000" w:sz="10" w:space="0"/>
              <w:right w:val="single" w:color="000000" w:sz="10" w:space="0"/>
            </w:tcBorders>
            <w:tcW w:w="1004" w:type="dxa"/>
            <w:vAlign w:val="top"/>
            <w:textDirection w:val="lrTb"/>
            <w:noWrap w:val="false"/>
          </w:tcPr>
          <w:p>
            <w:pPr>
              <w:shd w:val="clear" w:color="auto" w:fill="auto"/>
              <w:rPr>
                <w:rFonts w:ascii="Arial" w:hAnsi="Times New Roman" w:eastAsia="宋体" w:cs="Times New Roman"/>
                <w:color w:val="auto"/>
                <w:sz w:val="21"/>
                <w:highlight w:val="none"/>
                <w:lang w:val="en-US" w:eastAsia="zh-CN" w:bidi="ar-SA"/>
              </w:rPr>
            </w:pPr>
            <w:r>
              <w:rPr>
                <w:rFonts w:ascii="Arial" w:hAnsi="Times New Roman" w:eastAsia="宋体" w:cs="Times New Roman"/>
                <w:color w:val="auto"/>
                <w:sz w:val="21"/>
                <w:highlight w:val="none"/>
                <w:lang w:val="en-US" w:eastAsia="zh-CN" w:bidi="ar-SA"/>
              </w:rPr>
            </w:r>
            <w:r/>
          </w:p>
        </w:tc>
      </w:tr>
    </w:tbl>
    <w:p>
      <w:pPr>
        <w:jc w:val="both"/>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hd w:val="clear" w:color="auto" w:fill="auto"/>
        <w:rPr>
          <w:color w:val="auto"/>
          <w:highlight w:val="none"/>
        </w:rPr>
        <w:sectPr>
          <w:footerReference w:type="default" r:id="rId13"/>
          <w:footnotePr/>
          <w:endnotePr/>
          <w:type w:val="nextPage"/>
          <w:pgSz w:w="11906" w:h="16839" w:orient="portrait"/>
          <w:pgMar w:top="1431" w:right="1409" w:bottom="1057" w:left="1408" w:header="0" w:footer="879" w:gutter="0"/>
          <w:cols w:num="1" w:sep="0" w:space="720" w:equalWidth="1"/>
          <w:docGrid w:linePitch="360"/>
        </w:sectPr>
      </w:pPr>
      <w:r>
        <w:rPr>
          <w:color w:val="auto"/>
          <w:highlight w:val="none"/>
        </w:rPr>
      </w:r>
      <w:r/>
    </w:p>
    <w:p>
      <w:pPr>
        <w:ind w:left="13"/>
        <w:spacing w:before="305" w:line="224" w:lineRule="auto"/>
        <w:shd w:val="clear" w:color="auto" w:fill="auto"/>
        <w:rPr>
          <w:rFonts w:ascii="黑体" w:hAnsi="黑体" w:eastAsia="黑体" w:cs="黑体"/>
          <w:color w:val="auto"/>
          <w:sz w:val="24"/>
          <w:szCs w:val="24"/>
          <w:highlight w:val="none"/>
          <w:lang w:val="en-US" w:eastAsia="zh-CN" w:bidi="ar-SA"/>
        </w:rPr>
      </w:pPr>
      <w:r>
        <w:rPr>
          <w:rFonts w:ascii="黑体" w:hAnsi="黑体" w:eastAsia="黑体" w:cs="黑体"/>
          <w:color w:val="auto"/>
          <w:spacing w:val="-8"/>
          <w:sz w:val="24"/>
          <w:szCs w:val="24"/>
          <w:highlight w:val="none"/>
          <w:lang w:val="en-US" w:eastAsia="zh-CN" w:bidi="ar-SA"/>
        </w:rPr>
        <w:t xml:space="preserve">附件3：</w:t>
      </w:r>
      <w:r/>
    </w:p>
    <w:p>
      <w:pPr>
        <w:ind w:left="3878"/>
        <w:spacing w:before="251" w:line="219"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工程质量保修书</w:t>
      </w:r>
      <w:r/>
    </w:p>
    <w:p>
      <w:pPr>
        <w:jc w:val="both"/>
        <w:spacing w:line="353" w:lineRule="auto"/>
        <w:shd w:val="clear" w:color="auto" w:fill="auto"/>
        <w:widowControl w:val="off"/>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ind w:left="3"/>
        <w:spacing w:before="78" w:line="36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发包人（全称</w:t>
      </w:r>
      <w:r>
        <w:rPr>
          <w:rFonts w:ascii="宋体" w:hAnsi="宋体" w:eastAsia="宋体" w:cs="宋体"/>
          <w:color w:val="auto"/>
          <w:spacing w:val="-50"/>
          <w:sz w:val="24"/>
          <w:szCs w:val="24"/>
          <w:highlight w:val="none"/>
          <w:lang w:val="en-US" w:eastAsia="zh-CN" w:bidi="ar-SA"/>
        </w:rPr>
        <w:t xml:space="preserve">）：</w:t>
      </w:r>
      <w:r>
        <w:rPr>
          <w:rFonts w:hint="eastAsia" w:ascii="宋体" w:hAnsi="宋体" w:eastAsia="宋体" w:cs="宋体"/>
          <w:color w:val="auto"/>
          <w:spacing w:val="-1"/>
          <w:sz w:val="24"/>
          <w:szCs w:val="24"/>
          <w:highlight w:val="none"/>
          <w:u w:val="single"/>
          <w:lang w:val="en-US" w:eastAsia="zh-CN" w:bidi="ar-SA"/>
        </w:rPr>
        <w:t xml:space="preserve">             </w:t>
      </w:r>
      <w:r/>
    </w:p>
    <w:p>
      <w:pPr>
        <w:spacing w:line="220" w:lineRule="auto"/>
        <w:shd w:val="clear" w:color="auto" w:fill="auto"/>
        <w:rPr>
          <w:rFonts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承包人（全称</w:t>
      </w:r>
      <w:r>
        <w:rPr>
          <w:rFonts w:ascii="宋体" w:hAnsi="宋体" w:eastAsia="宋体" w:cs="宋体"/>
          <w:color w:val="auto"/>
          <w:spacing w:val="-62"/>
          <w:sz w:val="24"/>
          <w:szCs w:val="24"/>
          <w:highlight w:val="none"/>
          <w:lang w:val="en-US" w:eastAsia="zh-CN" w:bidi="ar-SA"/>
        </w:rPr>
        <w:t xml:space="preserve">）：</w:t>
      </w:r>
      <w:r>
        <w:rPr>
          <w:rFonts w:hint="eastAsia" w:ascii="宋体" w:hAnsi="宋体" w:eastAsia="宋体" w:cs="宋体"/>
          <w:color w:val="auto"/>
          <w:spacing w:val="-1"/>
          <w:sz w:val="24"/>
          <w:szCs w:val="24"/>
          <w:highlight w:val="none"/>
          <w:u w:val="single"/>
          <w:lang w:val="en-US" w:eastAsia="zh-CN" w:bidi="ar-SA"/>
        </w:rPr>
        <w:t xml:space="preserve">                  </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发包人和承包人根据《中华人民共和国建筑法》和《建设工程质量管理条例》，经协商一致就</w:t>
      </w:r>
      <w:r>
        <w:rPr>
          <w:rFonts w:hint="eastAsia" w:ascii="宋体" w:hAnsi="宋体" w:eastAsia="宋体" w:cs="宋体"/>
          <w:color w:val="auto"/>
          <w:sz w:val="24"/>
          <w:highlight w:val="none"/>
          <w:u w:val="single"/>
          <w:lang w:val="en-US" w:eastAsia="zh-CN"/>
        </w:rPr>
        <w:t xml:space="preserve">                    </w:t>
      </w:r>
      <w:r>
        <w:rPr>
          <w:rFonts w:hint="default" w:ascii="宋体" w:hAnsi="宋体" w:eastAsia="宋体" w:cs="宋体"/>
          <w:color w:val="auto"/>
          <w:sz w:val="24"/>
          <w:highlight w:val="none"/>
        </w:rPr>
        <w:t xml:space="preserve">（工程全称）签订工程质量保修书。</w:t>
      </w:r>
      <w:r/>
    </w:p>
    <w:p>
      <w:pPr>
        <w:ind w:left="0" w:right="0" w:firstLine="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highlight w:val="none"/>
        </w:rPr>
        <w:t xml:space="preserve">一、工程质量保修范围和内容</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承包人在质量保修期内，按照有关法律规定和合同约定，承担工程质量保修责任。</w:t>
      </w:r>
      <w:r/>
    </w:p>
    <w:p>
      <w:pPr>
        <w:ind w:left="0" w:right="0" w:firstLine="480"/>
        <w:jc w:val="left"/>
        <w:spacing w:before="240" w:after="240" w:line="360" w:lineRule="atLeast"/>
        <w:widowControl/>
        <w:rPr>
          <w:rFonts w:hint="default" w:ascii="Arial" w:hAnsi="Arial" w:eastAsia="Arial" w:cs="Times New Roman"/>
          <w:color w:val="auto"/>
          <w:highlight w:val="none"/>
          <w:u w:val="singl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质量保修范围包括工程包含的所有内容 ，以及双方约定的其他项目。具体保修的内容，双方约定如下：</w:t>
      </w:r>
      <w:r>
        <w:rPr>
          <w:rFonts w:hint="default" w:ascii="宋体" w:hAnsi="宋体" w:eastAsia="宋体" w:cs="宋体"/>
          <w:color w:val="auto"/>
          <w:sz w:val="24"/>
          <w:highlight w:val="none"/>
          <w:u w:val="single"/>
        </w:rPr>
        <w:t xml:space="preserve">运动场建设要遵循《中小学合成材料面层运动场地》(GB36246-2018)、中小学人造草面层足球场地(GB/T43566-2023)、《建筑工程施工质量检查与验收手册》等现行的与本工程有关的国家标准、行业标准、规范及省、市有关规定。</w:t>
      </w:r>
      <w:r/>
    </w:p>
    <w:p>
      <w:pPr>
        <w:ind w:left="0" w:right="0" w:firstLine="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highlight w:val="none"/>
        </w:rPr>
        <w:t xml:space="preserve">二、质量保修期</w:t>
      </w:r>
      <w:r/>
    </w:p>
    <w:p>
      <w:pPr>
        <w:ind w:left="0" w:right="0" w:firstLine="482"/>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根据《建设工程质量管理条例》及有关规定并结合本项目需求，本工程的质量保修期为</w:t>
      </w:r>
      <w:r>
        <w:rPr>
          <w:rFonts w:hint="default" w:ascii="宋体" w:hAnsi="宋体" w:eastAsia="宋体" w:cs="宋体"/>
          <w:color w:val="auto"/>
          <w:sz w:val="24"/>
          <w:highlight w:val="none"/>
          <w:u w:val="single"/>
        </w:rPr>
        <w:t xml:space="preserve">     </w:t>
      </w:r>
      <w:r>
        <w:rPr>
          <w:rFonts w:hint="default" w:ascii="宋体" w:hAnsi="宋体" w:eastAsia="宋体" w:cs="宋体"/>
          <w:color w:val="auto"/>
          <w:sz w:val="24"/>
          <w:highlight w:val="none"/>
        </w:rPr>
        <w:t xml:space="preserve">年。</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质量保修期自工程竣工验收合格之日起计算。</w:t>
      </w:r>
      <w:r/>
    </w:p>
    <w:p>
      <w:pPr>
        <w:ind w:left="0" w:right="0" w:firstLine="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highlight w:val="none"/>
        </w:rPr>
        <w:t xml:space="preserve">三、缺陷责任期</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工程缺陷责任期为</w:t>
      </w:r>
      <w:r>
        <w:rPr>
          <w:rFonts w:hint="default" w:ascii="宋体" w:hAnsi="宋体" w:eastAsia="宋体" w:cs="宋体"/>
          <w:color w:val="auto"/>
          <w:sz w:val="24"/>
          <w:highlight w:val="none"/>
          <w:u w:val="single"/>
        </w:rPr>
        <w:t xml:space="preserve"> 24 </w:t>
      </w:r>
      <w:r>
        <w:rPr>
          <w:rFonts w:hint="default" w:ascii="宋体" w:hAnsi="宋体" w:eastAsia="宋体" w:cs="宋体"/>
          <w:color w:val="auto"/>
          <w:sz w:val="24"/>
          <w:highlight w:val="none"/>
        </w:rPr>
        <w:t xml:space="preserve">个月，缺陷责任期自工程通过竣工验收之日起计算。</w:t>
      </w:r>
      <w:r/>
    </w:p>
    <w:p>
      <w:pPr>
        <w:ind w:left="0" w:right="0" w:firstLine="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highlight w:val="none"/>
        </w:rPr>
        <w:t xml:space="preserve">四、质量保修责任</w:t>
      </w:r>
      <w:r/>
    </w:p>
    <w:p>
      <w:pPr>
        <w:ind w:left="0" w:right="0" w:firstLine="489"/>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9"/>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2、发生紧急事故需抢修的，承包人在接到事故通知后，应当立即到达事故现场抢修。</w:t>
      </w:r>
      <w:r/>
    </w:p>
    <w:p>
      <w:pPr>
        <w:ind w:left="0" w:right="0" w:firstLine="489"/>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4、质量保修完成后，由发包人组织验收。</w:t>
      </w:r>
      <w:r/>
    </w:p>
    <w:p>
      <w:pPr>
        <w:ind w:left="0" w:right="0" w:firstLine="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highlight w:val="none"/>
        </w:rPr>
        <w:t xml:space="preserve">五、保修费用</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1、保修费用：本工程约定的工程质量保修金为合同总价款的</w:t>
      </w:r>
      <w:r>
        <w:rPr>
          <w:rFonts w:hint="default"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w:t>
      </w:r>
      <w:r>
        <w:rPr>
          <w:rFonts w:hint="default" w:ascii="宋体" w:hAnsi="宋体" w:eastAsia="宋体" w:cs="宋体"/>
          <w:color w:val="auto"/>
          <w:sz w:val="24"/>
          <w:highlight w:val="none"/>
          <w:u w:val="single"/>
        </w:rPr>
        <w:t xml:space="preserve"> </w:t>
      </w:r>
      <w:r>
        <w:rPr>
          <w:rFonts w:hint="default" w:ascii="宋体" w:hAnsi="宋体" w:eastAsia="宋体" w:cs="宋体"/>
          <w:color w:val="auto"/>
          <w:sz w:val="24"/>
          <w:highlight w:val="none"/>
        </w:rPr>
        <w:t xml:space="preserve">%。</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2、保修费用由造成质量缺陷的责任方承担。</w:t>
      </w:r>
      <w:r/>
    </w:p>
    <w:p>
      <w:pPr>
        <w:ind w:left="0" w:right="0" w:firstLine="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b/>
          <w:color w:val="auto"/>
          <w:sz w:val="24"/>
          <w:highlight w:val="none"/>
        </w:rPr>
        <w:t xml:space="preserve">六、双方约定的其他工程质量保修事项</w:t>
      </w:r>
      <w:r>
        <w:rPr>
          <w:rFonts w:hint="default" w:ascii="宋体" w:hAnsi="宋体" w:eastAsia="宋体" w:cs="宋体"/>
          <w:color w:val="auto"/>
          <w:sz w:val="24"/>
          <w:highlight w:val="none"/>
        </w:rPr>
        <w:t xml:space="preserve">：</w:t>
      </w:r>
      <w:r>
        <w:rPr>
          <w:rFonts w:hint="default" w:ascii="宋体" w:hAnsi="宋体" w:eastAsia="宋体" w:cs="宋体"/>
          <w:color w:val="auto"/>
          <w:sz w:val="24"/>
          <w:highlight w:val="none"/>
          <w:u w:val="single"/>
        </w:rPr>
        <w:t xml:space="preserve">       /         </w:t>
      </w:r>
      <w:r>
        <w:rPr>
          <w:rFonts w:hint="default" w:ascii="宋体" w:hAnsi="宋体" w:eastAsia="宋体" w:cs="宋体"/>
          <w:color w:val="auto"/>
          <w:sz w:val="24"/>
          <w:highlight w:val="none"/>
        </w:rPr>
        <w:t xml:space="preserve">。</w:t>
      </w:r>
      <w:r/>
    </w:p>
    <w:p>
      <w:pPr>
        <w:ind w:left="0" w:right="0" w:firstLine="480"/>
        <w:jc w:val="left"/>
        <w:spacing w:before="240" w:after="240" w:line="360" w:lineRule="atLeast"/>
        <w:widowControl/>
        <w:rPr>
          <w:rFonts w:hint="default" w:ascii="Arial" w:hAnsi="Arial"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highlight w:val="none"/>
        </w:rPr>
        <w:t xml:space="preserve">工程质量保修书由发包人、承包人在工程竣工验收前共同签署，作为施工合同附件，其有效期限至保修期满。</w:t>
      </w:r>
      <w:r/>
    </w:p>
    <w:p>
      <w:pPr>
        <w:spacing w:before="35"/>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pacing w:before="35"/>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pacing w:before="35"/>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pacing w:before="35"/>
        <w:shd w:val="clear" w:color="auto" w:fill="auto"/>
        <w:rPr>
          <w:rFonts w:ascii="Times New Roman" w:hAnsi="Times New Roman" w:eastAsia="宋体" w:cs="Times New Roman"/>
          <w:color w:val="auto"/>
          <w:highlight w:val="none"/>
          <w:lang w:val="en-US" w:eastAsia="zh-CN" w:bidi="ar-SA"/>
        </w:rPr>
      </w:pPr>
      <w:r>
        <w:rPr>
          <w:rFonts w:ascii="Times New Roman" w:hAnsi="Times New Roman" w:eastAsia="宋体" w:cs="Times New Roman"/>
          <w:color w:val="auto"/>
          <w:highlight w:val="none"/>
          <w:lang w:val="en-US" w:eastAsia="zh-CN" w:bidi="ar-SA"/>
        </w:rPr>
      </w:r>
      <w:r/>
    </w:p>
    <w:p>
      <w:pPr>
        <w:shd w:val="clear" w:color="auto" w:fill="auto"/>
        <w:rPr>
          <w:color w:val="auto"/>
          <w:highlight w:val="none"/>
        </w:rPr>
        <w:sectPr>
          <w:footerReference w:type="default" r:id="rId14"/>
          <w:footnotePr/>
          <w:endnotePr/>
          <w:type w:val="nextPage"/>
          <w:pgSz w:w="11906" w:h="16839" w:orient="portrait"/>
          <w:pgMar w:top="1431" w:right="1473" w:bottom="1057" w:left="1481" w:header="0" w:footer="879" w:gutter="0"/>
          <w:cols w:num="1" w:sep="0" w:space="720" w:equalWidth="1"/>
          <w:docGrid w:linePitch="360"/>
        </w:sectPr>
      </w:pPr>
      <w:r>
        <w:rPr>
          <w:color w:val="auto"/>
          <w:highlight w:val="none"/>
        </w:rPr>
      </w:r>
      <w:r/>
    </w:p>
    <w:p>
      <w:pPr>
        <w:ind w:left="484"/>
        <w:spacing w:before="49" w:line="21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发包人(公章)：</w:t>
      </w:r>
      <w:r/>
    </w:p>
    <w:p>
      <w:pPr>
        <w:ind w:left="480"/>
        <w:spacing w:before="195" w:line="22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地址：</w:t>
      </w:r>
      <w:r/>
    </w:p>
    <w:p>
      <w:pPr>
        <w:ind w:left="481"/>
        <w:spacing w:before="182" w:line="220"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法定代表人(签字)：</w:t>
      </w:r>
      <w:r/>
    </w:p>
    <w:p>
      <w:pPr>
        <w:ind w:left="480"/>
        <w:spacing w:before="194" w:line="220"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委托代理人(签字)：</w:t>
      </w:r>
      <w:r/>
    </w:p>
    <w:p>
      <w:pPr>
        <w:ind w:left="509"/>
        <w:spacing w:before="194" w:line="222"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16"/>
          <w:sz w:val="24"/>
          <w:szCs w:val="24"/>
          <w:highlight w:val="none"/>
          <w:lang w:val="en-US" w:eastAsia="zh-CN" w:bidi="ar-SA"/>
        </w:rPr>
        <w:t xml:space="preserve">电话：</w:t>
      </w:r>
      <w:r/>
    </w:p>
    <w:p>
      <w:pPr>
        <w:ind w:left="479"/>
        <w:spacing w:before="192" w:line="21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传真：</w:t>
      </w:r>
      <w:r/>
    </w:p>
    <w:p>
      <w:pPr>
        <w:ind w:left="481"/>
        <w:spacing w:before="194" w:line="221"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3"/>
          <w:sz w:val="24"/>
          <w:szCs w:val="24"/>
          <w:highlight w:val="none"/>
          <w:lang w:val="en-US" w:eastAsia="zh-CN" w:bidi="ar-SA"/>
        </w:rPr>
        <w:t xml:space="preserve">开户银行：</w:t>
      </w:r>
      <w:r/>
    </w:p>
    <w:p>
      <w:pPr>
        <w:ind w:left="484"/>
        <w:spacing w:before="192" w:line="222"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10"/>
          <w:sz w:val="24"/>
          <w:szCs w:val="24"/>
          <w:highlight w:val="none"/>
          <w:lang w:val="en-US" w:eastAsia="zh-CN" w:bidi="ar-SA"/>
        </w:rPr>
        <w:t xml:space="preserve">账号：</w:t>
      </w:r>
      <w:r/>
    </w:p>
    <w:p>
      <w:pPr>
        <w:ind w:left="498"/>
        <w:spacing w:before="193" w:line="185"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6"/>
          <w:sz w:val="24"/>
          <w:szCs w:val="24"/>
          <w:highlight w:val="none"/>
          <w:lang w:val="en-US" w:eastAsia="zh-CN" w:bidi="ar-SA"/>
        </w:rPr>
        <w:t xml:space="preserve">邮政编码：</w:t>
      </w:r>
      <w:r/>
    </w:p>
    <w:p>
      <w:pPr>
        <w:jc w:val="both"/>
        <w:spacing w:line="14" w:lineRule="auto"/>
        <w:shd w:val="clear" w:color="auto" w:fill="auto"/>
        <w:widowControl w:val="off"/>
        <w:rPr>
          <w:rFonts w:hint="default" w:ascii="楷体_GB2312" w:hAnsi="Arial" w:eastAsia="楷体_GB2312" w:cs="Times New Roman"/>
          <w:color w:val="auto"/>
          <w:sz w:val="2"/>
          <w:szCs w:val="28"/>
          <w:highlight w:val="none"/>
          <w:lang w:val="en-US" w:eastAsia="zh-CN" w:bidi="ar-SA"/>
        </w:rPr>
      </w:pPr>
      <w:r>
        <w:rPr>
          <w:rFonts w:hint="default" w:ascii="楷体_GB2312" w:hAnsi="Arial" w:eastAsia="楷体_GB2312" w:cs="Times New Roman"/>
          <w:color w:val="auto"/>
          <w:sz w:val="2"/>
          <w:szCs w:val="2"/>
          <w:highlight w:val="none"/>
          <w:lang w:val="en-US" w:eastAsia="zh-CN" w:bidi="ar-SA"/>
        </w:rPr>
        <w:br w:type="column"/>
      </w:r>
      <w:r/>
    </w:p>
    <w:p>
      <w:pPr>
        <w:ind w:left="1"/>
        <w:spacing w:before="47" w:line="36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承包人(公章)：</w:t>
      </w:r>
      <w:r/>
    </w:p>
    <w:p>
      <w:pPr>
        <w:ind w:left="1"/>
        <w:spacing w:before="1" w:line="22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地址：</w:t>
      </w:r>
      <w:r/>
    </w:p>
    <w:p>
      <w:pPr>
        <w:ind w:left="2"/>
        <w:spacing w:before="181" w:line="220"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2"/>
          <w:sz w:val="24"/>
          <w:szCs w:val="24"/>
          <w:highlight w:val="none"/>
          <w:lang w:val="en-US" w:eastAsia="zh-CN" w:bidi="ar-SA"/>
        </w:rPr>
        <w:t xml:space="preserve">法定代表人(签字)：</w:t>
      </w:r>
      <w:r/>
    </w:p>
    <w:p>
      <w:pPr>
        <w:spacing w:before="194" w:line="220"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1"/>
          <w:sz w:val="24"/>
          <w:szCs w:val="24"/>
          <w:highlight w:val="none"/>
          <w:lang w:val="en-US" w:eastAsia="zh-CN" w:bidi="ar-SA"/>
        </w:rPr>
        <w:t xml:space="preserve">委托代理人(签字)：</w:t>
      </w:r>
      <w:r/>
    </w:p>
    <w:p>
      <w:pPr>
        <w:ind w:left="30"/>
        <w:spacing w:before="195" w:line="222"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16"/>
          <w:sz w:val="24"/>
          <w:szCs w:val="24"/>
          <w:highlight w:val="none"/>
          <w:lang w:val="en-US" w:eastAsia="zh-CN" w:bidi="ar-SA"/>
        </w:rPr>
        <w:t xml:space="preserve">电话：</w:t>
      </w:r>
      <w:r/>
    </w:p>
    <w:p>
      <w:pPr>
        <w:spacing w:before="191" w:line="369"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7"/>
          <w:sz w:val="24"/>
          <w:szCs w:val="24"/>
          <w:highlight w:val="none"/>
          <w:lang w:val="en-US" w:eastAsia="zh-CN" w:bidi="ar-SA"/>
        </w:rPr>
        <w:t xml:space="preserve">传真：</w:t>
      </w:r>
      <w:r/>
    </w:p>
    <w:p>
      <w:pPr>
        <w:ind w:left="2"/>
        <w:spacing w:before="1" w:line="220"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3"/>
          <w:sz w:val="24"/>
          <w:szCs w:val="24"/>
          <w:highlight w:val="none"/>
          <w:lang w:val="en-US" w:eastAsia="zh-CN" w:bidi="ar-SA"/>
        </w:rPr>
        <w:t xml:space="preserve">开户银行：</w:t>
      </w:r>
      <w:r/>
    </w:p>
    <w:p>
      <w:pPr>
        <w:ind w:left="5"/>
        <w:spacing w:before="192" w:line="222" w:lineRule="auto"/>
        <w:shd w:val="clear" w:color="auto" w:fill="auto"/>
        <w:rPr>
          <w:rFonts w:hint="eastAsia" w:ascii="宋体" w:hAnsi="宋体" w:eastAsia="宋体" w:cs="宋体"/>
          <w:color w:val="auto"/>
          <w:sz w:val="24"/>
          <w:szCs w:val="24"/>
          <w:highlight w:val="none"/>
          <w:lang w:val="en-US" w:eastAsia="zh-CN" w:bidi="ar-SA"/>
        </w:rPr>
      </w:pPr>
      <w:r>
        <w:rPr>
          <w:rFonts w:ascii="宋体" w:hAnsi="宋体" w:eastAsia="宋体" w:cs="宋体"/>
          <w:color w:val="auto"/>
          <w:spacing w:val="-10"/>
          <w:sz w:val="24"/>
          <w:szCs w:val="24"/>
          <w:highlight w:val="none"/>
          <w:lang w:val="en-US" w:eastAsia="zh-CN" w:bidi="ar-SA"/>
        </w:rPr>
        <w:t xml:space="preserve">账号：</w:t>
      </w:r>
      <w:r/>
    </w:p>
    <w:p>
      <w:pPr>
        <w:ind w:left="19"/>
        <w:spacing w:before="193" w:line="185" w:lineRule="auto"/>
        <w:shd w:val="clear" w:color="auto" w:fill="auto"/>
        <w:rPr>
          <w:rFonts w:hint="eastAsia" w:ascii="宋体" w:hAnsi="宋体" w:eastAsia="宋体" w:cs="宋体"/>
          <w:color w:val="auto"/>
          <w:sz w:val="24"/>
          <w:szCs w:val="24"/>
          <w:highlight w:val="none"/>
          <w:lang w:val="en-US" w:eastAsia="zh-CN" w:bidi="ar-SA"/>
        </w:rPr>
        <w:outlineLvl w:val="0"/>
      </w:pPr>
      <w:r/>
      <w:bookmarkStart w:id="216" w:name="_Toc26450"/>
      <w:r>
        <w:rPr>
          <w:rFonts w:ascii="宋体" w:hAnsi="宋体" w:eastAsia="宋体" w:cs="宋体"/>
          <w:color w:val="auto"/>
          <w:spacing w:val="-6"/>
          <w:sz w:val="24"/>
          <w:szCs w:val="24"/>
          <w:highlight w:val="none"/>
          <w:lang w:val="en-US" w:eastAsia="zh-CN" w:bidi="ar-SA"/>
        </w:rPr>
        <w:t xml:space="preserve">邮政编码：</w:t>
      </w:r>
      <w:bookmarkEnd w:id="216"/>
      <w:r/>
      <w:r/>
    </w:p>
    <w:p>
      <w:pPr>
        <w:spacing w:line="185" w:lineRule="auto"/>
        <w:shd w:val="clear" w:color="auto" w:fill="auto"/>
        <w:rPr>
          <w:rFonts w:ascii="宋体" w:hAnsi="宋体" w:eastAsia="宋体" w:cs="宋体"/>
          <w:color w:val="auto"/>
          <w:sz w:val="24"/>
          <w:szCs w:val="24"/>
          <w:highlight w:val="none"/>
        </w:rPr>
        <w:sectPr>
          <w:footnotePr/>
          <w:endnotePr/>
          <w:type w:val="continuous"/>
          <w:pgSz w:w="11906" w:h="16839" w:orient="portrait"/>
          <w:pgMar w:top="1431" w:right="1473" w:bottom="1057" w:left="1481" w:header="0" w:footer="879" w:gutter="0"/>
          <w:cols w:num="2" w:sep="0" w:space="1701" w:equalWidth="0">
            <w:col w:w="4460" w:space="100"/>
            <w:col w:w="4392" w:space="0"/>
          </w:cols>
          <w:docGrid w:linePitch="360"/>
        </w:sectPr>
      </w:pPr>
      <w:r>
        <w:rPr>
          <w:rFonts w:ascii="宋体" w:hAnsi="宋体" w:eastAsia="宋体" w:cs="宋体"/>
          <w:color w:val="auto"/>
          <w:sz w:val="24"/>
          <w:szCs w:val="24"/>
          <w:highlight w:val="none"/>
        </w:rPr>
      </w:r>
      <w:r/>
    </w:p>
    <w:p>
      <w:pPr>
        <w:jc w:val="both"/>
        <w:shd w:val="clear" w:color="auto" w:fill="auto"/>
        <w:widowControl w:val="off"/>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r>
      <w:r/>
    </w:p>
    <w:p>
      <w:pPr>
        <w:jc w:val="left"/>
        <w:spacing w:line="360" w:lineRule="auto"/>
        <w:shd w:val="clear" w:color="auto" w:fill="auto"/>
        <w:widowControl w:val="off"/>
        <w:rPr>
          <w:rFonts w:hint="default" w:ascii="黑体" w:hAnsi="黑体" w:eastAsia="黑体" w:cs="黑体"/>
          <w:color w:val="auto"/>
          <w:spacing w:val="-8"/>
          <w:sz w:val="24"/>
          <w:szCs w:val="24"/>
          <w:highlight w:val="none"/>
          <w:lang w:val="en-US" w:eastAsia="zh-CN" w:bidi="ar-SA"/>
        </w:rPr>
      </w:pPr>
      <w:r/>
      <w:bookmarkStart w:id="217" w:name="_Toc317082240"/>
      <w:r>
        <w:rPr>
          <w:rFonts w:hint="default" w:ascii="黑体" w:hAnsi="黑体" w:eastAsia="黑体" w:cs="黑体"/>
          <w:color w:val="auto"/>
          <w:spacing w:val="-8"/>
          <w:sz w:val="24"/>
          <w:szCs w:val="24"/>
          <w:highlight w:val="none"/>
          <w:lang w:val="en-US" w:eastAsia="zh-CN" w:bidi="ar-SA"/>
        </w:rPr>
        <w:t xml:space="preserve">附件</w:t>
      </w:r>
      <w:r>
        <w:rPr>
          <w:rFonts w:hint="eastAsia" w:ascii="黑体" w:hAnsi="黑体" w:eastAsia="黑体" w:cs="黑体"/>
          <w:color w:val="auto"/>
          <w:spacing w:val="-8"/>
          <w:sz w:val="24"/>
          <w:szCs w:val="24"/>
          <w:highlight w:val="none"/>
          <w:lang w:val="en-US" w:eastAsia="zh-CN" w:bidi="ar-SA"/>
        </w:rPr>
        <w:t xml:space="preserve">4</w:t>
      </w:r>
      <w:r>
        <w:rPr>
          <w:rFonts w:hint="default" w:ascii="黑体" w:hAnsi="黑体" w:eastAsia="黑体" w:cs="黑体"/>
          <w:color w:val="auto"/>
          <w:spacing w:val="-8"/>
          <w:sz w:val="24"/>
          <w:szCs w:val="24"/>
          <w:highlight w:val="none"/>
          <w:lang w:val="en-US" w:eastAsia="zh-CN" w:bidi="ar-SA"/>
        </w:rPr>
        <w:t xml:space="preserve">：</w:t>
      </w:r>
      <w:bookmarkEnd w:id="217"/>
      <w:r/>
      <w:r/>
    </w:p>
    <w:p>
      <w:pPr>
        <w:jc w:val="center"/>
        <w:spacing w:line="360" w:lineRule="auto"/>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建设工程廉政责任书</w:t>
      </w:r>
      <w:r/>
    </w:p>
    <w:p>
      <w:pPr>
        <w:jc w:val="both"/>
        <w:spacing w:line="400" w:lineRule="exact"/>
        <w:shd w:val="clear" w:color="auto" w:fill="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发包人（全称）：</w:t>
      </w:r>
      <w:r>
        <w:rPr>
          <w:rFonts w:hint="eastAsia" w:ascii="宋体" w:hAnsi="宋体" w:eastAsia="宋体" w:cs="宋体"/>
          <w:b/>
          <w:color w:val="auto"/>
          <w:sz w:val="24"/>
          <w:szCs w:val="24"/>
          <w:highlight w:val="none"/>
          <w:u w:val="single"/>
          <w:lang w:val="en-US" w:eastAsia="zh-CN" w:bidi="ar-SA"/>
        </w:rPr>
        <w:t xml:space="preserve">                          </w:t>
      </w:r>
      <w:r/>
    </w:p>
    <w:p>
      <w:pPr>
        <w:jc w:val="both"/>
        <w:spacing w:line="400" w:lineRule="exact"/>
        <w:shd w:val="clear" w:color="auto" w:fill="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b/>
          <w:color w:val="auto"/>
          <w:sz w:val="24"/>
          <w:szCs w:val="24"/>
          <w:highlight w:val="none"/>
          <w:lang w:val="en-US" w:eastAsia="zh-CN" w:bidi="ar-SA"/>
        </w:rPr>
        <w:t xml:space="preserve">承包人（全称）：</w:t>
      </w:r>
      <w:r>
        <w:rPr>
          <w:rFonts w:hint="eastAsia" w:ascii="宋体" w:hAnsi="宋体" w:eastAsia="宋体" w:cs="宋体"/>
          <w:b/>
          <w:color w:val="auto"/>
          <w:sz w:val="24"/>
          <w:szCs w:val="24"/>
          <w:highlight w:val="none"/>
          <w:u w:val="single"/>
          <w:lang w:val="en-US" w:eastAsia="zh-CN" w:bidi="ar-SA"/>
        </w:rPr>
        <w:t xml:space="preserve">                          </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pacing w:val="-1"/>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p>
    <w:p>
      <w:pPr>
        <w:ind w:firstLine="48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一、双方的责任</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1.1应严格遵守国家关于建设工程的有关法律、法规，相关政策，以及廉政建设的各项规定。</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1.2严格执行建设工程合同文件，自觉按合同办事。</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1.3各项活动必须坚持公开、公平、公正、诚信、透明的原则(除法律法规另有规定者外)，不得为获取不正当的利益，损害国家、集体和对方利益，不得违反建设工程管理的规章制度。</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1.4发现对方在业务活动中有违规、违纪、违法行为的，应及时提醒对方，情节严重的，应向其上级主管部门或纪检监察、司法等有关机关举报。</w:t>
      </w:r>
      <w:r/>
    </w:p>
    <w:p>
      <w:pPr>
        <w:ind w:firstLine="48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二、发包人责任</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发包人的领导和从事该建设工程项目的工作人员，在工程建设的事前、事中、事后应遵守以下规定：</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2.1不得向承包人和相关单位索要或接受回扣、礼金、有价证券、贵重物品和好处费、感谢费等。</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2.2不得要求承包人和相关单位报销任何应由发包人或个人支付的费用。</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2.3不得要求、暗示或接受承包人和相关单位为个人装修住房、婚丧嫁娶、配偶子女的工作安排以及出国(境)、旅游等提供方便。</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2.4不得参加有可能影响公正执行公务的承包人和相关单位的宴请、健身、娱乐等活动。</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2.5不得向承包人和相关单位介绍或为配偶、子女、亲属参与同发包人工程建设管理合同有关的业务活动；不得以任何理由要求承包人和相关单位使用某种产品、材料和设备。</w:t>
      </w:r>
      <w:r/>
    </w:p>
    <w:p>
      <w:pPr>
        <w:ind w:firstLine="48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三、承包人责任</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应与发包人保持正常的业务交往，按照有关法律法规和程序开展业务工作，严格执行工程建设的有关方针、政策，执行工程建设强制性标准，并遵守以下规定：</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3.1不得以任何理由向发包人及其工作人员索要、接受或赠送礼金、有价证券、贵重物品及回扣、好处费、感谢费等。</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3.2不得以任何理由为发包人和相关单位报销应由对方或个人支付的费用。</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3.3不得接受或暗示为发包人、相关单位或个人装修住房、婚丧嫁娶、配偶子女的工作安排以及出国(境)、旅游等提供方便。</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3.4不得以任何理由为发包人、相关单位或个人组织有可能影响公正执行公务的宴请、健身、娱乐等活动。</w:t>
      </w:r>
      <w:r/>
    </w:p>
    <w:p>
      <w:pPr>
        <w:ind w:firstLine="48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四、违约责任</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4.1发包人工作人员有违反本责任书第一、二条责任行为的，依据有关法律、法规给予处理；涉嫌犯罪的，移交司法机关追究刑事责任；给承包人单位造成经济损失的，应予以赔偿。</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4.2承包人工作人员有违反本责任书第一、三条责任行为的，依据有关法律法规处理；涉嫌犯罪的，移交司法机关追究刑事责任；给发包人单位造成经济损失的，应予以赔偿。</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4.3本责任书作为建设工程合同的组成部分，与建设工程合同具有同等法律效力。经双方签署后立即生效。</w:t>
      </w:r>
      <w:r/>
    </w:p>
    <w:p>
      <w:pPr>
        <w:ind w:firstLine="48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五、责任书有效期</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本责任书的有效期为双方签署之日起至该工程项目竣工验收合格时止。</w:t>
      </w:r>
      <w:r/>
    </w:p>
    <w:p>
      <w:pPr>
        <w:ind w:firstLine="48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六、责任书份数</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本责任书一式捌份，发包人、承包人各执肆份，具有同等效力。</w:t>
      </w:r>
      <w:r/>
    </w:p>
    <w:p>
      <w:pPr>
        <w:ind w:firstLine="420"/>
        <w:jc w:val="both"/>
        <w:spacing w:line="44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  (公章)                    承包人：  (公章)</w:t>
      </w:r>
      <w:r/>
    </w:p>
    <w:p>
      <w:pPr>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                         法定代表人：</w:t>
      </w:r>
      <w:r/>
    </w:p>
    <w:p>
      <w:pPr>
        <w:ind w:firstLine="480"/>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（签字）                            （签字）                          </w:t>
      </w:r>
      <w:r/>
    </w:p>
    <w:p>
      <w:pPr>
        <w:ind w:firstLine="480"/>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组织机构代码：                       组织机构代码：                     </w:t>
      </w:r>
      <w:r/>
    </w:p>
    <w:p>
      <w:pPr>
        <w:ind w:firstLine="480"/>
        <w:jc w:val="both"/>
        <w:spacing w:line="400" w:lineRule="exact"/>
        <w:shd w:val="clear" w:color="auto" w:fill="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开户银行：                        </w:t>
      </w:r>
      <w:r/>
    </w:p>
    <w:p>
      <w:pPr>
        <w:ind w:firstLine="480"/>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账  号：                             账  号</w:t>
      </w:r>
      <w:r>
        <w:rPr>
          <w:rFonts w:hint="default"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highlight w:val="none"/>
          <w:lang w:val="en-US" w:eastAsia="zh-CN" w:bidi="ar-SA"/>
        </w:rPr>
        <w:t xml:space="preserve">      </w:t>
      </w:r>
      <w:r/>
    </w:p>
    <w:p>
      <w:pPr>
        <w:rPr>
          <w:rFonts w:eastAsia="宋体" w:cs="Times New Roman"/>
          <w:color w:val="auto"/>
          <w:highlight w:val="none"/>
        </w:rPr>
      </w:pPr>
      <w:r>
        <w:rPr>
          <w:rFonts w:eastAsia="宋体" w:cs="Times New Roman"/>
          <w:color w:val="auto"/>
          <w:highlight w:val="none"/>
        </w:rPr>
      </w:r>
      <w:r/>
    </w:p>
    <w:p>
      <w:pPr>
        <w:ind w:firstLine="480"/>
        <w:jc w:val="both"/>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color w:val="auto"/>
          <w:sz w:val="21"/>
          <w:szCs w:val="21"/>
          <w:highlight w:val="none"/>
          <w:lang w:val="en-US" w:eastAsia="zh-CN" w:bidi="ar-SA"/>
        </w:rPr>
        <w:t xml:space="preserve"> </w:t>
      </w:r>
      <w:r/>
    </w:p>
    <w:p>
      <w:pPr>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p>
    <w:p>
      <w:pPr>
        <w:jc w:val="center"/>
        <w:keepNext/>
        <w:rPr>
          <w:rFonts w:ascii="Times New Roman" w:hAnsi="Times New Roman" w:eastAsia="黑体"/>
          <w:color w:val="auto"/>
          <w:sz w:val="44"/>
          <w:szCs w:val="44"/>
          <w:highlight w:val="none"/>
        </w:rPr>
        <w:outlineLvl w:val="0"/>
      </w:pPr>
      <w:r>
        <w:rPr>
          <w:rFonts w:ascii="黑体" w:hAnsi="Courier New" w:eastAsia="黑体" w:cs="Courier New"/>
          <w:bCs/>
          <w:color w:val="auto"/>
          <w:sz w:val="44"/>
          <w:szCs w:val="21"/>
          <w:highlight w:val="none"/>
        </w:rPr>
        <w:br w:type="page" w:clear="all"/>
      </w:r>
      <w:r>
        <w:rPr>
          <w:rFonts w:hint="eastAsia" w:ascii="Times New Roman" w:hAnsi="Times New Roman" w:eastAsia="黑体"/>
          <w:color w:val="auto"/>
          <w:sz w:val="44"/>
          <w:szCs w:val="44"/>
          <w:highlight w:val="none"/>
        </w:rPr>
        <w:t xml:space="preserve">第</w:t>
      </w:r>
      <w:bookmarkEnd w:id="204"/>
      <w:r>
        <w:rPr>
          <w:rFonts w:hint="eastAsia" w:ascii="Times New Roman" w:hAnsi="Times New Roman" w:eastAsia="黑体"/>
          <w:color w:val="auto"/>
          <w:sz w:val="44"/>
          <w:szCs w:val="44"/>
          <w:highlight w:val="none"/>
        </w:rPr>
        <w:t xml:space="preserve">四章  采购需求</w:t>
      </w:r>
      <w:bookmarkEnd w:id="205"/>
      <w:r/>
      <w:bookmarkEnd w:id="206"/>
      <w:r/>
      <w:bookmarkEnd w:id="207"/>
      <w:r/>
      <w:bookmarkEnd w:id="208"/>
      <w:r/>
      <w:bookmarkStart w:id="218" w:name="_Toc26554093"/>
      <w:r/>
      <w:bookmarkStart w:id="219" w:name="_Toc49090575"/>
      <w:r/>
      <w:r/>
    </w:p>
    <w:p>
      <w:pPr>
        <w:ind w:firstLine="480"/>
        <w:spacing w:line="360" w:lineRule="auto"/>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ind w:firstLine="480"/>
        <w:spacing w:line="360" w:lineRule="auto"/>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项目属性：工程类项目</w:t>
      </w:r>
      <w:r/>
    </w:p>
    <w:p>
      <w:pPr>
        <w:ind w:firstLine="480"/>
        <w:spacing w:line="360" w:lineRule="auto"/>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本项目采购标的对应的中小企业划分标准所属行业：建筑业</w:t>
      </w:r>
      <w:r/>
    </w:p>
    <w:p>
      <w:pPr>
        <w:ind w:firstLine="480"/>
        <w:spacing w:line="360" w:lineRule="auto"/>
        <w:rPr>
          <w:color w:val="auto"/>
          <w:highlight w:val="none"/>
        </w:rPr>
      </w:pPr>
      <w:r>
        <w:rPr>
          <w:rFonts w:hint="eastAsia" w:ascii="Times New Roman" w:hAnsi="Times New Roman" w:cs="Courier New"/>
          <w:color w:val="auto"/>
          <w:sz w:val="24"/>
          <w:szCs w:val="24"/>
          <w:highlight w:val="none"/>
        </w:rPr>
        <w:t xml:space="preserve">本项目不接受进口产品。</w:t>
      </w:r>
      <w:r/>
    </w:p>
    <w:p>
      <w:pPr>
        <w:ind w:firstLine="480"/>
        <w:jc w:val="both"/>
        <w:keepLines w:val="0"/>
        <w:keepNext w:val="0"/>
        <w:pageBreakBefore w:val="0"/>
        <w:spacing w:after="0" w:line="360" w:lineRule="auto"/>
        <w:widowControl w:val="off"/>
        <w:rPr>
          <w:rFonts w:hint="default" w:ascii="宋体" w:hAnsi="宋体" w:eastAsia="宋体" w:cs="宋体"/>
          <w:b/>
          <w:bCs/>
          <w:color w:val="auto"/>
          <w:sz w:val="24"/>
          <w:szCs w:val="24"/>
          <w:highlight w:val="none"/>
          <w:lang w:val="en-US" w:eastAsia="zh-CN" w:bidi="ar-SA"/>
        </w:rPr>
      </w:pPr>
      <w:r/>
      <w:bookmarkStart w:id="220" w:name="_Toc169207397"/>
      <w:r/>
      <w:bookmarkStart w:id="221" w:name="_Toc120614281"/>
      <w:r>
        <w:rPr>
          <w:rFonts w:hint="eastAsia" w:ascii="宋体" w:hAnsi="宋体" w:eastAsia="宋体" w:cs="宋体"/>
          <w:b/>
          <w:bCs/>
          <w:color w:val="auto"/>
          <w:sz w:val="24"/>
          <w:szCs w:val="24"/>
          <w:highlight w:val="none"/>
          <w:lang w:val="en-US" w:eastAsia="zh-CN" w:bidi="ar-SA"/>
        </w:rPr>
        <w:t xml:space="preserve">一、项目概况</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1、施工工期：45日历天</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2、施工地点：宿迁学院附属学校</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3、付款方式：合同签订后支付合同价款的10%作为预付款，竣工验收合格后付至合同价款的80%，工程审计结束后付至审定价的97%，质保期满且无质量问题付清余款（无息）。</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注：在签订合同时，供应商明确表示无需预付款或者主动要求降低预付款比例的，采购人可不适用前述预付款规定。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4、质量要求：合格。</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5、质保期：5年。自工程竣工验收合格之日起计算。</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6、验收要求：符合《建筑工程施工质量检查与验收手册》等工程行业管理部门规定的现行的与本工程有关的国家标准、行业标准、规范及省、市有关规定。</w:t>
      </w:r>
      <w:r/>
    </w:p>
    <w:p>
      <w:pPr>
        <w:ind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二、技术要求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1、本工程采用的技术规范依据设计施工图纸和技术文件要求，本工程项目的材料、设备、施工必须达到现行中华人民共和国及省、市、行业的一切法规、规范的要求。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2、对材料的质量和试验要求现行中华人民共和国及省、市、行业的一切法规、 规 范的要求。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3、依据相关技术文件要求，本工程的材料、设备、施工必须达到现行中华人民共和国及省、市、行业的一切法规、规范的要求。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4、施工具体包含清单中全部内容，中标后根据采购人要求提交具体施工方案，并经采购人审核同意后方可进行施工。</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6、成交人在整个项目实施过程中，必须从技术、项目进度、技术人员保障、施工安全、文明施工、项目实施制度、质量把关等方面按照质量体系、磋商文件规定、国家（行业）相关标准和本合同要求执行。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7、严格执行施工规范、防火安全规定、环境保护规定。严格按照图纸或做法说明进行施工，做好各项质量检查记录。</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10、在施工中如有因成交人的原因所产生的项目量增加、变更等情况，由成交人承担费用。</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11、施工前所有的设备和材料进场需经采购人验收合格后进行施工，成交人须积极配合工作。</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省市住建部门现行的相关文件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13、履约期间，如发生成交人工作人员工伤或遇成交人工作人员人身伤亡事故， 均由成交人负责；由于成交人人员在相关操作过程中安全防护不当导致工人或其他人员发生人身安全损害及事故的，一切后果与法律责任均由成交人承担。</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成交人必须严格按照磋商文件及相关承诺，并按照经采购人会签审定的施工设计所规定的材料品牌和质量等级进行材料采购和施工，确保材料品质和项目质量。对未经采购人审定确认的材料及项目，采购人将对该部分项目量不予计量并有权要求成交人将该部分项目进行拆除返工，材料清除出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供应商应参照相关行业技术标准和要求编制技术方案，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对关键工序、复杂环节重点提出相应技术措施，如冬雨季施工技术、减少噪音、降低环境污染、地下管线及其他地上地下设施的保护加固措施等。</w:t>
      </w:r>
      <w:r/>
    </w:p>
    <w:p>
      <w:pPr>
        <w:ind w:firstLine="480"/>
        <w:jc w:val="both"/>
        <w:keepLines w:val="0"/>
        <w:keepNext w:val="0"/>
        <w:pageBreakBefore w:val="0"/>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16、人造草坪</w:t>
      </w:r>
      <w:r>
        <w:rPr>
          <w:rFonts w:hint="eastAsia" w:ascii="宋体" w:hAnsi="宋体" w:eastAsia="宋体" w:cs="宋体"/>
          <w:b w:val="0"/>
          <w:bCs w:val="0"/>
          <w:color w:val="auto"/>
          <w:sz w:val="24"/>
          <w:szCs w:val="24"/>
          <w:highlight w:val="none"/>
          <w:lang w:val="en-US" w:eastAsia="zh-CN" w:bidi="ar-SA"/>
        </w:rPr>
        <w:t xml:space="preserve">技术要求：填充物为石英砂和环保EPDM颗粒2-3mm，草纤维纤度≥12000dtex，采用高级聚乙烯带筋型直曲混合（双色铺设），基布为双层编织布，背胶符合GB36246-2018对非固体原料的要求，植草高度为50±5%mm，行距5/8，织距20针／10cm。植草密度12600针／m2，草坪颜色为田园绿与柠檬绿双色间铺，足球场标志线为白色，充填胶粒为粒径2-3mm，厚度满足发包人及规范要求，高聚物含量大于20%，环保净味（气味等级小于3.0)球场冲击吸收45-70%，垂直变形4-11mm，草丝拉断力≥10N。</w:t>
      </w:r>
      <w:r/>
    </w:p>
    <w:p>
      <w:pPr>
        <w:ind w:firstLine="480"/>
        <w:jc w:val="both"/>
        <w:keepLines w:val="0"/>
        <w:keepNext w:val="0"/>
        <w:pageBreakBefore w:val="0"/>
        <w:spacing w:after="0" w:line="360" w:lineRule="auto"/>
        <w:widowControl w:val="off"/>
        <w:rPr>
          <w:rFonts w:hint="default"/>
          <w:b w:val="0"/>
          <w:bCs w:val="0"/>
          <w:color w:val="auto"/>
          <w:sz w:val="28"/>
          <w:szCs w:val="28"/>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17、塑胶跑道技术要求：有害物质含量:3种邻苯二甲酸酯类化合物（DBP、BBP、DEHP）总和≤1.0g/kg,3种邻苯二甲酸</w:t>
      </w:r>
      <w:r>
        <w:rPr>
          <w:rFonts w:hint="eastAsia" w:ascii="宋体" w:hAnsi="宋体" w:eastAsia="宋体" w:cs="宋体"/>
          <w:b w:val="0"/>
          <w:bCs w:val="0"/>
          <w:color w:val="auto"/>
          <w:sz w:val="24"/>
          <w:szCs w:val="24"/>
          <w:highlight w:val="none"/>
          <w:lang w:val="en-US" w:eastAsia="zh-CN" w:bidi="ar-SA"/>
        </w:rPr>
        <w:t xml:space="preserve">酯类化合物（DNOP、DINP、DIDP)总和≤1.0g/kg，游离甲苯二异氰酸酯（TDI）和游离六亚甲基二异氰酸酯（HDI)总和≤0.20g/kg,4,4'﹣二氨基一3,3'﹣二氯二苯甲烷（MOCA)≤1.0g/kg，短链氯化石蜡（C-C)/(g/kg)≤1.5g/kg，游离二苯基甲烷二异氰酸酯≤1.0g/kg,18种多环芳烃总和≤50mg/kg，苯并（a）花≤1.0g/kg6、可溶性铅≤50mg/kg，可溶性镉≤10mg/kg可溶性铬≤10mg/kg，可溶性≤2mg/kg7、有害物质释放速率：TVOC≤</w:t>
      </w:r>
      <w:r>
        <w:rPr>
          <w:rFonts w:hint="eastAsia" w:ascii="宋体" w:hAnsi="宋体" w:eastAsia="宋体" w:cs="宋体"/>
          <w:b w:val="0"/>
          <w:bCs w:val="0"/>
          <w:color w:val="auto"/>
          <w:sz w:val="24"/>
          <w:szCs w:val="24"/>
          <w:highlight w:val="none"/>
          <w:lang w:val="en-US" w:eastAsia="zh-CN" w:bidi="ar-SA"/>
        </w:rPr>
        <w:t xml:space="preserve">5(mg/m.h)2,甲醛≤0.4(mg/m·h)2，苯≤0.1(mg/m.h)2，甲苯、二甲苯、乙苯总和≤1.0(mg/m·h)2，二硫化碳≤7.0(mg/m.h)28、聚氨酯全塑型自结纹塑胶面层跑道技术参数（物理性能）：参考标准GB36246-2018，拉伸强度（MPa)≥0.5，断裂伸长率≥40%，冲击吸收35-50%,垂直变形0.6-3.0mm，抗滑值BPN20度≥47，阻燃性（级）I，气味等级≤3级，耐人工气候老能拉伸强度/MPa（非渗水性面层）≥0.5(500h),拉断伸长率≥40%(500h)</w:t>
      </w:r>
      <w:r/>
    </w:p>
    <w:p>
      <w:pPr>
        <w:ind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三、工程量清单及图纸：另附（工程量清单请各潜在投标人至宿迁市政府采购网本项目公告附件下载）。</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四、项目实施方案</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1、项目实施方案总体概述。供应商提供项目实施方案总体概述，含施工组织总体设想、总体施工布置及规划、施工组织、施工工艺等具体内容；要求：方案、施工组织设想有内容，有组织工序。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施工进度计划和各阶段进度的保证措施方案。供应商提供施工进度计划和各阶段进度的保证措施方案，含进度计划、进度保障的措施等内容；要求：进度计划有节点安排，符合工期要求，进度保障有措施和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3、施工过程重点、难点分析和解决方案。供应商提供施工过程重点难点分析及解决方案等内容；要求：重点难点分析有内容、有详细具体的解决方案。</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4、质量保证措施。供应商提供施工质量保证措施；要求：质量保证措施要详尽具体。</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5、安全文明施工、环境保护措施。供应商提供安全文明施工、环境保护措施；要求：文明施工及环境保护措施要详尽具体。</w:t>
      </w:r>
      <w:r/>
    </w:p>
    <w:p>
      <w:pPr>
        <w:ind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6、劳动力、机械设备和材料投入计划方案。供应商提供劳动力、机械设备和材料投入计划方案，含具体配置内容及要求；要求：方案配置有内容、有计划安排，组织管理及技术保障有措施和工序安排。</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五、低于成本报价</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.1评审过程中出现下列情形之一的，磋商小组应当启动异常低价响应审查程序：</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（1）投标（响应）报价低于全部通过符合性审查供应商投标（响应）报价平均值的50%的，即投标（响应）报价＜全部通过符合性审查供应商投标（响应）报价平均值×50%；</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（3）投标（响应）报价低于采购项目最高限价45%的，即投标（响应）报价＜采购项目最高限价×45%；</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bookmarkStart w:id="246" w:name="_GoBack"/>
      <w:r/>
      <w:bookmarkEnd w:id="246"/>
      <w:r>
        <w:rPr>
          <w:rFonts w:hint="eastAsia" w:ascii="宋体" w:hAnsi="宋体" w:eastAsia="宋体" w:cs="宋体"/>
          <w:color w:val="auto"/>
          <w:sz w:val="24"/>
          <w:szCs w:val="24"/>
          <w:highlight w:val="none"/>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六、采购标的需实现的功能或者目标，以及为落实政府采购政策需满足的要求；</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1.采购本国货物、工程和服务</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1.1政府采购应当采购本国货物、工程和服务，但有《中华人民共和国政府采购法》第十条规定情形的除外。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1.2如采购进口产品的，应当符合《政府采购进口产品管理办法》(财库(2007)119 号文) 、《关于政府采购进口产品管理有关问题的通知》 (财办库 (2008) 248号文) 等相关规定。</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2.政府强制采购节能产品</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采购人拟采购的产品属于政府强制采购的节能产品品目清单范围的，供应商须提供国家确定的认证机构出具的、处于有效期之内的节能产品认证证书的，否则无效标处理。</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3.政府采购需求标准</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3.1商品包装、快递包装政府采购需求标准（试行）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4.绿色数据中心政府采购需求标准（试行）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为加快数据中心绿色转型，根据财政部生态环境部工业和信息化部关于印发《绿色数据中心政府采购需求标准（试行）》的通知），本项目如涉及绿色数据中心，供应商应当提供符合需求标准的产品。</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5.本项目中涉及涂料、胶黏剂、油墨、清洗剂等挥发性有机物产品的，属于强制性标准的，供应商应当提供符合国家和江苏省相关VOCs含量限制标准的产品。</w:t>
      </w:r>
      <w:r/>
    </w:p>
    <w:p>
      <w:pPr>
        <w:ind w:firstLine="480"/>
        <w:jc w:val="both"/>
        <w:keepLines w:val="0"/>
        <w:keepNext w:val="0"/>
        <w:pageBreakBefore w:val="0"/>
        <w:spacing w:after="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rPr>
          <w:rFonts w:hint="eastAsia"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keepNext/>
        <w:rPr>
          <w:rFonts w:ascii="Times New Roman" w:hAnsi="Times New Roman" w:eastAsia="黑体"/>
          <w:color w:val="auto"/>
          <w:sz w:val="44"/>
          <w:szCs w:val="44"/>
          <w:highlight w:val="none"/>
        </w:rPr>
        <w:outlineLvl w:val="0"/>
      </w:pPr>
      <w:r>
        <w:rPr>
          <w:rFonts w:hint="eastAsia" w:ascii="Times New Roman" w:hAnsi="Times New Roman" w:eastAsia="黑体"/>
          <w:color w:val="auto"/>
          <w:sz w:val="44"/>
          <w:szCs w:val="44"/>
          <w:highlight w:val="none"/>
        </w:rPr>
        <w:t xml:space="preserve">第五章  评审方法与评审标准</w:t>
      </w:r>
      <w:bookmarkEnd w:id="220"/>
      <w:r/>
      <w:r/>
    </w:p>
    <w:p>
      <w:pPr>
        <w:rPr>
          <w:rFonts w:ascii="Times New Roman" w:hAnsi="Times New Roman"/>
          <w:color w:val="auto"/>
          <w:szCs w:val="21"/>
          <w:highlight w:val="none"/>
        </w:rPr>
      </w:pPr>
      <w:r>
        <w:rPr>
          <w:rFonts w:ascii="Times New Roman" w:hAnsi="Times New Roman"/>
          <w:color w:val="auto"/>
          <w:szCs w:val="21"/>
          <w:highlight w:val="none"/>
        </w:rPr>
      </w:r>
      <w:r/>
    </w:p>
    <w:p>
      <w:pPr>
        <w:ind w:firstLine="562"/>
        <w:jc w:val="left"/>
        <w:spacing w:line="500" w:lineRule="exact"/>
        <w:rPr>
          <w:rFonts w:ascii="Times New Roman" w:hAnsi="Times New Roman"/>
          <w:color w:val="auto"/>
          <w:sz w:val="24"/>
          <w:highlight w:val="none"/>
        </w:rPr>
      </w:pPr>
      <w:r>
        <w:rPr>
          <w:rFonts w:hint="eastAsia" w:ascii="仿宋_GB2312" w:hAnsi="Times New Roman" w:eastAsia="仿宋_GB2312"/>
          <w:b/>
          <w:color w:val="auto"/>
          <w:sz w:val="28"/>
          <w:highlight w:val="none"/>
        </w:rPr>
        <w:t xml:space="preserve">一、资格审查。</w:t>
      </w:r>
      <w:r>
        <w:rPr>
          <w:rFonts w:hint="eastAsia" w:ascii="Times New Roman" w:hAnsi="Times New Roman"/>
          <w:color w:val="auto"/>
          <w:sz w:val="24"/>
          <w:highlight w:val="none"/>
        </w:rPr>
        <w:t xml:space="preserve">资格审查人员按照下列指标对各供应商的资格进行审查，未通过审查的为无效标，不参与评审。</w:t>
      </w:r>
      <w:r/>
    </w:p>
    <w:tbl>
      <w:tblPr>
        <w:tblStyle w:val="868"/>
        <w:tblW w:w="8929" w:type="dxa"/>
        <w:tblInd w:w="2"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09"/>
        <w:gridCol w:w="4320"/>
      </w:tblGrid>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center"/>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资格审查因素</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center"/>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响应声明及承诺函</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宋体" w:hAnsi="宋体" w:eastAsia="宋体" w:cs="宋体"/>
                <w:color w:val="auto"/>
                <w:sz w:val="21"/>
                <w:highlight w:val="none"/>
                <w:lang w:val="en-US" w:eastAsia="zh-CN" w:bidi="ar-SA"/>
              </w:rPr>
              <w:t xml:space="preserve">中小企业声明函</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信用信息</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联合体响应</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本项目不接受联合体响应</w:t>
            </w:r>
            <w:r/>
          </w:p>
        </w:tc>
      </w:tr>
      <w:tr>
        <w:trPr/>
        <w:tc>
          <w:tcPr>
            <w:tcBorders>
              <w:top w:val="single" w:color="000000" w:sz="6" w:space="0"/>
              <w:left w:val="single" w:color="000000" w:sz="6" w:space="0"/>
              <w:bottom w:val="single" w:color="000000" w:sz="6" w:space="0"/>
              <w:right w:val="single" w:color="000000" w:sz="6" w:space="0"/>
            </w:tcBorders>
            <w:tcW w:w="4609"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eastAsia="宋体" w:cs="Times New Roman"/>
                <w:color w:val="auto"/>
                <w:sz w:val="21"/>
                <w:szCs w:val="22"/>
                <w:highlight w:val="none"/>
                <w:lang w:val="en-US" w:eastAsia="zh-CN" w:bidi="ar-SA"/>
              </w:rPr>
              <w:t xml:space="preserve">特定资格要求</w:t>
            </w:r>
            <w:r/>
          </w:p>
        </w:tc>
        <w:tc>
          <w:tcPr>
            <w:tcBorders>
              <w:top w:val="single" w:color="000000" w:sz="6" w:space="0"/>
              <w:left w:val="single" w:color="000000" w:sz="6" w:space="0"/>
              <w:bottom w:val="single" w:color="000000" w:sz="6" w:space="0"/>
              <w:right w:val="single" w:color="000000" w:sz="6" w:space="0"/>
            </w:tcBorders>
            <w:tcW w:w="4320"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bl>
    <w:p>
      <w:pPr>
        <w:ind w:firstLine="562"/>
        <w:jc w:val="left"/>
        <w:spacing w:line="500" w:lineRule="exact"/>
        <w:rPr>
          <w:rFonts w:ascii="Times New Roman" w:hAnsi="Times New Roman" w:eastAsia="仿宋_GB2312"/>
          <w:color w:val="auto"/>
          <w:sz w:val="24"/>
          <w:highlight w:val="none"/>
        </w:rPr>
      </w:pPr>
      <w:r>
        <w:rPr>
          <w:rFonts w:hint="eastAsia" w:ascii="仿宋_GB2312" w:hAnsi="Times New Roman" w:eastAsia="仿宋_GB2312"/>
          <w:b/>
          <w:color w:val="auto"/>
          <w:sz w:val="28"/>
          <w:highlight w:val="none"/>
        </w:rPr>
        <w:t xml:space="preserve">二、</w:t>
      </w:r>
      <w:r>
        <w:rPr>
          <w:rFonts w:hint="eastAsia" w:ascii="仿宋_GB2312" w:eastAsia="仿宋_GB2312"/>
          <w:b/>
          <w:color w:val="auto"/>
          <w:sz w:val="28"/>
          <w:highlight w:val="none"/>
        </w:rPr>
        <w:t xml:space="preserve">符合性审查。</w:t>
      </w:r>
      <w:r>
        <w:rPr>
          <w:rFonts w:hint="eastAsia" w:ascii="Times New Roman" w:hAnsi="Times New Roman"/>
          <w:color w:val="auto"/>
          <w:sz w:val="24"/>
          <w:highlight w:val="none"/>
        </w:rPr>
        <w:t xml:space="preserve">磋商小组首先按照下列指标对各供应商进行初步评审，未通过评审的为无效标，不再参与评审。</w:t>
      </w:r>
      <w:r/>
    </w:p>
    <w:tbl>
      <w:tblPr>
        <w:tblStyle w:val="868"/>
        <w:tblW w:w="8892" w:type="dxa"/>
        <w:tblInd w:w="1" w:type="dxa"/>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center"/>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center"/>
              <w:widowControl w:val="off"/>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tcPr>
          <w:p>
            <w:pPr>
              <w:jc w:val="left"/>
              <w:spacing w:line="276" w:lineRule="auto"/>
              <w:widowControl w:val="off"/>
              <w:rPr>
                <w:rFonts w:ascii="Calibri" w:hAnsi="Calibri" w:eastAsia="宋体" w:cs="Times New Roman"/>
                <w:color w:val="auto"/>
                <w:sz w:val="21"/>
                <w:szCs w:val="22"/>
                <w:highlight w:val="none"/>
                <w:lang w:val="en-US" w:eastAsia="zh-CN" w:bidi="ar-SA"/>
              </w:rPr>
            </w:pPr>
            <w:r>
              <w:rPr>
                <w:rFonts w:hint="eastAsia" w:ascii="Calibri" w:hAnsi="Calibri" w:eastAsia="宋体" w:cs="Times New Roman"/>
                <w:color w:val="auto"/>
                <w:sz w:val="21"/>
                <w:szCs w:val="22"/>
                <w:highlight w:val="none"/>
                <w:lang w:val="en-US" w:eastAsia="zh-CN" w:bidi="ar-SA"/>
              </w:rPr>
              <w:t xml:space="preserve">符合磋商文件要求</w:t>
            </w:r>
            <w:r/>
          </w:p>
        </w:tc>
      </w:tr>
    </w:tbl>
    <w:p>
      <w:pPr>
        <w:ind w:firstLine="562"/>
        <w:spacing w:line="500" w:lineRule="exact"/>
        <w:rPr>
          <w:rFonts w:ascii="仿宋_GB2312" w:hAnsi="Times New Roman" w:eastAsia="仿宋_GB2312"/>
          <w:b/>
          <w:color w:val="auto"/>
          <w:sz w:val="28"/>
          <w:highlight w:val="none"/>
        </w:rPr>
      </w:pPr>
      <w:r>
        <w:rPr>
          <w:rFonts w:ascii="仿宋_GB2312" w:hAnsi="Times New Roman" w:eastAsia="仿宋_GB2312"/>
          <w:b/>
          <w:color w:val="auto"/>
          <w:sz w:val="28"/>
          <w:highlight w:val="none"/>
        </w:rPr>
      </w:r>
      <w:r/>
    </w:p>
    <w:p>
      <w:pPr>
        <w:ind w:firstLine="562"/>
        <w:spacing w:line="500" w:lineRule="exact"/>
        <w:rPr>
          <w:rFonts w:ascii="仿宋_GB2312" w:hAnsi="Times New Roman" w:eastAsia="仿宋_GB2312"/>
          <w:b/>
          <w:color w:val="auto"/>
          <w:sz w:val="28"/>
          <w:highlight w:val="none"/>
        </w:rPr>
      </w:pPr>
      <w:r>
        <w:rPr>
          <w:rFonts w:hint="eastAsia" w:ascii="仿宋_GB2312" w:hAnsi="Times New Roman" w:eastAsia="仿宋_GB2312"/>
          <w:b/>
          <w:color w:val="auto"/>
          <w:sz w:val="28"/>
          <w:highlight w:val="none"/>
        </w:rPr>
        <w:t xml:space="preserve">三、评分办法—综合评分法</w:t>
      </w:r>
      <w:r/>
    </w:p>
    <w:p>
      <w:pPr>
        <w:ind w:firstLine="482"/>
        <w:jc w:val="left"/>
        <w:spacing w:line="500" w:lineRule="exact"/>
        <w:rPr>
          <w:rFonts w:ascii="Times New Roman" w:hAnsi="Times New Roman"/>
          <w:color w:val="auto"/>
          <w:sz w:val="24"/>
          <w:highlight w:val="none"/>
        </w:rPr>
      </w:pPr>
      <w:r>
        <w:rPr>
          <w:rFonts w:hint="eastAsia" w:ascii="Times New Roman" w:hAnsi="Times New Roman" w:eastAsia="仿宋_GB2312"/>
          <w:b/>
          <w:color w:val="auto"/>
          <w:sz w:val="24"/>
          <w:highlight w:val="none"/>
        </w:rPr>
        <w:t xml:space="preserve">（一）评标办法：</w:t>
      </w:r>
      <w:r>
        <w:rPr>
          <w:rFonts w:ascii="Times New Roman" w:hAnsi="Times New Roman"/>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color w:val="auto"/>
          <w:sz w:val="24"/>
          <w:highlight w:val="none"/>
        </w:rPr>
        <w:t xml:space="preserve">按得分高低顺序推荐成交候选人。得分相同的，按报价从低到高顺序排列；得分且报价相同的，按技术指标优劣顺序排列。</w:t>
      </w:r>
      <w:r/>
    </w:p>
    <w:p>
      <w:pPr>
        <w:ind w:firstLine="480"/>
        <w:jc w:val="left"/>
        <w:spacing w:line="500" w:lineRule="exact"/>
        <w:rPr>
          <w:rFonts w:ascii="Times New Roman" w:hAnsi="Times New Roman"/>
          <w:color w:val="auto"/>
          <w:sz w:val="24"/>
          <w:highlight w:val="none"/>
        </w:rPr>
      </w:pPr>
      <w:r>
        <w:rPr>
          <w:rFonts w:ascii="Times New Roman" w:hAnsi="Times New Roman"/>
          <w:color w:val="auto"/>
          <w:sz w:val="24"/>
          <w:highlight w:val="none"/>
        </w:rPr>
        <w:t xml:space="preserve">磋商小组</w:t>
      </w:r>
      <w:r>
        <w:rPr>
          <w:rFonts w:hint="eastAsia" w:ascii="Times New Roman" w:hAnsi="Times New Roman"/>
          <w:color w:val="auto"/>
          <w:sz w:val="24"/>
          <w:highlight w:val="none"/>
        </w:rPr>
        <w:t xml:space="preserve">根据评审后供应商排序推荐3名成交候选人。响应文件满足磋商文件全部实质性要求，且评审后排序第一的供应商为第一成交候选人，依次类推。</w:t>
      </w:r>
      <w:r/>
    </w:p>
    <w:p>
      <w:pPr>
        <w:ind w:firstLine="480"/>
        <w:jc w:val="left"/>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综合评分保留至小数点后两位。</w:t>
      </w:r>
      <w:r/>
    </w:p>
    <w:p>
      <w:pPr>
        <w:ind w:firstLine="482"/>
        <w:jc w:val="left"/>
        <w:spacing w:line="400" w:lineRule="exact"/>
        <w:rPr>
          <w:rFonts w:ascii="Times New Roman" w:hAnsi="Times New Roman"/>
          <w:color w:val="auto"/>
          <w:szCs w:val="21"/>
          <w:highlight w:val="none"/>
        </w:rPr>
      </w:pPr>
      <w:r>
        <w:rPr>
          <w:rFonts w:hint="eastAsia" w:ascii="Times New Roman" w:hAnsi="Times New Roman" w:eastAsia="仿宋_GB2312"/>
          <w:b/>
          <w:color w:val="auto"/>
          <w:sz w:val="24"/>
          <w:highlight w:val="none"/>
        </w:rPr>
        <w:t xml:space="preserve">（二）详细评审。</w:t>
      </w:r>
      <w:r>
        <w:rPr>
          <w:rFonts w:hint="eastAsia" w:ascii="Times New Roman" w:hAnsi="Times New Roman"/>
          <w:color w:val="auto"/>
          <w:sz w:val="24"/>
          <w:highlight w:val="none"/>
        </w:rPr>
        <w:t xml:space="preserve">磋商小组按照竞争性磋商文件规定的评分标准，对各响应文件进行详细评审打分。磋商小组组长对各评审专家的打分情况进行复核无误后汇总。</w:t>
      </w:r>
      <w:bookmarkStart w:id="222" w:name="EB9fc9bd0651534134824972d053d71a11"/>
      <w:r/>
      <w:bookmarkEnd w:id="222"/>
      <w:r/>
      <w:r/>
    </w:p>
    <w:tbl>
      <w:tblPr>
        <w:tblStyle w:val="868"/>
        <w:tblW w:w="5372" w:type="pct"/>
        <w:jc w:val="center"/>
        <w:tblBorders>
          <w:top w:val="single" w:color="000000" w:sz="12" w:space="0"/>
          <w:left w:val="single" w:color="000000" w:sz="12" w:space="0"/>
          <w:bottom w:val="single" w:color="000000" w:sz="12" w:space="0"/>
          <w:right w:val="single" w:color="000000"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96"/>
        <w:gridCol w:w="1328"/>
        <w:gridCol w:w="995"/>
        <w:gridCol w:w="6517"/>
      </w:tblGrid>
      <w:tr>
        <w:trPr>
          <w:jc w:val="center"/>
        </w:trPr>
        <w:tc>
          <w:tcPr>
            <w:gridSpan w:val="2"/>
            <w:tcBorders>
              <w:top w:val="single" w:color="000000" w:sz="6" w:space="0"/>
              <w:left w:val="single" w:color="000000" w:sz="6" w:space="0"/>
              <w:bottom w:val="single" w:color="000000" w:sz="6" w:space="0"/>
              <w:right w:val="single" w:color="000000" w:sz="6" w:space="0"/>
            </w:tcBorders>
            <w:tcW w:w="1102" w:type="pct"/>
            <w:vAlign w:val="center"/>
            <w:textDirection w:val="lrTb"/>
            <w:noWrap w:val="false"/>
          </w:tcPr>
          <w:p>
            <w:pPr>
              <w:ind w:firstLine="482"/>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评审因素</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ind w:firstLine="482"/>
              <w:jc w:val="both"/>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分数</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ind w:firstLine="482"/>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评审标准</w:t>
            </w:r>
            <w:r/>
          </w:p>
        </w:tc>
      </w:tr>
      <w:tr>
        <w:trPr>
          <w:jc w:val="center"/>
          <w:trHeight w:val="1365"/>
        </w:trPr>
        <w:tc>
          <w:tcPr>
            <w:tcBorders>
              <w:top w:val="single" w:color="000000" w:sz="6" w:space="0"/>
              <w:left w:val="single" w:color="000000" w:sz="6" w:space="0"/>
              <w:bottom w:val="single" w:color="000000" w:sz="6" w:space="0"/>
              <w:right w:val="single" w:color="000000" w:sz="6" w:space="0"/>
            </w:tcBorders>
            <w:tcW w:w="413"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报价分</w:t>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40.00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即满足磋商文件要求且最后报价最低的供应商的价格为磋商基准价，其价格分为满分。其他供应商的价格分统一按照下列公式计算：磋商报价得分=（磋商基准价/最后磋商报价）*40。注：最终结果四舍五入保留至小数点后两位。</w:t>
            </w:r>
            <w:r/>
          </w:p>
        </w:tc>
      </w:tr>
      <w:tr>
        <w:trPr>
          <w:cantSplit/>
          <w:jc w:val="center"/>
          <w:trHeight w:val="2055"/>
        </w:trPr>
        <w:tc>
          <w:tcPr>
            <w:tcBorders>
              <w:top w:val="single" w:color="000000" w:sz="6" w:space="0"/>
              <w:left w:val="single" w:color="000000" w:sz="6" w:space="0"/>
              <w:right w:val="single" w:color="000000" w:sz="6" w:space="0"/>
            </w:tcBorders>
            <w:tcW w:w="413" w:type="pct"/>
            <w:vAlign w:val="center"/>
            <w:vMerge w:val="restart"/>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企业经营业绩、信誉</w:t>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企业业绩</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ind w:left="0" w:right="0" w:firstLine="0"/>
              <w:jc w:val="center"/>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12.00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2023年1月1日（以合同签订时间为准）以来，承担过类似工程业绩的，每有一个得4分，本项最高得12分。注：提供业绩证明材料：①中标（成交）通知书；②施工合同；③项目验收合格证明材料；三者缺一不可，业绩证明材料应能够清晰、明确反映供应商名称、签订时间、工程内容等主要信息。未提供、提供不全或提供不清晰的不得分。企业业绩和项目负责人业绩不重复计分。</w:t>
            </w:r>
            <w:r/>
          </w:p>
        </w:tc>
      </w:tr>
      <w:tr>
        <w:trPr>
          <w:cantSplit/>
          <w:jc w:val="center"/>
          <w:trHeight w:val="2225"/>
        </w:trPr>
        <w:tc>
          <w:tcPr>
            <w:tcBorders>
              <w:left w:val="single" w:color="000000" w:sz="6" w:space="0"/>
              <w:right w:val="single" w:color="000000" w:sz="6" w:space="0"/>
            </w:tcBorders>
            <w:tcW w:w="413" w:type="pct"/>
            <w:vAlign w:val="center"/>
            <w:vMerge w:val="continue"/>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项目负责人业绩</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ind w:left="0" w:right="0" w:firstLine="0"/>
              <w:jc w:val="center"/>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10.00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供应商拟派的项目负责人自2023年1月1日（以合同签订时间为准）以来，承担过类似工程业绩的，每有一个得5分，本项最高得10分。</w:t>
            </w:r>
            <w:r/>
          </w:p>
          <w:p>
            <w:pPr>
              <w:jc w:val="left"/>
              <w:spacing w:line="400" w:lineRule="exact"/>
              <w:widowControl w:val="off"/>
              <w:rPr>
                <w:rFonts w:hint="default" w:ascii="宋体" w:hAnsi="宋体" w:eastAsia="宋体" w:cs="宋体"/>
                <w:color w:val="auto"/>
                <w:sz w:val="21"/>
                <w:szCs w:val="21"/>
                <w:highlight w:val="none"/>
                <w:rtl w:val="0"/>
                <w:lang w:val="en-US" w:eastAsia="zh-CN" w:bidi="ar-SA"/>
              </w:rPr>
            </w:pPr>
            <w:r>
              <w:rPr>
                <w:rFonts w:hint="eastAsia" w:ascii="宋体" w:hAnsi="宋体" w:eastAsia="宋体" w:cs="宋体"/>
                <w:color w:val="auto"/>
                <w:sz w:val="21"/>
                <w:szCs w:val="21"/>
                <w:highlight w:val="none"/>
                <w:lang w:val="en-US" w:eastAsia="zh-CN" w:bidi="ar-SA"/>
              </w:rPr>
              <w:t xml:space="preserve">注：提供业绩证明材料：①中标（成交）通知书；②施工合同；③项目验收合格证明材料；三者缺一不可，业绩证明材料应能够清晰、明确反映供应商名称、签订时间、工程内容等主要信息。未提供、提供不全或提供不清晰的不得分。企业业绩和项目负责人业绩不重复计分。</w:t>
            </w:r>
            <w:r/>
          </w:p>
        </w:tc>
      </w:tr>
      <w:tr>
        <w:trPr>
          <w:cantSplit/>
          <w:jc w:val="center"/>
          <w:trHeight w:val="1329"/>
        </w:trPr>
        <w:tc>
          <w:tcPr>
            <w:tcBorders>
              <w:left w:val="single" w:color="000000" w:sz="6" w:space="0"/>
              <w:right w:val="single" w:color="000000" w:sz="6" w:space="0"/>
            </w:tcBorders>
            <w:tcW w:w="413" w:type="pct"/>
            <w:vAlign w:val="center"/>
            <w:vMerge w:val="continue"/>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rPr>
              <w:t xml:space="preserve">企业认证证书</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3.00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供应商具备有效期内的质量管理体系认证证书、环境管理体系认证证书、职业健康安全管理体系认证证书，每有一个得1分，本项最高得3分。注：响应文件中提供相关证书电子件，未提供的不得分。</w:t>
            </w:r>
            <w:r/>
          </w:p>
        </w:tc>
      </w:tr>
      <w:tr>
        <w:trPr>
          <w:cantSplit/>
          <w:jc w:val="center"/>
          <w:trHeight w:val="1423"/>
        </w:trPr>
        <w:tc>
          <w:tcPr>
            <w:tcBorders>
              <w:left w:val="single" w:color="000000" w:sz="6" w:space="0"/>
              <w:right w:val="single" w:color="000000" w:sz="6" w:space="0"/>
            </w:tcBorders>
            <w:tcW w:w="413" w:type="pct"/>
            <w:vAlign w:val="center"/>
            <w:vMerge w:val="continue"/>
            <w:textDirection w:val="lrTb"/>
            <w:noWrap w:val="false"/>
          </w:tcPr>
          <w:p>
            <w:pPr>
              <w:ind w:left="0" w:right="0" w:firstLine="0"/>
              <w:jc w:val="both"/>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ind w:left="0" w:right="0" w:firstLine="0"/>
              <w:jc w:val="both"/>
              <w:spacing w:before="0" w:after="0" w:line="240" w:lineRule="auto"/>
              <w:widowControl w:val="off"/>
              <w:rPr>
                <w:rFonts w:hint="default"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lang w:val="en-US" w:eastAsia="zh-CN" w:bidi="ar-SA"/>
              </w:rPr>
              <w:t xml:space="preserve">项目组成员</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ind w:left="0" w:right="0" w:firstLine="0"/>
              <w:jc w:val="center"/>
              <w:spacing w:before="0" w:after="0" w:line="240" w:lineRule="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tl w:val="0"/>
                <w:lang w:val="en-US" w:eastAsia="zh-CN" w:bidi="ar-SA"/>
              </w:rPr>
              <w:t xml:space="preserve">6.00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供应商拟选派的项目组成员具有中级职称（建设工程类）的每有一人得2分，具有高级（建设工程类）及以上职称的每有一人得3分，本项最高得6分。同一人有多个证书的不重复加分。 </w:t>
            </w:r>
            <w:r/>
          </w:p>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注：1、提供职称证书及递交响应文件截止前6个月内本单位为其办理的任意一个月社会养老保险或医疗保险缴纳证明材料。</w:t>
            </w:r>
            <w:r/>
          </w:p>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2、如职称专业不能体现出相关专业，请提供《专业技术资格评审申报表》或毕业证书，以评审专业或学科或毕业证书所学专业为准。</w:t>
            </w:r>
            <w:r/>
          </w:p>
        </w:tc>
      </w:tr>
      <w:tr>
        <w:trPr>
          <w:cantSplit/>
          <w:jc w:val="center"/>
        </w:trPr>
        <w:tc>
          <w:tcPr>
            <w:tcBorders>
              <w:top w:val="single" w:color="000000" w:sz="6" w:space="0"/>
              <w:left w:val="single" w:color="000000" w:sz="6" w:space="0"/>
              <w:bottom w:val="single" w:color="000000" w:sz="6" w:space="0"/>
              <w:right w:val="single" w:color="000000" w:sz="6" w:space="0"/>
            </w:tcBorders>
            <w:tcW w:w="413" w:type="pct"/>
            <w:vAlign w:val="center"/>
            <w:vMerge w:val="restart"/>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项目实施方案</w:t>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总体概述</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根据供应商提供的总体施工布置及规划、施工组织、施工工艺进行评审。方案内容全面、具体详细，施工组织总体设想思路清晰、要点明确、重点突出，组织工序严谨，</w:t>
            </w:r>
            <w:r>
              <w:rPr>
                <w:color w:val="auto"/>
                <w:highlight w:val="none"/>
              </w:rPr>
              <w:t xml:space="preserve">优于采购需求</w:t>
            </w:r>
            <w:r>
              <w:rPr>
                <w:rFonts w:hint="eastAsia" w:ascii="宋体" w:hAnsi="宋体" w:eastAsia="宋体" w:cs="宋体"/>
                <w:color w:val="auto"/>
                <w:sz w:val="21"/>
                <w:szCs w:val="21"/>
                <w:highlight w:val="none"/>
                <w:lang w:val="en-US" w:eastAsia="zh-CN" w:bidi="ar-SA"/>
              </w:rPr>
              <w:t xml:space="preserve">的得5分；方案有具体内容，施工组织总体设想有具体思路、有要点，组织工序流畅，有具体施工工艺流程、满足采购需求的得3分；方案有具体内容，施工组织总体设想思路不清晰、要点不明确，有欠缺，未体现组织有序和施工工艺流程、通过后期优化能够满足采购需求的得1分；没有内容不得分。</w:t>
            </w:r>
            <w:r/>
          </w:p>
        </w:tc>
      </w:tr>
      <w:tr>
        <w:trPr>
          <w:cantSplit/>
          <w:jc w:val="center"/>
          <w:trHeight w:val="1957"/>
        </w:trPr>
        <w:tc>
          <w:tcPr>
            <w:tcBorders>
              <w:top w:val="single" w:color="000000" w:sz="6" w:space="0"/>
              <w:left w:val="single" w:color="000000" w:sz="6" w:space="0"/>
              <w:bottom w:val="single" w:color="000000" w:sz="6" w:space="0"/>
              <w:right w:val="single" w:color="000000" w:sz="6" w:space="0"/>
            </w:tcBorders>
            <w:tcW w:w="413" w:type="pct"/>
            <w:vAlign w:val="center"/>
            <w:vMerge w:val="continue"/>
            <w:textDirection w:val="lrTb"/>
            <w:noWrap w:val="false"/>
          </w:tcPr>
          <w:p>
            <w:pPr>
              <w:ind w:firstLine="482"/>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施工进度计划和各阶段进度的保证措施方案</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施工进度计划和各阶段进度的保证措施方案（含进度计划、进度保障的措施等内容）进行评审。进度计划节点明确，时间安排符合工期要求，进度保障措施全面、具体详细，要点明确、重点突出，优于采购需求的得4分；进度计划有节点安排，符合工期要求，进度保障有具体措施和要求，满足采购需求的得2分；进度计划节点不明确，未体现符合工期要求，进度保障措施不具体，有欠缺，通过后期优化能够满足采购需求的得1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413" w:type="pct"/>
            <w:vAlign w:val="center"/>
            <w:vMerge w:val="continue"/>
            <w:textDirection w:val="lrTb"/>
            <w:noWrap w:val="false"/>
          </w:tcPr>
          <w:p>
            <w:pPr>
              <w:ind w:firstLine="482"/>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施工过程重点、难点分析和解决方案</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对本次关键施工技术、工艺及工程项目实施的重点、难点分析和解决方案等内容进行评审。重点难点分析内容全面具体、解决方案思路清晰、要点明确、措施详细，优于采购需求的得4分；重点难点分析有具体内容、解决方案有明确思路、有要点和措施，满足采购需求的得2分；重点难点分析内容不具体、解决方案思路不清晰、要点不明确，有欠缺，通过后期优化能够满足采购需求的得1分；没有内容不得分。</w:t>
            </w:r>
            <w:r/>
          </w:p>
        </w:tc>
      </w:tr>
      <w:tr>
        <w:trPr>
          <w:cantSplit/>
          <w:jc w:val="center"/>
          <w:trHeight w:val="1451"/>
        </w:trPr>
        <w:tc>
          <w:tcPr>
            <w:tcBorders>
              <w:top w:val="single" w:color="000000" w:sz="6" w:space="0"/>
              <w:left w:val="single" w:color="000000" w:sz="6" w:space="0"/>
              <w:bottom w:val="single" w:color="000000" w:sz="6" w:space="0"/>
              <w:right w:val="single" w:color="000000" w:sz="6" w:space="0"/>
            </w:tcBorders>
            <w:tcW w:w="413" w:type="pct"/>
            <w:vAlign w:val="center"/>
            <w:vMerge w:val="continue"/>
            <w:textDirection w:val="lrTb"/>
            <w:noWrap w:val="false"/>
          </w:tcPr>
          <w:p>
            <w:pPr>
              <w:ind w:firstLine="482"/>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质量保证措施</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根据供应商对本次改造工程的现场实际情况提供有针对性的工程质量保证措施进行评审。质量保障措施具体详细、重点突出、</w:t>
            </w:r>
            <w:r>
              <w:rPr>
                <w:color w:val="auto"/>
                <w:highlight w:val="none"/>
              </w:rPr>
              <w:t xml:space="preserve">优于采购需求</w:t>
            </w:r>
            <w:r>
              <w:rPr>
                <w:rFonts w:hint="eastAsia" w:ascii="宋体" w:hAnsi="宋体" w:eastAsia="宋体" w:cs="宋体"/>
                <w:color w:val="auto"/>
                <w:sz w:val="21"/>
                <w:szCs w:val="21"/>
                <w:highlight w:val="none"/>
                <w:lang w:val="en-US" w:eastAsia="zh-CN" w:bidi="ar-SA"/>
              </w:rPr>
              <w:t xml:space="preserve">的得4分；质量保障措施完整、有具体措施、满足采购需求的得2分；质量保障措施内容不全面、通过后期优化能够满足采购需求的得1分；没有内容不得分。</w:t>
            </w:r>
            <w:r/>
          </w:p>
        </w:tc>
      </w:tr>
      <w:tr>
        <w:trPr>
          <w:cantSplit/>
          <w:jc w:val="center"/>
          <w:trHeight w:val="1451"/>
        </w:trPr>
        <w:tc>
          <w:tcPr>
            <w:tcBorders>
              <w:top w:val="single" w:color="000000" w:sz="6" w:space="0"/>
              <w:left w:val="single" w:color="000000" w:sz="6" w:space="0"/>
              <w:bottom w:val="single" w:color="000000" w:sz="6" w:space="0"/>
              <w:right w:val="single" w:color="000000" w:sz="6" w:space="0"/>
            </w:tcBorders>
            <w:tcW w:w="413" w:type="pct"/>
            <w:vAlign w:val="center"/>
            <w:vMerge w:val="continue"/>
            <w:textDirection w:val="lrTb"/>
            <w:noWrap w:val="false"/>
          </w:tcPr>
          <w:p>
            <w:pPr>
              <w:ind w:firstLine="482"/>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安全文明施工、环境保护措施</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根据供应商提供的安全文明及环境保护措施进行评审。方案完整、详细具体、科学合理、措施可靠、</w:t>
            </w:r>
            <w:r>
              <w:rPr>
                <w:color w:val="auto"/>
                <w:highlight w:val="none"/>
              </w:rPr>
              <w:t xml:space="preserve">优于采购需求</w:t>
            </w:r>
            <w:r>
              <w:rPr>
                <w:rFonts w:hint="eastAsia" w:ascii="宋体" w:hAnsi="宋体" w:eastAsia="宋体" w:cs="宋体"/>
                <w:color w:val="auto"/>
                <w:sz w:val="21"/>
                <w:szCs w:val="21"/>
                <w:highlight w:val="none"/>
                <w:lang w:val="en-US" w:eastAsia="zh-CN" w:bidi="ar-SA"/>
              </w:rPr>
              <w:t xml:space="preserve">的得3分；方案较完整、组织较严谨、满足采购需求的得2分；方案不完整、措施基本可行、通过后期优化能够满足采购需求的得1分；没有内容不得分。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413" w:type="pct"/>
            <w:vAlign w:val="center"/>
            <w:vMerge w:val="continue"/>
            <w:textDirection w:val="lrTb"/>
            <w:noWrap w:val="false"/>
          </w:tcPr>
          <w:p>
            <w:pPr>
              <w:ind w:firstLine="482"/>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劳动力、机械设备和材料投入计划方案</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对劳动力、机械设备和材料投入计划方案，能否满足施工强度要求等方案内容进行打分。劳动力、机械设备和材料投入计划详细具体、科学合理，完全满足施工需求的得3分；劳动力、机械设备和材料投入计划不完善，但能够满足实际施工需求的得2分；劳动力、机械设备和材料投入计划不完善，不具体，仅能满足基本施工需要的得1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413" w:type="pct"/>
            <w:vAlign w:val="center"/>
            <w:textDirection w:val="lrTb"/>
            <w:noWrap w:val="false"/>
          </w:tcPr>
          <w:p>
            <w:pPr>
              <w:ind w:left="0" w:right="0" w:firstLine="0"/>
              <w:jc w:val="center"/>
              <w:spacing w:before="0" w:after="0" w:line="240" w:lineRule="auto"/>
              <w:rPr>
                <w:rFonts w:hint="eastAsia" w:ascii="Calibri" w:hAnsi="Calibri"/>
                <w:color w:val="auto"/>
                <w:sz w:val="21"/>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bidi="ar-SA"/>
              </w:rPr>
              <w:t xml:space="preserve">售后服务</w:t>
            </w:r>
            <w:r/>
          </w:p>
        </w:tc>
        <w:tc>
          <w:tcPr>
            <w:tcBorders>
              <w:top w:val="single" w:color="000000" w:sz="6" w:space="0"/>
              <w:left w:val="single" w:color="000000" w:sz="6" w:space="0"/>
              <w:bottom w:val="single" w:color="000000" w:sz="6" w:space="0"/>
              <w:right w:val="single" w:color="000000" w:sz="6" w:space="0"/>
            </w:tcBorders>
            <w:tcW w:w="689" w:type="pct"/>
            <w:vAlign w:val="center"/>
            <w:textDirection w:val="lrTb"/>
            <w:noWrap w:val="false"/>
          </w:tcPr>
          <w:p>
            <w:pPr>
              <w:jc w:val="left"/>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质保期</w:t>
            </w:r>
            <w:r/>
          </w:p>
        </w:tc>
        <w:tc>
          <w:tcPr>
            <w:tcBorders>
              <w:top w:val="single" w:color="000000" w:sz="6" w:space="0"/>
              <w:left w:val="single" w:color="000000" w:sz="6" w:space="0"/>
              <w:bottom w:val="single" w:color="000000" w:sz="6" w:space="0"/>
              <w:right w:val="single" w:color="000000" w:sz="6" w:space="0"/>
            </w:tcBorders>
            <w:tcW w:w="516" w:type="pct"/>
            <w:vAlign w:val="center"/>
            <w:textDirection w:val="lrTb"/>
            <w:noWrap w:val="false"/>
          </w:tcPr>
          <w:p>
            <w:pPr>
              <w:jc w:val="center"/>
              <w:spacing w:line="4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6.00</w:t>
            </w:r>
            <w:r/>
          </w:p>
        </w:tc>
        <w:tc>
          <w:tcPr>
            <w:tcBorders>
              <w:top w:val="single" w:color="000000" w:sz="6" w:space="0"/>
              <w:left w:val="single" w:color="000000" w:sz="6" w:space="0"/>
              <w:bottom w:val="single" w:color="000000" w:sz="6" w:space="0"/>
              <w:right w:val="single" w:color="000000" w:sz="6" w:space="0"/>
            </w:tcBorders>
            <w:tcW w:w="3381" w:type="pct"/>
            <w:vAlign w:val="center"/>
            <w:textDirection w:val="lrTb"/>
            <w:noWrap w:val="false"/>
          </w:tcPr>
          <w:p>
            <w:pPr>
              <w:jc w:val="left"/>
              <w:spacing w:line="40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满足本项目质保期5年要求的，得基本分3分。质保期每增加1年得1分，最高得3分。本项最高得6分。注：响应文件中提供质保承诺函， 格式自拟，否则不予计分。</w:t>
            </w:r>
            <w:r/>
          </w:p>
        </w:tc>
      </w:tr>
    </w:tbl>
    <w:p>
      <w:pPr>
        <w:spacing w:line="560" w:lineRule="exac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rPr>
        <w:t xml:space="preserve">（三）评标结果。磋商小组按照本办法规定推荐成交候选人，并形成评标报告。</w:t>
      </w:r>
      <w:r/>
    </w:p>
    <w:p>
      <w:pPr>
        <w:spacing w:line="560" w:lineRule="exact"/>
        <w:rPr>
          <w:rFonts w:ascii="Times New Roman" w:hAnsi="Times New Roman" w:eastAsia="仿宋_GB2312"/>
          <w:b/>
          <w:color w:val="auto"/>
          <w:sz w:val="24"/>
          <w:highlight w:val="none"/>
        </w:rPr>
      </w:pPr>
      <w:r/>
      <w:bookmarkStart w:id="223" w:name="_Toc169207398"/>
      <w:r>
        <w:rPr>
          <w:rFonts w:hint="eastAsia" w:ascii="Times New Roman" w:hAnsi="Times New Roman" w:eastAsia="仿宋_GB2312"/>
          <w:b/>
          <w:color w:val="auto"/>
          <w:sz w:val="24"/>
          <w:highlight w:val="none"/>
        </w:rPr>
        <w:t xml:space="preserve">（四）政府采购政策功能落实</w:t>
      </w:r>
      <w:r/>
    </w:p>
    <w:p>
      <w:pPr>
        <w:ind w:firstLine="241"/>
        <w:spacing w:line="440" w:lineRule="exact"/>
        <w:rPr>
          <w:rFonts w:ascii="Times New Roman" w:hAnsi="Times New Roman" w:eastAsia="仿宋_GB2312"/>
          <w:b/>
          <w:bCs/>
          <w:color w:val="auto"/>
          <w:sz w:val="24"/>
          <w:highlight w:val="none"/>
          <w:u w:val="single"/>
        </w:rPr>
      </w:pPr>
      <w:r>
        <w:rPr>
          <w:rFonts w:hint="eastAsia" w:ascii="Times New Roman" w:hAnsi="Times New Roman" w:eastAsia="仿宋_GB2312"/>
          <w:b/>
          <w:bCs/>
          <w:color w:val="auto"/>
          <w:sz w:val="24"/>
          <w:highlight w:val="none"/>
        </w:rPr>
        <w:t xml:space="preserve">本项目落实的政府采购政策对应以下序号为</w:t>
      </w:r>
      <w:r>
        <w:rPr>
          <w:rFonts w:ascii="Times New Roman" w:hAnsi="Times New Roman" w:eastAsia="仿宋_GB2312"/>
          <w:b/>
          <w:bCs/>
          <w:color w:val="auto"/>
          <w:sz w:val="24"/>
          <w:highlight w:val="none"/>
          <w:u w:val="single"/>
        </w:rPr>
        <w:t xml:space="preserve">1</w:t>
      </w:r>
      <w:r>
        <w:rPr>
          <w:rFonts w:hint="eastAsia" w:ascii="Times New Roman" w:hAnsi="Times New Roman" w:eastAsia="仿宋_GB2312"/>
          <w:b/>
          <w:bCs/>
          <w:color w:val="auto"/>
          <w:sz w:val="24"/>
          <w:highlight w:val="none"/>
          <w:u w:val="single"/>
        </w:rPr>
        <w:t xml:space="preserve">、</w:t>
      </w:r>
      <w:r>
        <w:rPr>
          <w:rFonts w:ascii="Times New Roman" w:hAnsi="Times New Roman" w:eastAsia="仿宋_GB2312"/>
          <w:b/>
          <w:bCs/>
          <w:color w:val="auto"/>
          <w:sz w:val="24"/>
          <w:highlight w:val="none"/>
          <w:u w:val="single"/>
        </w:rPr>
        <w:t xml:space="preserve">2</w:t>
      </w:r>
      <w:r>
        <w:rPr>
          <w:rFonts w:hint="eastAsia" w:ascii="Times New Roman" w:hAnsi="Times New Roman" w:eastAsia="仿宋_GB2312"/>
          <w:b/>
          <w:bCs/>
          <w:color w:val="auto"/>
          <w:sz w:val="24"/>
          <w:highlight w:val="none"/>
          <w:u w:val="single"/>
        </w:rPr>
        <w:t xml:space="preserve">、4</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1.采购本国货物、工程和服务</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2.</w:t>
      </w:r>
      <w:r>
        <w:rPr>
          <w:rFonts w:ascii="Times New Roman" w:hAnsi="Times New Roman" w:cs="仿宋_GB2312"/>
          <w:color w:val="auto"/>
          <w:sz w:val="24"/>
          <w:highlight w:val="none"/>
        </w:rPr>
        <w:t xml:space="preserve">中小企业政策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本项目按以下第（</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）种政策确定本项目落实的中小企业政策：</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（1）本项目专门面向中小企业（含监狱企业、残疾人福利企业）采购。</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（2）投标人提供的服务符合规定情形的，对小微企业报价给予扣除（扣除比例详见“投标人须知”-“政府采购政策”相关条款），用扣除后的价格参加评审。</w:t>
      </w:r>
      <w:r/>
    </w:p>
    <w:p>
      <w:pPr>
        <w:ind w:firstLine="48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投标人提供的服务符合下列情形的，对小微企业报价给予   %的扣除，用扣除后的价格参加评审。</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在工程采购项目中，工程由中小企业承建，即工程施工单位为中小企业。</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40" w:lineRule="exact"/>
        <w:rPr>
          <w:rFonts w:ascii="Times New Roman" w:hAnsi="Times New Roman"/>
          <w:color w:val="auto"/>
          <w:sz w:val="24"/>
          <w:highlight w:val="none"/>
        </w:rPr>
      </w:pPr>
      <w:r>
        <w:rPr>
          <w:rFonts w:hint="eastAsia" w:ascii="Times New Roman" w:hAnsi="Times New Roman" w:cs="仿宋_GB2312"/>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3.政府采购节能产品、环境标志产品</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（3）采购人拟采购的产品属于优先采购的节能环保品目清单范围的，按以下条件优先采购：</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采用综合评分法的项目，对提供有效节能环保证书的投标人加分。</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4.商品包装、快递包装政府采购需求标准（试行）</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Times New Roman" w:hAnsi="Times New Roman" w:cs="仿宋_GB2312"/>
          <w:color w:val="auto"/>
          <w:sz w:val="24"/>
          <w:highlight w:val="none"/>
        </w:rPr>
      </w:pPr>
      <w:r>
        <w:rPr>
          <w:rFonts w:hint="eastAsia" w:ascii="Times New Roman" w:hAnsi="Times New Roman" w:cs="仿宋_GB2312"/>
          <w:color w:val="auto"/>
          <w:sz w:val="24"/>
          <w:highlight w:val="none"/>
        </w:rPr>
        <w:t xml:space="preserve">5.绿色数据中心政府采购需求标准（试行）</w:t>
      </w:r>
      <w:r/>
    </w:p>
    <w:p>
      <w:pPr>
        <w:ind w:firstLine="480"/>
        <w:jc w:val="left"/>
        <w:spacing w:line="440" w:lineRule="exact"/>
        <w:rPr>
          <w:rFonts w:ascii="Times New Roman" w:hAnsi="Times New Roman"/>
          <w:color w:val="auto"/>
          <w:sz w:val="24"/>
          <w:szCs w:val="24"/>
          <w:highlight w:val="none"/>
        </w:rPr>
      </w:pPr>
      <w:r>
        <w:rPr>
          <w:rFonts w:hint="eastAsia" w:ascii="Times New Roman" w:hAnsi="Times New Roman" w:cs="仿宋_GB2312"/>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ascii="Times New Roman" w:hAnsi="Times New Roman" w:eastAsia="黑体"/>
          <w:color w:val="auto"/>
          <w:sz w:val="44"/>
          <w:szCs w:val="44"/>
          <w:highlight w:val="none"/>
        </w:rPr>
      </w:pPr>
      <w:r>
        <w:rPr>
          <w:rFonts w:hint="eastAsia" w:ascii="Times New Roman" w:hAnsi="Times New Roman" w:eastAsia="黑体"/>
          <w:color w:val="auto"/>
          <w:sz w:val="44"/>
          <w:szCs w:val="44"/>
          <w:highlight w:val="none"/>
        </w:rPr>
        <w:br w:type="page" w:clear="all"/>
      </w:r>
      <w:r/>
    </w:p>
    <w:p>
      <w:pPr>
        <w:jc w:val="center"/>
        <w:keepNext/>
        <w:rPr>
          <w:rFonts w:ascii="Times New Roman" w:hAnsi="Times New Roman" w:eastAsia="黑体"/>
          <w:color w:val="auto"/>
          <w:sz w:val="44"/>
          <w:szCs w:val="44"/>
          <w:highlight w:val="none"/>
        </w:rPr>
        <w:outlineLvl w:val="0"/>
      </w:pPr>
      <w:r>
        <w:rPr>
          <w:rFonts w:hint="eastAsia" w:ascii="Times New Roman" w:hAnsi="Times New Roman" w:eastAsia="黑体"/>
          <w:color w:val="auto"/>
          <w:sz w:val="44"/>
          <w:szCs w:val="44"/>
          <w:highlight w:val="none"/>
        </w:rPr>
        <w:t xml:space="preserve">第六章  </w:t>
      </w:r>
      <w:bookmarkEnd w:id="218"/>
      <w:r/>
      <w:bookmarkEnd w:id="219"/>
      <w:r/>
      <w:bookmarkEnd w:id="221"/>
      <w:r>
        <w:rPr>
          <w:rFonts w:hint="eastAsia" w:ascii="Times New Roman" w:hAnsi="Times New Roman" w:eastAsia="黑体"/>
          <w:color w:val="auto"/>
          <w:sz w:val="44"/>
          <w:szCs w:val="44"/>
          <w:highlight w:val="none"/>
        </w:rPr>
        <w:t xml:space="preserve">响应文件格式</w:t>
      </w:r>
      <w:bookmarkEnd w:id="223"/>
      <w:r/>
      <w:r/>
    </w:p>
    <w:p>
      <w:pPr>
        <w:jc w:val="center"/>
        <w:rPr>
          <w:rFonts w:ascii="Times New Roman" w:hAnsi="Times New Roman"/>
          <w:b/>
          <w:color w:val="auto"/>
          <w:sz w:val="72"/>
          <w:szCs w:val="21"/>
          <w:highlight w:val="none"/>
        </w:rPr>
      </w:pPr>
      <w:r/>
      <w:bookmarkStart w:id="224" w:name="_Hlt26671244"/>
      <w:r/>
      <w:bookmarkEnd w:id="224"/>
      <w:r/>
      <w:bookmarkStart w:id="225" w:name="_Hlt26955039"/>
      <w:r/>
      <w:bookmarkEnd w:id="225"/>
      <w:r/>
      <w:bookmarkStart w:id="226" w:name="_Toc120614282"/>
      <w:r/>
      <w:bookmarkStart w:id="227" w:name="_Toc26554094"/>
      <w:r/>
      <w:bookmarkStart w:id="228" w:name="_Toc49090576"/>
      <w:r/>
      <w:r/>
    </w:p>
    <w:p>
      <w:pPr>
        <w:jc w:val="center"/>
        <w:rPr>
          <w:rFonts w:ascii="Times New Roman" w:hAnsi="Times New Roman"/>
          <w:b/>
          <w:color w:val="auto"/>
          <w:sz w:val="72"/>
          <w:szCs w:val="21"/>
          <w:highlight w:val="none"/>
        </w:rPr>
      </w:pPr>
      <w:r>
        <w:rPr>
          <w:rFonts w:hint="eastAsia" w:ascii="Times New Roman" w:hAnsi="Times New Roman"/>
          <w:b/>
          <w:color w:val="auto"/>
          <w:sz w:val="72"/>
          <w:szCs w:val="21"/>
          <w:highlight w:val="none"/>
        </w:rPr>
        <w:t xml:space="preserve">响  应  文  件</w:t>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72"/>
          <w:szCs w:val="21"/>
          <w:highlight w:val="none"/>
        </w:rPr>
      </w:pPr>
      <w:r>
        <w:rPr>
          <w:rFonts w:ascii="Times New Roman" w:hAnsi="Times New Roman"/>
          <w:b/>
          <w:color w:val="auto"/>
          <w:sz w:val="72"/>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jc w:val="center"/>
        <w:rPr>
          <w:rFonts w:ascii="Times New Roman" w:hAnsi="Times New Roman"/>
          <w:b/>
          <w:color w:val="auto"/>
          <w:sz w:val="36"/>
          <w:szCs w:val="21"/>
          <w:highlight w:val="none"/>
        </w:rPr>
      </w:pPr>
      <w:r>
        <w:rPr>
          <w:rFonts w:ascii="Times New Roman" w:hAnsi="Times New Roman"/>
          <w:b/>
          <w:color w:val="auto"/>
          <w:sz w:val="36"/>
          <w:szCs w:val="21"/>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（加盖CA电子公章）</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spacing w:line="440" w:lineRule="exact"/>
        <w:rPr>
          <w:rFonts w:ascii="Times New Roman" w:hAnsi="Times New Roman"/>
          <w:color w:val="auto"/>
          <w:szCs w:val="21"/>
          <w:highlight w:val="none"/>
        </w:rPr>
      </w:pPr>
      <w:r>
        <w:rPr>
          <w:rFonts w:ascii="Times New Roman" w:hAnsi="Times New Roman"/>
          <w:color w:val="auto"/>
          <w:szCs w:val="21"/>
          <w:highlight w:val="none"/>
        </w:rPr>
      </w:r>
      <w:r/>
    </w:p>
    <w:p>
      <w:pPr>
        <w:ind w:firstLine="1084"/>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r/>
    </w:p>
    <w:p>
      <w:pPr>
        <w:jc w:val="center"/>
        <w:spacing w:line="440" w:lineRule="exact"/>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 xml:space="preserve">响应文件目录</w:t>
      </w:r>
      <w:r/>
    </w:p>
    <w:p>
      <w:pPr>
        <w:jc w:val="center"/>
        <w:spacing w:line="440" w:lineRule="exact"/>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一、磋商申请及声明</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二、供应商基本信息</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三、特定资格要求的证明文件</w:t>
      </w:r>
      <w:r/>
    </w:p>
    <w:p>
      <w:pPr>
        <w:ind w:left="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四、法人授权书</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五、中小企业声明函</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六、已标价的工程量清单</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七</w:t>
      </w:r>
      <w:r>
        <w:rPr>
          <w:rFonts w:ascii="Times New Roman" w:hAnsi="Times New Roman"/>
          <w:color w:val="auto"/>
          <w:sz w:val="24"/>
          <w:szCs w:val="21"/>
          <w:highlight w:val="none"/>
        </w:rPr>
        <w:t xml:space="preserve">、项目实施方案</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八、项目组人员</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九、企业业绩</w:t>
      </w:r>
      <w:r/>
    </w:p>
    <w:p>
      <w:pPr>
        <w:ind w:firstLine="48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十、磋商所需其他材料</w:t>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440"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29" w:name="_Toc169207399"/>
      <w:r>
        <w:rPr>
          <w:rFonts w:hint="eastAsia" w:ascii="Times New Roman" w:hAnsi="Times New Roman"/>
          <w:b/>
          <w:bCs/>
          <w:color w:val="auto"/>
          <w:sz w:val="32"/>
          <w:szCs w:val="32"/>
          <w:highlight w:val="none"/>
        </w:rPr>
        <w:t xml:space="preserve">一、</w:t>
      </w:r>
      <w:r>
        <w:rPr>
          <w:rFonts w:ascii="Times New Roman" w:hAnsi="Times New Roman"/>
          <w:b/>
          <w:bCs/>
          <w:color w:val="auto"/>
          <w:sz w:val="32"/>
          <w:szCs w:val="32"/>
          <w:highlight w:val="none"/>
        </w:rPr>
        <w:t xml:space="preserve">磋商申请及声明</w:t>
      </w:r>
      <w:bookmarkEnd w:id="229"/>
      <w:r/>
      <w:r/>
    </w:p>
    <w:p>
      <w:pPr>
        <w:pStyle w:val="1188"/>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响应声明及承诺函</w:t>
      </w:r>
      <w:r/>
    </w:p>
    <w:p>
      <w:pPr>
        <w:pStyle w:val="1188"/>
        <w:jc w:val="left"/>
        <w:spacing w:line="500" w:lineRule="exac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 xml:space="preserve">（采购单位名称）：</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根据已收到的项目编号为</w:t>
      </w:r>
      <w:r>
        <w:rPr>
          <w:rFonts w:hint="eastAsia" w:ascii="Times New Roman" w:hAnsi="Times New Roman" w:eastAsia="方正仿宋_GBK"/>
          <w:color w:val="auto"/>
          <w:sz w:val="24"/>
          <w:szCs w:val="24"/>
          <w:highlight w:val="none"/>
          <w:lang w:val="en-US" w:eastAsia="zh-CN"/>
        </w:rPr>
        <w:t xml:space="preserve">________</w:t>
      </w:r>
      <w:r>
        <w:rPr>
          <w:rFonts w:hint="eastAsia" w:ascii="Times New Roman" w:hAnsi="Times New Roman" w:eastAsia="方正仿宋_GBK"/>
          <w:color w:val="auto"/>
          <w:sz w:val="24"/>
          <w:szCs w:val="24"/>
          <w:highlight w:val="none"/>
        </w:rPr>
        <w:t xml:space="preserve">的</w:t>
      </w:r>
      <w:r>
        <w:rPr>
          <w:rFonts w:hint="eastAsia" w:ascii="Times New Roman" w:hAnsi="Times New Roman" w:eastAsia="方正仿宋_GBK"/>
          <w:color w:val="auto"/>
          <w:sz w:val="24"/>
          <w:szCs w:val="24"/>
          <w:highlight w:val="none"/>
          <w:lang w:val="en-US" w:eastAsia="zh-CN"/>
        </w:rPr>
        <w:t xml:space="preserve">________</w:t>
      </w:r>
      <w:r>
        <w:rPr>
          <w:rFonts w:hint="eastAsia" w:ascii="Times New Roman" w:hAnsi="Times New Roman" w:eastAsia="方正仿宋_GBK"/>
          <w:color w:val="auto"/>
          <w:sz w:val="24"/>
          <w:szCs w:val="24"/>
          <w:highlight w:val="none"/>
        </w:rPr>
        <w:t xml:space="preserve">项目的竞争性磋商文件，我单位在参加本项目竞争性磋商活动中，特做出如下承诺：</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一、我方</w:t>
      </w:r>
      <w:r>
        <w:rPr>
          <w:rFonts w:ascii="Times New Roman" w:hAnsi="Times New Roman" w:eastAsia="方正仿宋_GBK"/>
          <w:color w:val="auto"/>
          <w:sz w:val="24"/>
          <w:highlight w:val="none"/>
        </w:rPr>
        <w:t xml:space="preserve">具备《中华人民共和国政府采购法》第二十二条第一款规定的6项条件；</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三、我方按磋商文件要求提交响应文件，响应磋商文件规定的响应有效期；</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五、我方若违背本声明及承诺约定，经查实，自愿接受采购人及相关主管部门相应的规定处理，并依法承担相应的法律责任。</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六、我方同意采购人、采购代理机构将本声明及承诺函上网公开。</w:t>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七、投标即视为已承诺响应磋商文件要求。</w:t>
      </w:r>
      <w:r/>
    </w:p>
    <w:p>
      <w:pPr>
        <w:pStyle w:val="1188"/>
        <w:ind w:firstLine="480"/>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188"/>
        <w:jc w:val="left"/>
        <w:spacing w:line="50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pStyle w:val="1188"/>
        <w:ind w:firstLine="480"/>
        <w:jc w:val="left"/>
        <w:spacing w:line="50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供应商名称： （加盖CA电子公章）</w:t>
      </w:r>
      <w:r/>
    </w:p>
    <w:p>
      <w:pPr>
        <w:ind w:firstLine="480"/>
        <w:spacing w:line="440" w:lineRule="exac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日期：    年    月   日</w:t>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bookmarkEnd w:id="226"/>
      <w:bookmarkEnd w:id="227"/>
      <w:bookmarkEnd w:id="228"/>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ind w:firstLine="480"/>
        <w:spacing w:line="440" w:lineRule="exact"/>
        <w:rPr>
          <w:rFonts w:ascii="Times New Roman" w:hAnsi="Times New Roman" w:eastAsia="方正仿宋_GBK"/>
          <w:color w:val="auto"/>
          <w:sz w:val="24"/>
          <w:szCs w:val="24"/>
          <w:highlight w:val="none"/>
        </w:rPr>
      </w:pPr>
      <w:r>
        <w:rPr>
          <w:rFonts w:ascii="Times New Roman" w:hAnsi="Times New Roman" w:eastAsia="方正仿宋_GBK"/>
          <w:color w:val="auto"/>
          <w:sz w:val="24"/>
          <w:szCs w:val="24"/>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30" w:name="_Toc27399"/>
      <w:r/>
      <w:bookmarkStart w:id="231" w:name="_Toc169207400"/>
      <w:r/>
      <w:bookmarkStart w:id="232" w:name="_Toc120614284"/>
      <w:r>
        <w:rPr>
          <w:rFonts w:hint="eastAsia" w:ascii="Times New Roman" w:hAnsi="Times New Roman"/>
          <w:b/>
          <w:bCs/>
          <w:color w:val="auto"/>
          <w:sz w:val="32"/>
          <w:szCs w:val="32"/>
          <w:highlight w:val="none"/>
        </w:rPr>
        <w:t xml:space="preserve">二</w:t>
      </w:r>
      <w:r>
        <w:rPr>
          <w:rFonts w:ascii="Times New Roman" w:hAnsi="Times New Roman"/>
          <w:b/>
          <w:bCs/>
          <w:color w:val="auto"/>
          <w:sz w:val="32"/>
          <w:szCs w:val="32"/>
          <w:highlight w:val="none"/>
        </w:rPr>
        <w:t xml:space="preserve">、供应商基本信息</w:t>
      </w:r>
      <w:bookmarkEnd w:id="230"/>
      <w:r/>
      <w:bookmarkEnd w:id="231"/>
      <w:r/>
      <w:r/>
    </w:p>
    <w:p>
      <w:pPr>
        <w:pStyle w:val="1203"/>
        <w:jc w:val="center"/>
        <w:rPr>
          <w:rFonts w:ascii="宋体" w:hAnsi="宋体"/>
          <w:color w:val="auto"/>
          <w:sz w:val="44"/>
          <w:szCs w:val="44"/>
          <w:highlight w:val="none"/>
        </w:rPr>
      </w:pPr>
      <w:r>
        <w:rPr>
          <w:rFonts w:hint="eastAsia" w:ascii="宋体" w:hAnsi="宋体"/>
          <w:color w:val="auto"/>
          <w:sz w:val="44"/>
          <w:szCs w:val="44"/>
          <w:highlight w:val="none"/>
        </w:rPr>
        <w:t xml:space="preserve">供应商基本情况表</w:t>
      </w:r>
      <w:r/>
    </w:p>
    <w:tbl>
      <w:tblPr>
        <w:tblStyle w:val="868"/>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供应商名称</w:t>
            </w:r>
            <w:r/>
          </w:p>
        </w:tc>
        <w:tc>
          <w:tcPr>
            <w:gridSpan w:val="3"/>
            <w:tcW w:w="699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法定代表人</w:t>
            </w:r>
            <w:r/>
          </w:p>
        </w:tc>
        <w:tc>
          <w:tcPr>
            <w:tcW w:w="311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c>
          <w:tcPr>
            <w:tcW w:w="127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注册地区</w:t>
            </w:r>
            <w:r/>
          </w:p>
        </w:tc>
        <w:tc>
          <w:tcPr>
            <w:tcW w:w="2604"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地址</w:t>
            </w:r>
            <w:r/>
          </w:p>
        </w:tc>
        <w:tc>
          <w:tcPr>
            <w:tcW w:w="311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c>
          <w:tcPr>
            <w:tcW w:w="127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邮政编码</w:t>
            </w:r>
            <w:r/>
          </w:p>
        </w:tc>
        <w:tc>
          <w:tcPr>
            <w:tcW w:w="2604"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成立时间</w:t>
            </w:r>
            <w:r/>
          </w:p>
        </w:tc>
        <w:tc>
          <w:tcPr>
            <w:tcW w:w="311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c>
          <w:tcPr>
            <w:tcW w:w="127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单位性质</w:t>
            </w:r>
            <w:r/>
          </w:p>
        </w:tc>
        <w:tc>
          <w:tcPr>
            <w:tcW w:w="2604"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注册号或社会信用代码</w:t>
            </w:r>
            <w:r/>
          </w:p>
        </w:tc>
        <w:tc>
          <w:tcPr>
            <w:tcW w:w="311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c>
          <w:tcPr>
            <w:tcW w:w="127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注册资本（万元）</w:t>
            </w:r>
            <w:r/>
          </w:p>
        </w:tc>
        <w:tc>
          <w:tcPr>
            <w:tcW w:w="2604"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供应商类别</w:t>
            </w:r>
            <w:r/>
          </w:p>
        </w:tc>
        <w:tc>
          <w:tcPr>
            <w:gridSpan w:val="3"/>
            <w:tcW w:w="699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开户银行</w:t>
            </w:r>
            <w:r/>
          </w:p>
        </w:tc>
        <w:tc>
          <w:tcPr>
            <w:tcW w:w="311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c>
          <w:tcPr>
            <w:tcW w:w="127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账号</w:t>
            </w:r>
            <w:r/>
          </w:p>
        </w:tc>
        <w:tc>
          <w:tcPr>
            <w:tcW w:w="2604"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c>
          <w:tcPr>
            <w:tcW w:w="152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联系人</w:t>
            </w:r>
            <w:r/>
          </w:p>
        </w:tc>
        <w:tc>
          <w:tcPr>
            <w:tcW w:w="3118"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c>
          <w:tcPr>
            <w:tcW w:w="1276"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联系电话</w:t>
            </w:r>
            <w:r/>
          </w:p>
        </w:tc>
        <w:tc>
          <w:tcPr>
            <w:tcW w:w="2604" w:type="dxa"/>
            <w:vAlign w:val="center"/>
            <w:textDirection w:val="lrTb"/>
            <w:noWrap/>
          </w:tcPr>
          <w:p>
            <w:pPr>
              <w:pStyle w:val="1203"/>
              <w:jc w:val="center"/>
              <w:spacing w:line="6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rHeight w:val="2376"/>
        </w:trPr>
        <w:tc>
          <w:tcPr>
            <w:tcW w:w="1526" w:type="dxa"/>
            <w:vAlign w:val="center"/>
            <w:textDirection w:val="lrTb"/>
            <w:noWrap/>
          </w:tcPr>
          <w:p>
            <w:pPr>
              <w:pStyle w:val="1203"/>
              <w:jc w:val="center"/>
              <w:spacing w:line="56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经营范围</w:t>
            </w:r>
            <w:r/>
          </w:p>
        </w:tc>
        <w:tc>
          <w:tcPr>
            <w:gridSpan w:val="3"/>
            <w:tcW w:w="6998" w:type="dxa"/>
            <w:vAlign w:val="top"/>
            <w:textDirection w:val="lrTb"/>
            <w:noWrap/>
          </w:tcPr>
          <w:p>
            <w:pPr>
              <w:pStyle w:val="1203"/>
              <w:ind w:firstLine="1433"/>
              <w:jc w:val="both"/>
              <w:spacing w:line="56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r>
        <w:trPr>
          <w:trHeight w:val="1134"/>
        </w:trPr>
        <w:tc>
          <w:tcPr>
            <w:tcW w:w="1526" w:type="dxa"/>
            <w:vAlign w:val="center"/>
            <w:textDirection w:val="lrTb"/>
            <w:noWrap/>
          </w:tcPr>
          <w:p>
            <w:pPr>
              <w:pStyle w:val="1203"/>
              <w:jc w:val="center"/>
              <w:spacing w:line="560" w:lineRule="exact"/>
              <w:widowControl w:val="off"/>
              <w:rPr>
                <w:rFonts w:ascii="仿宋_GB2312" w:hAnsi="Times New Roman" w:eastAsia="仿宋_GB2312" w:cs="Times New Roman"/>
                <w:color w:val="auto"/>
                <w:sz w:val="24"/>
                <w:szCs w:val="24"/>
                <w:highlight w:val="none"/>
                <w:lang w:val="en-US" w:eastAsia="zh-CN" w:bidi="ar-SA"/>
              </w:rPr>
            </w:pPr>
            <w:r>
              <w:rPr>
                <w:rFonts w:hint="eastAsia" w:ascii="仿宋_GB2312" w:hAnsi="Times New Roman" w:eastAsia="仿宋_GB2312" w:cs="Times New Roman"/>
                <w:color w:val="auto"/>
                <w:sz w:val="24"/>
                <w:szCs w:val="24"/>
                <w:highlight w:val="none"/>
                <w:lang w:val="en-US" w:eastAsia="zh-CN" w:bidi="ar-SA"/>
              </w:rPr>
              <w:t xml:space="preserve">备注</w:t>
            </w:r>
            <w:r/>
          </w:p>
        </w:tc>
        <w:tc>
          <w:tcPr>
            <w:gridSpan w:val="3"/>
            <w:tcW w:w="6998" w:type="dxa"/>
            <w:vAlign w:val="center"/>
            <w:textDirection w:val="lrTb"/>
            <w:noWrap/>
          </w:tcPr>
          <w:p>
            <w:pPr>
              <w:pStyle w:val="1203"/>
              <w:jc w:val="center"/>
              <w:spacing w:line="500" w:lineRule="exact"/>
              <w:widowControl w:val="off"/>
              <w:rPr>
                <w:rFonts w:ascii="仿宋_GB2312" w:hAnsi="Times New Roman" w:eastAsia="仿宋_GB2312" w:cs="Times New Roman"/>
                <w:color w:val="auto"/>
                <w:sz w:val="24"/>
                <w:szCs w:val="24"/>
                <w:highlight w:val="none"/>
                <w:lang w:val="en-US" w:eastAsia="zh-CN" w:bidi="ar-SA"/>
              </w:rPr>
            </w:pPr>
            <w:r>
              <w:rPr>
                <w:rFonts w:ascii="仿宋_GB2312" w:hAnsi="Times New Roman" w:eastAsia="仿宋_GB2312" w:cs="Times New Roman"/>
                <w:color w:val="auto"/>
                <w:sz w:val="24"/>
                <w:szCs w:val="24"/>
                <w:highlight w:val="none"/>
                <w:lang w:val="en-US" w:eastAsia="zh-CN" w:bidi="ar-SA"/>
              </w:rPr>
            </w:r>
            <w:r/>
          </w:p>
        </w:tc>
      </w:tr>
    </w:tbl>
    <w:p>
      <w:pPr>
        <w:keepLines/>
        <w:keepNext/>
        <w:spacing w:before="145" w:after="145" w:line="360" w:lineRule="auto"/>
        <w:rPr>
          <w:rFonts w:ascii="Times New Roman" w:hAnsi="Times New Roman" w:eastAsia="黑体"/>
          <w:i/>
          <w:color w:val="auto"/>
          <w:sz w:val="32"/>
          <w:szCs w:val="32"/>
          <w:highlight w:val="none"/>
          <w:u w:val="single"/>
        </w:rPr>
        <w:outlineLvl w:val="2"/>
      </w:pPr>
      <w:r>
        <w:rPr>
          <w:rFonts w:hint="eastAsia" w:ascii="Times New Roman" w:hAnsi="Times New Roman" w:eastAsia="黑体"/>
          <w:iCs/>
          <w:color w:val="auto"/>
          <w:sz w:val="32"/>
          <w:szCs w:val="32"/>
          <w:highlight w:val="none"/>
        </w:rPr>
        <w:br w:type="page" w:clear="all"/>
      </w:r>
      <w:bookmarkStart w:id="233" w:name="_Toc169207401"/>
      <w:r>
        <w:rPr>
          <w:rFonts w:hint="eastAsia" w:ascii="Times New Roman" w:hAnsi="Times New Roman"/>
          <w:b/>
          <w:bCs/>
          <w:color w:val="auto"/>
          <w:sz w:val="32"/>
          <w:szCs w:val="32"/>
          <w:highlight w:val="none"/>
        </w:rPr>
        <w:t xml:space="preserve">三、特定资格要求的证明文件</w:t>
      </w:r>
      <w:bookmarkEnd w:id="233"/>
      <w:r/>
      <w:r/>
    </w:p>
    <w:p>
      <w:pPr>
        <w:spacing w:line="460" w:lineRule="exact"/>
        <w:rPr>
          <w:rFonts w:ascii="Times New Roman" w:hAnsi="Times New Roman"/>
          <w:bCs/>
          <w:color w:val="auto"/>
          <w:sz w:val="24"/>
          <w:highlight w:val="none"/>
        </w:rPr>
      </w:pPr>
      <w:r>
        <w:rPr>
          <w:rFonts w:hint="eastAsia" w:ascii="Times New Roman" w:hAnsi="Times New Roman"/>
          <w:color w:val="auto"/>
          <w:sz w:val="24"/>
          <w:highlight w:val="none"/>
        </w:rPr>
        <w:t xml:space="preserve">    如果本项目申请人的特定资格要求中要求提供的，必须提供。</w:t>
      </w:r>
      <w:r/>
    </w:p>
    <w:p>
      <w:pPr>
        <w:ind w:firstLine="480"/>
        <w:spacing w:line="460" w:lineRule="exact"/>
        <w:rPr>
          <w:rFonts w:ascii="Times New Roman" w:hAnsi="Times New Roman"/>
          <w:color w:val="auto"/>
          <w:sz w:val="24"/>
          <w:highlight w:val="none"/>
        </w:rPr>
      </w:pPr>
      <w:r>
        <w:rPr>
          <w:rFonts w:hint="eastAsia" w:ascii="Times New Roman" w:hAnsi="Times New Roman"/>
          <w:color w:val="auto"/>
          <w:sz w:val="24"/>
          <w:highlight w:val="none"/>
        </w:rPr>
        <w:t xml:space="preserve">附营业执照、资质证书、安全生产许可证等资料。</w:t>
      </w:r>
      <w:r/>
    </w:p>
    <w:p>
      <w:pPr>
        <w:keepLines/>
        <w:keepNext/>
        <w:spacing w:before="145" w:after="145" w:line="360" w:lineRule="auto"/>
        <w:rPr>
          <w:rFonts w:ascii="Times New Roman" w:hAnsi="Times New Roman" w:eastAsia="黑体"/>
          <w:iCs/>
          <w:color w:val="auto"/>
          <w:sz w:val="32"/>
          <w:szCs w:val="32"/>
          <w:highlight w:val="none"/>
        </w:rPr>
        <w:outlineLvl w:val="2"/>
      </w:pPr>
      <w:r>
        <w:rPr>
          <w:rFonts w:hint="eastAsia" w:ascii="Times New Roman" w:hAnsi="Times New Roman" w:eastAsia="黑体"/>
          <w:iCs/>
          <w:color w:val="auto"/>
          <w:sz w:val="32"/>
          <w:szCs w:val="32"/>
          <w:highlight w:val="none"/>
        </w:rPr>
        <w:br w:type="page" w:clear="all"/>
      </w:r>
      <w:bookmarkStart w:id="234" w:name="_Toc169207402"/>
      <w:r>
        <w:rPr>
          <w:rFonts w:hint="eastAsia" w:ascii="Times New Roman" w:hAnsi="Times New Roman"/>
          <w:b/>
          <w:bCs/>
          <w:color w:val="auto"/>
          <w:sz w:val="32"/>
          <w:szCs w:val="32"/>
          <w:highlight w:val="none"/>
        </w:rPr>
        <w:t xml:space="preserve">四、法人授权书</w:t>
      </w:r>
      <w:bookmarkEnd w:id="234"/>
      <w:r/>
      <w:r/>
    </w:p>
    <w:p>
      <w:pPr>
        <w:ind w:firstLine="480"/>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本授权书声明：____________（供应商名称）授权________________（被授权人的姓名）为我方就</w:t>
      </w:r>
      <w:r>
        <w:rPr>
          <w:rFonts w:hint="eastAsia" w:ascii="Times New Roman" w:hAnsi="Times New Roman"/>
          <w:color w:val="auto"/>
          <w:sz w:val="24"/>
          <w:szCs w:val="24"/>
          <w:highlight w:val="none"/>
          <w:lang w:val="en-US" w:eastAsia="zh-CN"/>
        </w:rPr>
        <w:t xml:space="preserve">JSZC-321302-JING-C2026-0019</w:t>
      </w:r>
      <w:r>
        <w:rPr>
          <w:rFonts w:hint="eastAsia" w:ascii="Times New Roman" w:hAnsi="Times New Roman"/>
          <w:color w:val="auto"/>
          <w:sz w:val="24"/>
          <w:szCs w:val="24"/>
          <w:highlight w:val="none"/>
          <w:u w:val="single"/>
          <w:lang w:val="en-US" w:eastAsia="zh-CN"/>
        </w:rPr>
        <w:t xml:space="preserve">                </w:t>
      </w:r>
      <w:r>
        <w:rPr>
          <w:rFonts w:hint="eastAsia" w:ascii="Times New Roman" w:hAnsi="Times New Roman"/>
          <w:color w:val="auto"/>
          <w:sz w:val="24"/>
          <w:szCs w:val="24"/>
          <w:highlight w:val="none"/>
        </w:rPr>
        <w:t xml:space="preserve">项目采购活动的合法代理人，以本单位名义全权处理一切与该项目采购有关的事务。</w:t>
      </w:r>
      <w:r/>
    </w:p>
    <w:p>
      <w:pPr>
        <w:ind w:firstLine="480"/>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p>
    <w:p>
      <w:pPr>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p>
    <w:p>
      <w:pPr>
        <w:ind w:firstLine="1200"/>
        <w:tabs>
          <w:tab w:val="left" w:pos="360" w:leader="none"/>
        </w:tabs>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p>
    <w:p>
      <w:pPr>
        <w:ind w:firstLine="480"/>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235" w:name="_Hlt26671380"/>
      <w:r/>
      <w:bookmarkEnd w:id="235"/>
      <w:r/>
      <w:bookmarkStart w:id="236" w:name="_Hlt26955070"/>
      <w:r/>
      <w:bookmarkEnd w:id="236"/>
      <w:r/>
      <w:bookmarkStart w:id="237" w:name="_格式3__银行出具的资信证明"/>
      <w:r/>
      <w:bookmarkEnd w:id="237"/>
      <w:r/>
      <w:r/>
    </w:p>
    <w:p>
      <w:pPr>
        <w:spacing w:line="460" w:lineRule="exact"/>
        <w:rPr>
          <w:rFonts w:ascii="Times New Roman" w:hAnsi="Times New Roman"/>
          <w:bCs/>
          <w:color w:val="auto"/>
          <w:sz w:val="24"/>
          <w:szCs w:val="21"/>
          <w:highlight w:val="none"/>
        </w:rPr>
      </w:pPr>
      <w:r>
        <w:rPr>
          <w:rFonts w:ascii="Times New Roman" w:hAnsi="Times New Roman"/>
          <w:bCs/>
          <w:color w:val="auto"/>
          <w:sz w:val="24"/>
          <w:szCs w:val="21"/>
          <w:highlight w:val="none"/>
        </w:rPr>
      </w:r>
      <w:r/>
    </w:p>
    <w:p>
      <w:pPr>
        <w:ind w:firstLine="480"/>
        <w:tabs>
          <w:tab w:val="left" w:pos="360" w:leader="none"/>
        </w:tabs>
        <w:rPr>
          <w:rFonts w:ascii="Times New Roman" w:hAnsi="Times New Roman"/>
          <w:color w:val="auto"/>
          <w:sz w:val="24"/>
          <w:szCs w:val="24"/>
          <w:highlight w:val="none"/>
          <w:u w:val="single"/>
        </w:rPr>
      </w:pPr>
      <w:r>
        <w:rPr>
          <w:rFonts w:ascii="Times New Roman" w:hAnsi="Times New Roman"/>
          <w:color w:val="auto"/>
          <w:sz w:val="24"/>
          <w:szCs w:val="24"/>
          <w:highlight w:val="none"/>
          <w:u w:val="single"/>
        </w:rPr>
      </w:r>
      <w:r/>
    </w:p>
    <w:p>
      <w:pPr>
        <w:ind w:firstLine="480"/>
        <w:tabs>
          <w:tab w:val="left" w:pos="360" w:leader="none"/>
        </w:tabs>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i/>
          <w:color w:val="auto"/>
          <w:sz w:val="24"/>
          <w:szCs w:val="24"/>
          <w:highlight w:val="none"/>
          <w:u w:val="single"/>
        </w:rPr>
      </w:pPr>
      <w:r>
        <w:rPr>
          <w:rFonts w:ascii="Times New Roman" w:hAnsi="Times New Roman"/>
          <w:i/>
          <w:color w:val="auto"/>
          <w:sz w:val="24"/>
          <w:szCs w:val="24"/>
          <w:highlight w:val="none"/>
          <w:u w:val="single"/>
        </w:rPr>
      </w:r>
      <w:r/>
    </w:p>
    <w:p>
      <w:pPr>
        <w:rPr>
          <w:rFonts w:ascii="Times New Roman" w:hAnsi="Times New Roman"/>
          <w:color w:val="auto"/>
          <w:szCs w:val="21"/>
          <w:highlight w:val="none"/>
        </w:rPr>
      </w:pPr>
      <w:r>
        <w:rPr>
          <w:rFonts w:ascii="Times New Roman" w:hAnsi="Times New Roman"/>
          <w:color w:val="auto"/>
          <w:szCs w:val="21"/>
          <w:highlight w:val="none"/>
        </w:rPr>
      </w:r>
      <w:r/>
    </w:p>
    <w:p>
      <w:pP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eastAsia="幼圆" w:cs="Arial"/>
          <w:b/>
          <w:color w:val="auto"/>
          <w:sz w:val="24"/>
          <w:szCs w:val="44"/>
          <w:highlight w:val="none"/>
        </w:rPr>
        <w:br w:type="page" w:clear="all"/>
      </w:r>
      <w:bookmarkStart w:id="238" w:name="_Toc169207403"/>
      <w:r>
        <w:rPr>
          <w:rFonts w:hint="eastAsia" w:ascii="Times New Roman" w:hAnsi="Times New Roman"/>
          <w:b/>
          <w:bCs/>
          <w:color w:val="auto"/>
          <w:sz w:val="32"/>
          <w:szCs w:val="32"/>
          <w:highlight w:val="none"/>
        </w:rPr>
        <w:t xml:space="preserve">五、中小（微）企业声明函</w:t>
      </w:r>
      <w:bookmarkEnd w:id="238"/>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采购单位名称</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采购编号为</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的采购活动，工程的施工单位全部为符合政策要求的中小微企业。根据《工业和信息化部、国家统计局、国家发展和改革委员会、财政部关于印发中小企业划型标准规定的通知》(工信部联企业[2011]300号)的规定，相关企业的具体情况如下：</w:t>
      </w:r>
      <w:r/>
    </w:p>
    <w:p>
      <w:pPr>
        <w:ind w:left="548" w:hanging="69"/>
        <w:spacing w:line="56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属于行业；承建企业为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560" w:lineRule="exact"/>
        <w:rPr>
          <w:rFonts w:ascii="宋体" w:hAnsi="宋体" w:cs="宋体"/>
          <w:i/>
          <w:color w:val="auto"/>
          <w:sz w:val="24"/>
          <w:szCs w:val="24"/>
          <w:highlight w:val="none"/>
          <w:u w:val="singl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i/>
          <w:color w:val="auto"/>
          <w:sz w:val="24"/>
          <w:szCs w:val="24"/>
          <w:highlight w:val="none"/>
        </w:rPr>
        <w:t xml:space="preserve">，</w:t>
      </w:r>
      <w:r>
        <w:rPr>
          <w:rFonts w:hint="eastAsia" w:ascii="宋体" w:hAnsi="宋体" w:cs="宋体"/>
          <w:color w:val="auto"/>
          <w:sz w:val="24"/>
          <w:szCs w:val="24"/>
          <w:highlight w:val="none"/>
        </w:rPr>
        <w:t xml:space="preserve">属于行业；承建企业为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万元</w:t>
      </w:r>
      <w:r>
        <w:rPr>
          <w:rFonts w:hint="eastAsia" w:ascii="宋体" w:hAnsi="宋体" w:cs="宋体"/>
          <w:color w:val="auto"/>
          <w:sz w:val="24"/>
          <w:szCs w:val="24"/>
          <w:highlight w:val="none"/>
          <w:vertAlign w:val="superscript"/>
        </w:rPr>
        <w:t xml:space="preserve">1</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（中型企业、小型企业、微型企业）；</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right="72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right="180" w:firstLine="360"/>
        <w:jc w:val="righ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right="480" w:firstLine="540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ind w:firstLine="240"/>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备注1：从业人员、营业收入、资产总额填报上一年度数据，无上一年度数据的新成立企业可不填报。</w:t>
      </w:r>
      <w:r/>
    </w:p>
    <w:p>
      <w:pPr>
        <w:pStyle w:val="1508"/>
        <w:jc w:val="center"/>
        <w:spacing w:before="151" w:after="151" w:line="600" w:lineRule="exact"/>
        <w:rPr>
          <w:rFonts w:ascii="宋体"/>
          <w:b/>
          <w:bCs/>
          <w:color w:val="auto"/>
          <w:sz w:val="32"/>
          <w:szCs w:val="32"/>
          <w:highlight w:val="none"/>
        </w:rPr>
      </w:pPr>
      <w:r>
        <w:rPr>
          <w:rFonts w:ascii="宋体"/>
          <w:b/>
          <w:bCs/>
          <w:color w:val="auto"/>
          <w:sz w:val="32"/>
          <w:szCs w:val="32"/>
          <w:highlight w:val="none"/>
        </w:rPr>
      </w:r>
      <w:r/>
    </w:p>
    <w:p>
      <w:pPr>
        <w:jc w:val="center"/>
        <w:spacing w:line="4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br w:type="page" w:clear="all"/>
      </w:r>
      <w:r>
        <w:rPr>
          <w:rFonts w:hint="eastAsia" w:ascii="Times New Roman" w:hAnsi="Times New Roman" w:eastAsia="黑体"/>
          <w:b/>
          <w:color w:val="auto"/>
          <w:sz w:val="32"/>
          <w:szCs w:val="32"/>
          <w:highlight w:val="none"/>
        </w:rPr>
        <w:t xml:space="preserve">残疾人福利性单位声明函</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本单位对上述声明的真实性负责。如有虚假，将依法承担相应责任。</w:t>
      </w:r>
      <w:r/>
    </w:p>
    <w:p>
      <w:pPr>
        <w:ind w:firstLine="480"/>
        <w:spacing w:line="588" w:lineRule="exact"/>
        <w:rPr>
          <w:rFonts w:ascii="Times New Roman" w:hAnsi="Times New Roman"/>
          <w:color w:val="auto"/>
          <w:sz w:val="24"/>
          <w:szCs w:val="21"/>
          <w:highlight w:val="none"/>
        </w:rPr>
      </w:pPr>
      <w:r>
        <w:rPr>
          <w:rFonts w:ascii="Times New Roman" w:hAnsi="Times New Roman"/>
          <w:color w:val="auto"/>
          <w:sz w:val="24"/>
          <w:szCs w:val="21"/>
          <w:highlight w:val="none"/>
        </w:rPr>
      </w:r>
      <w:r/>
    </w:p>
    <w:p>
      <w:pPr>
        <w:ind w:firstLine="480"/>
        <w:spacing w:line="588"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（备注：成交供应商为残疾人福利单位的，此声明函将随成交结果同时公告，接受社会监督）</w:t>
      </w:r>
      <w:r/>
    </w:p>
    <w:p>
      <w:pPr>
        <w:ind w:firstLine="624"/>
        <w:spacing w:line="588" w:lineRule="exact"/>
        <w:rPr>
          <w:rFonts w:ascii="Times New Roman" w:hAnsi="Times New Roman" w:eastAsia="仿宋_GB2312"/>
          <w:color w:val="auto"/>
          <w:spacing w:val="6"/>
          <w:sz w:val="30"/>
          <w:szCs w:val="30"/>
          <w:highlight w:val="none"/>
        </w:rPr>
      </w:pPr>
      <w:r>
        <w:rPr>
          <w:rFonts w:ascii="Times New Roman"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jc w:val="cente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spacing w:line="560" w:lineRule="exact"/>
        <w:rPr>
          <w:rFonts w:ascii="Times New Roman" w:hAnsi="Times New Roman" w:eastAsia="黑体"/>
          <w:b/>
          <w:color w:val="auto"/>
          <w:sz w:val="32"/>
          <w:szCs w:val="32"/>
          <w:highlight w:val="none"/>
        </w:rPr>
      </w:pPr>
      <w:r>
        <w:rPr>
          <w:rFonts w:ascii="Times New Roman" w:hAnsi="Times New Roman" w:eastAsia="黑体"/>
          <w:b/>
          <w:color w:val="auto"/>
          <w:sz w:val="32"/>
          <w:szCs w:val="32"/>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39" w:name="_Toc169207404"/>
      <w:r>
        <w:rPr>
          <w:rFonts w:hint="eastAsia" w:ascii="Times New Roman" w:hAnsi="Times New Roman"/>
          <w:b/>
          <w:bCs/>
          <w:color w:val="auto"/>
          <w:sz w:val="32"/>
          <w:szCs w:val="32"/>
          <w:highlight w:val="none"/>
        </w:rPr>
        <w:t xml:space="preserve">六、</w:t>
      </w:r>
      <w:r>
        <w:rPr>
          <w:rFonts w:ascii="Times New Roman" w:hAnsi="Times New Roman"/>
          <w:b/>
          <w:bCs/>
          <w:color w:val="auto"/>
          <w:sz w:val="32"/>
          <w:szCs w:val="32"/>
          <w:highlight w:val="none"/>
        </w:rPr>
        <w:t xml:space="preserve">已标价的工程量清单</w:t>
      </w:r>
      <w:bookmarkEnd w:id="239"/>
      <w:r/>
      <w:r/>
    </w:p>
    <w:p>
      <w:pPr>
        <w:pStyle w:val="1503"/>
        <w:ind w:left="2" w:firstLine="358"/>
        <w:spacing w:line="3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一、投标报价的编制应符合下列规定：</w:t>
      </w:r>
      <w:r/>
    </w:p>
    <w:p>
      <w:pPr>
        <w:pStyle w:val="1503"/>
        <w:ind w:left="2" w:firstLine="358"/>
        <w:spacing w:line="36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   1  </w:t>
      </w:r>
      <w:r>
        <w:rPr>
          <w:rFonts w:hint="eastAsia" w:ascii="仿宋" w:hAnsi="仿宋" w:eastAsia="仿宋"/>
          <w:color w:val="auto"/>
          <w:sz w:val="24"/>
          <w:szCs w:val="24"/>
          <w:highlight w:val="none"/>
        </w:rPr>
        <w:t xml:space="preserve">使用表格：</w:t>
      </w:r>
      <w:r/>
    </w:p>
    <w:p>
      <w:pPr>
        <w:pStyle w:val="1503"/>
        <w:ind w:left="2" w:firstLine="358"/>
        <w:spacing w:line="36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投标报价使用的表格</w:t>
      </w:r>
      <w:r>
        <w:rPr>
          <w:rFonts w:hint="eastAsia" w:ascii="仿宋" w:hAnsi="仿宋" w:eastAsia="仿宋"/>
          <w:b/>
          <w:color w:val="auto"/>
          <w:sz w:val="24"/>
          <w:szCs w:val="24"/>
          <w:highlight w:val="none"/>
        </w:rPr>
        <w:t xml:space="preserve">须符合</w:t>
      </w:r>
      <w:r>
        <w:rPr>
          <w:rFonts w:ascii="仿宋" w:hAnsi="仿宋" w:eastAsia="仿宋"/>
          <w:b/>
          <w:color w:val="auto"/>
          <w:sz w:val="24"/>
          <w:szCs w:val="24"/>
          <w:highlight w:val="none"/>
        </w:rPr>
        <w:t xml:space="preserve">GB50500-2013</w:t>
      </w:r>
      <w:r>
        <w:rPr>
          <w:rFonts w:hint="eastAsia" w:ascii="仿宋" w:hAnsi="仿宋" w:eastAsia="仿宋"/>
          <w:b/>
          <w:color w:val="auto"/>
          <w:sz w:val="24"/>
          <w:szCs w:val="24"/>
          <w:highlight w:val="none"/>
        </w:rPr>
        <w:t xml:space="preserve">规定要求</w:t>
      </w:r>
      <w:r>
        <w:rPr>
          <w:rFonts w:hint="eastAsia" w:ascii="仿宋" w:hAnsi="仿宋" w:eastAsia="仿宋"/>
          <w:color w:val="auto"/>
          <w:sz w:val="24"/>
          <w:szCs w:val="24"/>
          <w:highlight w:val="none"/>
        </w:rPr>
        <w:t xml:space="preserve">，包括：封—</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、扉—</w:t>
      </w:r>
      <w:r>
        <w:rPr>
          <w:rFonts w:ascii="仿宋" w:hAnsi="仿宋" w:eastAsia="仿宋"/>
          <w:color w:val="auto"/>
          <w:sz w:val="24"/>
          <w:szCs w:val="24"/>
          <w:highlight w:val="none"/>
        </w:rPr>
        <w:t xml:space="preserve">3</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01</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02</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03</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04</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08</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09</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11</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12</w:t>
      </w:r>
      <w:r>
        <w:rPr>
          <w:rFonts w:hint="eastAsia" w:ascii="仿宋" w:hAnsi="仿宋" w:eastAsia="仿宋"/>
          <w:color w:val="auto"/>
          <w:sz w:val="24"/>
          <w:szCs w:val="24"/>
          <w:highlight w:val="none"/>
        </w:rPr>
        <w:t xml:space="preserve">（含表—</w:t>
      </w:r>
      <w:r>
        <w:rPr>
          <w:rFonts w:ascii="仿宋" w:hAnsi="仿宋" w:eastAsia="仿宋"/>
          <w:color w:val="auto"/>
          <w:sz w:val="24"/>
          <w:szCs w:val="24"/>
          <w:highlight w:val="none"/>
        </w:rPr>
        <w:t xml:space="preserve">12</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1</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12</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5</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13</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16</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20</w:t>
      </w:r>
      <w:r>
        <w:rPr>
          <w:rFonts w:hint="eastAsia" w:ascii="仿宋" w:hAnsi="仿宋" w:eastAsia="仿宋"/>
          <w:color w:val="auto"/>
          <w:sz w:val="24"/>
          <w:szCs w:val="24"/>
          <w:highlight w:val="none"/>
        </w:rPr>
        <w:t xml:space="preserve">、表—</w:t>
      </w:r>
      <w:r>
        <w:rPr>
          <w:rFonts w:ascii="仿宋" w:hAnsi="仿宋" w:eastAsia="仿宋"/>
          <w:color w:val="auto"/>
          <w:sz w:val="24"/>
          <w:szCs w:val="24"/>
          <w:highlight w:val="none"/>
        </w:rPr>
        <w:t xml:space="preserve">21</w:t>
      </w:r>
      <w:r>
        <w:rPr>
          <w:rFonts w:hint="eastAsia" w:ascii="仿宋" w:hAnsi="仿宋" w:eastAsia="仿宋"/>
          <w:color w:val="auto"/>
          <w:sz w:val="24"/>
          <w:szCs w:val="24"/>
          <w:highlight w:val="none"/>
        </w:rPr>
        <w:t xml:space="preserve">或表—</w:t>
      </w:r>
      <w:r>
        <w:rPr>
          <w:rFonts w:ascii="仿宋" w:hAnsi="仿宋" w:eastAsia="仿宋"/>
          <w:color w:val="auto"/>
          <w:sz w:val="24"/>
          <w:szCs w:val="24"/>
          <w:highlight w:val="none"/>
        </w:rPr>
        <w:t xml:space="preserve">22</w:t>
      </w:r>
      <w:r>
        <w:rPr>
          <w:rFonts w:hint="eastAsia" w:ascii="仿宋" w:hAnsi="仿宋" w:eastAsia="仿宋"/>
          <w:color w:val="auto"/>
          <w:sz w:val="24"/>
          <w:szCs w:val="24"/>
          <w:highlight w:val="none"/>
        </w:rPr>
        <w:t xml:space="preserve">。</w:t>
      </w:r>
      <w:r/>
    </w:p>
    <w:p>
      <w:pPr>
        <w:pStyle w:val="1503"/>
        <w:ind w:left="2" w:firstLine="358"/>
        <w:spacing w:line="36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   2  </w:t>
      </w:r>
      <w:r>
        <w:rPr>
          <w:rFonts w:hint="eastAsia" w:ascii="仿宋" w:hAnsi="仿宋" w:eastAsia="仿宋"/>
          <w:color w:val="auto"/>
          <w:sz w:val="24"/>
          <w:szCs w:val="24"/>
          <w:highlight w:val="none"/>
        </w:rPr>
        <w:t xml:space="preserve">封面应按规定的内容填写、签字、盖章。</w:t>
      </w:r>
      <w:r/>
    </w:p>
    <w:p>
      <w:pPr>
        <w:pStyle w:val="1503"/>
        <w:ind w:left="2" w:firstLine="358"/>
        <w:spacing w:line="36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   3  </w:t>
      </w:r>
      <w:r>
        <w:rPr>
          <w:rFonts w:hint="eastAsia" w:ascii="仿宋" w:hAnsi="仿宋" w:eastAsia="仿宋"/>
          <w:color w:val="auto"/>
          <w:sz w:val="24"/>
          <w:szCs w:val="24"/>
          <w:highlight w:val="none"/>
        </w:rPr>
        <w:t xml:space="preserve">总说明应按下列内容填写：</w:t>
      </w:r>
      <w:r/>
    </w:p>
    <w:p>
      <w:pPr>
        <w:pStyle w:val="1503"/>
        <w:ind w:left="2" w:firstLine="358"/>
        <w:spacing w:line="36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      1</w:t>
      </w:r>
      <w:r>
        <w:rPr>
          <w:rFonts w:hint="eastAsia" w:ascii="仿宋" w:hAnsi="仿宋" w:eastAsia="仿宋"/>
          <w:color w:val="auto"/>
          <w:sz w:val="24"/>
          <w:szCs w:val="24"/>
          <w:highlight w:val="none"/>
        </w:rPr>
        <w:t xml:space="preserve">）工程概况：建设规模、工程特征、计划工期、合同工期、实际工期、施工现场及变化情况、施工组织设计的特点、自然地理条件、环境保护要求等。</w:t>
      </w:r>
      <w:r/>
    </w:p>
    <w:p>
      <w:pPr>
        <w:pStyle w:val="1503"/>
        <w:ind w:left="2" w:firstLine="358"/>
        <w:spacing w:line="360" w:lineRule="exact"/>
        <w:rPr>
          <w:rFonts w:ascii="仿宋" w:hAnsi="仿宋" w:eastAsia="仿宋"/>
          <w:color w:val="auto"/>
          <w:sz w:val="24"/>
          <w:szCs w:val="24"/>
          <w:highlight w:val="none"/>
        </w:rPr>
      </w:pPr>
      <w:r>
        <w:rPr>
          <w:rFonts w:ascii="仿宋" w:hAnsi="仿宋" w:eastAsia="仿宋"/>
          <w:color w:val="auto"/>
          <w:sz w:val="24"/>
          <w:szCs w:val="24"/>
          <w:highlight w:val="none"/>
        </w:rPr>
        <w:t xml:space="preserve">      2</w:t>
      </w:r>
      <w:r>
        <w:rPr>
          <w:rFonts w:hint="eastAsia" w:ascii="仿宋" w:hAnsi="仿宋" w:eastAsia="仿宋"/>
          <w:color w:val="auto"/>
          <w:sz w:val="24"/>
          <w:szCs w:val="24"/>
          <w:highlight w:val="none"/>
        </w:rPr>
        <w:t xml:space="preserve">）编制依据等。</w:t>
      </w:r>
      <w:r/>
    </w:p>
    <w:p>
      <w:pPr>
        <w:pStyle w:val="1503"/>
        <w:ind w:left="2" w:firstLine="358"/>
        <w:spacing w:line="360" w:lineRule="exact"/>
        <w:rPr>
          <w:rFonts w:ascii="Times New Roman" w:hAnsi="Times New Roman"/>
          <w:color w:val="auto"/>
          <w:sz w:val="24"/>
          <w:szCs w:val="24"/>
          <w:highlight w:val="none"/>
        </w:rPr>
      </w:pPr>
      <w:r>
        <w:rPr>
          <w:rFonts w:hint="eastAsia" w:ascii="仿宋" w:hAnsi="仿宋" w:eastAsia="仿宋"/>
          <w:color w:val="auto"/>
          <w:sz w:val="24"/>
          <w:szCs w:val="24"/>
          <w:highlight w:val="none"/>
        </w:rPr>
        <w:t xml:space="preserve">二、供应商应附综合单价分析表。</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tbl>
      <w:tblPr>
        <w:tblStyle w:val="868"/>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tcPr>
          <w:p>
            <w:pPr>
              <w:pStyle w:val="1503"/>
              <w:jc w:val="left"/>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tcPr>
          <w:p>
            <w:pPr>
              <w:pStyle w:val="1503"/>
              <w:jc w:val="center"/>
              <w:widowControl/>
              <w:rPr>
                <w:rFonts w:ascii="宋体" w:hAnsi="宋体" w:eastAsia="宋体" w:cs="宋体"/>
                <w:color w:val="auto"/>
                <w:sz w:val="36"/>
                <w:szCs w:val="36"/>
                <w:highlight w:val="none"/>
                <w:lang w:val="en-US" w:eastAsia="zh-CN" w:bidi="ar-SA"/>
              </w:rPr>
            </w:pPr>
            <w:r>
              <w:rPr>
                <w:rFonts w:hint="eastAsia" w:ascii="宋体" w:hAnsi="宋体" w:eastAsia="宋体" w:cs="宋体"/>
                <w:color w:val="auto"/>
                <w:sz w:val="36"/>
                <w:szCs w:val="36"/>
                <w:highlight w:val="none"/>
                <w:lang w:val="en-US" w:eastAsia="zh-CN" w:bidi="ar-SA"/>
              </w:rPr>
              <w:t xml:space="preserve">　</w:t>
            </w:r>
            <w:r/>
          </w:p>
        </w:tc>
        <w:tc>
          <w:tcPr>
            <w:gridSpan w:val="2"/>
            <w:shd w:val="clear" w:color="auto" w:fill="ffffff"/>
            <w:tcW w:w="1401" w:type="dxa"/>
            <w:vAlign w:val="center"/>
            <w:textDirection w:val="lrTb"/>
            <w:noWrap/>
          </w:tcPr>
          <w:p>
            <w:pPr>
              <w:pStyle w:val="1503"/>
              <w:jc w:val="left"/>
              <w:widowControl/>
              <w:rPr>
                <w:rFonts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tcPr>
          <w:p>
            <w:pPr>
              <w:pStyle w:val="1503"/>
              <w:jc w:val="center"/>
              <w:widowControl/>
              <w:rPr>
                <w:rFonts w:ascii="宋体" w:hAnsi="宋体" w:eastAsia="宋体" w:cs="宋体"/>
                <w:b/>
                <w:bCs/>
                <w:color w:val="auto"/>
                <w:sz w:val="44"/>
                <w:szCs w:val="44"/>
                <w:highlight w:val="none"/>
                <w:lang w:val="en-US" w:eastAsia="zh-CN" w:bidi="ar-SA"/>
              </w:rPr>
            </w:pPr>
            <w:r>
              <w:rPr>
                <w:rFonts w:hint="eastAsia" w:ascii="宋体" w:hAnsi="宋体" w:eastAsia="宋体" w:cs="宋体"/>
                <w:b/>
                <w:bCs/>
                <w:color w:val="auto"/>
                <w:sz w:val="44"/>
                <w:szCs w:val="44"/>
                <w:highlight w:val="none"/>
                <w:lang w:val="en-US" w:eastAsia="zh-CN" w:bidi="ar-SA"/>
              </w:rPr>
              <w:t xml:space="preserve">投标总价</w:t>
            </w:r>
            <w:r/>
          </w:p>
        </w:tc>
      </w:tr>
      <w:tr>
        <w:trPr>
          <w:trHeight w:val="2125"/>
        </w:trPr>
        <w:tc>
          <w:tcPr>
            <w:shd w:val="clear" w:color="auto" w:fill="ffffff"/>
            <w:tcW w:w="2371"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2"/>
            <w:shd w:val="clear" w:color="auto" w:fill="ffffff"/>
            <w:tcW w:w="2082" w:type="dxa"/>
            <w:vAlign w:val="bottom"/>
            <w:textDirection w:val="lrTb"/>
            <w:noWrap/>
          </w:tcPr>
          <w:p>
            <w:pPr>
              <w:pStyle w:val="1503"/>
              <w:jc w:val="righ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shd w:val="clear" w:color="auto" w:fill="ffffff"/>
            <w:tcW w:w="1277"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cantSplit/>
          <w:trHeight w:val="462"/>
        </w:trPr>
        <w:tc>
          <w:tcPr>
            <w:gridSpan w:val="3"/>
            <w:shd w:val="clear" w:color="auto" w:fill="ffffff"/>
            <w:tcW w:w="4453" w:type="dxa"/>
            <w:vAlign w:val="bottom"/>
            <w:vMerge w:val="restart"/>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tcPr>
          <w:p>
            <w:pPr>
              <w:pStyle w:val="1503"/>
              <w:jc w:val="center"/>
              <w:widowControl/>
              <w:rPr>
                <w:rFonts w:ascii="宋体" w:hAnsi="宋体" w:eastAsia="宋体" w:cs="宋体"/>
                <w:color w:val="auto"/>
                <w:sz w:val="20"/>
                <w:szCs w:val="22"/>
                <w:highlight w:val="none"/>
                <w:lang w:val="en-US" w:eastAsia="zh-CN" w:bidi="ar-SA"/>
              </w:rPr>
            </w:pPr>
            <w:r>
              <w:rPr>
                <w:rFonts w:hint="eastAsia" w:ascii="宋体" w:hAnsi="宋体" w:eastAsia="宋体" w:cs="宋体"/>
                <w:color w:val="auto"/>
                <w:sz w:val="20"/>
                <w:szCs w:val="22"/>
                <w:highlight w:val="none"/>
                <w:lang w:val="en-US" w:eastAsia="zh-CN" w:bidi="ar-SA"/>
              </w:rPr>
              <w:t xml:space="preserve">(单位盖章)</w:t>
            </w:r>
            <w:r/>
          </w:p>
        </w:tc>
        <w:tc>
          <w:tcPr>
            <w:shd w:val="clear" w:color="auto" w:fill="ffffff"/>
            <w:tcW w:w="1277" w:type="dxa"/>
            <w:vAlign w:val="center"/>
            <w:vMerge w:val="restart"/>
            <w:textDirection w:val="lrTb"/>
            <w:noWrap/>
          </w:tcPr>
          <w:p>
            <w:pPr>
              <w:pStyle w:val="1503"/>
              <w:jc w:val="center"/>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　</w:t>
            </w:r>
            <w:r/>
          </w:p>
        </w:tc>
      </w:tr>
      <w:tr>
        <w:trPr>
          <w:cantSplit/>
          <w:trHeight w:val="2955"/>
        </w:trPr>
        <w:tc>
          <w:tcPr>
            <w:gridSpan w:val="3"/>
            <w:shd w:val="clear" w:color="auto" w:fill="auto"/>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ascii="宋体" w:hAnsi="宋体" w:eastAsia="宋体" w:cs="宋体"/>
                <w:color w:val="auto"/>
                <w:sz w:val="24"/>
                <w:szCs w:val="22"/>
                <w:highlight w:val="none"/>
                <w:lang w:val="en-US" w:eastAsia="zh-CN" w:bidi="ar-SA"/>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tcPr>
          <w:p>
            <w:pPr>
              <w:pStyle w:val="1503"/>
              <w:jc w:val="left"/>
              <w:widowControl/>
              <w:rPr>
                <w:rFonts w:ascii="宋体" w:hAnsi="宋体" w:eastAsia="宋体" w:cs="宋体"/>
                <w:color w:val="auto"/>
                <w:sz w:val="18"/>
                <w:szCs w:val="18"/>
                <w:highlight w:val="none"/>
                <w:lang w:val="en-US" w:eastAsia="zh-CN" w:bidi="ar-SA"/>
              </w:rPr>
            </w:pPr>
            <w:r>
              <w:rPr>
                <w:rFonts w:ascii="宋体" w:hAnsi="宋体" w:eastAsia="宋体" w:cs="宋体"/>
                <w:color w:val="auto"/>
                <w:sz w:val="18"/>
                <w:szCs w:val="18"/>
                <w:highlight w:val="none"/>
                <w:lang w:val="en-US" w:eastAsia="zh-CN" w:bidi="ar-SA"/>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tcPr>
          <w:p>
            <w:pPr>
              <w:pStyle w:val="1503"/>
              <w:jc w:val="left"/>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tcPr>
          <w:p>
            <w:pPr>
              <w:pStyle w:val="1503"/>
              <w:jc w:val="center"/>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tcPr>
          <w:p>
            <w:pPr>
              <w:pStyle w:val="1503"/>
              <w:jc w:val="right"/>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封—3</w:t>
            </w:r>
            <w:r/>
          </w:p>
        </w:tc>
      </w:tr>
    </w:tbl>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tbl>
      <w:tblPr>
        <w:tblStyle w:val="868"/>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tcPr>
          <w:p>
            <w:pPr>
              <w:pStyle w:val="1503"/>
              <w:jc w:val="center"/>
              <w:widowControl/>
              <w:rPr>
                <w:rFonts w:ascii="宋体" w:hAnsi="宋体" w:eastAsia="宋体" w:cs="宋体"/>
                <w:b/>
                <w:bCs/>
                <w:color w:val="auto"/>
                <w:sz w:val="36"/>
                <w:szCs w:val="36"/>
                <w:highlight w:val="none"/>
                <w:lang w:val="en-US" w:eastAsia="zh-CN" w:bidi="ar-SA"/>
              </w:rPr>
            </w:pPr>
            <w:r>
              <w:rPr>
                <w:rFonts w:hint="eastAsia" w:ascii="宋体" w:hAnsi="宋体" w:eastAsia="宋体" w:cs="宋体"/>
                <w:b/>
                <w:bCs/>
                <w:color w:val="auto"/>
                <w:sz w:val="36"/>
                <w:szCs w:val="36"/>
                <w:highlight w:val="none"/>
                <w:lang w:val="en-US" w:eastAsia="zh-CN" w:bidi="ar-SA"/>
              </w:rPr>
              <w:t xml:space="preserve">投  标  总  价</w:t>
            </w:r>
            <w:r/>
          </w:p>
        </w:tc>
      </w:tr>
      <w:tr>
        <w:trPr>
          <w:trHeight w:val="1091"/>
        </w:trPr>
        <w:tc>
          <w:tcPr>
            <w:gridSpan w:val="2"/>
            <w:shd w:val="clear" w:color="auto" w:fill="ffffff"/>
            <w:tcW w:w="2699"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trHeight w:val="1091"/>
        </w:trPr>
        <w:tc>
          <w:tcPr>
            <w:gridSpan w:val="2"/>
            <w:shd w:val="clear" w:color="auto" w:fill="ffffff"/>
            <w:tcW w:w="2699"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trHeight w:val="1091"/>
        </w:trPr>
        <w:tc>
          <w:tcPr>
            <w:gridSpan w:val="2"/>
            <w:shd w:val="clear" w:color="auto" w:fill="ffffff"/>
            <w:tcW w:w="2699"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        （大写）：</w:t>
            </w:r>
            <w:r/>
          </w:p>
        </w:tc>
      </w:tr>
      <w:tr>
        <w:trPr>
          <w:trHeight w:val="1091"/>
        </w:trPr>
        <w:tc>
          <w:tcPr>
            <w:shd w:val="clear" w:color="auto" w:fill="ffffff"/>
            <w:tcW w:w="2035"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trHeight w:val="354"/>
        </w:trPr>
        <w:tc>
          <w:tcPr>
            <w:shd w:val="clear" w:color="auto" w:fill="ffffff"/>
            <w:tcW w:w="2035"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shd w:val="clear" w:color="auto" w:fill="ffffff"/>
            <w:tcW w:w="664"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1503"/>
              <w:jc w:val="center"/>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(单位盖章)</w:t>
            </w:r>
            <w:r/>
          </w:p>
        </w:tc>
      </w:tr>
      <w:tr>
        <w:trPr>
          <w:trHeight w:val="1431"/>
        </w:trPr>
        <w:tc>
          <w:tcPr>
            <w:shd w:val="clear" w:color="auto" w:fill="ffffff"/>
            <w:tcW w:w="2035"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法定代表人</w:t>
            </w:r>
            <w:r/>
          </w:p>
          <w:p>
            <w:pPr>
              <w:pStyle w:val="1503"/>
              <w:jc w:val="left"/>
              <w:widowControl/>
              <w:rPr>
                <w:rFonts w:ascii="宋体" w:hAnsi="宋体" w:eastAsia="宋体" w:cs="宋体"/>
                <w:b/>
                <w:bCs/>
                <w:color w:val="auto"/>
                <w:sz w:val="24"/>
                <w:szCs w:val="22"/>
                <w:highlight w:val="none"/>
                <w:lang w:val="en-US" w:eastAsia="zh-CN" w:bidi="ar-SA"/>
              </w:rPr>
            </w:pPr>
            <w:r>
              <w:rPr>
                <w:rFonts w:ascii="宋体" w:hAnsi="宋体" w:eastAsia="宋体" w:cs="宋体"/>
                <w:b/>
                <w:bCs/>
                <w:color w:val="auto"/>
                <w:sz w:val="24"/>
                <w:szCs w:val="22"/>
                <w:highlight w:val="none"/>
                <w:lang w:val="en-US" w:eastAsia="zh-CN" w:bidi="ar-SA"/>
              </w:rPr>
            </w:r>
            <w:r/>
          </w:p>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trHeight w:val="354"/>
        </w:trPr>
        <w:tc>
          <w:tcPr>
            <w:gridSpan w:val="2"/>
            <w:shd w:val="clear" w:color="auto" w:fill="ffffff"/>
            <w:tcW w:w="2699"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1503"/>
              <w:jc w:val="center"/>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(签字或盖章)</w:t>
            </w:r>
            <w:r/>
          </w:p>
        </w:tc>
      </w:tr>
      <w:tr>
        <w:trPr>
          <w:trHeight w:val="1431"/>
        </w:trPr>
        <w:tc>
          <w:tcPr>
            <w:shd w:val="clear" w:color="auto" w:fill="ffffff"/>
            <w:tcW w:w="2035"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r>
      <w:tr>
        <w:trPr>
          <w:trHeight w:val="368"/>
        </w:trPr>
        <w:tc>
          <w:tcPr>
            <w:gridSpan w:val="2"/>
            <w:shd w:val="clear" w:color="auto" w:fill="ffffff"/>
            <w:tcW w:w="2699"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tcPr>
          <w:p>
            <w:pPr>
              <w:pStyle w:val="1503"/>
              <w:jc w:val="center"/>
              <w:widowControl/>
              <w:rPr>
                <w:rFonts w:ascii="宋体" w:hAnsi="宋体" w:eastAsia="宋体" w:cs="宋体"/>
                <w:color w:val="auto"/>
                <w:sz w:val="18"/>
                <w:szCs w:val="18"/>
                <w:highlight w:val="none"/>
                <w:lang w:val="en-US" w:eastAsia="zh-CN" w:bidi="ar-SA"/>
              </w:rPr>
            </w:pPr>
            <w:r>
              <w:rPr>
                <w:rFonts w:ascii="宋体" w:hAnsi="宋体" w:eastAsia="宋体" w:cs="宋体"/>
                <w:color w:val="auto"/>
                <w:sz w:val="18"/>
                <w:szCs w:val="18"/>
                <w:highlight w:val="none"/>
                <w:lang w:val="en-US" w:eastAsia="zh-CN" w:bidi="ar-SA"/>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tcPr>
          <w:p>
            <w:pPr>
              <w:pStyle w:val="1503"/>
              <w:jc w:val="left"/>
              <w:widowControl/>
              <w:rPr>
                <w:rFonts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tcPr>
          <w:p>
            <w:pPr>
              <w:pStyle w:val="1503"/>
              <w:jc w:val="left"/>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tcPr>
          <w:p>
            <w:pPr>
              <w:pStyle w:val="1503"/>
              <w:jc w:val="center"/>
              <w:widowControl/>
              <w:rPr>
                <w:rFonts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tcPr>
          <w:p>
            <w:pPr>
              <w:pStyle w:val="1503"/>
              <w:jc w:val="left"/>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tcPr>
          <w:p>
            <w:pPr>
              <w:pStyle w:val="1503"/>
              <w:jc w:val="center"/>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tcPr>
          <w:p>
            <w:pPr>
              <w:pStyle w:val="1503"/>
              <w:jc w:val="right"/>
              <w:widowControl/>
              <w:rPr>
                <w:rFonts w:ascii="宋体" w:hAnsi="宋体" w:eastAsia="宋体" w:cs="宋体"/>
                <w:color w:val="auto"/>
                <w:sz w:val="18"/>
                <w:szCs w:val="18"/>
                <w:highlight w:val="none"/>
                <w:lang w:val="en-US" w:eastAsia="zh-CN" w:bidi="ar-SA"/>
              </w:rPr>
            </w:pPr>
            <w:r>
              <w:rPr>
                <w:rFonts w:hint="eastAsia" w:ascii="宋体" w:hAnsi="宋体" w:eastAsia="宋体" w:cs="宋体"/>
                <w:color w:val="auto"/>
                <w:sz w:val="18"/>
                <w:szCs w:val="18"/>
                <w:highlight w:val="none"/>
                <w:lang w:val="en-US" w:eastAsia="zh-CN" w:bidi="ar-SA"/>
              </w:rPr>
              <w:t xml:space="preserve">扉—3</w:t>
            </w:r>
            <w:bookmarkEnd w:id="209"/>
            <w:r/>
            <w:bookmarkEnd w:id="210"/>
            <w:r/>
            <w:bookmarkEnd w:id="232"/>
            <w:r/>
            <w:r/>
          </w:p>
        </w:tc>
      </w:tr>
    </w:tbl>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keepLines/>
        <w:keepNext/>
        <w:spacing w:before="145" w:after="145" w:line="360" w:lineRule="auto"/>
        <w:rPr>
          <w:rFonts w:ascii="Times New Roman" w:hAnsi="Times New Roman"/>
          <w:b/>
          <w:bCs/>
          <w:color w:val="auto"/>
          <w:sz w:val="32"/>
          <w:szCs w:val="32"/>
          <w:highlight w:val="none"/>
        </w:rPr>
        <w:outlineLvl w:val="2"/>
      </w:pPr>
      <w:r/>
      <w:bookmarkStart w:id="240" w:name="_Toc169207405"/>
      <w:r>
        <w:rPr>
          <w:rFonts w:hint="eastAsia" w:ascii="Times New Roman" w:hAnsi="Times New Roman"/>
          <w:b/>
          <w:bCs/>
          <w:color w:val="auto"/>
          <w:sz w:val="32"/>
          <w:szCs w:val="32"/>
          <w:highlight w:val="none"/>
        </w:rPr>
        <w:t xml:space="preserve">七、</w:t>
      </w:r>
      <w:r>
        <w:rPr>
          <w:rFonts w:ascii="Times New Roman" w:hAnsi="Times New Roman"/>
          <w:b/>
          <w:bCs/>
          <w:color w:val="auto"/>
          <w:sz w:val="32"/>
          <w:szCs w:val="32"/>
          <w:highlight w:val="none"/>
        </w:rPr>
        <w:t xml:space="preserve">项目实施方案</w:t>
      </w:r>
      <w:bookmarkEnd w:id="240"/>
      <w:r/>
      <w:r/>
    </w:p>
    <w:p>
      <w:pPr>
        <w:rPr>
          <w:rFonts w:ascii="Times New Roman" w:hAnsi="Times New Roman"/>
          <w:b/>
          <w:bCs/>
          <w:color w:val="auto"/>
          <w:sz w:val="32"/>
          <w:szCs w:val="32"/>
          <w:highlight w:val="none"/>
        </w:rPr>
      </w:pPr>
      <w:r>
        <w:rPr>
          <w:rFonts w:ascii="Times New Roman" w:hAnsi="Times New Roman"/>
          <w:b/>
          <w:bCs/>
          <w:color w:val="auto"/>
          <w:sz w:val="32"/>
          <w:szCs w:val="32"/>
          <w:highlight w:val="none"/>
        </w:rPr>
        <w:br w:type="page" w:clear="all"/>
      </w:r>
      <w:r/>
    </w:p>
    <w:p>
      <w:pPr>
        <w:keepLines/>
        <w:keepNext/>
        <w:spacing w:before="145" w:after="145" w:line="360" w:lineRule="auto"/>
        <w:rPr>
          <w:rFonts w:ascii="Times New Roman" w:hAnsi="Times New Roman"/>
          <w:b/>
          <w:bCs/>
          <w:color w:val="auto"/>
          <w:sz w:val="32"/>
          <w:szCs w:val="32"/>
          <w:highlight w:val="none"/>
        </w:rPr>
        <w:outlineLvl w:val="2"/>
      </w:pPr>
      <w:r/>
      <w:bookmarkStart w:id="241" w:name="_Toc169207406"/>
      <w:r>
        <w:rPr>
          <w:rFonts w:hint="eastAsia" w:ascii="Times New Roman" w:hAnsi="Times New Roman"/>
          <w:b/>
          <w:bCs/>
          <w:color w:val="auto"/>
          <w:sz w:val="32"/>
          <w:szCs w:val="32"/>
          <w:highlight w:val="none"/>
        </w:rPr>
        <w:t xml:space="preserve">八、</w:t>
      </w:r>
      <w:r>
        <w:rPr>
          <w:rFonts w:ascii="Times New Roman" w:hAnsi="Times New Roman"/>
          <w:b/>
          <w:bCs/>
          <w:color w:val="auto"/>
          <w:sz w:val="32"/>
          <w:szCs w:val="32"/>
          <w:highlight w:val="none"/>
        </w:rPr>
        <w:t xml:space="preserve">项目组人员</w:t>
      </w:r>
      <w:bookmarkEnd w:id="241"/>
      <w:r/>
      <w:r/>
    </w:p>
    <w:p>
      <w:pPr>
        <w:pStyle w:val="1193"/>
        <w:jc w:val="center"/>
        <w:rPr>
          <w:rFonts w:ascii="宋体"/>
          <w:b/>
          <w:color w:val="auto"/>
          <w:sz w:val="30"/>
          <w:szCs w:val="30"/>
          <w:highlight w:val="none"/>
        </w:rPr>
      </w:pPr>
      <w:r>
        <w:rPr>
          <w:rFonts w:hint="eastAsia" w:ascii="宋体" w:cs="宋体"/>
          <w:b/>
          <w:color w:val="auto"/>
          <w:sz w:val="30"/>
          <w:szCs w:val="30"/>
          <w:highlight w:val="none"/>
        </w:rPr>
        <w:t xml:space="preserve">拟选派项目负责人简历表</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姓  名</w:t>
            </w:r>
            <w:r/>
          </w:p>
        </w:tc>
        <w:tc>
          <w:tcPr>
            <w:tcW w:w="1049"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gridSpan w:val="2"/>
            <w:tcW w:w="901"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年 龄</w:t>
            </w:r>
            <w:r/>
          </w:p>
        </w:tc>
        <w:tc>
          <w:tcPr>
            <w:tcW w:w="768"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gridSpan w:val="3"/>
            <w:tcW w:w="2337"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学历</w:t>
            </w:r>
            <w:r/>
          </w:p>
        </w:tc>
        <w:tc>
          <w:tcPr>
            <w:gridSpan w:val="2"/>
            <w:tcW w:w="1862"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jc w:val="center"/>
          <w:trHeight w:val="1005"/>
        </w:trPr>
        <w:tc>
          <w:tcPr>
            <w:gridSpan w:val="2"/>
            <w:tcW w:w="1966"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毕业学校</w:t>
            </w:r>
            <w:r/>
          </w:p>
        </w:tc>
        <w:tc>
          <w:tcPr>
            <w:gridSpan w:val="9"/>
            <w:tcW w:w="6917"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年毕业于  学校专业</w:t>
            </w:r>
            <w:r/>
          </w:p>
        </w:tc>
      </w:tr>
      <w:tr>
        <w:trPr>
          <w:jc w:val="center"/>
          <w:trHeight w:val="1116"/>
        </w:trPr>
        <w:tc>
          <w:tcPr>
            <w:gridSpan w:val="2"/>
            <w:tcW w:w="1966" w:type="dxa"/>
            <w:vAlign w:val="center"/>
            <w:textDirection w:val="lrTb"/>
            <w:noWrap/>
          </w:tcPr>
          <w:p>
            <w:pPr>
              <w:pStyle w:val="1539"/>
              <w:jc w:val="both"/>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专业技术职称</w:t>
            </w:r>
            <w:r/>
          </w:p>
        </w:tc>
        <w:tc>
          <w:tcPr>
            <w:gridSpan w:val="4"/>
            <w:tcW w:w="2718" w:type="dxa"/>
            <w:vAlign w:val="center"/>
            <w:textDirection w:val="lrTb"/>
            <w:noWrap/>
          </w:tcPr>
          <w:p>
            <w:pPr>
              <w:pStyle w:val="1539"/>
              <w:jc w:val="both"/>
              <w:spacing w:line="44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gridSpan w:val="2"/>
            <w:tcW w:w="1984" w:type="dxa"/>
            <w:vAlign w:val="center"/>
            <w:textDirection w:val="lrTb"/>
            <w:noWrap/>
          </w:tcPr>
          <w:p>
            <w:pPr>
              <w:pStyle w:val="1539"/>
              <w:jc w:val="both"/>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执业资格证书及注册编号</w:t>
            </w:r>
            <w:r/>
          </w:p>
        </w:tc>
        <w:tc>
          <w:tcPr>
            <w:gridSpan w:val="3"/>
            <w:tcW w:w="2215" w:type="dxa"/>
            <w:vAlign w:val="center"/>
            <w:textDirection w:val="lrTb"/>
            <w:noWrap/>
          </w:tcPr>
          <w:p>
            <w:pPr>
              <w:pStyle w:val="1539"/>
              <w:jc w:val="both"/>
              <w:spacing w:line="44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jc w:val="center"/>
          <w:trHeight w:val="683"/>
        </w:trPr>
        <w:tc>
          <w:tcPr>
            <w:gridSpan w:val="11"/>
            <w:tcW w:w="8883"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主要主持的类似项目</w:t>
            </w:r>
            <w:r/>
          </w:p>
        </w:tc>
      </w:tr>
      <w:tr>
        <w:trPr>
          <w:jc w:val="center"/>
          <w:trHeight w:val="683"/>
        </w:trPr>
        <w:tc>
          <w:tcPr>
            <w:tcW w:w="856"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序号</w:t>
            </w:r>
            <w:r/>
          </w:p>
        </w:tc>
        <w:tc>
          <w:tcPr>
            <w:gridSpan w:val="3"/>
            <w:tcW w:w="2835"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项目名称</w:t>
            </w:r>
            <w:r/>
          </w:p>
        </w:tc>
        <w:tc>
          <w:tcPr>
            <w:gridSpan w:val="3"/>
            <w:tcW w:w="1948"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合同甲方</w:t>
            </w:r>
            <w:r/>
          </w:p>
        </w:tc>
        <w:tc>
          <w:tcPr>
            <w:gridSpan w:val="3"/>
            <w:tcW w:w="1596"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获得的</w:t>
            </w:r>
            <w:r/>
          </w:p>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奖项</w:t>
            </w:r>
            <w:r/>
          </w:p>
        </w:tc>
        <w:tc>
          <w:tcPr>
            <w:tcW w:w="1648" w:type="dxa"/>
            <w:vAlign w:val="center"/>
            <w:textDirection w:val="lrTb"/>
            <w:noWrap/>
          </w:tcPr>
          <w:p>
            <w:pPr>
              <w:pStyle w:val="1539"/>
              <w:jc w:val="center"/>
              <w:spacing w:line="44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备注</w:t>
            </w:r>
            <w:r/>
          </w:p>
        </w:tc>
      </w:tr>
      <w:tr>
        <w:trPr>
          <w:jc w:val="center"/>
          <w:trHeight w:val="713"/>
        </w:trPr>
        <w:tc>
          <w:tcPr>
            <w:tcW w:w="856" w:type="dxa"/>
            <w:vAlign w:val="top"/>
            <w:textDirection w:val="lrTb"/>
            <w:noWrap/>
          </w:tcPr>
          <w:p>
            <w:pPr>
              <w:pStyle w:val="1539"/>
              <w:jc w:val="center"/>
              <w:spacing w:line="36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1</w:t>
            </w:r>
            <w:r/>
          </w:p>
        </w:tc>
        <w:tc>
          <w:tcPr>
            <w:gridSpan w:val="3"/>
            <w:tcW w:w="2835"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3"/>
            <w:tcW w:w="1948"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3"/>
            <w:tcW w:w="1596"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648"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713"/>
        </w:trPr>
        <w:tc>
          <w:tcPr>
            <w:tcW w:w="856" w:type="dxa"/>
            <w:vAlign w:val="top"/>
            <w:textDirection w:val="lrTb"/>
            <w:noWrap/>
          </w:tcPr>
          <w:p>
            <w:pPr>
              <w:pStyle w:val="1539"/>
              <w:jc w:val="center"/>
              <w:spacing w:line="36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2</w:t>
            </w:r>
            <w:r/>
          </w:p>
        </w:tc>
        <w:tc>
          <w:tcPr>
            <w:gridSpan w:val="3"/>
            <w:tcW w:w="2835"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3"/>
            <w:tcW w:w="1948"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3"/>
            <w:tcW w:w="1596"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648"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r>
        <w:trPr>
          <w:jc w:val="center"/>
          <w:trHeight w:val="713"/>
        </w:trPr>
        <w:tc>
          <w:tcPr>
            <w:tcW w:w="856" w:type="dxa"/>
            <w:vAlign w:val="top"/>
            <w:textDirection w:val="lrTb"/>
            <w:noWrap/>
          </w:tcPr>
          <w:p>
            <w:pPr>
              <w:pStyle w:val="1539"/>
              <w:jc w:val="center"/>
              <w:spacing w:line="360" w:lineRule="exact"/>
              <w:widowControl w:val="off"/>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3</w:t>
            </w:r>
            <w:r/>
          </w:p>
        </w:tc>
        <w:tc>
          <w:tcPr>
            <w:gridSpan w:val="3"/>
            <w:tcW w:w="2835"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3"/>
            <w:tcW w:w="1948"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gridSpan w:val="3"/>
            <w:tcW w:w="1596"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c>
          <w:tcPr>
            <w:tcW w:w="1648" w:type="dxa"/>
            <w:vAlign w:val="top"/>
            <w:textDirection w:val="lrTb"/>
            <w:noWrap/>
          </w:tcPr>
          <w:p>
            <w:pPr>
              <w:pStyle w:val="1539"/>
              <w:jc w:val="both"/>
              <w:spacing w:line="360" w:lineRule="exact"/>
              <w:widowControl w:val="off"/>
              <w:rPr>
                <w:rFonts w:ascii="Times New Roman" w:hAnsi="Times New Roman" w:eastAsia="宋体" w:cs="Times New Roman"/>
                <w:color w:val="auto"/>
                <w:sz w:val="21"/>
                <w:szCs w:val="21"/>
                <w:highlight w:val="none"/>
                <w:lang w:val="en-US" w:eastAsia="zh-CN" w:bidi="ar-SA"/>
              </w:rPr>
            </w:pPr>
            <w:r>
              <w:rPr>
                <w:rFonts w:ascii="Times New Roman" w:hAnsi="Times New Roman" w:eastAsia="宋体" w:cs="Times New Roman"/>
                <w:color w:val="auto"/>
                <w:sz w:val="21"/>
                <w:szCs w:val="21"/>
                <w:highlight w:val="none"/>
                <w:lang w:val="en-US" w:eastAsia="zh-CN" w:bidi="ar-SA"/>
              </w:rPr>
            </w:r>
            <w:r/>
          </w:p>
        </w:tc>
      </w:tr>
    </w:tbl>
    <w:p>
      <w:pPr>
        <w:pStyle w:val="1518"/>
        <w:ind w:firstLine="396"/>
        <w:spacing w:line="460" w:lineRule="exact"/>
        <w:rPr>
          <w:rFonts w:ascii="仿宋_GB2312" w:eastAsia="仿宋_GB2312"/>
          <w:color w:val="auto"/>
          <w:sz w:val="24"/>
          <w:szCs w:val="22"/>
          <w:highlight w:val="none"/>
        </w:rPr>
      </w:pPr>
      <w:r>
        <w:rPr>
          <w:rFonts w:hint="eastAsia" w:ascii="仿宋_GB2312" w:eastAsia="仿宋_GB2312"/>
          <w:color w:val="auto"/>
          <w:sz w:val="24"/>
          <w:szCs w:val="22"/>
          <w:highlight w:val="none"/>
        </w:rPr>
        <w:t xml:space="preserve">注：响应文件中需提供项目负责人注册建造师证书、安全生产考核合格证及社保证明。</w:t>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cs="宋体"/>
          <w:b/>
          <w:color w:val="auto"/>
          <w:sz w:val="32"/>
          <w:szCs w:val="32"/>
          <w:highlight w:val="none"/>
        </w:rPr>
      </w:pPr>
      <w:r>
        <w:rPr>
          <w:rFonts w:ascii="宋体" w:cs="宋体"/>
          <w:b/>
          <w:color w:val="auto"/>
          <w:sz w:val="32"/>
          <w:szCs w:val="32"/>
          <w:highlight w:val="none"/>
        </w:rPr>
      </w:r>
      <w:r/>
    </w:p>
    <w:p>
      <w:pPr>
        <w:pStyle w:val="1540"/>
        <w:jc w:val="center"/>
        <w:spacing w:line="600" w:lineRule="exact"/>
        <w:rPr>
          <w:rFonts w:ascii="宋体"/>
          <w:b/>
          <w:bCs/>
          <w:color w:val="auto"/>
          <w:sz w:val="32"/>
          <w:szCs w:val="32"/>
          <w:highlight w:val="none"/>
        </w:rPr>
      </w:pPr>
      <w:r>
        <w:rPr>
          <w:rFonts w:hint="eastAsia" w:ascii="宋体" w:cs="宋体"/>
          <w:b/>
          <w:color w:val="auto"/>
          <w:sz w:val="32"/>
          <w:szCs w:val="32"/>
          <w:highlight w:val="none"/>
        </w:rPr>
        <w:t xml:space="preserve">项目组其他成员配备一览表</w:t>
      </w:r>
      <w:r/>
    </w:p>
    <w:tbl>
      <w:tblPr>
        <w:tblStyle w:val="86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本项目</w:t>
            </w:r>
            <w:r/>
          </w:p>
          <w:p>
            <w:pPr>
              <w:pStyle w:val="1540"/>
              <w:jc w:val="center"/>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both"/>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before="100" w:beforeAutospacing="1" w:line="560" w:lineRule="exact"/>
              <w:widowControl/>
              <w:rPr>
                <w:rFonts w:ascii="仿宋_GB2312" w:hAnsi="Times New Roman" w:eastAsia="仿宋_GB2312" w:cs="Times New Roman"/>
                <w:color w:val="auto"/>
                <w:sz w:val="28"/>
                <w:szCs w:val="28"/>
                <w:highlight w:val="none"/>
                <w:lang w:val="en-US" w:eastAsia="zh-CN" w:bidi="ar-SA"/>
              </w:rPr>
            </w:pPr>
            <w:r>
              <w:rPr>
                <w:rFonts w:hint="eastAsia" w:ascii="仿宋_GB2312" w:hAnsi="Times New Roman" w:eastAsia="仿宋_GB2312" w:cs="Times New Roman"/>
                <w:color w:val="auto"/>
                <w:sz w:val="28"/>
                <w:szCs w:val="28"/>
                <w:highlight w:val="none"/>
                <w:lang w:val="en-US" w:eastAsia="zh-CN" w:bidi="ar-SA"/>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tcPr>
          <w:p>
            <w:pPr>
              <w:pStyle w:val="1540"/>
              <w:jc w:val="center"/>
              <w:spacing w:line="560" w:lineRule="exact"/>
              <w:widowControl w:val="off"/>
              <w:rPr>
                <w:rFonts w:ascii="仿宋_GB2312" w:hAnsi="Times New Roman" w:eastAsia="仿宋_GB2312" w:cs="Times New Roman"/>
                <w:color w:val="auto"/>
                <w:sz w:val="28"/>
                <w:szCs w:val="28"/>
                <w:highlight w:val="none"/>
                <w:lang w:val="en-US" w:eastAsia="zh-CN" w:bidi="ar-SA"/>
              </w:rPr>
            </w:pPr>
            <w:r>
              <w:rPr>
                <w:rFonts w:ascii="仿宋_GB2312" w:hAnsi="Times New Roman" w:eastAsia="仿宋_GB2312" w:cs="Times New Roman"/>
                <w:color w:val="auto"/>
                <w:sz w:val="28"/>
                <w:szCs w:val="28"/>
                <w:highlight w:val="none"/>
                <w:lang w:val="en-US" w:eastAsia="zh-CN" w:bidi="ar-SA"/>
              </w:rPr>
            </w:r>
            <w:r/>
          </w:p>
        </w:tc>
      </w:tr>
    </w:tbl>
    <w:p>
      <w:pPr>
        <w:pStyle w:val="1132"/>
        <w:ind w:firstLine="398"/>
        <w:spacing w:line="460" w:lineRule="exact"/>
        <w:rPr>
          <w:rFonts w:ascii="Times New Roman" w:hAnsi="Times New Roman" w:eastAsia="仿宋_GB2312" w:cs="仿宋_GB2312"/>
          <w:color w:val="auto"/>
          <w:highlight w:val="none"/>
        </w:rPr>
      </w:pPr>
      <w:r>
        <w:rPr>
          <w:rFonts w:ascii="Times New Roman" w:hAnsi="Times New Roman" w:eastAsia="仿宋_GB2312" w:cs="仿宋_GB2312"/>
          <w:b/>
          <w:color w:val="auto"/>
          <w:highlight w:val="none"/>
        </w:rPr>
        <w:t xml:space="preserve">注：如供应商</w:t>
      </w:r>
      <w:r>
        <w:rPr>
          <w:rFonts w:hint="eastAsia" w:ascii="Times New Roman" w:hAnsi="Times New Roman" w:eastAsia="仿宋_GB2312" w:cs="仿宋_GB2312"/>
          <w:b/>
          <w:color w:val="auto"/>
          <w:highlight w:val="none"/>
        </w:rPr>
        <w:t xml:space="preserve">成交</w:t>
      </w:r>
      <w:r>
        <w:rPr>
          <w:rFonts w:ascii="Times New Roman" w:hAnsi="Times New Roman" w:eastAsia="仿宋_GB2312" w:cs="仿宋_GB2312"/>
          <w:b/>
          <w:color w:val="auto"/>
          <w:highlight w:val="none"/>
        </w:rPr>
        <w:t xml:space="preserve">，项目组成员必须按本表承诺人员操作，不得随意更换。按</w:t>
      </w:r>
      <w:r>
        <w:rPr>
          <w:rFonts w:hint="eastAsia" w:ascii="Times New Roman" w:hAnsi="Times New Roman" w:eastAsia="仿宋_GB2312" w:cs="仿宋_GB2312"/>
          <w:b/>
          <w:color w:val="auto"/>
          <w:highlight w:val="none"/>
        </w:rPr>
        <w:t xml:space="preserve">磋商</w:t>
      </w:r>
      <w:r>
        <w:rPr>
          <w:rFonts w:ascii="Times New Roman" w:hAnsi="Times New Roman" w:eastAsia="仿宋_GB2312" w:cs="仿宋_GB2312"/>
          <w:b/>
          <w:color w:val="auto"/>
          <w:highlight w:val="none"/>
        </w:rPr>
        <w:t xml:space="preserve">文件要求附相关人员证书。</w:t>
      </w:r>
      <w:r/>
    </w:p>
    <w:p>
      <w:pPr>
        <w:pStyle w:val="1132"/>
        <w:ind w:firstLine="280"/>
        <w:spacing w:line="500" w:lineRule="exact"/>
        <w:rPr>
          <w:rFonts w:ascii="Times New Roman" w:hAnsi="Times New Roman" w:eastAsia="仿宋_GB2312" w:cs="仿宋_GB2312"/>
          <w:color w:val="auto"/>
          <w:highlight w:val="none"/>
        </w:rPr>
      </w:pPr>
      <w:r>
        <w:rPr>
          <w:rFonts w:ascii="Times New Roman" w:hAnsi="Times New Roman" w:eastAsia="仿宋_GB2312" w:cs="仿宋_GB2312"/>
          <w:color w:val="auto"/>
          <w:highlight w:val="none"/>
        </w:rPr>
      </w:r>
      <w:r/>
    </w:p>
    <w:p>
      <w:pPr>
        <w:keepLines/>
        <w:keepNext/>
        <w:spacing w:before="145" w:after="145" w:line="360" w:lineRule="auto"/>
        <w:rPr>
          <w:rFonts w:ascii="Times New Roman" w:hAnsi="Times New Roman"/>
          <w:b/>
          <w:bCs/>
          <w:color w:val="auto"/>
          <w:sz w:val="32"/>
          <w:szCs w:val="32"/>
          <w:highlight w:val="none"/>
        </w:rPr>
        <w:outlineLvl w:val="2"/>
      </w:pPr>
      <w:r>
        <w:rPr>
          <w:rFonts w:ascii="Times New Roman" w:hAnsi="Times New Roman"/>
          <w:color w:val="auto"/>
          <w:highlight w:val="none"/>
        </w:rPr>
        <w:br w:type="page" w:clear="all"/>
      </w:r>
      <w:bookmarkStart w:id="242" w:name="_Toc11176"/>
      <w:r/>
      <w:bookmarkStart w:id="243" w:name="_Toc169207407"/>
      <w:r>
        <w:rPr>
          <w:rFonts w:hint="eastAsia" w:ascii="Times New Roman" w:hAnsi="Times New Roman"/>
          <w:b/>
          <w:bCs/>
          <w:color w:val="auto"/>
          <w:sz w:val="32"/>
          <w:szCs w:val="32"/>
          <w:highlight w:val="none"/>
        </w:rPr>
        <w:t xml:space="preserve">九、</w:t>
      </w:r>
      <w:bookmarkEnd w:id="242"/>
      <w:r>
        <w:rPr>
          <w:rFonts w:hint="eastAsia" w:ascii="Times New Roman" w:hAnsi="Times New Roman"/>
          <w:b/>
          <w:bCs/>
          <w:color w:val="auto"/>
          <w:sz w:val="32"/>
          <w:szCs w:val="32"/>
          <w:highlight w:val="none"/>
        </w:rPr>
        <w:t xml:space="preserve">企业业绩</w:t>
      </w:r>
      <w:bookmarkEnd w:id="243"/>
      <w:r/>
      <w:r/>
    </w:p>
    <w:p>
      <w:pPr>
        <w:pStyle w:val="1197"/>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类似项目业绩一览表</w:t>
      </w:r>
      <w:r/>
    </w:p>
    <w:tbl>
      <w:tblPr>
        <w:tblStyle w:val="86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198"/>
              <w:jc w:val="center"/>
              <w:spacing w:line="560" w:lineRule="exact"/>
              <w:widowControl w:val="off"/>
              <w:rPr>
                <w:rFonts w:ascii="Times New Roman" w:hAnsi="Times New Roman" w:eastAsia="仿宋_GB2312" w:cs="Times New Roman"/>
                <w:color w:val="auto"/>
                <w:sz w:val="28"/>
                <w:szCs w:val="28"/>
                <w:highlight w:val="none"/>
                <w:lang w:val="en-US" w:eastAsia="zh-CN" w:bidi="ar-SA"/>
              </w:rPr>
            </w:pPr>
            <w:r>
              <w:rPr>
                <w:rFonts w:hint="eastAsia" w:ascii="Times New Roman" w:hAnsi="Times New Roman" w:eastAsia="仿宋_GB2312" w:cs="Times New Roman"/>
                <w:color w:val="auto"/>
                <w:sz w:val="28"/>
                <w:szCs w:val="28"/>
                <w:highlight w:val="none"/>
                <w:lang w:val="en-US" w:eastAsia="zh-CN" w:bidi="ar-SA"/>
              </w:rPr>
              <w:t xml:space="preserve">序号</w:t>
            </w:r>
            <w:r/>
          </w:p>
        </w:tc>
        <w:tc>
          <w:tcPr>
            <w:tcW w:w="3827"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8"/>
                <w:highlight w:val="none"/>
                <w:lang w:val="en-US" w:eastAsia="zh-CN" w:bidi="ar-SA"/>
              </w:rPr>
            </w:pPr>
            <w:r>
              <w:rPr>
                <w:rFonts w:hint="eastAsia" w:ascii="Times New Roman" w:hAnsi="Times New Roman" w:eastAsia="仿宋_GB2312" w:cs="Times New Roman"/>
                <w:color w:val="auto"/>
                <w:sz w:val="28"/>
                <w:szCs w:val="28"/>
                <w:highlight w:val="none"/>
                <w:lang w:val="en-US" w:eastAsia="zh-CN" w:bidi="ar-SA"/>
              </w:rPr>
              <w:t xml:space="preserve">项目名称</w:t>
            </w:r>
            <w:r/>
          </w:p>
        </w:tc>
        <w:tc>
          <w:tcPr>
            <w:tcW w:w="2433"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8"/>
                <w:highlight w:val="none"/>
                <w:lang w:val="en-US" w:eastAsia="zh-CN" w:bidi="ar-SA"/>
              </w:rPr>
            </w:pPr>
            <w:r>
              <w:rPr>
                <w:rFonts w:hint="eastAsia" w:ascii="Times New Roman" w:hAnsi="Times New Roman" w:eastAsia="仿宋_GB2312" w:cs="Times New Roman"/>
                <w:color w:val="auto"/>
                <w:sz w:val="28"/>
                <w:szCs w:val="28"/>
                <w:highlight w:val="none"/>
                <w:lang w:val="en-US" w:eastAsia="zh-CN" w:bidi="ar-SA"/>
              </w:rPr>
              <w:t xml:space="preserve">采购单位</w:t>
            </w:r>
            <w:r/>
          </w:p>
        </w:tc>
        <w:tc>
          <w:tcPr>
            <w:tcW w:w="1395"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8"/>
                <w:highlight w:val="none"/>
                <w:lang w:val="en-US" w:eastAsia="zh-CN" w:bidi="ar-SA"/>
              </w:rPr>
            </w:pPr>
            <w:r>
              <w:rPr>
                <w:rFonts w:hint="eastAsia" w:ascii="Times New Roman" w:hAnsi="Times New Roman" w:eastAsia="仿宋_GB2312" w:cs="Times New Roman"/>
                <w:color w:val="auto"/>
                <w:sz w:val="28"/>
                <w:szCs w:val="28"/>
                <w:highlight w:val="none"/>
                <w:lang w:val="en-US" w:eastAsia="zh-CN" w:bidi="ar-SA"/>
              </w:rPr>
              <w:t xml:space="preserve">合同金额</w:t>
            </w:r>
            <w:r/>
          </w:p>
        </w:tc>
      </w:tr>
      <w:tr>
        <w:trPr>
          <w:jc w:val="center"/>
          <w:trHeight w:val="1510"/>
        </w:trPr>
        <w:tc>
          <w:tcPr>
            <w:tcW w:w="1229" w:type="dxa"/>
            <w:vAlign w:val="top"/>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jc w:val="center"/>
          <w:trHeight w:val="1510"/>
        </w:trPr>
        <w:tc>
          <w:tcPr>
            <w:tcW w:w="1229" w:type="dxa"/>
            <w:vAlign w:val="top"/>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r>
        <w:trPr>
          <w:jc w:val="center"/>
          <w:trHeight w:val="1525"/>
        </w:trPr>
        <w:tc>
          <w:tcPr>
            <w:tcW w:w="1229" w:type="dxa"/>
            <w:vAlign w:val="top"/>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3827"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2433"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c>
          <w:tcPr>
            <w:tcW w:w="1395" w:type="dxa"/>
            <w:vAlign w:val="center"/>
            <w:textDirection w:val="lrTb"/>
            <w:noWrap/>
          </w:tcPr>
          <w:p>
            <w:pPr>
              <w:pStyle w:val="1198"/>
              <w:jc w:val="center"/>
              <w:spacing w:line="560" w:lineRule="exact"/>
              <w:widowControl w:val="off"/>
              <w:rPr>
                <w:rFonts w:ascii="Times New Roman" w:hAnsi="Times New Roman" w:eastAsia="仿宋_GB2312" w:cs="Times New Roman"/>
                <w:color w:val="auto"/>
                <w:sz w:val="28"/>
                <w:szCs w:val="24"/>
                <w:highlight w:val="none"/>
                <w:lang w:val="en-US" w:eastAsia="zh-CN" w:bidi="ar-SA"/>
              </w:rPr>
            </w:pPr>
            <w:r>
              <w:rPr>
                <w:rFonts w:ascii="Times New Roman" w:hAnsi="Times New Roman" w:eastAsia="仿宋_GB2312" w:cs="Times New Roman"/>
                <w:color w:val="auto"/>
                <w:sz w:val="28"/>
                <w:szCs w:val="24"/>
                <w:highlight w:val="none"/>
                <w:lang w:val="en-US" w:eastAsia="zh-CN" w:bidi="ar-SA"/>
              </w:rPr>
            </w:r>
            <w:r/>
          </w:p>
        </w:tc>
      </w:tr>
    </w:tbl>
    <w:p>
      <w:pPr>
        <w:pStyle w:val="1197"/>
        <w:rPr>
          <w:rFonts w:ascii="Times New Roman" w:hAnsi="Times New Roman"/>
          <w:color w:val="auto"/>
          <w:highlight w:val="none"/>
        </w:rPr>
      </w:pPr>
      <w:r>
        <w:rPr>
          <w:rFonts w:hint="eastAsia" w:ascii="Times New Roman" w:hAnsi="Times New Roman" w:eastAsia="仿宋_GB2312"/>
          <w:b/>
          <w:color w:val="auto"/>
          <w:sz w:val="24"/>
          <w:highlight w:val="none"/>
        </w:rPr>
        <w:t xml:space="preserve">注：请填写此表，并按要求上传业绩资料电子件。</w:t>
      </w:r>
      <w:r/>
    </w:p>
    <w:p>
      <w:pPr>
        <w:keepLines/>
        <w:keepNext/>
        <w:spacing w:before="145" w:after="145" w:line="360" w:lineRule="auto"/>
        <w:rPr>
          <w:rFonts w:ascii="Times New Roman" w:hAnsi="Times New Roman"/>
          <w:b/>
          <w:bCs/>
          <w:color w:val="auto"/>
          <w:sz w:val="32"/>
          <w:szCs w:val="32"/>
          <w:highlight w:val="none"/>
        </w:rPr>
        <w:outlineLvl w:val="2"/>
      </w:pPr>
      <w:r>
        <w:rPr>
          <w:rFonts w:hint="eastAsia" w:ascii="Times New Roman" w:hAnsi="Times New Roman" w:eastAsia="黑体"/>
          <w:b/>
          <w:color w:val="auto"/>
          <w:sz w:val="32"/>
          <w:szCs w:val="32"/>
          <w:highlight w:val="none"/>
        </w:rPr>
        <w:br w:type="page" w:clear="all"/>
      </w:r>
      <w:bookmarkStart w:id="244" w:name="_Toc169207408"/>
      <w:r/>
      <w:bookmarkStart w:id="245" w:name="_Toc28140"/>
      <w:r>
        <w:rPr>
          <w:rFonts w:hint="eastAsia" w:ascii="Times New Roman" w:hAnsi="Times New Roman"/>
          <w:b/>
          <w:bCs/>
          <w:color w:val="auto"/>
          <w:sz w:val="32"/>
          <w:szCs w:val="32"/>
          <w:highlight w:val="none"/>
        </w:rPr>
        <w:t xml:space="preserve">十</w:t>
      </w:r>
      <w:r>
        <w:rPr>
          <w:rFonts w:ascii="Times New Roman" w:hAnsi="Times New Roman"/>
          <w:b/>
          <w:bCs/>
          <w:color w:val="auto"/>
          <w:sz w:val="32"/>
          <w:szCs w:val="32"/>
          <w:highlight w:val="none"/>
        </w:rPr>
        <w:t xml:space="preserve">、</w:t>
      </w:r>
      <w:r>
        <w:rPr>
          <w:rFonts w:hint="eastAsia" w:ascii="Times New Roman" w:hAnsi="Times New Roman"/>
          <w:b/>
          <w:bCs/>
          <w:color w:val="auto"/>
          <w:sz w:val="32"/>
          <w:szCs w:val="32"/>
          <w:highlight w:val="none"/>
        </w:rPr>
        <w:t xml:space="preserve">磋商</w:t>
      </w:r>
      <w:r>
        <w:rPr>
          <w:rFonts w:ascii="Times New Roman" w:hAnsi="Times New Roman"/>
          <w:b/>
          <w:bCs/>
          <w:color w:val="auto"/>
          <w:sz w:val="32"/>
          <w:szCs w:val="32"/>
          <w:highlight w:val="none"/>
        </w:rPr>
        <w:t xml:space="preserve">所需其他材料</w:t>
      </w:r>
      <w:bookmarkEnd w:id="244"/>
      <w:r/>
      <w:bookmarkEnd w:id="245"/>
      <w:r/>
      <w:r/>
    </w:p>
    <w:p>
      <w:pPr>
        <w:pStyle w:val="1193"/>
        <w:ind w:firstLine="560"/>
        <w:spacing w:line="360" w:lineRule="auto"/>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 xml:space="preserve">请在此文档中增加磋商所需其他相关内容（包括资格要求、评分办法、采购需求中涉及的证件证明及其它投标人认为有必要提供的资料），如没有请将此空文档上传。</w:t>
      </w:r>
      <w:r/>
    </w:p>
    <w:p>
      <w:pPr>
        <w:rPr>
          <w:rFonts w:ascii="仿宋" w:hAnsi="仿宋" w:eastAsia="仿宋" w:cs="仿宋"/>
          <w:color w:val="auto"/>
          <w:highlight w:val="none"/>
        </w:rPr>
      </w:pPr>
      <w:r>
        <w:rPr>
          <w:rFonts w:hint="eastAsia" w:ascii="仿宋" w:hAnsi="仿宋" w:eastAsia="仿宋" w:cs="仿宋"/>
          <w:color w:val="auto"/>
          <w:highlight w:val="none"/>
        </w:rPr>
        <w:br w:type="page" w:clear="all"/>
      </w:r>
      <w:r/>
    </w:p>
    <w:p>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t xml:space="preserve">质疑函范本</w:t>
      </w:r>
      <w:r/>
    </w:p>
    <w:p>
      <w:pPr>
        <w:spacing w:before="290"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一、质疑供应商基本信息</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质疑供应商：</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地址：邮编：</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联系人：联系电话：</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授权代表：</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联系电话：</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地址：邮编：</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二、质疑项目基本情况</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质疑项目的名称：</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质疑项目的编号：包号：</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采购人名称：</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采购文件获取日期：</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三、质疑事项具体内容</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质疑事项1：</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事实依据：</w:t>
      </w:r>
      <w:r/>
    </w:p>
    <w:p>
      <w:pPr>
        <w:spacing w:line="360" w:lineRule="auto"/>
        <w:rPr>
          <w:rFonts w:ascii="Times New Roman" w:hAnsi="Times New Roman" w:cs="仿宋"/>
          <w:color w:val="auto"/>
          <w:sz w:val="24"/>
          <w:szCs w:val="24"/>
          <w:highlight w:val="none"/>
        </w:rPr>
      </w:pPr>
      <w:r>
        <w:rPr>
          <w:rFonts w:ascii="Times New Roman" w:hAnsi="Times New Roman" w:cs="仿宋"/>
          <w:color w:val="auto"/>
          <w:sz w:val="24"/>
          <w:szCs w:val="24"/>
          <w:highlight w:val="none"/>
        </w:rPr>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法律依据：</w:t>
      </w:r>
      <w:r/>
    </w:p>
    <w:p>
      <w:pPr>
        <w:spacing w:line="360" w:lineRule="auto"/>
        <w:rPr>
          <w:rFonts w:ascii="Times New Roman" w:hAnsi="Times New Roman" w:cs="仿宋"/>
          <w:color w:val="auto"/>
          <w:sz w:val="24"/>
          <w:szCs w:val="24"/>
          <w:highlight w:val="none"/>
          <w:u w:val="single"/>
        </w:rPr>
      </w:pPr>
      <w:r>
        <w:rPr>
          <w:rFonts w:ascii="Times New Roman" w:hAnsi="Times New Roman" w:cs="仿宋"/>
          <w:color w:val="auto"/>
          <w:sz w:val="24"/>
          <w:szCs w:val="24"/>
          <w:highlight w:val="none"/>
          <w:u w:val="single"/>
        </w:rPr>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质疑事项2</w:t>
      </w:r>
      <w:r/>
    </w:p>
    <w:p>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p>
    <w:p>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 xml:space="preserve">四、与质疑事项相关的质疑请求</w:t>
      </w:r>
      <w:r/>
    </w:p>
    <w:p>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 xml:space="preserve">请求：</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签字(签章)：                   公章：                      </w:t>
      </w:r>
      <w:r/>
    </w:p>
    <w:p>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w:t>
      </w:r>
      <w:r/>
    </w:p>
    <w:p>
      <w:pPr>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质疑函制作说明：</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1.供应商提出质疑时，应提交质疑函和必要的证明材料。</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5.质疑函的质疑请求应与质疑事项相关。</w:t>
      </w:r>
      <w:r/>
    </w:p>
    <w:p>
      <w:pPr>
        <w:ind w:firstLine="480"/>
        <w:jc w:val="left"/>
        <w:spacing w:line="400" w:lineRule="exact"/>
        <w:widowControl/>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420"/>
        <w:rPr>
          <w:rFonts w:ascii="Times New Roman" w:hAnsi="Times New Roman"/>
          <w:color w:val="auto"/>
          <w:sz w:val="24"/>
          <w:szCs w:val="24"/>
          <w:highlight w:val="none"/>
        </w:rPr>
      </w:pPr>
      <w:r>
        <w:rPr>
          <w:rFonts w:ascii="Times New Roman" w:hAnsi="Times New Roman"/>
          <w:color w:val="auto"/>
          <w:sz w:val="24"/>
          <w:szCs w:val="24"/>
          <w:highlight w:val="none"/>
        </w:rPr>
      </w:r>
      <w:r/>
    </w:p>
    <w:sectPr>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Helvetica-Light">
    <w:panose1 w:val="020B0503020202020204"/>
  </w:font>
  <w:font w:name="Helvetica">
    <w:panose1 w:val="020B0604020202020204"/>
  </w:font>
  <w:font w:name="Kingsoft Phonetic Plain">
    <w:panose1 w:val="020B0503020202020204"/>
  </w:font>
  <w:font w:name="Cambria">
    <w:panose1 w:val="02040503050406030204"/>
  </w:font>
  <w:font w:name="方正仿宋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楷体_GB2312">
    <w:panose1 w:val="02010609060101010101"/>
  </w:font>
  <w:font w:name="Segoe UI">
    <w:panose1 w:val="020B0502040204020203"/>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1"/>
      <w:spacing w:line="172" w:lineRule="auto"/>
      <w:rPr>
        <w:rFonts w:hint="eastAsia" w:ascii="宋体" w:hAnsi="宋体" w:eastAsia="宋体" w:cs="宋体"/>
        <w:sz w:val="18"/>
        <w:szCs w:val="18"/>
        <w:lang w:val="en-US" w:eastAsia="zh-CN" w:bidi="ar-SA"/>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1</w:t>
                          </w:r>
                          <w:r>
                            <w:rPr>
                              <w:rFonts w:hint="default" w:ascii="Times New Roman" w:hAnsi="Times New Roman" w:eastAsia="宋体" w:cs="Times New Roman"/>
                              <w:sz w:val="21"/>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1</w:t>
                    </w:r>
                    <w:r>
                      <w:rPr>
                        <w:rFonts w:hint="default" w:ascii="Times New Roman" w:hAnsi="Times New Roman" w:eastAsia="宋体" w:cs="Times New Roman"/>
                        <w:sz w:val="21"/>
                        <w:szCs w:val="22"/>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2" w:lineRule="auto"/>
      <w:rPr>
        <w:rFonts w:ascii="宋体" w:hAnsi="宋体" w:eastAsia="宋体" w:cs="宋体"/>
        <w:sz w:val="18"/>
        <w:szCs w:val="18"/>
        <w:lang w:val="en-US" w:eastAsia="zh-CN" w:bidi="ar-SA"/>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25</w:t>
                          </w:r>
                          <w:r>
                            <w:rPr>
                              <w:rFonts w:hint="default" w:ascii="Times New Roman" w:hAnsi="Times New Roman" w:eastAsia="宋体" w:cs="Times New Roman"/>
                              <w:sz w:val="21"/>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25</w:t>
                    </w:r>
                    <w:r>
                      <w:rPr>
                        <w:rFonts w:hint="default" w:ascii="Times New Roman" w:hAnsi="Times New Roman" w:eastAsia="宋体" w:cs="Times New Roman"/>
                        <w:sz w:val="21"/>
                        <w:szCs w:val="22"/>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2" w:lineRule="auto"/>
      <w:rPr>
        <w:rFonts w:ascii="宋体" w:hAnsi="宋体" w:eastAsia="宋体" w:cs="宋体"/>
        <w:sz w:val="18"/>
        <w:szCs w:val="18"/>
        <w:lang w:val="en-US" w:eastAsia="zh-CN" w:bidi="ar-SA"/>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26</w:t>
                          </w:r>
                          <w:r>
                            <w:rPr>
                              <w:rFonts w:hint="default" w:ascii="Times New Roman" w:hAnsi="Times New Roman" w:eastAsia="宋体" w:cs="Times New Roman"/>
                              <w:sz w:val="21"/>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26</w:t>
                    </w:r>
                    <w:r>
                      <w:rPr>
                        <w:rFonts w:hint="default" w:ascii="Times New Roman" w:hAnsi="Times New Roman" w:eastAsia="宋体" w:cs="Times New Roman"/>
                        <w:sz w:val="21"/>
                        <w:szCs w:val="22"/>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2"/>
      <w:spacing w:line="172" w:lineRule="auto"/>
      <w:rPr>
        <w:rFonts w:ascii="宋体" w:hAnsi="宋体" w:eastAsia="宋体" w:cs="宋体"/>
        <w:sz w:val="18"/>
        <w:szCs w:val="18"/>
        <w:lang w:val="en-US" w:eastAsia="zh-CN" w:bidi="ar-SA"/>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61</w:t>
                          </w:r>
                          <w:r>
                            <w:rPr>
                              <w:rFonts w:hint="default" w:ascii="Times New Roman" w:hAnsi="Times New Roman" w:eastAsia="宋体" w:cs="Times New Roman"/>
                              <w:sz w:val="21"/>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61</w:t>
                    </w:r>
                    <w:r>
                      <w:rPr>
                        <w:rFonts w:hint="default" w:ascii="Times New Roman" w:hAnsi="Times New Roman" w:eastAsia="宋体" w:cs="Times New Roman"/>
                        <w:sz w:val="21"/>
                        <w:szCs w:val="22"/>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65"/>
      <w:spacing w:line="171" w:lineRule="auto"/>
      <w:rPr>
        <w:rFonts w:ascii="宋体" w:hAnsi="宋体" w:eastAsia="宋体" w:cs="宋体"/>
        <w:sz w:val="18"/>
        <w:szCs w:val="18"/>
        <w:lang w:val="en-US" w:eastAsia="zh-CN" w:bidi="ar-SA"/>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62</w:t>
                          </w:r>
                          <w:r>
                            <w:rPr>
                              <w:rFonts w:hint="default" w:ascii="Times New Roman" w:hAnsi="Times New Roman" w:eastAsia="宋体" w:cs="Times New Roman"/>
                              <w:sz w:val="21"/>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62</w:t>
                    </w:r>
                    <w:r>
                      <w:rPr>
                        <w:rFonts w:hint="default" w:ascii="Times New Roman" w:hAnsi="Times New Roman" w:eastAsia="宋体" w:cs="Times New Roman"/>
                        <w:sz w:val="21"/>
                        <w:szCs w:val="22"/>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1" w:lineRule="auto"/>
      <w:rPr>
        <w:rFonts w:ascii="宋体" w:hAnsi="宋体" w:eastAsia="宋体" w:cs="宋体"/>
        <w:sz w:val="18"/>
        <w:szCs w:val="18"/>
        <w:lang w:val="en-US" w:eastAsia="zh-CN" w:bidi="ar-SA"/>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63</w:t>
                          </w:r>
                          <w:r>
                            <w:rPr>
                              <w:rFonts w:hint="default" w:ascii="Times New Roman" w:hAnsi="Times New Roman" w:eastAsia="宋体" w:cs="Times New Roman"/>
                              <w:sz w:val="21"/>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2"/>
                      </w:rPr>
                    </w:pPr>
                    <w:r>
                      <w:rPr>
                        <w:rFonts w:hint="default" w:ascii="Times New Roman" w:hAnsi="Times New Roman" w:eastAsia="宋体" w:cs="Times New Roman"/>
                        <w:sz w:val="21"/>
                        <w:szCs w:val="22"/>
                      </w:rPr>
                      <w:fldChar w:fldCharType="begin"/>
                    </w:r>
                    <w:r>
                      <w:rPr>
                        <w:rFonts w:hint="default" w:ascii="Times New Roman" w:hAnsi="Times New Roman" w:eastAsia="宋体" w:cs="Times New Roman"/>
                        <w:sz w:val="21"/>
                        <w:szCs w:val="22"/>
                      </w:rPr>
                      <w:instrText xml:space="preserve"> PAGE  \* MERGEFORMAT </w:instrText>
                    </w:r>
                    <w:r>
                      <w:rPr>
                        <w:rFonts w:hint="default" w:ascii="Times New Roman" w:hAnsi="Times New Roman" w:eastAsia="宋体" w:cs="Times New Roman"/>
                        <w:sz w:val="21"/>
                        <w:szCs w:val="22"/>
                      </w:rPr>
                      <w:fldChar w:fldCharType="separate"/>
                    </w:r>
                    <w:r>
                      <w:rPr>
                        <w:rFonts w:hint="default" w:ascii="Times New Roman" w:hAnsi="Times New Roman" w:eastAsia="宋体" w:cs="Times New Roman"/>
                        <w:sz w:val="21"/>
                        <w:szCs w:val="22"/>
                      </w:rPr>
                      <w:t xml:space="preserve">63</w:t>
                    </w:r>
                    <w:r>
                      <w:rPr>
                        <w:rFonts w:hint="default" w:ascii="Times New Roman" w:hAnsi="Times New Roman" w:eastAsia="宋体" w:cs="Times New Roman"/>
                        <w:sz w:val="21"/>
                        <w:szCs w:val="22"/>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2"/>
        <w:rFonts w:ascii="宋体" w:hAnsi="宋体"/>
      </w:rPr>
      <w:framePr w:wrap="around" w:vAnchor="text" w:hAnchor="margin" w:xAlign="center" w:y="1"/>
    </w:pPr>
    <w:r>
      <w:rPr>
        <w:rFonts w:ascii="宋体" w:hAnsi="宋体"/>
      </w:rPr>
      <w:fldChar w:fldCharType="begin"/>
    </w:r>
    <w:r>
      <w:rPr>
        <w:rStyle w:val="1142"/>
        <w:rFonts w:ascii="宋体" w:hAnsi="宋体"/>
      </w:rPr>
      <w:instrText xml:space="preserve">PAGE  </w:instrText>
    </w:r>
    <w:r>
      <w:rPr>
        <w:rFonts w:ascii="宋体" w:hAnsi="宋体"/>
      </w:rPr>
      <w:fldChar w:fldCharType="separate"/>
    </w:r>
    <w:r>
      <w:rPr>
        <w:rStyle w:val="1142"/>
        <w:rFonts w:ascii="宋体" w:hAnsi="宋体"/>
      </w:rPr>
      <w:t xml:space="preserve">52</w:t>
    </w:r>
    <w:r>
      <w:rPr>
        <w:rFonts w:ascii="宋体" w:hAnsi="宋体"/>
      </w:rPr>
      <w:fldChar w:fldCharType="end"/>
    </w:r>
    <w:r/>
  </w:p>
  <w:p>
    <w:pPr>
      <w:pStyle w:val="1122"/>
      <w:rPr>
        <w:b/>
        <w:i/>
      </w:rPr>
    </w:pPr>
    <w:r>
      <w:rPr>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2"/>
      </w:rPr>
      <w:framePr w:wrap="around" w:vAnchor="text" w:hAnchor="margin" w:xAlign="center" w:y="1"/>
    </w:pPr>
    <w:r>
      <w:fldChar w:fldCharType="begin"/>
    </w:r>
    <w:r>
      <w:rPr>
        <w:rStyle w:val="1142"/>
      </w:rPr>
      <w:instrText xml:space="preserve">PAGE  </w:instrText>
    </w:r>
    <w:r>
      <w:fldChar w:fldCharType="separate"/>
    </w:r>
    <w:r>
      <w:rPr>
        <w:rStyle w:val="1142"/>
      </w:rPr>
      <w:t xml:space="preserve">1</w:t>
    </w:r>
    <w:r>
      <w:fldChar w:fldCharType="end"/>
    </w:r>
    <w:r/>
  </w:p>
  <w:p>
    <w:pPr>
      <w:pStyle w:val="1122"/>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400"/>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2"/>
      <w:isLgl w:val="false"/>
      <w:suff w:val="nothing"/>
      <w:lvlText w:val=""/>
      <w:lvlJc w:val="left"/>
      <w:pPr>
        <w:ind w:left="0" w:firstLine="0"/>
      </w:pPr>
      <w:rPr>
        <w:rFonts w:hint="eastAsia"/>
      </w:rPr>
    </w:lvl>
    <w:lvl w:ilvl="6">
      <w:start w:val="1"/>
      <w:numFmt w:val="decimal"/>
      <w:pStyle w:val="1094"/>
      <w:isLgl w:val="false"/>
      <w:suff w:val="nothing"/>
      <w:lvlText w:val=""/>
      <w:lvlJc w:val="left"/>
      <w:pPr>
        <w:ind w:left="0" w:firstLine="0"/>
      </w:pPr>
      <w:rPr>
        <w:rFonts w:hint="eastAsia"/>
      </w:rPr>
    </w:lvl>
    <w:lvl w:ilvl="7">
      <w:start w:val="1"/>
      <w:numFmt w:val="decimal"/>
      <w:pStyle w:val="1096"/>
      <w:isLgl w:val="false"/>
      <w:suff w:val="nothing"/>
      <w:lvlText w:val=""/>
      <w:lvlJc w:val="left"/>
      <w:pPr>
        <w:ind w:left="0" w:firstLine="0"/>
      </w:pPr>
      <w:rPr>
        <w:rFonts w:hint="eastAsia"/>
      </w:rPr>
    </w:lvl>
    <w:lvl w:ilvl="8">
      <w:start w:val="1"/>
      <w:numFmt w:val="decimal"/>
      <w:pStyle w:val="109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6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pStyle w:val="1425"/>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upperLetter"/>
      <w:pStyle w:val="115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424"/>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0"/>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66" w:default="1">
    <w:name w:val="Normal"/>
    <w:uiPriority w:val="0"/>
    <w:qFormat/>
    <w:pPr>
      <w:jc w:val="both"/>
      <w:widowControl w:val="off"/>
    </w:pPr>
    <w:rPr>
      <w:rFonts w:hint="default" w:ascii="Calibri" w:hAnsi="Calibri" w:eastAsia="宋体" w:cs="Times New Roman"/>
      <w:sz w:val="21"/>
      <w:szCs w:val="22"/>
      <w:lang w:eastAsia="zh-CN"/>
    </w:rPr>
  </w:style>
  <w:style w:type="character" w:styleId="867" w:default="1">
    <w:name w:val="Default Paragraph Font"/>
    <w:uiPriority w:val="1"/>
    <w:unhideWhenUsed/>
    <w:qFormat/>
  </w:style>
  <w:style w:type="table" w:styleId="868" w:default="1">
    <w:name w:val="Normal Table"/>
    <w:uiPriority w:val="99"/>
    <w:unhideWhenUsed/>
    <w:qFormat/>
    <w:tblPr>
      <w:tblCellMar>
        <w:left w:w="108" w:type="dxa"/>
        <w:top w:w="0" w:type="dxa"/>
        <w:right w:w="108" w:type="dxa"/>
        <w:bottom w:w="0" w:type="dxa"/>
      </w:tblCellMar>
    </w:tblPr>
  </w:style>
  <w:style w:type="paragraph" w:styleId="869">
    <w:name w:val="toc 7"/>
    <w:basedOn w:val="866"/>
    <w:next w:val="866"/>
    <w:uiPriority w:val="0"/>
    <w:qFormat/>
    <w:pPr>
      <w:ind w:left="1260"/>
      <w:jc w:val="left"/>
    </w:pPr>
    <w:rPr>
      <w:rFonts w:ascii="Times New Roman" w:hAnsi="Times New Roman"/>
      <w:szCs w:val="21"/>
    </w:rPr>
  </w:style>
  <w:style w:type="paragraph" w:styleId="870">
    <w:name w:val="table of authorities"/>
    <w:basedOn w:val="866"/>
    <w:next w:val="866"/>
    <w:uiPriority w:val="0"/>
    <w:qFormat/>
    <w:pPr>
      <w:ind w:left="420"/>
    </w:pPr>
  </w:style>
  <w:style w:type="paragraph" w:styleId="871">
    <w:name w:val="annotation text"/>
    <w:basedOn w:val="866"/>
    <w:uiPriority w:val="99"/>
    <w:unhideWhenUsed/>
    <w:qFormat/>
    <w:pPr>
      <w:jc w:val="left"/>
    </w:pPr>
  </w:style>
  <w:style w:type="paragraph" w:styleId="872">
    <w:name w:val="toc 5"/>
    <w:basedOn w:val="866"/>
    <w:next w:val="866"/>
    <w:uiPriority w:val="0"/>
    <w:qFormat/>
    <w:pPr>
      <w:ind w:left="840"/>
      <w:jc w:val="left"/>
    </w:pPr>
    <w:rPr>
      <w:rFonts w:ascii="Times New Roman" w:hAnsi="Times New Roman"/>
      <w:szCs w:val="21"/>
    </w:rPr>
  </w:style>
  <w:style w:type="paragraph" w:styleId="873">
    <w:name w:val="toc 3"/>
    <w:basedOn w:val="866"/>
    <w:next w:val="866"/>
    <w:uiPriority w:val="39"/>
    <w:qFormat/>
    <w:pPr>
      <w:ind w:left="420"/>
      <w:jc w:val="left"/>
      <w:tabs>
        <w:tab w:val="right" w:pos="8943" w:leader="dot"/>
      </w:tabs>
    </w:pPr>
    <w:rPr>
      <w:rFonts w:ascii="Times New Roman" w:hAnsi="Times New Roman"/>
      <w:iCs/>
      <w:szCs w:val="24"/>
    </w:rPr>
  </w:style>
  <w:style w:type="paragraph" w:styleId="874">
    <w:name w:val="toc 8"/>
    <w:basedOn w:val="866"/>
    <w:next w:val="866"/>
    <w:uiPriority w:val="0"/>
    <w:qFormat/>
    <w:pPr>
      <w:ind w:left="1470"/>
      <w:jc w:val="left"/>
    </w:pPr>
    <w:rPr>
      <w:rFonts w:ascii="Times New Roman" w:hAnsi="Times New Roman"/>
      <w:szCs w:val="21"/>
    </w:rPr>
  </w:style>
  <w:style w:type="paragraph" w:styleId="875">
    <w:name w:val="endnote text"/>
    <w:basedOn w:val="866"/>
    <w:link w:val="890"/>
    <w:uiPriority w:val="99"/>
    <w:unhideWhenUsed/>
    <w:qFormat/>
    <w:rPr>
      <w:sz w:val="20"/>
    </w:rPr>
  </w:style>
  <w:style w:type="paragraph" w:styleId="876">
    <w:name w:val="toc 1"/>
    <w:next w:val="866"/>
    <w:uiPriority w:val="39"/>
    <w:qFormat/>
    <w:pPr>
      <w:tabs>
        <w:tab w:val="right" w:pos="8943" w:leader="dot"/>
      </w:tabs>
    </w:pPr>
    <w:rPr>
      <w:rFonts w:hint="default" w:ascii="宋体" w:hAnsi="宋体" w:eastAsia="宋体" w:cs="Times New Roman"/>
      <w:caps/>
      <w:sz w:val="21"/>
      <w:szCs w:val="24"/>
      <w:lang w:eastAsia="zh-CN"/>
    </w:rPr>
  </w:style>
  <w:style w:type="paragraph" w:styleId="877">
    <w:name w:val="toc 4"/>
    <w:basedOn w:val="866"/>
    <w:next w:val="866"/>
    <w:uiPriority w:val="39"/>
    <w:unhideWhenUsed/>
    <w:qFormat/>
    <w:pPr>
      <w:ind w:left="850"/>
      <w:spacing w:after="57"/>
    </w:pPr>
  </w:style>
  <w:style w:type="paragraph" w:styleId="878">
    <w:name w:val="Subtitle"/>
    <w:basedOn w:val="866"/>
    <w:next w:val="866"/>
    <w:link w:val="891"/>
    <w:uiPriority w:val="11"/>
    <w:qFormat/>
    <w:pPr>
      <w:spacing w:before="200" w:after="200"/>
    </w:pPr>
    <w:rPr>
      <w:sz w:val="24"/>
      <w:szCs w:val="24"/>
    </w:rPr>
  </w:style>
  <w:style w:type="paragraph" w:styleId="879">
    <w:name w:val="footnote text"/>
    <w:basedOn w:val="866"/>
    <w:link w:val="892"/>
    <w:uiPriority w:val="99"/>
    <w:unhideWhenUsed/>
    <w:qFormat/>
    <w:pPr>
      <w:spacing w:after="40"/>
    </w:pPr>
    <w:rPr>
      <w:sz w:val="18"/>
    </w:rPr>
  </w:style>
  <w:style w:type="paragraph" w:styleId="880">
    <w:name w:val="toc 6"/>
    <w:basedOn w:val="866"/>
    <w:next w:val="866"/>
    <w:uiPriority w:val="0"/>
    <w:qFormat/>
    <w:pPr>
      <w:ind w:left="1050"/>
      <w:jc w:val="left"/>
    </w:pPr>
    <w:rPr>
      <w:rFonts w:ascii="Times New Roman" w:hAnsi="Times New Roman"/>
      <w:szCs w:val="21"/>
    </w:rPr>
  </w:style>
  <w:style w:type="paragraph" w:styleId="881">
    <w:name w:val="table of figures"/>
    <w:basedOn w:val="866"/>
    <w:next w:val="866"/>
    <w:uiPriority w:val="99"/>
    <w:unhideWhenUsed/>
    <w:qFormat/>
  </w:style>
  <w:style w:type="paragraph" w:styleId="882">
    <w:name w:val="toc 2"/>
    <w:basedOn w:val="866"/>
    <w:next w:val="866"/>
    <w:uiPriority w:val="39"/>
    <w:qFormat/>
    <w:pPr>
      <w:ind w:left="210"/>
      <w:jc w:val="left"/>
    </w:pPr>
    <w:rPr>
      <w:rFonts w:ascii="Times New Roman" w:hAnsi="Times New Roman"/>
      <w:smallCaps/>
      <w:szCs w:val="24"/>
    </w:rPr>
  </w:style>
  <w:style w:type="paragraph" w:styleId="883">
    <w:name w:val="toc 9"/>
    <w:basedOn w:val="866"/>
    <w:next w:val="866"/>
    <w:uiPriority w:val="0"/>
    <w:qFormat/>
    <w:pPr>
      <w:ind w:left="1680"/>
      <w:jc w:val="left"/>
    </w:pPr>
    <w:rPr>
      <w:rFonts w:ascii="Times New Roman" w:hAnsi="Times New Roman"/>
      <w:szCs w:val="21"/>
    </w:rPr>
  </w:style>
  <w:style w:type="paragraph" w:styleId="884">
    <w:name w:val="Normal (Web)"/>
    <w:basedOn w:val="866"/>
    <w:uiPriority w:val="99"/>
    <w:unhideWhenUsed/>
    <w:qFormat/>
    <w:pPr>
      <w:jc w:val="left"/>
      <w:spacing w:beforeAutospacing="1" w:afterAutospacing="1"/>
    </w:pPr>
    <w:rPr>
      <w:sz w:val="24"/>
    </w:rPr>
  </w:style>
  <w:style w:type="paragraph" w:styleId="885">
    <w:name w:val="Title"/>
    <w:basedOn w:val="866"/>
    <w:next w:val="866"/>
    <w:link w:val="893"/>
    <w:uiPriority w:val="10"/>
    <w:qFormat/>
    <w:pPr>
      <w:contextualSpacing/>
      <w:spacing w:before="300" w:after="200"/>
    </w:pPr>
    <w:rPr>
      <w:sz w:val="48"/>
      <w:szCs w:val="48"/>
    </w:rPr>
  </w:style>
  <w:style w:type="table" w:styleId="8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unhideWhenUsed/>
    <w:qFormat/>
    <w:rPr>
      <w:vertAlign w:val="superscript"/>
    </w:rPr>
  </w:style>
  <w:style w:type="character" w:styleId="888">
    <w:name w:val="Hyperlink"/>
    <w:uiPriority w:val="99"/>
    <w:unhideWhenUsed/>
    <w:qFormat/>
    <w:rPr>
      <w:color w:val="0000ff"/>
      <w:u w:val="single"/>
    </w:rPr>
  </w:style>
  <w:style w:type="character" w:styleId="889">
    <w:name w:val="footnote reference"/>
    <w:uiPriority w:val="99"/>
    <w:unhideWhenUsed/>
    <w:qFormat/>
    <w:rPr>
      <w:vertAlign w:val="superscript"/>
    </w:rPr>
  </w:style>
  <w:style w:type="character" w:styleId="890" w:customStyle="1">
    <w:name w:val="尾注文本 Char"/>
    <w:link w:val="875"/>
    <w:uiPriority w:val="99"/>
    <w:qFormat/>
    <w:rPr>
      <w:sz w:val="20"/>
    </w:rPr>
  </w:style>
  <w:style w:type="character" w:styleId="891" w:customStyle="1">
    <w:name w:val="副标题 Char"/>
    <w:link w:val="878"/>
    <w:uiPriority w:val="11"/>
    <w:qFormat/>
    <w:rPr>
      <w:sz w:val="24"/>
      <w:szCs w:val="24"/>
    </w:rPr>
  </w:style>
  <w:style w:type="character" w:styleId="892" w:customStyle="1">
    <w:name w:val="脚注文本 Char"/>
    <w:link w:val="879"/>
    <w:uiPriority w:val="99"/>
    <w:qFormat/>
    <w:rPr>
      <w:sz w:val="18"/>
    </w:rPr>
  </w:style>
  <w:style w:type="character" w:styleId="893" w:customStyle="1">
    <w:name w:val="标题 Char"/>
    <w:link w:val="885"/>
    <w:uiPriority w:val="10"/>
    <w:qFormat/>
    <w:rPr>
      <w:sz w:val="48"/>
      <w:szCs w:val="48"/>
    </w:rPr>
  </w:style>
  <w:style w:type="paragraph" w:styleId="894" w:customStyle="1">
    <w:name w:val="_Style 28"/>
    <w:uiPriority w:val="39"/>
    <w:unhideWhenUsed/>
    <w:rPr>
      <w:rFonts w:hint="default" w:ascii="Times New Roman" w:hAnsi="Times New Roman" w:eastAsia="宋体" w:cs="Times New Roman"/>
    </w:rPr>
  </w:style>
  <w:style w:type="paragraph" w:styleId="895" w:customStyle="1">
    <w:name w:val="Heading 1"/>
    <w:basedOn w:val="866"/>
    <w:next w:val="866"/>
    <w:link w:val="896"/>
    <w:uiPriority w:val="9"/>
    <w:qFormat/>
    <w:pPr>
      <w:keepLines/>
      <w:keepNext/>
      <w:spacing w:before="480" w:after="200"/>
      <w:outlineLvl w:val="0"/>
    </w:pPr>
    <w:rPr>
      <w:rFonts w:ascii="Arial" w:hAnsi="Arial" w:eastAsia="Arial" w:cs="Arial"/>
      <w:sz w:val="40"/>
      <w:szCs w:val="40"/>
    </w:rPr>
  </w:style>
  <w:style w:type="character" w:styleId="896" w:customStyle="1">
    <w:name w:val="标题 1 Char"/>
    <w:link w:val="895"/>
    <w:uiPriority w:val="9"/>
    <w:qFormat/>
    <w:rPr>
      <w:rFonts w:ascii="Arial" w:hAnsi="Arial" w:eastAsia="Arial" w:cs="Arial"/>
      <w:sz w:val="40"/>
      <w:szCs w:val="40"/>
    </w:rPr>
  </w:style>
  <w:style w:type="paragraph" w:styleId="897" w:customStyle="1">
    <w:name w:val="Heading 2"/>
    <w:basedOn w:val="866"/>
    <w:next w:val="866"/>
    <w:uiPriority w:val="9"/>
    <w:unhideWhenUsed/>
    <w:qFormat/>
    <w:pPr>
      <w:keepLines/>
      <w:keepNext/>
      <w:spacing w:before="360" w:after="200"/>
      <w:outlineLvl w:val="1"/>
    </w:pPr>
    <w:rPr>
      <w:rFonts w:ascii="Arial" w:hAnsi="Arial" w:eastAsia="Arial" w:cs="Arial"/>
      <w:sz w:val="34"/>
    </w:rPr>
  </w:style>
  <w:style w:type="paragraph" w:styleId="898" w:customStyle="1">
    <w:name w:val="Heading 3"/>
    <w:basedOn w:val="866"/>
    <w:next w:val="866"/>
    <w:uiPriority w:val="9"/>
    <w:unhideWhenUsed/>
    <w:qFormat/>
    <w:pPr>
      <w:keepLines/>
      <w:keepNext/>
      <w:spacing w:before="320" w:after="200"/>
      <w:outlineLvl w:val="2"/>
    </w:pPr>
    <w:rPr>
      <w:rFonts w:ascii="Arial" w:hAnsi="Arial" w:eastAsia="Arial" w:cs="Arial"/>
      <w:sz w:val="30"/>
      <w:szCs w:val="30"/>
    </w:rPr>
  </w:style>
  <w:style w:type="paragraph" w:styleId="899" w:customStyle="1">
    <w:name w:val="Heading 4"/>
    <w:basedOn w:val="866"/>
    <w:next w:val="866"/>
    <w:uiPriority w:val="9"/>
    <w:unhideWhenUsed/>
    <w:qFormat/>
    <w:pPr>
      <w:keepLines/>
      <w:keepNext/>
      <w:spacing w:before="320" w:after="200"/>
      <w:outlineLvl w:val="3"/>
    </w:pPr>
    <w:rPr>
      <w:rFonts w:ascii="Arial" w:hAnsi="Arial" w:eastAsia="Arial" w:cs="Arial"/>
      <w:b/>
      <w:bCs/>
      <w:sz w:val="26"/>
      <w:szCs w:val="26"/>
    </w:rPr>
  </w:style>
  <w:style w:type="paragraph" w:styleId="900" w:customStyle="1">
    <w:name w:val="Heading 5"/>
    <w:basedOn w:val="866"/>
    <w:next w:val="866"/>
    <w:link w:val="901"/>
    <w:uiPriority w:val="9"/>
    <w:unhideWhenUsed/>
    <w:qFormat/>
    <w:pPr>
      <w:keepLines/>
      <w:keepNext/>
      <w:spacing w:before="320" w:after="200"/>
      <w:outlineLvl w:val="4"/>
    </w:pPr>
    <w:rPr>
      <w:rFonts w:ascii="Arial" w:hAnsi="Arial" w:eastAsia="Arial" w:cs="Arial"/>
      <w:b/>
      <w:bCs/>
      <w:sz w:val="24"/>
      <w:szCs w:val="24"/>
    </w:rPr>
  </w:style>
  <w:style w:type="character" w:styleId="901" w:customStyle="1">
    <w:name w:val="标题 5 Char"/>
    <w:link w:val="900"/>
    <w:uiPriority w:val="9"/>
    <w:qFormat/>
    <w:rPr>
      <w:rFonts w:ascii="Arial" w:hAnsi="Arial" w:eastAsia="Arial" w:cs="Arial"/>
      <w:b/>
      <w:bCs/>
      <w:sz w:val="24"/>
      <w:szCs w:val="24"/>
    </w:rPr>
  </w:style>
  <w:style w:type="paragraph" w:styleId="902" w:customStyle="1">
    <w:name w:val="Heading 6"/>
    <w:basedOn w:val="866"/>
    <w:next w:val="866"/>
    <w:link w:val="903"/>
    <w:uiPriority w:val="9"/>
    <w:unhideWhenUsed/>
    <w:qFormat/>
    <w:pPr>
      <w:keepLines/>
      <w:keepNext/>
      <w:spacing w:before="320" w:after="200"/>
      <w:outlineLvl w:val="5"/>
    </w:pPr>
    <w:rPr>
      <w:rFonts w:ascii="Arial" w:hAnsi="Arial" w:eastAsia="Arial" w:cs="Arial"/>
      <w:b/>
      <w:bCs/>
      <w:sz w:val="22"/>
    </w:rPr>
  </w:style>
  <w:style w:type="character" w:styleId="903" w:customStyle="1">
    <w:name w:val="标题 6 Char"/>
    <w:link w:val="902"/>
    <w:uiPriority w:val="9"/>
    <w:qFormat/>
    <w:rPr>
      <w:rFonts w:ascii="Arial" w:hAnsi="Arial" w:eastAsia="Arial" w:cs="Arial"/>
      <w:b/>
      <w:bCs/>
      <w:sz w:val="22"/>
      <w:szCs w:val="22"/>
    </w:rPr>
  </w:style>
  <w:style w:type="paragraph" w:styleId="904" w:customStyle="1">
    <w:name w:val="Heading 7"/>
    <w:basedOn w:val="866"/>
    <w:next w:val="866"/>
    <w:link w:val="905"/>
    <w:uiPriority w:val="9"/>
    <w:unhideWhenUsed/>
    <w:qFormat/>
    <w:pPr>
      <w:keepLines/>
      <w:keepNext/>
      <w:spacing w:before="320" w:after="200"/>
      <w:outlineLvl w:val="6"/>
    </w:pPr>
    <w:rPr>
      <w:rFonts w:ascii="Arial" w:hAnsi="Arial" w:eastAsia="Arial" w:cs="Arial"/>
      <w:b/>
      <w:bCs/>
      <w:i/>
      <w:iCs/>
      <w:sz w:val="22"/>
    </w:rPr>
  </w:style>
  <w:style w:type="character" w:styleId="905" w:customStyle="1">
    <w:name w:val="标题 7 Char"/>
    <w:link w:val="904"/>
    <w:uiPriority w:val="9"/>
    <w:qFormat/>
    <w:rPr>
      <w:rFonts w:ascii="Arial" w:hAnsi="Arial" w:eastAsia="Arial" w:cs="Arial"/>
      <w:b/>
      <w:bCs/>
      <w:i/>
      <w:iCs/>
      <w:sz w:val="22"/>
      <w:szCs w:val="22"/>
    </w:rPr>
  </w:style>
  <w:style w:type="paragraph" w:styleId="906" w:customStyle="1">
    <w:name w:val="Heading 8"/>
    <w:basedOn w:val="866"/>
    <w:next w:val="866"/>
    <w:link w:val="907"/>
    <w:uiPriority w:val="9"/>
    <w:unhideWhenUsed/>
    <w:qFormat/>
    <w:pPr>
      <w:keepLines/>
      <w:keepNext/>
      <w:spacing w:before="320" w:after="200"/>
      <w:outlineLvl w:val="7"/>
    </w:pPr>
    <w:rPr>
      <w:rFonts w:ascii="Arial" w:hAnsi="Arial" w:eastAsia="Arial" w:cs="Arial"/>
      <w:i/>
      <w:iCs/>
      <w:sz w:val="22"/>
    </w:rPr>
  </w:style>
  <w:style w:type="character" w:styleId="907" w:customStyle="1">
    <w:name w:val="标题 8 Char"/>
    <w:link w:val="906"/>
    <w:uiPriority w:val="9"/>
    <w:qFormat/>
    <w:rPr>
      <w:rFonts w:ascii="Arial" w:hAnsi="Arial" w:eastAsia="Arial" w:cs="Arial"/>
      <w:i/>
      <w:iCs/>
      <w:sz w:val="22"/>
      <w:szCs w:val="22"/>
    </w:rPr>
  </w:style>
  <w:style w:type="paragraph" w:styleId="908" w:customStyle="1">
    <w:name w:val="Heading 9"/>
    <w:basedOn w:val="866"/>
    <w:next w:val="866"/>
    <w:link w:val="909"/>
    <w:uiPriority w:val="9"/>
    <w:unhideWhenUsed/>
    <w:qFormat/>
    <w:pPr>
      <w:keepLines/>
      <w:keepNext/>
      <w:spacing w:before="320" w:after="200"/>
      <w:outlineLvl w:val="8"/>
    </w:pPr>
    <w:rPr>
      <w:rFonts w:ascii="Arial" w:hAnsi="Arial" w:eastAsia="Arial" w:cs="Arial"/>
      <w:i/>
      <w:iCs/>
      <w:szCs w:val="21"/>
    </w:rPr>
  </w:style>
  <w:style w:type="character" w:styleId="909" w:customStyle="1">
    <w:name w:val="标题 9 Char"/>
    <w:link w:val="908"/>
    <w:uiPriority w:val="9"/>
    <w:qFormat/>
    <w:rPr>
      <w:rFonts w:ascii="Arial" w:hAnsi="Arial" w:eastAsia="Arial" w:cs="Arial"/>
      <w:i/>
      <w:iCs/>
      <w:sz w:val="21"/>
      <w:szCs w:val="21"/>
    </w:rPr>
  </w:style>
  <w:style w:type="paragraph" w:styleId="910" w:customStyle="1">
    <w:name w:val="Caption"/>
    <w:basedOn w:val="866"/>
    <w:next w:val="866"/>
    <w:uiPriority w:val="35"/>
    <w:unhideWhenUsed/>
    <w:qFormat/>
    <w:pPr>
      <w:spacing w:line="276" w:lineRule="auto"/>
    </w:pPr>
    <w:rPr>
      <w:b/>
      <w:bCs/>
      <w:color w:val="4f81bd"/>
      <w:sz w:val="18"/>
      <w:szCs w:val="18"/>
    </w:rPr>
  </w:style>
  <w:style w:type="paragraph" w:styleId="911" w:customStyle="1">
    <w:name w:val="Footer"/>
    <w:basedOn w:val="866"/>
    <w:link w:val="912"/>
    <w:uiPriority w:val="99"/>
    <w:unhideWhenUsed/>
    <w:qFormat/>
    <w:pPr>
      <w:tabs>
        <w:tab w:val="center" w:pos="7143" w:leader="none"/>
        <w:tab w:val="right" w:pos="14287" w:leader="none"/>
      </w:tabs>
    </w:pPr>
  </w:style>
  <w:style w:type="character" w:styleId="912" w:customStyle="1">
    <w:name w:val="页脚 Char"/>
    <w:link w:val="911"/>
    <w:uiPriority w:val="99"/>
    <w:qFormat/>
  </w:style>
  <w:style w:type="paragraph" w:styleId="913" w:customStyle="1">
    <w:name w:val="Header"/>
    <w:basedOn w:val="866"/>
    <w:uiPriority w:val="99"/>
    <w:unhideWhenUsed/>
    <w:qFormat/>
    <w:pPr>
      <w:tabs>
        <w:tab w:val="center" w:pos="7143" w:leader="none"/>
        <w:tab w:val="right" w:pos="14287" w:leader="none"/>
      </w:tabs>
    </w:pPr>
  </w:style>
  <w:style w:type="paragraph" w:styleId="914" w:customStyle="1">
    <w:name w:val="Heading21"/>
    <w:basedOn w:val="915"/>
    <w:next w:val="866"/>
    <w:uiPriority w:val="0"/>
    <w:qFormat/>
    <w:pPr>
      <w:jc w:val="both"/>
      <w:keepLines/>
      <w:keepNext/>
      <w:spacing w:before="260" w:after="260" w:line="413" w:lineRule="auto"/>
      <w:widowControl w:val="off"/>
    </w:pPr>
    <w:rPr>
      <w:rFonts w:ascii="Arial" w:hAnsi="Arial"/>
    </w:rPr>
  </w:style>
  <w:style w:type="paragraph" w:styleId="915" w:customStyle="1">
    <w:name w:val="Normal_16"/>
    <w:uiPriority w:val="0"/>
    <w:qFormat/>
    <w:rPr>
      <w:rFonts w:hint="default" w:ascii="黑体" w:hAnsi="黑体" w:eastAsia="黑体" w:cs="Times New Roman"/>
      <w:b/>
      <w:sz w:val="32"/>
      <w:szCs w:val="24"/>
      <w:lang w:eastAsia="zh-CN"/>
    </w:rPr>
  </w:style>
  <w:style w:type="character" w:styleId="916" w:customStyle="1">
    <w:name w:val="Heading 1 Char"/>
    <w:basedOn w:val="867"/>
    <w:uiPriority w:val="9"/>
    <w:qFormat/>
    <w:rPr>
      <w:rFonts w:ascii="Arial" w:hAnsi="Arial" w:eastAsia="Arial" w:cs="Arial"/>
      <w:sz w:val="40"/>
      <w:szCs w:val="40"/>
    </w:rPr>
  </w:style>
  <w:style w:type="character" w:styleId="917" w:customStyle="1">
    <w:name w:val="Heading 5 Char"/>
    <w:basedOn w:val="867"/>
    <w:uiPriority w:val="9"/>
    <w:qFormat/>
    <w:rPr>
      <w:rFonts w:ascii="Arial" w:hAnsi="Arial" w:eastAsia="Arial" w:cs="Arial"/>
      <w:b/>
      <w:bCs/>
      <w:sz w:val="24"/>
      <w:szCs w:val="24"/>
    </w:rPr>
  </w:style>
  <w:style w:type="character" w:styleId="918" w:customStyle="1">
    <w:name w:val="Heading 6 Char"/>
    <w:basedOn w:val="867"/>
    <w:uiPriority w:val="9"/>
    <w:qFormat/>
    <w:rPr>
      <w:rFonts w:ascii="Arial" w:hAnsi="Arial" w:eastAsia="Arial" w:cs="Arial"/>
      <w:b/>
      <w:bCs/>
      <w:sz w:val="22"/>
      <w:szCs w:val="22"/>
    </w:rPr>
  </w:style>
  <w:style w:type="character" w:styleId="919" w:customStyle="1">
    <w:name w:val="Heading 7 Char"/>
    <w:basedOn w:val="867"/>
    <w:uiPriority w:val="9"/>
    <w:qFormat/>
    <w:rPr>
      <w:rFonts w:ascii="Arial" w:hAnsi="Arial" w:eastAsia="Arial" w:cs="Arial"/>
      <w:b/>
      <w:bCs/>
      <w:i/>
      <w:iCs/>
      <w:sz w:val="22"/>
      <w:szCs w:val="22"/>
    </w:rPr>
  </w:style>
  <w:style w:type="character" w:styleId="920" w:customStyle="1">
    <w:name w:val="Heading 8 Char"/>
    <w:basedOn w:val="867"/>
    <w:uiPriority w:val="9"/>
    <w:qFormat/>
    <w:rPr>
      <w:rFonts w:ascii="Arial" w:hAnsi="Arial" w:eastAsia="Arial" w:cs="Arial"/>
      <w:i/>
      <w:iCs/>
      <w:sz w:val="22"/>
      <w:szCs w:val="22"/>
    </w:rPr>
  </w:style>
  <w:style w:type="character" w:styleId="921" w:customStyle="1">
    <w:name w:val="Heading 9 Char"/>
    <w:basedOn w:val="867"/>
    <w:uiPriority w:val="9"/>
    <w:qFormat/>
    <w:rPr>
      <w:rFonts w:ascii="Arial" w:hAnsi="Arial" w:eastAsia="Arial" w:cs="Arial"/>
      <w:i/>
      <w:iCs/>
      <w:sz w:val="21"/>
      <w:szCs w:val="21"/>
    </w:rPr>
  </w:style>
  <w:style w:type="character" w:styleId="922" w:customStyle="1">
    <w:name w:val="Title Char"/>
    <w:basedOn w:val="867"/>
    <w:uiPriority w:val="10"/>
    <w:qFormat/>
    <w:rPr>
      <w:sz w:val="48"/>
      <w:szCs w:val="48"/>
    </w:rPr>
  </w:style>
  <w:style w:type="character" w:styleId="923" w:customStyle="1">
    <w:name w:val="Subtitle Char"/>
    <w:basedOn w:val="867"/>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character" w:styleId="926" w:customStyle="1">
    <w:name w:val="Caption Char"/>
    <w:uiPriority w:val="99"/>
    <w:qFormat/>
  </w:style>
  <w:style w:type="table" w:styleId="927" w:customStyle="1">
    <w:name w:val="Plain Table 1"/>
    <w:basedOn w:val="86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Segoe UI" w:hAnsi="Segoe UI"/>
        <w:b/>
        <w:color w:val="404040"/>
        <w:sz w:val="22"/>
      </w:rPr>
    </w:tblStylePr>
    <w:tblStylePr w:type="firstRow">
      <w:rPr>
        <w:rFonts w:ascii="Segoe UI" w:hAnsi="Segoe UI"/>
        <w:b/>
        <w:color w:val="404040"/>
        <w:sz w:val="22"/>
      </w:rPr>
    </w:tblStylePr>
    <w:tblStylePr w:type="lastCol">
      <w:rPr>
        <w:rFonts w:ascii="Segoe UI" w:hAnsi="Segoe UI"/>
        <w:b/>
        <w:color w:val="404040"/>
        <w:sz w:val="22"/>
      </w:rPr>
    </w:tblStylePr>
    <w:tblStylePr w:type="lastRow">
      <w:rPr>
        <w:rFonts w:ascii="Segoe UI" w:hAnsi="Segoe UI"/>
        <w:b/>
        <w:color w:val="404040"/>
        <w:sz w:val="22"/>
      </w:rPr>
    </w:tblStylePr>
  </w:style>
  <w:style w:type="table" w:styleId="928" w:customStyle="1">
    <w:name w:val="Plain Table 2"/>
    <w:basedOn w:val="868"/>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blStylePr>
  </w:style>
  <w:style w:type="table" w:styleId="929" w:customStyle="1">
    <w:name w:val="Plain Table 3"/>
    <w:basedOn w:val="868"/>
    <w:uiPriority w:val="99"/>
    <w:qFormat/>
    <w:tblPr>
      <w:tblCellMar>
        <w:left w:w="108" w:type="dxa"/>
        <w:top w:w="0" w:type="dxa"/>
        <w:right w:w="108" w:type="dxa"/>
        <w:bottom w:w="0" w:type="dxa"/>
      </w:tblCellMar>
    </w:tblPr>
    <w:tblStylePr w:type="band1Horz">
      <w:rPr>
        <w:rFonts w:ascii="Segoe UI" w:hAnsi="Segoe UI"/>
        <w:color w:val="404040"/>
        <w:sz w:val="22"/>
      </w:rPr>
      <w:tcPr>
        <w:shd w:val="clear" w:color="f1f1f1" w:fill="f1f1f1"/>
      </w:tcPr>
    </w:tblStylePr>
    <w:tblStylePr w:type="band1Vert">
      <w:rPr>
        <w:rFonts w:ascii="Segoe UI" w:hAnsi="Segoe UI"/>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30" w:customStyle="1">
    <w:name w:val="Plain Table 4"/>
    <w:basedOn w:val="868"/>
    <w:uiPriority w:val="99"/>
    <w:qFormat/>
    <w:tblPr>
      <w:tblCellMar>
        <w:left w:w="108" w:type="dxa"/>
        <w:top w:w="0" w:type="dxa"/>
        <w:right w:w="108" w:type="dxa"/>
        <w:bottom w:w="0" w:type="dxa"/>
      </w:tblCellMar>
    </w:tblPr>
    <w:tblStylePr w:type="band1Horz">
      <w:rPr>
        <w:rFonts w:ascii="Segoe UI" w:hAnsi="Segoe UI"/>
        <w:color w:val="404040"/>
        <w:sz w:val="22"/>
      </w:rPr>
      <w:tcPr>
        <w:shd w:val="clear" w:color="f1f1f1" w:fill="f1f1f1"/>
      </w:tcPr>
    </w:tblStylePr>
    <w:tblStylePr w:type="band1Vert">
      <w:rPr>
        <w:rFonts w:ascii="Segoe UI" w:hAnsi="Segoe UI"/>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customStyle="1">
    <w:name w:val="Plain Table 5"/>
    <w:basedOn w:val="868"/>
    <w:uiPriority w:val="99"/>
    <w:qFormat/>
    <w:tblPr>
      <w:tblCellMar>
        <w:left w:w="108" w:type="dxa"/>
        <w:top w:w="0" w:type="dxa"/>
        <w:right w:w="108" w:type="dxa"/>
        <w:bottom w:w="0" w:type="dxa"/>
      </w:tblCellMar>
    </w:tblPr>
    <w:tblStylePr w:type="band1Horz">
      <w:rPr>
        <w:rFonts w:ascii="Segoe UI" w:hAnsi="Segoe UI"/>
        <w:color w:val="404040"/>
        <w:sz w:val="22"/>
      </w:rPr>
      <w:tcPr>
        <w:shd w:val="clear" w:color="f1f1f1" w:fill="f1f1f1"/>
      </w:tcPr>
    </w:tblStylePr>
    <w:tblStylePr w:type="band1Vert">
      <w:rPr>
        <w:rFonts w:ascii="Segoe UI" w:hAnsi="Segoe UI"/>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Grid Table 1 Light"/>
    <w:basedOn w:val="86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Segoe UI" w:hAnsi="Segoe UI"/>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33" w:customStyle="1">
    <w:name w:val="Grid Table 2"/>
    <w:basedOn w:val="86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Segoe UI" w:hAnsi="Segoe UI"/>
        <w:color w:val="404040"/>
        <w:sz w:val="22"/>
      </w:rPr>
      <w:tcPr>
        <w:shd w:val="clear" w:color="cacaca" w:fill="cacaca"/>
      </w:tcPr>
    </w:tblStylePr>
    <w:tblStylePr w:type="band1Vert">
      <w:rPr>
        <w:rFonts w:ascii="Segoe UI" w:hAnsi="Segoe UI"/>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Grid Table 3"/>
    <w:basedOn w:val="868"/>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Segoe UI" w:hAnsi="Segoe UI"/>
        <w:color w:val="404040"/>
        <w:sz w:val="22"/>
      </w:rPr>
      <w:tcPr>
        <w:shd w:val="clear" w:color="cacaca" w:fill="cacaca"/>
      </w:tcPr>
    </w:tblStylePr>
    <w:tblStylePr w:type="band1Vert">
      <w:rPr>
        <w:rFonts w:ascii="Segoe UI" w:hAnsi="Segoe UI"/>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Grid Table 4"/>
    <w:basedOn w:val="86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Segoe UI" w:hAnsi="Segoe UI"/>
        <w:color w:val="404040"/>
        <w:sz w:val="22"/>
      </w:rPr>
      <w:tcPr>
        <w:shd w:val="clear" w:color="cacaca" w:fill="cacaca"/>
      </w:tcPr>
    </w:tblStylePr>
    <w:tblStylePr w:type="band1Vert">
      <w:rPr>
        <w:rFonts w:ascii="Segoe UI" w:hAnsi="Segoe UI"/>
        <w:color w:val="404040"/>
        <w:sz w:val="22"/>
      </w:rPr>
      <w:tcPr>
        <w:shd w:val="clear" w:color="cacaca" w:fill="cacaca"/>
      </w:tcPr>
    </w:tblStylePr>
    <w:tblStylePr w:type="firstCol">
      <w:rPr>
        <w:b/>
        <w:color w:val="404040"/>
      </w:rPr>
    </w:tblStylePr>
    <w:tblStylePr w:type="firstRow">
      <w:rPr>
        <w:rFonts w:ascii="Segoe UI" w:hAnsi="Segoe UI"/>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Grid Table 5 Dark"/>
    <w:basedOn w:val="86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Segoe UI" w:hAnsi="Segoe UI"/>
        <w:b/>
        <w:color w:val="ffffff"/>
        <w:sz w:val="22"/>
      </w:rPr>
      <w:tcPr>
        <w:shd w:val="clear" w:color="000000" w:fill="000000"/>
      </w:tcPr>
    </w:tblStylePr>
    <w:tblStylePr w:type="firstRow">
      <w:rPr>
        <w:rFonts w:ascii="Segoe UI" w:hAnsi="Segoe UI"/>
        <w:b/>
        <w:color w:val="ffffff"/>
        <w:sz w:val="22"/>
      </w:rPr>
      <w:tcPr>
        <w:shd w:val="clear" w:color="000000" w:fill="000000"/>
      </w:tcPr>
    </w:tblStylePr>
    <w:tblStylePr w:type="lastCol">
      <w:rPr>
        <w:rFonts w:ascii="Segoe UI" w:hAnsi="Segoe UI"/>
        <w:b/>
        <w:color w:val="ffffff"/>
        <w:sz w:val="22"/>
      </w:rPr>
      <w:tcPr>
        <w:shd w:val="clear" w:color="000000" w:fill="000000"/>
      </w:tcPr>
    </w:tblStylePr>
    <w:tblStylePr w:type="lastRow">
      <w:rPr>
        <w:rFonts w:ascii="Segoe UI" w:hAnsi="Segoe UI"/>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customStyle="1">
    <w:name w:val="Grid Table 6 Colorful"/>
    <w:basedOn w:val="86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Segoe UI" w:hAnsi="Segoe UI"/>
        <w:color w:val="808080"/>
        <w:sz w:val="22"/>
      </w:rPr>
      <w:tcPr>
        <w:shd w:val="clear" w:color="cacaca" w:fill="cacaca"/>
      </w:tcPr>
    </w:tblStylePr>
    <w:tblStylePr w:type="band1Vert">
      <w:tcPr>
        <w:shd w:val="clear" w:color="cacaca" w:fill="cacaca"/>
      </w:tcPr>
    </w:tblStylePr>
    <w:tblStylePr w:type="band2Horz">
      <w:rPr>
        <w:rFonts w:ascii="Segoe UI" w:hAnsi="Segoe UI"/>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38" w:customStyle="1">
    <w:name w:val="Grid Table 7 Colorful"/>
    <w:basedOn w:val="868"/>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Segoe UI" w:hAnsi="Segoe UI"/>
        <w:color w:val="808080"/>
        <w:sz w:val="22"/>
      </w:rPr>
      <w:tcPr>
        <w:shd w:val="clear" w:color="f1f1f1" w:fill="f1f1f1"/>
      </w:tcPr>
    </w:tblStylePr>
    <w:tblStylePr w:type="band1Vert">
      <w:tcPr>
        <w:shd w:val="clear" w:color="f1f1f1" w:fill="f1f1f1"/>
      </w:tcPr>
    </w:tblStylePr>
    <w:tblStylePr w:type="band2Horz">
      <w:rPr>
        <w:rFonts w:ascii="Segoe UI" w:hAnsi="Segoe UI"/>
        <w:color w:val="808080"/>
        <w:sz w:val="22"/>
      </w:rPr>
    </w:tblStylePr>
    <w:tblStylePr w:type="firstCol">
      <w:rPr>
        <w:rFonts w:ascii="Segoe UI" w:hAnsi="Segoe UI"/>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Segoe UI" w:hAnsi="Segoe UI"/>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Segoe UI" w:hAnsi="Segoe UI"/>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List Table 1 Light"/>
    <w:basedOn w:val="868"/>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List Table 2"/>
    <w:basedOn w:val="868"/>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Segoe UI" w:hAnsi="Segoe UI"/>
        <w:color w:val="404040"/>
        <w:sz w:val="22"/>
      </w:rPr>
      <w:tcPr>
        <w:shd w:val="clear" w:color="bebebe" w:fill="bebebe"/>
      </w:tcPr>
    </w:tblStylePr>
    <w:tblStylePr w:type="band1Vert">
      <w:rPr>
        <w:rFonts w:ascii="Segoe UI" w:hAnsi="Segoe UI"/>
        <w:color w:val="404040"/>
        <w:sz w:val="22"/>
      </w:rPr>
      <w:tcPr>
        <w:shd w:val="clear" w:color="bebebe" w:fill="bebebe"/>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941" w:customStyle="1">
    <w:name w:val="List Table 3"/>
    <w:basedOn w:val="868"/>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Segoe UI" w:hAnsi="Segoe U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000000" w:fill="000000"/>
      </w:tcPr>
    </w:tblStylePr>
    <w:tblStylePr w:type="lastCol">
      <w:rPr>
        <w:b/>
        <w:color w:val="404040"/>
      </w:rPr>
    </w:tblStylePr>
    <w:tblStylePr w:type="lastRow">
      <w:rPr>
        <w:b/>
        <w:color w:val="404040"/>
      </w:rPr>
    </w:tblStylePr>
  </w:style>
  <w:style w:type="table" w:styleId="942" w:customStyle="1">
    <w:name w:val="List Table 4"/>
    <w:basedOn w:val="86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Segoe UI" w:hAnsi="Segoe UI"/>
        <w:color w:val="404040"/>
        <w:sz w:val="22"/>
      </w:rPr>
      <w:tcPr>
        <w:shd w:val="clear" w:color="bebebe" w:fill="bebebe"/>
      </w:tcPr>
    </w:tblStylePr>
    <w:tblStylePr w:type="band1Vert">
      <w:rPr>
        <w:rFonts w:ascii="Segoe UI" w:hAnsi="Segoe UI"/>
        <w:color w:val="404040"/>
        <w:sz w:val="22"/>
      </w:rPr>
      <w:tcPr>
        <w:shd w:val="clear" w:color="bebebe" w:fill="bebebe"/>
      </w:tcPr>
    </w:tblStylePr>
    <w:tblStylePr w:type="firstCol">
      <w:rPr>
        <w:b/>
        <w:color w:val="404040"/>
      </w:rPr>
    </w:tblStylePr>
    <w:tblStylePr w:type="firstRow">
      <w:rPr>
        <w:rFonts w:ascii="Segoe UI" w:hAnsi="Segoe UI"/>
        <w:b/>
        <w:color w:val="ffffff"/>
        <w:sz w:val="22"/>
      </w:rPr>
      <w:tcPr>
        <w:shd w:val="clear" w:color="000000" w:fill="000000"/>
      </w:tcPr>
    </w:tblStylePr>
    <w:tblStylePr w:type="lastCol">
      <w:rPr>
        <w:b/>
        <w:color w:val="404040"/>
      </w:rPr>
    </w:tblStylePr>
    <w:tblStylePr w:type="lastRow">
      <w:rPr>
        <w:b/>
        <w:color w:val="404040"/>
      </w:rPr>
    </w:tblStylePr>
  </w:style>
  <w:style w:type="table" w:styleId="943" w:customStyle="1">
    <w:name w:val="List Table 5 Dark"/>
    <w:basedOn w:val="868"/>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944" w:customStyle="1">
    <w:name w:val="List Table 6 Colorful"/>
    <w:basedOn w:val="868"/>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Segoe UI" w:hAnsi="Segoe UI"/>
        <w:color w:val="000000"/>
        <w:sz w:val="22"/>
      </w:rPr>
      <w:tcPr>
        <w:shd w:val="clear" w:color="bebebe" w:fill="bebebe"/>
      </w:tcPr>
    </w:tblStylePr>
    <w:tblStylePr w:type="band1Vert">
      <w:tcPr>
        <w:shd w:val="clear" w:color="bebebe" w:fill="bebebe"/>
      </w:tcPr>
    </w:tblStylePr>
    <w:tblStylePr w:type="band2Horz">
      <w:rPr>
        <w:rFonts w:ascii="Segoe UI" w:hAnsi="Segoe UI"/>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List Table 7 Colorful"/>
    <w:basedOn w:val="868"/>
    <w:uiPriority w:val="99"/>
    <w:qFormat/>
    <w:tblPr>
      <w:tblBorders>
        <w:right w:val="single" w:color="7E7E7E" w:sz="4" w:space="0"/>
      </w:tblBorders>
      <w:tblCellMar>
        <w:left w:w="108" w:type="dxa"/>
        <w:top w:w="0" w:type="dxa"/>
        <w:right w:w="108" w:type="dxa"/>
        <w:bottom w:w="0" w:type="dxa"/>
      </w:tblCellMar>
    </w:tblPr>
    <w:tblStylePr w:type="band1Horz">
      <w:rPr>
        <w:rFonts w:ascii="Segoe UI" w:hAnsi="Segoe UI"/>
        <w:color w:val="808080"/>
        <w:sz w:val="22"/>
      </w:rPr>
      <w:tcPr>
        <w:shd w:val="clear" w:color="bebebe" w:fill="bebebe"/>
      </w:tcPr>
    </w:tblStylePr>
    <w:tblStylePr w:type="band1Vert">
      <w:tcPr>
        <w:shd w:val="clear" w:color="bebebe" w:fill="bebebe"/>
      </w:tcPr>
    </w:tblStylePr>
    <w:tblStylePr w:type="band2Horz">
      <w:rPr>
        <w:rFonts w:ascii="Segoe UI" w:hAnsi="Segoe UI"/>
        <w:color w:val="808080"/>
        <w:sz w:val="22"/>
      </w:rPr>
    </w:tblStylePr>
    <w:tblStylePr w:type="firstCol">
      <w:rPr>
        <w:rFonts w:ascii="Segoe UI" w:hAnsi="Segoe UI"/>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Segoe UI" w:hAnsi="Segoe UI"/>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Segoe UI" w:hAnsi="Segoe UI"/>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46" w:customStyle="1">
    <w:name w:val="Footnote Text Char"/>
    <w:uiPriority w:val="99"/>
    <w:qFormat/>
    <w:rPr>
      <w:sz w:val="18"/>
    </w:rPr>
  </w:style>
  <w:style w:type="character" w:styleId="947" w:customStyle="1">
    <w:name w:val="Endnote Text Char"/>
    <w:uiPriority w:val="99"/>
    <w:qFormat/>
    <w:rPr>
      <w:sz w:val="20"/>
    </w:rPr>
  </w:style>
  <w:style w:type="paragraph" w:styleId="948" w:customStyle="1">
    <w:name w:val="TOC 标题1"/>
    <w:uiPriority w:val="39"/>
    <w:unhideWhenUsed/>
    <w:qFormat/>
    <w:rPr>
      <w:rFonts w:hint="default" w:ascii="Calibri" w:hAnsi="Calibri" w:eastAsia="宋体" w:cs="Times New Roman"/>
      <w:lang w:eastAsia="zh-CN"/>
    </w:rPr>
  </w:style>
  <w:style w:type="paragraph" w:styleId="949">
    <w:name w:val="No Spacing"/>
    <w:uiPriority w:val="1"/>
    <w:qFormat/>
    <w:rPr>
      <w:rFonts w:hint="default" w:ascii="Calibri" w:hAnsi="Calibri" w:eastAsia="宋体" w:cs="Times New Roman"/>
      <w:lang w:eastAsia="zh-CN"/>
    </w:rPr>
  </w:style>
  <w:style w:type="paragraph" w:styleId="950">
    <w:name w:val="Quote"/>
    <w:basedOn w:val="866"/>
    <w:next w:val="866"/>
    <w:link w:val="951"/>
    <w:uiPriority w:val="29"/>
    <w:qFormat/>
    <w:pPr>
      <w:ind w:left="720" w:right="720"/>
    </w:pPr>
    <w:rPr>
      <w:i/>
    </w:rPr>
  </w:style>
  <w:style w:type="character" w:styleId="951" w:customStyle="1">
    <w:name w:val="引用 Char"/>
    <w:link w:val="950"/>
    <w:uiPriority w:val="29"/>
    <w:qFormat/>
    <w:rPr>
      <w:i/>
    </w:rPr>
  </w:style>
  <w:style w:type="paragraph" w:styleId="952">
    <w:name w:val="Intense Quote"/>
    <w:basedOn w:val="866"/>
    <w:next w:val="866"/>
    <w:link w:val="9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明显引用 Char"/>
    <w:link w:val="952"/>
    <w:uiPriority w:val="30"/>
    <w:qFormat/>
    <w:rPr>
      <w:i/>
    </w:rPr>
  </w:style>
  <w:style w:type="table" w:styleId="95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55"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Segoe UI" w:hAnsi="Segoe UI"/>
        <w:b/>
        <w:color w:val="404040"/>
        <w:sz w:val="22"/>
      </w:rPr>
    </w:tblStylePr>
    <w:tblStylePr w:type="firstRow">
      <w:rPr>
        <w:rFonts w:ascii="Segoe UI" w:hAnsi="Segoe UI"/>
        <w:b/>
        <w:color w:val="404040"/>
        <w:sz w:val="22"/>
      </w:rPr>
    </w:tblStylePr>
    <w:tblStylePr w:type="lastCol">
      <w:rPr>
        <w:rFonts w:ascii="Segoe UI" w:hAnsi="Segoe UI"/>
        <w:b/>
        <w:color w:val="404040"/>
        <w:sz w:val="22"/>
      </w:rPr>
    </w:tblStylePr>
    <w:tblStylePr w:type="lastRow">
      <w:rPr>
        <w:rFonts w:ascii="Segoe UI" w:hAnsi="Segoe UI"/>
        <w:b/>
        <w:color w:val="404040"/>
        <w:sz w:val="22"/>
      </w:rPr>
    </w:tblStylePr>
  </w:style>
  <w:style w:type="table" w:styleId="956" w:customStyle="1">
    <w:name w:val="无格式表格 21"/>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blStylePr>
  </w:style>
  <w:style w:type="table" w:styleId="957" w:customStyle="1">
    <w:name w:val="无格式表格 31"/>
    <w:uiPriority w:val="99"/>
    <w:qFormat/>
    <w:tblPr>
      <w:tblCellMar>
        <w:left w:w="0" w:type="dxa"/>
        <w:top w:w="0" w:type="dxa"/>
        <w:right w:w="0" w:type="dxa"/>
        <w:bottom w:w="0" w:type="dxa"/>
      </w:tblCellMar>
    </w:tblPr>
    <w:tblStylePr w:type="band1Horz">
      <w:rPr>
        <w:rFonts w:ascii="Segoe UI" w:hAnsi="Segoe UI"/>
        <w:color w:val="404040"/>
        <w:sz w:val="22"/>
      </w:rPr>
      <w:tcPr>
        <w:shd w:val="clear" w:color="f1f1f1" w:fill="f1f1f1"/>
      </w:tcPr>
    </w:tblStylePr>
    <w:tblStylePr w:type="band1Vert">
      <w:rPr>
        <w:rFonts w:ascii="Segoe UI" w:hAnsi="Segoe UI"/>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uiPriority w:val="99"/>
    <w:qFormat/>
    <w:tblPr>
      <w:tblCellMar>
        <w:left w:w="0" w:type="dxa"/>
        <w:top w:w="0" w:type="dxa"/>
        <w:right w:w="0" w:type="dxa"/>
        <w:bottom w:w="0" w:type="dxa"/>
      </w:tblCellMar>
    </w:tblPr>
    <w:tblStylePr w:type="band1Horz">
      <w:rPr>
        <w:rFonts w:ascii="Segoe UI" w:hAnsi="Segoe UI"/>
        <w:color w:val="404040"/>
        <w:sz w:val="22"/>
      </w:rPr>
      <w:tcPr>
        <w:shd w:val="clear" w:color="f1f1f1" w:fill="f1f1f1"/>
      </w:tcPr>
    </w:tblStylePr>
    <w:tblStylePr w:type="band1Vert">
      <w:rPr>
        <w:rFonts w:ascii="Segoe UI" w:hAnsi="Segoe UI"/>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uiPriority w:val="99"/>
    <w:qFormat/>
    <w:tblPr>
      <w:tblCellMar>
        <w:left w:w="0" w:type="dxa"/>
        <w:top w:w="0" w:type="dxa"/>
        <w:right w:w="0" w:type="dxa"/>
        <w:bottom w:w="0" w:type="dxa"/>
      </w:tblCellMar>
    </w:tblPr>
    <w:tblStylePr w:type="band1Horz">
      <w:rPr>
        <w:rFonts w:ascii="Segoe UI" w:hAnsi="Segoe UI"/>
        <w:color w:val="404040"/>
        <w:sz w:val="22"/>
      </w:rPr>
      <w:tcPr>
        <w:shd w:val="clear" w:color="f1f1f1" w:fill="f1f1f1"/>
      </w:tcPr>
    </w:tblStylePr>
    <w:tblStylePr w:type="band1Vert">
      <w:rPr>
        <w:rFonts w:ascii="Segoe UI" w:hAnsi="Segoe UI"/>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Segoe UI" w:hAnsi="Segoe UI"/>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1"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Segoe UI" w:hAnsi="Segoe UI"/>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2"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Segoe UI" w:hAnsi="Segoe UI"/>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Segoe UI" w:hAnsi="Segoe UI"/>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Segoe UI" w:hAnsi="Segoe UI"/>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5"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Segoe UI" w:hAnsi="Segoe UI"/>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Segoe UI" w:hAnsi="Segoe UI"/>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67"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Segoe UI" w:hAnsi="Segoe UI"/>
        <w:color w:val="404040"/>
        <w:sz w:val="22"/>
      </w:rPr>
      <w:tcPr>
        <w:shd w:val="clear" w:color="cacaca" w:fill="cacaca"/>
      </w:tcPr>
    </w:tblStylePr>
    <w:tblStylePr w:type="band1Vert">
      <w:rPr>
        <w:rFonts w:ascii="Segoe UI" w:hAnsi="Segoe UI"/>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Segoe UI" w:hAnsi="Segoe UI"/>
        <w:color w:val="404040"/>
        <w:sz w:val="22"/>
      </w:rPr>
      <w:tcPr>
        <w:shd w:val="clear" w:color="dbe5f1" w:fill="dbe5f1"/>
      </w:tcPr>
    </w:tblStylePr>
    <w:tblStylePr w:type="band1Vert">
      <w:rPr>
        <w:rFonts w:ascii="Segoe UI" w:hAnsi="Segoe UI"/>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Segoe UI" w:hAnsi="Segoe UI"/>
        <w:color w:val="404040"/>
        <w:sz w:val="22"/>
      </w:rPr>
      <w:tcPr>
        <w:shd w:val="clear" w:color="f2dcdc" w:fill="f2dcdc"/>
      </w:tcPr>
    </w:tblStylePr>
    <w:tblStylePr w:type="band1Vert">
      <w:rPr>
        <w:rFonts w:ascii="Segoe UI" w:hAnsi="Segoe UI"/>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Segoe UI" w:hAnsi="Segoe UI"/>
        <w:color w:val="404040"/>
        <w:sz w:val="22"/>
      </w:rPr>
      <w:tcPr>
        <w:shd w:val="clear" w:color="eaf1dd" w:fill="eaf1dd"/>
      </w:tcPr>
    </w:tblStylePr>
    <w:tblStylePr w:type="band1Vert">
      <w:rPr>
        <w:rFonts w:ascii="Segoe UI" w:hAnsi="Segoe UI"/>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Segoe UI" w:hAnsi="Segoe UI"/>
        <w:color w:val="404040"/>
        <w:sz w:val="22"/>
      </w:rPr>
      <w:tcPr>
        <w:shd w:val="clear" w:color="e5dfec" w:fill="e5dfec"/>
      </w:tcPr>
    </w:tblStylePr>
    <w:tblStylePr w:type="band1Vert">
      <w:rPr>
        <w:rFonts w:ascii="Segoe UI" w:hAnsi="Segoe UI"/>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Segoe UI" w:hAnsi="Segoe UI"/>
        <w:color w:val="404040"/>
        <w:sz w:val="22"/>
      </w:rPr>
      <w:tcPr>
        <w:shd w:val="clear" w:color="daeef3" w:fill="daeef3"/>
      </w:tcPr>
    </w:tblStylePr>
    <w:tblStylePr w:type="band1Vert">
      <w:rPr>
        <w:rFonts w:ascii="Segoe UI" w:hAnsi="Segoe UI"/>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Segoe UI" w:hAnsi="Segoe UI"/>
        <w:color w:val="404040"/>
        <w:sz w:val="22"/>
      </w:rPr>
      <w:tcPr>
        <w:shd w:val="clear" w:color="fde9d9" w:fill="fde9d9"/>
      </w:tcPr>
    </w:tblStylePr>
    <w:tblStylePr w:type="band1Vert">
      <w:rPr>
        <w:rFonts w:ascii="Segoe UI" w:hAnsi="Segoe UI"/>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Segoe UI" w:hAnsi="Segoe UI"/>
        <w:color w:val="404040"/>
        <w:sz w:val="22"/>
      </w:rPr>
      <w:tcPr>
        <w:shd w:val="clear" w:color="cacaca" w:fill="cacaca"/>
      </w:tcPr>
    </w:tblStylePr>
    <w:tblStylePr w:type="band1Vert">
      <w:rPr>
        <w:rFonts w:ascii="Segoe UI" w:hAnsi="Segoe UI"/>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Segoe UI" w:hAnsi="Segoe UI"/>
        <w:color w:val="404040"/>
        <w:sz w:val="22"/>
      </w:rPr>
      <w:tcPr>
        <w:shd w:val="clear" w:color="dbe5f1" w:fill="dbe5f1"/>
      </w:tcPr>
    </w:tblStylePr>
    <w:tblStylePr w:type="band1Vert">
      <w:rPr>
        <w:rFonts w:ascii="Segoe UI" w:hAnsi="Segoe UI"/>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Segoe UI" w:hAnsi="Segoe UI"/>
        <w:color w:val="404040"/>
        <w:sz w:val="22"/>
      </w:rPr>
      <w:tcPr>
        <w:shd w:val="clear" w:color="f2dcdc" w:fill="f2dcdc"/>
      </w:tcPr>
    </w:tblStylePr>
    <w:tblStylePr w:type="band1Vert">
      <w:rPr>
        <w:rFonts w:ascii="Segoe UI" w:hAnsi="Segoe UI"/>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Segoe UI" w:hAnsi="Segoe UI"/>
        <w:color w:val="404040"/>
        <w:sz w:val="22"/>
      </w:rPr>
      <w:tcPr>
        <w:shd w:val="clear" w:color="eaf1dd" w:fill="eaf1dd"/>
      </w:tcPr>
    </w:tblStylePr>
    <w:tblStylePr w:type="band1Vert">
      <w:rPr>
        <w:rFonts w:ascii="Segoe UI" w:hAnsi="Segoe UI"/>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Segoe UI" w:hAnsi="Segoe UI"/>
        <w:color w:val="404040"/>
        <w:sz w:val="22"/>
      </w:rPr>
      <w:tcPr>
        <w:shd w:val="clear" w:color="e5dfec" w:fill="e5dfec"/>
      </w:tcPr>
    </w:tblStylePr>
    <w:tblStylePr w:type="band1Vert">
      <w:rPr>
        <w:rFonts w:ascii="Segoe UI" w:hAnsi="Segoe UI"/>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Segoe UI" w:hAnsi="Segoe UI"/>
        <w:color w:val="404040"/>
        <w:sz w:val="22"/>
      </w:rPr>
      <w:tcPr>
        <w:shd w:val="clear" w:color="daeef3" w:fill="daeef3"/>
      </w:tcPr>
    </w:tblStylePr>
    <w:tblStylePr w:type="band1Vert">
      <w:rPr>
        <w:rFonts w:ascii="Segoe UI" w:hAnsi="Segoe UI"/>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Segoe UI" w:hAnsi="Segoe UI"/>
        <w:color w:val="404040"/>
        <w:sz w:val="22"/>
      </w:rPr>
      <w:tcPr>
        <w:shd w:val="clear" w:color="fde9d9" w:fill="fde9d9"/>
      </w:tcPr>
    </w:tblStylePr>
    <w:tblStylePr w:type="band1Vert">
      <w:rPr>
        <w:rFonts w:ascii="Segoe UI" w:hAnsi="Segoe UI"/>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1"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Segoe UI" w:hAnsi="Segoe UI"/>
        <w:color w:val="404040"/>
        <w:sz w:val="22"/>
      </w:rPr>
      <w:tcPr>
        <w:shd w:val="clear" w:color="cacaca" w:fill="cacaca"/>
      </w:tcPr>
    </w:tblStylePr>
    <w:tblStylePr w:type="band1Vert">
      <w:rPr>
        <w:rFonts w:ascii="Segoe UI" w:hAnsi="Segoe UI"/>
        <w:color w:val="404040"/>
        <w:sz w:val="22"/>
      </w:rPr>
      <w:tcPr>
        <w:shd w:val="clear" w:color="cacaca" w:fill="cacaca"/>
      </w:tcPr>
    </w:tblStylePr>
    <w:tblStylePr w:type="firstCol">
      <w:rPr>
        <w:b/>
        <w:color w:val="404040"/>
      </w:rPr>
    </w:tblStylePr>
    <w:tblStylePr w:type="firstRow">
      <w:rPr>
        <w:rFonts w:ascii="Segoe UI" w:hAnsi="Segoe UI"/>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Segoe UI" w:hAnsi="Segoe UI"/>
        <w:color w:val="404040"/>
        <w:sz w:val="22"/>
      </w:rPr>
      <w:tcPr>
        <w:shd w:val="clear" w:color="dce6f2" w:fill="dce6f2"/>
      </w:tcPr>
    </w:tblStylePr>
    <w:tblStylePr w:type="band1Vert">
      <w:rPr>
        <w:rFonts w:ascii="Segoe UI" w:hAnsi="Segoe UI"/>
        <w:color w:val="404040"/>
        <w:sz w:val="22"/>
      </w:rPr>
      <w:tcPr>
        <w:shd w:val="clear" w:color="dce6f2" w:fill="dce6f2"/>
      </w:tcPr>
    </w:tblStylePr>
    <w:tblStylePr w:type="firstCol">
      <w:rPr>
        <w:b/>
        <w:color w:val="404040"/>
      </w:rPr>
    </w:tblStylePr>
    <w:tblStylePr w:type="firstRow">
      <w:rPr>
        <w:rFonts w:ascii="Segoe UI" w:hAnsi="Segoe UI"/>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Segoe UI" w:hAnsi="Segoe UI"/>
        <w:color w:val="404040"/>
        <w:sz w:val="22"/>
      </w:rPr>
      <w:tcPr>
        <w:shd w:val="clear" w:color="f2dcdc" w:fill="f2dcdc"/>
      </w:tcPr>
    </w:tblStylePr>
    <w:tblStylePr w:type="band1Vert">
      <w:rPr>
        <w:rFonts w:ascii="Segoe UI" w:hAnsi="Segoe UI"/>
        <w:color w:val="404040"/>
        <w:sz w:val="22"/>
      </w:rPr>
      <w:tcPr>
        <w:shd w:val="clear" w:color="f2dcdc" w:fill="f2dcdc"/>
      </w:tcPr>
    </w:tblStylePr>
    <w:tblStylePr w:type="firstCol">
      <w:rPr>
        <w:b/>
        <w:color w:val="404040"/>
      </w:rPr>
    </w:tblStylePr>
    <w:tblStylePr w:type="firstRow">
      <w:rPr>
        <w:rFonts w:ascii="Segoe UI" w:hAnsi="Segoe UI"/>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Segoe UI" w:hAnsi="Segoe UI"/>
        <w:color w:val="404040"/>
        <w:sz w:val="22"/>
      </w:rPr>
      <w:tcPr>
        <w:shd w:val="clear" w:color="eaf1dd" w:fill="eaf1dd"/>
      </w:tcPr>
    </w:tblStylePr>
    <w:tblStylePr w:type="band1Vert">
      <w:rPr>
        <w:rFonts w:ascii="Segoe UI" w:hAnsi="Segoe UI"/>
        <w:color w:val="404040"/>
        <w:sz w:val="22"/>
      </w:rPr>
      <w:tcPr>
        <w:shd w:val="clear" w:color="eaf1dd" w:fill="eaf1dd"/>
      </w:tcPr>
    </w:tblStylePr>
    <w:tblStylePr w:type="firstCol">
      <w:rPr>
        <w:b/>
        <w:color w:val="404040"/>
      </w:rPr>
    </w:tblStylePr>
    <w:tblStylePr w:type="firstRow">
      <w:rPr>
        <w:rFonts w:ascii="Segoe UI" w:hAnsi="Segoe UI"/>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Segoe UI" w:hAnsi="Segoe UI"/>
        <w:color w:val="404040"/>
        <w:sz w:val="22"/>
      </w:rPr>
      <w:tcPr>
        <w:shd w:val="clear" w:color="e5dfec" w:fill="e5dfec"/>
      </w:tcPr>
    </w:tblStylePr>
    <w:tblStylePr w:type="band1Vert">
      <w:rPr>
        <w:rFonts w:ascii="Segoe UI" w:hAnsi="Segoe UI"/>
        <w:color w:val="404040"/>
        <w:sz w:val="22"/>
      </w:rPr>
      <w:tcPr>
        <w:shd w:val="clear" w:color="e5dfec" w:fill="e5dfec"/>
      </w:tcPr>
    </w:tblStylePr>
    <w:tblStylePr w:type="firstCol">
      <w:rPr>
        <w:b/>
        <w:color w:val="404040"/>
      </w:rPr>
    </w:tblStylePr>
    <w:tblStylePr w:type="firstRow">
      <w:rPr>
        <w:rFonts w:ascii="Segoe UI" w:hAnsi="Segoe UI"/>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Segoe UI" w:hAnsi="Segoe UI"/>
        <w:color w:val="404040"/>
        <w:sz w:val="22"/>
      </w:rPr>
      <w:tcPr>
        <w:shd w:val="clear" w:color="daeef3" w:fill="daeef3"/>
      </w:tcPr>
    </w:tblStylePr>
    <w:tblStylePr w:type="band1Vert">
      <w:rPr>
        <w:rFonts w:ascii="Segoe UI" w:hAnsi="Segoe UI"/>
        <w:color w:val="404040"/>
        <w:sz w:val="22"/>
      </w:rPr>
      <w:tcPr>
        <w:shd w:val="clear" w:color="daeef3" w:fill="daeef3"/>
      </w:tcPr>
    </w:tblStylePr>
    <w:tblStylePr w:type="firstCol">
      <w:rPr>
        <w:b/>
        <w:color w:val="404040"/>
      </w:rPr>
    </w:tblStylePr>
    <w:tblStylePr w:type="firstRow">
      <w:rPr>
        <w:rFonts w:ascii="Segoe UI" w:hAnsi="Segoe UI"/>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Segoe UI" w:hAnsi="Segoe UI"/>
        <w:color w:val="404040"/>
        <w:sz w:val="22"/>
      </w:rPr>
      <w:tcPr>
        <w:shd w:val="clear" w:color="fde9d9" w:fill="fde9d9"/>
      </w:tcPr>
    </w:tblStylePr>
    <w:tblStylePr w:type="band1Vert">
      <w:rPr>
        <w:rFonts w:ascii="Segoe UI" w:hAnsi="Segoe UI"/>
        <w:color w:val="404040"/>
        <w:sz w:val="22"/>
      </w:rPr>
      <w:tcPr>
        <w:shd w:val="clear" w:color="fde9d9" w:fill="fde9d9"/>
      </w:tcPr>
    </w:tblStylePr>
    <w:tblStylePr w:type="firstCol">
      <w:rPr>
        <w:b/>
        <w:color w:val="404040"/>
      </w:rPr>
    </w:tblStylePr>
    <w:tblStylePr w:type="firstRow">
      <w:rPr>
        <w:rFonts w:ascii="Segoe UI" w:hAnsi="Segoe UI"/>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Segoe UI" w:hAnsi="Segoe UI"/>
        <w:b/>
        <w:color w:val="ffffff"/>
        <w:sz w:val="22"/>
      </w:rPr>
      <w:tcPr>
        <w:shd w:val="clear" w:color="000000" w:fill="000000"/>
      </w:tcPr>
    </w:tblStylePr>
    <w:tblStylePr w:type="firstRow">
      <w:rPr>
        <w:rFonts w:ascii="Segoe UI" w:hAnsi="Segoe UI"/>
        <w:b/>
        <w:color w:val="ffffff"/>
        <w:sz w:val="22"/>
      </w:rPr>
      <w:tcPr>
        <w:shd w:val="clear" w:color="000000" w:fill="000000"/>
      </w:tcPr>
    </w:tblStylePr>
    <w:tblStylePr w:type="lastCol">
      <w:rPr>
        <w:rFonts w:ascii="Segoe UI" w:hAnsi="Segoe UI"/>
        <w:b/>
        <w:color w:val="ffffff"/>
        <w:sz w:val="22"/>
      </w:rPr>
      <w:tcPr>
        <w:shd w:val="clear" w:color="000000" w:fill="000000"/>
      </w:tcPr>
    </w:tblStylePr>
    <w:tblStylePr w:type="lastRow">
      <w:rPr>
        <w:rFonts w:ascii="Segoe UI" w:hAnsi="Segoe UI"/>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Segoe UI" w:hAnsi="Segoe UI"/>
        <w:b/>
        <w:color w:val="ffffff"/>
        <w:sz w:val="22"/>
      </w:rPr>
      <w:tcPr>
        <w:shd w:val="clear" w:color="4f81bd" w:fill="4f81bd"/>
      </w:tcPr>
    </w:tblStylePr>
    <w:tblStylePr w:type="firstRow">
      <w:rPr>
        <w:rFonts w:ascii="Segoe UI" w:hAnsi="Segoe UI"/>
        <w:b/>
        <w:color w:val="ffffff"/>
        <w:sz w:val="22"/>
      </w:rPr>
      <w:tcPr>
        <w:shd w:val="clear" w:color="4f81bd" w:fill="4f81bd"/>
      </w:tcPr>
    </w:tblStylePr>
    <w:tblStylePr w:type="lastCol">
      <w:rPr>
        <w:rFonts w:ascii="Segoe UI" w:hAnsi="Segoe UI"/>
        <w:b/>
        <w:color w:val="ffffff"/>
        <w:sz w:val="22"/>
      </w:rPr>
      <w:tcPr>
        <w:shd w:val="clear" w:color="4f81bd" w:fill="4f81bd"/>
      </w:tcPr>
    </w:tblStylePr>
    <w:tblStylePr w:type="lastRow">
      <w:rPr>
        <w:rFonts w:ascii="Segoe UI" w:hAnsi="Segoe UI"/>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Segoe UI" w:hAnsi="Segoe UI"/>
        <w:b/>
        <w:color w:val="ffffff"/>
        <w:sz w:val="22"/>
      </w:rPr>
      <w:tcPr>
        <w:shd w:val="clear" w:color="c0504d" w:fill="c0504d"/>
      </w:tcPr>
    </w:tblStylePr>
    <w:tblStylePr w:type="firstRow">
      <w:rPr>
        <w:rFonts w:ascii="Segoe UI" w:hAnsi="Segoe UI"/>
        <w:b/>
        <w:color w:val="ffffff"/>
        <w:sz w:val="22"/>
      </w:rPr>
      <w:tcPr>
        <w:shd w:val="clear" w:color="c0504d" w:fill="c0504d"/>
      </w:tcPr>
    </w:tblStylePr>
    <w:tblStylePr w:type="lastCol">
      <w:rPr>
        <w:rFonts w:ascii="Segoe UI" w:hAnsi="Segoe UI"/>
        <w:b/>
        <w:color w:val="ffffff"/>
        <w:sz w:val="22"/>
      </w:rPr>
      <w:tcPr>
        <w:shd w:val="clear" w:color="c0504d" w:fill="c0504d"/>
      </w:tcPr>
    </w:tblStylePr>
    <w:tblStylePr w:type="lastRow">
      <w:rPr>
        <w:rFonts w:ascii="Segoe UI" w:hAnsi="Segoe UI"/>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Segoe UI" w:hAnsi="Segoe UI"/>
        <w:b/>
        <w:color w:val="ffffff"/>
        <w:sz w:val="22"/>
      </w:rPr>
      <w:tcPr>
        <w:shd w:val="clear" w:color="9bbb59" w:fill="9bbb59"/>
      </w:tcPr>
    </w:tblStylePr>
    <w:tblStylePr w:type="firstRow">
      <w:rPr>
        <w:rFonts w:ascii="Segoe UI" w:hAnsi="Segoe UI"/>
        <w:b/>
        <w:color w:val="ffffff"/>
        <w:sz w:val="22"/>
      </w:rPr>
      <w:tcPr>
        <w:shd w:val="clear" w:color="9bbb59" w:fill="9bbb59"/>
      </w:tcPr>
    </w:tblStylePr>
    <w:tblStylePr w:type="lastCol">
      <w:rPr>
        <w:rFonts w:ascii="Segoe UI" w:hAnsi="Segoe UI"/>
        <w:b/>
        <w:color w:val="ffffff"/>
        <w:sz w:val="22"/>
      </w:rPr>
      <w:tcPr>
        <w:shd w:val="clear" w:color="9bbb59" w:fill="9bbb59"/>
      </w:tcPr>
    </w:tblStylePr>
    <w:tblStylePr w:type="lastRow">
      <w:rPr>
        <w:rFonts w:ascii="Segoe UI" w:hAnsi="Segoe UI"/>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Segoe UI" w:hAnsi="Segoe UI"/>
        <w:b/>
        <w:color w:val="ffffff"/>
        <w:sz w:val="22"/>
      </w:rPr>
      <w:tcPr>
        <w:shd w:val="clear" w:color="8064a2" w:fill="8064a2"/>
      </w:tcPr>
    </w:tblStylePr>
    <w:tblStylePr w:type="firstRow">
      <w:rPr>
        <w:rFonts w:ascii="Segoe UI" w:hAnsi="Segoe UI"/>
        <w:b/>
        <w:color w:val="ffffff"/>
        <w:sz w:val="22"/>
      </w:rPr>
      <w:tcPr>
        <w:shd w:val="clear" w:color="8064a2" w:fill="8064a2"/>
      </w:tcPr>
    </w:tblStylePr>
    <w:tblStylePr w:type="lastCol">
      <w:rPr>
        <w:rFonts w:ascii="Segoe UI" w:hAnsi="Segoe UI"/>
        <w:b/>
        <w:color w:val="ffffff"/>
        <w:sz w:val="22"/>
      </w:rPr>
      <w:tcPr>
        <w:shd w:val="clear" w:color="8064a2" w:fill="8064a2"/>
      </w:tcPr>
    </w:tblStylePr>
    <w:tblStylePr w:type="lastRow">
      <w:rPr>
        <w:rFonts w:ascii="Segoe UI" w:hAnsi="Segoe UI"/>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Segoe UI" w:hAnsi="Segoe UI"/>
        <w:b/>
        <w:color w:val="ffffff"/>
        <w:sz w:val="22"/>
      </w:rPr>
      <w:tcPr>
        <w:shd w:val="clear" w:color="4bacc6" w:fill="4bacc6"/>
      </w:tcPr>
    </w:tblStylePr>
    <w:tblStylePr w:type="firstRow">
      <w:rPr>
        <w:rFonts w:ascii="Segoe UI" w:hAnsi="Segoe UI"/>
        <w:b/>
        <w:color w:val="ffffff"/>
        <w:sz w:val="22"/>
      </w:rPr>
      <w:tcPr>
        <w:shd w:val="clear" w:color="4bacc6" w:fill="4bacc6"/>
      </w:tcPr>
    </w:tblStylePr>
    <w:tblStylePr w:type="lastCol">
      <w:rPr>
        <w:rFonts w:ascii="Segoe UI" w:hAnsi="Segoe UI"/>
        <w:b/>
        <w:color w:val="ffffff"/>
        <w:sz w:val="22"/>
      </w:rPr>
      <w:tcPr>
        <w:shd w:val="clear" w:color="4bacc6" w:fill="4bacc6"/>
      </w:tcPr>
    </w:tblStylePr>
    <w:tblStylePr w:type="lastRow">
      <w:rPr>
        <w:rFonts w:ascii="Segoe UI" w:hAnsi="Segoe UI"/>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Segoe UI" w:hAnsi="Segoe UI"/>
        <w:b/>
        <w:color w:val="ffffff"/>
        <w:sz w:val="22"/>
      </w:rPr>
      <w:tcPr>
        <w:shd w:val="clear" w:color="f79646" w:fill="f79646"/>
      </w:tcPr>
    </w:tblStylePr>
    <w:tblStylePr w:type="firstRow">
      <w:rPr>
        <w:rFonts w:ascii="Segoe UI" w:hAnsi="Segoe UI"/>
        <w:b/>
        <w:color w:val="ffffff"/>
        <w:sz w:val="22"/>
      </w:rPr>
      <w:tcPr>
        <w:shd w:val="clear" w:color="f79646" w:fill="f79646"/>
      </w:tcPr>
    </w:tblStylePr>
    <w:tblStylePr w:type="lastCol">
      <w:rPr>
        <w:rFonts w:ascii="Segoe UI" w:hAnsi="Segoe UI"/>
        <w:b/>
        <w:color w:val="ffffff"/>
        <w:sz w:val="22"/>
      </w:rPr>
      <w:tcPr>
        <w:shd w:val="clear" w:color="f79646" w:fill="f79646"/>
      </w:tcPr>
    </w:tblStylePr>
    <w:tblStylePr w:type="lastRow">
      <w:rPr>
        <w:rFonts w:ascii="Segoe UI" w:hAnsi="Segoe UI"/>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Segoe UI" w:hAnsi="Segoe UI"/>
        <w:color w:val="808080"/>
        <w:sz w:val="22"/>
      </w:rPr>
      <w:tcPr>
        <w:shd w:val="clear" w:color="cacaca" w:fill="cacaca"/>
      </w:tcPr>
    </w:tblStylePr>
    <w:tblStylePr w:type="band1Vert">
      <w:tcPr>
        <w:shd w:val="clear" w:color="cacaca" w:fill="cacaca"/>
      </w:tcPr>
    </w:tblStylePr>
    <w:tblStylePr w:type="band2Horz">
      <w:rPr>
        <w:rFonts w:ascii="Segoe UI" w:hAnsi="Segoe UI"/>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9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Segoe UI" w:hAnsi="Segoe UI"/>
        <w:color w:val="a7c0de"/>
        <w:sz w:val="22"/>
      </w:rPr>
      <w:tcPr>
        <w:shd w:val="clear" w:color="dbe5f1" w:fill="dbe5f1"/>
      </w:tcPr>
    </w:tblStylePr>
    <w:tblStylePr w:type="band1Vert">
      <w:tcPr>
        <w:shd w:val="clear" w:color="dbe5f1" w:fill="dbe5f1"/>
      </w:tcPr>
    </w:tblStylePr>
    <w:tblStylePr w:type="band2Horz">
      <w:rPr>
        <w:rFonts w:ascii="Segoe UI" w:hAnsi="Segoe UI"/>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997"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Segoe UI" w:hAnsi="Segoe UI"/>
        <w:color w:val="da9896"/>
        <w:sz w:val="22"/>
      </w:rPr>
      <w:tcPr>
        <w:shd w:val="clear" w:color="f2dcdc" w:fill="f2dcdc"/>
      </w:tcPr>
    </w:tblStylePr>
    <w:tblStylePr w:type="band1Vert">
      <w:tcPr>
        <w:shd w:val="clear" w:color="f2dcdc" w:fill="f2dcdc"/>
      </w:tcPr>
    </w:tblStylePr>
    <w:tblStylePr w:type="band2Horz">
      <w:rPr>
        <w:rFonts w:ascii="Segoe UI" w:hAnsi="Segoe UI"/>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998"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Segoe UI" w:hAnsi="Segoe UI"/>
        <w:color w:val="9bbb59"/>
        <w:sz w:val="22"/>
      </w:rPr>
      <w:tcPr>
        <w:shd w:val="clear" w:color="eaf1dd" w:fill="eaf1dd"/>
      </w:tcPr>
    </w:tblStylePr>
    <w:tblStylePr w:type="band1Vert">
      <w:tcPr>
        <w:shd w:val="clear" w:color="eaf1dd" w:fill="eaf1dd"/>
      </w:tcPr>
    </w:tblStylePr>
    <w:tblStylePr w:type="band2Horz">
      <w:rPr>
        <w:rFonts w:ascii="Segoe UI" w:hAnsi="Segoe UI"/>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9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Segoe UI" w:hAnsi="Segoe UI"/>
        <w:color w:val="b3a2c7"/>
        <w:sz w:val="22"/>
      </w:rPr>
      <w:tcPr>
        <w:shd w:val="clear" w:color="e5dfec" w:fill="e5dfec"/>
      </w:tcPr>
    </w:tblStylePr>
    <w:tblStylePr w:type="band1Vert">
      <w:tcPr>
        <w:shd w:val="clear" w:color="e5dfec" w:fill="e5dfec"/>
      </w:tcPr>
    </w:tblStylePr>
    <w:tblStylePr w:type="band2Horz">
      <w:rPr>
        <w:rFonts w:ascii="Segoe UI" w:hAnsi="Segoe UI"/>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10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Segoe UI" w:hAnsi="Segoe UI"/>
        <w:color w:val="266778"/>
        <w:sz w:val="22"/>
      </w:rPr>
      <w:tcPr>
        <w:shd w:val="clear" w:color="daeef3" w:fill="daeef3"/>
      </w:tcPr>
    </w:tblStylePr>
    <w:tblStylePr w:type="band1Vert">
      <w:tcPr>
        <w:shd w:val="clear" w:color="daeef3" w:fill="daeef3"/>
      </w:tcPr>
    </w:tblStylePr>
    <w:tblStylePr w:type="band2Horz">
      <w:rPr>
        <w:rFonts w:ascii="Segoe UI" w:hAnsi="Segoe UI"/>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10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Segoe UI" w:hAnsi="Segoe UI"/>
        <w:color w:val="266778"/>
        <w:sz w:val="22"/>
      </w:rPr>
      <w:tcPr>
        <w:shd w:val="clear" w:color="fde9d9" w:fill="fde9d9"/>
      </w:tcPr>
    </w:tblStylePr>
    <w:tblStylePr w:type="band1Vert">
      <w:tcPr>
        <w:shd w:val="clear" w:color="fde9d9" w:fill="fde9d9"/>
      </w:tcPr>
    </w:tblStylePr>
    <w:tblStylePr w:type="band2Horz">
      <w:rPr>
        <w:rFonts w:ascii="Segoe UI" w:hAnsi="Segoe UI"/>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1002"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Segoe UI" w:hAnsi="Segoe UI"/>
        <w:color w:val="808080"/>
        <w:sz w:val="22"/>
      </w:rPr>
      <w:tcPr>
        <w:shd w:val="clear" w:color="f1f1f1" w:fill="f1f1f1"/>
      </w:tcPr>
    </w:tblStylePr>
    <w:tblStylePr w:type="band1Vert">
      <w:tcPr>
        <w:shd w:val="clear" w:color="f1f1f1" w:fill="f1f1f1"/>
      </w:tcPr>
    </w:tblStylePr>
    <w:tblStylePr w:type="band2Horz">
      <w:rPr>
        <w:rFonts w:ascii="Segoe UI" w:hAnsi="Segoe UI"/>
        <w:color w:val="808080"/>
        <w:sz w:val="22"/>
      </w:rPr>
    </w:tblStylePr>
    <w:tblStylePr w:type="firstCol">
      <w:rPr>
        <w:rFonts w:ascii="Segoe UI" w:hAnsi="Segoe UI"/>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Segoe UI" w:hAnsi="Segoe UI"/>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Segoe UI" w:hAnsi="Segoe UI"/>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Segoe UI" w:hAnsi="Segoe UI"/>
        <w:color w:val="a7c0de"/>
        <w:sz w:val="22"/>
      </w:rPr>
      <w:tcPr>
        <w:shd w:val="clear" w:color="dbe5f1" w:fill="dbe5f1"/>
      </w:tcPr>
    </w:tblStylePr>
    <w:tblStylePr w:type="band1Vert">
      <w:tcPr>
        <w:shd w:val="clear" w:color="dbe5f1" w:fill="dbe5f1"/>
      </w:tcPr>
    </w:tblStylePr>
    <w:tblStylePr w:type="band2Horz">
      <w:rPr>
        <w:rFonts w:ascii="Segoe UI" w:hAnsi="Segoe UI"/>
        <w:color w:val="a7c0de"/>
        <w:sz w:val="22"/>
      </w:rPr>
    </w:tblStylePr>
    <w:tblStylePr w:type="firstCol">
      <w:rPr>
        <w:rFonts w:ascii="Segoe UI" w:hAnsi="Segoe UI"/>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Segoe UI" w:hAnsi="Segoe UI"/>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Segoe UI" w:hAnsi="Segoe UI"/>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4"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Segoe UI" w:hAnsi="Segoe UI"/>
        <w:color w:val="da9896"/>
        <w:sz w:val="22"/>
      </w:rPr>
      <w:tcPr>
        <w:shd w:val="clear" w:color="f2dcdc" w:fill="f2dcdc"/>
      </w:tcPr>
    </w:tblStylePr>
    <w:tblStylePr w:type="band1Vert">
      <w:tcPr>
        <w:shd w:val="clear" w:color="f2dcdc" w:fill="f2dcdc"/>
      </w:tcPr>
    </w:tblStylePr>
    <w:tblStylePr w:type="band2Horz">
      <w:rPr>
        <w:rFonts w:ascii="Segoe UI" w:hAnsi="Segoe UI"/>
        <w:color w:val="da9896"/>
        <w:sz w:val="22"/>
      </w:rPr>
    </w:tblStylePr>
    <w:tblStylePr w:type="firstCol">
      <w:rPr>
        <w:rFonts w:ascii="Segoe UI" w:hAnsi="Segoe UI"/>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Segoe UI" w:hAnsi="Segoe UI"/>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Segoe UI" w:hAnsi="Segoe UI"/>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Segoe UI" w:hAnsi="Segoe UI"/>
        <w:color w:val="9bbb59"/>
        <w:sz w:val="22"/>
      </w:rPr>
      <w:tcPr>
        <w:shd w:val="clear" w:color="eaf1dd" w:fill="eaf1dd"/>
      </w:tcPr>
    </w:tblStylePr>
    <w:tblStylePr w:type="band1Vert">
      <w:tcPr>
        <w:shd w:val="clear" w:color="eaf1dd" w:fill="eaf1dd"/>
      </w:tcPr>
    </w:tblStylePr>
    <w:tblStylePr w:type="band2Horz">
      <w:rPr>
        <w:rFonts w:ascii="Segoe UI" w:hAnsi="Segoe UI"/>
        <w:color w:val="9bbb59"/>
        <w:sz w:val="22"/>
      </w:rPr>
    </w:tblStylePr>
    <w:tblStylePr w:type="firstCol">
      <w:rPr>
        <w:rFonts w:ascii="Segoe UI" w:hAnsi="Segoe UI"/>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Segoe UI" w:hAnsi="Segoe UI"/>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Segoe UI" w:hAnsi="Segoe UI"/>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Segoe UI" w:hAnsi="Segoe UI"/>
        <w:color w:val="b3a2c7"/>
        <w:sz w:val="22"/>
      </w:rPr>
      <w:tcPr>
        <w:shd w:val="clear" w:color="e5dfec" w:fill="e5dfec"/>
      </w:tcPr>
    </w:tblStylePr>
    <w:tblStylePr w:type="band1Vert">
      <w:tcPr>
        <w:shd w:val="clear" w:color="e5dfec" w:fill="e5dfec"/>
      </w:tcPr>
    </w:tblStylePr>
    <w:tblStylePr w:type="band2Horz">
      <w:rPr>
        <w:rFonts w:ascii="Segoe UI" w:hAnsi="Segoe UI"/>
        <w:color w:val="b3a2c7"/>
        <w:sz w:val="22"/>
      </w:rPr>
    </w:tblStylePr>
    <w:tblStylePr w:type="firstCol">
      <w:rPr>
        <w:rFonts w:ascii="Segoe UI" w:hAnsi="Segoe UI"/>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Segoe UI" w:hAnsi="Segoe UI"/>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Segoe UI" w:hAnsi="Segoe UI"/>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Segoe UI" w:hAnsi="Segoe UI"/>
        <w:color w:val="266778"/>
        <w:sz w:val="22"/>
      </w:rPr>
      <w:tcPr>
        <w:shd w:val="clear" w:color="daeef3" w:fill="daeef3"/>
      </w:tcPr>
    </w:tblStylePr>
    <w:tblStylePr w:type="band1Vert">
      <w:tcPr>
        <w:shd w:val="clear" w:color="daeef3" w:fill="daeef3"/>
      </w:tcPr>
    </w:tblStylePr>
    <w:tblStylePr w:type="band2Horz">
      <w:rPr>
        <w:rFonts w:ascii="Segoe UI" w:hAnsi="Segoe UI"/>
        <w:color w:val="266778"/>
        <w:sz w:val="22"/>
      </w:rPr>
    </w:tblStylePr>
    <w:tblStylePr w:type="firstCol">
      <w:rPr>
        <w:rFonts w:ascii="Segoe UI" w:hAnsi="Segoe UI"/>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Segoe UI" w:hAnsi="Segoe UI"/>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Segoe UI" w:hAnsi="Segoe UI"/>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Segoe UI" w:hAnsi="Segoe UI"/>
        <w:color w:val="b05408"/>
        <w:sz w:val="22"/>
      </w:rPr>
      <w:tcPr>
        <w:shd w:val="clear" w:color="fde9d9" w:fill="fde9d9"/>
      </w:tcPr>
    </w:tblStylePr>
    <w:tblStylePr w:type="band1Vert">
      <w:tcPr>
        <w:shd w:val="clear" w:color="fde9d9" w:fill="fde9d9"/>
      </w:tcPr>
    </w:tblStylePr>
    <w:tblStylePr w:type="band2Horz">
      <w:rPr>
        <w:rFonts w:ascii="Segoe UI" w:hAnsi="Segoe UI"/>
        <w:color w:val="b05408"/>
        <w:sz w:val="22"/>
      </w:rPr>
    </w:tblStylePr>
    <w:tblStylePr w:type="firstCol">
      <w:rPr>
        <w:rFonts w:ascii="Segoe UI" w:hAnsi="Segoe UI"/>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Segoe UI" w:hAnsi="Segoe UI"/>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Segoe UI" w:hAnsi="Segoe UI"/>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09"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0"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1"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2"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3"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16"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Segoe UI" w:hAnsi="Segoe UI"/>
        <w:color w:val="404040"/>
        <w:sz w:val="22"/>
      </w:rPr>
      <w:tcPr>
        <w:shd w:val="clear" w:color="bebebe" w:fill="bebebe"/>
      </w:tcPr>
    </w:tblStylePr>
    <w:tblStylePr w:type="band1Vert">
      <w:rPr>
        <w:rFonts w:ascii="Segoe UI" w:hAnsi="Segoe UI"/>
        <w:color w:val="404040"/>
        <w:sz w:val="22"/>
      </w:rPr>
      <w:tcPr>
        <w:shd w:val="clear" w:color="bebebe" w:fill="bebebe"/>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Segoe UI" w:hAnsi="Segoe UI"/>
        <w:color w:val="404040"/>
        <w:sz w:val="22"/>
      </w:rPr>
      <w:tcPr>
        <w:shd w:val="clear" w:color="d2dfee" w:fill="d2dfee"/>
      </w:tcPr>
    </w:tblStylePr>
    <w:tblStylePr w:type="band1Vert">
      <w:rPr>
        <w:rFonts w:ascii="Segoe UI" w:hAnsi="Segoe UI"/>
        <w:color w:val="404040"/>
        <w:sz w:val="22"/>
      </w:rPr>
      <w:tcPr>
        <w:shd w:val="clear" w:color="d2dfee" w:fill="d2dfee"/>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101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Segoe UI" w:hAnsi="Segoe UI"/>
        <w:color w:val="404040"/>
        <w:sz w:val="22"/>
      </w:rPr>
      <w:tcPr>
        <w:shd w:val="clear" w:color="efd3d2" w:fill="efd3d2"/>
      </w:tcPr>
    </w:tblStylePr>
    <w:tblStylePr w:type="band1Vert">
      <w:rPr>
        <w:rFonts w:ascii="Segoe UI" w:hAnsi="Segoe UI"/>
        <w:color w:val="404040"/>
        <w:sz w:val="22"/>
      </w:rPr>
      <w:tcPr>
        <w:shd w:val="clear" w:color="efd3d2" w:fill="efd3d2"/>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10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Segoe UI" w:hAnsi="Segoe UI"/>
        <w:color w:val="404040"/>
        <w:sz w:val="22"/>
      </w:rPr>
      <w:tcPr>
        <w:shd w:val="clear" w:color="e5edd5" w:fill="e5edd5"/>
      </w:tcPr>
    </w:tblStylePr>
    <w:tblStylePr w:type="band1Vert">
      <w:rPr>
        <w:rFonts w:ascii="Segoe UI" w:hAnsi="Segoe UI"/>
        <w:color w:val="404040"/>
        <w:sz w:val="22"/>
      </w:rPr>
      <w:tcPr>
        <w:shd w:val="clear" w:color="e5edd5" w:fill="e5edd5"/>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10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Segoe UI" w:hAnsi="Segoe UI"/>
        <w:color w:val="404040"/>
        <w:sz w:val="22"/>
      </w:rPr>
      <w:tcPr>
        <w:shd w:val="clear" w:color="dfd8e7" w:fill="dfd8e7"/>
      </w:tcPr>
    </w:tblStylePr>
    <w:tblStylePr w:type="band1Vert">
      <w:rPr>
        <w:rFonts w:ascii="Segoe UI" w:hAnsi="Segoe UI"/>
        <w:color w:val="404040"/>
        <w:sz w:val="22"/>
      </w:rPr>
      <w:tcPr>
        <w:shd w:val="clear" w:color="dfd8e7" w:fill="dfd8e7"/>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10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Segoe UI" w:hAnsi="Segoe UI"/>
        <w:color w:val="404040"/>
        <w:sz w:val="22"/>
      </w:rPr>
      <w:tcPr>
        <w:shd w:val="clear" w:color="d1eaf0" w:fill="d1eaf0"/>
      </w:tcPr>
    </w:tblStylePr>
    <w:tblStylePr w:type="band1Vert">
      <w:rPr>
        <w:rFonts w:ascii="Segoe UI" w:hAnsi="Segoe UI"/>
        <w:color w:val="404040"/>
        <w:sz w:val="22"/>
      </w:rPr>
      <w:tcPr>
        <w:shd w:val="clear" w:color="d1eaf0" w:fill="d1eaf0"/>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Segoe UI" w:hAnsi="Segoe UI"/>
        <w:color w:val="404040"/>
        <w:sz w:val="22"/>
      </w:rPr>
      <w:tcPr>
        <w:shd w:val="clear" w:color="fce4d0" w:fill="fce4d0"/>
      </w:tcPr>
    </w:tblStylePr>
    <w:tblStylePr w:type="band1Vert">
      <w:rPr>
        <w:rFonts w:ascii="Segoe UI" w:hAnsi="Segoe UI"/>
        <w:color w:val="404040"/>
        <w:sz w:val="22"/>
      </w:rPr>
      <w:tcPr>
        <w:shd w:val="clear" w:color="fce4d0" w:fill="fce4d0"/>
      </w:tcPr>
    </w:tblStylePr>
    <w:tblStylePr w:type="firstCol">
      <w:rPr>
        <w:rFonts w:ascii="Segoe UI" w:hAnsi="Segoe UI"/>
        <w:b/>
        <w:color w:val="404040"/>
        <w:sz w:val="22"/>
      </w:rPr>
    </w:tblStylePr>
    <w:tblStylePr w:type="firstRow">
      <w:rPr>
        <w:rFonts w:ascii="Segoe UI" w:hAnsi="Segoe UI"/>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b/>
        <w:color w:val="404040"/>
        <w:sz w:val="22"/>
      </w:rPr>
    </w:tblStylePr>
    <w:tblStylePr w:type="lastRow">
      <w:rPr>
        <w:rFonts w:ascii="Segoe UI" w:hAnsi="Segoe UI"/>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10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Segoe UI" w:hAnsi="Segoe UI"/>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000000" w:fill="000000"/>
      </w:tcPr>
    </w:tblStylePr>
    <w:tblStylePr w:type="lastCol">
      <w:rPr>
        <w:b/>
        <w:color w:val="404040"/>
      </w:rPr>
    </w:tblStylePr>
    <w:tblStylePr w:type="lastRow">
      <w:rPr>
        <w:b/>
        <w:color w:val="404040"/>
      </w:rPr>
    </w:tblStylePr>
  </w:style>
  <w:style w:type="table" w:styleId="10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Segoe UI" w:hAnsi="Segoe UI"/>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4f81bd" w:fill="4f81bd"/>
      </w:tcPr>
    </w:tblStylePr>
    <w:tblStylePr w:type="lastCol">
      <w:rPr>
        <w:b/>
        <w:color w:val="404040"/>
      </w:rPr>
    </w:tblStylePr>
    <w:tblStylePr w:type="lastRow">
      <w:rPr>
        <w:b/>
        <w:color w:val="404040"/>
      </w:rPr>
    </w:tblStylePr>
  </w:style>
  <w:style w:type="table" w:styleId="1025"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Segoe UI" w:hAnsi="Segoe UI"/>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d99795" w:fill="d99795"/>
      </w:tcPr>
    </w:tblStylePr>
    <w:tblStylePr w:type="lastCol">
      <w:rPr>
        <w:b/>
        <w:color w:val="404040"/>
      </w:rPr>
    </w:tblStylePr>
    <w:tblStylePr w:type="lastRow">
      <w:rPr>
        <w:b/>
        <w:color w:val="404040"/>
      </w:rPr>
    </w:tblStylePr>
  </w:style>
  <w:style w:type="table" w:styleId="1026"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Segoe UI" w:hAnsi="Segoe UI"/>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c3d69c" w:fill="c3d69c"/>
      </w:tcPr>
    </w:tblStylePr>
    <w:tblStylePr w:type="lastCol">
      <w:rPr>
        <w:b/>
        <w:color w:val="404040"/>
      </w:rPr>
    </w:tblStylePr>
    <w:tblStylePr w:type="lastRow">
      <w:rPr>
        <w:b/>
        <w:color w:val="404040"/>
      </w:rPr>
    </w:tblStylePr>
  </w:style>
  <w:style w:type="table" w:styleId="10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Segoe UI" w:hAnsi="Segoe UI"/>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b2a1c6" w:fill="b2a1c6"/>
      </w:tcPr>
    </w:tblStylePr>
    <w:tblStylePr w:type="lastCol">
      <w:rPr>
        <w:b/>
        <w:color w:val="404040"/>
      </w:rPr>
    </w:tblStylePr>
    <w:tblStylePr w:type="lastRow">
      <w:rPr>
        <w:b/>
        <w:color w:val="404040"/>
      </w:rPr>
    </w:tblStylePr>
  </w:style>
  <w:style w:type="table" w:styleId="10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Segoe UI" w:hAnsi="Segoe UI"/>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92ccdc" w:fill="92ccdc"/>
      </w:tcPr>
    </w:tblStylePr>
    <w:tblStylePr w:type="lastCol">
      <w:rPr>
        <w:b/>
        <w:color w:val="404040"/>
      </w:rPr>
    </w:tblStylePr>
    <w:tblStylePr w:type="lastRow">
      <w:rPr>
        <w:b/>
        <w:color w:val="404040"/>
      </w:rPr>
    </w:tblStylePr>
  </w:style>
  <w:style w:type="table" w:styleId="10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Segoe UI" w:hAnsi="Segoe UI"/>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Segoe UI" w:hAnsi="Segoe UI"/>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Segoe UI" w:hAnsi="Segoe UI"/>
        <w:b/>
        <w:color w:val="ffffff"/>
        <w:sz w:val="22"/>
      </w:rPr>
      <w:tcPr>
        <w:shd w:val="clear" w:color="fac090" w:fill="fac090"/>
      </w:tcPr>
    </w:tblStylePr>
    <w:tblStylePr w:type="lastCol">
      <w:rPr>
        <w:b/>
        <w:color w:val="404040"/>
      </w:rPr>
    </w:tblStylePr>
    <w:tblStylePr w:type="lastRow">
      <w:rPr>
        <w:b/>
        <w:color w:val="404040"/>
      </w:rPr>
    </w:tblStylePr>
  </w:style>
  <w:style w:type="table" w:styleId="10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Segoe UI" w:hAnsi="Segoe UI"/>
        <w:color w:val="404040"/>
        <w:sz w:val="22"/>
      </w:rPr>
      <w:tcPr>
        <w:shd w:val="clear" w:color="bebebe" w:fill="bebebe"/>
      </w:tcPr>
    </w:tblStylePr>
    <w:tblStylePr w:type="band1Vert">
      <w:rPr>
        <w:rFonts w:ascii="Segoe UI" w:hAnsi="Segoe UI"/>
        <w:color w:val="404040"/>
        <w:sz w:val="22"/>
      </w:rPr>
      <w:tcPr>
        <w:shd w:val="clear" w:color="bebebe" w:fill="bebebe"/>
      </w:tcPr>
    </w:tblStylePr>
    <w:tblStylePr w:type="firstCol">
      <w:rPr>
        <w:b/>
        <w:color w:val="404040"/>
      </w:rPr>
    </w:tblStylePr>
    <w:tblStylePr w:type="firstRow">
      <w:rPr>
        <w:rFonts w:ascii="Segoe UI" w:hAnsi="Segoe UI"/>
        <w:b/>
        <w:color w:val="ffffff"/>
        <w:sz w:val="22"/>
      </w:rPr>
      <w:tcPr>
        <w:shd w:val="clear" w:color="000000" w:fill="000000"/>
      </w:tcPr>
    </w:tblStylePr>
    <w:tblStylePr w:type="lastCol">
      <w:rPr>
        <w:b/>
        <w:color w:val="404040"/>
      </w:rPr>
    </w:tblStylePr>
    <w:tblStylePr w:type="lastRow">
      <w:rPr>
        <w:b/>
        <w:color w:val="404040"/>
      </w:rPr>
    </w:tblStylePr>
  </w:style>
  <w:style w:type="table" w:styleId="10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Segoe UI" w:hAnsi="Segoe UI"/>
        <w:color w:val="404040"/>
        <w:sz w:val="22"/>
      </w:rPr>
      <w:tcPr>
        <w:shd w:val="clear" w:color="d2dfee" w:fill="d2dfee"/>
      </w:tcPr>
    </w:tblStylePr>
    <w:tblStylePr w:type="band1Vert">
      <w:rPr>
        <w:rFonts w:ascii="Segoe UI" w:hAnsi="Segoe UI"/>
        <w:color w:val="404040"/>
        <w:sz w:val="22"/>
      </w:rPr>
      <w:tcPr>
        <w:shd w:val="clear" w:color="d2dfee" w:fill="d2dfee"/>
      </w:tcPr>
    </w:tblStylePr>
    <w:tblStylePr w:type="firstCol">
      <w:rPr>
        <w:b/>
        <w:color w:val="404040"/>
      </w:rPr>
    </w:tblStylePr>
    <w:tblStylePr w:type="firstRow">
      <w:rPr>
        <w:rFonts w:ascii="Segoe UI" w:hAnsi="Segoe UI"/>
        <w:b/>
        <w:color w:val="ffffff"/>
        <w:sz w:val="22"/>
      </w:rPr>
      <w:tcPr>
        <w:shd w:val="clear" w:color="4f81bd" w:fill="4f81bd"/>
      </w:tcPr>
    </w:tblStylePr>
    <w:tblStylePr w:type="lastCol">
      <w:rPr>
        <w:b/>
        <w:color w:val="404040"/>
      </w:rPr>
    </w:tblStylePr>
    <w:tblStylePr w:type="lastRow">
      <w:rPr>
        <w:b/>
        <w:color w:val="404040"/>
      </w:rPr>
    </w:tblStylePr>
  </w:style>
  <w:style w:type="table" w:styleId="1032"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Segoe UI" w:hAnsi="Segoe UI"/>
        <w:color w:val="404040"/>
        <w:sz w:val="22"/>
      </w:rPr>
      <w:tcPr>
        <w:shd w:val="clear" w:color="efd3d2" w:fill="efd3d2"/>
      </w:tcPr>
    </w:tblStylePr>
    <w:tblStylePr w:type="band1Vert">
      <w:rPr>
        <w:rFonts w:ascii="Segoe UI" w:hAnsi="Segoe UI"/>
        <w:color w:val="404040"/>
        <w:sz w:val="22"/>
      </w:rPr>
      <w:tcPr>
        <w:shd w:val="clear" w:color="efd3d2" w:fill="efd3d2"/>
      </w:tcPr>
    </w:tblStylePr>
    <w:tblStylePr w:type="firstCol">
      <w:rPr>
        <w:b/>
        <w:color w:val="404040"/>
      </w:rPr>
    </w:tblStylePr>
    <w:tblStylePr w:type="firstRow">
      <w:rPr>
        <w:rFonts w:ascii="Segoe UI" w:hAnsi="Segoe UI"/>
        <w:b/>
        <w:color w:val="ffffff"/>
        <w:sz w:val="22"/>
      </w:rPr>
      <w:tcPr>
        <w:shd w:val="clear" w:color="c0504d" w:fill="c0504d"/>
      </w:tcPr>
    </w:tblStylePr>
    <w:tblStylePr w:type="lastCol">
      <w:rPr>
        <w:b/>
        <w:color w:val="404040"/>
      </w:rPr>
    </w:tblStylePr>
    <w:tblStylePr w:type="lastRow">
      <w:rPr>
        <w:b/>
        <w:color w:val="404040"/>
      </w:rPr>
    </w:tblStylePr>
  </w:style>
  <w:style w:type="table" w:styleId="10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Segoe UI" w:hAnsi="Segoe UI"/>
        <w:color w:val="404040"/>
        <w:sz w:val="22"/>
      </w:rPr>
      <w:tcPr>
        <w:shd w:val="clear" w:color="e5edd5" w:fill="e5edd5"/>
      </w:tcPr>
    </w:tblStylePr>
    <w:tblStylePr w:type="band1Vert">
      <w:rPr>
        <w:rFonts w:ascii="Segoe UI" w:hAnsi="Segoe UI"/>
        <w:color w:val="404040"/>
        <w:sz w:val="22"/>
      </w:rPr>
      <w:tcPr>
        <w:shd w:val="clear" w:color="e5edd5" w:fill="e5edd5"/>
      </w:tcPr>
    </w:tblStylePr>
    <w:tblStylePr w:type="firstCol">
      <w:rPr>
        <w:b/>
        <w:color w:val="404040"/>
      </w:rPr>
    </w:tblStylePr>
    <w:tblStylePr w:type="firstRow">
      <w:rPr>
        <w:rFonts w:ascii="Segoe UI" w:hAnsi="Segoe UI"/>
        <w:b/>
        <w:color w:val="ffffff"/>
        <w:sz w:val="22"/>
      </w:rPr>
      <w:tcPr>
        <w:shd w:val="clear" w:color="9bbb59" w:fill="9bbb59"/>
      </w:tcPr>
    </w:tblStylePr>
    <w:tblStylePr w:type="lastCol">
      <w:rPr>
        <w:b/>
        <w:color w:val="404040"/>
      </w:rPr>
    </w:tblStylePr>
    <w:tblStylePr w:type="lastRow">
      <w:rPr>
        <w:b/>
        <w:color w:val="404040"/>
      </w:rPr>
    </w:tblStylePr>
  </w:style>
  <w:style w:type="table" w:styleId="10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Segoe UI" w:hAnsi="Segoe UI"/>
        <w:color w:val="404040"/>
        <w:sz w:val="22"/>
      </w:rPr>
      <w:tcPr>
        <w:shd w:val="clear" w:color="dfd8e7" w:fill="dfd8e7"/>
      </w:tcPr>
    </w:tblStylePr>
    <w:tblStylePr w:type="band1Vert">
      <w:rPr>
        <w:rFonts w:ascii="Segoe UI" w:hAnsi="Segoe UI"/>
        <w:color w:val="404040"/>
        <w:sz w:val="22"/>
      </w:rPr>
      <w:tcPr>
        <w:shd w:val="clear" w:color="dfd8e7" w:fill="dfd8e7"/>
      </w:tcPr>
    </w:tblStylePr>
    <w:tblStylePr w:type="firstCol">
      <w:rPr>
        <w:b/>
        <w:color w:val="404040"/>
      </w:rPr>
    </w:tblStylePr>
    <w:tblStylePr w:type="firstRow">
      <w:rPr>
        <w:rFonts w:ascii="Segoe UI" w:hAnsi="Segoe UI"/>
        <w:b/>
        <w:color w:val="ffffff"/>
        <w:sz w:val="22"/>
      </w:rPr>
      <w:tcPr>
        <w:shd w:val="clear" w:color="8064a2" w:fill="8064a2"/>
      </w:tcPr>
    </w:tblStylePr>
    <w:tblStylePr w:type="lastCol">
      <w:rPr>
        <w:b/>
        <w:color w:val="404040"/>
      </w:rPr>
    </w:tblStylePr>
    <w:tblStylePr w:type="lastRow">
      <w:rPr>
        <w:b/>
        <w:color w:val="404040"/>
      </w:rPr>
    </w:tblStylePr>
  </w:style>
  <w:style w:type="table" w:styleId="10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Segoe UI" w:hAnsi="Segoe UI"/>
        <w:color w:val="404040"/>
        <w:sz w:val="22"/>
      </w:rPr>
      <w:tcPr>
        <w:shd w:val="clear" w:color="d1eaf0" w:fill="d1eaf0"/>
      </w:tcPr>
    </w:tblStylePr>
    <w:tblStylePr w:type="band1Vert">
      <w:rPr>
        <w:rFonts w:ascii="Segoe UI" w:hAnsi="Segoe UI"/>
        <w:color w:val="404040"/>
        <w:sz w:val="22"/>
      </w:rPr>
      <w:tcPr>
        <w:shd w:val="clear" w:color="d1eaf0" w:fill="d1eaf0"/>
      </w:tcPr>
    </w:tblStylePr>
    <w:tblStylePr w:type="firstCol">
      <w:rPr>
        <w:b/>
        <w:color w:val="404040"/>
      </w:rPr>
    </w:tblStylePr>
    <w:tblStylePr w:type="firstRow">
      <w:rPr>
        <w:rFonts w:ascii="Segoe UI" w:hAnsi="Segoe UI"/>
        <w:b/>
        <w:color w:val="ffffff"/>
        <w:sz w:val="22"/>
      </w:rPr>
      <w:tcPr>
        <w:shd w:val="clear" w:color="4bacc6" w:fill="4bacc6"/>
      </w:tcPr>
    </w:tblStylePr>
    <w:tblStylePr w:type="lastCol">
      <w:rPr>
        <w:b/>
        <w:color w:val="404040"/>
      </w:rPr>
    </w:tblStylePr>
    <w:tblStylePr w:type="lastRow">
      <w:rPr>
        <w:b/>
        <w:color w:val="404040"/>
      </w:rPr>
    </w:tblStylePr>
  </w:style>
  <w:style w:type="table" w:styleId="10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Segoe UI" w:hAnsi="Segoe UI"/>
        <w:color w:val="404040"/>
        <w:sz w:val="22"/>
      </w:rPr>
      <w:tcPr>
        <w:shd w:val="clear" w:color="fce4d0" w:fill="fce4d0"/>
      </w:tcPr>
    </w:tblStylePr>
    <w:tblStylePr w:type="band1Vert">
      <w:rPr>
        <w:rFonts w:ascii="Segoe UI" w:hAnsi="Segoe UI"/>
        <w:color w:val="404040"/>
        <w:sz w:val="22"/>
      </w:rPr>
      <w:tcPr>
        <w:shd w:val="clear" w:color="fce4d0" w:fill="fce4d0"/>
      </w:tcPr>
    </w:tblStylePr>
    <w:tblStylePr w:type="firstCol">
      <w:rPr>
        <w:b/>
        <w:color w:val="404040"/>
      </w:rPr>
    </w:tblStylePr>
    <w:tblStylePr w:type="firstRow">
      <w:rPr>
        <w:rFonts w:ascii="Segoe UI" w:hAnsi="Segoe UI"/>
        <w:b/>
        <w:color w:val="ffffff"/>
        <w:sz w:val="22"/>
      </w:rPr>
      <w:tcPr>
        <w:shd w:val="clear" w:color="f79646" w:fill="f79646"/>
      </w:tcPr>
    </w:tblStylePr>
    <w:tblStylePr w:type="lastCol">
      <w:rPr>
        <w:b/>
        <w:color w:val="404040"/>
      </w:rPr>
    </w:tblStylePr>
    <w:tblStylePr w:type="lastRow">
      <w:rPr>
        <w:b/>
        <w:color w:val="404040"/>
      </w:rPr>
    </w:tblStylePr>
  </w:style>
  <w:style w:type="table" w:styleId="1037"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39"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40"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Segoe UI" w:hAnsi="Segoe UI"/>
        <w:b/>
        <w:color w:val="ffffff"/>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Segoe UI" w:hAnsi="Segoe UI"/>
        <w:b/>
        <w:color w:val="ffffff"/>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Segoe UI" w:hAnsi="Segoe UI"/>
        <w:b/>
        <w:color w:val="ffffff"/>
        <w:sz w:val="22"/>
      </w:rPr>
    </w:tblStylePr>
  </w:style>
  <w:style w:type="table" w:styleId="1044"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Segoe UI" w:hAnsi="Segoe UI"/>
        <w:color w:val="000000"/>
        <w:sz w:val="22"/>
      </w:rPr>
      <w:tcPr>
        <w:shd w:val="clear" w:color="bebebe" w:fill="bebebe"/>
      </w:tcPr>
    </w:tblStylePr>
    <w:tblStylePr w:type="band1Vert">
      <w:tcPr>
        <w:shd w:val="clear" w:color="bebebe" w:fill="bebebe"/>
      </w:tcPr>
    </w:tblStylePr>
    <w:tblStylePr w:type="band2Horz">
      <w:rPr>
        <w:rFonts w:ascii="Segoe UI" w:hAnsi="Segoe UI"/>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Segoe UI" w:hAnsi="Segoe UI"/>
        <w:color w:val="2a4b71"/>
        <w:sz w:val="22"/>
      </w:rPr>
      <w:tcPr>
        <w:shd w:val="clear" w:color="d2dfee" w:fill="d2dfee"/>
      </w:tcPr>
    </w:tblStylePr>
    <w:tblStylePr w:type="band1Vert">
      <w:tcPr>
        <w:shd w:val="clear" w:color="d2dfee" w:fill="d2dfee"/>
      </w:tcPr>
    </w:tblStylePr>
    <w:tblStylePr w:type="band2Horz">
      <w:rPr>
        <w:rFonts w:ascii="Segoe UI" w:hAnsi="Segoe UI"/>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6"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Segoe UI" w:hAnsi="Segoe UI"/>
        <w:color w:val="da9896"/>
        <w:sz w:val="22"/>
      </w:rPr>
      <w:tcPr>
        <w:shd w:val="clear" w:color="efd3d2" w:fill="efd3d2"/>
      </w:tcPr>
    </w:tblStylePr>
    <w:tblStylePr w:type="band1Vert">
      <w:tcPr>
        <w:shd w:val="clear" w:color="efd3d2" w:fill="efd3d2"/>
      </w:tcPr>
    </w:tblStylePr>
    <w:tblStylePr w:type="band2Horz">
      <w:rPr>
        <w:rFonts w:ascii="Segoe UI" w:hAnsi="Segoe UI"/>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Segoe UI" w:hAnsi="Segoe UI"/>
        <w:color w:val="c3d69b"/>
        <w:sz w:val="22"/>
      </w:rPr>
      <w:tcPr>
        <w:shd w:val="clear" w:color="e5edd5" w:fill="e5edd5"/>
      </w:tcPr>
    </w:tblStylePr>
    <w:tblStylePr w:type="band1Vert">
      <w:tcPr>
        <w:shd w:val="clear" w:color="e5edd5" w:fill="e5edd5"/>
      </w:tcPr>
    </w:tblStylePr>
    <w:tblStylePr w:type="band2Horz">
      <w:rPr>
        <w:rFonts w:ascii="Segoe UI" w:hAnsi="Segoe UI"/>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Segoe UI" w:hAnsi="Segoe UI"/>
        <w:color w:val="b3a2c7"/>
        <w:sz w:val="22"/>
      </w:rPr>
      <w:tcPr>
        <w:shd w:val="clear" w:color="dfd8e7" w:fill="dfd8e7"/>
      </w:tcPr>
    </w:tblStylePr>
    <w:tblStylePr w:type="band1Vert">
      <w:tcPr>
        <w:shd w:val="clear" w:color="dfd8e7" w:fill="dfd8e7"/>
      </w:tcPr>
    </w:tblStylePr>
    <w:tblStylePr w:type="band2Horz">
      <w:rPr>
        <w:rFonts w:ascii="Segoe UI" w:hAnsi="Segoe UI"/>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Segoe UI" w:hAnsi="Segoe UI"/>
        <w:color w:val="93cddd"/>
        <w:sz w:val="22"/>
      </w:rPr>
      <w:tcPr>
        <w:shd w:val="clear" w:color="d1eaf0" w:fill="d1eaf0"/>
      </w:tcPr>
    </w:tblStylePr>
    <w:tblStylePr w:type="band1Vert">
      <w:tcPr>
        <w:shd w:val="clear" w:color="d1eaf0" w:fill="d1eaf0"/>
      </w:tcPr>
    </w:tblStylePr>
    <w:tblStylePr w:type="band2Horz">
      <w:rPr>
        <w:rFonts w:ascii="Segoe UI" w:hAnsi="Segoe UI"/>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Segoe UI" w:hAnsi="Segoe UI"/>
        <w:color w:val="fac090"/>
        <w:sz w:val="22"/>
      </w:rPr>
      <w:tcPr>
        <w:shd w:val="clear" w:color="fce4d0" w:fill="fce4d0"/>
      </w:tcPr>
    </w:tblStylePr>
    <w:tblStylePr w:type="band1Vert">
      <w:tcPr>
        <w:shd w:val="clear" w:color="fce4d0" w:fill="fce4d0"/>
      </w:tcPr>
    </w:tblStylePr>
    <w:tblStylePr w:type="band2Horz">
      <w:rPr>
        <w:rFonts w:ascii="Segoe UI" w:hAnsi="Segoe UI"/>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Segoe UI" w:hAnsi="Segoe UI"/>
        <w:color w:val="808080"/>
        <w:sz w:val="22"/>
      </w:rPr>
      <w:tcPr>
        <w:shd w:val="clear" w:color="bebebe" w:fill="bebebe"/>
      </w:tcPr>
    </w:tblStylePr>
    <w:tblStylePr w:type="band1Vert">
      <w:tcPr>
        <w:shd w:val="clear" w:color="bebebe" w:fill="bebebe"/>
      </w:tcPr>
    </w:tblStylePr>
    <w:tblStylePr w:type="band2Horz">
      <w:rPr>
        <w:rFonts w:ascii="Segoe UI" w:hAnsi="Segoe UI"/>
        <w:color w:val="808080"/>
        <w:sz w:val="22"/>
      </w:rPr>
    </w:tblStylePr>
    <w:tblStylePr w:type="firstCol">
      <w:rPr>
        <w:rFonts w:ascii="Segoe UI" w:hAnsi="Segoe UI"/>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Segoe UI" w:hAnsi="Segoe UI"/>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Segoe UI" w:hAnsi="Segoe UI"/>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Segoe UI" w:hAnsi="Segoe UI"/>
        <w:color w:val="2a4b71"/>
        <w:sz w:val="22"/>
      </w:rPr>
      <w:tcPr>
        <w:shd w:val="clear" w:color="d2dfee" w:fill="d2dfee"/>
      </w:tcPr>
    </w:tblStylePr>
    <w:tblStylePr w:type="band1Vert">
      <w:tcPr>
        <w:shd w:val="clear" w:color="d2dfee" w:fill="d2dfee"/>
      </w:tcPr>
    </w:tblStylePr>
    <w:tblStylePr w:type="band2Horz">
      <w:rPr>
        <w:rFonts w:ascii="Segoe UI" w:hAnsi="Segoe UI"/>
        <w:color w:val="2a4b71"/>
        <w:sz w:val="22"/>
      </w:rPr>
    </w:tblStylePr>
    <w:tblStylePr w:type="firstCol">
      <w:rPr>
        <w:rFonts w:ascii="Segoe UI" w:hAnsi="Segoe UI"/>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Segoe UI" w:hAnsi="Segoe UI"/>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Segoe UI" w:hAnsi="Segoe UI"/>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Segoe UI" w:hAnsi="Segoe UI"/>
        <w:color w:val="da9896"/>
        <w:sz w:val="22"/>
      </w:rPr>
      <w:tcPr>
        <w:shd w:val="clear" w:color="efd3d2" w:fill="efd3d2"/>
      </w:tcPr>
    </w:tblStylePr>
    <w:tblStylePr w:type="band1Vert">
      <w:tcPr>
        <w:shd w:val="clear" w:color="efd3d2" w:fill="efd3d2"/>
      </w:tcPr>
    </w:tblStylePr>
    <w:tblStylePr w:type="band2Horz">
      <w:rPr>
        <w:rFonts w:ascii="Segoe UI" w:hAnsi="Segoe UI"/>
        <w:color w:val="da9896"/>
        <w:sz w:val="22"/>
      </w:rPr>
    </w:tblStylePr>
    <w:tblStylePr w:type="firstCol">
      <w:rPr>
        <w:rFonts w:ascii="Segoe UI" w:hAnsi="Segoe UI"/>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Segoe UI" w:hAnsi="Segoe UI"/>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Segoe UI" w:hAnsi="Segoe UI"/>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4"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Segoe UI" w:hAnsi="Segoe UI"/>
        <w:color w:val="c3d69b"/>
        <w:sz w:val="22"/>
      </w:rPr>
      <w:tcPr>
        <w:shd w:val="clear" w:color="e5edd5" w:fill="e5edd5"/>
      </w:tcPr>
    </w:tblStylePr>
    <w:tblStylePr w:type="band1Vert">
      <w:tcPr>
        <w:shd w:val="clear" w:color="e5edd5" w:fill="e5edd5"/>
      </w:tcPr>
    </w:tblStylePr>
    <w:tblStylePr w:type="band2Horz">
      <w:rPr>
        <w:rFonts w:ascii="Segoe UI" w:hAnsi="Segoe UI"/>
        <w:color w:val="c3d69b"/>
        <w:sz w:val="22"/>
      </w:rPr>
    </w:tblStylePr>
    <w:tblStylePr w:type="firstCol">
      <w:rPr>
        <w:rFonts w:ascii="Segoe UI" w:hAnsi="Segoe UI"/>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Segoe UI" w:hAnsi="Segoe UI"/>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Segoe UI" w:hAnsi="Segoe UI"/>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Segoe UI" w:hAnsi="Segoe UI"/>
        <w:color w:val="b3a2c7"/>
        <w:sz w:val="22"/>
      </w:rPr>
      <w:tcPr>
        <w:shd w:val="clear" w:color="dfd8e7" w:fill="dfd8e7"/>
      </w:tcPr>
    </w:tblStylePr>
    <w:tblStylePr w:type="band1Vert">
      <w:tcPr>
        <w:shd w:val="clear" w:color="dfd8e7" w:fill="dfd8e7"/>
      </w:tcPr>
    </w:tblStylePr>
    <w:tblStylePr w:type="band2Horz">
      <w:rPr>
        <w:rFonts w:ascii="Segoe UI" w:hAnsi="Segoe UI"/>
        <w:color w:val="b3a2c7"/>
        <w:sz w:val="22"/>
      </w:rPr>
    </w:tblStylePr>
    <w:tblStylePr w:type="firstCol">
      <w:rPr>
        <w:rFonts w:ascii="Segoe UI" w:hAnsi="Segoe UI"/>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Segoe UI" w:hAnsi="Segoe UI"/>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Segoe UI" w:hAnsi="Segoe UI"/>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6"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Segoe UI" w:hAnsi="Segoe UI"/>
        <w:color w:val="93cddd"/>
        <w:sz w:val="22"/>
      </w:rPr>
      <w:tcPr>
        <w:shd w:val="clear" w:color="d1eaf0" w:fill="d1eaf0"/>
      </w:tcPr>
    </w:tblStylePr>
    <w:tblStylePr w:type="band1Vert">
      <w:tcPr>
        <w:shd w:val="clear" w:color="d1eaf0" w:fill="d1eaf0"/>
      </w:tcPr>
    </w:tblStylePr>
    <w:tblStylePr w:type="band2Horz">
      <w:rPr>
        <w:rFonts w:ascii="Segoe UI" w:hAnsi="Segoe UI"/>
        <w:color w:val="93cddd"/>
        <w:sz w:val="22"/>
      </w:rPr>
    </w:tblStylePr>
    <w:tblStylePr w:type="firstCol">
      <w:rPr>
        <w:rFonts w:ascii="Segoe UI" w:hAnsi="Segoe UI"/>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Segoe UI" w:hAnsi="Segoe UI"/>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Segoe UI" w:hAnsi="Segoe UI"/>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7"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Segoe UI" w:hAnsi="Segoe UI"/>
        <w:color w:val="fac090"/>
        <w:sz w:val="22"/>
      </w:rPr>
      <w:tcPr>
        <w:shd w:val="clear" w:color="fce4d0" w:fill="fce4d0"/>
      </w:tcPr>
    </w:tblStylePr>
    <w:tblStylePr w:type="band1Vert">
      <w:tcPr>
        <w:shd w:val="clear" w:color="fce4d0" w:fill="fce4d0"/>
      </w:tcPr>
    </w:tblStylePr>
    <w:tblStylePr w:type="band2Horz">
      <w:rPr>
        <w:rFonts w:ascii="Segoe UI" w:hAnsi="Segoe UI"/>
        <w:color w:val="fac090"/>
        <w:sz w:val="22"/>
      </w:rPr>
    </w:tblStylePr>
    <w:tblStylePr w:type="firstCol">
      <w:rPr>
        <w:rFonts w:ascii="Segoe UI" w:hAnsi="Segoe UI"/>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Segoe UI" w:hAnsi="Segoe UI"/>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Segoe UI" w:hAnsi="Segoe UI"/>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8" w:customStyle="1">
    <w:name w:val="Lined - Accent"/>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f1f1f1" w:fill="f1f1f1"/>
      </w:tcPr>
    </w:tblStylePr>
    <w:tblStylePr w:type="band2Vert">
      <w:rPr>
        <w:rFonts w:ascii="Segoe UI" w:hAnsi="Segoe UI"/>
        <w:color w:val="404040"/>
        <w:sz w:val="22"/>
      </w:rPr>
      <w:tcPr>
        <w:shd w:val="clear" w:color="f1f1f1" w:fill="f1f1f1"/>
      </w:tcPr>
    </w:tblStylePr>
    <w:tblStylePr w:type="firstCol">
      <w:rPr>
        <w:rFonts w:ascii="Segoe UI" w:hAnsi="Segoe UI"/>
        <w:color w:val="f2f2f2"/>
        <w:sz w:val="22"/>
      </w:rPr>
      <w:tcPr>
        <w:shd w:val="clear" w:color="7e7e7e" w:fill="7e7e7e"/>
      </w:tcPr>
    </w:tblStylePr>
    <w:tblStylePr w:type="firstRow">
      <w:rPr>
        <w:rFonts w:ascii="Segoe UI" w:hAnsi="Segoe UI"/>
        <w:color w:val="f2f2f2"/>
        <w:sz w:val="22"/>
      </w:rPr>
      <w:tcPr>
        <w:shd w:val="clear" w:color="7e7e7e" w:fill="7e7e7e"/>
      </w:tcPr>
    </w:tblStylePr>
    <w:tblStylePr w:type="lastCol">
      <w:rPr>
        <w:rFonts w:ascii="Segoe UI" w:hAnsi="Segoe UI"/>
        <w:color w:val="f2f2f2"/>
        <w:sz w:val="22"/>
      </w:rPr>
      <w:tcPr>
        <w:shd w:val="clear" w:color="7e7e7e" w:fill="7e7e7e"/>
      </w:tcPr>
    </w:tblStylePr>
    <w:tblStylePr w:type="lastRow">
      <w:rPr>
        <w:rFonts w:ascii="Segoe UI" w:hAnsi="Segoe UI"/>
        <w:color w:val="f2f2f2"/>
        <w:sz w:val="22"/>
      </w:rPr>
      <w:tcPr>
        <w:shd w:val="clear" w:color="7e7e7e" w:fill="7e7e7e"/>
      </w:tcPr>
    </w:tblStylePr>
  </w:style>
  <w:style w:type="table" w:styleId="1059" w:customStyle="1">
    <w:name w:val="Lined - Accent 1"/>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c7d7ea" w:fill="c7d7ea"/>
      </w:tcPr>
    </w:tblStylePr>
    <w:tblStylePr w:type="band2Vert">
      <w:rPr>
        <w:rFonts w:ascii="Segoe UI" w:hAnsi="Segoe UI"/>
        <w:color w:val="404040"/>
        <w:sz w:val="22"/>
      </w:rPr>
      <w:tcPr>
        <w:shd w:val="clear" w:color="c7d7ea" w:fill="c7d7ea"/>
      </w:tcPr>
    </w:tblStylePr>
    <w:tblStylePr w:type="firstCol">
      <w:rPr>
        <w:rFonts w:ascii="Segoe UI" w:hAnsi="Segoe UI"/>
        <w:color w:val="f2f2f2"/>
        <w:sz w:val="22"/>
      </w:rPr>
      <w:tcPr>
        <w:shd w:val="clear" w:color="5d8bc2" w:fill="5d8bc2"/>
      </w:tcPr>
    </w:tblStylePr>
    <w:tblStylePr w:type="firstRow">
      <w:rPr>
        <w:rFonts w:ascii="Segoe UI" w:hAnsi="Segoe UI"/>
        <w:color w:val="f2f2f2"/>
        <w:sz w:val="22"/>
      </w:rPr>
      <w:tcPr>
        <w:shd w:val="clear" w:color="5d8bc2" w:fill="5d8bc2"/>
      </w:tcPr>
    </w:tblStylePr>
    <w:tblStylePr w:type="lastCol">
      <w:rPr>
        <w:rFonts w:ascii="Segoe UI" w:hAnsi="Segoe UI"/>
        <w:color w:val="f2f2f2"/>
        <w:sz w:val="22"/>
      </w:rPr>
      <w:tcPr>
        <w:shd w:val="clear" w:color="5d8bc2" w:fill="5d8bc2"/>
      </w:tcPr>
    </w:tblStylePr>
    <w:tblStylePr w:type="lastRow">
      <w:rPr>
        <w:rFonts w:ascii="Segoe UI" w:hAnsi="Segoe UI"/>
        <w:color w:val="f2f2f2"/>
        <w:sz w:val="22"/>
      </w:rPr>
      <w:tcPr>
        <w:shd w:val="clear" w:color="5d8bc2" w:fill="5d8bc2"/>
      </w:tcPr>
    </w:tblStylePr>
  </w:style>
  <w:style w:type="table" w:styleId="1060" w:customStyle="1">
    <w:name w:val="Lined - Accent 2"/>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f2dcdc" w:fill="f2dcdc"/>
      </w:tcPr>
    </w:tblStylePr>
    <w:tblStylePr w:type="band2Vert">
      <w:rPr>
        <w:rFonts w:ascii="Segoe UI" w:hAnsi="Segoe UI"/>
        <w:color w:val="404040"/>
        <w:sz w:val="22"/>
      </w:rPr>
      <w:tcPr>
        <w:shd w:val="clear" w:color="f2dcdc" w:fill="f2dcdc"/>
      </w:tcPr>
    </w:tblStylePr>
    <w:tblStylePr w:type="firstCol">
      <w:rPr>
        <w:rFonts w:ascii="Segoe UI" w:hAnsi="Segoe UI"/>
        <w:color w:val="f2f2f2"/>
        <w:sz w:val="22"/>
      </w:rPr>
      <w:tcPr>
        <w:shd w:val="clear" w:color="d99795" w:fill="d99795"/>
      </w:tcPr>
    </w:tblStylePr>
    <w:tblStylePr w:type="firstRow">
      <w:rPr>
        <w:rFonts w:ascii="Segoe UI" w:hAnsi="Segoe UI"/>
        <w:color w:val="f2f2f2"/>
        <w:sz w:val="22"/>
      </w:rPr>
      <w:tcPr>
        <w:shd w:val="clear" w:color="d99795" w:fill="d99795"/>
      </w:tcPr>
    </w:tblStylePr>
    <w:tblStylePr w:type="lastCol">
      <w:rPr>
        <w:rFonts w:ascii="Segoe UI" w:hAnsi="Segoe UI"/>
        <w:color w:val="f2f2f2"/>
        <w:sz w:val="22"/>
      </w:rPr>
      <w:tcPr>
        <w:shd w:val="clear" w:color="d99795" w:fill="d99795"/>
      </w:tcPr>
    </w:tblStylePr>
    <w:tblStylePr w:type="lastRow">
      <w:rPr>
        <w:rFonts w:ascii="Segoe UI" w:hAnsi="Segoe UI"/>
        <w:color w:val="f2f2f2"/>
        <w:sz w:val="22"/>
      </w:rPr>
      <w:tcPr>
        <w:shd w:val="clear" w:color="d99795" w:fill="d99795"/>
      </w:tcPr>
    </w:tblStylePr>
  </w:style>
  <w:style w:type="table" w:styleId="1061" w:customStyle="1">
    <w:name w:val="Lined - Accent 3"/>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eaf1dd" w:fill="eaf1dd"/>
      </w:tcPr>
    </w:tblStylePr>
    <w:tblStylePr w:type="band2Vert">
      <w:rPr>
        <w:rFonts w:ascii="Segoe UI" w:hAnsi="Segoe UI"/>
        <w:color w:val="404040"/>
        <w:sz w:val="22"/>
      </w:rPr>
      <w:tcPr>
        <w:shd w:val="clear" w:color="eaf1dd" w:fill="eaf1dd"/>
      </w:tcPr>
    </w:tblStylePr>
    <w:tblStylePr w:type="firstCol">
      <w:rPr>
        <w:rFonts w:ascii="Segoe UI" w:hAnsi="Segoe UI"/>
        <w:color w:val="f2f2f2"/>
        <w:sz w:val="22"/>
      </w:rPr>
      <w:tcPr>
        <w:shd w:val="clear" w:color="9bbb59" w:fill="9bbb59"/>
      </w:tcPr>
    </w:tblStylePr>
    <w:tblStylePr w:type="firstRow">
      <w:rPr>
        <w:rFonts w:ascii="Segoe UI" w:hAnsi="Segoe UI"/>
        <w:color w:val="f2f2f2"/>
        <w:sz w:val="22"/>
      </w:rPr>
      <w:tcPr>
        <w:shd w:val="clear" w:color="9bbb59" w:fill="9bbb59"/>
      </w:tcPr>
    </w:tblStylePr>
    <w:tblStylePr w:type="lastCol">
      <w:rPr>
        <w:rFonts w:ascii="Segoe UI" w:hAnsi="Segoe UI"/>
        <w:color w:val="f2f2f2"/>
        <w:sz w:val="22"/>
      </w:rPr>
      <w:tcPr>
        <w:shd w:val="clear" w:color="9bbb59" w:fill="9bbb59"/>
      </w:tcPr>
    </w:tblStylePr>
    <w:tblStylePr w:type="lastRow">
      <w:rPr>
        <w:rFonts w:ascii="Segoe UI" w:hAnsi="Segoe UI"/>
        <w:color w:val="f2f2f2"/>
        <w:sz w:val="22"/>
      </w:rPr>
      <w:tcPr>
        <w:shd w:val="clear" w:color="9bbb59" w:fill="9bbb59"/>
      </w:tcPr>
    </w:tblStylePr>
  </w:style>
  <w:style w:type="table" w:styleId="1062" w:customStyle="1">
    <w:name w:val="Lined - Accent 4"/>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e5dfec" w:fill="e5dfec"/>
      </w:tcPr>
    </w:tblStylePr>
    <w:tblStylePr w:type="band2Vert">
      <w:rPr>
        <w:rFonts w:ascii="Segoe UI" w:hAnsi="Segoe UI"/>
        <w:color w:val="404040"/>
        <w:sz w:val="22"/>
      </w:rPr>
      <w:tcPr>
        <w:shd w:val="clear" w:color="e5dfec" w:fill="e5dfec"/>
      </w:tcPr>
    </w:tblStylePr>
    <w:tblStylePr w:type="firstCol">
      <w:rPr>
        <w:rFonts w:ascii="Segoe UI" w:hAnsi="Segoe UI"/>
        <w:color w:val="f2f2f2"/>
        <w:sz w:val="22"/>
      </w:rPr>
      <w:tcPr>
        <w:shd w:val="clear" w:color="b2a1c6" w:fill="b2a1c6"/>
      </w:tcPr>
    </w:tblStylePr>
    <w:tblStylePr w:type="firstRow">
      <w:rPr>
        <w:rFonts w:ascii="Segoe UI" w:hAnsi="Segoe UI"/>
        <w:color w:val="f2f2f2"/>
        <w:sz w:val="22"/>
      </w:rPr>
      <w:tcPr>
        <w:shd w:val="clear" w:color="b2a1c6" w:fill="b2a1c6"/>
      </w:tcPr>
    </w:tblStylePr>
    <w:tblStylePr w:type="lastCol">
      <w:rPr>
        <w:rFonts w:ascii="Segoe UI" w:hAnsi="Segoe UI"/>
        <w:color w:val="f2f2f2"/>
        <w:sz w:val="22"/>
      </w:rPr>
      <w:tcPr>
        <w:shd w:val="clear" w:color="b2a1c6" w:fill="b2a1c6"/>
      </w:tcPr>
    </w:tblStylePr>
    <w:tblStylePr w:type="lastRow">
      <w:rPr>
        <w:rFonts w:ascii="Segoe UI" w:hAnsi="Segoe UI"/>
        <w:color w:val="f2f2f2"/>
        <w:sz w:val="22"/>
      </w:rPr>
      <w:tcPr>
        <w:shd w:val="clear" w:color="b2a1c6" w:fill="b2a1c6"/>
      </w:tcPr>
    </w:tblStylePr>
  </w:style>
  <w:style w:type="table" w:styleId="1063" w:customStyle="1">
    <w:name w:val="Lined - Accent 5"/>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daeef3" w:fill="daeef3"/>
      </w:tcPr>
    </w:tblStylePr>
    <w:tblStylePr w:type="band2Vert">
      <w:rPr>
        <w:rFonts w:ascii="Segoe UI" w:hAnsi="Segoe UI"/>
        <w:color w:val="404040"/>
        <w:sz w:val="22"/>
      </w:rPr>
      <w:tcPr>
        <w:shd w:val="clear" w:color="daeef3" w:fill="daeef3"/>
      </w:tcPr>
    </w:tblStylePr>
    <w:tblStylePr w:type="firstCol">
      <w:rPr>
        <w:rFonts w:ascii="Segoe UI" w:hAnsi="Segoe UI"/>
        <w:color w:val="f2f2f2"/>
        <w:sz w:val="22"/>
      </w:rPr>
      <w:tcPr>
        <w:shd w:val="clear" w:color="4bacc6" w:fill="4bacc6"/>
      </w:tcPr>
    </w:tblStylePr>
    <w:tblStylePr w:type="firstRow">
      <w:rPr>
        <w:rFonts w:ascii="Segoe UI" w:hAnsi="Segoe UI"/>
        <w:color w:val="f2f2f2"/>
        <w:sz w:val="22"/>
      </w:rPr>
      <w:tcPr>
        <w:shd w:val="clear" w:color="4bacc6" w:fill="4bacc6"/>
      </w:tcPr>
    </w:tblStylePr>
    <w:tblStylePr w:type="lastCol">
      <w:rPr>
        <w:rFonts w:ascii="Segoe UI" w:hAnsi="Segoe UI"/>
        <w:color w:val="f2f2f2"/>
        <w:sz w:val="22"/>
      </w:rPr>
      <w:tcPr>
        <w:shd w:val="clear" w:color="4bacc6" w:fill="4bacc6"/>
      </w:tcPr>
    </w:tblStylePr>
    <w:tblStylePr w:type="lastRow">
      <w:rPr>
        <w:rFonts w:ascii="Segoe UI" w:hAnsi="Segoe UI"/>
        <w:color w:val="f2f2f2"/>
        <w:sz w:val="22"/>
      </w:rPr>
      <w:tcPr>
        <w:shd w:val="clear" w:color="4bacc6" w:fill="4bacc6"/>
      </w:tcPr>
    </w:tblStylePr>
  </w:style>
  <w:style w:type="table" w:styleId="1064" w:customStyle="1">
    <w:name w:val="Lined - Accent 6"/>
    <w:uiPriority w:val="99"/>
    <w:qFormat/>
    <w:rPr>
      <w:color w:val="404040"/>
    </w:rPr>
    <w:tblPr>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fde9d9" w:fill="fde9d9"/>
      </w:tcPr>
    </w:tblStylePr>
    <w:tblStylePr w:type="band2Vert">
      <w:rPr>
        <w:rFonts w:ascii="Segoe UI" w:hAnsi="Segoe UI"/>
        <w:color w:val="404040"/>
        <w:sz w:val="22"/>
      </w:rPr>
      <w:tcPr>
        <w:shd w:val="clear" w:color="fde9d9" w:fill="fde9d9"/>
      </w:tcPr>
    </w:tblStylePr>
    <w:tblStylePr w:type="firstCol">
      <w:rPr>
        <w:rFonts w:ascii="Segoe UI" w:hAnsi="Segoe UI"/>
        <w:color w:val="f2f2f2"/>
        <w:sz w:val="22"/>
      </w:rPr>
      <w:tcPr>
        <w:shd w:val="clear" w:color="f79646" w:fill="f79646"/>
      </w:tcPr>
    </w:tblStylePr>
    <w:tblStylePr w:type="firstRow">
      <w:rPr>
        <w:rFonts w:ascii="Segoe UI" w:hAnsi="Segoe UI"/>
        <w:color w:val="f2f2f2"/>
        <w:sz w:val="22"/>
      </w:rPr>
      <w:tcPr>
        <w:shd w:val="clear" w:color="f79646" w:fill="f79646"/>
      </w:tcPr>
    </w:tblStylePr>
    <w:tblStylePr w:type="lastCol">
      <w:rPr>
        <w:rFonts w:ascii="Segoe UI" w:hAnsi="Segoe UI"/>
        <w:color w:val="f2f2f2"/>
        <w:sz w:val="22"/>
      </w:rPr>
      <w:tcPr>
        <w:shd w:val="clear" w:color="f79646" w:fill="f79646"/>
      </w:tcPr>
    </w:tblStylePr>
    <w:tblStylePr w:type="lastRow">
      <w:rPr>
        <w:rFonts w:ascii="Segoe UI" w:hAnsi="Segoe UI"/>
        <w:color w:val="f2f2f2"/>
        <w:sz w:val="22"/>
      </w:rPr>
      <w:tcPr>
        <w:shd w:val="clear" w:color="f79646" w:fill="f79646"/>
      </w:tcPr>
    </w:tblStylePr>
  </w:style>
  <w:style w:type="table" w:styleId="106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f1f1f1" w:fill="f1f1f1"/>
      </w:tcPr>
    </w:tblStylePr>
    <w:tblStylePr w:type="band2Vert">
      <w:rPr>
        <w:rFonts w:ascii="Segoe UI" w:hAnsi="Segoe UI"/>
        <w:color w:val="404040"/>
        <w:sz w:val="22"/>
      </w:rPr>
      <w:tcPr>
        <w:shd w:val="clear" w:color="f1f1f1" w:fill="f1f1f1"/>
      </w:tcPr>
    </w:tblStylePr>
    <w:tblStylePr w:type="firstCol">
      <w:rPr>
        <w:rFonts w:ascii="Segoe UI" w:hAnsi="Segoe UI"/>
        <w:color w:val="f2f2f2"/>
        <w:sz w:val="22"/>
      </w:rPr>
      <w:tcPr>
        <w:shd w:val="clear" w:color="7e7e7e" w:fill="7e7e7e"/>
      </w:tcPr>
    </w:tblStylePr>
    <w:tblStylePr w:type="firstRow">
      <w:rPr>
        <w:rFonts w:ascii="Segoe UI" w:hAnsi="Segoe UI"/>
        <w:color w:val="f2f2f2"/>
        <w:sz w:val="22"/>
      </w:rPr>
      <w:tcPr>
        <w:shd w:val="clear" w:color="7e7e7e" w:fill="7e7e7e"/>
      </w:tcPr>
    </w:tblStylePr>
    <w:tblStylePr w:type="lastCol">
      <w:rPr>
        <w:rFonts w:ascii="Segoe UI" w:hAnsi="Segoe UI"/>
        <w:color w:val="f2f2f2"/>
        <w:sz w:val="22"/>
      </w:rPr>
      <w:tcPr>
        <w:shd w:val="clear" w:color="7e7e7e" w:fill="7e7e7e"/>
      </w:tcPr>
    </w:tblStylePr>
    <w:tblStylePr w:type="lastRow">
      <w:rPr>
        <w:rFonts w:ascii="Segoe UI" w:hAnsi="Segoe UI"/>
        <w:color w:val="f2f2f2"/>
        <w:sz w:val="22"/>
      </w:rPr>
      <w:tcPr>
        <w:shd w:val="clear" w:color="7e7e7e" w:fill="7e7e7e"/>
      </w:tcPr>
    </w:tblStylePr>
  </w:style>
  <w:style w:type="table" w:styleId="1066"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c7d7ea" w:fill="c7d7ea"/>
      </w:tcPr>
    </w:tblStylePr>
    <w:tblStylePr w:type="band2Vert">
      <w:rPr>
        <w:rFonts w:ascii="Segoe UI" w:hAnsi="Segoe UI"/>
        <w:color w:val="404040"/>
        <w:sz w:val="22"/>
      </w:rPr>
      <w:tcPr>
        <w:shd w:val="clear" w:color="c7d7ea" w:fill="c7d7ea"/>
      </w:tcPr>
    </w:tblStylePr>
    <w:tblStylePr w:type="firstCol">
      <w:rPr>
        <w:rFonts w:ascii="Segoe UI" w:hAnsi="Segoe UI"/>
        <w:color w:val="f2f2f2"/>
        <w:sz w:val="22"/>
      </w:rPr>
      <w:tcPr>
        <w:shd w:val="clear" w:color="5d8bc2" w:fill="5d8bc2"/>
      </w:tcPr>
    </w:tblStylePr>
    <w:tblStylePr w:type="firstRow">
      <w:rPr>
        <w:rFonts w:ascii="Segoe UI" w:hAnsi="Segoe UI"/>
        <w:color w:val="f2f2f2"/>
        <w:sz w:val="22"/>
      </w:rPr>
      <w:tcPr>
        <w:shd w:val="clear" w:color="5d8bc2" w:fill="5d8bc2"/>
      </w:tcPr>
    </w:tblStylePr>
    <w:tblStylePr w:type="lastCol">
      <w:rPr>
        <w:rFonts w:ascii="Segoe UI" w:hAnsi="Segoe UI"/>
        <w:color w:val="f2f2f2"/>
        <w:sz w:val="22"/>
      </w:rPr>
      <w:tcPr>
        <w:shd w:val="clear" w:color="5d8bc2" w:fill="5d8bc2"/>
      </w:tcPr>
    </w:tblStylePr>
    <w:tblStylePr w:type="lastRow">
      <w:rPr>
        <w:rFonts w:ascii="Segoe UI" w:hAnsi="Segoe UI"/>
        <w:color w:val="f2f2f2"/>
        <w:sz w:val="22"/>
      </w:rPr>
      <w:tcPr>
        <w:shd w:val="clear" w:color="5d8bc2" w:fill="5d8bc2"/>
      </w:tcPr>
    </w:tblStylePr>
  </w:style>
  <w:style w:type="table" w:styleId="1067"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f2dcdc" w:fill="f2dcdc"/>
      </w:tcPr>
    </w:tblStylePr>
    <w:tblStylePr w:type="band2Vert">
      <w:rPr>
        <w:rFonts w:ascii="Segoe UI" w:hAnsi="Segoe UI"/>
        <w:color w:val="404040"/>
        <w:sz w:val="22"/>
      </w:rPr>
      <w:tcPr>
        <w:shd w:val="clear" w:color="f2dcdc" w:fill="f2dcdc"/>
      </w:tcPr>
    </w:tblStylePr>
    <w:tblStylePr w:type="firstCol">
      <w:rPr>
        <w:rFonts w:ascii="Segoe UI" w:hAnsi="Segoe UI"/>
        <w:color w:val="f2f2f2"/>
        <w:sz w:val="22"/>
      </w:rPr>
      <w:tcPr>
        <w:shd w:val="clear" w:color="d99795" w:fill="d99795"/>
      </w:tcPr>
    </w:tblStylePr>
    <w:tblStylePr w:type="firstRow">
      <w:rPr>
        <w:rFonts w:ascii="Segoe UI" w:hAnsi="Segoe UI"/>
        <w:color w:val="f2f2f2"/>
        <w:sz w:val="22"/>
      </w:rPr>
      <w:tcPr>
        <w:shd w:val="clear" w:color="d99795" w:fill="d99795"/>
      </w:tcPr>
    </w:tblStylePr>
    <w:tblStylePr w:type="lastCol">
      <w:rPr>
        <w:rFonts w:ascii="Segoe UI" w:hAnsi="Segoe UI"/>
        <w:color w:val="f2f2f2"/>
        <w:sz w:val="22"/>
      </w:rPr>
      <w:tcPr>
        <w:shd w:val="clear" w:color="d99795" w:fill="d99795"/>
      </w:tcPr>
    </w:tblStylePr>
    <w:tblStylePr w:type="lastRow">
      <w:rPr>
        <w:rFonts w:ascii="Segoe UI" w:hAnsi="Segoe UI"/>
        <w:color w:val="f2f2f2"/>
        <w:sz w:val="22"/>
      </w:rPr>
      <w:tcPr>
        <w:shd w:val="clear" w:color="d99795" w:fill="d99795"/>
      </w:tcPr>
    </w:tblStylePr>
  </w:style>
  <w:style w:type="table" w:styleId="106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eaf1dd" w:fill="eaf1dd"/>
      </w:tcPr>
    </w:tblStylePr>
    <w:tblStylePr w:type="band2Vert">
      <w:rPr>
        <w:rFonts w:ascii="Segoe UI" w:hAnsi="Segoe UI"/>
        <w:color w:val="404040"/>
        <w:sz w:val="22"/>
      </w:rPr>
      <w:tcPr>
        <w:shd w:val="clear" w:color="eaf1dd" w:fill="eaf1dd"/>
      </w:tcPr>
    </w:tblStylePr>
    <w:tblStylePr w:type="firstCol">
      <w:rPr>
        <w:rFonts w:ascii="Segoe UI" w:hAnsi="Segoe UI"/>
        <w:color w:val="f2f2f2"/>
        <w:sz w:val="22"/>
      </w:rPr>
      <w:tcPr>
        <w:shd w:val="clear" w:color="9bbb59" w:fill="9bbb59"/>
      </w:tcPr>
    </w:tblStylePr>
    <w:tblStylePr w:type="firstRow">
      <w:rPr>
        <w:rFonts w:ascii="Segoe UI" w:hAnsi="Segoe UI"/>
        <w:color w:val="f2f2f2"/>
        <w:sz w:val="22"/>
      </w:rPr>
      <w:tcPr>
        <w:shd w:val="clear" w:color="9bbb59" w:fill="9bbb59"/>
      </w:tcPr>
    </w:tblStylePr>
    <w:tblStylePr w:type="lastCol">
      <w:rPr>
        <w:rFonts w:ascii="Segoe UI" w:hAnsi="Segoe UI"/>
        <w:color w:val="f2f2f2"/>
        <w:sz w:val="22"/>
      </w:rPr>
      <w:tcPr>
        <w:shd w:val="clear" w:color="9bbb59" w:fill="9bbb59"/>
      </w:tcPr>
    </w:tblStylePr>
    <w:tblStylePr w:type="lastRow">
      <w:rPr>
        <w:rFonts w:ascii="Segoe UI" w:hAnsi="Segoe UI"/>
        <w:color w:val="f2f2f2"/>
        <w:sz w:val="22"/>
      </w:rPr>
      <w:tcPr>
        <w:shd w:val="clear" w:color="9bbb59" w:fill="9bbb59"/>
      </w:tcPr>
    </w:tblStylePr>
  </w:style>
  <w:style w:type="table" w:styleId="10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e5dfec" w:fill="e5dfec"/>
      </w:tcPr>
    </w:tblStylePr>
    <w:tblStylePr w:type="band2Vert">
      <w:rPr>
        <w:rFonts w:ascii="Segoe UI" w:hAnsi="Segoe UI"/>
        <w:color w:val="404040"/>
        <w:sz w:val="22"/>
      </w:rPr>
      <w:tcPr>
        <w:shd w:val="clear" w:color="e5dfec" w:fill="e5dfec"/>
      </w:tcPr>
    </w:tblStylePr>
    <w:tblStylePr w:type="firstCol">
      <w:rPr>
        <w:rFonts w:ascii="Segoe UI" w:hAnsi="Segoe UI"/>
        <w:color w:val="f2f2f2"/>
        <w:sz w:val="22"/>
      </w:rPr>
      <w:tcPr>
        <w:shd w:val="clear" w:color="b2a1c6" w:fill="b2a1c6"/>
      </w:tcPr>
    </w:tblStylePr>
    <w:tblStylePr w:type="firstRow">
      <w:rPr>
        <w:rFonts w:ascii="Segoe UI" w:hAnsi="Segoe UI"/>
        <w:color w:val="f2f2f2"/>
        <w:sz w:val="22"/>
      </w:rPr>
      <w:tcPr>
        <w:shd w:val="clear" w:color="b2a1c6" w:fill="b2a1c6"/>
      </w:tcPr>
    </w:tblStylePr>
    <w:tblStylePr w:type="lastCol">
      <w:rPr>
        <w:rFonts w:ascii="Segoe UI" w:hAnsi="Segoe UI"/>
        <w:color w:val="f2f2f2"/>
        <w:sz w:val="22"/>
      </w:rPr>
      <w:tcPr>
        <w:shd w:val="clear" w:color="b2a1c6" w:fill="b2a1c6"/>
      </w:tcPr>
    </w:tblStylePr>
    <w:tblStylePr w:type="lastRow">
      <w:rPr>
        <w:rFonts w:ascii="Segoe UI" w:hAnsi="Segoe UI"/>
        <w:color w:val="f2f2f2"/>
        <w:sz w:val="22"/>
      </w:rPr>
      <w:tcPr>
        <w:shd w:val="clear" w:color="b2a1c6" w:fill="b2a1c6"/>
      </w:tcPr>
    </w:tblStylePr>
  </w:style>
  <w:style w:type="table" w:styleId="10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daeef3" w:fill="daeef3"/>
      </w:tcPr>
    </w:tblStylePr>
    <w:tblStylePr w:type="band2Vert">
      <w:rPr>
        <w:rFonts w:ascii="Segoe UI" w:hAnsi="Segoe UI"/>
        <w:color w:val="404040"/>
        <w:sz w:val="22"/>
      </w:rPr>
      <w:tcPr>
        <w:shd w:val="clear" w:color="daeef3" w:fill="daeef3"/>
      </w:tcPr>
    </w:tblStylePr>
    <w:tblStylePr w:type="firstCol">
      <w:rPr>
        <w:rFonts w:ascii="Segoe UI" w:hAnsi="Segoe UI"/>
        <w:color w:val="f2f2f2"/>
        <w:sz w:val="22"/>
      </w:rPr>
      <w:tcPr>
        <w:shd w:val="clear" w:color="4bacc6" w:fill="4bacc6"/>
      </w:tcPr>
    </w:tblStylePr>
    <w:tblStylePr w:type="firstRow">
      <w:rPr>
        <w:rFonts w:ascii="Segoe UI" w:hAnsi="Segoe UI"/>
        <w:color w:val="f2f2f2"/>
        <w:sz w:val="22"/>
      </w:rPr>
      <w:tcPr>
        <w:shd w:val="clear" w:color="4bacc6" w:fill="4bacc6"/>
      </w:tcPr>
    </w:tblStylePr>
    <w:tblStylePr w:type="lastCol">
      <w:rPr>
        <w:rFonts w:ascii="Segoe UI" w:hAnsi="Segoe UI"/>
        <w:color w:val="f2f2f2"/>
        <w:sz w:val="22"/>
      </w:rPr>
      <w:tcPr>
        <w:shd w:val="clear" w:color="4bacc6" w:fill="4bacc6"/>
      </w:tcPr>
    </w:tblStylePr>
    <w:tblStylePr w:type="lastRow">
      <w:rPr>
        <w:rFonts w:ascii="Segoe UI" w:hAnsi="Segoe UI"/>
        <w:color w:val="f2f2f2"/>
        <w:sz w:val="22"/>
      </w:rPr>
      <w:tcPr>
        <w:shd w:val="clear" w:color="4bacc6" w:fill="4bacc6"/>
      </w:tcPr>
    </w:tblStylePr>
  </w:style>
  <w:style w:type="table" w:styleId="10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Segoe UI" w:hAnsi="Segoe UI"/>
        <w:color w:val="404040"/>
        <w:sz w:val="22"/>
      </w:rPr>
    </w:tblStylePr>
    <w:tblStylePr w:type="band1Vert">
      <w:rPr>
        <w:rFonts w:ascii="Segoe UI" w:hAnsi="Segoe UI"/>
        <w:color w:val="404040"/>
        <w:sz w:val="22"/>
      </w:rPr>
    </w:tblStylePr>
    <w:tblStylePr w:type="band2Horz">
      <w:rPr>
        <w:rFonts w:ascii="Segoe UI" w:hAnsi="Segoe UI"/>
        <w:color w:val="404040"/>
        <w:sz w:val="22"/>
      </w:rPr>
      <w:tcPr>
        <w:shd w:val="clear" w:color="fde9d9" w:fill="fde9d9"/>
      </w:tcPr>
    </w:tblStylePr>
    <w:tblStylePr w:type="band2Vert">
      <w:rPr>
        <w:rFonts w:ascii="Segoe UI" w:hAnsi="Segoe UI"/>
        <w:color w:val="404040"/>
        <w:sz w:val="22"/>
      </w:rPr>
      <w:tcPr>
        <w:shd w:val="clear" w:color="fde9d9" w:fill="fde9d9"/>
      </w:tcPr>
    </w:tblStylePr>
    <w:tblStylePr w:type="firstCol">
      <w:rPr>
        <w:rFonts w:ascii="Segoe UI" w:hAnsi="Segoe UI"/>
        <w:color w:val="f2f2f2"/>
        <w:sz w:val="22"/>
      </w:rPr>
      <w:tcPr>
        <w:shd w:val="clear" w:color="f79646" w:fill="f79646"/>
      </w:tcPr>
    </w:tblStylePr>
    <w:tblStylePr w:type="firstRow">
      <w:rPr>
        <w:rFonts w:ascii="Segoe UI" w:hAnsi="Segoe UI"/>
        <w:color w:val="f2f2f2"/>
        <w:sz w:val="22"/>
      </w:rPr>
      <w:tcPr>
        <w:shd w:val="clear" w:color="f79646" w:fill="f79646"/>
      </w:tcPr>
    </w:tblStylePr>
    <w:tblStylePr w:type="lastCol">
      <w:rPr>
        <w:rFonts w:ascii="Segoe UI" w:hAnsi="Segoe UI"/>
        <w:color w:val="f2f2f2"/>
        <w:sz w:val="22"/>
      </w:rPr>
      <w:tcPr>
        <w:shd w:val="clear" w:color="f79646" w:fill="f79646"/>
      </w:tcPr>
    </w:tblStylePr>
    <w:tblStylePr w:type="lastRow">
      <w:rPr>
        <w:rFonts w:ascii="Segoe UI" w:hAnsi="Segoe UI"/>
        <w:color w:val="f2f2f2"/>
        <w:sz w:val="22"/>
      </w:rPr>
      <w:tcPr>
        <w:shd w:val="clear" w:color="f79646" w:fill="f79646"/>
      </w:tcPr>
    </w:tblStylePr>
  </w:style>
  <w:style w:type="table" w:styleId="1072"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Segoe UI" w:hAnsi="Segoe UI"/>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3"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Segoe UI" w:hAnsi="Segoe UI"/>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4"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Segoe UI" w:hAnsi="Segoe UI"/>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Segoe UI" w:hAnsi="Segoe UI"/>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Segoe UI" w:hAnsi="Segoe UI"/>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Segoe UI" w:hAnsi="Segoe UI"/>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Segoe UI" w:hAnsi="Segoe UI"/>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Segoe UI" w:hAnsi="Segoe UI"/>
        <w:color w:val="404040"/>
        <w:sz w:val="22"/>
      </w:rPr>
    </w:tblStylePr>
    <w:tblStylePr w:type="firstRow">
      <w:rPr>
        <w:rFonts w:ascii="Segoe UI" w:hAnsi="Segoe UI"/>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Segoe UI" w:hAnsi="Segoe UI"/>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Segoe UI" w:hAnsi="Segoe UI"/>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79" w:customStyle="1">
    <w:name w:val="TOC 标题11"/>
    <w:uiPriority w:val="39"/>
    <w:unhideWhenUsed/>
    <w:qFormat/>
    <w:rPr>
      <w:rFonts w:hint="default" w:ascii="Calibri" w:hAnsi="Calibri" w:eastAsia="宋体" w:cs="Times New Roman"/>
      <w:lang w:eastAsia="zh-CN"/>
    </w:rPr>
  </w:style>
  <w:style w:type="paragraph" w:styleId="1080" w:customStyle="1">
    <w:name w:val="标题 11"/>
    <w:basedOn w:val="866"/>
    <w:next w:val="866"/>
    <w:link w:val="1081"/>
    <w:uiPriority w:val="0"/>
    <w:qFormat/>
    <w:pPr>
      <w:jc w:val="center"/>
      <w:keepNext/>
      <w:outlineLvl w:val="0"/>
    </w:pPr>
    <w:rPr>
      <w:rFonts w:ascii="楷体_GB2312" w:hAnsi="Times New Roman" w:eastAsia="楷体_GB2312"/>
      <w:sz w:val="28"/>
      <w:szCs w:val="28"/>
    </w:rPr>
  </w:style>
  <w:style w:type="character" w:styleId="1081" w:customStyle="1">
    <w:name w:val="标题 1 字符"/>
    <w:link w:val="1080"/>
    <w:uiPriority w:val="0"/>
    <w:qFormat/>
    <w:rPr>
      <w:rFonts w:ascii="楷体_GB2312" w:hAnsi="Times New Roman" w:eastAsia="楷体_GB2312" w:cs="Times New Roman"/>
      <w:sz w:val="28"/>
      <w:szCs w:val="28"/>
    </w:rPr>
  </w:style>
  <w:style w:type="paragraph" w:styleId="1082" w:customStyle="1">
    <w:name w:val="标题 211"/>
    <w:basedOn w:val="866"/>
    <w:next w:val="1083"/>
    <w:link w:val="10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83" w:customStyle="1">
    <w:name w:val="正文缩进1"/>
    <w:basedOn w:val="866"/>
    <w:link w:val="1085"/>
    <w:uiPriority w:val="0"/>
    <w:qFormat/>
    <w:pPr>
      <w:ind w:firstLine="420"/>
    </w:pPr>
    <w:rPr>
      <w:szCs w:val="21"/>
    </w:rPr>
  </w:style>
  <w:style w:type="character" w:styleId="1084" w:customStyle="1">
    <w:name w:val="标题 2 字符1"/>
    <w:link w:val="1082"/>
    <w:uiPriority w:val="0"/>
    <w:qFormat/>
    <w:rPr>
      <w:rFonts w:ascii="Arial" w:hAnsi="Arial" w:eastAsia="幼圆" w:cs="Arial"/>
      <w:b/>
      <w:bCs/>
      <w:sz w:val="44"/>
      <w:szCs w:val="44"/>
    </w:rPr>
  </w:style>
  <w:style w:type="character" w:styleId="1085" w:customStyle="1">
    <w:name w:val="正文缩进 字符"/>
    <w:link w:val="1083"/>
    <w:uiPriority w:val="0"/>
    <w:qFormat/>
    <w:rPr>
      <w:szCs w:val="21"/>
    </w:rPr>
  </w:style>
  <w:style w:type="paragraph" w:styleId="1086" w:customStyle="1">
    <w:name w:val="标题 31"/>
    <w:basedOn w:val="866"/>
    <w:next w:val="1083"/>
    <w:link w:val="1087"/>
    <w:uiPriority w:val="0"/>
    <w:qFormat/>
    <w:pPr>
      <w:keepLines/>
      <w:keepNext/>
      <w:spacing w:before="260" w:after="260" w:line="416" w:lineRule="auto"/>
      <w:outlineLvl w:val="2"/>
    </w:pPr>
    <w:rPr>
      <w:rFonts w:ascii="Times New Roman" w:hAnsi="Times New Roman"/>
      <w:b/>
      <w:bCs/>
      <w:sz w:val="32"/>
      <w:szCs w:val="32"/>
    </w:rPr>
  </w:style>
  <w:style w:type="character" w:styleId="1087" w:customStyle="1">
    <w:name w:val="标题 3 字符"/>
    <w:link w:val="1086"/>
    <w:uiPriority w:val="0"/>
    <w:qFormat/>
    <w:rPr>
      <w:rFonts w:ascii="Times New Roman" w:hAnsi="Times New Roman" w:eastAsia="宋体" w:cs="Times New Roman"/>
      <w:b/>
      <w:bCs/>
      <w:sz w:val="32"/>
      <w:szCs w:val="32"/>
    </w:rPr>
  </w:style>
  <w:style w:type="paragraph" w:styleId="1088" w:customStyle="1">
    <w:name w:val="标题 41"/>
    <w:basedOn w:val="866"/>
    <w:next w:val="1083"/>
    <w:link w:val="1089"/>
    <w:uiPriority w:val="0"/>
    <w:qFormat/>
    <w:pPr>
      <w:keepLines/>
      <w:keepNext/>
      <w:spacing w:before="280" w:after="290" w:line="376" w:lineRule="auto"/>
      <w:outlineLvl w:val="3"/>
    </w:pPr>
    <w:rPr>
      <w:rFonts w:ascii="Arial" w:hAnsi="Arial" w:eastAsia="黑体" w:cs="Arial"/>
      <w:b/>
      <w:bCs/>
      <w:sz w:val="28"/>
      <w:szCs w:val="28"/>
    </w:rPr>
  </w:style>
  <w:style w:type="character" w:styleId="1089" w:customStyle="1">
    <w:name w:val="标题 4 字符1"/>
    <w:link w:val="1088"/>
    <w:uiPriority w:val="0"/>
    <w:qFormat/>
    <w:rPr>
      <w:rFonts w:ascii="Arial" w:hAnsi="Arial" w:eastAsia="黑体" w:cs="Arial"/>
      <w:b/>
      <w:bCs/>
      <w:sz w:val="28"/>
      <w:szCs w:val="28"/>
    </w:rPr>
  </w:style>
  <w:style w:type="paragraph" w:styleId="1090" w:customStyle="1">
    <w:name w:val="标题 51"/>
    <w:basedOn w:val="866"/>
    <w:next w:val="1083"/>
    <w:link w:val="1091"/>
    <w:uiPriority w:val="0"/>
    <w:qFormat/>
    <w:pPr>
      <w:keepNext/>
      <w:outlineLvl w:val="4"/>
    </w:pPr>
    <w:rPr>
      <w:rFonts w:ascii="宋体" w:hAnsi="Times New Roman"/>
      <w:color w:val="000000"/>
      <w:sz w:val="28"/>
      <w:szCs w:val="28"/>
    </w:rPr>
  </w:style>
  <w:style w:type="character" w:styleId="1091" w:customStyle="1">
    <w:name w:val="标题 5 字符"/>
    <w:link w:val="1090"/>
    <w:uiPriority w:val="0"/>
    <w:qFormat/>
    <w:rPr>
      <w:rFonts w:ascii="宋体" w:hAnsi="Times New Roman" w:eastAsia="宋体" w:cs="Times New Roman"/>
      <w:color w:val="000000"/>
      <w:sz w:val="28"/>
      <w:szCs w:val="28"/>
    </w:rPr>
  </w:style>
  <w:style w:type="paragraph" w:styleId="1092" w:customStyle="1">
    <w:name w:val="标题 61"/>
    <w:basedOn w:val="866"/>
    <w:next w:val="866"/>
    <w:link w:val="1093"/>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93" w:customStyle="1">
    <w:name w:val="标题 6 字符"/>
    <w:link w:val="1092"/>
    <w:uiPriority w:val="0"/>
    <w:qFormat/>
    <w:rPr>
      <w:rFonts w:ascii="Arial" w:hAnsi="Arial" w:eastAsia="黑体" w:cs="Times New Roman"/>
      <w:b/>
      <w:bCs/>
      <w:sz w:val="24"/>
      <w:szCs w:val="24"/>
    </w:rPr>
  </w:style>
  <w:style w:type="paragraph" w:styleId="1094" w:customStyle="1">
    <w:name w:val="标题 71"/>
    <w:basedOn w:val="866"/>
    <w:next w:val="866"/>
    <w:link w:val="109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character" w:styleId="1095" w:customStyle="1">
    <w:name w:val="标题 7 字符"/>
    <w:link w:val="1094"/>
    <w:uiPriority w:val="0"/>
    <w:qFormat/>
    <w:rPr>
      <w:rFonts w:ascii="Times New Roman" w:hAnsi="Times New Roman" w:eastAsia="宋体" w:cs="Times New Roman"/>
      <w:b/>
      <w:bCs/>
      <w:sz w:val="24"/>
      <w:szCs w:val="24"/>
    </w:rPr>
  </w:style>
  <w:style w:type="paragraph" w:styleId="1096" w:customStyle="1">
    <w:name w:val="标题 81"/>
    <w:basedOn w:val="866"/>
    <w:next w:val="866"/>
    <w:link w:val="1097"/>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97" w:customStyle="1">
    <w:name w:val="标题 8 字符"/>
    <w:link w:val="1096"/>
    <w:uiPriority w:val="0"/>
    <w:qFormat/>
    <w:rPr>
      <w:rFonts w:ascii="Arial" w:hAnsi="Arial" w:eastAsia="黑体" w:cs="Times New Roman"/>
      <w:sz w:val="24"/>
      <w:szCs w:val="24"/>
    </w:rPr>
  </w:style>
  <w:style w:type="paragraph" w:styleId="1098" w:customStyle="1">
    <w:name w:val="标题 91"/>
    <w:basedOn w:val="866"/>
    <w:next w:val="866"/>
    <w:link w:val="1099"/>
    <w:uiPriority w:val="0"/>
    <w:qFormat/>
    <w:pPr>
      <w:numPr>
        <w:ilvl w:val="8"/>
        <w:numId w:val="1"/>
      </w:numPr>
      <w:keepLines/>
      <w:keepNext/>
      <w:spacing w:before="240" w:after="64" w:line="320" w:lineRule="auto"/>
      <w:outlineLvl w:val="8"/>
    </w:pPr>
    <w:rPr>
      <w:rFonts w:ascii="Arial" w:hAnsi="Arial" w:eastAsia="黑体"/>
      <w:szCs w:val="21"/>
    </w:rPr>
  </w:style>
  <w:style w:type="character" w:styleId="1099" w:customStyle="1">
    <w:name w:val="标题 9 字符"/>
    <w:link w:val="1098"/>
    <w:uiPriority w:val="0"/>
    <w:qFormat/>
    <w:rPr>
      <w:rFonts w:ascii="Arial" w:hAnsi="Arial" w:eastAsia="黑体" w:cs="Times New Roman"/>
      <w:szCs w:val="21"/>
    </w:rPr>
  </w:style>
  <w:style w:type="character" w:styleId="1100" w:customStyle="1">
    <w:name w:val="默认段落字体1"/>
    <w:uiPriority w:val="1"/>
    <w:unhideWhenUsed/>
    <w:qFormat/>
    <w:rPr>
      <w:rFonts w:hint="default" w:ascii="Calibri" w:hAnsi="Calibri" w:eastAsia="宋体" w:cs="Times New Roman"/>
      <w:sz w:val="21"/>
      <w:szCs w:val="22"/>
    </w:rPr>
  </w:style>
  <w:style w:type="table" w:styleId="1101" w:customStyle="1">
    <w:name w:val="普通表格1"/>
    <w:uiPriority w:val="99"/>
    <w:unhideWhenUsed/>
    <w:qFormat/>
    <w:tblPr>
      <w:tblCellMar>
        <w:left w:w="0" w:type="dxa"/>
        <w:top w:w="0" w:type="dxa"/>
        <w:right w:w="0" w:type="dxa"/>
        <w:bottom w:w="0" w:type="dxa"/>
      </w:tblCellMar>
    </w:tblPr>
  </w:style>
  <w:style w:type="paragraph" w:styleId="1102" w:customStyle="1">
    <w:name w:val="列表 31"/>
    <w:basedOn w:val="866"/>
    <w:uiPriority w:val="0"/>
    <w:qFormat/>
    <w:pPr>
      <w:ind w:left="100" w:hanging="200"/>
    </w:pPr>
    <w:rPr>
      <w:rFonts w:ascii="Times New Roman" w:hAnsi="Times New Roman"/>
      <w:szCs w:val="21"/>
    </w:rPr>
  </w:style>
  <w:style w:type="paragraph" w:styleId="1103" w:customStyle="1">
    <w:name w:val="文档结构图1"/>
    <w:basedOn w:val="866"/>
    <w:link w:val="1104"/>
    <w:uiPriority w:val="0"/>
    <w:qFormat/>
    <w:pPr>
      <w:shd w:val="clear" w:color="auto" w:fill="000080"/>
    </w:pPr>
    <w:rPr>
      <w:rFonts w:ascii="Times New Roman" w:hAnsi="Times New Roman"/>
      <w:szCs w:val="21"/>
    </w:rPr>
  </w:style>
  <w:style w:type="character" w:styleId="1104" w:customStyle="1">
    <w:name w:val="文档结构图 字符"/>
    <w:link w:val="1103"/>
    <w:uiPriority w:val="0"/>
    <w:semiHidden/>
    <w:qFormat/>
    <w:rPr>
      <w:rFonts w:ascii="Times New Roman" w:hAnsi="Times New Roman" w:eastAsia="宋体" w:cs="Times New Roman"/>
      <w:szCs w:val="21"/>
      <w:shd w:val="clear" w:color="auto" w:fill="000080"/>
    </w:rPr>
  </w:style>
  <w:style w:type="paragraph" w:styleId="1105" w:customStyle="1">
    <w:name w:val="批注文字11"/>
    <w:basedOn w:val="866"/>
    <w:link w:val="1106"/>
    <w:uiPriority w:val="99"/>
    <w:unhideWhenUsed/>
    <w:qFormat/>
    <w:pPr>
      <w:jc w:val="left"/>
    </w:pPr>
  </w:style>
  <w:style w:type="character" w:styleId="1106" w:customStyle="1">
    <w:name w:val="批注文字 字符1"/>
    <w:link w:val="1105"/>
    <w:uiPriority w:val="99"/>
    <w:semiHidden/>
    <w:qFormat/>
  </w:style>
  <w:style w:type="paragraph" w:styleId="1107" w:customStyle="1">
    <w:name w:val="正文文本 31"/>
    <w:basedOn w:val="866"/>
    <w:link w:val="1108"/>
    <w:uiPriority w:val="0"/>
    <w:qFormat/>
    <w:rPr>
      <w:rFonts w:ascii="仿宋_GB2312" w:hAnsi="Arial" w:eastAsia="仿宋_GB2312"/>
      <w:sz w:val="32"/>
      <w:szCs w:val="32"/>
    </w:rPr>
  </w:style>
  <w:style w:type="character" w:styleId="1108" w:customStyle="1">
    <w:name w:val="正文文本 3 字符"/>
    <w:link w:val="1107"/>
    <w:uiPriority w:val="0"/>
    <w:qFormat/>
    <w:rPr>
      <w:rFonts w:ascii="仿宋_GB2312" w:hAnsi="Arial" w:eastAsia="仿宋_GB2312" w:cs="Times New Roman"/>
      <w:sz w:val="32"/>
      <w:szCs w:val="32"/>
    </w:rPr>
  </w:style>
  <w:style w:type="paragraph" w:styleId="1109" w:customStyle="1">
    <w:name w:val="正文文本1"/>
    <w:basedOn w:val="866"/>
    <w:link w:val="1110"/>
    <w:uiPriority w:val="0"/>
    <w:qFormat/>
    <w:rPr>
      <w:rFonts w:ascii="楷体_GB2312" w:hAnsi="Arial" w:eastAsia="楷体_GB2312"/>
      <w:sz w:val="28"/>
      <w:szCs w:val="28"/>
    </w:rPr>
  </w:style>
  <w:style w:type="character" w:styleId="1110" w:customStyle="1">
    <w:name w:val="正文文本 字符"/>
    <w:link w:val="1109"/>
    <w:uiPriority w:val="0"/>
    <w:qFormat/>
    <w:rPr>
      <w:rFonts w:ascii="楷体_GB2312" w:hAnsi="Arial" w:eastAsia="楷体_GB2312" w:cs="Times New Roman"/>
      <w:sz w:val="28"/>
      <w:szCs w:val="28"/>
    </w:rPr>
  </w:style>
  <w:style w:type="paragraph" w:styleId="1111" w:customStyle="1">
    <w:name w:val="正文文本缩进1"/>
    <w:basedOn w:val="866"/>
    <w:link w:val="1112"/>
    <w:uiPriority w:val="0"/>
    <w:unhideWhenUsed/>
    <w:qFormat/>
    <w:pPr>
      <w:ind w:left="420"/>
      <w:spacing w:after="120"/>
    </w:pPr>
  </w:style>
  <w:style w:type="character" w:styleId="1112" w:customStyle="1">
    <w:name w:val="正文文本缩进 字符"/>
    <w:link w:val="1111"/>
    <w:uiPriority w:val="99"/>
    <w:semiHidden/>
    <w:qFormat/>
  </w:style>
  <w:style w:type="paragraph" w:styleId="1113" w:customStyle="1">
    <w:name w:val="列表 21"/>
    <w:basedOn w:val="866"/>
    <w:uiPriority w:val="0"/>
    <w:qFormat/>
    <w:pPr>
      <w:ind w:left="100" w:hanging="200"/>
    </w:pPr>
    <w:rPr>
      <w:rFonts w:ascii="Times New Roman" w:hAnsi="Times New Roman"/>
      <w:szCs w:val="21"/>
    </w:rPr>
  </w:style>
  <w:style w:type="paragraph" w:styleId="1114" w:customStyle="1">
    <w:name w:val="纯文本1"/>
    <w:basedOn w:val="866"/>
    <w:link w:val="1115"/>
    <w:uiPriority w:val="0"/>
    <w:qFormat/>
    <w:rPr>
      <w:rFonts w:ascii="宋体" w:hAnsi="Courier New" w:cs="Courier New"/>
      <w:szCs w:val="21"/>
    </w:rPr>
  </w:style>
  <w:style w:type="character" w:styleId="1115" w:customStyle="1">
    <w:name w:val="纯文本 字符"/>
    <w:link w:val="1114"/>
    <w:uiPriority w:val="0"/>
    <w:qFormat/>
    <w:rPr>
      <w:rFonts w:ascii="宋体" w:hAnsi="Courier New" w:eastAsia="宋体" w:cs="Courier New"/>
      <w:szCs w:val="21"/>
    </w:rPr>
  </w:style>
  <w:style w:type="paragraph" w:styleId="1116" w:customStyle="1">
    <w:name w:val="日期1"/>
    <w:basedOn w:val="866"/>
    <w:next w:val="866"/>
    <w:link w:val="1117"/>
    <w:uiPriority w:val="0"/>
    <w:qFormat/>
    <w:rPr>
      <w:rFonts w:ascii="Times New Roman" w:hAnsi="Times New Roman"/>
      <w:sz w:val="24"/>
      <w:szCs w:val="24"/>
    </w:rPr>
  </w:style>
  <w:style w:type="character" w:styleId="1117" w:customStyle="1">
    <w:name w:val="日期 字符"/>
    <w:link w:val="1116"/>
    <w:uiPriority w:val="0"/>
    <w:qFormat/>
    <w:rPr>
      <w:rFonts w:ascii="Times New Roman" w:hAnsi="Times New Roman" w:eastAsia="宋体" w:cs="Times New Roman"/>
      <w:sz w:val="24"/>
      <w:szCs w:val="24"/>
    </w:rPr>
  </w:style>
  <w:style w:type="paragraph" w:styleId="1118" w:customStyle="1">
    <w:name w:val="正文文本缩进 21"/>
    <w:basedOn w:val="866"/>
    <w:link w:val="1119"/>
    <w:uiPriority w:val="0"/>
    <w:qFormat/>
    <w:pPr>
      <w:ind w:left="630" w:firstLine="645"/>
    </w:pPr>
    <w:rPr>
      <w:rFonts w:ascii="Arial" w:hAnsi="Arial" w:eastAsia="仿宋_GB2312" w:cs="Arial"/>
      <w:sz w:val="32"/>
      <w:szCs w:val="32"/>
    </w:rPr>
  </w:style>
  <w:style w:type="character" w:styleId="1119" w:customStyle="1">
    <w:name w:val="正文文本缩进 2 字符"/>
    <w:link w:val="1118"/>
    <w:uiPriority w:val="0"/>
    <w:qFormat/>
    <w:rPr>
      <w:rFonts w:ascii="Arial" w:hAnsi="Arial" w:eastAsia="仿宋_GB2312" w:cs="Arial"/>
      <w:sz w:val="32"/>
      <w:szCs w:val="32"/>
    </w:rPr>
  </w:style>
  <w:style w:type="paragraph" w:styleId="1120" w:customStyle="1">
    <w:name w:val="批注框文本1"/>
    <w:basedOn w:val="866"/>
    <w:link w:val="1121"/>
    <w:uiPriority w:val="0"/>
    <w:qFormat/>
    <w:rPr>
      <w:rFonts w:ascii="Times New Roman" w:hAnsi="Times New Roman"/>
      <w:sz w:val="18"/>
      <w:szCs w:val="18"/>
    </w:rPr>
  </w:style>
  <w:style w:type="character" w:styleId="1121" w:customStyle="1">
    <w:name w:val="批注框文本 字符"/>
    <w:link w:val="1120"/>
    <w:uiPriority w:val="0"/>
    <w:semiHidden/>
    <w:qFormat/>
    <w:rPr>
      <w:rFonts w:ascii="Times New Roman" w:hAnsi="Times New Roman" w:eastAsia="宋体" w:cs="Times New Roman"/>
      <w:sz w:val="18"/>
      <w:szCs w:val="18"/>
    </w:rPr>
  </w:style>
  <w:style w:type="paragraph" w:styleId="1122" w:customStyle="1">
    <w:name w:val="页脚1"/>
    <w:basedOn w:val="866"/>
    <w:link w:val="1123"/>
    <w:uiPriority w:val="0"/>
    <w:qFormat/>
    <w:pPr>
      <w:jc w:val="left"/>
      <w:tabs>
        <w:tab w:val="center" w:pos="4153" w:leader="none"/>
        <w:tab w:val="right" w:pos="8306" w:leader="none"/>
      </w:tabs>
    </w:pPr>
    <w:rPr>
      <w:rFonts w:ascii="Times New Roman" w:hAnsi="Times New Roman"/>
      <w:sz w:val="18"/>
      <w:szCs w:val="18"/>
    </w:rPr>
  </w:style>
  <w:style w:type="character" w:styleId="1123" w:customStyle="1">
    <w:name w:val="页脚 字符"/>
    <w:link w:val="1122"/>
    <w:uiPriority w:val="0"/>
    <w:qFormat/>
    <w:rPr>
      <w:rFonts w:ascii="Times New Roman" w:hAnsi="Times New Roman" w:eastAsia="宋体" w:cs="Times New Roman"/>
      <w:sz w:val="18"/>
      <w:szCs w:val="18"/>
    </w:rPr>
  </w:style>
  <w:style w:type="paragraph" w:styleId="1124" w:customStyle="1">
    <w:name w:val="页眉1"/>
    <w:basedOn w:val="866"/>
    <w:link w:val="1125"/>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125" w:customStyle="1">
    <w:name w:val="页眉 字符"/>
    <w:link w:val="1124"/>
    <w:uiPriority w:val="0"/>
    <w:qFormat/>
    <w:rPr>
      <w:rFonts w:ascii="Times New Roman" w:hAnsi="Times New Roman" w:eastAsia="宋体" w:cs="Times New Roman"/>
      <w:sz w:val="18"/>
      <w:szCs w:val="18"/>
    </w:rPr>
  </w:style>
  <w:style w:type="paragraph" w:styleId="1126" w:customStyle="1">
    <w:name w:val="列表1"/>
    <w:basedOn w:val="866"/>
    <w:uiPriority w:val="0"/>
    <w:qFormat/>
    <w:pPr>
      <w:ind w:left="200" w:hanging="200"/>
    </w:pPr>
    <w:rPr>
      <w:rFonts w:ascii="Times New Roman" w:hAnsi="Times New Roman"/>
      <w:szCs w:val="21"/>
    </w:rPr>
  </w:style>
  <w:style w:type="paragraph" w:styleId="1127" w:customStyle="1">
    <w:name w:val="正文文本缩进 31"/>
    <w:basedOn w:val="866"/>
    <w:link w:val="1128"/>
    <w:uiPriority w:val="0"/>
    <w:qFormat/>
    <w:pPr>
      <w:ind w:left="645" w:firstLine="645"/>
    </w:pPr>
    <w:rPr>
      <w:rFonts w:ascii="Arial" w:hAnsi="Arial" w:eastAsia="仿宋_GB2312" w:cs="Arial"/>
      <w:color w:val="ffff00"/>
      <w:sz w:val="32"/>
      <w:szCs w:val="32"/>
    </w:rPr>
  </w:style>
  <w:style w:type="character" w:styleId="1128" w:customStyle="1">
    <w:name w:val="正文文本缩进 3 字符"/>
    <w:link w:val="1127"/>
    <w:uiPriority w:val="0"/>
    <w:qFormat/>
    <w:rPr>
      <w:rFonts w:ascii="Arial" w:hAnsi="Arial" w:eastAsia="仿宋_GB2312" w:cs="Arial"/>
      <w:color w:val="ffff00"/>
      <w:sz w:val="32"/>
      <w:szCs w:val="32"/>
    </w:rPr>
  </w:style>
  <w:style w:type="paragraph" w:styleId="1129" w:customStyle="1">
    <w:name w:val="图表目录11"/>
    <w:basedOn w:val="866"/>
    <w:next w:val="866"/>
    <w:uiPriority w:val="0"/>
    <w:qFormat/>
    <w:pPr>
      <w:ind w:left="840" w:hanging="420"/>
    </w:pPr>
    <w:rPr>
      <w:rFonts w:ascii="Times New Roman" w:hAnsi="Times New Roman"/>
      <w:szCs w:val="21"/>
    </w:rPr>
  </w:style>
  <w:style w:type="paragraph" w:styleId="1130" w:customStyle="1">
    <w:name w:val="正文文本 21"/>
    <w:basedOn w:val="866"/>
    <w:link w:val="1131"/>
    <w:uiPriority w:val="0"/>
    <w:qFormat/>
    <w:pPr>
      <w:jc w:val="center"/>
      <w:widowControl/>
    </w:pPr>
    <w:rPr>
      <w:rFonts w:ascii="楷体_GB2312" w:hAnsi="Times New Roman" w:eastAsia="楷体_GB2312"/>
      <w:sz w:val="28"/>
      <w:szCs w:val="28"/>
    </w:rPr>
  </w:style>
  <w:style w:type="character" w:styleId="1131" w:customStyle="1">
    <w:name w:val="正文文本 2 字符"/>
    <w:link w:val="1130"/>
    <w:uiPriority w:val="0"/>
    <w:qFormat/>
    <w:rPr>
      <w:rFonts w:ascii="楷体_GB2312" w:hAnsi="Times New Roman" w:eastAsia="楷体_GB2312" w:cs="Times New Roman"/>
      <w:sz w:val="28"/>
      <w:szCs w:val="28"/>
    </w:rPr>
  </w:style>
  <w:style w:type="paragraph" w:styleId="1132" w:customStyle="1">
    <w:name w:val="普通(网站)1"/>
    <w:basedOn w:val="866"/>
    <w:uiPriority w:val="0"/>
    <w:qFormat/>
    <w:pPr>
      <w:jc w:val="left"/>
      <w:spacing w:before="100" w:beforeAutospacing="1" w:after="100" w:afterAutospacing="1"/>
      <w:widowControl/>
    </w:pPr>
    <w:rPr>
      <w:rFonts w:ascii="宋体" w:hAnsi="宋体" w:cs="宋体"/>
      <w:sz w:val="24"/>
      <w:szCs w:val="24"/>
    </w:rPr>
  </w:style>
  <w:style w:type="paragraph" w:styleId="1133" w:customStyle="1">
    <w:name w:val="索引 11"/>
    <w:basedOn w:val="866"/>
    <w:next w:val="866"/>
    <w:uiPriority w:val="0"/>
    <w:qFormat/>
    <w:pPr>
      <w:spacing w:line="240" w:lineRule="atLeast"/>
    </w:pPr>
    <w:rPr>
      <w:rFonts w:ascii="Times New Roman" w:hAnsi="Times New Roman"/>
      <w:b/>
      <w:bCs/>
      <w:szCs w:val="21"/>
    </w:rPr>
  </w:style>
  <w:style w:type="paragraph" w:styleId="1134" w:customStyle="1">
    <w:name w:val="批注主题1"/>
    <w:basedOn w:val="1105"/>
    <w:next w:val="1105"/>
    <w:link w:val="1135"/>
    <w:uiPriority w:val="0"/>
    <w:qFormat/>
    <w:rPr>
      <w:rFonts w:ascii="Times New Roman" w:hAnsi="Times New Roman"/>
      <w:b/>
      <w:bCs/>
      <w:szCs w:val="21"/>
    </w:rPr>
  </w:style>
  <w:style w:type="character" w:styleId="1135" w:customStyle="1">
    <w:name w:val="批注主题 字符"/>
    <w:link w:val="1134"/>
    <w:uiPriority w:val="0"/>
    <w:semiHidden/>
    <w:qFormat/>
    <w:rPr>
      <w:rFonts w:ascii="Times New Roman" w:hAnsi="Times New Roman" w:eastAsia="宋体" w:cs="Times New Roman"/>
      <w:b/>
      <w:bCs/>
      <w:szCs w:val="21"/>
    </w:rPr>
  </w:style>
  <w:style w:type="paragraph" w:styleId="1136" w:customStyle="1">
    <w:name w:val="正文文本首行缩进1"/>
    <w:basedOn w:val="866"/>
    <w:link w:val="1137"/>
    <w:uiPriority w:val="0"/>
    <w:qFormat/>
    <w:pPr>
      <w:ind w:firstLine="200"/>
      <w:spacing w:line="360" w:lineRule="auto"/>
    </w:pPr>
    <w:rPr>
      <w:rFonts w:ascii="仿宋_GB2312" w:hAnsi="Times New Roman" w:eastAsia="仿宋_GB2312"/>
      <w:sz w:val="30"/>
      <w:szCs w:val="30"/>
    </w:rPr>
  </w:style>
  <w:style w:type="character" w:styleId="1137" w:customStyle="1">
    <w:name w:val="正文文本首行缩进 字符"/>
    <w:link w:val="1136"/>
    <w:uiPriority w:val="0"/>
    <w:qFormat/>
    <w:rPr>
      <w:rFonts w:ascii="仿宋_GB2312" w:hAnsi="Times New Roman" w:eastAsia="仿宋_GB2312" w:cs="Times New Roman"/>
      <w:sz w:val="30"/>
      <w:szCs w:val="30"/>
    </w:rPr>
  </w:style>
  <w:style w:type="paragraph" w:styleId="1138" w:customStyle="1">
    <w:name w:val="正文文本首行缩进 21"/>
    <w:basedOn w:val="1111"/>
    <w:link w:val="1139"/>
    <w:uiPriority w:val="0"/>
    <w:qFormat/>
    <w:pPr>
      <w:ind w:left="0" w:firstLine="420"/>
      <w:spacing w:after="0" w:line="360" w:lineRule="auto"/>
    </w:pPr>
    <w:rPr>
      <w:rFonts w:ascii="宋体" w:hAnsi="宋体"/>
      <w:szCs w:val="20"/>
    </w:rPr>
  </w:style>
  <w:style w:type="character" w:styleId="1139" w:customStyle="1">
    <w:name w:val="正文文本首行缩进 2 字符"/>
    <w:link w:val="1138"/>
    <w:uiPriority w:val="0"/>
    <w:qFormat/>
    <w:rPr>
      <w:rFonts w:ascii="宋体" w:hAnsi="宋体" w:eastAsia="宋体" w:cs="Times New Roman"/>
      <w:szCs w:val="20"/>
    </w:rPr>
  </w:style>
  <w:style w:type="table" w:styleId="1140" w:customStyle="1">
    <w:name w:val="网格型1"/>
    <w:basedOn w:val="1101"/>
    <w:uiPriority w:val="0"/>
    <w:qFormat/>
    <w:pPr>
      <w:jc w:val="both"/>
      <w:widowControl w:val="off"/>
    </w:pPr>
    <w:tblPr>
      <w:tblCellMar>
        <w:left w:w="0" w:type="dxa"/>
        <w:top w:w="0" w:type="dxa"/>
        <w:right w:w="0" w:type="dxa"/>
        <w:bottom w:w="0" w:type="dxa"/>
      </w:tblCellMar>
    </w:tblPr>
  </w:style>
  <w:style w:type="character" w:styleId="1141" w:customStyle="1">
    <w:name w:val="要点1"/>
    <w:uiPriority w:val="0"/>
    <w:qFormat/>
    <w:rPr>
      <w:b/>
      <w:bCs/>
    </w:rPr>
  </w:style>
  <w:style w:type="character" w:styleId="1142" w:customStyle="1">
    <w:name w:val="页码1"/>
    <w:uiPriority w:val="0"/>
    <w:qFormat/>
  </w:style>
  <w:style w:type="character" w:styleId="1143" w:customStyle="1">
    <w:name w:val="访问过的超链接1"/>
    <w:uiPriority w:val="0"/>
    <w:qFormat/>
    <w:rPr>
      <w:color w:val="800080"/>
      <w:u w:val="single"/>
    </w:rPr>
  </w:style>
  <w:style w:type="character" w:styleId="1144" w:customStyle="1">
    <w:name w:val="超链接1"/>
    <w:uiPriority w:val="99"/>
    <w:qFormat/>
    <w:rPr>
      <w:color w:val="0000ff"/>
      <w:u w:val="single"/>
    </w:rPr>
  </w:style>
  <w:style w:type="character" w:styleId="1145" w:customStyle="1">
    <w:name w:val="批注引用1"/>
    <w:uiPriority w:val="0"/>
    <w:qFormat/>
    <w:rPr>
      <w:sz w:val="21"/>
      <w:szCs w:val="21"/>
    </w:rPr>
  </w:style>
  <w:style w:type="character" w:styleId="1146" w:customStyle="1">
    <w:name w:val="font5 Char"/>
    <w:uiPriority w:val="0"/>
    <w:qFormat/>
    <w:rPr>
      <w:rFonts w:ascii="宋体" w:hAnsi="宋体" w:eastAsia="宋体"/>
      <w:sz w:val="28"/>
      <w:szCs w:val="28"/>
      <w:lang w:val="en-US" w:eastAsia="zh-CN" w:bidi="ar-SA"/>
    </w:rPr>
  </w:style>
  <w:style w:type="character" w:styleId="1147" w:customStyle="1">
    <w:name w:val="二级目录 Char"/>
    <w:link w:val="1148"/>
    <w:uiPriority w:val="0"/>
    <w:qFormat/>
    <w:rPr>
      <w:b/>
      <w:sz w:val="30"/>
      <w:szCs w:val="28"/>
    </w:rPr>
  </w:style>
  <w:style w:type="paragraph" w:styleId="1148" w:customStyle="1">
    <w:name w:val="二级目录"/>
    <w:next w:val="866"/>
    <w:link w:val="1147"/>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eastAsia="zh-CN"/>
    </w:rPr>
  </w:style>
  <w:style w:type="character" w:styleId="1149" w:customStyle="1">
    <w:name w:val="列出段落 Char"/>
    <w:link w:val="1150"/>
    <w:uiPriority w:val="0"/>
    <w:qFormat/>
    <w:rPr>
      <w:rFonts w:ascii="Calibri" w:hAnsi="Calibri"/>
      <w:sz w:val="24"/>
      <w:szCs w:val="24"/>
      <w:lang w:eastAsia="en-US" w:bidi="en-US"/>
    </w:rPr>
  </w:style>
  <w:style w:type="paragraph" w:styleId="1150" w:customStyle="1">
    <w:name w:val="列出段落1"/>
    <w:basedOn w:val="866"/>
    <w:link w:val="1149"/>
    <w:uiPriority w:val="0"/>
    <w:qFormat/>
    <w:pPr>
      <w:contextualSpacing/>
      <w:ind w:left="720"/>
      <w:jc w:val="left"/>
      <w:widowControl/>
    </w:pPr>
    <w:rPr>
      <w:sz w:val="24"/>
      <w:szCs w:val="24"/>
      <w:lang w:eastAsia="en-US" w:bidi="en-US"/>
    </w:rPr>
  </w:style>
  <w:style w:type="paragraph" w:styleId="1151" w:customStyle="1">
    <w:name w:val="Body Text(ch)"/>
    <w:basedOn w:val="866"/>
    <w:next w:val="1109"/>
    <w:uiPriority w:val="0"/>
    <w:qFormat/>
    <w:pPr>
      <w:spacing w:after="120"/>
    </w:pPr>
    <w:rPr>
      <w:rFonts w:ascii="宋体" w:hAnsi="Arial"/>
      <w:bCs/>
      <w:iCs/>
      <w:szCs w:val="24"/>
    </w:rPr>
  </w:style>
  <w:style w:type="paragraph" w:styleId="1152" w:customStyle="1">
    <w:name w:val="xl27"/>
    <w:basedOn w:val="8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3" w:customStyle="1">
    <w:name w:val="xl26"/>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54" w:customStyle="1">
    <w:name w:val="Char"/>
    <w:basedOn w:val="866"/>
    <w:uiPriority w:val="0"/>
    <w:qFormat/>
    <w:pPr>
      <w:ind w:firstLine="200"/>
      <w:tabs>
        <w:tab w:val="left" w:pos="360" w:leader="none"/>
      </w:tabs>
    </w:pPr>
    <w:rPr>
      <w:rFonts w:ascii="Times New Roman" w:hAnsi="Times New Roman"/>
      <w:sz w:val="28"/>
      <w:szCs w:val="30"/>
    </w:rPr>
  </w:style>
  <w:style w:type="paragraph" w:styleId="1155" w:customStyle="1">
    <w:name w:val="Char111"/>
    <w:basedOn w:val="1103"/>
    <w:uiPriority w:val="0"/>
    <w:qFormat/>
    <w:rPr>
      <w:rFonts w:ascii="Tahoma" w:hAnsi="Tahoma"/>
      <w:sz w:val="24"/>
      <w:szCs w:val="24"/>
    </w:rPr>
  </w:style>
  <w:style w:type="paragraph" w:styleId="1156" w:customStyle="1">
    <w:name w:val="普通正文"/>
    <w:basedOn w:val="866"/>
    <w:uiPriority w:val="0"/>
    <w:qFormat/>
    <w:pPr>
      <w:ind w:firstLine="480"/>
      <w:jc w:val="left"/>
      <w:spacing w:before="120" w:after="120" w:line="360" w:lineRule="auto"/>
    </w:pPr>
    <w:rPr>
      <w:rFonts w:ascii="Arial" w:hAnsi="Arial"/>
      <w:sz w:val="24"/>
      <w:szCs w:val="24"/>
    </w:rPr>
  </w:style>
  <w:style w:type="paragraph" w:styleId="1157" w:customStyle="1">
    <w:name w:val="table_lines"/>
    <w:basedOn w:val="866"/>
    <w:uiPriority w:val="0"/>
    <w:qFormat/>
    <w:pPr>
      <w:jc w:val="left"/>
      <w:widowControl/>
    </w:pPr>
    <w:rPr>
      <w:rFonts w:ascii="Times New Roman" w:hAnsi="Times New Roman"/>
      <w:sz w:val="20"/>
      <w:szCs w:val="20"/>
      <w:lang w:val="de-DE" w:eastAsia="de-DE"/>
    </w:rPr>
  </w:style>
  <w:style w:type="paragraph" w:styleId="1158"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159" w:customStyle="1">
    <w:name w:val="font7"/>
    <w:basedOn w:val="866"/>
    <w:uiPriority w:val="0"/>
    <w:qFormat/>
    <w:pPr>
      <w:jc w:val="left"/>
      <w:spacing w:before="100" w:beforeAutospacing="1" w:after="100" w:afterAutospacing="1"/>
      <w:widowControl/>
    </w:pPr>
    <w:rPr>
      <w:rFonts w:hint="eastAsia" w:ascii="宋体" w:hAnsi="宋体"/>
      <w:sz w:val="18"/>
      <w:szCs w:val="18"/>
    </w:rPr>
  </w:style>
  <w:style w:type="paragraph" w:styleId="1160" w:customStyle="1">
    <w:name w:val="Char Char Char Char"/>
    <w:basedOn w:val="1103"/>
    <w:uiPriority w:val="0"/>
    <w:qFormat/>
    <w:pPr>
      <w:spacing w:line="360" w:lineRule="auto"/>
    </w:pPr>
    <w:rPr>
      <w:rFonts w:ascii="Tahoma" w:hAnsi="Tahoma"/>
      <w:sz w:val="24"/>
      <w:szCs w:val="24"/>
    </w:rPr>
  </w:style>
  <w:style w:type="paragraph" w:styleId="1161" w:customStyle="1">
    <w:name w:val="列表段落1"/>
    <w:basedOn w:val="866"/>
    <w:uiPriority w:val="0"/>
    <w:qFormat/>
    <w:pPr>
      <w:contextualSpacing/>
      <w:ind w:left="720"/>
      <w:jc w:val="left"/>
      <w:widowControl/>
    </w:pPr>
    <w:rPr>
      <w:sz w:val="24"/>
      <w:szCs w:val="24"/>
      <w:lang w:eastAsia="en-US" w:bidi="en-US"/>
    </w:rPr>
  </w:style>
  <w:style w:type="paragraph" w:styleId="1162" w:customStyle="1">
    <w:name w:val="4"/>
    <w:basedOn w:val="866"/>
    <w:next w:val="1127"/>
    <w:uiPriority w:val="0"/>
    <w:qFormat/>
    <w:pPr>
      <w:ind w:firstLine="420"/>
      <w:spacing w:line="360" w:lineRule="auto"/>
    </w:pPr>
    <w:rPr>
      <w:rFonts w:ascii="Times New Roman" w:hAnsi="Times New Roman"/>
      <w:color w:val="ff0000"/>
      <w:sz w:val="24"/>
      <w:szCs w:val="24"/>
    </w:rPr>
  </w:style>
  <w:style w:type="paragraph" w:styleId="1163" w:customStyle="1">
    <w:name w:val="普通 (Web)"/>
    <w:basedOn w:val="866"/>
    <w:uiPriority w:val="0"/>
    <w:qFormat/>
    <w:pPr>
      <w:jc w:val="left"/>
      <w:spacing w:before="100" w:beforeAutospacing="1" w:after="100" w:afterAutospacing="1"/>
      <w:widowControl/>
    </w:pPr>
    <w:rPr>
      <w:rFonts w:ascii="宋体" w:hAnsi="宋体"/>
      <w:sz w:val="24"/>
      <w:szCs w:val="24"/>
    </w:rPr>
  </w:style>
  <w:style w:type="paragraph" w:styleId="1164" w:customStyle="1">
    <w:name w:val="Char Char Char Char Char Char Char Char Char Char"/>
    <w:basedOn w:val="866"/>
    <w:uiPriority w:val="0"/>
    <w:qFormat/>
    <w:pPr>
      <w:spacing w:line="360" w:lineRule="auto"/>
    </w:pPr>
    <w:rPr>
      <w:rFonts w:ascii="Times New Roman" w:hAnsi="Times New Roman"/>
      <w:sz w:val="24"/>
      <w:szCs w:val="20"/>
    </w:rPr>
  </w:style>
  <w:style w:type="paragraph" w:styleId="1165" w:customStyle="1">
    <w:name w:val="样式1"/>
    <w:basedOn w:val="866"/>
    <w:uiPriority w:val="0"/>
    <w:qFormat/>
    <w:pPr>
      <w:numPr>
        <w:ilvl w:val="0"/>
        <w:numId w:val="3"/>
      </w:numPr>
    </w:pPr>
    <w:rPr>
      <w:rFonts w:ascii="宋体" w:hAnsi="宋体"/>
      <w:szCs w:val="21"/>
    </w:rPr>
  </w:style>
  <w:style w:type="paragraph" w:styleId="1166" w:customStyle="1">
    <w:name w:val="font6"/>
    <w:basedOn w:val="866"/>
    <w:uiPriority w:val="0"/>
    <w:qFormat/>
    <w:pPr>
      <w:jc w:val="left"/>
      <w:spacing w:before="100" w:beforeAutospacing="1" w:after="100" w:afterAutospacing="1"/>
      <w:widowControl/>
    </w:pPr>
    <w:rPr>
      <w:rFonts w:hint="eastAsia" w:ascii="宋体" w:hAnsi="宋体"/>
      <w:sz w:val="28"/>
      <w:szCs w:val="28"/>
      <w:u w:val="single"/>
    </w:rPr>
  </w:style>
  <w:style w:type="paragraph" w:styleId="1167" w:customStyle="1">
    <w:name w:val="xl25"/>
    <w:basedOn w:val="8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68" w:customStyle="1">
    <w:name w:val="图标"/>
    <w:basedOn w:val="866"/>
    <w:next w:val="86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69" w:customStyle="1">
    <w:name w:val="标题3"/>
    <w:basedOn w:val="866"/>
    <w:next w:val="866"/>
    <w:uiPriority w:val="0"/>
    <w:qFormat/>
    <w:pPr>
      <w:ind w:firstLine="624"/>
      <w:spacing w:line="590" w:lineRule="atLeast"/>
    </w:pPr>
    <w:rPr>
      <w:rFonts w:ascii="方正黑体_GBK" w:hAnsi="Times New Roman" w:eastAsia="方正黑体_GBK"/>
      <w:sz w:val="32"/>
      <w:szCs w:val="32"/>
    </w:rPr>
  </w:style>
  <w:style w:type="paragraph" w:styleId="1170" w:customStyle="1">
    <w:name w:val="xl24"/>
    <w:basedOn w:val="8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1" w:customStyle="1">
    <w:name w:val="xl29"/>
    <w:basedOn w:val="8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72" w:customStyle="1">
    <w:name w:val="Char Char Char Char Char Char Char Char"/>
    <w:basedOn w:val="866"/>
    <w:uiPriority w:val="0"/>
    <w:qFormat/>
    <w:pPr>
      <w:jc w:val="left"/>
      <w:spacing w:after="160" w:line="240" w:lineRule="exact"/>
      <w:widowControl/>
    </w:pPr>
    <w:rPr>
      <w:rFonts w:ascii="Verdana" w:hAnsi="Verdana"/>
      <w:sz w:val="20"/>
      <w:szCs w:val="20"/>
      <w:lang w:eastAsia="en-US"/>
    </w:rPr>
  </w:style>
  <w:style w:type="paragraph" w:styleId="1173" w:customStyle="1">
    <w:name w:val="xl28"/>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74" w:customStyle="1">
    <w:name w:val="Char Char Char Char Char Char Char Char1"/>
    <w:basedOn w:val="866"/>
    <w:uiPriority w:val="0"/>
    <w:qFormat/>
    <w:pPr>
      <w:jc w:val="left"/>
      <w:spacing w:after="160" w:line="240" w:lineRule="exact"/>
      <w:widowControl/>
    </w:pPr>
    <w:rPr>
      <w:rFonts w:ascii="Verdana" w:hAnsi="Verdana"/>
      <w:sz w:val="20"/>
      <w:szCs w:val="20"/>
      <w:lang w:eastAsia="en-US"/>
    </w:rPr>
  </w:style>
  <w:style w:type="paragraph" w:styleId="1175" w:customStyle="1">
    <w:name w:val="xl30"/>
    <w:basedOn w:val="866"/>
    <w:uiPriority w:val="0"/>
    <w:qFormat/>
    <w:pPr>
      <w:jc w:val="center"/>
      <w:spacing w:before="100" w:beforeAutospacing="1" w:after="100" w:afterAutospacing="1"/>
      <w:widowControl/>
    </w:pPr>
    <w:rPr>
      <w:rFonts w:ascii="宋体" w:hAnsi="宋体"/>
      <w:b/>
      <w:bCs/>
      <w:sz w:val="36"/>
      <w:szCs w:val="36"/>
    </w:rPr>
  </w:style>
  <w:style w:type="paragraph" w:styleId="1176" w:customStyle="1">
    <w:name w:val="Char Char Char Char11"/>
    <w:basedOn w:val="1103"/>
    <w:uiPriority w:val="0"/>
    <w:qFormat/>
    <w:pPr>
      <w:spacing w:line="360" w:lineRule="auto"/>
    </w:pPr>
    <w:rPr>
      <w:rFonts w:ascii="Tahoma" w:hAnsi="Tahoma"/>
      <w:sz w:val="24"/>
      <w:szCs w:val="24"/>
    </w:rPr>
  </w:style>
  <w:style w:type="paragraph" w:styleId="1177" w:customStyle="1">
    <w:name w:val="table_1stline"/>
    <w:basedOn w:val="866"/>
    <w:uiPriority w:val="0"/>
    <w:qFormat/>
    <w:pPr>
      <w:jc w:val="left"/>
      <w:spacing w:before="120"/>
      <w:widowControl/>
    </w:pPr>
    <w:rPr>
      <w:rFonts w:ascii="Times New Roman" w:hAnsi="Times New Roman"/>
      <w:bCs/>
      <w:sz w:val="20"/>
      <w:szCs w:val="20"/>
      <w:lang w:val="de-DE" w:eastAsia="de-DE"/>
    </w:rPr>
  </w:style>
  <w:style w:type="paragraph" w:styleId="1178" w:customStyle="1">
    <w:name w:val="font5"/>
    <w:basedOn w:val="866"/>
    <w:uiPriority w:val="0"/>
    <w:qFormat/>
    <w:pPr>
      <w:jc w:val="left"/>
      <w:spacing w:before="100" w:beforeAutospacing="1" w:after="100" w:afterAutospacing="1"/>
      <w:widowControl/>
    </w:pPr>
    <w:rPr>
      <w:rFonts w:hint="eastAsia" w:ascii="宋体" w:hAnsi="宋体"/>
      <w:sz w:val="28"/>
      <w:szCs w:val="28"/>
    </w:rPr>
  </w:style>
  <w:style w:type="paragraph" w:styleId="1179" w:customStyle="1">
    <w:name w:val="标题1"/>
    <w:basedOn w:val="866"/>
    <w:next w:val="866"/>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0" w:customStyle="1">
    <w:name w:val="修订1"/>
    <w:uiPriority w:val="0"/>
    <w:qFormat/>
    <w:rPr>
      <w:rFonts w:hint="default" w:ascii="Times New Roman" w:hAnsi="Times New Roman" w:eastAsia="宋体" w:cs="Times New Roman"/>
      <w:sz w:val="21"/>
      <w:szCs w:val="21"/>
      <w:lang w:eastAsia="zh-CN"/>
    </w:rPr>
  </w:style>
  <w:style w:type="paragraph" w:styleId="1181" w:customStyle="1">
    <w:name w:val="无间隔1"/>
    <w:link w:val="1182"/>
    <w:uiPriority w:val="0"/>
    <w:qFormat/>
    <w:pPr>
      <w:jc w:val="both"/>
      <w:widowControl w:val="off"/>
    </w:pPr>
    <w:rPr>
      <w:rFonts w:hint="default" w:ascii="Times New Roman" w:hAnsi="Times New Roman" w:eastAsia="宋体" w:cs="Times New Roman"/>
      <w:sz w:val="21"/>
      <w:szCs w:val="21"/>
      <w:lang w:eastAsia="zh-CN"/>
    </w:rPr>
  </w:style>
  <w:style w:type="character" w:styleId="1182" w:customStyle="1">
    <w:name w:val="无间隔 字符"/>
    <w:link w:val="1181"/>
    <w:uiPriority w:val="0"/>
    <w:qFormat/>
    <w:rPr>
      <w:rFonts w:ascii="Times New Roman" w:hAnsi="Times New Roman"/>
      <w:sz w:val="21"/>
      <w:szCs w:val="21"/>
    </w:rPr>
  </w:style>
  <w:style w:type="paragraph" w:styleId="1183" w:customStyle="1">
    <w:name w:val="标题 21"/>
    <w:basedOn w:val="866"/>
    <w:next w:val="866"/>
    <w:link w:val="1184"/>
    <w:uiPriority w:val="0"/>
    <w:qFormat/>
    <w:pPr>
      <w:keepLines/>
      <w:keepNext/>
      <w:spacing w:before="260" w:after="260" w:line="413" w:lineRule="auto"/>
      <w:outlineLvl w:val="1"/>
    </w:pPr>
    <w:rPr>
      <w:rFonts w:ascii="Arial" w:hAnsi="Arial" w:eastAsia="黑体"/>
      <w:b/>
      <w:sz w:val="32"/>
      <w:szCs w:val="20"/>
    </w:rPr>
  </w:style>
  <w:style w:type="character" w:styleId="1184" w:customStyle="1">
    <w:name w:val="标题 2 字符"/>
    <w:link w:val="1183"/>
    <w:uiPriority w:val="0"/>
    <w:qFormat/>
    <w:rPr>
      <w:rFonts w:ascii="Arial" w:hAnsi="Arial" w:eastAsia="黑体"/>
      <w:b/>
      <w:sz w:val="32"/>
    </w:rPr>
  </w:style>
  <w:style w:type="paragraph" w:styleId="1185" w:customStyle="1">
    <w:name w:val="批注文字1"/>
    <w:basedOn w:val="866"/>
    <w:link w:val="1186"/>
    <w:uiPriority w:val="99"/>
    <w:qFormat/>
    <w:pPr>
      <w:jc w:val="left"/>
    </w:pPr>
    <w:rPr>
      <w:szCs w:val="20"/>
    </w:rPr>
  </w:style>
  <w:style w:type="character" w:styleId="1186" w:customStyle="1">
    <w:name w:val="批注文字 字符"/>
    <w:link w:val="1185"/>
    <w:uiPriority w:val="99"/>
    <w:qFormat/>
    <w:rPr>
      <w:sz w:val="21"/>
    </w:rPr>
  </w:style>
  <w:style w:type="paragraph" w:styleId="1187" w:customStyle="1">
    <w:name w:val="Normal_0_1"/>
    <w:uiPriority w:val="0"/>
    <w:qFormat/>
    <w:rPr>
      <w:rFonts w:hint="default" w:ascii="黑体" w:hAnsi="黑体" w:eastAsia="黑体" w:cs="Times New Roman"/>
      <w:b/>
      <w:sz w:val="32"/>
      <w:szCs w:val="24"/>
      <w:lang w:eastAsia="zh-CN"/>
    </w:rPr>
  </w:style>
  <w:style w:type="paragraph" w:styleId="1188" w:customStyle="1">
    <w:name w:val="Normal_1_1"/>
    <w:uiPriority w:val="0"/>
    <w:qFormat/>
    <w:pPr>
      <w:jc w:val="both"/>
      <w:widowControl w:val="off"/>
    </w:pPr>
    <w:rPr>
      <w:rFonts w:hint="default" w:ascii="Calibri" w:hAnsi="Calibri" w:eastAsia="宋体" w:cs="Times New Roman"/>
      <w:sz w:val="21"/>
      <w:szCs w:val="22"/>
      <w:lang w:eastAsia="zh-CN"/>
    </w:rPr>
  </w:style>
  <w:style w:type="paragraph" w:styleId="1189" w:customStyle="1">
    <w:name w:val="正文_16"/>
    <w:uiPriority w:val="0"/>
    <w:qFormat/>
    <w:pPr>
      <w:jc w:val="both"/>
      <w:widowControl w:val="off"/>
    </w:pPr>
    <w:rPr>
      <w:rFonts w:hint="default" w:ascii="Calibri" w:hAnsi="Calibri" w:eastAsia="宋体" w:cs="Times New Roman"/>
      <w:sz w:val="21"/>
      <w:szCs w:val="22"/>
      <w:lang w:eastAsia="zh-CN"/>
    </w:rPr>
  </w:style>
  <w:style w:type="paragraph" w:styleId="1190" w:customStyle="1">
    <w:name w:val="正文空2字"/>
    <w:basedOn w:val="86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191" w:customStyle="1">
    <w:name w:val="标题 4 字符"/>
    <w:uiPriority w:val="0"/>
    <w:qFormat/>
    <w:rPr>
      <w:rFonts w:ascii="Arial" w:hAnsi="Arial" w:eastAsia="黑体" w:cs="Arial"/>
      <w:b/>
      <w:bCs/>
      <w:sz w:val="28"/>
      <w:szCs w:val="28"/>
    </w:rPr>
  </w:style>
  <w:style w:type="paragraph" w:styleId="1192" w:customStyle="1">
    <w:name w:val="Normal_20"/>
    <w:uiPriority w:val="0"/>
    <w:qFormat/>
    <w:rPr>
      <w:rFonts w:hint="default" w:ascii="黑体" w:hAnsi="黑体" w:eastAsia="黑体" w:cs="黑体"/>
      <w:b/>
      <w:sz w:val="32"/>
      <w:szCs w:val="24"/>
      <w:lang w:eastAsia="zh-CN"/>
    </w:rPr>
  </w:style>
  <w:style w:type="paragraph" w:styleId="1193" w:customStyle="1">
    <w:name w:val="正文_15_0"/>
    <w:uiPriority w:val="0"/>
    <w:qFormat/>
    <w:pPr>
      <w:jc w:val="both"/>
      <w:widowControl w:val="off"/>
    </w:pPr>
    <w:rPr>
      <w:rFonts w:hint="default" w:ascii="Calibri" w:hAnsi="Calibri" w:eastAsia="宋体" w:cs="Times New Roman"/>
      <w:sz w:val="21"/>
      <w:szCs w:val="22"/>
      <w:lang w:eastAsia="zh-CN"/>
    </w:rPr>
  </w:style>
  <w:style w:type="paragraph" w:styleId="1194" w:customStyle="1">
    <w:name w:val="Normal_18_0"/>
    <w:uiPriority w:val="0"/>
    <w:qFormat/>
    <w:rPr>
      <w:rFonts w:hint="default" w:ascii="黑体" w:hAnsi="黑体" w:eastAsia="黑体" w:cs="黑体"/>
      <w:b/>
      <w:sz w:val="32"/>
      <w:szCs w:val="24"/>
      <w:lang w:eastAsia="zh-CN"/>
    </w:rPr>
  </w:style>
  <w:style w:type="paragraph" w:styleId="1195" w:customStyle="1">
    <w:name w:val="正文_12_0_0_0_0"/>
    <w:basedOn w:val="866"/>
    <w:uiPriority w:val="0"/>
    <w:qFormat/>
    <w:rPr>
      <w:rFonts w:ascii="Times New Roman" w:hAnsi="Times New Roman"/>
      <w:szCs w:val="24"/>
    </w:rPr>
  </w:style>
  <w:style w:type="paragraph" w:styleId="1196" w:customStyle="1">
    <w:name w:val="正文_12_0_0_0"/>
    <w:uiPriority w:val="0"/>
    <w:qFormat/>
    <w:pPr>
      <w:jc w:val="both"/>
      <w:widowControl w:val="off"/>
    </w:pPr>
    <w:rPr>
      <w:rFonts w:hint="default" w:ascii="Times New Roman" w:hAnsi="Times New Roman" w:eastAsia="宋体" w:cs="Times New Roman"/>
      <w:sz w:val="21"/>
      <w:szCs w:val="24"/>
      <w:lang w:eastAsia="zh-CN"/>
    </w:rPr>
  </w:style>
  <w:style w:type="paragraph" w:styleId="1197" w:customStyle="1">
    <w:name w:val="正文_14_0"/>
    <w:uiPriority w:val="0"/>
    <w:qFormat/>
    <w:pPr>
      <w:jc w:val="both"/>
      <w:widowControl w:val="off"/>
    </w:pPr>
    <w:rPr>
      <w:rFonts w:hint="default" w:ascii="Calibri" w:hAnsi="Calibri" w:eastAsia="宋体" w:cs="Times New Roman"/>
      <w:sz w:val="21"/>
      <w:szCs w:val="22"/>
      <w:lang w:eastAsia="zh-CN"/>
    </w:rPr>
  </w:style>
  <w:style w:type="paragraph" w:styleId="1198" w:customStyle="1">
    <w:name w:val="正文_14_0_0"/>
    <w:uiPriority w:val="0"/>
    <w:qFormat/>
    <w:pPr>
      <w:jc w:val="both"/>
      <w:widowControl w:val="off"/>
    </w:pPr>
    <w:rPr>
      <w:rFonts w:hint="default" w:ascii="Times New Roman" w:hAnsi="Times New Roman" w:eastAsia="宋体" w:cs="Times New Roman"/>
      <w:sz w:val="21"/>
      <w:szCs w:val="24"/>
      <w:lang w:eastAsia="zh-CN"/>
    </w:rPr>
  </w:style>
  <w:style w:type="paragraph" w:styleId="1199" w:customStyle="1">
    <w:name w:val="正文1_0"/>
    <w:link w:val="1200"/>
    <w:uiPriority w:val="0"/>
    <w:qFormat/>
    <w:pPr>
      <w:jc w:val="both"/>
      <w:widowControl w:val="off"/>
    </w:pPr>
    <w:rPr>
      <w:rFonts w:hint="default" w:ascii="Times New Roman" w:hAnsi="Times New Roman" w:eastAsia="宋体" w:cs="Times New Roman"/>
      <w:szCs w:val="24"/>
      <w:lang w:eastAsia="zh-CN"/>
    </w:rPr>
  </w:style>
  <w:style w:type="character" w:styleId="1200" w:customStyle="1">
    <w:name w:val="正文1 Char"/>
    <w:link w:val="1199"/>
    <w:uiPriority w:val="0"/>
    <w:qFormat/>
    <w:rPr>
      <w:rFonts w:ascii="Times New Roman" w:hAnsi="Times New Roman"/>
      <w:szCs w:val="24"/>
    </w:rPr>
  </w:style>
  <w:style w:type="paragraph" w:styleId="1201" w:customStyle="1">
    <w:name w:val="正文_16_0_0"/>
    <w:next w:val="1199"/>
    <w:uiPriority w:val="0"/>
    <w:qFormat/>
    <w:pPr>
      <w:jc w:val="both"/>
      <w:widowControl w:val="off"/>
    </w:pPr>
    <w:rPr>
      <w:rFonts w:hint="default" w:ascii="Calibri" w:hAnsi="Calibri" w:eastAsia="宋体" w:cs="Times New Roman"/>
      <w:sz w:val="21"/>
      <w:szCs w:val="22"/>
      <w:lang w:eastAsia="zh-CN"/>
    </w:rPr>
  </w:style>
  <w:style w:type="paragraph" w:styleId="1202" w:customStyle="1">
    <w:name w:val="Normal_3_0"/>
    <w:uiPriority w:val="0"/>
    <w:qFormat/>
    <w:rPr>
      <w:rFonts w:hint="default" w:ascii="黑体" w:hAnsi="黑体" w:eastAsia="黑体" w:cs="Times New Roman"/>
      <w:b/>
      <w:sz w:val="32"/>
      <w:szCs w:val="24"/>
      <w:lang w:eastAsia="zh-CN"/>
    </w:rPr>
  </w:style>
  <w:style w:type="paragraph" w:styleId="1203" w:customStyle="1">
    <w:name w:val="Normal_4_0"/>
    <w:uiPriority w:val="0"/>
    <w:qFormat/>
    <w:pPr>
      <w:jc w:val="both"/>
      <w:widowControl w:val="off"/>
    </w:pPr>
    <w:rPr>
      <w:rFonts w:hint="default" w:ascii="Calibri" w:hAnsi="Calibri" w:eastAsia="宋体" w:cs="Times New Roman"/>
      <w:sz w:val="21"/>
      <w:szCs w:val="22"/>
      <w:lang w:eastAsia="zh-CN"/>
    </w:rPr>
  </w:style>
  <w:style w:type="paragraph" w:styleId="1204" w:customStyle="1">
    <w:name w:val="列表项目符号 41"/>
    <w:basedOn w:val="866"/>
    <w:uiPriority w:val="0"/>
    <w:qFormat/>
    <w:pPr>
      <w:ind w:left="360" w:hanging="360"/>
      <w:spacing w:line="380" w:lineRule="exact"/>
      <w:tabs>
        <w:tab w:val="left" w:pos="360" w:leader="none"/>
      </w:tabs>
    </w:pPr>
    <w:rPr>
      <w:sz w:val="28"/>
    </w:rPr>
  </w:style>
  <w:style w:type="paragraph" w:styleId="1205" w:customStyle="1">
    <w:name w:val="索引 81"/>
    <w:basedOn w:val="866"/>
    <w:next w:val="866"/>
    <w:uiPriority w:val="0"/>
    <w:qFormat/>
    <w:pPr>
      <w:ind w:left="1400"/>
    </w:pPr>
  </w:style>
  <w:style w:type="paragraph" w:styleId="1206" w:customStyle="1">
    <w:name w:val="列表编号1"/>
    <w:basedOn w:val="866"/>
    <w:uiPriority w:val="0"/>
    <w:qFormat/>
    <w:pPr>
      <w:spacing w:line="360" w:lineRule="auto"/>
      <w:tabs>
        <w:tab w:val="left" w:pos="0" w:leader="none"/>
        <w:tab w:val="left" w:pos="840" w:leader="none"/>
      </w:tabs>
    </w:pPr>
  </w:style>
  <w:style w:type="paragraph" w:styleId="1207" w:customStyle="1">
    <w:name w:val="题注1"/>
    <w:basedOn w:val="866"/>
    <w:next w:val="866"/>
    <w:link w:val="1208"/>
    <w:uiPriority w:val="0"/>
    <w:qFormat/>
    <w:pPr>
      <w:spacing w:line="360" w:lineRule="auto"/>
      <w:tabs>
        <w:tab w:val="left" w:pos="0" w:leader="none"/>
      </w:tabs>
    </w:pPr>
    <w:rPr>
      <w:rFonts w:ascii="Arial" w:hAnsi="Arial" w:eastAsia="黑体"/>
      <w:sz w:val="20"/>
      <w:szCs w:val="20"/>
    </w:rPr>
  </w:style>
  <w:style w:type="character" w:styleId="1208" w:customStyle="1">
    <w:name w:val="题注 字符"/>
    <w:link w:val="1207"/>
    <w:uiPriority w:val="0"/>
    <w:qFormat/>
    <w:rPr>
      <w:rFonts w:ascii="Arial" w:hAnsi="Arial" w:eastAsia="黑体"/>
    </w:rPr>
  </w:style>
  <w:style w:type="paragraph" w:styleId="1209" w:customStyle="1">
    <w:name w:val="索引 51"/>
    <w:basedOn w:val="866"/>
    <w:next w:val="866"/>
    <w:uiPriority w:val="0"/>
    <w:qFormat/>
    <w:pPr>
      <w:ind w:left="800"/>
    </w:pPr>
  </w:style>
  <w:style w:type="paragraph" w:styleId="1210" w:customStyle="1">
    <w:name w:val="列表项目符号1"/>
    <w:basedOn w:val="866"/>
    <w:uiPriority w:val="0"/>
    <w:qFormat/>
    <w:pPr>
      <w:ind w:left="962" w:hanging="480"/>
      <w:spacing w:line="360" w:lineRule="auto"/>
      <w:tabs>
        <w:tab w:val="left" w:pos="840" w:leader="none"/>
      </w:tabs>
    </w:pPr>
    <w:rPr>
      <w:sz w:val="24"/>
    </w:rPr>
  </w:style>
  <w:style w:type="paragraph" w:styleId="1211" w:customStyle="1">
    <w:name w:val="索引 61"/>
    <w:basedOn w:val="866"/>
    <w:next w:val="866"/>
    <w:uiPriority w:val="0"/>
    <w:qFormat/>
    <w:pPr>
      <w:ind w:left="1000"/>
    </w:pPr>
  </w:style>
  <w:style w:type="paragraph" w:styleId="1212" w:customStyle="1">
    <w:name w:val="列表项目符号 31"/>
    <w:basedOn w:val="866"/>
    <w:uiPriority w:val="0"/>
    <w:qFormat/>
    <w:pPr>
      <w:ind w:left="1200" w:hanging="360"/>
      <w:spacing w:line="380" w:lineRule="exact"/>
      <w:tabs>
        <w:tab w:val="left" w:pos="1200" w:leader="none"/>
      </w:tabs>
    </w:pPr>
    <w:rPr>
      <w:sz w:val="28"/>
    </w:rPr>
  </w:style>
  <w:style w:type="paragraph" w:styleId="1213" w:customStyle="1">
    <w:name w:val="文本块1"/>
    <w:basedOn w:val="866"/>
    <w:uiPriority w:val="0"/>
    <w:qFormat/>
    <w:pPr>
      <w:ind w:left="1548" w:right="12" w:hanging="2405"/>
      <w:spacing w:line="360" w:lineRule="exact"/>
    </w:pPr>
    <w:rPr>
      <w:rFonts w:ascii="宋体"/>
      <w:bCs/>
      <w:sz w:val="28"/>
    </w:rPr>
  </w:style>
  <w:style w:type="paragraph" w:styleId="1214" w:customStyle="1">
    <w:name w:val="列表项目符号 21"/>
    <w:basedOn w:val="866"/>
    <w:uiPriority w:val="0"/>
    <w:qFormat/>
    <w:pPr>
      <w:ind w:left="720" w:hanging="360"/>
      <w:spacing w:line="360" w:lineRule="auto"/>
      <w:tabs>
        <w:tab w:val="left" w:pos="720" w:leader="none"/>
      </w:tabs>
    </w:pPr>
    <w:rPr>
      <w:sz w:val="24"/>
    </w:rPr>
  </w:style>
  <w:style w:type="paragraph" w:styleId="1215" w:customStyle="1">
    <w:name w:val="HTML 地址1"/>
    <w:basedOn w:val="866"/>
    <w:link w:val="1216"/>
    <w:uiPriority w:val="0"/>
    <w:qFormat/>
    <w:rPr>
      <w:i/>
      <w:iCs/>
    </w:rPr>
  </w:style>
  <w:style w:type="character" w:styleId="1216" w:customStyle="1">
    <w:name w:val="HTML 地址 字符"/>
    <w:link w:val="1215"/>
    <w:uiPriority w:val="0"/>
    <w:qFormat/>
    <w:rPr>
      <w:i/>
      <w:iCs/>
      <w:sz w:val="21"/>
      <w:szCs w:val="22"/>
    </w:rPr>
  </w:style>
  <w:style w:type="paragraph" w:styleId="1217" w:customStyle="1">
    <w:name w:val="索引 41"/>
    <w:basedOn w:val="866"/>
    <w:next w:val="866"/>
    <w:uiPriority w:val="0"/>
    <w:qFormat/>
    <w:pPr>
      <w:ind w:left="600"/>
    </w:pPr>
  </w:style>
  <w:style w:type="paragraph" w:styleId="1218" w:customStyle="1">
    <w:name w:val="列表项目符号 51"/>
    <w:basedOn w:val="866"/>
    <w:uiPriority w:val="0"/>
    <w:qFormat/>
    <w:pPr>
      <w:ind w:left="720" w:hanging="360"/>
      <w:spacing w:line="380" w:lineRule="exact"/>
      <w:tabs>
        <w:tab w:val="left" w:pos="720" w:leader="none"/>
      </w:tabs>
    </w:pPr>
    <w:rPr>
      <w:sz w:val="28"/>
    </w:rPr>
  </w:style>
  <w:style w:type="paragraph" w:styleId="1219" w:customStyle="1">
    <w:name w:val="索引 31"/>
    <w:basedOn w:val="866"/>
    <w:next w:val="866"/>
    <w:uiPriority w:val="0"/>
    <w:qFormat/>
    <w:pPr>
      <w:ind w:left="400"/>
    </w:pPr>
  </w:style>
  <w:style w:type="paragraph" w:styleId="1220" w:customStyle="1">
    <w:name w:val="尾注文本1"/>
    <w:basedOn w:val="866"/>
    <w:link w:val="1221"/>
    <w:uiPriority w:val="0"/>
    <w:qFormat/>
    <w:pPr>
      <w:jc w:val="left"/>
      <w:widowControl/>
    </w:pPr>
    <w:rPr>
      <w:rFonts w:ascii="宋体"/>
      <w:bCs/>
      <w:szCs w:val="21"/>
    </w:rPr>
  </w:style>
  <w:style w:type="character" w:styleId="1221" w:customStyle="1">
    <w:name w:val="尾注文本 字符"/>
    <w:link w:val="1220"/>
    <w:uiPriority w:val="0"/>
    <w:qFormat/>
    <w:rPr>
      <w:rFonts w:ascii="宋体"/>
      <w:bCs/>
      <w:sz w:val="21"/>
      <w:szCs w:val="21"/>
    </w:rPr>
  </w:style>
  <w:style w:type="paragraph" w:styleId="1222" w:customStyle="1">
    <w:name w:val="索引标题1"/>
    <w:basedOn w:val="866"/>
    <w:next w:val="1133"/>
    <w:uiPriority w:val="0"/>
    <w:qFormat/>
  </w:style>
  <w:style w:type="paragraph" w:styleId="1223" w:customStyle="1">
    <w:name w:val="脚注文本1"/>
    <w:basedOn w:val="866"/>
    <w:link w:val="1224"/>
    <w:uiPriority w:val="0"/>
    <w:qFormat/>
    <w:pPr>
      <w:jc w:val="left"/>
    </w:pPr>
    <w:rPr>
      <w:rFonts w:ascii="宋体"/>
      <w:bCs/>
      <w:sz w:val="18"/>
      <w:szCs w:val="18"/>
    </w:rPr>
  </w:style>
  <w:style w:type="character" w:styleId="1224" w:customStyle="1">
    <w:name w:val="脚注文本 字符"/>
    <w:link w:val="1223"/>
    <w:uiPriority w:val="0"/>
    <w:qFormat/>
    <w:rPr>
      <w:rFonts w:ascii="宋体"/>
      <w:bCs/>
      <w:sz w:val="18"/>
      <w:szCs w:val="18"/>
    </w:rPr>
  </w:style>
  <w:style w:type="paragraph" w:styleId="1225" w:customStyle="1">
    <w:name w:val="索引 71"/>
    <w:basedOn w:val="866"/>
    <w:next w:val="866"/>
    <w:uiPriority w:val="0"/>
    <w:qFormat/>
    <w:pPr>
      <w:ind w:left="1200"/>
    </w:pPr>
  </w:style>
  <w:style w:type="paragraph" w:styleId="1226" w:customStyle="1">
    <w:name w:val="索引 91"/>
    <w:basedOn w:val="866"/>
    <w:next w:val="866"/>
    <w:uiPriority w:val="0"/>
    <w:qFormat/>
    <w:pPr>
      <w:ind w:left="1600"/>
    </w:pPr>
  </w:style>
  <w:style w:type="paragraph" w:styleId="1227" w:customStyle="1">
    <w:name w:val="列表接续 21"/>
    <w:basedOn w:val="866"/>
    <w:uiPriority w:val="0"/>
    <w:qFormat/>
    <w:pPr>
      <w:ind w:left="840"/>
      <w:spacing w:after="120"/>
    </w:pPr>
  </w:style>
  <w:style w:type="paragraph" w:styleId="1228" w:customStyle="1">
    <w:name w:val="HTML 预设格式1"/>
    <w:basedOn w:val="866"/>
    <w:link w:val="12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character" w:styleId="1229" w:customStyle="1">
    <w:name w:val="HTML 预设格式 字符"/>
    <w:link w:val="1228"/>
    <w:uiPriority w:val="0"/>
    <w:qFormat/>
    <w:rPr>
      <w:rFonts w:ascii="Arial" w:hAnsi="Arial" w:cs="Arial"/>
      <w:sz w:val="24"/>
      <w:szCs w:val="22"/>
    </w:rPr>
  </w:style>
  <w:style w:type="paragraph" w:styleId="1230" w:customStyle="1">
    <w:name w:val="索引 21"/>
    <w:basedOn w:val="866"/>
    <w:next w:val="866"/>
    <w:uiPriority w:val="0"/>
    <w:qFormat/>
    <w:pPr>
      <w:ind w:left="200"/>
    </w:pPr>
  </w:style>
  <w:style w:type="paragraph" w:styleId="1231" w:customStyle="1">
    <w:name w:val="标题21"/>
    <w:basedOn w:val="866"/>
    <w:link w:val="1232"/>
    <w:uiPriority w:val="0"/>
    <w:qFormat/>
    <w:pPr>
      <w:jc w:val="center"/>
      <w:spacing w:before="240" w:after="60"/>
      <w:outlineLvl w:val="0"/>
    </w:pPr>
    <w:rPr>
      <w:rFonts w:ascii="Cambria" w:hAnsi="Cambria"/>
      <w:b/>
      <w:bCs/>
      <w:sz w:val="32"/>
      <w:szCs w:val="32"/>
    </w:rPr>
  </w:style>
  <w:style w:type="character" w:styleId="1232" w:customStyle="1">
    <w:name w:val="标题 字符"/>
    <w:link w:val="1231"/>
    <w:uiPriority w:val="0"/>
    <w:qFormat/>
    <w:rPr>
      <w:rFonts w:ascii="Cambria" w:hAnsi="Cambria"/>
      <w:b/>
      <w:bCs/>
      <w:sz w:val="32"/>
      <w:szCs w:val="32"/>
    </w:rPr>
  </w:style>
  <w:style w:type="character" w:styleId="1233" w:customStyle="1">
    <w:name w:val="尾注引用1"/>
    <w:uiPriority w:val="0"/>
    <w:qFormat/>
    <w:rPr>
      <w:vertAlign w:val="superscript"/>
    </w:rPr>
  </w:style>
  <w:style w:type="character" w:styleId="1234" w:customStyle="1">
    <w:name w:val="强调1"/>
    <w:uiPriority w:val="0"/>
    <w:qFormat/>
    <w:rPr>
      <w:color w:val="cc0033"/>
    </w:rPr>
  </w:style>
  <w:style w:type="character" w:styleId="1235" w:customStyle="1">
    <w:name w:val="HTML 打字机1"/>
    <w:uiPriority w:val="0"/>
    <w:qFormat/>
    <w:rPr>
      <w:rFonts w:ascii="宋体" w:eastAsia="宋体" w:cs="宋体"/>
      <w:sz w:val="24"/>
      <w:szCs w:val="24"/>
      <w:lang w:bidi="ar-SA"/>
    </w:rPr>
  </w:style>
  <w:style w:type="character" w:styleId="1236" w:customStyle="1">
    <w:name w:val="脚注引用1"/>
    <w:uiPriority w:val="0"/>
    <w:qFormat/>
    <w:rPr>
      <w:vertAlign w:val="superscript"/>
    </w:rPr>
  </w:style>
  <w:style w:type="paragraph" w:styleId="1237" w:customStyle="1">
    <w:name w:val="正文（标记）"/>
    <w:basedOn w:val="866"/>
    <w:link w:val="1238"/>
    <w:uiPriority w:val="0"/>
    <w:qFormat/>
    <w:pPr>
      <w:spacing w:before="50" w:after="50"/>
      <w:tabs>
        <w:tab w:val="left" w:pos="0" w:leader="none"/>
        <w:tab w:val="left" w:pos="840" w:leader="none"/>
      </w:tabs>
    </w:pPr>
    <w:rPr>
      <w:rFonts w:ascii="Times New Roman" w:hAnsi="Times New Roman"/>
      <w:sz w:val="24"/>
      <w:szCs w:val="24"/>
    </w:rPr>
  </w:style>
  <w:style w:type="character" w:styleId="1238" w:customStyle="1">
    <w:name w:val="正文（标记） Char2"/>
    <w:link w:val="1237"/>
    <w:uiPriority w:val="0"/>
    <w:qFormat/>
    <w:rPr>
      <w:rFonts w:ascii="Times New Roman" w:hAnsi="Times New Roman"/>
      <w:sz w:val="24"/>
      <w:szCs w:val="24"/>
    </w:rPr>
  </w:style>
  <w:style w:type="character" w:styleId="1239" w:customStyle="1">
    <w:name w:val="Char Char2"/>
    <w:uiPriority w:val="0"/>
    <w:qFormat/>
    <w:rPr>
      <w:sz w:val="18"/>
      <w:szCs w:val="18"/>
    </w:rPr>
  </w:style>
  <w:style w:type="character" w:styleId="1240" w:customStyle="1">
    <w:name w:val="maywed421"/>
    <w:uiPriority w:val="0"/>
    <w:qFormat/>
    <w:rPr>
      <w:color w:val="366fb6"/>
      <w:u w:val="none"/>
    </w:rPr>
  </w:style>
  <w:style w:type="paragraph" w:styleId="1241"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eastAsia="zh-CN"/>
    </w:rPr>
  </w:style>
  <w:style w:type="paragraph" w:styleId="1242"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eastAsia="zh-CN"/>
    </w:rPr>
  </w:style>
  <w:style w:type="character" w:styleId="1243" w:customStyle="1">
    <w:name w:val="Comment Text Char"/>
    <w:uiPriority w:val="0"/>
    <w:qFormat/>
    <w:rPr>
      <w:rFonts w:cs="Times New Roman"/>
      <w:sz w:val="21"/>
      <w:szCs w:val="21"/>
      <w:lang w:bidi="ar-SA"/>
    </w:rPr>
  </w:style>
  <w:style w:type="character" w:styleId="1244" w:customStyle="1">
    <w:name w:val="Footer Char"/>
    <w:uiPriority w:val="0"/>
    <w:qFormat/>
    <w:rPr>
      <w:rFonts w:eastAsia="宋体"/>
      <w:sz w:val="18"/>
      <w:lang w:val="en-US" w:eastAsia="zh-CN"/>
    </w:rPr>
  </w:style>
  <w:style w:type="character" w:styleId="1245" w:customStyle="1">
    <w:name w:val="ca-41"/>
    <w:uiPriority w:val="0"/>
    <w:qFormat/>
    <w:rPr>
      <w:rFonts w:ascii="宋体" w:eastAsia="宋体"/>
      <w:b/>
      <w:bCs/>
      <w:color w:val="000000"/>
      <w:spacing w:val="-20"/>
      <w:sz w:val="21"/>
      <w:szCs w:val="21"/>
    </w:rPr>
  </w:style>
  <w:style w:type="character" w:styleId="1246" w:customStyle="1">
    <w:name w:val="ca-1"/>
    <w:uiPriority w:val="0"/>
    <w:qFormat/>
  </w:style>
  <w:style w:type="character" w:styleId="1247" w:customStyle="1">
    <w:name w:val="Plain Text Char"/>
    <w:uiPriority w:val="0"/>
    <w:qFormat/>
    <w:rPr>
      <w:rFonts w:ascii="宋体" w:eastAsia="宋体"/>
      <w:sz w:val="21"/>
      <w:lang w:val="en-US" w:eastAsia="zh-CN"/>
    </w:rPr>
  </w:style>
  <w:style w:type="character" w:styleId="1248" w:customStyle="1">
    <w:name w:val="Header Char"/>
    <w:uiPriority w:val="0"/>
    <w:qFormat/>
    <w:rPr>
      <w:rFonts w:eastAsia="宋体"/>
      <w:sz w:val="18"/>
      <w:lang w:val="en-US" w:eastAsia="zh-CN"/>
    </w:rPr>
  </w:style>
  <w:style w:type="character" w:styleId="1249" w:customStyle="1">
    <w:name w:val="marklong"/>
    <w:uiPriority w:val="0"/>
    <w:qFormat/>
  </w:style>
  <w:style w:type="character" w:styleId="1250" w:customStyle="1">
    <w:name w:val="普通文字1 Char"/>
    <w:uiPriority w:val="0"/>
    <w:qFormat/>
    <w:rPr>
      <w:rFonts w:ascii="宋体" w:eastAsia="宋体" w:cs="Courier New"/>
      <w:sz w:val="21"/>
      <w:szCs w:val="21"/>
      <w:lang w:val="en-US" w:eastAsia="zh-CN" w:bidi="ar-SA"/>
    </w:rPr>
  </w:style>
  <w:style w:type="character" w:styleId="1251" w:customStyle="1">
    <w:name w:val="ca-21"/>
    <w:uiPriority w:val="0"/>
    <w:qFormat/>
    <w:rPr>
      <w:rFonts w:ascii="宋体" w:eastAsia="宋体"/>
      <w:sz w:val="21"/>
    </w:rPr>
  </w:style>
  <w:style w:type="paragraph" w:styleId="1252" w:customStyle="1">
    <w:name w:val="正文（缩进）"/>
    <w:basedOn w:val="866"/>
    <w:uiPriority w:val="0"/>
    <w:qFormat/>
    <w:pPr>
      <w:ind w:firstLine="200"/>
      <w:spacing w:before="50" w:after="50" w:line="360" w:lineRule="auto"/>
    </w:pPr>
    <w:rPr>
      <w:sz w:val="24"/>
    </w:rPr>
  </w:style>
  <w:style w:type="character" w:styleId="1253" w:customStyle="1">
    <w:name w:val="Heading 3 Char"/>
    <w:uiPriority w:val="0"/>
    <w:qFormat/>
    <w:rPr>
      <w:rFonts w:cs="Times New Roman"/>
      <w:b/>
      <w:bCs/>
      <w:sz w:val="32"/>
      <w:szCs w:val="32"/>
      <w:lang w:bidi="ar-SA"/>
    </w:rPr>
  </w:style>
  <w:style w:type="character" w:styleId="1254" w:customStyle="1">
    <w:name w:val="z12 style23"/>
    <w:uiPriority w:val="0"/>
    <w:qFormat/>
  </w:style>
  <w:style w:type="paragraph" w:styleId="1255" w:customStyle="1">
    <w:name w:val="Indent Normal"/>
    <w:basedOn w:val="866"/>
    <w:uiPriority w:val="0"/>
    <w:qFormat/>
    <w:pPr>
      <w:ind w:firstLine="150"/>
    </w:pPr>
    <w:rPr>
      <w:sz w:val="24"/>
      <w:szCs w:val="20"/>
    </w:rPr>
  </w:style>
  <w:style w:type="character" w:styleId="1256" w:customStyle="1">
    <w:name w:val="Char Char21"/>
    <w:uiPriority w:val="0"/>
    <w:qFormat/>
    <w:rPr>
      <w:sz w:val="18"/>
      <w:szCs w:val="18"/>
    </w:rPr>
  </w:style>
  <w:style w:type="character" w:styleId="1257" w:customStyle="1">
    <w:name w:val="ca-31"/>
    <w:uiPriority w:val="0"/>
    <w:qFormat/>
    <w:rPr>
      <w:rFonts w:ascii="宋体" w:eastAsia="宋体"/>
      <w:color w:val="000000"/>
      <w:sz w:val="21"/>
      <w:szCs w:val="21"/>
    </w:rPr>
  </w:style>
  <w:style w:type="character" w:styleId="1258" w:customStyle="1">
    <w:name w:val="apple-converted-space"/>
    <w:uiPriority w:val="0"/>
    <w:qFormat/>
  </w:style>
  <w:style w:type="character" w:styleId="1259" w:customStyle="1">
    <w:name w:val="Char Char1"/>
    <w:uiPriority w:val="0"/>
    <w:qFormat/>
    <w:rPr>
      <w:rFonts w:ascii="宋体" w:eastAsia="宋体"/>
      <w:sz w:val="21"/>
      <w:lang w:val="en-US" w:eastAsia="zh-CN"/>
    </w:rPr>
  </w:style>
  <w:style w:type="character" w:styleId="1260" w:customStyle="1">
    <w:name w:val="font21"/>
    <w:uiPriority w:val="0"/>
    <w:qFormat/>
    <w:rPr>
      <w:rFonts w:ascii="Times New Roman" w:hAnsi="Times New Roman"/>
      <w:color w:val="000000"/>
      <w:sz w:val="20"/>
      <w:u w:val="none"/>
    </w:rPr>
  </w:style>
  <w:style w:type="character" w:styleId="1261" w:customStyle="1">
    <w:name w:val="ca-01"/>
    <w:uiPriority w:val="0"/>
    <w:qFormat/>
    <w:rPr>
      <w:rFonts w:ascii="宋体" w:eastAsia="宋体"/>
      <w:b/>
      <w:bCs/>
      <w:spacing w:val="-20"/>
      <w:sz w:val="24"/>
      <w:szCs w:val="24"/>
    </w:rPr>
  </w:style>
  <w:style w:type="character" w:styleId="1262" w:customStyle="1">
    <w:name w:val="Char Char23"/>
    <w:uiPriority w:val="0"/>
    <w:qFormat/>
    <w:rPr>
      <w:sz w:val="24"/>
      <w:szCs w:val="21"/>
      <w:lang w:bidi="ar-SA"/>
    </w:rPr>
  </w:style>
  <w:style w:type="character" w:styleId="1263" w:customStyle="1">
    <w:name w:val="Char Char"/>
    <w:uiPriority w:val="0"/>
    <w:qFormat/>
    <w:rPr>
      <w:rFonts w:eastAsia="宋体"/>
      <w:sz w:val="18"/>
      <w:lang w:val="en-US" w:eastAsia="zh-CN"/>
    </w:rPr>
  </w:style>
  <w:style w:type="character" w:styleId="1264" w:customStyle="1">
    <w:name w:val="Char Char3"/>
    <w:uiPriority w:val="0"/>
    <w:qFormat/>
    <w:rPr>
      <w:rFonts w:ascii="宋体" w:eastAsia="宋体"/>
      <w:sz w:val="18"/>
      <w:szCs w:val="18"/>
      <w:lang w:val="en-US" w:eastAsia="zh-CN" w:bidi="ar-SA"/>
    </w:rPr>
  </w:style>
  <w:style w:type="paragraph" w:styleId="1265"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eastAsia="zh-CN"/>
    </w:rPr>
  </w:style>
  <w:style w:type="character" w:styleId="1266" w:customStyle="1">
    <w:name w:val="Heading 4 Char"/>
    <w:uiPriority w:val="0"/>
    <w:qFormat/>
    <w:rPr>
      <w:rFonts w:ascii="Cambria" w:hAnsi="Cambria" w:eastAsia="宋体" w:cs="Cambria"/>
      <w:b/>
      <w:bCs/>
      <w:sz w:val="28"/>
      <w:szCs w:val="28"/>
      <w:lang w:bidi="ar-SA"/>
    </w:rPr>
  </w:style>
  <w:style w:type="character" w:styleId="1267" w:customStyle="1">
    <w:name w:val="Header Char1"/>
    <w:uiPriority w:val="0"/>
    <w:qFormat/>
    <w:rPr>
      <w:rFonts w:cs="Times New Roman"/>
      <w:sz w:val="18"/>
      <w:szCs w:val="18"/>
      <w:lang w:bidi="ar-SA"/>
    </w:rPr>
  </w:style>
  <w:style w:type="character" w:styleId="1268" w:customStyle="1">
    <w:name w:val="Footer Char1"/>
    <w:uiPriority w:val="0"/>
    <w:qFormat/>
    <w:rPr>
      <w:rFonts w:cs="Times New Roman"/>
      <w:sz w:val="18"/>
      <w:szCs w:val="18"/>
      <w:lang w:bidi="ar-SA"/>
    </w:rPr>
  </w:style>
  <w:style w:type="character" w:styleId="1269" w:customStyle="1">
    <w:name w:val="wj1"/>
    <w:uiPriority w:val="0"/>
    <w:qFormat/>
    <w:rPr>
      <w:color w:val="000000"/>
      <w:sz w:val="18"/>
      <w:szCs w:val="18"/>
      <w:u w:val="none"/>
    </w:rPr>
  </w:style>
  <w:style w:type="character" w:styleId="1270" w:customStyle="1">
    <w:name w:val="ca-11"/>
    <w:uiPriority w:val="0"/>
    <w:qFormat/>
    <w:rPr>
      <w:rFonts w:ascii="宋体" w:eastAsia="宋体"/>
      <w:b/>
      <w:bCs/>
      <w:color w:val="000000"/>
      <w:spacing w:val="-20"/>
      <w:sz w:val="28"/>
      <w:szCs w:val="28"/>
    </w:rPr>
  </w:style>
  <w:style w:type="paragraph" w:styleId="1271" w:customStyle="1">
    <w:name w:val="表格样式居中"/>
    <w:uiPriority w:val="0"/>
    <w:qFormat/>
    <w:pPr>
      <w:jc w:val="center"/>
    </w:pPr>
    <w:rPr>
      <w:rFonts w:hint="default" w:ascii="Times New Roman" w:hAnsi="Times New Roman" w:eastAsia="仿宋_GB2312" w:cs="Times New Roman"/>
      <w:bCs/>
      <w:sz w:val="21"/>
      <w:szCs w:val="44"/>
      <w:lang w:eastAsia="zh-CN"/>
    </w:rPr>
  </w:style>
  <w:style w:type="character" w:styleId="1272" w:customStyle="1">
    <w:name w:val="Plain Text Char1"/>
    <w:uiPriority w:val="0"/>
    <w:qFormat/>
    <w:rPr>
      <w:rFonts w:ascii="宋体" w:eastAsia="宋体"/>
      <w:sz w:val="21"/>
      <w:szCs w:val="21"/>
      <w:lang w:val="en-US" w:eastAsia="zh-CN" w:bidi="ar-SA"/>
    </w:rPr>
  </w:style>
  <w:style w:type="character" w:styleId="1273" w:customStyle="1">
    <w:name w:val="段落 Char"/>
    <w:uiPriority w:val="0"/>
    <w:qFormat/>
    <w:rPr>
      <w:rFonts w:ascii="仿宋_GB2312" w:eastAsia="仿宋_GB2312"/>
      <w:sz w:val="24"/>
      <w:szCs w:val="24"/>
      <w:lang w:val="en-US" w:eastAsia="zh-CN" w:bidi="ar-SA"/>
    </w:rPr>
  </w:style>
  <w:style w:type="character" w:styleId="1274" w:customStyle="1">
    <w:name w:val="Heading 2 Char"/>
    <w:uiPriority w:val="0"/>
    <w:qFormat/>
    <w:rPr>
      <w:rFonts w:ascii="Arial" w:hAnsi="Arial" w:eastAsia="黑体"/>
      <w:b/>
      <w:bCs/>
      <w:sz w:val="32"/>
      <w:szCs w:val="32"/>
      <w:lang w:val="en-US" w:eastAsia="zh-CN" w:bidi="ar-SA"/>
    </w:rPr>
  </w:style>
  <w:style w:type="paragraph" w:styleId="1275"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eastAsia="zh-CN"/>
    </w:rPr>
  </w:style>
  <w:style w:type="character" w:styleId="1276" w:customStyle="1">
    <w:name w:val="Char Char31"/>
    <w:uiPriority w:val="0"/>
    <w:qFormat/>
    <w:rPr>
      <w:rFonts w:ascii="Arial" w:hAnsi="Arial" w:eastAsia="黑体" w:cs="Times New Roman"/>
      <w:b/>
      <w:bCs/>
      <w:sz w:val="32"/>
      <w:szCs w:val="32"/>
      <w:lang w:val="en-US" w:eastAsia="zh-CN" w:bidi="ar-SA"/>
    </w:rPr>
  </w:style>
  <w:style w:type="paragraph" w:styleId="1277" w:customStyle="1">
    <w:name w:val="正文（黑体）"/>
    <w:basedOn w:val="866"/>
    <w:next w:val="866"/>
    <w:uiPriority w:val="0"/>
    <w:qFormat/>
    <w:pPr>
      <w:ind w:firstLine="200"/>
      <w:spacing w:before="50" w:after="50" w:line="360" w:lineRule="auto"/>
    </w:pPr>
    <w:rPr>
      <w:rFonts w:ascii="黑体" w:eastAsia="黑体"/>
      <w:color w:val="000080"/>
      <w:sz w:val="24"/>
    </w:rPr>
  </w:style>
  <w:style w:type="character" w:styleId="1278" w:customStyle="1">
    <w:name w:val="ca-51"/>
    <w:uiPriority w:val="0"/>
    <w:qFormat/>
    <w:rPr>
      <w:rFonts w:ascii="楷体_GB2312" w:eastAsia="楷体_GB2312"/>
      <w:b/>
      <w:bCs/>
      <w:spacing w:val="-20"/>
      <w:sz w:val="24"/>
      <w:szCs w:val="24"/>
    </w:rPr>
  </w:style>
  <w:style w:type="paragraph" w:styleId="1279" w:customStyle="1">
    <w:name w:val="加点正文缩进"/>
    <w:basedOn w:val="866"/>
    <w:uiPriority w:val="0"/>
    <w:qFormat/>
    <w:pPr>
      <w:ind w:left="962" w:hanging="480"/>
      <w:spacing w:line="300" w:lineRule="auto"/>
      <w:tabs>
        <w:tab w:val="left" w:pos="840" w:leader="none"/>
      </w:tabs>
    </w:pPr>
    <w:rPr>
      <w:sz w:val="24"/>
    </w:rPr>
  </w:style>
  <w:style w:type="paragraph" w:styleId="1280" w:customStyle="1">
    <w:name w:val="默认段落字体 Para Char Char Char Char Char Char Char Char Char Char Char Char Char Char"/>
    <w:basedOn w:val="1103"/>
    <w:uiPriority w:val="0"/>
    <w:qFormat/>
    <w:rPr>
      <w:rFonts w:ascii="Tahoma" w:hAnsi="Tahoma"/>
      <w:sz w:val="24"/>
      <w:szCs w:val="22"/>
    </w:rPr>
  </w:style>
  <w:style w:type="paragraph" w:styleId="1281">
    <w:name w:val="List Paragraph"/>
    <w:basedOn w:val="866"/>
    <w:uiPriority w:val="0"/>
    <w:qFormat/>
    <w:pPr>
      <w:ind w:firstLine="200"/>
    </w:pPr>
  </w:style>
  <w:style w:type="paragraph" w:styleId="1282" w:customStyle="1">
    <w:name w:val="序号"/>
    <w:next w:val="866"/>
    <w:uiPriority w:val="0"/>
    <w:qFormat/>
    <w:pPr>
      <w:jc w:val="center"/>
    </w:pPr>
    <w:rPr>
      <w:rFonts w:hint="default" w:ascii="Times New Roman" w:hAnsi="Times New Roman" w:eastAsia="仿宋_GB2312" w:cs="Times New Roman"/>
      <w:bCs/>
      <w:sz w:val="21"/>
      <w:szCs w:val="44"/>
      <w:lang w:eastAsia="zh-CN"/>
    </w:rPr>
  </w:style>
  <w:style w:type="paragraph" w:styleId="1283" w:customStyle="1">
    <w:name w:val="xl35"/>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84" w:customStyle="1">
    <w:name w:val="xl36"/>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85" w:customStyle="1">
    <w:name w:val="Char Char Char"/>
    <w:basedOn w:val="866"/>
    <w:uiPriority w:val="0"/>
    <w:qFormat/>
    <w:rPr>
      <w:rFonts w:ascii="Tahoma" w:hAnsi="Tahoma"/>
      <w:sz w:val="24"/>
      <w:szCs w:val="20"/>
    </w:rPr>
  </w:style>
  <w:style w:type="paragraph" w:styleId="1286" w:customStyle="1">
    <w:name w:val="Char12"/>
    <w:basedOn w:val="866"/>
    <w:uiPriority w:val="0"/>
    <w:qFormat/>
    <w:pPr>
      <w:ind w:left="360" w:right="202" w:firstLine="360"/>
      <w:spacing w:line="480" w:lineRule="auto"/>
      <w:tabs>
        <w:tab w:val="left" w:pos="360" w:leader="none"/>
      </w:tabs>
    </w:pPr>
    <w:rPr>
      <w:sz w:val="24"/>
    </w:rPr>
  </w:style>
  <w:style w:type="paragraph" w:styleId="1287" w:customStyle="1">
    <w:name w:val="Char Char Char Char Char Char Char Char Char Char11"/>
    <w:basedOn w:val="866"/>
    <w:uiPriority w:val="0"/>
    <w:qFormat/>
    <w:rPr>
      <w:rFonts w:ascii="Tahoma" w:hAnsi="Tahoma"/>
      <w:sz w:val="24"/>
      <w:szCs w:val="20"/>
    </w:rPr>
  </w:style>
  <w:style w:type="paragraph" w:styleId="1288" w:customStyle="1">
    <w:name w:val="正文段"/>
    <w:basedOn w:val="866"/>
    <w:uiPriority w:val="0"/>
    <w:qFormat/>
    <w:pPr>
      <w:ind w:firstLine="425"/>
      <w:spacing w:after="240" w:line="240" w:lineRule="atLeast"/>
      <w:widowControl/>
    </w:pPr>
    <w:rPr>
      <w:sz w:val="24"/>
      <w:szCs w:val="20"/>
    </w:rPr>
  </w:style>
  <w:style w:type="paragraph" w:styleId="1289" w:customStyle="1">
    <w:name w:val="段"/>
    <w:uiPriority w:val="0"/>
    <w:qFormat/>
    <w:pPr>
      <w:ind w:firstLine="200"/>
      <w:jc w:val="both"/>
    </w:pPr>
    <w:rPr>
      <w:rFonts w:hint="default" w:ascii="宋体" w:hAnsi="Times New Roman" w:eastAsia="宋体" w:cs="Times New Roman"/>
      <w:sz w:val="21"/>
      <w:lang w:eastAsia="zh-CN"/>
    </w:rPr>
  </w:style>
  <w:style w:type="paragraph" w:styleId="1290" w:customStyle="1">
    <w:name w:val="Char Char Char Char Char Char Char Char Char Char1"/>
    <w:basedOn w:val="866"/>
    <w:uiPriority w:val="0"/>
    <w:qFormat/>
    <w:rPr>
      <w:rFonts w:ascii="Tahoma" w:hAnsi="Tahoma" w:cs="Tahoma"/>
      <w:sz w:val="24"/>
    </w:rPr>
  </w:style>
  <w:style w:type="paragraph" w:styleId="1291" w:customStyle="1">
    <w:name w:val="xl34"/>
    <w:basedOn w:val="866"/>
    <w:uiPriority w:val="0"/>
    <w:qFormat/>
    <w:pPr>
      <w:jc w:val="center"/>
      <w:spacing w:before="100" w:beforeAutospacing="1" w:after="100" w:afterAutospacing="1"/>
      <w:widowControl/>
    </w:pPr>
    <w:rPr>
      <w:rFonts w:ascii="Arial Unicode MS" w:hAnsi="Arial Unicode MS" w:eastAsia="Arial Unicode MS"/>
      <w:sz w:val="24"/>
    </w:rPr>
  </w:style>
  <w:style w:type="paragraph" w:styleId="1292" w:customStyle="1">
    <w:name w:val="前言、引言标题"/>
    <w:next w:val="866"/>
    <w:uiPriority w:val="0"/>
    <w:qFormat/>
    <w:pPr>
      <w:jc w:val="center"/>
      <w:spacing w:before="640" w:after="560"/>
      <w:shd w:val="clear" w:color="ffffff" w:fill="ffffff"/>
      <w:outlineLvl w:val="0"/>
    </w:pPr>
    <w:rPr>
      <w:rFonts w:hint="default" w:ascii="黑体" w:hAnsi="Times New Roman" w:eastAsia="黑体" w:cs="Times New Roman"/>
      <w:sz w:val="32"/>
      <w:lang w:eastAsia="zh-CN"/>
    </w:rPr>
  </w:style>
  <w:style w:type="paragraph" w:styleId="1293" w:customStyle="1">
    <w:name w:val="Char Char Char Char Char Char Char Char Char Char Char Char Char"/>
    <w:basedOn w:val="866"/>
    <w:uiPriority w:val="0"/>
    <w:qFormat/>
    <w:pPr>
      <w:jc w:val="left"/>
      <w:spacing w:after="160" w:line="240" w:lineRule="exact"/>
      <w:widowControl/>
    </w:pPr>
    <w:rPr>
      <w:rFonts w:ascii="Verdana" w:hAnsi="Verdana"/>
      <w:sz w:val="20"/>
      <w:szCs w:val="20"/>
      <w:lang w:eastAsia="en-US"/>
    </w:rPr>
  </w:style>
  <w:style w:type="paragraph" w:styleId="1294" w:customStyle="1">
    <w:name w:val="pa-0"/>
    <w:basedOn w:val="866"/>
    <w:uiPriority w:val="0"/>
    <w:qFormat/>
    <w:pPr>
      <w:ind w:firstLine="480"/>
      <w:spacing w:line="360" w:lineRule="atLeast"/>
      <w:widowControl/>
    </w:pPr>
    <w:rPr>
      <w:rFonts w:ascii="宋体" w:cs="宋体"/>
      <w:sz w:val="24"/>
    </w:rPr>
  </w:style>
  <w:style w:type="paragraph" w:styleId="1295" w:customStyle="1">
    <w:name w:val="三级条标题"/>
    <w:basedOn w:val="1296"/>
    <w:next w:val="1289"/>
    <w:uiPriority w:val="0"/>
    <w:qFormat/>
    <w:pPr>
      <w:ind w:left="1050"/>
      <w:outlineLvl w:val="4"/>
    </w:pPr>
  </w:style>
  <w:style w:type="paragraph" w:styleId="1296" w:customStyle="1">
    <w:name w:val="二级条标题"/>
    <w:basedOn w:val="1297"/>
    <w:next w:val="1289"/>
    <w:uiPriority w:val="0"/>
    <w:qFormat/>
    <w:pPr>
      <w:ind w:left="360"/>
      <w:outlineLvl w:val="3"/>
    </w:pPr>
  </w:style>
  <w:style w:type="paragraph" w:styleId="1297" w:customStyle="1">
    <w:name w:val="一级条标题"/>
    <w:next w:val="1289"/>
    <w:uiPriority w:val="0"/>
    <w:qFormat/>
    <w:pPr>
      <w:outlineLvl w:val="2"/>
    </w:pPr>
    <w:rPr>
      <w:rFonts w:hint="default" w:ascii="Times New Roman" w:hAnsi="Times New Roman" w:eastAsia="黑体" w:cs="Times New Roman"/>
      <w:sz w:val="21"/>
      <w:lang w:eastAsia="zh-CN"/>
    </w:rPr>
  </w:style>
  <w:style w:type="paragraph" w:styleId="1298" w:customStyle="1">
    <w:name w:val="FA正文+标号"/>
    <w:basedOn w:val="866"/>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99" w:customStyle="1">
    <w:name w:val="表文1"/>
    <w:basedOn w:val="866"/>
    <w:uiPriority w:val="0"/>
    <w:qFormat/>
    <w:pPr>
      <w:ind w:firstLine="196"/>
      <w:spacing w:line="360" w:lineRule="auto"/>
      <w:widowControl/>
    </w:pPr>
    <w:rPr>
      <w:rFonts w:ascii="宋体"/>
      <w:sz w:val="24"/>
    </w:rPr>
  </w:style>
  <w:style w:type="paragraph" w:styleId="1300" w:customStyle="1">
    <w:name w:val="表内容"/>
    <w:basedOn w:val="1301"/>
    <w:uiPriority w:val="0"/>
    <w:qFormat/>
    <w:pPr>
      <w:ind w:left="0" w:firstLine="0"/>
      <w:spacing w:line="320" w:lineRule="exact"/>
    </w:pPr>
    <w:rPr>
      <w:sz w:val="20"/>
    </w:rPr>
  </w:style>
  <w:style w:type="paragraph" w:styleId="1301" w:customStyle="1">
    <w:name w:val="正文1"/>
    <w:basedOn w:val="866"/>
    <w:uiPriority w:val="0"/>
    <w:qFormat/>
    <w:pPr>
      <w:ind w:left="357" w:firstLine="420"/>
      <w:jc w:val="left"/>
      <w:spacing w:line="360" w:lineRule="auto"/>
      <w:widowControl/>
    </w:pPr>
    <w:rPr>
      <w:rFonts w:cs="Arial"/>
      <w:szCs w:val="20"/>
    </w:rPr>
  </w:style>
  <w:style w:type="paragraph" w:styleId="1302" w:customStyle="1">
    <w:name w:val="Char Char1 Char Char Char Char Char Char"/>
    <w:basedOn w:val="866"/>
    <w:uiPriority w:val="0"/>
    <w:qFormat/>
    <w:pPr>
      <w:jc w:val="center"/>
      <w:widowControl/>
    </w:pPr>
    <w:rPr>
      <w:szCs w:val="20"/>
    </w:rPr>
  </w:style>
  <w:style w:type="paragraph" w:styleId="1303" w:customStyle="1">
    <w:name w:val="封面标准号1"/>
    <w:uiPriority w:val="0"/>
    <w:qFormat/>
    <w:pPr>
      <w:jc w:val="right"/>
      <w:spacing w:before="308"/>
      <w:widowControl w:val="off"/>
    </w:pPr>
    <w:rPr>
      <w:rFonts w:hint="default" w:ascii="Times New Roman" w:hAnsi="Times New Roman" w:eastAsia="宋体" w:cs="Times New Roman"/>
      <w:sz w:val="28"/>
      <w:lang w:eastAsia="zh-CN"/>
    </w:rPr>
  </w:style>
  <w:style w:type="paragraph" w:styleId="1304" w:customStyle="1">
    <w:name w:val="附图标题"/>
    <w:basedOn w:val="1207"/>
    <w:next w:val="1083"/>
    <w:uiPriority w:val="0"/>
    <w:qFormat/>
    <w:pPr>
      <w:ind w:left="780" w:hanging="480"/>
      <w:jc w:val="center"/>
      <w:spacing w:after="100"/>
      <w:tabs>
        <w:tab w:val="clear" w:pos="0" w:leader="none"/>
        <w:tab w:val="left" w:pos="780" w:leader="none"/>
      </w:tabs>
    </w:pPr>
    <w:rPr>
      <w:b/>
      <w:sz w:val="21"/>
    </w:rPr>
  </w:style>
  <w:style w:type="paragraph" w:styleId="1305" w:customStyle="1">
    <w:name w:val="图号"/>
    <w:basedOn w:val="866"/>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306" w:customStyle="1">
    <w:name w:val="xl40"/>
    <w:basedOn w:val="866"/>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07" w:customStyle="1">
    <w:name w:val="缩进正文"/>
    <w:basedOn w:val="866"/>
    <w:uiPriority w:val="0"/>
    <w:qFormat/>
    <w:pPr>
      <w:ind w:left="1418" w:firstLine="425"/>
      <w:jc w:val="left"/>
      <w:spacing w:after="200" w:line="400" w:lineRule="exact"/>
      <w:widowControl/>
    </w:pPr>
    <w:rPr>
      <w:rFonts w:ascii="宋体"/>
      <w:sz w:val="24"/>
      <w:szCs w:val="20"/>
    </w:rPr>
  </w:style>
  <w:style w:type="paragraph" w:styleId="1308" w:customStyle="1">
    <w:name w:val="Char1"/>
    <w:basedOn w:val="866"/>
    <w:uiPriority w:val="0"/>
    <w:qFormat/>
    <w:pPr>
      <w:ind w:left="360" w:right="202" w:firstLine="360"/>
      <w:spacing w:line="480" w:lineRule="auto"/>
      <w:tabs>
        <w:tab w:val="left" w:pos="360" w:leader="none"/>
      </w:tabs>
    </w:pPr>
    <w:rPr>
      <w:sz w:val="24"/>
    </w:rPr>
  </w:style>
  <w:style w:type="paragraph" w:styleId="1309" w:customStyle="1">
    <w:name w:val="首页标题"/>
    <w:uiPriority w:val="0"/>
    <w:qFormat/>
    <w:pPr>
      <w:jc w:val="center"/>
    </w:pPr>
    <w:rPr>
      <w:rFonts w:hint="default" w:ascii="宋体" w:hAnsi="Times New Roman" w:eastAsia="宋体" w:cs="宋体"/>
      <w:sz w:val="72"/>
      <w:szCs w:val="72"/>
      <w:lang w:eastAsia="zh-CN"/>
    </w:rPr>
  </w:style>
  <w:style w:type="paragraph" w:styleId="1310" w:customStyle="1">
    <w:name w:val="pa-10"/>
    <w:basedOn w:val="866"/>
    <w:uiPriority w:val="0"/>
    <w:qFormat/>
    <w:pPr>
      <w:spacing w:line="240" w:lineRule="atLeast"/>
      <w:widowControl/>
    </w:pPr>
    <w:rPr>
      <w:rFonts w:ascii="宋体" w:cs="宋体"/>
      <w:sz w:val="24"/>
    </w:rPr>
  </w:style>
  <w:style w:type="paragraph" w:styleId="1311" w:customStyle="1">
    <w:name w:val="特点"/>
    <w:basedOn w:val="866"/>
    <w:next w:val="866"/>
    <w:uiPriority w:val="0"/>
    <w:qFormat/>
    <w:pPr>
      <w:jc w:val="center"/>
      <w:spacing w:line="360" w:lineRule="auto"/>
    </w:pPr>
    <w:rPr>
      <w:rFonts w:ascii="Arial" w:hAnsi="Arial"/>
      <w:sz w:val="24"/>
      <w:szCs w:val="20"/>
    </w:rPr>
  </w:style>
  <w:style w:type="paragraph" w:styleId="1312" w:customStyle="1">
    <w:name w:val="pa-4"/>
    <w:basedOn w:val="866"/>
    <w:uiPriority w:val="0"/>
    <w:qFormat/>
    <w:pPr>
      <w:jc w:val="center"/>
      <w:spacing w:line="280" w:lineRule="atLeast"/>
      <w:widowControl/>
    </w:pPr>
    <w:rPr>
      <w:rFonts w:ascii="宋体" w:cs="宋体"/>
      <w:sz w:val="24"/>
    </w:rPr>
  </w:style>
  <w:style w:type="paragraph" w:styleId="1313" w:customStyle="1">
    <w:name w:val="编号"/>
    <w:basedOn w:val="866"/>
    <w:next w:val="1265"/>
    <w:uiPriority w:val="0"/>
    <w:qFormat/>
    <w:pPr>
      <w:ind w:left="420" w:right="-136" w:hanging="420"/>
      <w:widowControl/>
      <w:tabs>
        <w:tab w:val="left" w:pos="420" w:leader="none"/>
      </w:tabs>
    </w:pPr>
    <w:rPr>
      <w:rFonts w:ascii="仿宋_GB2312" w:eastAsia="仿宋_GB2312"/>
      <w:b/>
      <w:bCs/>
      <w:sz w:val="24"/>
      <w:szCs w:val="21"/>
    </w:rPr>
  </w:style>
  <w:style w:type="paragraph" w:styleId="131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eastAsia="zh-CN"/>
    </w:rPr>
  </w:style>
  <w:style w:type="paragraph" w:styleId="1315" w:customStyle="1">
    <w:name w:val="xl33"/>
    <w:basedOn w:val="86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6" w:customStyle="1">
    <w:name w:val="编号1"/>
    <w:next w:val="1265"/>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eastAsia="zh-CN"/>
    </w:rPr>
  </w:style>
  <w:style w:type="paragraph" w:styleId="1317" w:customStyle="1">
    <w:name w:val="xl32"/>
    <w:basedOn w:val="8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18" w:customStyle="1">
    <w:name w:val="CM17"/>
    <w:basedOn w:val="866"/>
    <w:next w:val="866"/>
    <w:uiPriority w:val="0"/>
    <w:qFormat/>
    <w:pPr>
      <w:jc w:val="left"/>
      <w:spacing w:after="273" w:line="360" w:lineRule="auto"/>
    </w:pPr>
    <w:rPr>
      <w:rFonts w:ascii="宋体"/>
      <w:sz w:val="24"/>
    </w:rPr>
  </w:style>
  <w:style w:type="paragraph" w:styleId="1319" w:customStyle="1">
    <w:name w:val="xl38"/>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20" w:customStyle="1">
    <w:name w:val="参考资料清单+倾斜+蓝色"/>
    <w:basedOn w:val="866"/>
    <w:uiPriority w:val="0"/>
    <w:qFormat/>
    <w:pPr>
      <w:spacing w:line="360" w:lineRule="auto"/>
    </w:pPr>
    <w:rPr>
      <w:rFonts w:ascii="Arial" w:hAnsi="Arial"/>
      <w:i/>
      <w:iCs/>
      <w:color w:val="0000ff"/>
      <w:szCs w:val="21"/>
    </w:rPr>
  </w:style>
  <w:style w:type="paragraph" w:styleId="1321" w:customStyle="1">
    <w:name w:val="英文音标"/>
    <w:uiPriority w:val="0"/>
    <w:qFormat/>
    <w:rPr>
      <w:rFonts w:hint="default" w:ascii="Kingsoft Phonetic Plain" w:hAnsi="Kingsoft Phonetic Plain" w:eastAsia="Kingsoft Phonetic Plain" w:cs="Times New Roman"/>
      <w:sz w:val="24"/>
      <w:szCs w:val="24"/>
      <w:lang w:eastAsia="zh-CN"/>
    </w:rPr>
  </w:style>
  <w:style w:type="paragraph" w:styleId="1322" w:customStyle="1">
    <w:name w:val="pa-8"/>
    <w:basedOn w:val="866"/>
    <w:uiPriority w:val="0"/>
    <w:qFormat/>
    <w:pPr>
      <w:ind w:firstLine="480"/>
      <w:spacing w:line="280" w:lineRule="atLeast"/>
      <w:widowControl/>
    </w:pPr>
    <w:rPr>
      <w:rFonts w:ascii="宋体" w:cs="宋体"/>
      <w:sz w:val="24"/>
    </w:rPr>
  </w:style>
  <w:style w:type="paragraph" w:styleId="1323" w:customStyle="1">
    <w:name w:val="标书2"/>
    <w:next w:val="1265"/>
    <w:uiPriority w:val="0"/>
    <w:qFormat/>
    <w:rPr>
      <w:rFonts w:hint="default" w:ascii="Times New Roman" w:hAnsi="Times New Roman" w:eastAsia="黑体" w:cs="宋体"/>
      <w:b/>
      <w:sz w:val="44"/>
      <w:lang w:eastAsia="zh-CN"/>
    </w:rPr>
  </w:style>
  <w:style w:type="paragraph" w:styleId="1324" w:customStyle="1">
    <w:name w:val="表格文字"/>
    <w:basedOn w:val="866"/>
    <w:uiPriority w:val="0"/>
    <w:qFormat/>
    <w:pPr>
      <w:jc w:val="left"/>
    </w:pPr>
    <w:rPr>
      <w:sz w:val="18"/>
    </w:rPr>
  </w:style>
  <w:style w:type="paragraph" w:styleId="1325" w:customStyle="1">
    <w:name w:val="首页空格"/>
    <w:uiPriority w:val="0"/>
    <w:qFormat/>
    <w:pPr>
      <w:jc w:val="center"/>
    </w:pPr>
    <w:rPr>
      <w:rFonts w:hint="default" w:ascii="Times New Roman" w:hAnsi="Times New Roman" w:eastAsia="宋体" w:cs="宋体"/>
      <w:sz w:val="72"/>
      <w:lang w:eastAsia="zh-CN"/>
    </w:rPr>
  </w:style>
  <w:style w:type="paragraph" w:styleId="1326" w:customStyle="1">
    <w:name w:val="保密事宜格式"/>
    <w:basedOn w:val="120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27" w:customStyle="1">
    <w:name w:val="SFClearBullets"/>
    <w:uiPriority w:val="0"/>
    <w:qFormat/>
    <w:pPr>
      <w:ind w:left="1440" w:hanging="360"/>
      <w:tabs>
        <w:tab w:val="left" w:pos="1440" w:leader="none"/>
      </w:tabs>
    </w:pPr>
    <w:rPr>
      <w:rFonts w:hint="default" w:ascii="Helvetica" w:hAnsi="Helvetica" w:eastAsia="宋体" w:cs="Times New Roman"/>
      <w:szCs w:val="24"/>
    </w:rPr>
  </w:style>
  <w:style w:type="paragraph" w:styleId="1328" w:customStyle="1">
    <w:name w:val="È±Ê¡ÎÄ±¾"/>
    <w:basedOn w:val="866"/>
    <w:uiPriority w:val="0"/>
    <w:qFormat/>
    <w:pPr>
      <w:jc w:val="left"/>
      <w:spacing w:line="360" w:lineRule="auto"/>
      <w:widowControl/>
    </w:pPr>
    <w:rPr>
      <w:sz w:val="24"/>
      <w:szCs w:val="20"/>
    </w:rPr>
  </w:style>
  <w:style w:type="paragraph" w:styleId="1329" w:customStyle="1">
    <w:name w:val="Char Char Char Char Char Char Char"/>
    <w:basedOn w:val="866"/>
    <w:uiPriority w:val="0"/>
    <w:qFormat/>
    <w:pPr>
      <w:jc w:val="left"/>
      <w:spacing w:after="160" w:line="240" w:lineRule="exact"/>
      <w:widowControl/>
    </w:pPr>
    <w:rPr>
      <w:rFonts w:ascii="Verdana" w:hAnsi="Verdana"/>
      <w:sz w:val="20"/>
      <w:szCs w:val="20"/>
      <w:lang w:eastAsia="en-US"/>
    </w:rPr>
  </w:style>
  <w:style w:type="paragraph" w:styleId="1330" w:customStyle="1">
    <w:name w:val="附图居中"/>
    <w:basedOn w:val="866"/>
    <w:next w:val="1304"/>
    <w:uiPriority w:val="0"/>
    <w:qFormat/>
    <w:pPr>
      <w:ind w:left="1271" w:hanging="420"/>
      <w:jc w:val="center"/>
      <w:keepNext/>
      <w:spacing w:line="360" w:lineRule="auto"/>
      <w:tabs>
        <w:tab w:val="left" w:pos="0" w:leader="none"/>
      </w:tabs>
    </w:pPr>
    <w:rPr>
      <w:caps/>
      <w:sz w:val="24"/>
    </w:rPr>
  </w:style>
  <w:style w:type="paragraph" w:styleId="1331" w:customStyle="1">
    <w:name w:val="pa-6"/>
    <w:basedOn w:val="866"/>
    <w:uiPriority w:val="0"/>
    <w:qFormat/>
    <w:pPr>
      <w:spacing w:line="360" w:lineRule="atLeast"/>
      <w:widowControl/>
    </w:pPr>
    <w:rPr>
      <w:rFonts w:ascii="宋体"/>
      <w:sz w:val="24"/>
      <w:szCs w:val="20"/>
    </w:rPr>
  </w:style>
  <w:style w:type="paragraph" w:styleId="1332" w:customStyle="1">
    <w:name w:val="规范正文"/>
    <w:basedOn w:val="866"/>
    <w:uiPriority w:val="0"/>
    <w:qFormat/>
    <w:pPr>
      <w:ind w:left="480"/>
      <w:spacing w:line="360" w:lineRule="auto"/>
    </w:pPr>
    <w:rPr>
      <w:sz w:val="24"/>
      <w:szCs w:val="20"/>
    </w:rPr>
  </w:style>
  <w:style w:type="paragraph" w:styleId="1333" w:customStyle="1">
    <w:name w:val="缺省文本"/>
    <w:basedOn w:val="866"/>
    <w:uiPriority w:val="0"/>
    <w:qFormat/>
    <w:pPr>
      <w:jc w:val="left"/>
    </w:pPr>
    <w:rPr>
      <w:sz w:val="24"/>
      <w:szCs w:val="20"/>
    </w:rPr>
  </w:style>
  <w:style w:type="paragraph" w:styleId="1334" w:customStyle="1">
    <w:name w:val="序号-----------"/>
    <w:basedOn w:val="866"/>
    <w:uiPriority w:val="0"/>
    <w:qFormat/>
    <w:pPr>
      <w:jc w:val="left"/>
      <w:widowControl/>
    </w:pPr>
    <w:rPr>
      <w:rFonts w:ascii="宋体"/>
      <w:bCs/>
      <w:szCs w:val="21"/>
    </w:rPr>
  </w:style>
  <w:style w:type="paragraph" w:styleId="1335" w:customStyle="1">
    <w:name w:val="font8"/>
    <w:basedOn w:val="866"/>
    <w:uiPriority w:val="0"/>
    <w:qFormat/>
    <w:pPr>
      <w:jc w:val="left"/>
      <w:spacing w:before="100" w:beforeAutospacing="1" w:after="100" w:afterAutospacing="1"/>
      <w:widowControl/>
    </w:pPr>
    <w:rPr>
      <w:rFonts w:ascii="Arial" w:hAnsi="Arial" w:cs="Arial"/>
      <w:color w:val="000000"/>
      <w:sz w:val="18"/>
      <w:szCs w:val="18"/>
    </w:rPr>
  </w:style>
  <w:style w:type="paragraph" w:styleId="1336" w:customStyle="1">
    <w:name w:val="表格标题"/>
    <w:basedOn w:val="866"/>
    <w:uiPriority w:val="0"/>
    <w:qFormat/>
    <w:pPr>
      <w:jc w:val="center"/>
    </w:pPr>
    <w:rPr>
      <w:b/>
    </w:rPr>
  </w:style>
  <w:style w:type="paragraph" w:styleId="1337" w:customStyle="1">
    <w:name w:val="章标题"/>
    <w:next w:val="1289"/>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eastAsia="zh-CN"/>
    </w:rPr>
  </w:style>
  <w:style w:type="paragraph" w:styleId="1338" w:customStyle="1">
    <w:name w:val="首页单位日期"/>
    <w:basedOn w:val="866"/>
    <w:uiPriority w:val="0"/>
    <w:qFormat/>
    <w:pPr>
      <w:jc w:val="center"/>
      <w:widowControl/>
    </w:pPr>
    <w:rPr>
      <w:rFonts w:ascii="宋体" w:cs="宋体"/>
      <w:bCs/>
      <w:sz w:val="28"/>
      <w:szCs w:val="20"/>
    </w:rPr>
  </w:style>
  <w:style w:type="paragraph" w:styleId="1339" w:customStyle="1">
    <w:name w:val="样式 正文缩进 + (中文) 仿宋_GB2312 小四 Char"/>
    <w:basedOn w:val="1083"/>
    <w:uiPriority w:val="0"/>
    <w:qFormat/>
    <w:pPr>
      <w:ind w:firstLine="200"/>
      <w:spacing w:line="360" w:lineRule="auto"/>
    </w:pPr>
    <w:rPr>
      <w:rFonts w:ascii="宋体"/>
      <w:sz w:val="24"/>
      <w:szCs w:val="24"/>
    </w:rPr>
  </w:style>
  <w:style w:type="paragraph" w:styleId="1340" w:customStyle="1">
    <w:name w:val="项目"/>
    <w:basedOn w:val="866"/>
    <w:uiPriority w:val="0"/>
    <w:qFormat/>
    <w:pPr>
      <w:ind w:left="840" w:hanging="420"/>
      <w:spacing w:before="60" w:after="60" w:line="360" w:lineRule="auto"/>
      <w:tabs>
        <w:tab w:val="left" w:pos="840" w:leader="none"/>
      </w:tabs>
    </w:pPr>
    <w:rPr>
      <w:rFonts w:ascii="宋体"/>
      <w:szCs w:val="20"/>
    </w:rPr>
  </w:style>
  <w:style w:type="paragraph" w:styleId="1341" w:customStyle="1">
    <w:name w:val="默认段落字体 Para Char"/>
    <w:basedOn w:val="866"/>
    <w:uiPriority w:val="0"/>
    <w:qFormat/>
    <w:rPr>
      <w:rFonts w:ascii="宋体"/>
      <w:b/>
      <w:sz w:val="28"/>
      <w:szCs w:val="28"/>
    </w:rPr>
  </w:style>
  <w:style w:type="paragraph" w:styleId="1342" w:customStyle="1">
    <w:name w:val="篇名"/>
    <w:next w:val="1080"/>
    <w:uiPriority w:val="0"/>
    <w:qFormat/>
    <w:pPr>
      <w:jc w:val="center"/>
      <w:pageBreakBefore/>
      <w:spacing w:before="480" w:after="480"/>
    </w:pPr>
    <w:rPr>
      <w:rFonts w:hint="default" w:ascii="Times New Roman" w:hAnsi="Times New Roman" w:eastAsia="黑体" w:cs="Times New Roman"/>
      <w:b/>
      <w:sz w:val="44"/>
      <w:szCs w:val="24"/>
      <w:lang w:eastAsia="zh-CN"/>
    </w:rPr>
  </w:style>
  <w:style w:type="paragraph" w:styleId="1343" w:customStyle="1">
    <w:name w:val="Char13"/>
    <w:basedOn w:val="866"/>
    <w:uiPriority w:val="0"/>
    <w:qFormat/>
  </w:style>
  <w:style w:type="paragraph" w:styleId="1344" w:customStyle="1">
    <w:name w:val="表头"/>
    <w:basedOn w:val="1301"/>
    <w:uiPriority w:val="0"/>
    <w:qFormat/>
    <w:pPr>
      <w:ind w:left="0" w:firstLine="0"/>
      <w:spacing w:line="240" w:lineRule="auto"/>
    </w:pPr>
    <w:rPr>
      <w:sz w:val="20"/>
    </w:rPr>
  </w:style>
  <w:style w:type="paragraph" w:styleId="1345" w:customStyle="1">
    <w:name w:val="表格序号"/>
    <w:uiPriority w:val="0"/>
    <w:qFormat/>
    <w:rPr>
      <w:rFonts w:hint="default" w:ascii="Times New Roman" w:hAnsi="Times New Roman" w:eastAsia="仿宋_GB2312" w:cs="宋体"/>
      <w:sz w:val="21"/>
      <w:lang w:eastAsia="zh-CN"/>
    </w:rPr>
  </w:style>
  <w:style w:type="paragraph" w:styleId="1346" w:customStyle="1">
    <w:name w:val="Char Char Char Char1"/>
    <w:basedOn w:val="866"/>
    <w:uiPriority w:val="0"/>
    <w:qFormat/>
    <w:pPr>
      <w:ind w:firstLine="200"/>
      <w:spacing w:line="360" w:lineRule="auto"/>
    </w:pPr>
    <w:rPr>
      <w:sz w:val="24"/>
      <w:szCs w:val="20"/>
    </w:rPr>
  </w:style>
  <w:style w:type="paragraph" w:styleId="1347" w:customStyle="1">
    <w:name w:val="标书3"/>
    <w:next w:val="1265"/>
    <w:uiPriority w:val="0"/>
    <w:qFormat/>
    <w:pPr>
      <w:jc w:val="center"/>
      <w:widowControl w:val="off"/>
    </w:pPr>
    <w:rPr>
      <w:rFonts w:hint="default" w:ascii="Times New Roman" w:hAnsi="Times New Roman" w:eastAsia="黑体" w:cs="Times New Roman"/>
      <w:b/>
      <w:sz w:val="44"/>
      <w:szCs w:val="24"/>
      <w:lang w:eastAsia="zh-CN"/>
    </w:rPr>
  </w:style>
  <w:style w:type="paragraph" w:styleId="1348" w:customStyle="1">
    <w:name w:val="首页小标题"/>
    <w:next w:val="1325"/>
    <w:uiPriority w:val="0"/>
    <w:qFormat/>
    <w:pPr>
      <w:jc w:val="center"/>
    </w:pPr>
    <w:rPr>
      <w:rFonts w:hint="default" w:ascii="Times New Roman" w:hAnsi="Times New Roman" w:eastAsia="宋体" w:cs="宋体"/>
      <w:sz w:val="44"/>
      <w:lang w:eastAsia="zh-CN"/>
    </w:rPr>
  </w:style>
  <w:style w:type="paragraph" w:styleId="1349" w:customStyle="1">
    <w:name w:val="新段落缩进"/>
    <w:basedOn w:val="866"/>
    <w:uiPriority w:val="0"/>
    <w:qFormat/>
    <w:pPr>
      <w:ind w:firstLine="200"/>
      <w:spacing w:line="400" w:lineRule="exact"/>
    </w:pPr>
    <w:rPr>
      <w:rFonts w:ascii="仿宋_GB2312" w:eastAsia="仿宋_GB2312"/>
      <w:sz w:val="24"/>
    </w:rPr>
  </w:style>
  <w:style w:type="paragraph" w:styleId="1350" w:customStyle="1">
    <w:name w:val="pa-2"/>
    <w:basedOn w:val="866"/>
    <w:uiPriority w:val="0"/>
    <w:qFormat/>
    <w:pPr>
      <w:spacing w:line="360" w:lineRule="atLeast"/>
      <w:widowControl/>
    </w:pPr>
    <w:rPr>
      <w:rFonts w:ascii="宋体" w:cs="宋体"/>
      <w:sz w:val="24"/>
    </w:rPr>
  </w:style>
  <w:style w:type="paragraph" w:styleId="1351" w:customStyle="1">
    <w:name w:val="四级条标题"/>
    <w:basedOn w:val="1295"/>
    <w:next w:val="1289"/>
    <w:uiPriority w:val="0"/>
    <w:qFormat/>
    <w:pPr>
      <w:ind w:left="0"/>
      <w:outlineLvl w:val="5"/>
    </w:pPr>
  </w:style>
  <w:style w:type="paragraph" w:styleId="1352" w:customStyle="1">
    <w:name w:val="保密事宜内容"/>
    <w:basedOn w:val="866"/>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3" w:customStyle="1">
    <w:name w:val="Char1 Char Char Char"/>
    <w:basedOn w:val="866"/>
    <w:uiPriority w:val="0"/>
    <w:qFormat/>
    <w:rPr>
      <w:szCs w:val="20"/>
    </w:rPr>
  </w:style>
  <w:style w:type="paragraph" w:styleId="1354" w:customStyle="1">
    <w:name w:val="正文 + 宋体"/>
    <w:basedOn w:val="866"/>
    <w:uiPriority w:val="0"/>
    <w:qFormat/>
    <w:pPr>
      <w:ind w:firstLine="250"/>
    </w:pPr>
    <w:rPr>
      <w:rFonts w:ascii="宋体"/>
      <w:szCs w:val="21"/>
    </w:rPr>
  </w:style>
  <w:style w:type="paragraph" w:styleId="1355" w:customStyle="1">
    <w:name w:val="xl31"/>
    <w:basedOn w:val="866"/>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56" w:customStyle="1">
    <w:name w:val="pbody"/>
    <w:basedOn w:val="866"/>
    <w:uiPriority w:val="0"/>
    <w:qFormat/>
    <w:pPr>
      <w:jc w:val="left"/>
      <w:spacing w:before="100" w:beforeAutospacing="1" w:after="100" w:afterAutospacing="1" w:line="360" w:lineRule="auto"/>
      <w:widowControl/>
    </w:pPr>
    <w:rPr>
      <w:rFonts w:ascii="宋体" w:cs="宋体"/>
      <w:sz w:val="24"/>
    </w:rPr>
  </w:style>
  <w:style w:type="paragraph" w:styleId="1357" w:customStyle="1">
    <w:name w:val="xl42"/>
    <w:basedOn w:val="86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58" w:customStyle="1">
    <w:name w:val="txt"/>
    <w:basedOn w:val="866"/>
    <w:uiPriority w:val="0"/>
    <w:qFormat/>
    <w:pPr>
      <w:jc w:val="left"/>
      <w:spacing w:before="100" w:beforeAutospacing="1" w:after="100" w:afterAutospacing="1"/>
      <w:widowControl/>
    </w:pPr>
    <w:rPr>
      <w:rFonts w:ascii="宋体" w:cs="宋体"/>
      <w:sz w:val="24"/>
    </w:rPr>
  </w:style>
  <w:style w:type="paragraph" w:styleId="1359" w:customStyle="1">
    <w:name w:val="xl37"/>
    <w:basedOn w:val="86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60" w:customStyle="1">
    <w:name w:val="图表目录1"/>
    <w:uiPriority w:val="0"/>
    <w:qFormat/>
    <w:pPr>
      <w:ind w:left="840" w:hanging="420"/>
    </w:pPr>
    <w:rPr>
      <w:rFonts w:hint="default" w:ascii="Times New Roman" w:hAnsi="Times New Roman" w:eastAsia="宋体" w:cs="宋体"/>
      <w:sz w:val="21"/>
      <w:lang w:eastAsia="zh-CN"/>
    </w:rPr>
  </w:style>
  <w:style w:type="paragraph" w:styleId="1361" w:customStyle="1">
    <w:name w:val="样式 序号----------- + 仿宋_GB2312"/>
    <w:basedOn w:val="1334"/>
    <w:uiPriority w:val="0"/>
    <w:qFormat/>
    <w:pPr>
      <w:ind w:firstLine="200"/>
      <w:spacing w:line="360" w:lineRule="auto"/>
    </w:pPr>
    <w:rPr>
      <w:rFonts w:ascii="仿宋_GB2312" w:eastAsia="仿宋_GB2312"/>
      <w:bCs w:val="0"/>
    </w:rPr>
  </w:style>
  <w:style w:type="paragraph" w:styleId="1362" w:customStyle="1">
    <w:name w:val="xl41"/>
    <w:basedOn w:val="866"/>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363" w:customStyle="1">
    <w:name w:val="Char11"/>
    <w:basedOn w:val="866"/>
    <w:uiPriority w:val="0"/>
    <w:qFormat/>
    <w:rPr>
      <w:szCs w:val="21"/>
    </w:rPr>
  </w:style>
  <w:style w:type="paragraph" w:styleId="1364" w:customStyle="1">
    <w:name w:val="样式 序号----------- + 仿宋_GB23121"/>
    <w:basedOn w:val="1334"/>
    <w:uiPriority w:val="0"/>
    <w:qFormat/>
    <w:pPr>
      <w:spacing w:line="360" w:lineRule="auto"/>
    </w:pPr>
    <w:rPr>
      <w:rFonts w:ascii="仿宋_GB2312" w:eastAsia="仿宋_GB2312"/>
      <w:bCs w:val="0"/>
    </w:rPr>
  </w:style>
  <w:style w:type="paragraph" w:styleId="1365" w:customStyle="1">
    <w:name w:val="pa-9"/>
    <w:basedOn w:val="866"/>
    <w:uiPriority w:val="0"/>
    <w:qFormat/>
    <w:pPr>
      <w:jc w:val="center"/>
      <w:spacing w:line="360" w:lineRule="atLeast"/>
      <w:widowControl/>
    </w:pPr>
    <w:rPr>
      <w:rFonts w:ascii="宋体" w:cs="宋体"/>
      <w:sz w:val="24"/>
    </w:rPr>
  </w:style>
  <w:style w:type="paragraph" w:styleId="1366" w:customStyle="1">
    <w:name w:val="pa-3"/>
    <w:basedOn w:val="866"/>
    <w:uiPriority w:val="0"/>
    <w:qFormat/>
    <w:pPr>
      <w:jc w:val="left"/>
      <w:spacing w:before="150" w:after="150"/>
      <w:widowControl/>
    </w:pPr>
    <w:rPr>
      <w:rFonts w:ascii="宋体" w:cs="宋体"/>
      <w:sz w:val="24"/>
    </w:rPr>
  </w:style>
  <w:style w:type="paragraph" w:styleId="1367" w:customStyle="1">
    <w:name w:val="pa-5"/>
    <w:basedOn w:val="866"/>
    <w:uiPriority w:val="0"/>
    <w:qFormat/>
    <w:pPr>
      <w:spacing w:line="280" w:lineRule="atLeast"/>
      <w:widowControl/>
    </w:pPr>
    <w:rPr>
      <w:rFonts w:ascii="宋体" w:cs="宋体"/>
      <w:sz w:val="24"/>
    </w:rPr>
  </w:style>
  <w:style w:type="paragraph" w:styleId="1368" w:customStyle="1">
    <w:name w:val="xl39"/>
    <w:basedOn w:val="866"/>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69" w:customStyle="1">
    <w:name w:val="font9"/>
    <w:basedOn w:val="866"/>
    <w:uiPriority w:val="0"/>
    <w:qFormat/>
    <w:pPr>
      <w:jc w:val="left"/>
      <w:spacing w:before="100" w:beforeAutospacing="1" w:after="100" w:afterAutospacing="1"/>
      <w:widowControl/>
    </w:pPr>
    <w:rPr>
      <w:rFonts w:ascii="宋体"/>
      <w:color w:val="000000"/>
      <w:sz w:val="18"/>
      <w:szCs w:val="18"/>
    </w:rPr>
  </w:style>
  <w:style w:type="paragraph" w:styleId="1370" w:customStyle="1">
    <w:name w:val="p0"/>
    <w:basedOn w:val="866"/>
    <w:uiPriority w:val="0"/>
    <w:qFormat/>
    <w:pPr>
      <w:widowControl/>
    </w:pPr>
    <w:rPr>
      <w:szCs w:val="21"/>
    </w:rPr>
  </w:style>
  <w:style w:type="paragraph" w:styleId="1371" w:customStyle="1">
    <w:name w:val="封面标准名称"/>
    <w:uiPriority w:val="0"/>
    <w:qFormat/>
    <w:pPr>
      <w:jc w:val="center"/>
      <w:spacing w:line="680" w:lineRule="exact"/>
      <w:widowControl w:val="off"/>
    </w:pPr>
    <w:rPr>
      <w:rFonts w:hint="default" w:ascii="黑体" w:hAnsi="Times New Roman" w:eastAsia="黑体" w:cs="Times New Roman"/>
      <w:sz w:val="52"/>
      <w:lang w:eastAsia="zh-CN"/>
    </w:rPr>
  </w:style>
  <w:style w:type="paragraph" w:styleId="1372" w:customStyle="1">
    <w:name w:val="表格正文"/>
    <w:basedOn w:val="866"/>
    <w:uiPriority w:val="0"/>
    <w:qFormat/>
    <w:pPr>
      <w:spacing w:line="300" w:lineRule="auto"/>
      <w:tabs>
        <w:tab w:val="left" w:pos="420" w:leader="none"/>
      </w:tabs>
    </w:pPr>
  </w:style>
  <w:style w:type="paragraph" w:styleId="1373" w:customStyle="1">
    <w:name w:val="首页标题小初"/>
    <w:uiPriority w:val="0"/>
    <w:qFormat/>
    <w:pPr>
      <w:jc w:val="center"/>
    </w:pPr>
    <w:rPr>
      <w:rFonts w:hint="default" w:ascii="黑体" w:hAnsi="Times New Roman" w:eastAsia="黑体" w:cs="宋体"/>
      <w:sz w:val="72"/>
      <w:lang w:eastAsia="zh-CN"/>
    </w:rPr>
  </w:style>
  <w:style w:type="paragraph" w:styleId="1374" w:customStyle="1">
    <w:name w:val="五级条标题"/>
    <w:basedOn w:val="1351"/>
    <w:next w:val="1289"/>
    <w:uiPriority w:val="0"/>
    <w:qFormat/>
    <w:pPr>
      <w:outlineLvl w:val="6"/>
    </w:pPr>
  </w:style>
  <w:style w:type="paragraph" w:styleId="1375" w:customStyle="1">
    <w:name w:val="Char Char Char Char Char Char Char1"/>
    <w:basedOn w:val="866"/>
    <w:uiPriority w:val="0"/>
    <w:qFormat/>
    <w:pPr>
      <w:jc w:val="left"/>
      <w:spacing w:after="160" w:line="240" w:lineRule="exact"/>
      <w:widowControl/>
    </w:pPr>
    <w:rPr>
      <w:rFonts w:ascii="Verdana" w:hAnsi="Verdana"/>
      <w:sz w:val="20"/>
      <w:szCs w:val="20"/>
      <w:lang w:eastAsia="en-US"/>
    </w:rPr>
  </w:style>
  <w:style w:type="paragraph" w:styleId="1376" w:customStyle="1">
    <w:name w:val="ibm-list-next"/>
    <w:basedOn w:val="866"/>
    <w:uiPriority w:val="0"/>
    <w:qFormat/>
    <w:pPr>
      <w:jc w:val="left"/>
      <w:spacing w:before="100" w:beforeAutospacing="1" w:after="100" w:afterAutospacing="1"/>
      <w:widowControl/>
    </w:pPr>
    <w:rPr>
      <w:rFonts w:ascii="宋体" w:cs="宋体"/>
      <w:sz w:val="24"/>
    </w:rPr>
  </w:style>
  <w:style w:type="paragraph" w:styleId="1377" w:customStyle="1">
    <w:name w:val="首页标题 一号"/>
    <w:basedOn w:val="1373"/>
    <w:uiPriority w:val="0"/>
    <w:qFormat/>
    <w:rPr>
      <w:sz w:val="52"/>
    </w:rPr>
  </w:style>
  <w:style w:type="paragraph" w:styleId="1378" w:customStyle="1">
    <w:name w:val="Char Char Char Char Char Char Char Char Char Char2"/>
    <w:basedOn w:val="866"/>
    <w:uiPriority w:val="0"/>
    <w:qFormat/>
    <w:rPr>
      <w:rFonts w:ascii="Tahoma" w:hAnsi="Tahoma"/>
      <w:sz w:val="24"/>
      <w:szCs w:val="20"/>
    </w:rPr>
  </w:style>
  <w:style w:type="paragraph" w:styleId="1379" w:customStyle="1">
    <w:name w:val="正文（编号）"/>
    <w:basedOn w:val="1252"/>
    <w:link w:val="1380"/>
    <w:uiPriority w:val="0"/>
    <w:qFormat/>
    <w:pPr>
      <w:ind w:left="720" w:firstLine="0"/>
      <w:tabs>
        <w:tab w:val="left" w:pos="720" w:leader="none"/>
        <w:tab w:val="left" w:pos="780" w:leader="none"/>
      </w:tabs>
    </w:pPr>
    <w:rPr>
      <w:rFonts w:ascii="Times New Roman" w:hAnsi="Times New Roman"/>
      <w:szCs w:val="24"/>
    </w:rPr>
  </w:style>
  <w:style w:type="character" w:styleId="1380" w:customStyle="1">
    <w:name w:val="正文（编号） Char Char"/>
    <w:link w:val="1379"/>
    <w:uiPriority w:val="0"/>
    <w:qFormat/>
    <w:rPr>
      <w:rFonts w:ascii="Times New Roman" w:hAnsi="Times New Roman"/>
      <w:sz w:val="24"/>
      <w:szCs w:val="24"/>
    </w:rPr>
  </w:style>
  <w:style w:type="paragraph" w:styleId="1381" w:customStyle="1">
    <w:name w:val="表格"/>
    <w:basedOn w:val="866"/>
    <w:uiPriority w:val="0"/>
    <w:qFormat/>
    <w:pPr>
      <w:ind w:firstLine="21"/>
    </w:pPr>
    <w:rPr>
      <w:rFonts w:ascii="宋体"/>
      <w:szCs w:val="20"/>
    </w:rPr>
  </w:style>
  <w:style w:type="character" w:styleId="1382" w:customStyle="1">
    <w:name w:val="正文（缩进） Char Char"/>
    <w:uiPriority w:val="0"/>
    <w:qFormat/>
    <w:rPr>
      <w:rFonts w:eastAsia="宋体"/>
      <w:sz w:val="24"/>
      <w:szCs w:val="24"/>
      <w:lang w:val="en-US" w:eastAsia="zh-CN" w:bidi="ar-SA"/>
    </w:rPr>
  </w:style>
  <w:style w:type="paragraph" w:styleId="1383" w:customStyle="1">
    <w:name w:val="Char Char Char1"/>
    <w:basedOn w:val="866"/>
    <w:uiPriority w:val="0"/>
    <w:qFormat/>
    <w:rPr>
      <w:szCs w:val="21"/>
    </w:rPr>
  </w:style>
  <w:style w:type="paragraph" w:styleId="1384" w:customStyle="1">
    <w:name w:val="样式 正文2 + 首行缩进:  0 厘米 段后: 1.5 行"/>
    <w:basedOn w:val="866"/>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385" w:customStyle="1">
    <w:name w:val="表中文字"/>
    <w:basedOn w:val="866"/>
    <w:uiPriority w:val="0"/>
    <w:qFormat/>
    <w:pPr>
      <w:widowControl/>
    </w:pPr>
    <w:rPr>
      <w:szCs w:val="20"/>
    </w:rPr>
  </w:style>
  <w:style w:type="character" w:styleId="1386" w:customStyle="1">
    <w:name w:val="z1"/>
    <w:uiPriority w:val="0"/>
    <w:qFormat/>
  </w:style>
  <w:style w:type="paragraph" w:styleId="1387" w:customStyle="1">
    <w:name w:val="a1"/>
    <w:basedOn w:val="866"/>
    <w:uiPriority w:val="0"/>
    <w:qFormat/>
    <w:pPr>
      <w:jc w:val="left"/>
      <w:spacing w:before="100" w:beforeAutospacing="1" w:after="100" w:afterAutospacing="1"/>
      <w:widowControl/>
    </w:pPr>
    <w:rPr>
      <w:rFonts w:ascii="宋体"/>
      <w:sz w:val="24"/>
    </w:rPr>
  </w:style>
  <w:style w:type="paragraph" w:styleId="1388" w:customStyle="1">
    <w:name w:val="a0"/>
    <w:basedOn w:val="866"/>
    <w:uiPriority w:val="0"/>
    <w:qFormat/>
    <w:pPr>
      <w:jc w:val="left"/>
      <w:spacing w:before="100" w:beforeAutospacing="1" w:after="100" w:afterAutospacing="1"/>
      <w:widowControl/>
    </w:pPr>
    <w:rPr>
      <w:rFonts w:ascii="宋体"/>
      <w:sz w:val="24"/>
    </w:rPr>
  </w:style>
  <w:style w:type="paragraph" w:styleId="1389" w:customStyle="1">
    <w:name w:val="tabletext"/>
    <w:basedOn w:val="866"/>
    <w:uiPriority w:val="0"/>
    <w:qFormat/>
    <w:pPr>
      <w:jc w:val="left"/>
      <w:spacing w:before="100" w:beforeAutospacing="1" w:after="100" w:afterAutospacing="1"/>
      <w:widowControl/>
    </w:pPr>
    <w:rPr>
      <w:rFonts w:ascii="宋体"/>
      <w:sz w:val="24"/>
    </w:rPr>
  </w:style>
  <w:style w:type="paragraph" w:styleId="1390" w:customStyle="1">
    <w:name w:val="我的样式"/>
    <w:basedOn w:val="866"/>
    <w:uiPriority w:val="0"/>
    <w:qFormat/>
    <w:pPr>
      <w:ind w:firstLine="420"/>
      <w:jc w:val="left"/>
      <w:spacing w:after="120"/>
      <w:widowControl/>
    </w:pPr>
    <w:rPr>
      <w:rFonts w:ascii="宋体"/>
      <w:color w:val="000000"/>
      <w:sz w:val="24"/>
      <w:szCs w:val="16"/>
    </w:rPr>
  </w:style>
  <w:style w:type="paragraph" w:styleId="1391" w:customStyle="1">
    <w:name w:val="Figure and Table Title"/>
    <w:basedOn w:val="866"/>
    <w:uiPriority w:val="0"/>
    <w:qFormat/>
    <w:pPr>
      <w:ind w:left="2160"/>
      <w:jc w:val="left"/>
      <w:widowControl/>
    </w:pPr>
    <w:rPr>
      <w:rFonts w:ascii="Helvetica-Light" w:hAnsi="Helvetica-Light"/>
      <w:b/>
      <w:bCs/>
      <w:sz w:val="20"/>
      <w:lang w:eastAsia="en-US"/>
    </w:rPr>
  </w:style>
  <w:style w:type="paragraph" w:styleId="1392" w:customStyle="1">
    <w:name w:val="Table Text/Title"/>
    <w:basedOn w:val="866"/>
    <w:uiPriority w:val="0"/>
    <w:qFormat/>
    <w:pPr>
      <w:jc w:val="left"/>
      <w:widowControl/>
    </w:pPr>
    <w:rPr>
      <w:rFonts w:ascii="宋体"/>
      <w:b/>
      <w:bCs/>
      <w:sz w:val="20"/>
      <w:szCs w:val="20"/>
      <w:lang w:eastAsia="en-US"/>
    </w:rPr>
  </w:style>
  <w:style w:type="paragraph" w:styleId="1393" w:customStyle="1">
    <w:name w:val="Sourcetext bullet"/>
    <w:basedOn w:val="866"/>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94" w:customStyle="1">
    <w:name w:val="无标题正文 Char Char Char Char Char Char Char Char Char Char Char Char Char Char Char Char Char Char Char Char Char Char Char Char Char Char Char1 Char"/>
    <w:basedOn w:val="866"/>
    <w:uiPriority w:val="0"/>
    <w:qFormat/>
    <w:pPr>
      <w:jc w:val="center"/>
      <w:spacing w:after="160" w:line="240" w:lineRule="exact"/>
      <w:widowControl/>
    </w:pPr>
    <w:rPr>
      <w:rFonts w:ascii="Arial" w:hAnsi="Arial"/>
      <w:sz w:val="20"/>
      <w:szCs w:val="20"/>
      <w:lang w:eastAsia="en-US"/>
    </w:rPr>
  </w:style>
  <w:style w:type="character" w:styleId="1395" w:customStyle="1">
    <w:name w:val="style91"/>
    <w:uiPriority w:val="0"/>
    <w:qFormat/>
    <w:rPr>
      <w:color w:val="2060c0"/>
      <w:sz w:val="24"/>
      <w:szCs w:val="24"/>
    </w:rPr>
  </w:style>
  <w:style w:type="paragraph" w:styleId="1396" w:customStyle="1">
    <w:name w:val="标准小四"/>
    <w:basedOn w:val="866"/>
    <w:uiPriority w:val="0"/>
    <w:qFormat/>
    <w:pPr>
      <w:ind w:firstLine="200"/>
      <w:spacing w:line="360" w:lineRule="auto"/>
    </w:pPr>
    <w:rPr>
      <w:rFonts w:ascii="Arial" w:hAnsi="Arial"/>
      <w:sz w:val="24"/>
      <w:szCs w:val="21"/>
    </w:rPr>
  </w:style>
  <w:style w:type="paragraph" w:styleId="1397" w:customStyle="1">
    <w:name w:val="样式 正文首行缩进 + 宋体 首行缩进:  0.74 厘米"/>
    <w:basedOn w:val="1136"/>
    <w:uiPriority w:val="0"/>
    <w:qFormat/>
    <w:pPr>
      <w:ind w:firstLine="210"/>
      <w:spacing w:before="120" w:line="380" w:lineRule="exact"/>
    </w:pPr>
    <w:rPr>
      <w:rFonts w:ascii="宋体" w:eastAsia="宋体" w:cs="宋体"/>
      <w:sz w:val="24"/>
      <w:szCs w:val="20"/>
    </w:rPr>
  </w:style>
  <w:style w:type="paragraph" w:styleId="1398" w:customStyle="1">
    <w:name w:val="默认段落字体 Para Char Char Char Char Char Char Char Char Char1"/>
    <w:basedOn w:val="866"/>
    <w:uiPriority w:val="0"/>
    <w:qFormat/>
    <w:rPr>
      <w:rFonts w:ascii="Tahoma" w:hAnsi="Tahoma"/>
      <w:sz w:val="24"/>
      <w:szCs w:val="20"/>
    </w:rPr>
  </w:style>
  <w:style w:type="paragraph" w:styleId="1399" w:customStyle="1">
    <w:name w:val="正文小四"/>
    <w:basedOn w:val="866"/>
    <w:uiPriority w:val="0"/>
    <w:qFormat/>
    <w:pPr>
      <w:spacing w:line="312" w:lineRule="auto"/>
    </w:pPr>
    <w:rPr>
      <w:sz w:val="24"/>
    </w:rPr>
  </w:style>
  <w:style w:type="paragraph" w:styleId="1400" w:customStyle="1">
    <w:name w:val="ul"/>
    <w:basedOn w:val="866"/>
    <w:uiPriority w:val="0"/>
    <w:qFormat/>
    <w:pPr>
      <w:numPr>
        <w:ilvl w:val="0"/>
        <w:numId w:val="1"/>
      </w:numPr>
      <w:ind w:left="567" w:hanging="85"/>
      <w:jc w:val="left"/>
      <w:spacing w:line="360" w:lineRule="auto"/>
      <w:widowControl/>
      <w:tabs>
        <w:tab w:val="left" w:pos="842" w:leader="none"/>
      </w:tabs>
    </w:pPr>
    <w:rPr>
      <w:sz w:val="24"/>
    </w:rPr>
  </w:style>
  <w:style w:type="paragraph" w:styleId="1401" w:customStyle="1">
    <w:name w:val="Bullet"/>
    <w:basedOn w:val="866"/>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402" w:customStyle="1">
    <w:name w:val="正文（首行缩进）"/>
    <w:basedOn w:val="866"/>
    <w:uiPriority w:val="0"/>
    <w:qFormat/>
    <w:pPr>
      <w:ind w:firstLine="482"/>
      <w:spacing w:before="120" w:line="360" w:lineRule="auto"/>
      <w:widowControl/>
    </w:pPr>
    <w:rPr>
      <w:sz w:val="24"/>
      <w:szCs w:val="20"/>
    </w:rPr>
  </w:style>
  <w:style w:type="character" w:styleId="1403" w:customStyle="1">
    <w:name w:val="style161"/>
    <w:uiPriority w:val="0"/>
    <w:qFormat/>
    <w:rPr>
      <w:rFonts w:ascii="Verdana" w:hAnsi="Verdana" w:eastAsia="宋体"/>
      <w:b/>
      <w:color w:val="0a246a"/>
      <w:sz w:val="24"/>
      <w:szCs w:val="24"/>
      <w:lang w:val="en-US" w:eastAsia="zh-CN" w:bidi="ar-SA"/>
    </w:rPr>
  </w:style>
  <w:style w:type="paragraph" w:styleId="1404" w:customStyle="1">
    <w:name w:val="正文（首行缩进两字）"/>
    <w:basedOn w:val="866"/>
    <w:uiPriority w:val="0"/>
    <w:qFormat/>
    <w:pPr>
      <w:spacing w:line="312" w:lineRule="auto"/>
    </w:pPr>
    <w:rPr>
      <w:rFonts w:ascii="宋体" w:cs="宋体"/>
      <w:sz w:val="24"/>
    </w:rPr>
  </w:style>
  <w:style w:type="paragraph" w:styleId="1405" w:customStyle="1">
    <w:name w:val="正文文字缩进 3"/>
    <w:basedOn w:val="866"/>
    <w:uiPriority w:val="0"/>
    <w:qFormat/>
    <w:pPr>
      <w:ind w:left="420" w:firstLine="420"/>
      <w:spacing w:line="312" w:lineRule="auto"/>
    </w:pPr>
    <w:rPr>
      <w:rFonts w:ascii="黑体" w:hAnsi="黑体" w:cs="宋体"/>
      <w:bCs/>
      <w:color w:val="000000"/>
      <w:sz w:val="24"/>
    </w:rPr>
  </w:style>
  <w:style w:type="paragraph" w:styleId="1406" w:customStyle="1">
    <w:name w:val="技术方案3"/>
    <w:basedOn w:val="866"/>
    <w:uiPriority w:val="0"/>
    <w:qFormat/>
    <w:pPr>
      <w:spacing w:line="360" w:lineRule="auto"/>
    </w:pPr>
    <w:rPr>
      <w:rFonts w:ascii="宋体"/>
      <w:b/>
      <w:bCs/>
      <w:sz w:val="32"/>
    </w:rPr>
  </w:style>
  <w:style w:type="paragraph" w:styleId="1407" w:customStyle="1">
    <w:name w:val="技术方案2"/>
    <w:basedOn w:val="866"/>
    <w:uiPriority w:val="0"/>
    <w:qFormat/>
    <w:pPr>
      <w:spacing w:line="480" w:lineRule="auto"/>
    </w:pPr>
    <w:rPr>
      <w:rFonts w:ascii="宋体"/>
      <w:b/>
      <w:bCs/>
      <w:sz w:val="36"/>
    </w:rPr>
  </w:style>
  <w:style w:type="paragraph" w:styleId="1408" w:customStyle="1">
    <w:name w:val="技术方案正文"/>
    <w:basedOn w:val="866"/>
    <w:uiPriority w:val="0"/>
    <w:qFormat/>
    <w:pPr>
      <w:ind w:firstLine="480"/>
      <w:spacing w:line="360" w:lineRule="auto"/>
    </w:pPr>
    <w:rPr>
      <w:rFonts w:ascii="宋体"/>
      <w:sz w:val="24"/>
    </w:rPr>
  </w:style>
  <w:style w:type="paragraph" w:styleId="1409" w:customStyle="1">
    <w:name w:val="Default"/>
    <w:uiPriority w:val="0"/>
    <w:qFormat/>
    <w:pPr>
      <w:widowControl w:val="off"/>
    </w:pPr>
    <w:rPr>
      <w:rFonts w:hint="default" w:ascii="宋体" w:hAnsi="Times New Roman" w:eastAsia="宋体" w:cs="宋体"/>
      <w:color w:val="000000"/>
      <w:sz w:val="24"/>
      <w:szCs w:val="24"/>
      <w:lang w:eastAsia="zh-CN"/>
    </w:rPr>
  </w:style>
  <w:style w:type="paragraph" w:styleId="1410" w:customStyle="1">
    <w:name w:val="Normal Paragraph"/>
    <w:basedOn w:val="866"/>
    <w:uiPriority w:val="0"/>
    <w:qFormat/>
    <w:pPr>
      <w:ind w:firstLine="425"/>
      <w:spacing w:before="120" w:line="360" w:lineRule="auto"/>
      <w:widowControl/>
    </w:pPr>
    <w:rPr>
      <w:sz w:val="24"/>
      <w:szCs w:val="20"/>
    </w:rPr>
  </w:style>
  <w:style w:type="paragraph" w:styleId="1411" w:customStyle="1">
    <w:name w:val="Normal Paragraph Char"/>
    <w:basedOn w:val="866"/>
    <w:uiPriority w:val="0"/>
    <w:qFormat/>
    <w:pPr>
      <w:ind w:firstLine="425"/>
      <w:spacing w:before="120" w:line="360" w:lineRule="auto"/>
      <w:widowControl/>
    </w:pPr>
    <w:rPr>
      <w:sz w:val="24"/>
    </w:rPr>
  </w:style>
  <w:style w:type="paragraph" w:styleId="1412" w:customStyle="1">
    <w:name w:val="文档正文"/>
    <w:basedOn w:val="866"/>
    <w:uiPriority w:val="0"/>
    <w:qFormat/>
    <w:rPr>
      <w:rFonts w:ascii="宋体"/>
      <w:szCs w:val="20"/>
    </w:rPr>
  </w:style>
  <w:style w:type="paragraph" w:styleId="1413" w:customStyle="1">
    <w:name w:val="默认段落字体 Para Char Char Char Char Char"/>
    <w:basedOn w:val="866"/>
    <w:uiPriority w:val="0"/>
    <w:qFormat/>
    <w:pPr>
      <w:ind w:firstLine="200"/>
      <w:jc w:val="left"/>
      <w:spacing w:before="100" w:beforeAutospacing="1" w:after="100" w:afterAutospacing="1" w:line="360" w:lineRule="auto"/>
    </w:pPr>
    <w:rPr>
      <w:rFonts w:ascii="Arial" w:hAnsi="Arial"/>
      <w:sz w:val="24"/>
      <w:lang w:eastAsia="en-US"/>
    </w:rPr>
  </w:style>
  <w:style w:type="paragraph" w:styleId="1414" w:customStyle="1">
    <w:name w:val="标题2"/>
    <w:basedOn w:val="866"/>
    <w:uiPriority w:val="0"/>
    <w:qFormat/>
    <w:pPr>
      <w:tabs>
        <w:tab w:val="left" w:pos="0" w:leader="none"/>
      </w:tabs>
    </w:pPr>
    <w:rPr>
      <w:rFonts w:ascii="黑体" w:eastAsia="黑体"/>
      <w:sz w:val="24"/>
    </w:rPr>
  </w:style>
  <w:style w:type="paragraph" w:styleId="1415" w:customStyle="1">
    <w:name w:val="Char Char Char Char Char Char Char Char Char Char Char Char Char1"/>
    <w:basedOn w:val="866"/>
    <w:uiPriority w:val="0"/>
    <w:qFormat/>
    <w:pPr>
      <w:jc w:val="left"/>
      <w:spacing w:after="160" w:line="240" w:lineRule="exact"/>
      <w:widowControl/>
    </w:pPr>
    <w:rPr>
      <w:rFonts w:ascii="Arial" w:hAnsi="Arial" w:eastAsia="Times New Roman" w:cs="Verdana"/>
      <w:b/>
      <w:sz w:val="24"/>
      <w:szCs w:val="32"/>
      <w:lang w:eastAsia="en-US"/>
    </w:rPr>
  </w:style>
  <w:style w:type="paragraph" w:styleId="1416" w:customStyle="1">
    <w:name w:val="样式2"/>
    <w:basedOn w:val="1086"/>
    <w:uiPriority w:val="0"/>
    <w:qFormat/>
    <w:pPr>
      <w:spacing w:line="415" w:lineRule="auto"/>
    </w:pPr>
    <w:rPr>
      <w:rFonts w:ascii="Calibri" w:hAnsi="Calibri"/>
      <w:sz w:val="28"/>
      <w:szCs w:val="28"/>
    </w:rPr>
  </w:style>
  <w:style w:type="paragraph" w:styleId="1417" w:customStyle="1">
    <w:name w:val="样式3"/>
    <w:basedOn w:val="1086"/>
    <w:uiPriority w:val="0"/>
    <w:qFormat/>
    <w:pPr>
      <w:spacing w:line="415" w:lineRule="auto"/>
    </w:pPr>
    <w:rPr>
      <w:rFonts w:ascii="Calibri" w:hAnsi="Calibri"/>
      <w:sz w:val="28"/>
      <w:szCs w:val="28"/>
    </w:rPr>
  </w:style>
  <w:style w:type="paragraph" w:styleId="1418" w:customStyle="1">
    <w:name w:val="样式4"/>
    <w:basedOn w:val="1086"/>
    <w:uiPriority w:val="0"/>
    <w:qFormat/>
    <w:pPr>
      <w:spacing w:line="415" w:lineRule="auto"/>
    </w:pPr>
    <w:rPr>
      <w:rFonts w:ascii="Calibri" w:hAnsi="Calibri"/>
      <w:sz w:val="28"/>
      <w:szCs w:val="28"/>
    </w:rPr>
  </w:style>
  <w:style w:type="paragraph" w:styleId="1419" w:customStyle="1">
    <w:name w:val="样式5"/>
    <w:basedOn w:val="1086"/>
    <w:uiPriority w:val="0"/>
    <w:qFormat/>
    <w:pPr>
      <w:spacing w:line="415" w:lineRule="auto"/>
    </w:pPr>
    <w:rPr>
      <w:rFonts w:ascii="Calibri" w:hAnsi="Calibri"/>
      <w:sz w:val="28"/>
      <w:szCs w:val="28"/>
    </w:rPr>
  </w:style>
  <w:style w:type="paragraph" w:styleId="1420" w:customStyle="1">
    <w:name w:val="样式6"/>
    <w:basedOn w:val="1165"/>
    <w:uiPriority w:val="0"/>
    <w:qFormat/>
    <w:pPr>
      <w:numPr>
        <w:ilvl w:val="0"/>
        <w:numId w:val="0"/>
      </w:numPr>
      <w:keepLines/>
      <w:keepNext/>
      <w:spacing w:before="260" w:after="260" w:line="415" w:lineRule="auto"/>
      <w:tabs>
        <w:tab w:val="left" w:pos="0" w:leader="none"/>
        <w:tab w:val="clear" w:pos="709" w:leader="none"/>
      </w:tabs>
      <w:outlineLvl w:val="1"/>
    </w:pPr>
    <w:rPr>
      <w:rFonts w:ascii="Times New Roman" w:hAnsi="Times New Roman"/>
      <w:b/>
      <w:bCs/>
      <w:sz w:val="32"/>
      <w:szCs w:val="32"/>
    </w:rPr>
  </w:style>
  <w:style w:type="paragraph" w:styleId="1421" w:customStyle="1">
    <w:name w:val="大汉方案正文 Char"/>
    <w:basedOn w:val="866"/>
    <w:uiPriority w:val="0"/>
    <w:qFormat/>
    <w:pPr>
      <w:ind w:firstLine="200"/>
      <w:spacing w:line="360" w:lineRule="auto"/>
    </w:pPr>
    <w:rPr>
      <w:rFonts w:ascii="Arial" w:hAnsi="Arial"/>
      <w:sz w:val="24"/>
    </w:rPr>
  </w:style>
  <w:style w:type="character" w:styleId="1422" w:customStyle="1">
    <w:name w:val="标题 2 Char Char Char"/>
    <w:uiPriority w:val="0"/>
    <w:qFormat/>
    <w:rPr>
      <w:rFonts w:ascii="Arial" w:hAnsi="Arial" w:eastAsia="宋体" w:cs="Arial"/>
      <w:b/>
      <w:bCs/>
      <w:i/>
      <w:iCs/>
      <w:sz w:val="28"/>
      <w:szCs w:val="28"/>
      <w:lang w:val="en-US" w:eastAsia="zh-CN" w:bidi="ar-SA"/>
    </w:rPr>
  </w:style>
  <w:style w:type="character" w:styleId="1423" w:customStyle="1">
    <w:name w:val="question-title"/>
    <w:uiPriority w:val="0"/>
    <w:qFormat/>
  </w:style>
  <w:style w:type="paragraph" w:styleId="1424" w:customStyle="1">
    <w:name w:val="说明书2级标题"/>
    <w:basedOn w:val="866"/>
    <w:next w:val="1425"/>
    <w:uiPriority w:val="0"/>
    <w:qFormat/>
    <w:pPr>
      <w:numPr>
        <w:ilvl w:val="2"/>
        <w:numId w:val="2"/>
      </w:numPr>
      <w:spacing w:before="100"/>
      <w:tabs>
        <w:tab w:val="left" w:pos="1680" w:leader="none"/>
      </w:tabs>
    </w:pPr>
    <w:rPr>
      <w:rFonts w:eastAsia="黑体"/>
      <w:sz w:val="28"/>
      <w:szCs w:val="28"/>
    </w:rPr>
  </w:style>
  <w:style w:type="paragraph" w:styleId="1425" w:customStyle="1">
    <w:name w:val="说明书3级标题"/>
    <w:basedOn w:val="866"/>
    <w:next w:val="866"/>
    <w:uiPriority w:val="0"/>
    <w:qFormat/>
    <w:pPr>
      <w:numPr>
        <w:ilvl w:val="2"/>
        <w:numId w:val="3"/>
      </w:numPr>
      <w:spacing w:line="360" w:lineRule="auto"/>
      <w:tabs>
        <w:tab w:val="left" w:pos="0" w:leader="none"/>
      </w:tabs>
    </w:pPr>
    <w:rPr>
      <w:rFonts w:eastAsia="黑体"/>
      <w:sz w:val="24"/>
    </w:rPr>
  </w:style>
  <w:style w:type="character" w:styleId="1426" w:customStyle="1">
    <w:name w:val="style15"/>
    <w:uiPriority w:val="0"/>
    <w:qFormat/>
  </w:style>
  <w:style w:type="paragraph" w:styleId="1427" w:customStyle="1">
    <w:name w:val="列出段落[858D7CFB-ED40-4347-BF05-701D383B685F][858D7CFB-ED40-4347-BF05-701D383B685F]"/>
    <w:basedOn w:val="866"/>
    <w:uiPriority w:val="0"/>
    <w:qFormat/>
    <w:pPr>
      <w:ind w:firstLine="200"/>
    </w:pPr>
  </w:style>
  <w:style w:type="paragraph" w:styleId="1428" w:customStyle="1">
    <w:name w:val="默认段落字体 Para Char Char Char Char Char Char Char Char Char1 Char Char Char Char Char Char Char Char"/>
    <w:basedOn w:val="1103"/>
    <w:uiPriority w:val="0"/>
    <w:qFormat/>
    <w:rPr>
      <w:rFonts w:ascii="Calibri" w:hAnsi="Calibri"/>
      <w:szCs w:val="22"/>
    </w:rPr>
  </w:style>
  <w:style w:type="paragraph" w:styleId="1429" w:customStyle="1">
    <w:name w:val="style42"/>
    <w:basedOn w:val="866"/>
    <w:uiPriority w:val="0"/>
    <w:qFormat/>
    <w:pPr>
      <w:jc w:val="left"/>
      <w:spacing w:before="100" w:beforeAutospacing="1" w:after="100" w:afterAutospacing="1"/>
      <w:widowControl/>
    </w:pPr>
    <w:rPr>
      <w:rFonts w:ascii="宋体" w:cs="宋体"/>
      <w:color w:val="000000"/>
      <w:sz w:val="15"/>
      <w:szCs w:val="15"/>
    </w:rPr>
  </w:style>
  <w:style w:type="paragraph" w:styleId="1430" w:customStyle="1">
    <w:name w:val="Char Char1 Char Char Char Char Char Char Char Char"/>
    <w:basedOn w:val="866"/>
    <w:uiPriority w:val="0"/>
    <w:qFormat/>
    <w:pPr>
      <w:jc w:val="left"/>
      <w:spacing w:after="160" w:line="240" w:lineRule="exact"/>
      <w:widowControl/>
    </w:pPr>
  </w:style>
  <w:style w:type="paragraph" w:styleId="1431" w:customStyle="1">
    <w:name w:val="技术方案正文样式"/>
    <w:basedOn w:val="866"/>
    <w:uiPriority w:val="0"/>
    <w:qFormat/>
    <w:pPr>
      <w:ind w:firstLine="200"/>
      <w:spacing w:line="400" w:lineRule="exact"/>
    </w:pPr>
    <w:rPr>
      <w:rFonts w:ascii="宋体" w:cs="宋体"/>
      <w:sz w:val="24"/>
      <w:szCs w:val="21"/>
    </w:rPr>
  </w:style>
  <w:style w:type="paragraph" w:styleId="1432" w:customStyle="1">
    <w:name w:val="D&amp;L"/>
    <w:basedOn w:val="1124"/>
    <w:uiPriority w:val="0"/>
    <w:qFormat/>
    <w:pPr>
      <w:spacing w:line="240" w:lineRule="atLeast"/>
      <w:pBdr>
        <w:bottom w:val="single" w:color="000000" w:sz="18" w:space="1"/>
      </w:pBdr>
    </w:pPr>
    <w:rPr>
      <w:rFonts w:ascii="Calibri" w:hAnsi="Calibri"/>
      <w:sz w:val="24"/>
      <w:szCs w:val="20"/>
    </w:rPr>
  </w:style>
  <w:style w:type="paragraph" w:styleId="1433" w:customStyle="1">
    <w:name w:val="样式 标题 2 + Times New Roman 四号 非加粗 段前: 5 磅 段后: 0 磅 行距: 固定值 20..."/>
    <w:basedOn w:val="1082"/>
    <w:uiPriority w:val="0"/>
    <w:qFormat/>
    <w:pPr>
      <w:jc w:val="both"/>
      <w:spacing w:before="100" w:after="0" w:line="400" w:lineRule="exact"/>
    </w:pPr>
    <w:rPr>
      <w:rFonts w:ascii="Times New Roman" w:hAnsi="Times New Roman" w:eastAsia="黑体" w:cs="宋体"/>
      <w:b w:val="0"/>
      <w:bCs w:val="0"/>
      <w:sz w:val="28"/>
      <w:szCs w:val="20"/>
    </w:rPr>
  </w:style>
  <w:style w:type="paragraph" w:styleId="1434" w:customStyle="1">
    <w:name w:val="Char Char Char Char Char Char Char1 Char"/>
    <w:basedOn w:val="866"/>
    <w:uiPriority w:val="0"/>
    <w:qFormat/>
    <w:rPr>
      <w:rFonts w:ascii="Tahoma" w:hAnsi="Tahoma"/>
      <w:sz w:val="24"/>
      <w:szCs w:val="20"/>
    </w:rPr>
  </w:style>
  <w:style w:type="paragraph" w:styleId="1435" w:customStyle="1">
    <w:name w:val="TOC 标题2"/>
    <w:basedOn w:val="1080"/>
    <w:next w:val="866"/>
    <w:uiPriority w:val="39"/>
    <w:qFormat/>
    <w:pPr>
      <w:jc w:val="both"/>
      <w:keepLines/>
      <w:spacing w:before="480" w:line="276" w:lineRule="auto"/>
      <w:widowControl/>
      <w:outlineLvl w:val="9"/>
    </w:pPr>
    <w:rPr>
      <w:rFonts w:ascii="Cambria" w:hAnsi="Cambria" w:eastAsia="宋体"/>
      <w:b/>
      <w:color w:val="365f91"/>
      <w:szCs w:val="20"/>
    </w:rPr>
  </w:style>
  <w:style w:type="paragraph" w:styleId="1436" w:customStyle="1">
    <w:name w:val="Normal_0"/>
    <w:uiPriority w:val="0"/>
    <w:qFormat/>
    <w:rPr>
      <w:rFonts w:hint="default" w:ascii="黑体" w:hAnsi="黑体" w:eastAsia="黑体" w:cs="Times New Roman"/>
      <w:b/>
      <w:sz w:val="32"/>
      <w:szCs w:val="24"/>
      <w:lang w:eastAsia="zh-CN"/>
    </w:rPr>
  </w:style>
  <w:style w:type="paragraph" w:styleId="1437" w:customStyle="1">
    <w:name w:val="正文_0"/>
    <w:uiPriority w:val="0"/>
    <w:qFormat/>
    <w:pPr>
      <w:jc w:val="both"/>
      <w:widowControl w:val="off"/>
    </w:pPr>
    <w:rPr>
      <w:rFonts w:hint="default" w:ascii="Times New Roman" w:hAnsi="Times New Roman" w:eastAsia="宋体" w:cs="Times New Roman"/>
      <w:sz w:val="21"/>
      <w:szCs w:val="24"/>
      <w:lang w:eastAsia="zh-CN"/>
    </w:rPr>
  </w:style>
  <w:style w:type="paragraph" w:styleId="1438" w:customStyle="1">
    <w:name w:val="Normal_1"/>
    <w:uiPriority w:val="0"/>
    <w:qFormat/>
    <w:rPr>
      <w:rFonts w:hint="default" w:ascii="黑体" w:hAnsi="黑体" w:eastAsia="黑体" w:cs="Times New Roman"/>
      <w:b/>
      <w:sz w:val="32"/>
      <w:szCs w:val="24"/>
      <w:lang w:eastAsia="zh-CN"/>
    </w:rPr>
  </w:style>
  <w:style w:type="paragraph" w:styleId="1439" w:customStyle="1">
    <w:name w:val="正文_1_0"/>
    <w:uiPriority w:val="0"/>
    <w:qFormat/>
    <w:pPr>
      <w:jc w:val="both"/>
      <w:widowControl w:val="off"/>
    </w:pPr>
    <w:rPr>
      <w:rFonts w:hint="default" w:ascii="Times New Roman" w:hAnsi="Times New Roman" w:eastAsia="宋体" w:cs="Times New Roman"/>
      <w:sz w:val="21"/>
      <w:szCs w:val="24"/>
      <w:lang w:eastAsia="zh-CN"/>
    </w:rPr>
  </w:style>
  <w:style w:type="paragraph" w:styleId="1440" w:customStyle="1">
    <w:name w:val="正文_0_0"/>
    <w:uiPriority w:val="0"/>
    <w:qFormat/>
    <w:pPr>
      <w:jc w:val="both"/>
      <w:widowControl w:val="off"/>
    </w:pPr>
    <w:rPr>
      <w:rFonts w:hint="default" w:ascii="Times New Roman" w:hAnsi="Times New Roman" w:eastAsia="宋体" w:cs="Times New Roman"/>
      <w:sz w:val="21"/>
      <w:szCs w:val="24"/>
      <w:lang w:eastAsia="zh-CN"/>
    </w:rPr>
  </w:style>
  <w:style w:type="paragraph" w:styleId="1441" w:customStyle="1">
    <w:name w:val="正文_0_0_0"/>
    <w:uiPriority w:val="0"/>
    <w:qFormat/>
    <w:pPr>
      <w:jc w:val="both"/>
      <w:widowControl w:val="off"/>
    </w:pPr>
    <w:rPr>
      <w:rFonts w:hint="default" w:ascii="Times New Roman" w:hAnsi="Times New Roman" w:eastAsia="宋体" w:cs="Times New Roman"/>
      <w:sz w:val="21"/>
      <w:szCs w:val="24"/>
      <w:lang w:eastAsia="zh-CN"/>
    </w:rPr>
  </w:style>
  <w:style w:type="paragraph" w:styleId="1442" w:customStyle="1">
    <w:name w:val="Normal_2"/>
    <w:uiPriority w:val="0"/>
    <w:qFormat/>
    <w:rPr>
      <w:rFonts w:hint="default" w:ascii="黑体" w:hAnsi="黑体" w:eastAsia="黑体" w:cs="Times New Roman"/>
      <w:b/>
      <w:sz w:val="32"/>
      <w:szCs w:val="24"/>
      <w:lang w:eastAsia="zh-CN"/>
    </w:rPr>
  </w:style>
  <w:style w:type="paragraph" w:styleId="1443" w:customStyle="1">
    <w:name w:val="正文_1"/>
    <w:uiPriority w:val="0"/>
    <w:qFormat/>
    <w:pPr>
      <w:jc w:val="both"/>
      <w:widowControl w:val="off"/>
    </w:pPr>
    <w:rPr>
      <w:rFonts w:hint="default" w:ascii="Times New Roman" w:hAnsi="Times New Roman" w:eastAsia="宋体" w:cs="Times New Roman"/>
      <w:sz w:val="21"/>
      <w:szCs w:val="24"/>
      <w:lang w:eastAsia="zh-CN"/>
    </w:rPr>
  </w:style>
  <w:style w:type="paragraph" w:styleId="1444" w:customStyle="1">
    <w:name w:val="Normal_3"/>
    <w:uiPriority w:val="0"/>
    <w:qFormat/>
    <w:rPr>
      <w:rFonts w:hint="default" w:ascii="黑体" w:hAnsi="黑体" w:eastAsia="黑体" w:cs="Times New Roman"/>
      <w:b/>
      <w:sz w:val="32"/>
      <w:szCs w:val="24"/>
      <w:lang w:eastAsia="zh-CN"/>
    </w:rPr>
  </w:style>
  <w:style w:type="paragraph" w:styleId="1445" w:customStyle="1">
    <w:name w:val="Normal_4"/>
    <w:uiPriority w:val="0"/>
    <w:qFormat/>
    <w:rPr>
      <w:rFonts w:hint="default" w:ascii="黑体" w:hAnsi="黑体" w:eastAsia="黑体" w:cs="Times New Roman"/>
      <w:b/>
      <w:sz w:val="32"/>
      <w:szCs w:val="24"/>
      <w:lang w:eastAsia="zh-CN"/>
    </w:rPr>
  </w:style>
  <w:style w:type="paragraph" w:styleId="1446" w:customStyle="1">
    <w:name w:val="Normal_5"/>
    <w:uiPriority w:val="0"/>
    <w:qFormat/>
    <w:rPr>
      <w:rFonts w:hint="default" w:ascii="黑体" w:hAnsi="黑体" w:eastAsia="黑体" w:cs="Times New Roman"/>
      <w:b/>
      <w:sz w:val="32"/>
      <w:szCs w:val="24"/>
      <w:lang w:eastAsia="zh-CN"/>
    </w:rPr>
  </w:style>
  <w:style w:type="paragraph" w:styleId="1447" w:customStyle="1">
    <w:name w:val="正文_4"/>
    <w:uiPriority w:val="0"/>
    <w:qFormat/>
    <w:pPr>
      <w:jc w:val="both"/>
      <w:widowControl w:val="off"/>
    </w:pPr>
    <w:rPr>
      <w:rFonts w:hint="default" w:ascii="Times New Roman" w:hAnsi="Times New Roman" w:eastAsia="宋体" w:cs="Times New Roman"/>
      <w:sz w:val="21"/>
      <w:szCs w:val="24"/>
      <w:lang w:eastAsia="zh-CN"/>
    </w:rPr>
  </w:style>
  <w:style w:type="paragraph" w:styleId="1448" w:customStyle="1">
    <w:name w:val="Normal_6"/>
    <w:uiPriority w:val="0"/>
    <w:qFormat/>
    <w:rPr>
      <w:rFonts w:hint="default" w:ascii="黑体" w:hAnsi="黑体" w:eastAsia="黑体" w:cs="Times New Roman"/>
      <w:b/>
      <w:sz w:val="32"/>
      <w:szCs w:val="24"/>
      <w:lang w:eastAsia="zh-CN"/>
    </w:rPr>
  </w:style>
  <w:style w:type="paragraph" w:styleId="1449" w:customStyle="1">
    <w:name w:val="正文_5"/>
    <w:uiPriority w:val="0"/>
    <w:qFormat/>
    <w:pPr>
      <w:jc w:val="both"/>
      <w:widowControl w:val="off"/>
    </w:pPr>
    <w:rPr>
      <w:rFonts w:hint="default" w:ascii="Times New Roman" w:hAnsi="Times New Roman" w:eastAsia="宋体" w:cs="Times New Roman"/>
      <w:sz w:val="21"/>
      <w:lang w:eastAsia="zh-CN"/>
    </w:rPr>
  </w:style>
  <w:style w:type="paragraph" w:styleId="1450" w:customStyle="1">
    <w:name w:val="Normal_7"/>
    <w:uiPriority w:val="0"/>
    <w:qFormat/>
    <w:rPr>
      <w:rFonts w:hint="default" w:ascii="黑体" w:hAnsi="黑体" w:eastAsia="黑体" w:cs="Times New Roman"/>
      <w:b/>
      <w:sz w:val="32"/>
      <w:szCs w:val="24"/>
      <w:lang w:eastAsia="zh-CN"/>
    </w:rPr>
  </w:style>
  <w:style w:type="paragraph" w:styleId="1451" w:customStyle="1">
    <w:name w:val="Normal_8"/>
    <w:uiPriority w:val="0"/>
    <w:qFormat/>
    <w:rPr>
      <w:rFonts w:hint="default" w:ascii="Times New Roman" w:hAnsi="Times New Roman" w:eastAsia="Times New Roman" w:cs="Times New Roman"/>
      <w:sz w:val="24"/>
      <w:szCs w:val="24"/>
      <w:lang w:eastAsia="zh-CN"/>
    </w:rPr>
  </w:style>
  <w:style w:type="paragraph" w:styleId="1452" w:customStyle="1">
    <w:name w:val="Normal_9"/>
    <w:uiPriority w:val="0"/>
    <w:qFormat/>
    <w:rPr>
      <w:rFonts w:hint="default" w:ascii="黑体" w:hAnsi="黑体" w:eastAsia="黑体" w:cs="Times New Roman"/>
      <w:b/>
      <w:sz w:val="32"/>
      <w:szCs w:val="24"/>
      <w:lang w:eastAsia="zh-CN"/>
    </w:rPr>
  </w:style>
  <w:style w:type="paragraph" w:styleId="1453" w:customStyle="1">
    <w:name w:val="正文_6"/>
    <w:uiPriority w:val="0"/>
    <w:qFormat/>
    <w:pPr>
      <w:jc w:val="both"/>
      <w:widowControl w:val="off"/>
    </w:pPr>
    <w:rPr>
      <w:rFonts w:hint="default" w:ascii="Calibri" w:hAnsi="Calibri" w:eastAsia="宋体" w:cs="Times New Roman"/>
      <w:sz w:val="21"/>
      <w:szCs w:val="22"/>
      <w:lang w:eastAsia="zh-CN"/>
    </w:rPr>
  </w:style>
  <w:style w:type="paragraph" w:styleId="1454" w:customStyle="1">
    <w:name w:val="Normal_10"/>
    <w:uiPriority w:val="0"/>
    <w:qFormat/>
    <w:rPr>
      <w:rFonts w:hint="default" w:ascii="黑体" w:hAnsi="黑体" w:eastAsia="黑体" w:cs="Times New Roman"/>
      <w:b/>
      <w:sz w:val="32"/>
      <w:szCs w:val="24"/>
      <w:lang w:eastAsia="zh-CN"/>
    </w:rPr>
  </w:style>
  <w:style w:type="paragraph" w:styleId="1455" w:customStyle="1">
    <w:name w:val="正文_7"/>
    <w:uiPriority w:val="0"/>
    <w:qFormat/>
    <w:pPr>
      <w:jc w:val="both"/>
      <w:widowControl w:val="off"/>
    </w:pPr>
    <w:rPr>
      <w:rFonts w:hint="default" w:ascii="Times New Roman" w:hAnsi="Times New Roman" w:eastAsia="宋体" w:cs="Times New Roman"/>
      <w:sz w:val="21"/>
      <w:szCs w:val="24"/>
      <w:lang w:eastAsia="zh-CN"/>
    </w:rPr>
  </w:style>
  <w:style w:type="paragraph" w:styleId="1456" w:customStyle="1">
    <w:name w:val="正文缩进_0"/>
    <w:basedOn w:val="1455"/>
    <w:link w:val="1457"/>
    <w:uiPriority w:val="0"/>
    <w:unhideWhenUsed/>
    <w:qFormat/>
    <w:pPr>
      <w:ind w:firstLine="420"/>
    </w:pPr>
    <w:rPr>
      <w:szCs w:val="22"/>
    </w:rPr>
  </w:style>
  <w:style w:type="character" w:styleId="1457" w:customStyle="1">
    <w:name w:val="正文缩进 Char1_0"/>
    <w:link w:val="1456"/>
    <w:uiPriority w:val="0"/>
    <w:qFormat/>
    <w:rPr>
      <w:rFonts w:ascii="Times New Roman" w:hAnsi="Times New Roman"/>
      <w:sz w:val="21"/>
      <w:szCs w:val="22"/>
    </w:rPr>
  </w:style>
  <w:style w:type="paragraph" w:styleId="1458" w:customStyle="1">
    <w:name w:val="纯文本_0"/>
    <w:basedOn w:val="1455"/>
    <w:link w:val="1459"/>
    <w:uiPriority w:val="0"/>
    <w:unhideWhenUsed/>
    <w:qFormat/>
    <w:rPr>
      <w:rFonts w:ascii="宋体" w:hAnsi="Courier New"/>
      <w:szCs w:val="21"/>
    </w:rPr>
  </w:style>
  <w:style w:type="character" w:styleId="1459" w:customStyle="1">
    <w:name w:val="纯文本 Char_0"/>
    <w:link w:val="1458"/>
    <w:uiPriority w:val="0"/>
    <w:qFormat/>
    <w:rPr>
      <w:rFonts w:ascii="宋体" w:hAnsi="Courier New"/>
      <w:sz w:val="21"/>
      <w:szCs w:val="21"/>
    </w:rPr>
  </w:style>
  <w:style w:type="paragraph" w:styleId="1460" w:customStyle="1">
    <w:name w:val="Normal_11"/>
    <w:uiPriority w:val="0"/>
    <w:qFormat/>
    <w:rPr>
      <w:rFonts w:hint="default" w:ascii="黑体" w:hAnsi="黑体" w:eastAsia="黑体" w:cs="Times New Roman"/>
      <w:b/>
      <w:sz w:val="32"/>
      <w:szCs w:val="24"/>
      <w:lang w:eastAsia="zh-CN"/>
    </w:rPr>
  </w:style>
  <w:style w:type="paragraph" w:styleId="1461" w:customStyle="1">
    <w:name w:val="正文_8"/>
    <w:uiPriority w:val="0"/>
    <w:qFormat/>
    <w:pPr>
      <w:jc w:val="both"/>
      <w:widowControl w:val="off"/>
    </w:pPr>
    <w:rPr>
      <w:rFonts w:hint="default" w:ascii="Times New Roman" w:hAnsi="Times New Roman" w:eastAsia="宋体" w:cs="Times New Roman"/>
      <w:sz w:val="21"/>
      <w:szCs w:val="24"/>
      <w:lang w:eastAsia="zh-CN"/>
    </w:rPr>
  </w:style>
  <w:style w:type="paragraph" w:styleId="1462" w:customStyle="1">
    <w:name w:val="Normal_12"/>
    <w:uiPriority w:val="0"/>
    <w:qFormat/>
    <w:rPr>
      <w:rFonts w:hint="default" w:ascii="黑体" w:hAnsi="黑体" w:eastAsia="黑体" w:cs="Times New Roman"/>
      <w:b/>
      <w:sz w:val="32"/>
      <w:szCs w:val="24"/>
      <w:lang w:eastAsia="zh-CN"/>
    </w:rPr>
  </w:style>
  <w:style w:type="paragraph" w:styleId="1463" w:customStyle="1">
    <w:name w:val="正文_9"/>
    <w:uiPriority w:val="0"/>
    <w:qFormat/>
    <w:pPr>
      <w:jc w:val="both"/>
      <w:widowControl w:val="off"/>
    </w:pPr>
    <w:rPr>
      <w:rFonts w:hint="default" w:ascii="Times New Roman" w:hAnsi="Times New Roman" w:eastAsia="宋体" w:cs="Times New Roman"/>
      <w:sz w:val="21"/>
      <w:szCs w:val="24"/>
      <w:lang w:eastAsia="zh-CN"/>
    </w:rPr>
  </w:style>
  <w:style w:type="paragraph" w:styleId="1464" w:customStyle="1">
    <w:name w:val="Normal_13"/>
    <w:uiPriority w:val="0"/>
    <w:qFormat/>
    <w:rPr>
      <w:rFonts w:hint="default" w:ascii="黑体" w:hAnsi="黑体" w:eastAsia="黑体" w:cs="Times New Roman"/>
      <w:b/>
      <w:sz w:val="32"/>
      <w:szCs w:val="24"/>
      <w:lang w:eastAsia="zh-CN"/>
    </w:rPr>
  </w:style>
  <w:style w:type="paragraph" w:styleId="1465" w:customStyle="1">
    <w:name w:val="正文_10"/>
    <w:uiPriority w:val="0"/>
    <w:qFormat/>
    <w:pPr>
      <w:jc w:val="both"/>
      <w:widowControl w:val="off"/>
    </w:pPr>
    <w:rPr>
      <w:rFonts w:hint="default" w:ascii="Times New Roman" w:hAnsi="Times New Roman" w:eastAsia="宋体" w:cs="Times New Roman"/>
      <w:sz w:val="21"/>
      <w:szCs w:val="24"/>
      <w:lang w:eastAsia="zh-CN"/>
    </w:rPr>
  </w:style>
  <w:style w:type="paragraph" w:styleId="1466" w:customStyle="1">
    <w:name w:val="Normal_14"/>
    <w:uiPriority w:val="0"/>
    <w:qFormat/>
    <w:rPr>
      <w:rFonts w:hint="default" w:ascii="黑体" w:hAnsi="黑体" w:eastAsia="黑体" w:cs="Times New Roman"/>
      <w:b/>
      <w:sz w:val="32"/>
      <w:szCs w:val="24"/>
      <w:lang w:eastAsia="zh-CN"/>
    </w:rPr>
  </w:style>
  <w:style w:type="paragraph" w:styleId="1467" w:customStyle="1">
    <w:name w:val="正文_11"/>
    <w:uiPriority w:val="0"/>
    <w:qFormat/>
    <w:pPr>
      <w:jc w:val="both"/>
      <w:widowControl w:val="off"/>
    </w:pPr>
    <w:rPr>
      <w:rFonts w:hint="default" w:ascii="Times New Roman" w:hAnsi="Times New Roman" w:eastAsia="宋体" w:cs="Times New Roman"/>
      <w:sz w:val="21"/>
      <w:szCs w:val="24"/>
      <w:lang w:eastAsia="zh-CN"/>
    </w:rPr>
  </w:style>
  <w:style w:type="paragraph" w:styleId="1468" w:customStyle="1">
    <w:name w:val="Normal_15"/>
    <w:uiPriority w:val="0"/>
    <w:qFormat/>
    <w:rPr>
      <w:rFonts w:hint="default" w:ascii="黑体" w:hAnsi="黑体" w:eastAsia="黑体" w:cs="Times New Roman"/>
      <w:b/>
      <w:sz w:val="32"/>
      <w:szCs w:val="24"/>
      <w:lang w:eastAsia="zh-CN"/>
    </w:rPr>
  </w:style>
  <w:style w:type="paragraph" w:styleId="1469" w:customStyle="1">
    <w:name w:val="正文_12"/>
    <w:uiPriority w:val="0"/>
    <w:qFormat/>
    <w:pPr>
      <w:jc w:val="both"/>
      <w:widowControl w:val="off"/>
    </w:pPr>
    <w:rPr>
      <w:rFonts w:hint="default" w:ascii="Times New Roman" w:hAnsi="Times New Roman" w:eastAsia="宋体" w:cs="Times New Roman"/>
      <w:sz w:val="21"/>
      <w:szCs w:val="24"/>
      <w:lang w:eastAsia="zh-CN"/>
    </w:rPr>
  </w:style>
  <w:style w:type="paragraph" w:styleId="1470" w:customStyle="1">
    <w:name w:val="正文_13"/>
    <w:uiPriority w:val="0"/>
    <w:qFormat/>
    <w:pPr>
      <w:jc w:val="both"/>
      <w:widowControl w:val="off"/>
    </w:pPr>
    <w:rPr>
      <w:rFonts w:hint="default" w:ascii="Times New Roman" w:hAnsi="Times New Roman" w:eastAsia="宋体" w:cs="Times New Roman"/>
      <w:sz w:val="21"/>
      <w:szCs w:val="24"/>
      <w:lang w:eastAsia="zh-CN"/>
    </w:rPr>
  </w:style>
  <w:style w:type="paragraph" w:styleId="1471" w:customStyle="1">
    <w:name w:val="正文_14"/>
    <w:uiPriority w:val="0"/>
    <w:qFormat/>
    <w:pPr>
      <w:jc w:val="both"/>
      <w:widowControl w:val="off"/>
    </w:pPr>
    <w:rPr>
      <w:rFonts w:hint="default" w:ascii="Calibri" w:hAnsi="Calibri" w:eastAsia="宋体" w:cs="Times New Roman"/>
      <w:sz w:val="21"/>
      <w:szCs w:val="22"/>
      <w:lang w:eastAsia="zh-CN"/>
    </w:rPr>
  </w:style>
  <w:style w:type="paragraph" w:styleId="1472" w:customStyle="1">
    <w:name w:val="Normal_17"/>
    <w:uiPriority w:val="0"/>
    <w:qFormat/>
    <w:rPr>
      <w:rFonts w:hint="default" w:ascii="黑体" w:hAnsi="黑体" w:eastAsia="黑体" w:cs="Times New Roman"/>
      <w:b/>
      <w:sz w:val="32"/>
      <w:szCs w:val="24"/>
      <w:lang w:eastAsia="zh-CN"/>
    </w:rPr>
  </w:style>
  <w:style w:type="paragraph" w:styleId="1473" w:customStyle="1">
    <w:name w:val="Normal_18"/>
    <w:uiPriority w:val="0"/>
    <w:qFormat/>
    <w:rPr>
      <w:rFonts w:hint="default" w:ascii="黑体" w:hAnsi="黑体" w:eastAsia="黑体" w:cs="Times New Roman"/>
      <w:b/>
      <w:sz w:val="32"/>
      <w:szCs w:val="24"/>
      <w:lang w:eastAsia="zh-CN"/>
    </w:rPr>
  </w:style>
  <w:style w:type="paragraph" w:styleId="1474" w:customStyle="1">
    <w:name w:val="正文_15"/>
    <w:uiPriority w:val="0"/>
    <w:qFormat/>
    <w:pPr>
      <w:jc w:val="both"/>
      <w:widowControl w:val="off"/>
    </w:pPr>
    <w:rPr>
      <w:rFonts w:hint="default" w:ascii="Calibri" w:hAnsi="Calibri" w:eastAsia="宋体" w:cs="Times New Roman"/>
      <w:sz w:val="21"/>
      <w:szCs w:val="22"/>
      <w:lang w:eastAsia="zh-CN"/>
    </w:rPr>
  </w:style>
  <w:style w:type="paragraph" w:styleId="1475" w:customStyle="1">
    <w:name w:val="Normal_0_0"/>
    <w:uiPriority w:val="0"/>
    <w:qFormat/>
    <w:rPr>
      <w:rFonts w:hint="default" w:ascii="黑体" w:hAnsi="黑体" w:eastAsia="黑体" w:cs="Times New Roman"/>
      <w:b/>
      <w:sz w:val="40"/>
      <w:szCs w:val="24"/>
      <w:lang w:eastAsia="zh-CN"/>
    </w:rPr>
  </w:style>
  <w:style w:type="paragraph" w:styleId="1476" w:customStyle="1">
    <w:name w:val="Normal_1_0"/>
    <w:uiPriority w:val="0"/>
    <w:qFormat/>
    <w:rPr>
      <w:rFonts w:hint="default" w:ascii="Times New Roman" w:hAnsi="Times New Roman" w:eastAsia="Times New Roman" w:cs="Times New Roman"/>
      <w:sz w:val="24"/>
      <w:szCs w:val="24"/>
      <w:lang w:eastAsia="zh-CN"/>
    </w:rPr>
  </w:style>
  <w:style w:type="paragraph" w:styleId="1477" w:customStyle="1">
    <w:name w:val="Normal1"/>
    <w:uiPriority w:val="0"/>
    <w:qFormat/>
    <w:rPr>
      <w:rFonts w:hint="default" w:ascii="Times New Roman" w:hAnsi="Times New Roman" w:eastAsia="Times New Roman" w:cs="Times New Roman"/>
      <w:sz w:val="24"/>
      <w:szCs w:val="24"/>
      <w:lang w:eastAsia="zh-CN"/>
    </w:rPr>
  </w:style>
  <w:style w:type="paragraph" w:styleId="1478" w:customStyle="1">
    <w:name w:val="正文_0_1"/>
    <w:uiPriority w:val="0"/>
    <w:qFormat/>
    <w:pPr>
      <w:jc w:val="both"/>
      <w:widowControl w:val="off"/>
    </w:pPr>
    <w:rPr>
      <w:rFonts w:hint="default" w:ascii="Times New Roman" w:hAnsi="Times New Roman" w:eastAsia="宋体" w:cs="Times New Roman"/>
      <w:sz w:val="21"/>
      <w:szCs w:val="24"/>
      <w:lang w:eastAsia="zh-CN"/>
    </w:rPr>
  </w:style>
  <w:style w:type="paragraph" w:styleId="1479" w:customStyle="1">
    <w:name w:val="正文_3"/>
    <w:uiPriority w:val="0"/>
    <w:qFormat/>
    <w:pPr>
      <w:jc w:val="both"/>
      <w:widowControl w:val="off"/>
    </w:pPr>
    <w:rPr>
      <w:rFonts w:hint="default" w:ascii="Calibri" w:hAnsi="Calibri" w:eastAsia="宋体" w:cs="Times New Roman"/>
      <w:sz w:val="21"/>
      <w:szCs w:val="22"/>
      <w:lang w:eastAsia="zh-CN"/>
    </w:rPr>
  </w:style>
  <w:style w:type="paragraph" w:styleId="1480" w:customStyle="1">
    <w:name w:val="正文_2"/>
    <w:uiPriority w:val="0"/>
    <w:qFormat/>
    <w:pPr>
      <w:jc w:val="both"/>
      <w:widowControl w:val="off"/>
    </w:pPr>
    <w:rPr>
      <w:rFonts w:hint="default" w:ascii="Calibri" w:hAnsi="Calibri" w:eastAsia="宋体" w:cs="Times New Roman"/>
      <w:sz w:val="21"/>
      <w:szCs w:val="22"/>
      <w:lang w:eastAsia="zh-CN"/>
    </w:rPr>
  </w:style>
  <w:style w:type="paragraph" w:styleId="1481" w:customStyle="1">
    <w:name w:val="标题 2_0"/>
    <w:basedOn w:val="1482"/>
    <w:next w:val="1482"/>
    <w:link w:val="1483"/>
    <w:uiPriority w:val="0"/>
    <w:qFormat/>
    <w:pPr>
      <w:keepLines/>
      <w:keepNext/>
      <w:spacing w:before="260" w:after="260" w:line="413" w:lineRule="auto"/>
      <w:outlineLvl w:val="1"/>
    </w:pPr>
    <w:rPr>
      <w:rFonts w:ascii="Arial" w:hAnsi="Arial" w:eastAsia="黑体"/>
      <w:b/>
      <w:sz w:val="32"/>
      <w:szCs w:val="20"/>
    </w:rPr>
  </w:style>
  <w:style w:type="paragraph" w:styleId="1482" w:customStyle="1">
    <w:name w:val="正文_17"/>
    <w:uiPriority w:val="0"/>
    <w:qFormat/>
    <w:pPr>
      <w:jc w:val="both"/>
      <w:widowControl w:val="off"/>
    </w:pPr>
    <w:rPr>
      <w:rFonts w:hint="default" w:ascii="Calibri" w:hAnsi="Calibri" w:eastAsia="宋体" w:cs="Times New Roman"/>
      <w:sz w:val="21"/>
      <w:szCs w:val="22"/>
      <w:lang w:eastAsia="zh-CN"/>
    </w:rPr>
  </w:style>
  <w:style w:type="character" w:styleId="1483" w:customStyle="1">
    <w:name w:val="标题 2 Char_0"/>
    <w:link w:val="1481"/>
    <w:uiPriority w:val="0"/>
    <w:qFormat/>
    <w:rPr>
      <w:rFonts w:ascii="Arial" w:hAnsi="Arial" w:eastAsia="黑体"/>
      <w:b/>
      <w:sz w:val="32"/>
    </w:rPr>
  </w:style>
  <w:style w:type="paragraph" w:styleId="1484" w:customStyle="1">
    <w:name w:val="正文1_1"/>
    <w:basedOn w:val="1482"/>
    <w:link w:val="1485"/>
    <w:uiPriority w:val="0"/>
    <w:qFormat/>
    <w:pPr>
      <w:ind w:left="357" w:firstLine="420"/>
      <w:jc w:val="left"/>
      <w:spacing w:line="360" w:lineRule="auto"/>
      <w:widowControl/>
    </w:pPr>
    <w:rPr>
      <w:szCs w:val="20"/>
    </w:rPr>
  </w:style>
  <w:style w:type="character" w:styleId="1485" w:customStyle="1">
    <w:name w:val="正文1 Char_0"/>
    <w:link w:val="1484"/>
    <w:uiPriority w:val="0"/>
    <w:qFormat/>
    <w:rPr>
      <w:sz w:val="21"/>
    </w:rPr>
  </w:style>
  <w:style w:type="paragraph" w:styleId="1486" w:customStyle="1">
    <w:name w:val="标题 4_0"/>
    <w:basedOn w:val="1487"/>
    <w:next w:val="1189"/>
    <w:link w:val="1488"/>
    <w:uiPriority w:val="0"/>
    <w:unhideWhenUsed/>
    <w:qFormat/>
    <w:pPr>
      <w:keepLines/>
      <w:keepNext/>
      <w:spacing w:before="280" w:after="290" w:line="372" w:lineRule="auto"/>
      <w:outlineLvl w:val="3"/>
    </w:pPr>
    <w:rPr>
      <w:rFonts w:ascii="Arial" w:hAnsi="Arial" w:eastAsia="黑体"/>
      <w:b/>
      <w:sz w:val="28"/>
      <w:szCs w:val="20"/>
    </w:rPr>
  </w:style>
  <w:style w:type="paragraph" w:styleId="1487" w:customStyle="1">
    <w:name w:val="正文_4_0"/>
    <w:uiPriority w:val="0"/>
    <w:qFormat/>
    <w:pPr>
      <w:jc w:val="both"/>
      <w:widowControl w:val="off"/>
    </w:pPr>
    <w:rPr>
      <w:rFonts w:hint="default" w:ascii="Times New Roman" w:hAnsi="Times New Roman" w:eastAsia="宋体" w:cs="Times New Roman"/>
      <w:sz w:val="21"/>
      <w:szCs w:val="24"/>
      <w:lang w:eastAsia="zh-CN"/>
    </w:rPr>
  </w:style>
  <w:style w:type="character" w:styleId="1488" w:customStyle="1">
    <w:name w:val="标题 4 Char_0"/>
    <w:link w:val="1486"/>
    <w:uiPriority w:val="0"/>
    <w:qFormat/>
    <w:rPr>
      <w:rFonts w:ascii="Arial" w:hAnsi="Arial" w:eastAsia="黑体"/>
      <w:b/>
      <w:sz w:val="28"/>
    </w:rPr>
  </w:style>
  <w:style w:type="paragraph" w:styleId="1489" w:customStyle="1">
    <w:name w:val="正文_21_0"/>
    <w:uiPriority w:val="0"/>
    <w:qFormat/>
    <w:pPr>
      <w:jc w:val="both"/>
      <w:widowControl w:val="off"/>
    </w:pPr>
    <w:rPr>
      <w:rFonts w:hint="default" w:ascii="Times New Roman" w:hAnsi="Times New Roman" w:eastAsia="宋体" w:cs="Times New Roman"/>
      <w:sz w:val="21"/>
      <w:szCs w:val="22"/>
      <w:lang w:eastAsia="zh-CN"/>
    </w:rPr>
  </w:style>
  <w:style w:type="paragraph" w:styleId="1490" w:customStyle="1">
    <w:name w:val="Normal_19"/>
    <w:basedOn w:val="1480"/>
    <w:next w:val="1189"/>
    <w:uiPriority w:val="0"/>
    <w:qFormat/>
  </w:style>
  <w:style w:type="paragraph" w:styleId="1491" w:customStyle="1">
    <w:name w:val="正文_21"/>
    <w:basedOn w:val="1492"/>
    <w:uiPriority w:val="0"/>
    <w:qFormat/>
    <w:rPr>
      <w:rFonts w:ascii="Times New Roman" w:hAnsi="Times New Roman"/>
    </w:rPr>
  </w:style>
  <w:style w:type="paragraph" w:styleId="1492" w:customStyle="1">
    <w:name w:val="正文_17_0"/>
    <w:uiPriority w:val="0"/>
    <w:qFormat/>
    <w:pPr>
      <w:jc w:val="both"/>
      <w:widowControl w:val="off"/>
    </w:pPr>
    <w:rPr>
      <w:rFonts w:hint="default" w:ascii="Calibri" w:hAnsi="Calibri" w:eastAsia="宋体" w:cs="Times New Roman"/>
      <w:sz w:val="21"/>
      <w:szCs w:val="24"/>
      <w:lang w:eastAsia="zh-CN"/>
    </w:rPr>
  </w:style>
  <w:style w:type="paragraph" w:styleId="1493" w:customStyle="1">
    <w:name w:val="正文_5_0"/>
    <w:uiPriority w:val="0"/>
    <w:qFormat/>
    <w:pPr>
      <w:jc w:val="both"/>
      <w:widowControl w:val="off"/>
    </w:pPr>
    <w:rPr>
      <w:rFonts w:hint="default" w:ascii="Times New Roman" w:hAnsi="Times New Roman" w:eastAsia="宋体" w:cs="Times New Roman"/>
      <w:sz w:val="21"/>
      <w:szCs w:val="24"/>
      <w:lang w:eastAsia="zh-CN"/>
    </w:rPr>
  </w:style>
  <w:style w:type="paragraph" w:styleId="1494" w:customStyle="1">
    <w:name w:val="Normal_2_0"/>
    <w:uiPriority w:val="0"/>
    <w:qFormat/>
    <w:rPr>
      <w:rFonts w:hint="default" w:ascii="黑体" w:hAnsi="黑体" w:eastAsia="黑体" w:cs="Times New Roman"/>
      <w:b/>
      <w:sz w:val="32"/>
      <w:szCs w:val="24"/>
      <w:lang w:eastAsia="zh-CN"/>
    </w:rPr>
  </w:style>
  <w:style w:type="paragraph" w:styleId="1495" w:customStyle="1">
    <w:name w:val="正文_1_0_0"/>
    <w:uiPriority w:val="0"/>
    <w:qFormat/>
    <w:pPr>
      <w:jc w:val="both"/>
      <w:widowControl w:val="off"/>
    </w:pPr>
    <w:rPr>
      <w:rFonts w:hint="default" w:ascii="Times New Roman" w:hAnsi="Times New Roman" w:eastAsia="宋体" w:cs="Times New Roman"/>
      <w:sz w:val="21"/>
      <w:lang w:eastAsia="zh-CN"/>
    </w:rPr>
  </w:style>
  <w:style w:type="paragraph" w:styleId="1496" w:customStyle="1">
    <w:name w:val="正文_18"/>
    <w:uiPriority w:val="0"/>
    <w:qFormat/>
    <w:pPr>
      <w:jc w:val="both"/>
      <w:widowControl w:val="off"/>
    </w:pPr>
    <w:rPr>
      <w:rFonts w:hint="default" w:ascii="Calibri" w:hAnsi="Calibri" w:eastAsia="宋体" w:cs="Times New Roman"/>
      <w:sz w:val="21"/>
      <w:szCs w:val="22"/>
      <w:lang w:eastAsia="zh-CN"/>
    </w:rPr>
  </w:style>
  <w:style w:type="paragraph" w:styleId="1497" w:customStyle="1">
    <w:name w:val="正文_0_2"/>
    <w:uiPriority w:val="0"/>
    <w:qFormat/>
    <w:pPr>
      <w:jc w:val="both"/>
      <w:widowControl w:val="off"/>
    </w:pPr>
    <w:rPr>
      <w:rFonts w:hint="default" w:ascii="Calibri" w:hAnsi="Calibri" w:eastAsia="宋体" w:cs="Times New Roman"/>
      <w:sz w:val="21"/>
      <w:szCs w:val="22"/>
      <w:lang w:eastAsia="zh-CN"/>
    </w:rPr>
  </w:style>
  <w:style w:type="paragraph" w:styleId="1498" w:customStyle="1">
    <w:name w:val="正文_1_1"/>
    <w:uiPriority w:val="0"/>
    <w:qFormat/>
    <w:pPr>
      <w:jc w:val="both"/>
      <w:widowControl w:val="off"/>
    </w:pPr>
    <w:rPr>
      <w:rFonts w:hint="default" w:ascii="Calibri" w:hAnsi="Calibri" w:eastAsia="宋体" w:cs="Times New Roman"/>
      <w:sz w:val="21"/>
      <w:szCs w:val="22"/>
      <w:lang w:eastAsia="zh-CN"/>
    </w:rPr>
  </w:style>
  <w:style w:type="paragraph" w:styleId="1499" w:customStyle="1">
    <w:name w:val="Normal_5_0"/>
    <w:uiPriority w:val="0"/>
    <w:qFormat/>
    <w:rPr>
      <w:rFonts w:hint="default" w:ascii="黑体" w:hAnsi="黑体" w:eastAsia="黑体" w:cs="Times New Roman"/>
      <w:b/>
      <w:sz w:val="32"/>
      <w:szCs w:val="24"/>
      <w:lang w:eastAsia="zh-CN"/>
    </w:rPr>
  </w:style>
  <w:style w:type="paragraph" w:styleId="1500" w:customStyle="1">
    <w:name w:val="Normal_6_0"/>
    <w:uiPriority w:val="0"/>
    <w:qFormat/>
    <w:pPr>
      <w:jc w:val="both"/>
      <w:widowControl w:val="off"/>
    </w:pPr>
    <w:rPr>
      <w:rFonts w:hint="default" w:ascii="Calibri" w:hAnsi="Calibri" w:eastAsia="宋体" w:cs="Times New Roman"/>
      <w:sz w:val="21"/>
      <w:szCs w:val="22"/>
      <w:lang w:eastAsia="zh-CN"/>
    </w:rPr>
  </w:style>
  <w:style w:type="paragraph" w:styleId="1501" w:customStyle="1">
    <w:name w:val="Normal_7_0"/>
    <w:uiPriority w:val="0"/>
    <w:qFormat/>
    <w:rPr>
      <w:rFonts w:hint="default" w:ascii="黑体" w:hAnsi="黑体" w:eastAsia="黑体" w:cs="Times New Roman"/>
      <w:b/>
      <w:sz w:val="32"/>
      <w:szCs w:val="24"/>
      <w:lang w:eastAsia="zh-CN"/>
    </w:rPr>
  </w:style>
  <w:style w:type="paragraph" w:styleId="1502" w:customStyle="1">
    <w:name w:val="正文_2_0"/>
    <w:uiPriority w:val="0"/>
    <w:qFormat/>
    <w:pPr>
      <w:jc w:val="both"/>
      <w:widowControl w:val="off"/>
    </w:pPr>
    <w:rPr>
      <w:rFonts w:hint="default" w:ascii="Calibri" w:hAnsi="Calibri" w:eastAsia="宋体" w:cs="Times New Roman"/>
      <w:sz w:val="21"/>
      <w:szCs w:val="22"/>
      <w:lang w:eastAsia="zh-CN"/>
    </w:rPr>
  </w:style>
  <w:style w:type="paragraph" w:styleId="1503" w:customStyle="1">
    <w:name w:val="正文_4_0_0"/>
    <w:uiPriority w:val="0"/>
    <w:qFormat/>
    <w:pPr>
      <w:jc w:val="both"/>
      <w:widowControl w:val="off"/>
    </w:pPr>
    <w:rPr>
      <w:rFonts w:hint="default" w:ascii="Calibri" w:hAnsi="Calibri" w:eastAsia="宋体" w:cs="Times New Roman"/>
      <w:sz w:val="21"/>
      <w:szCs w:val="22"/>
      <w:lang w:eastAsia="zh-CN"/>
    </w:rPr>
  </w:style>
  <w:style w:type="paragraph" w:styleId="1504" w:customStyle="1">
    <w:name w:val="Normal_8_0"/>
    <w:uiPriority w:val="0"/>
    <w:qFormat/>
    <w:rPr>
      <w:rFonts w:hint="default" w:ascii="黑体" w:hAnsi="黑体" w:eastAsia="黑体" w:cs="Times New Roman"/>
      <w:b/>
      <w:sz w:val="32"/>
      <w:szCs w:val="24"/>
      <w:lang w:eastAsia="zh-CN"/>
    </w:rPr>
  </w:style>
  <w:style w:type="paragraph" w:styleId="1505" w:customStyle="1">
    <w:name w:val="Normal_9_0"/>
    <w:uiPriority w:val="0"/>
    <w:qFormat/>
    <w:rPr>
      <w:rFonts w:hint="default" w:ascii="Times New Roman" w:hAnsi="Times New Roman" w:eastAsia="Times New Roman" w:cs="Times New Roman"/>
      <w:sz w:val="24"/>
      <w:szCs w:val="24"/>
      <w:lang w:eastAsia="zh-CN"/>
    </w:rPr>
  </w:style>
  <w:style w:type="paragraph" w:styleId="1506" w:customStyle="1">
    <w:name w:val="Normal_10_0"/>
    <w:uiPriority w:val="0"/>
    <w:qFormat/>
    <w:rPr>
      <w:rFonts w:hint="default" w:ascii="Times New Roman" w:hAnsi="Times New Roman" w:eastAsia="Times New Roman" w:cs="Times New Roman"/>
      <w:sz w:val="24"/>
      <w:szCs w:val="24"/>
      <w:lang w:eastAsia="zh-CN"/>
    </w:rPr>
  </w:style>
  <w:style w:type="paragraph" w:styleId="1507" w:customStyle="1">
    <w:name w:val="Normal_11_0"/>
    <w:uiPriority w:val="0"/>
    <w:qFormat/>
    <w:rPr>
      <w:rFonts w:hint="default" w:ascii="黑体" w:hAnsi="黑体" w:eastAsia="黑体" w:cs="Times New Roman"/>
      <w:b/>
      <w:sz w:val="32"/>
      <w:szCs w:val="24"/>
      <w:lang w:eastAsia="zh-CN"/>
    </w:rPr>
  </w:style>
  <w:style w:type="paragraph" w:styleId="1508" w:customStyle="1">
    <w:name w:val="Normal_12_0"/>
    <w:uiPriority w:val="0"/>
    <w:qFormat/>
    <w:pPr>
      <w:jc w:val="both"/>
      <w:widowControl w:val="off"/>
    </w:pPr>
    <w:rPr>
      <w:rFonts w:hint="default" w:ascii="Calibri" w:hAnsi="Calibri" w:eastAsia="宋体" w:cs="Times New Roman"/>
      <w:sz w:val="21"/>
      <w:szCs w:val="22"/>
      <w:lang w:eastAsia="zh-CN"/>
    </w:rPr>
  </w:style>
  <w:style w:type="paragraph" w:styleId="1509" w:customStyle="1">
    <w:name w:val="正文_9_0"/>
    <w:uiPriority w:val="0"/>
    <w:qFormat/>
    <w:pPr>
      <w:jc w:val="both"/>
      <w:widowControl w:val="off"/>
    </w:pPr>
    <w:rPr>
      <w:rFonts w:hint="default" w:ascii="Calibri" w:hAnsi="Calibri" w:eastAsia="宋体" w:cs="Times New Roman"/>
      <w:sz w:val="21"/>
      <w:szCs w:val="22"/>
      <w:lang w:eastAsia="zh-CN"/>
    </w:rPr>
  </w:style>
  <w:style w:type="paragraph" w:styleId="1510" w:customStyle="1">
    <w:name w:val="正文_8_1"/>
    <w:uiPriority w:val="0"/>
    <w:qFormat/>
    <w:pPr>
      <w:jc w:val="both"/>
      <w:widowControl w:val="off"/>
    </w:pPr>
    <w:rPr>
      <w:rFonts w:hint="default" w:ascii="Calibri" w:hAnsi="Calibri" w:eastAsia="宋体" w:cs="Times New Roman"/>
      <w:sz w:val="21"/>
      <w:szCs w:val="22"/>
      <w:lang w:eastAsia="zh-CN"/>
    </w:rPr>
  </w:style>
  <w:style w:type="paragraph" w:styleId="1511" w:customStyle="1">
    <w:name w:val="正文_1_0_0_0_0"/>
    <w:uiPriority w:val="0"/>
    <w:qFormat/>
    <w:pPr>
      <w:jc w:val="both"/>
      <w:widowControl w:val="off"/>
    </w:pPr>
    <w:rPr>
      <w:rFonts w:hint="default" w:ascii="Times New Roman" w:hAnsi="Times New Roman" w:eastAsia="宋体" w:cs="Times New Roman"/>
      <w:sz w:val="21"/>
      <w:lang w:eastAsia="zh-CN"/>
    </w:rPr>
  </w:style>
  <w:style w:type="paragraph" w:styleId="1512" w:customStyle="1">
    <w:name w:val="列出段落_2"/>
    <w:basedOn w:val="1510"/>
    <w:uiPriority w:val="34"/>
    <w:qFormat/>
    <w:pPr>
      <w:ind w:firstLine="420"/>
    </w:pPr>
  </w:style>
  <w:style w:type="paragraph" w:styleId="1513" w:customStyle="1">
    <w:name w:val="Normal_13_0"/>
    <w:uiPriority w:val="0"/>
    <w:qFormat/>
    <w:rPr>
      <w:rFonts w:hint="default" w:ascii="黑体" w:hAnsi="黑体" w:eastAsia="黑体" w:cs="Times New Roman"/>
      <w:b/>
      <w:sz w:val="32"/>
      <w:szCs w:val="24"/>
      <w:lang w:eastAsia="zh-CN"/>
    </w:rPr>
  </w:style>
  <w:style w:type="paragraph" w:styleId="1514" w:customStyle="1">
    <w:name w:val="正文_10_0"/>
    <w:uiPriority w:val="0"/>
    <w:qFormat/>
    <w:pPr>
      <w:jc w:val="both"/>
      <w:widowControl w:val="off"/>
    </w:pPr>
    <w:rPr>
      <w:rFonts w:hint="default" w:ascii="Times New Roman" w:hAnsi="Times New Roman" w:eastAsia="宋体" w:cs="Times New Roman"/>
      <w:sz w:val="21"/>
      <w:szCs w:val="24"/>
      <w:lang w:eastAsia="zh-CN"/>
    </w:rPr>
  </w:style>
  <w:style w:type="paragraph" w:styleId="1515" w:customStyle="1">
    <w:name w:val="Normal_14_0"/>
    <w:uiPriority w:val="0"/>
    <w:qFormat/>
    <w:rPr>
      <w:rFonts w:hint="default" w:ascii="黑体" w:hAnsi="黑体" w:eastAsia="黑体" w:cs="Times New Roman"/>
      <w:b/>
      <w:sz w:val="32"/>
      <w:szCs w:val="24"/>
      <w:lang w:eastAsia="zh-CN"/>
    </w:rPr>
  </w:style>
  <w:style w:type="paragraph" w:styleId="1516" w:customStyle="1">
    <w:name w:val="正文_4_1"/>
    <w:uiPriority w:val="0"/>
    <w:qFormat/>
    <w:pPr>
      <w:jc w:val="both"/>
      <w:widowControl w:val="off"/>
    </w:pPr>
    <w:rPr>
      <w:rFonts w:hint="default" w:ascii="Calibri" w:hAnsi="Calibri" w:eastAsia="宋体" w:cs="Times New Roman"/>
      <w:sz w:val="21"/>
      <w:szCs w:val="22"/>
      <w:lang w:eastAsia="zh-CN"/>
    </w:rPr>
  </w:style>
  <w:style w:type="paragraph" w:styleId="1517" w:customStyle="1">
    <w:name w:val="正文_9_1"/>
    <w:uiPriority w:val="0"/>
    <w:qFormat/>
    <w:pPr>
      <w:jc w:val="both"/>
      <w:widowControl w:val="off"/>
    </w:pPr>
    <w:rPr>
      <w:rFonts w:hint="default" w:ascii="Times New Roman" w:hAnsi="Times New Roman" w:eastAsia="宋体" w:cs="Times New Roman"/>
      <w:sz w:val="21"/>
      <w:szCs w:val="24"/>
      <w:lang w:eastAsia="zh-CN"/>
    </w:rPr>
  </w:style>
  <w:style w:type="paragraph" w:styleId="1518" w:customStyle="1">
    <w:name w:val="Normal_14_0_0"/>
    <w:uiPriority w:val="0"/>
    <w:qFormat/>
    <w:rPr>
      <w:rFonts w:hint="default" w:ascii="黑体" w:hAnsi="黑体" w:eastAsia="黑体" w:cs="Times New Roman"/>
      <w:b/>
      <w:sz w:val="32"/>
      <w:szCs w:val="24"/>
      <w:lang w:eastAsia="zh-CN"/>
    </w:rPr>
  </w:style>
  <w:style w:type="paragraph" w:styleId="1519" w:customStyle="1">
    <w:name w:val="正文_12_0"/>
    <w:uiPriority w:val="0"/>
    <w:qFormat/>
    <w:pPr>
      <w:jc w:val="both"/>
      <w:widowControl w:val="off"/>
    </w:pPr>
    <w:rPr>
      <w:rFonts w:hint="default" w:ascii="Times New Roman" w:hAnsi="Times New Roman" w:eastAsia="宋体" w:cs="Times New Roman"/>
      <w:sz w:val="21"/>
      <w:szCs w:val="24"/>
      <w:lang w:eastAsia="zh-CN"/>
    </w:rPr>
  </w:style>
  <w:style w:type="paragraph" w:styleId="1520" w:customStyle="1">
    <w:name w:val="Normal_15_0"/>
    <w:uiPriority w:val="0"/>
    <w:qFormat/>
    <w:rPr>
      <w:rFonts w:hint="default" w:ascii="黑体" w:hAnsi="黑体" w:eastAsia="黑体" w:cs="Times New Roman"/>
      <w:b/>
      <w:sz w:val="32"/>
      <w:szCs w:val="24"/>
      <w:lang w:eastAsia="zh-CN"/>
    </w:rPr>
  </w:style>
  <w:style w:type="paragraph" w:styleId="1521" w:customStyle="1">
    <w:name w:val="正文_13_0"/>
    <w:uiPriority w:val="0"/>
    <w:qFormat/>
    <w:pPr>
      <w:jc w:val="both"/>
      <w:widowControl w:val="off"/>
    </w:pPr>
    <w:rPr>
      <w:rFonts w:hint="default" w:ascii="Times New Roman" w:hAnsi="Times New Roman" w:eastAsia="宋体" w:cs="Times New Roman"/>
      <w:sz w:val="21"/>
      <w:szCs w:val="24"/>
      <w:lang w:eastAsia="zh-CN"/>
    </w:rPr>
  </w:style>
  <w:style w:type="paragraph" w:styleId="1522" w:customStyle="1">
    <w:name w:val="Normal_16_0"/>
    <w:uiPriority w:val="0"/>
    <w:qFormat/>
    <w:rPr>
      <w:rFonts w:hint="default" w:ascii="黑体" w:hAnsi="黑体" w:eastAsia="黑体" w:cs="Times New Roman"/>
      <w:b/>
      <w:sz w:val="32"/>
      <w:szCs w:val="24"/>
      <w:lang w:eastAsia="zh-CN"/>
    </w:rPr>
  </w:style>
  <w:style w:type="paragraph" w:styleId="1523" w:customStyle="1">
    <w:name w:val="Normal_0_2"/>
    <w:uiPriority w:val="0"/>
    <w:qFormat/>
    <w:rPr>
      <w:rFonts w:hint="default" w:ascii="黑体" w:hAnsi="黑体" w:eastAsia="黑体" w:cs="Times New Roman"/>
      <w:b/>
      <w:sz w:val="32"/>
      <w:szCs w:val="24"/>
      <w:lang w:eastAsia="zh-CN"/>
    </w:rPr>
  </w:style>
  <w:style w:type="paragraph" w:styleId="1524" w:customStyle="1">
    <w:name w:val="Normal_1_2"/>
    <w:uiPriority w:val="0"/>
    <w:qFormat/>
    <w:rPr>
      <w:rFonts w:hint="default" w:ascii="Times New Roman" w:hAnsi="Times New Roman" w:eastAsia="Times New Roman" w:cs="Times New Roman"/>
      <w:sz w:val="24"/>
      <w:szCs w:val="24"/>
      <w:lang w:eastAsia="zh-CN"/>
    </w:rPr>
  </w:style>
  <w:style w:type="paragraph" w:styleId="1525" w:customStyle="1">
    <w:name w:val="Normal_0_3"/>
    <w:uiPriority w:val="0"/>
    <w:qFormat/>
    <w:rPr>
      <w:rFonts w:hint="default" w:ascii="黑体" w:hAnsi="黑体" w:eastAsia="黑体" w:cs="Times New Roman"/>
      <w:b/>
      <w:sz w:val="32"/>
      <w:szCs w:val="24"/>
      <w:lang w:eastAsia="zh-CN"/>
    </w:rPr>
  </w:style>
  <w:style w:type="paragraph" w:styleId="1526" w:customStyle="1">
    <w:name w:val="正文_19"/>
    <w:uiPriority w:val="0"/>
    <w:qFormat/>
    <w:pPr>
      <w:jc w:val="both"/>
      <w:widowControl w:val="off"/>
    </w:pPr>
    <w:rPr>
      <w:rFonts w:hint="default" w:ascii="Calibri" w:hAnsi="Calibri" w:eastAsia="宋体" w:cs="Times New Roman"/>
      <w:sz w:val="21"/>
      <w:szCs w:val="22"/>
      <w:lang w:eastAsia="zh-CN"/>
    </w:rPr>
  </w:style>
  <w:style w:type="table" w:styleId="1527" w:customStyle="1">
    <w:name w:val="Table Normal_0"/>
    <w:uiPriority w:val="0"/>
    <w:unhideWhenUsed/>
    <w:qFormat/>
    <w:tblPr>
      <w:tblCellMar>
        <w:left w:w="0" w:type="dxa"/>
        <w:top w:w="0" w:type="dxa"/>
        <w:right w:w="0" w:type="dxa"/>
        <w:bottom w:w="0" w:type="dxa"/>
      </w:tblCellMar>
    </w:tblPr>
  </w:style>
  <w:style w:type="paragraph" w:styleId="1528" w:customStyle="1">
    <w:name w:val="Normal_19_0"/>
    <w:basedOn w:val="1480"/>
    <w:next w:val="1189"/>
    <w:uiPriority w:val="0"/>
    <w:qFormat/>
    <w:pPr>
      <w:jc w:val="left"/>
      <w:widowControl/>
    </w:pPr>
    <w:rPr>
      <w:rFonts w:ascii="Times New Roman" w:hAnsi="Times New Roman" w:eastAsia="Times New Roman"/>
      <w:sz w:val="24"/>
      <w:szCs w:val="24"/>
    </w:rPr>
  </w:style>
  <w:style w:type="paragraph" w:styleId="1529" w:customStyle="1">
    <w:name w:val="正文_3_0_0"/>
    <w:basedOn w:val="1482"/>
    <w:uiPriority w:val="0"/>
    <w:qFormat/>
    <w:rPr>
      <w:rFonts w:ascii="Times New Roman" w:hAnsi="Times New Roman"/>
      <w:szCs w:val="20"/>
    </w:rPr>
  </w:style>
  <w:style w:type="paragraph" w:styleId="1530" w:customStyle="1">
    <w:name w:val="标题 4_0_0"/>
    <w:basedOn w:val="1516"/>
    <w:next w:val="1531"/>
    <w:uiPriority w:val="0"/>
    <w:qFormat/>
    <w:pPr>
      <w:keepLines/>
      <w:keepNext/>
      <w:spacing w:before="280" w:after="290" w:line="372" w:lineRule="auto"/>
      <w:outlineLvl w:val="3"/>
    </w:pPr>
    <w:rPr>
      <w:rFonts w:ascii="Arial" w:hAnsi="Arial" w:eastAsia="黑体" w:cs="Arial"/>
      <w:b/>
      <w:sz w:val="28"/>
    </w:rPr>
  </w:style>
  <w:style w:type="paragraph" w:styleId="1531" w:customStyle="1">
    <w:name w:val="正文_22"/>
    <w:basedOn w:val="1482"/>
    <w:uiPriority w:val="0"/>
    <w:qFormat/>
    <w:rPr>
      <w:rFonts w:ascii="Times New Roman" w:hAnsi="Times New Roman"/>
    </w:rPr>
  </w:style>
  <w:style w:type="paragraph" w:styleId="1532" w:customStyle="1">
    <w:name w:val="标题 3_0_1"/>
    <w:uiPriority w:val="0"/>
    <w:qFormat/>
    <w:pPr>
      <w:jc w:val="both"/>
      <w:widowControl w:val="off"/>
    </w:pPr>
    <w:rPr>
      <w:rFonts w:hint="default" w:ascii="Times New Roman" w:hAnsi="Times New Roman" w:eastAsia="宋体" w:cs="Times New Roman"/>
      <w:sz w:val="21"/>
      <w:szCs w:val="22"/>
      <w:lang w:eastAsia="zh-CN"/>
    </w:rPr>
  </w:style>
  <w:style w:type="paragraph" w:styleId="1533" w:customStyle="1">
    <w:name w:val="正文文本缩进 2_1_0"/>
    <w:basedOn w:val="1516"/>
    <w:uiPriority w:val="0"/>
    <w:qFormat/>
    <w:pPr>
      <w:ind w:left="420"/>
      <w:spacing w:after="120" w:line="480" w:lineRule="auto"/>
    </w:pPr>
    <w:rPr>
      <w:rFonts w:cs="Calibri"/>
    </w:rPr>
  </w:style>
  <w:style w:type="paragraph" w:styleId="1534" w:customStyle="1">
    <w:name w:val="正文_5_1"/>
    <w:basedOn w:val="1482"/>
    <w:uiPriority w:val="0"/>
    <w:qFormat/>
    <w:rPr>
      <w:rFonts w:ascii="Times New Roman" w:hAnsi="Times New Roman"/>
      <w:szCs w:val="20"/>
    </w:rPr>
  </w:style>
  <w:style w:type="paragraph" w:styleId="1535" w:customStyle="1">
    <w:name w:val="正文_0_2_0"/>
    <w:basedOn w:val="1482"/>
    <w:uiPriority w:val="0"/>
    <w:qFormat/>
    <w:rPr>
      <w:rFonts w:ascii="Times New Roman" w:hAnsi="Times New Roman"/>
      <w:szCs w:val="24"/>
    </w:rPr>
  </w:style>
  <w:style w:type="paragraph" w:styleId="1536" w:customStyle="1">
    <w:name w:val="正文文本_1_0"/>
    <w:basedOn w:val="1516"/>
    <w:uiPriority w:val="0"/>
    <w:qFormat/>
    <w:pPr>
      <w:spacing w:after="120"/>
    </w:pPr>
    <w:rPr>
      <w:rFonts w:cs="Calibri"/>
    </w:rPr>
  </w:style>
  <w:style w:type="paragraph" w:styleId="1537" w:customStyle="1">
    <w:name w:val="Normal_16_0_0"/>
    <w:basedOn w:val="1492"/>
    <w:uiPriority w:val="0"/>
    <w:qFormat/>
    <w:pPr>
      <w:jc w:val="left"/>
      <w:widowControl/>
    </w:pPr>
    <w:rPr>
      <w:rFonts w:hint="eastAsia" w:ascii="黑体" w:hAnsi="宋体" w:eastAsia="黑体"/>
      <w:b/>
      <w:sz w:val="32"/>
    </w:rPr>
  </w:style>
  <w:style w:type="paragraph" w:styleId="1538" w:customStyle="1">
    <w:name w:val="Char Char Char Char Char Char Char Char Char Char3"/>
    <w:basedOn w:val="866"/>
    <w:uiPriority w:val="0"/>
    <w:qFormat/>
    <w:rPr>
      <w:rFonts w:ascii="Tahoma" w:hAnsi="Tahoma"/>
      <w:sz w:val="24"/>
      <w:szCs w:val="20"/>
    </w:rPr>
  </w:style>
  <w:style w:type="paragraph" w:styleId="1539" w:customStyle="1">
    <w:name w:val="正文_9_2"/>
    <w:uiPriority w:val="0"/>
    <w:qFormat/>
    <w:pPr>
      <w:jc w:val="both"/>
      <w:widowControl w:val="off"/>
    </w:pPr>
    <w:rPr>
      <w:rFonts w:hint="default" w:ascii="Times New Roman" w:hAnsi="Times New Roman" w:eastAsia="宋体" w:cs="Times New Roman"/>
      <w:sz w:val="21"/>
      <w:szCs w:val="24"/>
      <w:lang w:eastAsia="zh-CN"/>
    </w:rPr>
  </w:style>
  <w:style w:type="paragraph" w:styleId="1540" w:customStyle="1">
    <w:name w:val="正文_12_0_0"/>
    <w:uiPriority w:val="0"/>
    <w:qFormat/>
    <w:pPr>
      <w:jc w:val="both"/>
      <w:widowControl w:val="off"/>
    </w:pPr>
    <w:rPr>
      <w:rFonts w:hint="default" w:ascii="Times New Roman" w:hAnsi="Times New Roman" w:eastAsia="宋体" w:cs="Times New Roman"/>
      <w:sz w:val="21"/>
      <w:szCs w:val="24"/>
      <w:lang w:eastAsia="zh-CN"/>
    </w:rPr>
  </w:style>
  <w:style w:type="paragraph" w:styleId="1541" w:customStyle="1">
    <w:name w:val="正文_16_0"/>
    <w:uiPriority w:val="0"/>
    <w:qFormat/>
    <w:pPr>
      <w:jc w:val="both"/>
      <w:widowControl w:val="off"/>
    </w:pPr>
    <w:rPr>
      <w:rFonts w:hint="default" w:ascii="Calibri" w:hAnsi="Calibri" w:eastAsia="宋体" w:cs="Times New Roman"/>
      <w:lang w:eastAsia="zh-CN"/>
    </w:rPr>
  </w:style>
  <w:style w:type="paragraph" w:styleId="1542" w:customStyle="1">
    <w:name w:val="正文_16_1"/>
    <w:uiPriority w:val="0"/>
    <w:qFormat/>
    <w:pPr>
      <w:jc w:val="both"/>
      <w:widowControl w:val="off"/>
    </w:pPr>
    <w:rPr>
      <w:rFonts w:hint="default" w:ascii="Calibri" w:hAnsi="Calibri" w:eastAsia="宋体" w:cs="Times New Roman"/>
      <w:szCs w:val="24"/>
      <w:lang w:eastAsia="zh-CN"/>
    </w:rPr>
  </w:style>
  <w:style w:type="paragraph" w:styleId="1543" w:customStyle="1">
    <w:name w:val="正文_15_1"/>
    <w:uiPriority w:val="0"/>
    <w:qFormat/>
    <w:pPr>
      <w:jc w:val="both"/>
      <w:widowControl w:val="off"/>
    </w:pPr>
    <w:rPr>
      <w:rFonts w:hint="default" w:ascii="Calibri" w:hAnsi="Calibri" w:eastAsia="宋体" w:cs="Times New Roman"/>
      <w:szCs w:val="24"/>
      <w:lang w:eastAsia="zh-CN"/>
    </w:rPr>
  </w:style>
  <w:style w:type="paragraph" w:styleId="1544" w:customStyle="1">
    <w:name w:val="正文首行缩进1"/>
    <w:uiPriority w:val="0"/>
    <w:qFormat/>
    <w:pPr>
      <w:ind w:firstLine="200"/>
      <w:spacing w:line="360" w:lineRule="auto"/>
    </w:pPr>
    <w:rPr>
      <w:rFonts w:hint="default" w:ascii="仿宋_GB2312" w:hAnsi="Times New Roman" w:eastAsia="仿宋_GB2312" w:cs="Times New Roman"/>
      <w:b/>
      <w:sz w:val="30"/>
      <w:szCs w:val="30"/>
      <w:lang w:eastAsia="zh-CN"/>
    </w:rPr>
  </w:style>
  <w:style w:type="paragraph" w:styleId="1545" w:customStyle="1">
    <w:name w:val="正文_2_0_0"/>
    <w:uiPriority w:val="0"/>
    <w:qFormat/>
    <w:pPr>
      <w:jc w:val="both"/>
      <w:widowControl w:val="off"/>
    </w:pPr>
    <w:rPr>
      <w:rFonts w:hint="default" w:ascii="Calibri" w:hAnsi="Calibri" w:eastAsia="宋体" w:cs="Times New Roman"/>
      <w:sz w:val="21"/>
      <w:szCs w:val="22"/>
      <w:lang w:eastAsia="zh-CN"/>
    </w:rPr>
  </w:style>
  <w:style w:type="paragraph" w:styleId="1546" w:customStyle="1">
    <w:name w:val="正文_5_2"/>
    <w:uiPriority w:val="0"/>
    <w:qFormat/>
    <w:pPr>
      <w:spacing w:before="100" w:beforeAutospacing="1" w:after="160" w:line="252" w:lineRule="auto"/>
    </w:pPr>
    <w:rPr>
      <w:rFonts w:hint="default" w:ascii="Times New Roman" w:hAnsi="Times New Roman" w:eastAsia="宋体" w:cs="Times New Roman"/>
      <w:sz w:val="22"/>
      <w:szCs w:val="22"/>
      <w:lang w:eastAsia="zh-CN"/>
    </w:rPr>
  </w:style>
  <w:style w:type="paragraph" w:styleId="1547" w:customStyle="1">
    <w:name w:val="正文_21_1"/>
    <w:basedOn w:val="915"/>
    <w:uiPriority w:val="0"/>
    <w:qFormat/>
    <w:pPr>
      <w:jc w:val="both"/>
      <w:widowControl w:val="off"/>
    </w:pPr>
    <w:rPr>
      <w:rFonts w:ascii="Times New Roman" w:hAnsi="Times New Roman" w:eastAsia="宋体"/>
      <w:sz w:val="21"/>
      <w:szCs w:val="21"/>
    </w:rPr>
  </w:style>
  <w:style w:type="paragraph" w:styleId="1548" w:customStyle="1">
    <w:name w:val="正文_23"/>
    <w:uiPriority w:val="0"/>
    <w:qFormat/>
    <w:pPr>
      <w:jc w:val="both"/>
      <w:widowControl w:val="off"/>
    </w:pPr>
    <w:rPr>
      <w:rFonts w:hint="default" w:ascii="Times New Roman" w:hAnsi="Times New Roman" w:eastAsia="宋体" w:cs="Times New Roman"/>
      <w:sz w:val="21"/>
      <w:szCs w:val="21"/>
      <w:lang w:eastAsia="zh-CN"/>
    </w:rPr>
  </w:style>
  <w:style w:type="paragraph" w:styleId="1549" w:customStyle="1">
    <w:name w:val="正文3"/>
    <w:uiPriority w:val="0"/>
    <w:qFormat/>
    <w:pPr>
      <w:jc w:val="both"/>
      <w:widowControl w:val="off"/>
    </w:pPr>
    <w:rPr>
      <w:rFonts w:hint="default" w:ascii="Times New Roman" w:hAnsi="Times New Roman" w:eastAsia="宋体" w:cs="Times New Roman"/>
      <w:sz w:val="24"/>
      <w:szCs w:val="24"/>
      <w:lang w:eastAsia="zh-CN"/>
    </w:rPr>
  </w:style>
  <w:style w:type="table" w:styleId="1550" w:customStyle="1">
    <w:name w:val="Table Normal"/>
    <w:uiPriority w:val="0"/>
    <w:unhideWhenUsed/>
    <w:qFormat/>
    <w:tblPr>
      <w:tblCellMar>
        <w:left w:w="0" w:type="dxa"/>
        <w:top w:w="0" w:type="dxa"/>
        <w:right w:w="0" w:type="dxa"/>
        <w:bottom w:w="0" w:type="dxa"/>
      </w:tblCellMar>
    </w:tblPr>
  </w:style>
  <w:style w:type="numbering" w:styleId="134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周辰</cp:lastModifiedBy>
  <cp:revision>5</cp:revision>
  <dcterms:created xsi:type="dcterms:W3CDTF">2025-09-02T15:13:00Z</dcterms:created>
  <dcterms:modified xsi:type="dcterms:W3CDTF">2026-06-16T06:51:25Z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FBB53A49A858410EBEB4033243C094B6_13</vt:lpwstr>
  </property>
  <property fmtid="{D5CDD505-2E9C-101B-9397-08002B2CF9AE}" pid="3" name="KSOProductBuildVer">
    <vt:lpwstr>2052-12.1.0.26895</vt:lpwstr>
  </property>
  <property fmtid="{D5CDD505-2E9C-101B-9397-08002B2CF9AE}" pid="4" name="KSOTemplateDocerSaveRecord">
    <vt:lpwstr>eyJoZGlkIjoiYTdmODBmY2U0YTY5YzAyZjE5NTZjZjk3YTYzYjU5YjUiLCJ1c2VySWQiOiI0MTE0NTUwMjMifQ==</vt:lpwstr>
  </property>
</Properties>
</file>