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hint="default"/>
          <w:sz w:val="32"/>
          <w:szCs w:val="32"/>
          <w:highlight w:val="none"/>
          <w:lang w:val="en-US" w:eastAsia="zh-CN"/>
        </w:rPr>
      </w:pPr>
      <w:r>
        <w:rPr>
          <w:rFonts w:hint="eastAsia"/>
          <w:sz w:val="32"/>
          <w:szCs w:val="32"/>
          <w:highlight w:val="none"/>
          <w:lang w:val="en-US" w:eastAsia="zh-CN"/>
        </w:rPr>
      </w:r>
      <w:r>
        <w:rPr>
          <w:rFonts w:hint="eastAsia"/>
          <w:sz w:val="32"/>
          <w:szCs w:val="32"/>
          <w:highlight w:val="none"/>
          <w:lang w:val="en-US" w:eastAsia="zh-CN"/>
        </w:rPr>
      </w:r>
    </w:p>
    <w:p>
      <w:pPr>
        <w:jc w:val="center"/>
        <w:rPr>
          <w:rFonts w:hint="eastAsia"/>
          <w:sz w:val="32"/>
          <w:szCs w:val="32"/>
          <w:highlight w:val="none"/>
          <w:lang w:val="en-US" w:eastAsia="zh-CN"/>
        </w:rPr>
      </w:pPr>
      <w:r>
        <w:rPr>
          <w:rFonts w:hint="eastAsia"/>
          <w:sz w:val="32"/>
          <w:szCs w:val="32"/>
          <w:highlight w:val="none"/>
          <w:lang w:val="en-US" w:eastAsia="zh-CN"/>
        </w:rPr>
        <w:t xml:space="preserve">南通高新技术产业开发区管理委员会2026年政府投资建设项目协审服务框架协议采购更正公告</w:t>
      </w:r>
      <w:r/>
    </w:p>
    <w:p>
      <w:pPr>
        <w:numPr>
          <w:ilvl w:val="0"/>
          <w:numId w:val="0"/>
        </w:numPr>
        <w:ind w:firstLine="480"/>
        <w:keepLines w:val="0"/>
        <w:keepNext w:val="0"/>
        <w:pageBreakBefore w:val="0"/>
        <w:spacing w:line="500" w:lineRule="exact"/>
        <w:widowControl w:val="off"/>
        <w:rPr>
          <w:rFonts w:hint="default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 xml:space="preserve">一、项目基本情况</w:t>
      </w:r>
      <w:r/>
    </w:p>
    <w:p>
      <w:pPr>
        <w:numPr>
          <w:ilvl w:val="0"/>
          <w:numId w:val="0"/>
        </w:numPr>
        <w:ind w:firstLine="480"/>
        <w:keepLines w:val="0"/>
        <w:keepNext w:val="0"/>
        <w:pageBreakBefore w:val="0"/>
        <w:spacing w:line="500" w:lineRule="exact"/>
        <w:widowControl w:val="off"/>
        <w:rPr>
          <w:rFonts w:hint="default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 xml:space="preserve">原公告的采购项目编号：JSZC-320612-TZTY-K2026-0005</w:t>
      </w:r>
      <w:r/>
    </w:p>
    <w:p>
      <w:pPr>
        <w:numPr>
          <w:ilvl w:val="0"/>
          <w:numId w:val="0"/>
        </w:numPr>
        <w:ind w:firstLine="480"/>
        <w:keepLines w:val="0"/>
        <w:keepNext w:val="0"/>
        <w:pageBreakBefore w:val="0"/>
        <w:spacing w:line="500" w:lineRule="exact"/>
        <w:widowControl w:val="off"/>
        <w:rPr>
          <w:rFonts w:hint="eastAsia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 xml:space="preserve">原公告的采购项目名称：南通高新技术产业开发区管理委员会2026年政府投资建设项目协审服务框架协议采购</w:t>
      </w:r>
      <w:r/>
    </w:p>
    <w:p>
      <w:pPr>
        <w:numPr>
          <w:ilvl w:val="0"/>
          <w:numId w:val="0"/>
        </w:numPr>
        <w:ind w:firstLine="480"/>
        <w:keepLines w:val="0"/>
        <w:keepNext w:val="0"/>
        <w:pageBreakBefore w:val="0"/>
        <w:spacing w:line="500" w:lineRule="exact"/>
        <w:widowControl w:val="off"/>
        <w:rPr>
          <w:rFonts w:hint="default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 xml:space="preserve">首次公告日期：2026年6月22日</w:t>
      </w:r>
      <w:r/>
    </w:p>
    <w:p>
      <w:pPr>
        <w:numPr>
          <w:ilvl w:val="0"/>
          <w:numId w:val="0"/>
        </w:numPr>
        <w:ind w:firstLine="480"/>
        <w:keepLines w:val="0"/>
        <w:keepNext w:val="0"/>
        <w:pageBreakBefore w:val="0"/>
        <w:spacing w:line="500" w:lineRule="exact"/>
        <w:widowControl w:val="off"/>
        <w:rPr>
          <w:rFonts w:hint="eastAsia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 xml:space="preserve">二、更正信息</w:t>
      </w:r>
      <w:r/>
    </w:p>
    <w:p>
      <w:pPr>
        <w:numPr>
          <w:ilvl w:val="0"/>
          <w:numId w:val="0"/>
        </w:numPr>
        <w:ind w:firstLine="480"/>
        <w:keepLines w:val="0"/>
        <w:keepNext w:val="0"/>
        <w:pageBreakBefore w:val="0"/>
        <w:spacing w:line="500" w:lineRule="exact"/>
        <w:widowControl w:val="off"/>
        <w:rPr>
          <w:rFonts w:hint="default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 xml:space="preserve">更正事项：采购文件</w:t>
      </w:r>
      <w:r/>
    </w:p>
    <w:p>
      <w:pPr>
        <w:numPr>
          <w:ilvl w:val="0"/>
          <w:numId w:val="0"/>
        </w:numPr>
        <w:ind w:firstLine="480"/>
        <w:keepLines w:val="0"/>
        <w:keepNext w:val="0"/>
        <w:pageBreakBefore w:val="0"/>
        <w:spacing w:line="500" w:lineRule="exact"/>
        <w:widowControl w:val="off"/>
        <w:rPr>
          <w:rFonts w:hint="default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 xml:space="preserve">更正内容：</w:t>
      </w:r>
      <w:r/>
    </w:p>
    <w:p>
      <w:pPr>
        <w:numPr>
          <w:ilvl w:val="0"/>
          <w:numId w:val="0"/>
        </w:numPr>
        <w:ind w:firstLine="480"/>
        <w:keepLines w:val="0"/>
        <w:keepNext w:val="0"/>
        <w:pageBreakBefore w:val="0"/>
        <w:spacing w:line="500" w:lineRule="exact"/>
        <w:widowControl w:val="off"/>
        <w:rPr>
          <w:rFonts w:hint="default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 xml:space="preserve">1、请问条款中“政府委托”的委托方是否包含以下单位，能否认定为政府委托业绩：（1）各级党委、人大、政协、纪委监委、法院、检察院机关；（2）</w:t>
      </w:r>
      <w:r/>
    </w:p>
    <w:p>
      <w:pPr>
        <w:numPr>
          <w:ilvl w:val="0"/>
          <w:numId w:val="0"/>
        </w:numPr>
        <w:keepLines w:val="0"/>
        <w:keepNext w:val="0"/>
        <w:pageBreakBefore w:val="0"/>
        <w:spacing w:line="500" w:lineRule="exact"/>
        <w:widowControl w:val="off"/>
        <w:rPr>
          <w:rFonts w:hint="eastAsia"/>
          <w:sz w:val="24"/>
          <w:szCs w:val="24"/>
          <w:highlight w:val="none"/>
          <w:lang w:val="zh-CN" w:eastAsia="zh-CN"/>
        </w:rPr>
      </w:pPr>
      <w:r>
        <w:rPr>
          <w:rFonts w:hint="eastAsia"/>
          <w:sz w:val="24"/>
          <w:szCs w:val="24"/>
          <w:highlight w:val="none"/>
          <w:lang w:val="en-US" w:eastAsia="zh-CN"/>
        </w:rPr>
        <w:t xml:space="preserve">政府直属行政机关、事业单位（学校、医院、疾控中心、文旅场馆、城管、水利、 交通等公益一类/二类事业单位）；（3）国有全资平台公司、城投、交投、园区管委会下属国有建设公司；（4）村（社区）集体经济组织、街道办事处、乡镇人民政府；（5）财政全额拨款、差额拨款单位，自收自支事业单位是否统一认定为政府委托？</w:t>
      </w:r>
      <w:r/>
    </w:p>
    <w:p>
      <w:pPr>
        <w:pStyle w:val="610"/>
        <w:numPr>
          <w:ilvl w:val="0"/>
          <w:numId w:val="0"/>
        </w:numPr>
        <w:ind w:firstLine="482"/>
        <w:keepLines w:val="0"/>
        <w:keepNext w:val="0"/>
        <w:pageBreakBefore w:val="0"/>
        <w:spacing w:after="0" w:line="500" w:lineRule="exact"/>
        <w:widowControl w:val="off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/>
          <w:bCs/>
          <w:sz w:val="24"/>
          <w:szCs w:val="24"/>
          <w:highlight w:val="none"/>
          <w:lang w:val="en-US" w:eastAsia="zh-CN" w:bidi="ar-SA"/>
        </w:rPr>
        <w:t xml:space="preserve">答：</w:t>
      </w:r>
      <w:r>
        <w:rPr>
          <w:rFonts w:hint="eastAsia" w:cs="Times New Roman"/>
          <w:b/>
          <w:bCs/>
          <w:sz w:val="24"/>
          <w:szCs w:val="24"/>
          <w:highlight w:val="none"/>
          <w:lang w:val="en-US" w:eastAsia="zh-CN" w:bidi="ar-SA"/>
        </w:rPr>
        <w:t xml:space="preserve">（1）、（2）中的行政机关、（4）中的街道办事处、乡镇人民政府可以。</w:t>
      </w:r>
      <w:r/>
    </w:p>
    <w:p>
      <w:pPr>
        <w:pStyle w:val="610"/>
        <w:numPr>
          <w:ilvl w:val="0"/>
          <w:numId w:val="0"/>
        </w:numPr>
        <w:ind w:firstLine="480"/>
        <w:keepLines w:val="0"/>
        <w:keepNext w:val="0"/>
        <w:pageBreakBefore w:val="0"/>
        <w:spacing w:after="0" w:line="500" w:lineRule="exact"/>
        <w:widowControl w:val="off"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</w:pPr>
      <w:r>
        <w:rPr>
          <w:rFonts w:hint="eastAsia" w:cs="Times New Roman"/>
          <w:sz w:val="24"/>
          <w:szCs w:val="24"/>
          <w:highlight w:val="none"/>
          <w:lang w:val="en-US" w:eastAsia="zh-CN" w:bidi="ar-SA"/>
        </w:rPr>
        <w:t xml:space="preserve">2、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  <w:t xml:space="preserve">若项目委托方为国企/国有平台公司，但项目资金全部为财政预算资金、政府专项债资金，该项目审计业绩是否可算作本条“政府委托”业绩?</w:t>
      </w:r>
      <w:r/>
    </w:p>
    <w:p>
      <w:pPr>
        <w:pStyle w:val="610"/>
        <w:numPr>
          <w:ilvl w:val="0"/>
          <w:numId w:val="0"/>
        </w:numPr>
        <w:ind w:firstLine="482"/>
        <w:keepLines w:val="0"/>
        <w:keepNext w:val="0"/>
        <w:pageBreakBefore w:val="0"/>
        <w:spacing w:after="0" w:line="500" w:lineRule="exact"/>
        <w:widowControl w:val="off"/>
        <w:rPr>
          <w:rFonts w:hint="default" w:ascii="Times New Roman" w:hAnsi="Times New Roman" w:eastAsia="宋体" w:cs="Times New Roman"/>
          <w:b/>
          <w:bCs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/>
          <w:bCs/>
          <w:sz w:val="24"/>
          <w:szCs w:val="24"/>
          <w:highlight w:val="none"/>
          <w:lang w:val="en-US" w:eastAsia="zh-CN" w:bidi="ar-SA"/>
        </w:rPr>
        <w:t xml:space="preserve">答：</w:t>
      </w:r>
      <w:r>
        <w:rPr>
          <w:rFonts w:hint="eastAsia" w:cs="Times New Roman"/>
          <w:b/>
          <w:bCs/>
          <w:sz w:val="24"/>
          <w:szCs w:val="24"/>
          <w:highlight w:val="none"/>
          <w:lang w:val="en-US" w:eastAsia="zh-CN" w:bidi="ar-SA"/>
        </w:rPr>
        <w:t xml:space="preserve">否。</w:t>
      </w:r>
      <w:r/>
    </w:p>
    <w:p>
      <w:pPr>
        <w:pStyle w:val="617"/>
        <w:ind w:left="-85" w:right="0" w:firstLine="420"/>
        <w:jc w:val="both"/>
        <w:keepLines w:val="0"/>
        <w:keepNext w:val="0"/>
        <w:pageBreakBefore w:val="0"/>
        <w:spacing w:before="0" w:beforeAutospacing="0" w:after="0" w:afterAutospacing="0" w:line="500" w:lineRule="exact"/>
        <w:widowControl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  <w:suppressLineNumbers w:val="0"/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  <w:t xml:space="preserve"> 3、政府和社会资本合作</w:t>
      </w:r>
      <w:r>
        <w:rPr>
          <w:rFonts w:hint="eastAsia" w:cs="Times New Roman"/>
          <w:sz w:val="24"/>
          <w:szCs w:val="24"/>
          <w:highlight w:val="none"/>
          <w:lang w:val="en-US" w:eastAsia="zh-CN" w:bidi="ar-SA"/>
        </w:rPr>
        <w:t xml:space="preserve">（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  <w:t xml:space="preserve">PPP</w:t>
      </w:r>
      <w:r>
        <w:rPr>
          <w:rFonts w:hint="eastAsia" w:cs="Times New Roman"/>
          <w:sz w:val="24"/>
          <w:szCs w:val="24"/>
          <w:highlight w:val="none"/>
          <w:lang w:val="en-US" w:eastAsia="zh-CN" w:bidi="ar-SA"/>
        </w:rPr>
        <w:t xml:space="preserve">）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  <w:t xml:space="preserve">项目、EPC 政府投资项目，委托方为项目公司，项目资金含财政补贴/财政付费，该类审计业绩是否纳入“政府委托”计分 业绩?</w:t>
      </w:r>
      <w:r/>
    </w:p>
    <w:p>
      <w:pPr>
        <w:pStyle w:val="617"/>
        <w:ind w:left="-85" w:right="0" w:firstLine="602"/>
        <w:jc w:val="both"/>
        <w:keepLines w:val="0"/>
        <w:keepNext w:val="0"/>
        <w:pageBreakBefore w:val="0"/>
        <w:spacing w:before="0" w:beforeAutospacing="0" w:after="0" w:afterAutospacing="0" w:line="500" w:lineRule="exact"/>
        <w:widowControl/>
        <w:rPr>
          <w:rFonts w:hint="default" w:cs="Times New Roman"/>
          <w:b/>
          <w:bCs/>
          <w:sz w:val="24"/>
          <w:szCs w:val="24"/>
          <w:highlight w:val="none"/>
          <w:lang w:val="en-US" w:eastAsia="zh-CN" w:bidi="ar-SA"/>
        </w:rPr>
        <w:suppressLineNumbers w:val="0"/>
      </w:pPr>
      <w:r>
        <w:rPr>
          <w:rFonts w:hint="eastAsia" w:ascii="Times New Roman" w:hAnsi="Times New Roman" w:eastAsia="宋体" w:cs="Times New Roman"/>
          <w:b/>
          <w:bCs/>
          <w:sz w:val="24"/>
          <w:szCs w:val="24"/>
          <w:highlight w:val="none"/>
          <w:lang w:val="en-US" w:eastAsia="zh-CN" w:bidi="ar-SA"/>
        </w:rPr>
        <w:t xml:space="preserve">答：</w:t>
      </w:r>
      <w:r>
        <w:rPr>
          <w:rFonts w:hint="eastAsia" w:cs="Times New Roman"/>
          <w:b/>
          <w:bCs/>
          <w:sz w:val="24"/>
          <w:szCs w:val="24"/>
          <w:highlight w:val="none"/>
          <w:lang w:val="en-US" w:eastAsia="zh-CN" w:bidi="ar-SA"/>
        </w:rPr>
        <w:t xml:space="preserve">否。</w:t>
      </w:r>
      <w:r/>
    </w:p>
    <w:p>
      <w:pPr>
        <w:pStyle w:val="617"/>
        <w:ind w:left="-85" w:right="0" w:firstLine="420"/>
        <w:jc w:val="both"/>
        <w:keepLines w:val="0"/>
        <w:keepNext w:val="0"/>
        <w:pageBreakBefore w:val="0"/>
        <w:spacing w:before="0" w:beforeAutospacing="0" w:after="0" w:afterAutospacing="0" w:line="500" w:lineRule="exact"/>
        <w:widowControl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  <w:suppressLineNumbers w:val="0"/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  <w:t xml:space="preserve"> 4、本项目的征集文件中第29页“2 项目负责人及项目组成员编审业绩”中提到需 要“政府”委托的各类业绩。</w:t>
      </w:r>
      <w:r/>
    </w:p>
    <w:p>
      <w:pPr>
        <w:pStyle w:val="617"/>
        <w:ind w:left="-85" w:right="0" w:firstLine="420"/>
        <w:jc w:val="both"/>
        <w:keepLines w:val="0"/>
        <w:keepNext w:val="0"/>
        <w:pageBreakBefore w:val="0"/>
        <w:spacing w:before="0" w:beforeAutospacing="0" w:after="0" w:afterAutospacing="0" w:line="500" w:lineRule="exact"/>
        <w:widowControl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  <w:suppressLineNumbers w:val="0"/>
      </w:pPr>
      <w:r>
        <w:rPr>
          <w:rFonts w:hint="eastAsia" w:ascii="宋体" w:hAnsi="宋体" w:eastAsia="宋体" w:cs="宋体"/>
          <w:i w:val="0"/>
          <w:iCs w:val="0"/>
          <w:caps w:val="0"/>
          <w:color w:val="13181d"/>
          <w:spacing w:val="0"/>
          <w:sz w:val="21"/>
          <w:szCs w:val="21"/>
          <w:highlight w:val="none"/>
        </w:rPr>
        <w:t xml:space="preserve"> </w:t>
      </w:r>
      <w:r/>
    </w:p>
    <w:tbl>
      <w:tblPr>
        <w:tblStyle w:val="623"/>
        <w:tblW w:w="7934" w:type="dxa"/>
        <w:tblInd w:w="4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493"/>
        <w:gridCol w:w="943"/>
        <w:gridCol w:w="6498"/>
      </w:tblGrid>
      <w:tr>
        <w:trPr>
          <w:trHeight w:val="4585"/>
        </w:trPr>
        <w:tc>
          <w:tcPr>
            <w:tcW w:w="493" w:type="dxa"/>
            <w:vAlign w:val="center"/>
            <w:textDirection w:val="lrTb"/>
            <w:noWrap w:val="false"/>
          </w:tcPr>
          <w:p>
            <w:pPr>
              <w:pStyle w:val="624"/>
              <w:ind w:firstLine="190"/>
              <w:jc w:val="both"/>
              <w:spacing w:before="61" w:line="241" w:lineRule="auto"/>
              <w:rPr>
                <w:highlight w:val="none"/>
              </w:rPr>
            </w:pPr>
            <w:r>
              <w:rPr>
                <w:highlight w:val="none"/>
              </w:rPr>
              <w:t xml:space="preserve">2</w:t>
            </w:r>
            <w:r/>
          </w:p>
        </w:tc>
        <w:tc>
          <w:tcPr>
            <w:tcW w:w="943" w:type="dxa"/>
            <w:vAlign w:val="center"/>
            <w:textDirection w:val="lrTb"/>
            <w:noWrap w:val="false"/>
          </w:tcPr>
          <w:p>
            <w:pPr>
              <w:pStyle w:val="624"/>
              <w:ind w:right="222"/>
              <w:jc w:val="both"/>
              <w:spacing w:before="61" w:line="287" w:lineRule="auto"/>
              <w:rPr>
                <w:highlight w:val="none"/>
              </w:rPr>
            </w:pPr>
            <w:r>
              <w:rPr>
                <w:spacing w:val="3"/>
                <w:highlight w:val="none"/>
              </w:rPr>
              <w:t xml:space="preserve">项目负责</w:t>
            </w:r>
            <w:r>
              <w:rPr>
                <w:spacing w:val="8"/>
                <w:highlight w:val="none"/>
              </w:rPr>
              <w:t xml:space="preserve">人及项</w:t>
            </w:r>
            <w:r>
              <w:rPr>
                <w:rFonts w:hint="eastAsia"/>
                <w:spacing w:val="8"/>
                <w:highlight w:val="none"/>
                <w:lang w:val="en-US" w:eastAsia="zh-CN"/>
              </w:rPr>
              <w:t xml:space="preserve">目</w:t>
            </w:r>
            <w:r>
              <w:rPr>
                <w:spacing w:val="3"/>
                <w:highlight w:val="none"/>
              </w:rPr>
              <w:t xml:space="preserve">组成员编</w:t>
            </w:r>
            <w:r>
              <w:rPr>
                <w:spacing w:val="1"/>
                <w:highlight w:val="none"/>
              </w:rPr>
              <w:t xml:space="preserve"> </w:t>
            </w:r>
            <w:r>
              <w:rPr>
                <w:spacing w:val="2"/>
                <w:highlight w:val="none"/>
              </w:rPr>
              <w:t xml:space="preserve">审业绩</w:t>
            </w:r>
            <w:r/>
          </w:p>
        </w:tc>
        <w:tc>
          <w:tcPr>
            <w:tcW w:w="6498" w:type="dxa"/>
            <w:vAlign w:val="top"/>
            <w:textDirection w:val="lrTb"/>
            <w:noWrap w:val="false"/>
          </w:tcPr>
          <w:p>
            <w:pPr>
              <w:pStyle w:val="624"/>
              <w:ind w:left="95" w:right="149" w:firstLine="349"/>
              <w:keepLines w:val="0"/>
              <w:keepNext w:val="0"/>
              <w:pageBreakBefore w:val="0"/>
              <w:spacing w:line="360" w:lineRule="exact"/>
              <w:widowControl w:val="off"/>
              <w:rPr>
                <w:highlight w:val="none"/>
              </w:rPr>
            </w:pPr>
            <w:r>
              <w:rPr>
                <w:b/>
                <w:bCs/>
                <w:spacing w:val="-3"/>
                <w:highlight w:val="none"/>
              </w:rPr>
              <w:t xml:space="preserve">提供拟派参审人员2023年1月1日以来的业绩(需同时为</w:t>
            </w:r>
            <w:r>
              <w:rPr>
                <w:b/>
                <w:bCs/>
                <w:spacing w:val="2"/>
                <w:highlight w:val="none"/>
              </w:rPr>
              <w:t xml:space="preserve">投标单位业绩)</w:t>
            </w:r>
            <w:r/>
          </w:p>
          <w:p>
            <w:pPr>
              <w:pStyle w:val="624"/>
              <w:ind w:left="93" w:firstLine="429"/>
              <w:keepLines w:val="0"/>
              <w:keepNext w:val="0"/>
              <w:pageBreakBefore w:val="0"/>
              <w:spacing w:line="360" w:lineRule="exact"/>
              <w:widowControl w:val="off"/>
              <w:rPr>
                <w:highlight w:val="none"/>
              </w:rPr>
            </w:pPr>
            <w:r>
              <w:rPr>
                <w:highlight w:val="none"/>
              </w:rPr>
              <w:t xml:space="preserve">(1)提供的业绩中，凡有政府委托的1亿元以上土建工</w:t>
            </w:r>
            <w:r>
              <w:rPr>
                <w:spacing w:val="3"/>
                <w:highlight w:val="none"/>
              </w:rPr>
              <w:t xml:space="preserve">  </w:t>
            </w:r>
            <w:r>
              <w:rPr>
                <w:spacing w:val="-1"/>
                <w:highlight w:val="none"/>
              </w:rPr>
              <w:t xml:space="preserve">程或2000万元以上的安装、装饰、市政、供电、园林绿化工</w:t>
            </w:r>
            <w:r>
              <w:rPr>
                <w:spacing w:val="17"/>
                <w:highlight w:val="none"/>
              </w:rPr>
              <w:t xml:space="preserve"> </w:t>
            </w:r>
            <w:r>
              <w:rPr>
                <w:spacing w:val="-3"/>
                <w:highlight w:val="none"/>
              </w:rPr>
              <w:t xml:space="preserve">程</w:t>
            </w:r>
            <w:r>
              <w:rPr>
                <w:spacing w:val="-3"/>
                <w:highlight w:val="none"/>
                <w:u w:val="single"/>
              </w:rPr>
              <w:t xml:space="preserve">其中一类</w:t>
            </w:r>
            <w:r>
              <w:rPr>
                <w:spacing w:val="-3"/>
                <w:highlight w:val="none"/>
              </w:rPr>
              <w:t xml:space="preserve">的标底审计业绩，有一个得1分，本小项最多得12</w:t>
            </w:r>
            <w:r>
              <w:rPr>
                <w:spacing w:val="6"/>
                <w:highlight w:val="none"/>
              </w:rPr>
              <w:t xml:space="preserve"> </w:t>
            </w:r>
            <w:r>
              <w:rPr>
                <w:spacing w:val="-2"/>
                <w:highlight w:val="none"/>
              </w:rPr>
              <w:t xml:space="preserve">分。</w:t>
            </w:r>
            <w:r/>
          </w:p>
          <w:p>
            <w:pPr>
              <w:pStyle w:val="624"/>
              <w:ind w:left="93" w:right="28" w:firstLine="429"/>
              <w:keepLines w:val="0"/>
              <w:keepNext w:val="0"/>
              <w:pageBreakBefore w:val="0"/>
              <w:spacing w:line="360" w:lineRule="exact"/>
              <w:widowControl w:val="off"/>
              <w:rPr>
                <w:highlight w:val="none"/>
              </w:rPr>
            </w:pPr>
            <w:r>
              <w:rPr>
                <w:highlight w:val="none"/>
              </w:rPr>
              <w:t xml:space="preserve">(2)提供的业绩巾，凡有政府委托的1亿以上土建工程</w:t>
            </w:r>
            <w:r>
              <w:rPr>
                <w:spacing w:val="2"/>
                <w:highlight w:val="none"/>
              </w:rPr>
              <w:t xml:space="preserve">  </w:t>
            </w:r>
            <w:r>
              <w:rPr>
                <w:spacing w:val="-1"/>
                <w:highlight w:val="none"/>
              </w:rPr>
              <w:t xml:space="preserve">或2000万元以上的安装、装饰、市政、供电、园林绿化工程</w:t>
            </w:r>
            <w:r>
              <w:rPr>
                <w:spacing w:val="17"/>
                <w:highlight w:val="none"/>
              </w:rPr>
              <w:t xml:space="preserve"> </w:t>
            </w:r>
            <w:r>
              <w:rPr>
                <w:highlight w:val="none"/>
                <w:u w:val="single"/>
              </w:rPr>
              <w:t xml:space="preserve">其中一类</w:t>
            </w:r>
            <w:r>
              <w:rPr>
                <w:highlight w:val="none"/>
              </w:rPr>
              <w:t xml:space="preserve">的结算审计业绩，有一个得1分，本小项最多得12</w:t>
            </w:r>
            <w:r>
              <w:rPr>
                <w:spacing w:val="2"/>
                <w:highlight w:val="none"/>
              </w:rPr>
              <w:t xml:space="preserve">  </w:t>
            </w:r>
            <w:r>
              <w:rPr>
                <w:spacing w:val="-2"/>
                <w:highlight w:val="none"/>
              </w:rPr>
              <w:t xml:space="preserve">分。</w:t>
            </w:r>
            <w:r/>
          </w:p>
          <w:p>
            <w:pPr>
              <w:pStyle w:val="624"/>
              <w:ind w:left="93" w:right="8" w:firstLine="429"/>
              <w:keepLines w:val="0"/>
              <w:keepNext w:val="0"/>
              <w:pageBreakBefore w:val="0"/>
              <w:spacing w:line="360" w:lineRule="exact"/>
              <w:widowControl w:val="off"/>
              <w:rPr>
                <w:highlight w:val="none"/>
              </w:rPr>
            </w:pPr>
            <w:r>
              <w:rPr>
                <w:highlight w:val="none"/>
              </w:rPr>
              <w:t xml:space="preserve">(3)提供的业绩中，凡有政府委托的5000万元以上土建</w:t>
            </w:r>
            <w:r>
              <w:rPr>
                <w:spacing w:val="2"/>
                <w:highlight w:val="none"/>
              </w:rPr>
              <w:t xml:space="preserve"> </w:t>
            </w:r>
            <w:r>
              <w:rPr>
                <w:highlight w:val="none"/>
              </w:rPr>
              <w:t xml:space="preserve">工程或1000万元以上安装、装饰、市政、供电、园林绿化工</w:t>
            </w:r>
            <w:r>
              <w:rPr>
                <w:spacing w:val="9"/>
                <w:highlight w:val="none"/>
              </w:rPr>
              <w:t xml:space="preserve"> </w:t>
            </w:r>
            <w:r>
              <w:rPr>
                <w:highlight w:val="none"/>
              </w:rPr>
              <w:t xml:space="preserve">程</w:t>
            </w:r>
            <w:r>
              <w:rPr>
                <w:highlight w:val="none"/>
                <w:u w:val="single"/>
              </w:rPr>
              <w:t xml:space="preserve">其中一类</w:t>
            </w:r>
            <w:r>
              <w:rPr>
                <w:highlight w:val="none"/>
              </w:rPr>
              <w:t xml:space="preserve">的跟踪审计业绩，有一个得2分，本小项最多得6</w:t>
            </w:r>
            <w:r>
              <w:rPr>
                <w:spacing w:val="8"/>
                <w:highlight w:val="none"/>
              </w:rPr>
              <w:t xml:space="preserve"> </w:t>
            </w:r>
            <w:r>
              <w:rPr>
                <w:spacing w:val="-2"/>
                <w:highlight w:val="none"/>
              </w:rPr>
              <w:t xml:space="preserve">分。</w:t>
            </w:r>
            <w:r/>
          </w:p>
          <w:p>
            <w:pPr>
              <w:pStyle w:val="624"/>
              <w:ind w:left="93" w:firstLine="419"/>
              <w:keepLines w:val="0"/>
              <w:keepNext w:val="0"/>
              <w:pageBreakBefore w:val="0"/>
              <w:spacing w:line="360" w:lineRule="exact"/>
              <w:widowControl w:val="off"/>
              <w:rPr>
                <w:highlight w:val="none"/>
              </w:rPr>
            </w:pPr>
            <w:r>
              <w:rPr>
                <w:spacing w:val="-1"/>
                <w:highlight w:val="none"/>
              </w:rPr>
              <w:t xml:space="preserve">(4)提供的业绩中，凡有政府委托的公共建筑或厂房，1</w:t>
            </w:r>
            <w:r>
              <w:rPr>
                <w:spacing w:val="4"/>
                <w:highlight w:val="none"/>
              </w:rPr>
              <w:t xml:space="preserve"> </w:t>
            </w:r>
            <w:r>
              <w:rPr>
                <w:highlight w:val="none"/>
              </w:rPr>
              <w:t xml:space="preserve">亿元以上土建项目或2000万元以上装饰或安装工程的标底审</w:t>
            </w:r>
            <w:r>
              <w:rPr>
                <w:spacing w:val="5"/>
                <w:highlight w:val="none"/>
              </w:rPr>
              <w:t xml:space="preserve"> </w:t>
            </w:r>
            <w:r>
              <w:rPr>
                <w:spacing w:val="-1"/>
                <w:highlight w:val="none"/>
              </w:rPr>
              <w:t xml:space="preserve">计或结算审计业绩，有一个得2分，本小项最多得6分。</w:t>
            </w:r>
            <w:r/>
          </w:p>
        </w:tc>
      </w:tr>
    </w:tbl>
    <w:p>
      <w:pPr>
        <w:pStyle w:val="617"/>
        <w:ind w:left="-85" w:right="0" w:firstLine="420"/>
        <w:jc w:val="both"/>
        <w:keepLines w:val="0"/>
        <w:keepNext w:val="0"/>
        <w:pageBreakBefore w:val="0"/>
        <w:spacing w:before="0" w:beforeAutospacing="0" w:afterAutospacing="0" w:line="400" w:lineRule="exact"/>
        <w:widowControl/>
        <w:rPr>
          <w:rFonts w:hint="default" w:cs="Times New Roman"/>
          <w:sz w:val="24"/>
          <w:szCs w:val="24"/>
          <w:highlight w:val="none"/>
          <w:lang w:val="en-US" w:eastAsia="zh-CN" w:bidi="ar-SA"/>
        </w:rPr>
        <w:suppressLineNumbers w:val="0"/>
      </w:pPr>
      <w:r>
        <w:rPr>
          <w:rFonts w:hint="eastAsia" w:cs="Times New Roman"/>
          <w:sz w:val="24"/>
          <w:szCs w:val="24"/>
          <w:highlight w:val="none"/>
          <w:lang w:val="en-US" w:eastAsia="zh-CN" w:bidi="ar-SA"/>
        </w:rPr>
        <w:t xml:space="preserve">疑问：（1）</w:t>
      </w:r>
      <w:r>
        <w:rPr>
          <w:rFonts w:hint="default" w:cs="Times New Roman"/>
          <w:sz w:val="24"/>
          <w:szCs w:val="24"/>
          <w:highlight w:val="none"/>
          <w:lang w:val="en-US" w:eastAsia="zh-CN" w:bidi="ar-SA"/>
        </w:rPr>
        <w:t xml:space="preserve">此处的“政府”具体指哪些单位?</w:t>
      </w:r>
      <w:r>
        <w:rPr>
          <w:rFonts w:hint="eastAsia" w:cs="Times New Roman"/>
          <w:sz w:val="24"/>
          <w:szCs w:val="24"/>
          <w:highlight w:val="none"/>
          <w:lang w:val="en-US" w:eastAsia="zh-CN" w:bidi="ar-SA"/>
        </w:rPr>
        <w:t xml:space="preserve">（2）</w:t>
      </w:r>
      <w:r>
        <w:rPr>
          <w:rFonts w:hint="default" w:cs="Times New Roman"/>
          <w:sz w:val="24"/>
          <w:szCs w:val="24"/>
          <w:highlight w:val="none"/>
          <w:lang w:val="en-US" w:eastAsia="zh-CN" w:bidi="ar-SA"/>
        </w:rPr>
        <w:t xml:space="preserve">各类事业单位、国有企业委托的业绩是否符合此要求?</w:t>
      </w:r>
      <w:r/>
    </w:p>
    <w:p>
      <w:pPr>
        <w:pStyle w:val="617"/>
        <w:ind w:right="0" w:firstLine="482"/>
        <w:jc w:val="both"/>
        <w:keepLines w:val="0"/>
        <w:keepNext w:val="0"/>
        <w:pageBreakBefore w:val="0"/>
        <w:spacing w:before="0" w:beforeAutospacing="0" w:afterAutospacing="0" w:line="400" w:lineRule="exact"/>
        <w:widowControl/>
        <w:rPr>
          <w:rFonts w:hint="default" w:ascii="宋体" w:hAnsi="宋体" w:eastAsia="宋体" w:cs="宋体"/>
          <w:b w:val="0"/>
          <w:bCs w:val="0"/>
          <w:i w:val="0"/>
          <w:iCs w:val="0"/>
          <w:caps w:val="0"/>
          <w:color w:val="13181d"/>
          <w:spacing w:val="0"/>
          <w:sz w:val="21"/>
          <w:szCs w:val="21"/>
          <w:highlight w:val="none"/>
          <w:lang w:val="en-US"/>
        </w:rPr>
        <w:suppressLineNumbers w:val="0"/>
      </w:pPr>
      <w:r>
        <w:rPr>
          <w:rFonts w:hint="eastAsia" w:cs="Times New Roman"/>
          <w:b/>
          <w:bCs/>
          <w:sz w:val="24"/>
          <w:szCs w:val="24"/>
          <w:highlight w:val="none"/>
          <w:lang w:val="en-US" w:eastAsia="zh-CN" w:bidi="ar-SA"/>
        </w:rPr>
        <w:t xml:space="preserve">答：（1）</w:t>
      </w:r>
      <w:r>
        <w:rPr>
          <w:rFonts w:hint="eastAsia" w:ascii="Times New Roman" w:hAnsi="Times New Roman" w:eastAsia="宋体" w:cs="Times New Roman"/>
          <w:b/>
          <w:bCs/>
          <w:sz w:val="24"/>
          <w:szCs w:val="24"/>
          <w:highlight w:val="none"/>
          <w:lang w:val="en-US" w:eastAsia="zh-CN" w:bidi="ar-SA"/>
        </w:rPr>
        <w:t xml:space="preserve">指各级</w:t>
      </w:r>
      <w:r>
        <w:rPr>
          <w:rFonts w:hint="eastAsia" w:cs="Times New Roman"/>
          <w:b/>
          <w:bCs/>
          <w:sz w:val="24"/>
          <w:szCs w:val="24"/>
          <w:highlight w:val="none"/>
          <w:lang w:val="en-US" w:eastAsia="zh-CN" w:bidi="ar-SA"/>
        </w:rPr>
        <w:t xml:space="preserve">党委、</w:t>
      </w:r>
      <w:r>
        <w:rPr>
          <w:rFonts w:hint="eastAsia" w:ascii="Times New Roman" w:hAnsi="Times New Roman" w:eastAsia="宋体" w:cs="Times New Roman"/>
          <w:b/>
          <w:bCs/>
          <w:sz w:val="24"/>
          <w:szCs w:val="24"/>
          <w:highlight w:val="none"/>
          <w:lang w:val="en-US" w:eastAsia="zh-CN" w:bidi="ar-SA"/>
        </w:rPr>
        <w:t xml:space="preserve">人民政府及其组成部门</w:t>
      </w:r>
      <w:r>
        <w:rPr>
          <w:rFonts w:hint="eastAsia" w:cs="Times New Roman"/>
          <w:b/>
          <w:bCs/>
          <w:sz w:val="24"/>
          <w:szCs w:val="24"/>
          <w:highlight w:val="none"/>
          <w:lang w:val="en-US" w:eastAsia="zh-CN" w:bidi="ar-SA"/>
        </w:rPr>
        <w:t xml:space="preserve">、派出机构；（2）否。</w:t>
      </w:r>
      <w:r/>
    </w:p>
    <w:p>
      <w:pPr>
        <w:pStyle w:val="617"/>
        <w:ind w:left="-85" w:right="0" w:firstLine="420"/>
        <w:jc w:val="both"/>
        <w:keepLines w:val="0"/>
        <w:keepNext w:val="0"/>
        <w:pageBreakBefore w:val="0"/>
        <w:spacing w:before="0" w:beforeAutospacing="0" w:afterAutospacing="0" w:line="400" w:lineRule="exact"/>
        <w:widowControl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  <w:suppressLineNumbers w:val="0"/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  <w:t xml:space="preserve">5、招标文件计分条款约定“提供跟踪审计业绩”，条款中所指咨询成果报告，请问是项目施工阶段出具的阶段性跟踪审计报告，还是项目完工后出具的竣工结算审核报告？两类报告是否均可作为业绩佐证材料？</w:t>
      </w:r>
      <w:r/>
    </w:p>
    <w:p>
      <w:pPr>
        <w:pStyle w:val="617"/>
        <w:ind w:left="-85" w:right="0" w:firstLine="602"/>
        <w:jc w:val="both"/>
        <w:keepLines w:val="0"/>
        <w:keepNext w:val="0"/>
        <w:pageBreakBefore w:val="0"/>
        <w:spacing w:before="0" w:beforeAutospacing="0" w:afterAutospacing="0" w:line="400" w:lineRule="exact"/>
        <w:widowControl/>
        <w:rPr>
          <w:rFonts w:hint="default" w:cs="Times New Roman"/>
          <w:sz w:val="24"/>
          <w:szCs w:val="24"/>
          <w:highlight w:val="none"/>
          <w:lang w:val="en-US" w:eastAsia="zh-CN" w:bidi="ar-SA"/>
        </w:rPr>
        <w:suppressLineNumbers w:val="0"/>
      </w:pPr>
      <w:r>
        <w:rPr>
          <w:rFonts w:hint="eastAsia" w:ascii="Times New Roman" w:hAnsi="Times New Roman" w:eastAsia="宋体" w:cs="Times New Roman"/>
          <w:b/>
          <w:bCs/>
          <w:sz w:val="24"/>
          <w:szCs w:val="24"/>
          <w:highlight w:val="none"/>
          <w:lang w:val="en-US" w:eastAsia="zh-CN" w:bidi="ar-SA"/>
        </w:rPr>
        <w:t xml:space="preserve">答：</w:t>
      </w:r>
      <w:r>
        <w:rPr>
          <w:rFonts w:hint="eastAsia" w:cs="Times New Roman"/>
          <w:b/>
          <w:bCs/>
          <w:sz w:val="24"/>
          <w:szCs w:val="24"/>
          <w:highlight w:val="none"/>
          <w:lang w:val="en-US" w:eastAsia="zh-CN" w:bidi="ar-SA"/>
        </w:rPr>
        <w:t xml:space="preserve">根据委托协议约定的审计结果要求。</w:t>
      </w:r>
      <w:r/>
    </w:p>
    <w:p>
      <w:pPr>
        <w:pStyle w:val="617"/>
        <w:ind w:left="-85" w:right="0" w:firstLine="420"/>
        <w:jc w:val="both"/>
        <w:keepLines w:val="0"/>
        <w:keepNext w:val="0"/>
        <w:pageBreakBefore w:val="0"/>
        <w:spacing w:before="0" w:beforeAutospacing="0" w:afterAutospacing="0" w:line="400" w:lineRule="exact"/>
        <w:widowControl/>
        <w:rPr>
          <w:rFonts w:hint="eastAsia" w:cs="Times New Roman"/>
          <w:sz w:val="24"/>
          <w:szCs w:val="24"/>
          <w:highlight w:val="none"/>
          <w:lang w:val="en-US" w:eastAsia="zh-CN" w:bidi="ar-SA"/>
        </w:rPr>
        <w:suppressLineNumbers w:val="0"/>
      </w:pPr>
      <w:r>
        <w:rPr>
          <w:rFonts w:hint="eastAsia" w:cs="Times New Roman"/>
          <w:sz w:val="24"/>
          <w:szCs w:val="24"/>
          <w:highlight w:val="none"/>
          <w:lang w:val="en-US" w:eastAsia="zh-CN" w:bidi="ar-SA"/>
        </w:rPr>
        <w:t xml:space="preserve">6、若审计服务合同同时存在委托单位、项目建设单位两方签约主体，业绩所需业主履约证明文件，是否需要委托单位、建设单位双方加盖公章方可认可？仅其中一方盖章是否有效？</w:t>
      </w:r>
      <w:r/>
    </w:p>
    <w:p>
      <w:pPr>
        <w:pStyle w:val="617"/>
        <w:ind w:left="-85" w:right="0" w:firstLine="602"/>
        <w:jc w:val="both"/>
        <w:keepLines w:val="0"/>
        <w:keepNext w:val="0"/>
        <w:pageBreakBefore w:val="0"/>
        <w:spacing w:before="0" w:beforeAutospacing="0" w:afterAutospacing="0" w:line="400" w:lineRule="exact"/>
        <w:widowControl/>
        <w:rPr>
          <w:rFonts w:hint="default" w:cs="Times New Roman"/>
          <w:sz w:val="24"/>
          <w:szCs w:val="24"/>
          <w:highlight w:val="none"/>
          <w:lang w:val="en-US" w:eastAsia="zh-CN" w:bidi="ar-SA"/>
        </w:rPr>
        <w:suppressLineNumbers w:val="0"/>
      </w:pPr>
      <w:r>
        <w:rPr>
          <w:rFonts w:hint="eastAsia" w:ascii="Times New Roman" w:hAnsi="Times New Roman" w:eastAsia="宋体" w:cs="Times New Roman"/>
          <w:b/>
          <w:bCs/>
          <w:sz w:val="24"/>
          <w:szCs w:val="24"/>
          <w:highlight w:val="none"/>
          <w:lang w:val="en-US" w:eastAsia="zh-CN" w:bidi="ar-SA"/>
        </w:rPr>
        <w:t xml:space="preserve">答：</w:t>
      </w:r>
      <w:r>
        <w:rPr>
          <w:rFonts w:hint="eastAsia" w:cs="Times New Roman"/>
          <w:b/>
          <w:bCs/>
          <w:sz w:val="24"/>
          <w:szCs w:val="24"/>
          <w:highlight w:val="none"/>
          <w:lang w:val="en-US" w:eastAsia="zh-CN" w:bidi="ar-SA"/>
        </w:rPr>
        <w:t xml:space="preserve">由委托单位认可有效。</w:t>
      </w:r>
      <w:r/>
    </w:p>
    <w:p>
      <w:pPr>
        <w:pStyle w:val="617"/>
        <w:ind w:left="-85" w:right="0" w:firstLine="420"/>
        <w:jc w:val="both"/>
        <w:keepLines w:val="0"/>
        <w:keepNext w:val="0"/>
        <w:pageBreakBefore w:val="0"/>
        <w:spacing w:before="0" w:beforeAutospacing="0" w:afterAutospacing="0" w:line="400" w:lineRule="exact"/>
        <w:widowControl/>
        <w:rPr>
          <w:rFonts w:hint="eastAsia" w:cs="Times New Roman"/>
          <w:sz w:val="24"/>
          <w:szCs w:val="24"/>
          <w:highlight w:val="none"/>
          <w:lang w:val="en-US" w:eastAsia="zh-CN" w:bidi="ar-SA"/>
        </w:rPr>
        <w:suppressLineNumbers w:val="0"/>
      </w:pPr>
      <w:r>
        <w:rPr>
          <w:rFonts w:hint="eastAsia" w:cs="Times New Roman"/>
          <w:sz w:val="24"/>
          <w:szCs w:val="24"/>
          <w:highlight w:val="none"/>
          <w:lang w:val="en-US" w:eastAsia="zh-CN" w:bidi="ar-SA"/>
        </w:rPr>
        <w:t xml:space="preserve">7、南通市审计局委托的工程造价审计项目，项目结算审定单仅加盖项目建设单位公章，无审计局盖章；如提供由审计局出具并加盖公章的业主履约证明，该业绩资料是否符合本项目投标业绩认定标准？</w:t>
      </w:r>
      <w:r/>
    </w:p>
    <w:p>
      <w:pPr>
        <w:pStyle w:val="617"/>
        <w:ind w:left="-85" w:right="0" w:firstLine="602"/>
        <w:jc w:val="both"/>
        <w:keepLines w:val="0"/>
        <w:keepNext w:val="0"/>
        <w:pageBreakBefore w:val="0"/>
        <w:spacing w:before="0" w:beforeAutospacing="0" w:afterAutospacing="0" w:line="400" w:lineRule="exact"/>
        <w:widowControl/>
        <w:rPr>
          <w:rFonts w:hint="default" w:ascii="Times New Roman" w:hAnsi="Times New Roman" w:eastAsia="宋体" w:cs="Times New Roman"/>
          <w:b w:val="0"/>
          <w:bCs w:val="0"/>
          <w:sz w:val="24"/>
          <w:szCs w:val="24"/>
          <w:highlight w:val="none"/>
          <w:lang w:val="en-US" w:eastAsia="zh-CN" w:bidi="ar-SA"/>
        </w:rPr>
        <w:suppressLineNumbers w:val="0"/>
      </w:pPr>
      <w:r>
        <w:rPr>
          <w:rFonts w:hint="eastAsia" w:ascii="Times New Roman" w:hAnsi="Times New Roman" w:eastAsia="宋体" w:cs="Times New Roman"/>
          <w:b/>
          <w:bCs/>
          <w:sz w:val="24"/>
          <w:szCs w:val="24"/>
          <w:highlight w:val="none"/>
          <w:lang w:val="en-US" w:eastAsia="zh-CN" w:bidi="ar-SA"/>
        </w:rPr>
        <w:t xml:space="preserve">答：</w:t>
      </w:r>
      <w:r>
        <w:rPr>
          <w:rFonts w:hint="eastAsia" w:cs="Times New Roman"/>
          <w:b/>
          <w:bCs/>
          <w:sz w:val="24"/>
          <w:szCs w:val="24"/>
          <w:highlight w:val="none"/>
          <w:lang w:val="en-US" w:eastAsia="zh-CN" w:bidi="ar-SA"/>
        </w:rPr>
        <w:t xml:space="preserve">履约证明包含业绩认定所需要素的可认定符合。</w:t>
      </w:r>
      <w:r/>
    </w:p>
    <w:p>
      <w:pPr>
        <w:pStyle w:val="617"/>
        <w:numPr>
          <w:ilvl w:val="0"/>
          <w:numId w:val="1"/>
        </w:numPr>
        <w:ind w:left="-85" w:right="0" w:firstLine="420"/>
        <w:jc w:val="both"/>
        <w:keepLines w:val="0"/>
        <w:keepNext w:val="0"/>
        <w:pageBreakBefore w:val="0"/>
        <w:spacing w:before="0" w:beforeAutospacing="0" w:afterAutospacing="0" w:line="400" w:lineRule="exact"/>
        <w:widowControl/>
        <w:rPr>
          <w:rFonts w:hint="eastAsia" w:cs="Times New Roman"/>
          <w:sz w:val="24"/>
          <w:szCs w:val="24"/>
          <w:highlight w:val="none"/>
          <w:lang w:val="en-US" w:eastAsia="zh-CN" w:bidi="ar-SA"/>
        </w:rPr>
        <w:suppressLineNumbers w:val="0"/>
      </w:pPr>
      <w:r>
        <w:rPr>
          <w:rFonts w:hint="eastAsia" w:cs="Times New Roman"/>
          <w:sz w:val="24"/>
          <w:szCs w:val="24"/>
          <w:highlight w:val="none"/>
          <w:lang w:val="en-US" w:eastAsia="zh-CN" w:bidi="ar-SA"/>
        </w:rPr>
        <w:t xml:space="preserve">征集文件中“承诺书”上传至哪里？</w:t>
      </w:r>
      <w:r/>
    </w:p>
    <w:p>
      <w:pPr>
        <w:pStyle w:val="617"/>
        <w:numPr>
          <w:ilvl w:val="0"/>
          <w:numId w:val="0"/>
        </w:numPr>
        <w:ind w:left="335" w:right="0" w:firstLine="241"/>
        <w:jc w:val="both"/>
        <w:keepLines w:val="0"/>
        <w:keepNext w:val="0"/>
        <w:pageBreakBefore w:val="0"/>
        <w:spacing w:before="0" w:beforeAutospacing="0" w:afterAutospacing="0" w:line="400" w:lineRule="exact"/>
        <w:widowControl/>
        <w:rPr>
          <w:rFonts w:hint="eastAsia" w:cs="Times New Roman"/>
          <w:b/>
          <w:bCs/>
          <w:sz w:val="24"/>
          <w:szCs w:val="24"/>
          <w:highlight w:val="none"/>
          <w:lang w:val="en-US" w:eastAsia="zh-CN" w:bidi="ar-SA"/>
        </w:rPr>
        <w:suppressLineNumbers w:val="0"/>
      </w:pPr>
      <w:r>
        <w:rPr>
          <w:rFonts w:hint="eastAsia" w:ascii="Times New Roman" w:hAnsi="Times New Roman" w:eastAsia="宋体" w:cs="Times New Roman"/>
          <w:b/>
          <w:bCs/>
          <w:sz w:val="24"/>
          <w:szCs w:val="24"/>
          <w:highlight w:val="none"/>
          <w:lang w:val="en-US" w:eastAsia="zh-CN" w:bidi="ar-SA"/>
        </w:rPr>
        <w:t xml:space="preserve">答：</w:t>
      </w:r>
      <w:r>
        <w:rPr>
          <w:rFonts w:hint="eastAsia" w:cs="Times New Roman"/>
          <w:b/>
          <w:bCs/>
          <w:sz w:val="24"/>
          <w:szCs w:val="24"/>
          <w:highlight w:val="none"/>
          <w:lang w:val="en-US" w:eastAsia="zh-CN" w:bidi="ar-SA"/>
        </w:rPr>
        <w:t xml:space="preserve">上传至苏采云系统“承诺书”节点。</w:t>
      </w:r>
      <w:r/>
    </w:p>
    <w:p>
      <w:pPr>
        <w:ind w:firstLine="480"/>
        <w:keepLines w:val="0"/>
        <w:keepNext w:val="0"/>
        <w:pageBreakBefore w:val="0"/>
        <w:spacing w:line="400" w:lineRule="exact"/>
        <w:widowControl w:val="off"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  <w:t xml:space="preserve">9、本项目资格审查要求：拟派项目组组成人员为供应商正式人员，不少于8人（含8人，不包括拟派项目负责人），其中具有一级注册造价工程师（或国家注册造价工程师）不少于2人（含2人）。</w:t>
      </w:r>
      <w:r/>
    </w:p>
    <w:p>
      <w:pPr>
        <w:ind w:firstLine="480"/>
        <w:keepLines w:val="0"/>
        <w:keepNext w:val="0"/>
        <w:pageBreakBefore w:val="0"/>
        <w:spacing w:line="400" w:lineRule="exact"/>
        <w:widowControl w:val="off"/>
        <w:rPr>
          <w:rFonts w:hint="eastAsia" w:ascii="Times New Roman" w:hAnsi="Times New Roman" w:eastAsia="宋体" w:cs="Times New Roman"/>
          <w:sz w:val="24"/>
          <w:szCs w:val="24"/>
          <w:highlight w:val="none"/>
          <w:lang w:val="zh-CN" w:eastAsia="zh-CN" w:bidi="ar-SA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  <w:t xml:space="preserve">商务技术标，人员配置：</w:t>
      </w:r>
      <w:r>
        <w:rPr>
          <w:rFonts w:hint="eastAsia" w:cs="Times New Roman"/>
          <w:sz w:val="24"/>
          <w:szCs w:val="24"/>
          <w:highlight w:val="none"/>
          <w:lang w:val="zh-CN" w:eastAsia="zh-CN" w:bidi="ar-SA"/>
        </w:rPr>
        <w:t xml:space="preserve">（</w:t>
      </w:r>
      <w:r>
        <w:rPr>
          <w:rFonts w:hint="eastAsia" w:cs="Times New Roman"/>
          <w:sz w:val="24"/>
          <w:szCs w:val="24"/>
          <w:highlight w:val="none"/>
          <w:lang w:val="en-US" w:eastAsia="zh-CN" w:bidi="ar-SA"/>
        </w:rPr>
        <w:t xml:space="preserve">1）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zh-CN" w:eastAsia="zh-CN" w:bidi="ar-SA"/>
        </w:rPr>
        <w:t xml:space="preserve">在满足采购需求的基础上，本项目拟派项目组成员中（项目负责人除外）具有一级注册造价工程师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  <w:t xml:space="preserve">或国家注册造价工程师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zh-CN" w:eastAsia="zh-CN" w:bidi="ar-SA"/>
        </w:rPr>
        <w:t xml:space="preserve">的，有1人得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  <w:t xml:space="preserve">2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zh-CN" w:eastAsia="zh-CN" w:bidi="ar-SA"/>
        </w:rPr>
        <w:t xml:space="preserve">分，最高得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  <w:t xml:space="preserve">10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zh-CN" w:eastAsia="zh-CN" w:bidi="ar-SA"/>
        </w:rPr>
        <w:t xml:space="preserve">分。</w:t>
      </w:r>
      <w:r>
        <w:rPr>
          <w:rFonts w:hint="eastAsia" w:cs="Times New Roman"/>
          <w:sz w:val="24"/>
          <w:szCs w:val="24"/>
          <w:highlight w:val="none"/>
          <w:lang w:val="zh-CN" w:eastAsia="zh-CN" w:bidi="ar-SA"/>
        </w:rPr>
        <w:t xml:space="preserve">（</w:t>
      </w:r>
      <w:r>
        <w:rPr>
          <w:rFonts w:hint="eastAsia" w:cs="Times New Roman"/>
          <w:sz w:val="24"/>
          <w:szCs w:val="24"/>
          <w:highlight w:val="none"/>
          <w:lang w:val="en-US" w:eastAsia="zh-CN" w:bidi="ar-SA"/>
        </w:rPr>
        <w:t xml:space="preserve">2）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zh-CN" w:eastAsia="zh-CN" w:bidi="ar-SA"/>
        </w:rPr>
        <w:t xml:space="preserve">本项目拟派项目组成员中（项目负责人除外）具有工程类高级工程师或以上职称的，有1人得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  <w:t xml:space="preserve">2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zh-CN" w:eastAsia="zh-CN" w:bidi="ar-SA"/>
        </w:rPr>
        <w:t xml:space="preserve">分，最高得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  <w:t xml:space="preserve">10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zh-CN" w:eastAsia="zh-CN" w:bidi="ar-SA"/>
        </w:rPr>
        <w:t xml:space="preserve">分。</w:t>
      </w:r>
      <w:r/>
    </w:p>
    <w:p>
      <w:pPr>
        <w:pStyle w:val="610"/>
        <w:ind w:left="0" w:firstLine="480"/>
        <w:keepLines w:val="0"/>
        <w:keepNext w:val="0"/>
        <w:pageBreakBefore w:val="0"/>
        <w:spacing w:after="0" w:line="400" w:lineRule="exact"/>
        <w:widowControl w:val="off"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  <w:t xml:space="preserve">请问，商务技术标人员配置打分中，“在满足采购需求的基础上，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zh-CN" w:eastAsia="zh-CN" w:bidi="ar-SA"/>
        </w:rPr>
        <w:t xml:space="preserve">本项目拟派项目组成员中（项目负责人除外）具有一级注册造价工程师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  <w:t xml:space="preserve">或国家注册造价工程师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zh-CN" w:eastAsia="zh-CN" w:bidi="ar-SA"/>
        </w:rPr>
        <w:t xml:space="preserve">的，有1人得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  <w:t xml:space="preserve">2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zh-CN" w:eastAsia="zh-CN" w:bidi="ar-SA"/>
        </w:rPr>
        <w:t xml:space="preserve">分，最高得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  <w:t xml:space="preserve">10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zh-CN" w:eastAsia="zh-CN" w:bidi="ar-SA"/>
        </w:rPr>
        <w:t xml:space="preserve">分。”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  <w:t xml:space="preserve">如何理解？是除资格审查人员8人，另外提供5人才能满分?还是在资格审查最低要求2名一级注册造价工程师（或国家注册造价工程师）以外，剩余的人员中有5名一级注册造价工程师就可以满分？</w:t>
      </w:r>
      <w:r/>
    </w:p>
    <w:p>
      <w:pPr>
        <w:pStyle w:val="617"/>
        <w:ind w:left="-85" w:right="0" w:firstLine="602"/>
        <w:jc w:val="both"/>
        <w:keepLines w:val="0"/>
        <w:keepNext w:val="0"/>
        <w:pageBreakBefore w:val="0"/>
        <w:spacing w:before="0" w:beforeAutospacing="0" w:afterAutospacing="0" w:line="400" w:lineRule="exact"/>
        <w:widowControl/>
        <w:rPr>
          <w:rFonts w:hint="eastAsia" w:cs="Times New Roman"/>
          <w:sz w:val="24"/>
          <w:szCs w:val="24"/>
          <w:highlight w:val="none"/>
          <w:lang w:val="en-US" w:eastAsia="zh-CN" w:bidi="ar-SA"/>
        </w:rPr>
        <w:suppressLineNumbers w:val="0"/>
      </w:pPr>
      <w:r>
        <w:rPr>
          <w:rFonts w:hint="eastAsia" w:ascii="Times New Roman" w:hAnsi="Times New Roman" w:eastAsia="宋体" w:cs="Times New Roman"/>
          <w:b/>
          <w:bCs/>
          <w:sz w:val="24"/>
          <w:szCs w:val="24"/>
          <w:highlight w:val="none"/>
          <w:lang w:val="en-US" w:eastAsia="zh-CN" w:bidi="ar-SA"/>
        </w:rPr>
        <w:t xml:space="preserve">答：拟派的项目组成员</w:t>
      </w:r>
      <w:r>
        <w:rPr>
          <w:rFonts w:hint="eastAsia" w:ascii="Times New Roman" w:hAnsi="Times New Roman" w:eastAsia="宋体" w:cs="Times New Roman"/>
          <w:b/>
          <w:bCs/>
          <w:sz w:val="24"/>
          <w:szCs w:val="24"/>
          <w:highlight w:val="none"/>
          <w:lang w:val="zh-CN" w:eastAsia="zh-CN" w:bidi="ar-SA"/>
        </w:rPr>
        <w:t xml:space="preserve">（项目负责人除外）</w:t>
      </w:r>
      <w:r>
        <w:rPr>
          <w:rFonts w:hint="eastAsia" w:cs="Times New Roman"/>
          <w:b/>
          <w:bCs/>
          <w:sz w:val="24"/>
          <w:szCs w:val="24"/>
          <w:highlight w:val="none"/>
          <w:lang w:val="en-US" w:eastAsia="zh-CN" w:bidi="ar-SA"/>
        </w:rPr>
        <w:t xml:space="preserve">均可。</w:t>
      </w:r>
      <w:r/>
    </w:p>
    <w:p>
      <w:pPr>
        <w:pStyle w:val="617"/>
        <w:numPr>
          <w:ilvl w:val="0"/>
          <w:numId w:val="0"/>
        </w:numPr>
        <w:ind w:right="0" w:firstLine="480"/>
        <w:jc w:val="both"/>
        <w:keepLines w:val="0"/>
        <w:keepNext w:val="0"/>
        <w:pageBreakBefore w:val="0"/>
        <w:spacing w:before="0" w:beforeAutospacing="0" w:afterAutospacing="0" w:line="400" w:lineRule="exact"/>
        <w:widowControl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  <w:suppressLineNumbers w:val="0"/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  <w:t xml:space="preserve">10、 招标文件业绩中要求标底审核业绩（标底：指招标控制价或施工图预算），现有其他地区财政局合同是概算审核，但其内容含了施工图预算审核及其它二、三类费用，出的报告是概算审核报告，这类是否可以算标底审计？</w:t>
      </w:r>
      <w:r/>
    </w:p>
    <w:p>
      <w:pPr>
        <w:pStyle w:val="617"/>
        <w:ind w:left="-85" w:right="0" w:firstLine="602"/>
        <w:jc w:val="both"/>
        <w:keepLines w:val="0"/>
        <w:keepNext w:val="0"/>
        <w:pageBreakBefore w:val="0"/>
        <w:spacing w:before="0" w:beforeAutospacing="0" w:afterAutospacing="0" w:line="400" w:lineRule="exact"/>
        <w:widowControl/>
        <w:rPr>
          <w:rFonts w:hint="default" w:ascii="Times New Roman" w:hAnsi="Times New Roman" w:eastAsia="宋体" w:cs="Times New Roman"/>
          <w:b/>
          <w:bCs/>
          <w:sz w:val="24"/>
          <w:szCs w:val="24"/>
          <w:highlight w:val="none"/>
          <w:lang w:val="en-US" w:eastAsia="zh-CN" w:bidi="ar-SA"/>
        </w:rPr>
        <w:suppressLineNumbers w:val="0"/>
      </w:pPr>
      <w:r>
        <w:rPr>
          <w:rFonts w:hint="eastAsia" w:ascii="Times New Roman" w:hAnsi="Times New Roman" w:eastAsia="宋体" w:cs="Times New Roman"/>
          <w:b/>
          <w:bCs/>
          <w:sz w:val="24"/>
          <w:szCs w:val="24"/>
          <w:highlight w:val="none"/>
          <w:lang w:val="en-US" w:eastAsia="zh-CN" w:bidi="ar-SA"/>
        </w:rPr>
        <w:t xml:space="preserve">答：</w:t>
      </w:r>
      <w:r>
        <w:rPr>
          <w:rFonts w:hint="eastAsia" w:cs="Times New Roman"/>
          <w:b/>
          <w:bCs/>
          <w:sz w:val="24"/>
          <w:szCs w:val="24"/>
          <w:highlight w:val="none"/>
          <w:lang w:val="en-US" w:eastAsia="zh-CN" w:bidi="ar-SA"/>
        </w:rPr>
        <w:t xml:space="preserve">施工图预算部分可以算。</w:t>
      </w:r>
      <w:r/>
    </w:p>
    <w:p>
      <w:pPr>
        <w:pStyle w:val="617"/>
        <w:numPr>
          <w:ilvl w:val="0"/>
          <w:numId w:val="0"/>
        </w:numPr>
        <w:ind w:right="0" w:firstLine="480"/>
        <w:jc w:val="both"/>
        <w:keepLines w:val="0"/>
        <w:keepNext w:val="0"/>
        <w:pageBreakBefore w:val="0"/>
        <w:spacing w:before="0" w:beforeAutospacing="0" w:afterAutospacing="0" w:line="400" w:lineRule="exact"/>
        <w:widowControl/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  <w:suppressLineNumbers w:val="0"/>
      </w:pP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  <w:t xml:space="preserve">11、招标文件业绩中要求业绩均为政府委托，因有一部分政府委托项目为国企代建，这类是否可以算</w:t>
      </w:r>
      <w:r>
        <w:rPr>
          <w:rFonts w:hint="eastAsia" w:cs="Times New Roman"/>
          <w:sz w:val="24"/>
          <w:szCs w:val="24"/>
          <w:highlight w:val="none"/>
          <w:lang w:val="en-US" w:eastAsia="zh-CN" w:bidi="ar-SA"/>
        </w:rPr>
        <w:t xml:space="preserve">？</w:t>
      </w:r>
      <w:r/>
    </w:p>
    <w:p>
      <w:pPr>
        <w:pStyle w:val="617"/>
        <w:ind w:left="-85" w:right="0" w:firstLine="602"/>
        <w:jc w:val="both"/>
        <w:keepLines w:val="0"/>
        <w:keepNext w:val="0"/>
        <w:pageBreakBefore w:val="0"/>
        <w:spacing w:before="0" w:beforeAutospacing="0" w:afterAutospacing="0" w:line="400" w:lineRule="exact"/>
        <w:widowControl/>
        <w:rPr>
          <w:rFonts w:hint="default" w:cs="Times New Roman"/>
          <w:sz w:val="24"/>
          <w:szCs w:val="24"/>
          <w:highlight w:val="none"/>
          <w:lang w:val="en-US" w:eastAsia="zh-CN" w:bidi="ar-SA"/>
        </w:rPr>
        <w:suppressLineNumbers w:val="0"/>
      </w:pPr>
      <w:r>
        <w:rPr>
          <w:rFonts w:hint="eastAsia" w:ascii="Times New Roman" w:hAnsi="Times New Roman" w:eastAsia="宋体" w:cs="Times New Roman"/>
          <w:b/>
          <w:bCs/>
          <w:sz w:val="24"/>
          <w:szCs w:val="24"/>
          <w:highlight w:val="none"/>
          <w:lang w:val="en-US" w:eastAsia="zh-CN" w:bidi="ar-SA"/>
        </w:rPr>
        <w:t xml:space="preserve">答：</w:t>
      </w:r>
      <w:r>
        <w:rPr>
          <w:rFonts w:hint="eastAsia" w:cs="Times New Roman"/>
          <w:b/>
          <w:bCs/>
          <w:sz w:val="24"/>
          <w:szCs w:val="24"/>
          <w:highlight w:val="none"/>
          <w:lang w:val="en-US" w:eastAsia="zh-CN" w:bidi="ar-SA"/>
        </w:rPr>
        <w:t xml:space="preserve">否。</w:t>
      </w:r>
      <w:r/>
    </w:p>
    <w:p>
      <w:pPr>
        <w:pStyle w:val="617"/>
        <w:numPr>
          <w:ilvl w:val="0"/>
          <w:numId w:val="2"/>
        </w:numPr>
        <w:ind w:left="-85" w:right="0" w:firstLine="420"/>
        <w:jc w:val="both"/>
        <w:keepLines w:val="0"/>
        <w:keepNext w:val="0"/>
        <w:pageBreakBefore w:val="0"/>
        <w:spacing w:before="0" w:beforeAutospacing="0" w:afterAutospacing="0" w:line="400" w:lineRule="exact"/>
        <w:widowControl/>
        <w:rPr>
          <w:rFonts w:hint="eastAsia"/>
          <w:sz w:val="24"/>
          <w:szCs w:val="24"/>
          <w:highlight w:val="none"/>
          <w:lang w:val="en-US" w:eastAsia="zh-CN"/>
        </w:rPr>
        <w:suppressLineNumbers w:val="0"/>
      </w:pPr>
      <w:r>
        <w:rPr>
          <w:rFonts w:hint="eastAsia"/>
          <w:sz w:val="24"/>
          <w:szCs w:val="24"/>
          <w:highlight w:val="none"/>
          <w:lang w:val="en-US" w:eastAsia="zh-CN"/>
        </w:rPr>
        <w:t xml:space="preserve">其他补充事宜</w:t>
      </w:r>
      <w:r/>
    </w:p>
    <w:p>
      <w:pPr>
        <w:pStyle w:val="617"/>
        <w:numPr>
          <w:ilvl w:val="0"/>
          <w:numId w:val="0"/>
        </w:numPr>
        <w:ind w:left="335" w:right="0" w:firstLine="240"/>
        <w:jc w:val="both"/>
        <w:keepLines w:val="0"/>
        <w:keepNext w:val="0"/>
        <w:pageBreakBefore w:val="0"/>
        <w:spacing w:before="0" w:beforeAutospacing="0" w:afterAutospacing="0" w:line="400" w:lineRule="exact"/>
        <w:widowControl/>
        <w:rPr>
          <w:rFonts w:hint="eastAsia" w:cs="Times New Roman"/>
          <w:sz w:val="24"/>
          <w:szCs w:val="24"/>
          <w:highlight w:val="none"/>
          <w:lang w:val="en-US" w:eastAsia="zh-CN" w:bidi="ar-SA"/>
        </w:rPr>
        <w:suppressLineNumbers w:val="0"/>
      </w:pPr>
      <w:r>
        <w:rPr>
          <w:rFonts w:hint="eastAsia" w:cs="Times New Roman"/>
          <w:sz w:val="24"/>
          <w:szCs w:val="24"/>
          <w:highlight w:val="none"/>
          <w:lang w:val="en-US" w:eastAsia="zh-CN" w:bidi="ar-SA"/>
        </w:rPr>
        <w:t xml:space="preserve">无</w:t>
      </w:r>
      <w:r/>
    </w:p>
    <w:p>
      <w:pPr>
        <w:pStyle w:val="617"/>
        <w:numPr>
          <w:ilvl w:val="0"/>
          <w:numId w:val="0"/>
        </w:numPr>
        <w:ind w:left="335" w:right="0"/>
        <w:jc w:val="both"/>
        <w:keepLines w:val="0"/>
        <w:keepNext w:val="0"/>
        <w:pageBreakBefore w:val="0"/>
        <w:spacing w:before="0" w:beforeAutospacing="0" w:afterAutospacing="0" w:line="400" w:lineRule="exact"/>
        <w:widowControl/>
        <w:rPr>
          <w:rFonts w:hint="default" w:cs="Times New Roman"/>
          <w:sz w:val="24"/>
          <w:szCs w:val="24"/>
          <w:highlight w:val="none"/>
          <w:lang w:val="en-US" w:eastAsia="zh-CN" w:bidi="ar-SA"/>
        </w:rPr>
        <w:suppressLineNumbers w:val="0"/>
      </w:pPr>
      <w:r>
        <w:rPr>
          <w:rFonts w:hint="eastAsia" w:cs="Times New Roman"/>
          <w:sz w:val="24"/>
          <w:szCs w:val="24"/>
          <w:highlight w:val="none"/>
          <w:lang w:val="en-US" w:eastAsia="zh-CN" w:bidi="ar-SA"/>
        </w:rPr>
        <w:t xml:space="preserve">四、凡对本次公告内容提出询问，请按以下方式联系</w:t>
      </w:r>
      <w:r/>
    </w:p>
    <w:p>
      <w:pPr>
        <w:ind w:firstLine="480"/>
        <w:jc w:val="left"/>
        <w:keepLines w:val="0"/>
        <w:keepNext w:val="0"/>
        <w:pageBreakBefore w:val="0"/>
        <w:spacing w:line="400" w:lineRule="exact"/>
        <w:widowControl/>
        <w:rPr>
          <w:rFonts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sz w:val="24"/>
          <w:szCs w:val="24"/>
          <w:highlight w:val="none"/>
        </w:rPr>
        <w:t xml:space="preserve">1.采购人信息</w:t>
      </w:r>
      <w:r/>
    </w:p>
    <w:p>
      <w:pPr>
        <w:ind w:firstLine="480"/>
        <w:jc w:val="left"/>
        <w:keepLines w:val="0"/>
        <w:keepNext w:val="0"/>
        <w:pageBreakBefore w:val="0"/>
        <w:spacing w:line="400" w:lineRule="exact"/>
        <w:rPr>
          <w:rFonts w:asciiTheme="minorEastAsia" w:hAnsiTheme="minorEastAsia" w:eastAsiaTheme="minorEastAsia"/>
          <w:sz w:val="24"/>
          <w:szCs w:val="24"/>
          <w:highlight w:val="none"/>
          <w:u w:val="singl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 xml:space="preserve">名　称：</w:t>
      </w:r>
      <w:bookmarkStart w:id="0" w:name="_Toc28359009"/>
      <w:r/>
      <w:bookmarkStart w:id="1" w:name="_Toc28359086"/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  <w:t xml:space="preserve">南通高新技术产业开发区管理委员会</w:t>
      </w:r>
      <w:r/>
    </w:p>
    <w:p>
      <w:pPr>
        <w:ind w:firstLine="480"/>
        <w:jc w:val="left"/>
        <w:keepLines w:val="0"/>
        <w:keepNext w:val="0"/>
        <w:pageBreakBefore w:val="0"/>
        <w:spacing w:line="400" w:lineRule="exact"/>
        <w:rPr>
          <w:rFonts w:asciiTheme="minorEastAsia" w:hAnsiTheme="minorEastAsia" w:eastAsiaTheme="minorEastAsia"/>
          <w:sz w:val="24"/>
          <w:szCs w:val="24"/>
          <w:highlight w:val="none"/>
          <w:u w:val="singl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 xml:space="preserve">地  址：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 w:bidi="ar-SA"/>
        </w:rPr>
        <w:t xml:space="preserve">南通市通州区</w:t>
      </w:r>
      <w:r/>
    </w:p>
    <w:p>
      <w:pPr>
        <w:ind w:firstLine="480"/>
        <w:jc w:val="left"/>
        <w:keepLines w:val="0"/>
        <w:keepNext w:val="0"/>
        <w:pageBreakBefore w:val="0"/>
        <w:spacing w:line="400" w:lineRule="exact"/>
        <w:rPr>
          <w:rFonts w:asciiTheme="minorEastAsia" w:hAnsiTheme="minorEastAsia" w:eastAsiaTheme="minorEastAsia"/>
          <w:sz w:val="24"/>
          <w:szCs w:val="24"/>
          <w:highlight w:val="none"/>
          <w:u w:val="singl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 xml:space="preserve">联系人：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u w:val="none"/>
          <w:lang w:val="en-US" w:eastAsia="zh-CN"/>
        </w:rPr>
        <w:t xml:space="preserve">姚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u w:val="none"/>
        </w:rPr>
        <w:t xml:space="preserve">女士</w:t>
      </w:r>
      <w:r/>
    </w:p>
    <w:p>
      <w:pPr>
        <w:ind w:firstLine="480"/>
        <w:jc w:val="left"/>
        <w:keepLines w:val="0"/>
        <w:keepNext w:val="0"/>
        <w:pageBreakBefore w:val="0"/>
        <w:spacing w:line="400" w:lineRule="exact"/>
        <w:rPr>
          <w:rFonts w:hint="default" w:asciiTheme="minorEastAsia" w:hAnsiTheme="minorEastAsia" w:eastAsiaTheme="minorEastAsia"/>
          <w:sz w:val="24"/>
          <w:szCs w:val="24"/>
          <w:highlight w:val="none"/>
          <w:u w:val="none"/>
          <w:lang w:val="en-US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 xml:space="preserve">电  话：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u w:val="none"/>
        </w:rPr>
        <w:t xml:space="preserve">0513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u w:val="none"/>
          <w:lang w:val="en-US" w:eastAsia="zh-CN"/>
        </w:rPr>
        <w:t xml:space="preserve">-86028908</w:t>
      </w:r>
      <w:r/>
    </w:p>
    <w:p>
      <w:pPr>
        <w:ind w:firstLine="480"/>
        <w:keepLines w:val="0"/>
        <w:keepNext w:val="0"/>
        <w:pageBreakBefore w:val="0"/>
        <w:spacing w:line="400" w:lineRule="exact"/>
        <w:rPr>
          <w:rFonts w:cs="宋体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sz w:val="24"/>
          <w:szCs w:val="24"/>
          <w:highlight w:val="none"/>
        </w:rPr>
        <w:t xml:space="preserve">2.</w:t>
      </w:r>
      <w:bookmarkEnd w:id="0"/>
      <w:r/>
      <w:bookmarkEnd w:id="1"/>
      <w:r>
        <w:rPr>
          <w:rFonts w:hint="eastAsia" w:cs="宋体" w:asciiTheme="minorEastAsia" w:hAnsiTheme="minorEastAsia" w:eastAsiaTheme="minorEastAsia"/>
          <w:sz w:val="24"/>
          <w:szCs w:val="24"/>
          <w:highlight w:val="none"/>
        </w:rPr>
        <w:t xml:space="preserve">代理机构信息</w:t>
      </w:r>
      <w:r/>
    </w:p>
    <w:p>
      <w:pPr>
        <w:ind w:firstLine="480"/>
        <w:keepLines w:val="0"/>
        <w:keepNext w:val="0"/>
        <w:pageBreakBefore w:val="0"/>
        <w:spacing w:line="400" w:lineRule="exact"/>
        <w:rPr>
          <w:rFonts w:cs="宋体" w:asciiTheme="minorEastAsia" w:hAnsiTheme="minorEastAsia" w:eastAsiaTheme="minorEastAsia"/>
          <w:sz w:val="24"/>
          <w:szCs w:val="24"/>
          <w:highlight w:val="none"/>
          <w:u w:val="none"/>
        </w:rPr>
      </w:pPr>
      <w:r>
        <w:rPr>
          <w:rFonts w:hint="eastAsia" w:cs="宋体" w:asciiTheme="minorEastAsia" w:hAnsiTheme="minorEastAsia" w:eastAsiaTheme="minorEastAsia"/>
          <w:sz w:val="24"/>
          <w:szCs w:val="24"/>
          <w:highlight w:val="none"/>
        </w:rPr>
        <w:t xml:space="preserve">名　称: 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u w:val="none"/>
        </w:rPr>
        <w:t xml:space="preserve">南通市通州天元建设监理咨询有限公司</w:t>
      </w:r>
      <w:r/>
    </w:p>
    <w:p>
      <w:pPr>
        <w:ind w:firstLine="480"/>
        <w:keepLines w:val="0"/>
        <w:keepNext w:val="0"/>
        <w:pageBreakBefore w:val="0"/>
        <w:spacing w:line="400" w:lineRule="exact"/>
        <w:rPr>
          <w:rFonts w:cs="宋体" w:asciiTheme="minorEastAsia" w:hAnsiTheme="minorEastAsia" w:eastAsiaTheme="minorEastAsia"/>
          <w:sz w:val="24"/>
          <w:szCs w:val="24"/>
          <w:highlight w:val="none"/>
          <w:u w:val="none"/>
        </w:rPr>
      </w:pPr>
      <w:r>
        <w:rPr>
          <w:rFonts w:hint="eastAsia" w:cs="宋体" w:asciiTheme="minorEastAsia" w:hAnsiTheme="minorEastAsia" w:eastAsiaTheme="minorEastAsia"/>
          <w:sz w:val="24"/>
          <w:szCs w:val="24"/>
          <w:highlight w:val="none"/>
        </w:rPr>
        <w:t xml:space="preserve">地 址：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u w:val="none"/>
        </w:rPr>
        <w:t xml:space="preserve">南通市通州区润和大厦8楼</w:t>
      </w:r>
      <w:r/>
    </w:p>
    <w:p>
      <w:pPr>
        <w:ind w:firstLine="480"/>
        <w:keepLines w:val="0"/>
        <w:keepNext w:val="0"/>
        <w:pageBreakBefore w:val="0"/>
        <w:spacing w:line="400" w:lineRule="exact"/>
        <w:rPr>
          <w:rFonts w:cs="宋体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sz w:val="24"/>
          <w:szCs w:val="24"/>
          <w:highlight w:val="none"/>
        </w:rPr>
        <w:t xml:space="preserve">联系人：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u w:val="none"/>
        </w:rPr>
        <w:t xml:space="preserve">俞先生</w:t>
      </w:r>
      <w:r/>
    </w:p>
    <w:p>
      <w:pPr>
        <w:ind w:firstLine="480"/>
        <w:keepLines w:val="0"/>
        <w:keepNext w:val="0"/>
        <w:pageBreakBefore w:val="0"/>
        <w:spacing w:line="400" w:lineRule="exact"/>
        <w:rPr>
          <w:rFonts w:hint="eastAsia" w:asciiTheme="minorEastAsia" w:hAnsiTheme="minorEastAsia" w:eastAsiaTheme="minorEastAsia"/>
          <w:sz w:val="24"/>
          <w:szCs w:val="24"/>
          <w:highlight w:val="none"/>
          <w:u w:val="none"/>
        </w:rPr>
      </w:pPr>
      <w:r>
        <w:rPr>
          <w:rFonts w:hint="eastAsia" w:cs="宋体" w:asciiTheme="minorEastAsia" w:hAnsiTheme="minorEastAsia" w:eastAsiaTheme="minorEastAsia"/>
          <w:sz w:val="24"/>
          <w:szCs w:val="24"/>
          <w:highlight w:val="none"/>
        </w:rPr>
        <w:t xml:space="preserve">电 话：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u w:val="none"/>
        </w:rPr>
        <w:t xml:space="preserve">0513-86516066</w:t>
      </w:r>
      <w:r/>
    </w:p>
    <w:p>
      <w:pPr>
        <w:pStyle w:val="617"/>
        <w:numPr>
          <w:ilvl w:val="0"/>
          <w:numId w:val="0"/>
        </w:numPr>
        <w:ind w:left="335" w:right="0"/>
        <w:jc w:val="both"/>
        <w:keepLines w:val="0"/>
        <w:keepNext w:val="0"/>
        <w:pageBreakBefore w:val="0"/>
        <w:spacing w:before="0" w:beforeAutospacing="0" w:afterAutospacing="0" w:line="400" w:lineRule="exact"/>
        <w:widowControl/>
        <w:rPr>
          <w:rFonts w:hint="eastAsia" w:cs="Times New Roman"/>
          <w:sz w:val="24"/>
          <w:szCs w:val="24"/>
          <w:highlight w:val="none"/>
          <w:lang w:val="en-US" w:eastAsia="zh-CN" w:bidi="ar-SA"/>
        </w:rPr>
        <w:suppressLineNumbers w:val="0"/>
      </w:pPr>
      <w:r>
        <w:rPr>
          <w:rFonts w:hint="eastAsia" w:cs="Times New Roman"/>
          <w:sz w:val="24"/>
          <w:szCs w:val="24"/>
          <w:highlight w:val="none"/>
          <w:lang w:val="en-US" w:eastAsia="zh-CN" w:bidi="ar-SA"/>
        </w:rPr>
        <w:t xml:space="preserve">五、附件（适用于更正中标、成交供应商）</w:t>
      </w:r>
      <w:r/>
    </w:p>
    <w:p>
      <w:pPr>
        <w:pStyle w:val="617"/>
        <w:numPr>
          <w:ilvl w:val="0"/>
          <w:numId w:val="0"/>
        </w:numPr>
        <w:ind w:left="335" w:right="0" w:firstLine="240"/>
        <w:jc w:val="both"/>
        <w:keepLines w:val="0"/>
        <w:keepNext w:val="0"/>
        <w:pageBreakBefore w:val="0"/>
        <w:spacing w:before="0" w:beforeAutospacing="0" w:afterAutospacing="0" w:line="400" w:lineRule="exact"/>
        <w:widowControl/>
        <w:rPr>
          <w:rFonts w:hint="default"/>
          <w:highlight w:val="none"/>
          <w:lang w:val="en-US" w:eastAsia="zh-CN"/>
        </w:rPr>
        <w:suppressLineNumbers w:val="0"/>
      </w:pPr>
      <w:r>
        <w:rPr>
          <w:rFonts w:hint="eastAsia" w:cs="Times New Roman"/>
          <w:sz w:val="24"/>
          <w:szCs w:val="24"/>
          <w:highlight w:val="none"/>
          <w:lang w:val="en-US" w:eastAsia="zh-CN" w:bidi="ar-SA"/>
        </w:rPr>
        <w:t xml:space="preserve">无</w:t>
      </w:r>
      <w:bookmarkStart w:id="2" w:name="_GoBack"/>
      <w:r/>
      <w:bookmarkEnd w:id="2"/>
      <w:r/>
      <w:r/>
    </w:p>
    <w:sectPr>
      <w:footnotePr/>
      <w:endnotePr/>
      <w:type w:val="nextPage"/>
      <w:pgSz w:w="11906" w:h="16838" w:orient="portrait"/>
      <w:pgMar w:top="1440" w:right="1800" w:bottom="1440" w:left="1800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黑体">
    <w:panose1 w:val="02010609060101010101"/>
  </w:font>
  <w:font w:name="仿宋_GB2312">
    <w:panose1 w:val="02010609060101010101"/>
  </w:font>
  <w:font w:name="Calibri">
    <w:panose1 w:val="020F0502020204030204"/>
  </w:font>
  <w:font w:name="Arial">
    <w:panose1 w:val="020B0604020202020204"/>
  </w:font>
  <w:font w:name="宋体">
    <w:panose1 w:val="02010600030101010101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3"/>
      <w:numFmt w:val="chineseCounting"/>
      <w:isLgl w:val="false"/>
      <w:suff w:val="nothing"/>
      <w:lvlText w:val="%1、"/>
      <w:lvlJc w:val="left"/>
      <w:pPr/>
      <w:rPr>
        <w:rFonts w:hint="eastAs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8"/>
      <w:numFmt w:val="decimal"/>
      <w:isLgl w:val="false"/>
      <w:suff w:val="nothing"/>
      <w:lvlText w:val="%1、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宋体" w:cs="Times New Roma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07"/>
    <w:link w:val="603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07"/>
    <w:link w:val="604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07"/>
    <w:link w:val="605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07"/>
    <w:link w:val="606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02"/>
    <w:next w:val="602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607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02"/>
    <w:next w:val="602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07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02"/>
    <w:next w:val="602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07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02"/>
    <w:next w:val="602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07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02"/>
    <w:next w:val="602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07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02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02"/>
    <w:next w:val="602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607"/>
    <w:link w:val="33"/>
    <w:uiPriority w:val="10"/>
    <w:rPr>
      <w:sz w:val="48"/>
      <w:szCs w:val="48"/>
    </w:rPr>
  </w:style>
  <w:style w:type="paragraph" w:styleId="35">
    <w:name w:val="Subtitle"/>
    <w:basedOn w:val="602"/>
    <w:next w:val="602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607"/>
    <w:link w:val="35"/>
    <w:uiPriority w:val="11"/>
    <w:rPr>
      <w:sz w:val="24"/>
      <w:szCs w:val="24"/>
    </w:rPr>
  </w:style>
  <w:style w:type="paragraph" w:styleId="37">
    <w:name w:val="Quote"/>
    <w:basedOn w:val="602"/>
    <w:next w:val="602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02"/>
    <w:next w:val="602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02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607"/>
    <w:link w:val="41"/>
    <w:uiPriority w:val="99"/>
  </w:style>
  <w:style w:type="paragraph" w:styleId="43">
    <w:name w:val="Footer"/>
    <w:basedOn w:val="602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607"/>
    <w:link w:val="43"/>
    <w:uiPriority w:val="99"/>
  </w:style>
  <w:style w:type="paragraph" w:styleId="45">
    <w:name w:val="Caption"/>
    <w:basedOn w:val="602"/>
    <w:next w:val="60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60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0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0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0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681c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f3b802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3f4" w:themeFill="accent1" w:themeFillTint="34"/>
    </w:tblPr>
    <w:tblStylePr w:type="band1Horz">
      <w:tcPr>
        <w:shd w:val="clear" w:color="ffffff" w:themeColor="accent1" w:themeTint="75" w:fill="aac0e7" w:themeFill="accent1" w:themeFillTint="75"/>
      </w:tcPr>
    </w:tblStylePr>
    <w:tblStylePr w:type="band1Vert">
      <w:tcPr>
        <w:shd w:val="clear" w:color="ffffff" w:themeColor="accent1" w:themeTint="75" w:fill="aac0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6" w:themeFill="accent2" w:themeFillTint="32"/>
    </w:tblPr>
    <w:tblStylePr w:type="band1Horz">
      <w:tcPr>
        <w:shd w:val="clear" w:color="ffffff" w:themeColor="accent2" w:themeTint="75" w:fill="f7c49e" w:themeFill="accent2" w:themeFillTint="75"/>
      </w:tcPr>
    </w:tblStylePr>
    <w:tblStylePr w:type="band1Vert">
      <w:tcPr>
        <w:shd w:val="clear" w:color="ffffff" w:themeColor="accent2" w:themeTint="75" w:fill="f7c49e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ef1c9" w:themeFill="accent3" w:themeFillTint="34"/>
    </w:tblPr>
    <w:tblStylePr w:type="band1Horz">
      <w:tcPr>
        <w:shd w:val="clear" w:color="ffffff" w:themeColor="accent3" w:themeTint="75" w:fill="fde086" w:themeFill="accent3" w:themeFillTint="75"/>
      </w:tcPr>
    </w:tblStylePr>
    <w:tblStylePr w:type="band1Vert">
      <w:tcPr>
        <w:shd w:val="clear" w:color="ffffff" w:themeColor="accent3" w:themeTint="75" w:fill="fde08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3f1d8" w:themeFill="accent4" w:themeFillTint="34"/>
    </w:tblPr>
    <w:tblStylePr w:type="band1Horz">
      <w:tcPr>
        <w:shd w:val="clear" w:color="ffffff" w:themeColor="accent4" w:themeTint="75" w:fill="bfe0a7" w:themeFill="accent4" w:themeFillTint="75"/>
      </w:tcPr>
    </w:tblStylePr>
    <w:tblStylePr w:type="band1Vert">
      <w:tcPr>
        <w:shd w:val="clear" w:color="ffffff" w:themeColor="accent4" w:themeTint="75" w:fill="bfe0a7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2f3f0" w:themeFill="accent5" w:themeFillTint="34"/>
    </w:tblPr>
    <w:tblStylePr w:type="band1Horz">
      <w:tcPr>
        <w:shd w:val="clear" w:color="ffffff" w:themeColor="accent5" w:themeTint="75" w:fill="9be6de" w:themeFill="accent5" w:themeFillTint="75"/>
      </w:tcPr>
    </w:tblStylePr>
    <w:tblStylePr w:type="band1Vert">
      <w:tcPr>
        <w:shd w:val="clear" w:color="ffffff" w:themeColor="accent5" w:themeTint="75" w:fill="9be6de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9dade" w:themeFill="accent6" w:themeFillTint="34"/>
    </w:tblPr>
    <w:tblStylePr w:type="band1Horz">
      <w:tcPr>
        <w:shd w:val="clear" w:color="ffffff" w:themeColor="accent6" w:themeTint="75" w:fill="f3acb5" w:themeFill="accent6" w:themeFillTint="75"/>
      </w:tcPr>
    </w:tblStylePr>
    <w:tblStylePr w:type="band1Vert">
      <w:tcPr>
        <w:shd w:val="clear" w:color="ffffff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362b0" w:themeColor="accent1" w:themeTint="80" w:themeShade="95"/>
      </w:rPr>
    </w:tblStylePr>
    <w:tblStylePr w:type="firstRow">
      <w:rPr>
        <w:b/>
        <w:color w:val="3362b0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362b0" w:themeColor="accent1" w:themeTint="80" w:themeShade="95"/>
      </w:rPr>
    </w:tblStylePr>
    <w:tblStylePr w:type="lastRow">
      <w:rPr>
        <w:b/>
        <w:color w:val="3362b0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c6a01" w:themeColor="accent3" w:themeTint="FE" w:themeShade="95"/>
      </w:rPr>
    </w:tblStylePr>
    <w:tblStylePr w:type="firstRow">
      <w:rPr>
        <w:b/>
        <w:color w:val="8c6a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c6a01" w:themeColor="accent3" w:themeTint="FE" w:themeShade="95"/>
      </w:rPr>
    </w:tblStylePr>
    <w:tblStylePr w:type="lastRow">
      <w:rPr>
        <w:b/>
        <w:color w:val="8c6a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362b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3362b0" w:themeColor="accent1" w:themeTint="80" w:themeShade="95"/>
        <w:sz w:val="22"/>
      </w:rPr>
    </w:tblStylePr>
    <w:tblStylePr w:type="firstCol">
      <w:rPr>
        <w:rFonts w:ascii="Arial" w:hAnsi="Arial"/>
        <w:i/>
        <w:color w:val="3362b0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362b0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c6a01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8c6a01" w:themeColor="accent3" w:themeTint="FE" w:themeShade="95"/>
        <w:sz w:val="22"/>
      </w:rPr>
    </w:tblStylePr>
    <w:tblStylePr w:type="firstCol">
      <w:rPr>
        <w:rFonts w:ascii="Arial" w:hAnsi="Arial"/>
        <w:i/>
        <w:color w:val="8c6a01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8c6a01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1c7067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1c7067" w:themeColor="accent5" w:themeShade="95"/>
        <w:sz w:val="22"/>
      </w:rPr>
    </w:tblStylePr>
    <w:tblStylePr w:type="firstCol">
      <w:rPr>
        <w:rFonts w:ascii="Arial" w:hAnsi="Arial"/>
        <w:i/>
        <w:color w:val="1c706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1c706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9b1626" w:themeColor="accent6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  <w:tblStylePr w:type="firstCol">
      <w:rPr>
        <w:rFonts w:ascii="Arial" w:hAnsi="Arial"/>
        <w:i/>
        <w:color w:val="9b1626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dd762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7bded3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874cb" w:themeFill="accent1"/>
    </w:tblPr>
    <w:tblStylePr w:type="band1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874cb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874cb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383" w:themeFill="accent2" w:themeFillTint="97"/>
    </w:tblPr>
    <w:tblStylePr w:type="band1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38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dd762" w:themeFill="accent3" w:themeFillTint="98"/>
    </w:tblPr>
    <w:tblStylePr w:type="band1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dd762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dd762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acd78c" w:themeFill="accent4" w:themeFillTint="9A"/>
    </w:tblPr>
    <w:tblStylePr w:type="band1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acd78c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7bded3" w:themeFill="accent5" w:themeFillTint="9A"/>
    </w:tblPr>
    <w:tblStylePr w:type="band1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7bded3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7bded3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f949f" w:themeFill="accent6" w:themeFillTint="98"/>
    </w:tblPr>
    <w:tblStylePr w:type="band1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f949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f949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3427c" w:themeColor="accent1" w:themeShade="95"/>
      </w:rPr>
    </w:tblStylePr>
    <w:tblStylePr w:type="firstRow">
      <w:rPr>
        <w:b/>
        <w:color w:val="23427c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3427c" w:themeColor="accent1" w:themeShade="95"/>
      </w:rPr>
    </w:tblStylePr>
    <w:tblStylePr w:type="lastRow">
      <w:rPr>
        <w:b/>
        <w:color w:val="23427c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c99802" w:themeColor="accent3" w:themeTint="98" w:themeShade="95"/>
      </w:rPr>
    </w:tblStylePr>
    <w:tblStylePr w:type="firstRow">
      <w:rPr>
        <w:b/>
        <w:color w:val="c99802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99802" w:themeColor="accent3" w:themeTint="98" w:themeShade="95"/>
      </w:rPr>
    </w:tblStylePr>
    <w:tblStylePr w:type="lastRow">
      <w:rPr>
        <w:b/>
        <w:color w:val="c99802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8a191" w:themeColor="accent5" w:themeTint="9A" w:themeShade="95"/>
      </w:rPr>
    </w:tblStylePr>
    <w:tblStylePr w:type="firstRow">
      <w:rPr>
        <w:b/>
        <w:color w:val="28a19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8a191" w:themeColor="accent5" w:themeTint="9A" w:themeShade="95"/>
      </w:rPr>
    </w:tblStylePr>
    <w:tblStylePr w:type="lastRow">
      <w:rPr>
        <w:b/>
        <w:color w:val="28a19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c41d35" w:themeColor="accent6" w:themeTint="98" w:themeShade="95"/>
      </w:rPr>
    </w:tblStylePr>
    <w:tblStylePr w:type="firstRow">
      <w:rPr>
        <w:b/>
        <w:color w:val="c41d35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c41d35" w:themeColor="accent6" w:themeTint="98" w:themeShade="95"/>
      </w:rPr>
    </w:tblStylePr>
    <w:tblStylePr w:type="lastRow">
      <w:rPr>
        <w:b/>
        <w:color w:val="c41d35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3427c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23427c" w:themeColor="accent1" w:themeShade="95"/>
        <w:sz w:val="22"/>
      </w:rPr>
    </w:tblStylePr>
    <w:tblStylePr w:type="firstCol">
      <w:rPr>
        <w:rFonts w:ascii="Arial" w:hAnsi="Arial"/>
        <w:i/>
        <w:color w:val="23427c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3427c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3427c" w:themeColor="accent1" w:themeShade="95"/>
        <w:sz w:val="22"/>
      </w:rPr>
    </w:tblStylePr>
  </w:style>
  <w:style w:type="table" w:styleId="147">
    <w:name w:val="List Table 7 Colorful - Accent 2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85f11" w:themeColor="accent2" w:themeTint="97" w:themeShade="95"/>
        <w:sz w:val="22"/>
      </w:rPr>
    </w:tblStylePr>
  </w:style>
  <w:style w:type="table" w:styleId="148">
    <w:name w:val="List Table 7 Colorful - Accent 3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c99802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c99802" w:themeColor="accent3" w:themeTint="98" w:themeShade="95"/>
        <w:sz w:val="22"/>
      </w:rPr>
    </w:tblStylePr>
    <w:tblStylePr w:type="firstCol">
      <w:rPr>
        <w:rFonts w:ascii="Arial" w:hAnsi="Arial"/>
        <w:i/>
        <w:color w:val="c99802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c99802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9802" w:themeColor="accent3" w:themeTint="98" w:themeShade="95"/>
        <w:sz w:val="22"/>
      </w:rPr>
    </w:tblStylePr>
  </w:style>
  <w:style w:type="table" w:styleId="149">
    <w:name w:val="List Table 7 Colorful - Accent 4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19835" w:themeColor="accent4" w:themeTint="9A" w:themeShade="95"/>
        <w:sz w:val="22"/>
      </w:rPr>
    </w:tblStylePr>
  </w:style>
  <w:style w:type="table" w:styleId="150">
    <w:name w:val="List Table 7 Colorful - Accent 5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8a191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28a191" w:themeColor="accent5" w:themeTint="9A" w:themeShade="95"/>
        <w:sz w:val="22"/>
      </w:rPr>
    </w:tblStylePr>
    <w:tblStylePr w:type="firstCol">
      <w:rPr>
        <w:rFonts w:ascii="Arial" w:hAnsi="Arial"/>
        <w:i/>
        <w:color w:val="28a191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8a191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8a191" w:themeColor="accent5" w:themeTint="9A" w:themeShade="95"/>
        <w:sz w:val="22"/>
      </w:rPr>
    </w:tblStylePr>
  </w:style>
  <w:style w:type="table" w:styleId="151">
    <w:name w:val="List Table 7 Colorful - Accent 6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c41d35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c41d35" w:themeColor="accent6" w:themeTint="98" w:themeShade="95"/>
        <w:sz w:val="22"/>
      </w:rPr>
    </w:tblStylePr>
    <w:tblStylePr w:type="firstCol">
      <w:rPr>
        <w:rFonts w:ascii="Arial" w:hAnsi="Arial"/>
        <w:i/>
        <w:color w:val="c41d35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c41d35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41d35" w:themeColor="accent6" w:themeTint="98" w:themeShade="95"/>
        <w:sz w:val="22"/>
      </w:rPr>
    </w:tblStylePr>
  </w:style>
  <w:style w:type="table" w:styleId="152">
    <w:name w:val="Lined - Accent"/>
    <w:basedOn w:val="6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154">
    <w:name w:val="Lined - Accent 2"/>
    <w:basedOn w:val="6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155">
    <w:name w:val="Lined - Accent 3"/>
    <w:basedOn w:val="6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156">
    <w:name w:val="Lined - Accent 4"/>
    <w:basedOn w:val="6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157">
    <w:name w:val="Lined - Accent 5"/>
    <w:basedOn w:val="6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158">
    <w:name w:val="Lined - Accent 6"/>
    <w:basedOn w:val="6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159">
    <w:name w:val="Bordered &amp; Lined - Accent"/>
    <w:basedOn w:val="6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161">
    <w:name w:val="Bordered &amp; Lined - Accent 2"/>
    <w:basedOn w:val="6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162">
    <w:name w:val="Bordered &amp; Lined - Accent 3"/>
    <w:basedOn w:val="6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163">
    <w:name w:val="Bordered &amp; Lined - Accent 4"/>
    <w:basedOn w:val="6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164">
    <w:name w:val="Bordered &amp; Lined - Accent 5"/>
    <w:basedOn w:val="6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165">
    <w:name w:val="Bordered &amp; Lined - Accent 6"/>
    <w:basedOn w:val="60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166">
    <w:name w:val="Bordered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character" w:styleId="175">
    <w:name w:val="Footnote Text Char"/>
    <w:link w:val="609"/>
    <w:uiPriority w:val="99"/>
    <w:rPr>
      <w:sz w:val="18"/>
    </w:rPr>
  </w:style>
  <w:style w:type="character" w:styleId="176">
    <w:name w:val="footnote reference"/>
    <w:basedOn w:val="607"/>
    <w:uiPriority w:val="99"/>
    <w:unhideWhenUsed/>
    <w:rPr>
      <w:vertAlign w:val="superscript"/>
    </w:rPr>
  </w:style>
  <w:style w:type="paragraph" w:styleId="177">
    <w:name w:val="endnote text"/>
    <w:basedOn w:val="602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07"/>
    <w:uiPriority w:val="99"/>
    <w:semiHidden/>
    <w:unhideWhenUsed/>
    <w:rPr>
      <w:vertAlign w:val="superscript"/>
    </w:rPr>
  </w:style>
  <w:style w:type="paragraph" w:styleId="180">
    <w:name w:val="toc 1"/>
    <w:basedOn w:val="602"/>
    <w:next w:val="602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02"/>
    <w:next w:val="602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02"/>
    <w:next w:val="602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02"/>
    <w:next w:val="602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02"/>
    <w:next w:val="602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02"/>
    <w:next w:val="602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02"/>
    <w:next w:val="602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02"/>
    <w:next w:val="602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02"/>
    <w:next w:val="602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02"/>
    <w:next w:val="602"/>
    <w:uiPriority w:val="99"/>
    <w:unhideWhenUsed/>
    <w:pPr>
      <w:spacing w:after="0" w:afterAutospacing="0"/>
    </w:pPr>
  </w:style>
  <w:style w:type="paragraph" w:styleId="602" w:default="1">
    <w:name w:val="Normal"/>
    <w:next w:val="609"/>
    <w:uiPriority w:val="0"/>
    <w:qFormat/>
    <w:pPr>
      <w:jc w:val="both"/>
      <w:widowControl w:val="off"/>
    </w:pPr>
    <w:rPr>
      <w:rFonts w:ascii="Times New Roman" w:hAnsi="Times New Roman" w:eastAsia="宋体" w:cs="Times New Roman"/>
      <w:sz w:val="28"/>
      <w:szCs w:val="24"/>
      <w:lang w:val="en-US" w:eastAsia="zh-CN" w:bidi="ar-SA"/>
    </w:rPr>
  </w:style>
  <w:style w:type="paragraph" w:styleId="603">
    <w:name w:val="Heading 1"/>
    <w:basedOn w:val="602"/>
    <w:next w:val="602"/>
    <w:link w:val="620"/>
    <w:uiPriority w:val="0"/>
    <w:qFormat/>
    <w:pPr>
      <w:jc w:val="center"/>
      <w:keepLines/>
      <w:keepNext/>
      <w:spacing w:line="360" w:lineRule="auto"/>
      <w:outlineLvl w:val="0"/>
    </w:pPr>
    <w:rPr>
      <w:rFonts w:ascii="Calibri" w:hAnsi="Calibri" w:eastAsia="宋体" w:cstheme="minorBidi"/>
      <w:b/>
      <w:bCs/>
      <w:sz w:val="28"/>
      <w:szCs w:val="44"/>
    </w:rPr>
  </w:style>
  <w:style w:type="paragraph" w:styleId="604">
    <w:name w:val="Heading 2"/>
    <w:basedOn w:val="602"/>
    <w:next w:val="602"/>
    <w:link w:val="619"/>
    <w:uiPriority w:val="0"/>
    <w:semiHidden/>
    <w:unhideWhenUsed/>
    <w:qFormat/>
    <w:pPr>
      <w:ind w:firstLine="0"/>
      <w:jc w:val="left"/>
      <w:keepLines/>
      <w:keepNext/>
      <w:spacing w:before="100" w:line="24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605">
    <w:name w:val="Heading 3"/>
    <w:basedOn w:val="602"/>
    <w:next w:val="602"/>
    <w:link w:val="622"/>
    <w:uiPriority w:val="0"/>
    <w:semiHidden/>
    <w:unhideWhenUsed/>
    <w:qFormat/>
    <w:pPr>
      <w:jc w:val="left"/>
      <w:spacing w:before="100" w:beforeAutospacing="1" w:after="100" w:afterAutospacing="1"/>
      <w:outlineLvl w:val="2"/>
    </w:pPr>
    <w:rPr>
      <w:rFonts w:hint="eastAsia" w:ascii="宋体" w:hAnsi="宋体" w:eastAsia="宋体" w:cs="宋体"/>
      <w:bCs/>
      <w:sz w:val="24"/>
      <w:szCs w:val="27"/>
      <w:lang w:bidi="ar"/>
    </w:rPr>
  </w:style>
  <w:style w:type="paragraph" w:styleId="606">
    <w:name w:val="Heading 4"/>
    <w:basedOn w:val="602"/>
    <w:next w:val="602"/>
    <w:uiPriority w:val="0"/>
    <w:semiHidden/>
    <w:unhideWhenUsed/>
    <w:qFormat/>
    <w:pPr>
      <w:ind w:firstLine="0"/>
      <w:keepLines/>
      <w:keepNext/>
      <w:spacing w:before="240" w:after="240"/>
      <w:outlineLvl w:val="3"/>
    </w:pPr>
    <w:rPr>
      <w:rFonts w:asciiTheme="minorAscii" w:hAnsiTheme="minorAscii" w:eastAsiaTheme="minorEastAsia" w:cstheme="majorBidi"/>
      <w:bCs/>
      <w:sz w:val="21"/>
      <w:szCs w:val="28"/>
    </w:rPr>
  </w:style>
  <w:style w:type="character" w:styleId="607" w:default="1">
    <w:name w:val="Default Paragraph Font"/>
    <w:uiPriority w:val="0"/>
    <w:semiHidden/>
    <w:qFormat/>
  </w:style>
  <w:style w:type="table" w:styleId="608" w:default="1">
    <w:name w:val="Normal Table"/>
    <w:uiPriority w:val="0"/>
    <w:semiHidden/>
    <w:qFormat/>
    <w:tblPr>
      <w:tblCellMar>
        <w:left w:w="108" w:type="dxa"/>
        <w:top w:w="0" w:type="dxa"/>
        <w:right w:w="108" w:type="dxa"/>
        <w:bottom w:w="0" w:type="dxa"/>
      </w:tblCellMar>
    </w:tblPr>
  </w:style>
  <w:style w:type="paragraph" w:styleId="609">
    <w:name w:val="footnote text"/>
    <w:basedOn w:val="602"/>
    <w:next w:val="610"/>
    <w:uiPriority w:val="0"/>
    <w:semiHidden/>
    <w:qFormat/>
    <w:pPr>
      <w:jc w:val="left"/>
    </w:pPr>
    <w:rPr>
      <w:sz w:val="18"/>
      <w:szCs w:val="18"/>
    </w:rPr>
  </w:style>
  <w:style w:type="paragraph" w:styleId="610">
    <w:name w:val="Body Text First Indent 2"/>
    <w:basedOn w:val="611"/>
    <w:uiPriority w:val="0"/>
    <w:qFormat/>
    <w:pPr>
      <w:ind w:firstLine="420"/>
    </w:pPr>
  </w:style>
  <w:style w:type="paragraph" w:styleId="611">
    <w:name w:val="Body Text Indent"/>
    <w:basedOn w:val="602"/>
    <w:uiPriority w:val="0"/>
    <w:qFormat/>
    <w:pPr>
      <w:ind w:left="420"/>
      <w:spacing w:after="120" w:afterAutospacing="0"/>
    </w:pPr>
  </w:style>
  <w:style w:type="paragraph" w:styleId="612">
    <w:name w:val="Normal Indent"/>
    <w:basedOn w:val="602"/>
    <w:uiPriority w:val="0"/>
    <w:qFormat/>
    <w:pPr>
      <w:ind w:firstLine="420"/>
    </w:pPr>
  </w:style>
  <w:style w:type="paragraph" w:styleId="613">
    <w:name w:val="toa heading"/>
    <w:basedOn w:val="602"/>
    <w:next w:val="602"/>
    <w:uiPriority w:val="0"/>
    <w:qFormat/>
    <w:pPr>
      <w:spacing w:before="120" w:line="312" w:lineRule="atLeast"/>
    </w:pPr>
    <w:rPr>
      <w:rFonts w:ascii="Arial" w:hAnsi="Arial"/>
      <w:b/>
      <w:sz w:val="24"/>
      <w:szCs w:val="24"/>
    </w:rPr>
  </w:style>
  <w:style w:type="paragraph" w:styleId="614">
    <w:name w:val="Body Text"/>
    <w:basedOn w:val="602"/>
    <w:uiPriority w:val="0"/>
    <w:semiHidden/>
    <w:qFormat/>
    <w:rPr>
      <w:rFonts w:ascii="宋体" w:hAnsi="宋体" w:eastAsia="宋体" w:cs="宋体"/>
      <w:sz w:val="24"/>
      <w:szCs w:val="24"/>
      <w:lang w:val="en-US" w:eastAsia="en-US" w:bidi="ar-SA"/>
    </w:rPr>
  </w:style>
  <w:style w:type="paragraph" w:styleId="615">
    <w:name w:val="envelope return"/>
    <w:basedOn w:val="602"/>
    <w:uiPriority w:val="99"/>
    <w:unhideWhenUsed/>
    <w:qFormat/>
    <w:rPr>
      <w:rFonts w:ascii="Arial" w:hAnsi="Arial"/>
    </w:rPr>
  </w:style>
  <w:style w:type="paragraph" w:styleId="616">
    <w:name w:val="Body Text Indent 3"/>
    <w:basedOn w:val="602"/>
    <w:next w:val="613"/>
    <w:uiPriority w:val="0"/>
    <w:qFormat/>
    <w:pPr>
      <w:ind w:left="645" w:firstLine="645"/>
    </w:pPr>
    <w:rPr>
      <w:rFonts w:ascii="Arial" w:hAnsi="Arial" w:eastAsia="仿宋_GB2312" w:cs="Arial"/>
      <w:color w:val="ffff00"/>
      <w:sz w:val="32"/>
      <w:szCs w:val="32"/>
    </w:rPr>
  </w:style>
  <w:style w:type="paragraph" w:styleId="617">
    <w:name w:val="Normal (Web)"/>
    <w:basedOn w:val="602"/>
    <w:uiPriority w:val="0"/>
    <w:qFormat/>
    <w:rPr>
      <w:sz w:val="24"/>
    </w:rPr>
  </w:style>
  <w:style w:type="character" w:styleId="618">
    <w:name w:val="Emphasis"/>
    <w:basedOn w:val="607"/>
    <w:uiPriority w:val="0"/>
    <w:qFormat/>
    <w:rPr>
      <w:i/>
    </w:rPr>
  </w:style>
  <w:style w:type="character" w:styleId="619" w:customStyle="1">
    <w:name w:val="标题 2 Char"/>
    <w:link w:val="604"/>
    <w:uiPriority w:val="0"/>
    <w:qFormat/>
    <w:rPr>
      <w:rFonts w:ascii="Arial" w:hAnsi="Arial" w:eastAsia="宋体" w:cs="Times New Roman"/>
      <w:b/>
      <w:bCs/>
      <w:color w:val="000000"/>
      <w:sz w:val="24"/>
      <w:szCs w:val="32"/>
      <w:lang w:eastAsia="en-US"/>
    </w:rPr>
  </w:style>
  <w:style w:type="character" w:styleId="620" w:customStyle="1">
    <w:name w:val="标题 1 Char"/>
    <w:link w:val="603"/>
    <w:uiPriority w:val="0"/>
    <w:qFormat/>
    <w:rPr>
      <w:rFonts w:ascii="Calibri" w:hAnsi="Calibri" w:eastAsia="宋体" w:cstheme="minorBidi"/>
      <w:b/>
      <w:bCs/>
      <w:sz w:val="28"/>
      <w:szCs w:val="44"/>
    </w:rPr>
  </w:style>
  <w:style w:type="paragraph" w:styleId="621" w:customStyle="1">
    <w:name w:val="表题和表序"/>
    <w:basedOn w:val="602"/>
    <w:uiPriority w:val="0"/>
    <w:qFormat/>
    <w:pPr>
      <w:ind w:firstLine="0"/>
      <w:jc w:val="center"/>
      <w:spacing w:line="360" w:lineRule="auto"/>
    </w:pPr>
    <w:rPr>
      <w:rFonts w:ascii="Calibri" w:hAnsi="Calibri" w:eastAsia="黑体"/>
      <w:color w:val="000000"/>
      <w:sz w:val="21"/>
    </w:rPr>
  </w:style>
  <w:style w:type="character" w:styleId="622" w:customStyle="1">
    <w:name w:val="标题 3 Char"/>
    <w:link w:val="605"/>
    <w:uiPriority w:val="0"/>
    <w:qFormat/>
    <w:rPr>
      <w:rFonts w:ascii="宋体" w:hAnsi="宋体" w:eastAsia="宋体" w:cs="宋体"/>
      <w:bCs/>
      <w:color w:val="000000"/>
      <w:sz w:val="24"/>
      <w:szCs w:val="21"/>
      <w:lang w:eastAsia="en-US"/>
    </w:rPr>
  </w:style>
  <w:style w:type="table" w:styleId="623" w:customStyle="1">
    <w:name w:val="Table Normal"/>
    <w:uiPriority w:val="0"/>
    <w:semiHidden/>
    <w:unhideWhenUsed/>
    <w:qFormat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624" w:customStyle="1">
    <w:name w:val="Table Text"/>
    <w:basedOn w:val="602"/>
    <w:uiPriority w:val="0"/>
    <w:semiHidden/>
    <w:qFormat/>
    <w:rPr>
      <w:rFonts w:ascii="宋体" w:hAnsi="宋体" w:eastAsia="宋体" w:cs="宋体"/>
      <w:sz w:val="19"/>
      <w:szCs w:val="19"/>
      <w:lang w:val="en-US" w:eastAsia="en-US" w:bidi="ar-SA"/>
    </w:rPr>
  </w:style>
  <w:style w:type="numbering" w:styleId="97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317</dc:creator>
  <cp:lastModifiedBy>南通市通州天元建设监理咨询有限公司</cp:lastModifiedBy>
  <cp:revision>2</cp:revision>
  <dcterms:created xsi:type="dcterms:W3CDTF">2026-05-09T15:01:00Z</dcterms:created>
  <dcterms:modified xsi:type="dcterms:W3CDTF">2026-06-29T07:10:48Z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B8E0E4E87E404FA986BFEFFC20EFA65E_13</vt:lpwstr>
  </property>
  <property fmtid="{D5CDD505-2E9C-101B-9397-08002B2CF9AE}" pid="4" name="KSOTemplateDocerSaveRecord">
    <vt:lpwstr>eyJoZGlkIjoiNWU3ODU1ODM2MWQyNDQzNThhNGY4NjNiY2JmMmM4NDkiLCJ1c2VySWQiOiI4MDE5MDY4MjgifQ==</vt:lpwstr>
  </property>
</Properties>
</file>