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609" w:leader="none"/>
        </w:tabs>
        <w:rPr>
          <w:bCs/>
          <w:color w:val="auto"/>
          <w:sz w:val="36"/>
          <w:szCs w:val="36"/>
          <w:highlight w:val="none"/>
        </w:rPr>
      </w:pPr>
      <w:r>
        <w:rPr>
          <w:bCs/>
          <w:color w:val="auto"/>
          <w:sz w:val="36"/>
          <w:szCs w:val="36"/>
          <w:highlight w:val="none"/>
        </w:rPr>
      </w:r>
      <w:r/>
    </w:p>
    <w:p>
      <w:pPr>
        <w:ind w:left="2518" w:hanging="1800"/>
        <w:jc w:val="left"/>
        <w:spacing w:line="360" w:lineRule="auto"/>
        <w:tabs>
          <w:tab w:val="left" w:pos="5609" w:leader="none"/>
        </w:tabs>
        <w:rPr>
          <w:rFonts w:hint="default" w:eastAsia="宋体"/>
          <w:bCs/>
          <w:color w:val="auto"/>
          <w:sz w:val="36"/>
          <w:szCs w:val="36"/>
          <w:highlight w:val="none"/>
          <w:lang w:val="en-US" w:eastAsia="zh-CN"/>
        </w:rPr>
      </w:pPr>
      <w:r>
        <w:rPr>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2026年全面推进美丽常州建设技术服务项目</w:t>
      </w:r>
      <w:r/>
    </w:p>
    <w:p>
      <w:pPr>
        <w:ind w:firstLine="720"/>
        <w:jc w:val="left"/>
        <w:spacing w:line="360" w:lineRule="auto"/>
        <w:tabs>
          <w:tab w:val="left" w:pos="5609" w:leader="none"/>
        </w:tabs>
        <w:rPr>
          <w:rFonts w:hint="eastAsia" w:ascii="宋体" w:hAnsi="宋体" w:eastAsia="宋体" w:cs="宋体"/>
          <w:bCs/>
          <w:color w:val="auto"/>
          <w:sz w:val="36"/>
          <w:szCs w:val="36"/>
          <w:highlight w:val="none"/>
          <w:lang w:val="en-US" w:eastAsia="zh-CN"/>
        </w:rPr>
      </w:pPr>
      <w:r>
        <w:rPr>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JSZC-320400-YTZB-C2026-0023</w:t>
      </w:r>
      <w:r/>
    </w:p>
    <w:p>
      <w:pPr>
        <w:ind w:firstLine="72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常州市生态环境局</w:t>
      </w:r>
      <w:r/>
    </w:p>
    <w:p>
      <w:pPr>
        <w:ind w:firstLine="72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常州盈泰招标有限公司</w:t>
      </w:r>
      <w:r>
        <w:rPr>
          <w:bCs/>
          <w:color w:val="auto"/>
          <w:sz w:val="36"/>
          <w:szCs w:val="36"/>
          <w:highlight w:val="none"/>
        </w:rPr>
        <w:t xml:space="preserve"> </w:t>
      </w:r>
      <w:r/>
    </w:p>
    <w:p>
      <w:pPr>
        <w:jc w:val="left"/>
        <w:widowControl/>
        <w:rPr>
          <w:color w:val="auto"/>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38" w:orient="portrait"/>
          <w:pgMar w:top="1417" w:right="1134" w:bottom="1417" w:left="1191" w:header="850" w:footer="850" w:gutter="0"/>
          <w:pgNumType w:start="1"/>
          <w:cols w:num="1" w:sep="0" w:space="0" w:equalWidth="1"/>
          <w:docGrid w:linePitch="360"/>
          <w:titlePg/>
        </w:sectPr>
      </w:pPr>
      <w:r>
        <w:rPr>
          <w:color w:val="auto"/>
          <w:sz w:val="24"/>
          <w:highlight w:val="none"/>
        </w:rPr>
        <w:br w:type="page" w:clear="all"/>
      </w:r>
      <w:r/>
    </w:p>
    <w:p>
      <w:pPr>
        <w:jc w:val="left"/>
        <w:widowControl/>
        <w:rPr>
          <w:color w:val="auto"/>
          <w:sz w:val="24"/>
          <w:highlight w:val="none"/>
        </w:rPr>
      </w:pPr>
      <w:r>
        <w:rPr>
          <w:color w:val="auto"/>
          <w:sz w:val="24"/>
          <w:highlight w:val="none"/>
        </w:rPr>
      </w:r>
      <w:r/>
    </w:p>
    <w:p>
      <w:pPr>
        <w:pStyle w:val="1082"/>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39291591"/>
      <w:r/>
      <w:bookmarkStart w:id="2" w:name="_Toc3550"/>
      <w:r/>
      <w:bookmarkStart w:id="3" w:name="_Toc19025"/>
      <w:r/>
      <w:bookmarkStart w:id="4" w:name="_Toc24329"/>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bookmarkEnd w:id="3"/>
      <w:r/>
      <w:bookmarkEnd w:id="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_Toc3550 </w:instrText>
      </w:r>
      <w:r>
        <w:rPr>
          <w:rFonts w:ascii="Times New Roman" w:hAnsi="Times New Roman"/>
          <w:color w:val="auto"/>
          <w:szCs w:val="44"/>
          <w:highlight w:val="none"/>
        </w:rPr>
        <w:fldChar w:fldCharType="separate"/>
      </w:r>
      <w:r>
        <w:rPr>
          <w:rFonts w:hint="eastAsia"/>
          <w:color w:val="auto"/>
          <w:szCs w:val="36"/>
          <w:highlight w:val="none"/>
        </w:rPr>
        <w:t xml:space="preserve">目</w:t>
      </w:r>
      <w:r>
        <w:rPr>
          <w:color w:val="auto"/>
          <w:szCs w:val="36"/>
          <w:highlight w:val="none"/>
        </w:rPr>
        <w:t xml:space="preserve">      </w:t>
      </w:r>
      <w:r>
        <w:rPr>
          <w:rFonts w:hint="eastAsia"/>
          <w:color w:val="auto"/>
          <w:szCs w:val="36"/>
          <w:highlight w:val="none"/>
          <w:lang w:val="en-US" w:eastAsia="zh-CN"/>
        </w:rPr>
        <w:t xml:space="preserve"> </w:t>
      </w:r>
      <w:r>
        <w:rPr>
          <w:rFonts w:hint="eastAsia"/>
          <w:color w:val="auto"/>
          <w:szCs w:val="36"/>
          <w:highlight w:val="none"/>
        </w:rPr>
        <w:t xml:space="preserve">录</w:t>
      </w:r>
      <w:r>
        <w:rPr>
          <w:color w:val="auto"/>
          <w:highlight w:val="none"/>
        </w:rPr>
        <w:tab/>
      </w:r>
      <w:r>
        <w:rPr>
          <w:color w:val="auto"/>
          <w:highlight w:val="none"/>
        </w:rPr>
        <w:fldChar w:fldCharType="begin"/>
      </w:r>
      <w:r>
        <w:rPr>
          <w:color w:val="auto"/>
          <w:highlight w:val="none"/>
        </w:rPr>
        <w:instrText xml:space="preserve"> PAGEREF _Toc3550 \h </w:instrText>
      </w:r>
      <w:r>
        <w:rPr>
          <w:color w:val="auto"/>
          <w:highlight w:val="none"/>
        </w:rPr>
        <w:fldChar w:fldCharType="separate"/>
      </w:r>
      <w:r>
        <w:rPr>
          <w:color w:val="auto"/>
          <w:highlight w:val="none"/>
        </w:rPr>
        <w:t xml:space="preserve">1</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_Toc11801 </w:instrText>
      </w:r>
      <w:r>
        <w:rPr>
          <w:rFonts w:ascii="Times New Roman" w:hAnsi="Times New Roman"/>
          <w:color w:val="auto"/>
          <w:szCs w:val="44"/>
          <w:highlight w:val="none"/>
        </w:rPr>
        <w:fldChar w:fldCharType="separate"/>
      </w:r>
      <w:r>
        <w:rPr>
          <w:color w:val="auto"/>
          <w:szCs w:val="36"/>
          <w:highlight w:val="none"/>
        </w:rPr>
        <w:t xml:space="preserve">第一章   采购邀请</w:t>
      </w:r>
      <w:r>
        <w:rPr>
          <w:color w:val="auto"/>
          <w:highlight w:val="none"/>
        </w:rPr>
        <w:tab/>
      </w:r>
      <w:r>
        <w:rPr>
          <w:color w:val="auto"/>
          <w:highlight w:val="none"/>
        </w:rPr>
        <w:fldChar w:fldCharType="begin"/>
      </w:r>
      <w:r>
        <w:rPr>
          <w:color w:val="auto"/>
          <w:highlight w:val="none"/>
        </w:rPr>
        <w:instrText xml:space="preserve"> PAGEREF _Toc11801 \h </w:instrText>
      </w:r>
      <w:r>
        <w:rPr>
          <w:color w:val="auto"/>
          <w:highlight w:val="none"/>
        </w:rPr>
        <w:fldChar w:fldCharType="separate"/>
      </w:r>
      <w:r>
        <w:rPr>
          <w:color w:val="auto"/>
          <w:highlight w:val="none"/>
        </w:rPr>
        <w:t xml:space="preserve">2</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_Toc1779 </w:instrText>
      </w:r>
      <w:r>
        <w:rPr>
          <w:rFonts w:ascii="Times New Roman" w:hAnsi="Times New Roman"/>
          <w:color w:val="auto"/>
          <w:szCs w:val="44"/>
          <w:highlight w:val="none"/>
        </w:rPr>
        <w:fldChar w:fldCharType="separate"/>
      </w:r>
      <w:r>
        <w:rPr>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_Toc1779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_Toc5297 </w:instrText>
      </w:r>
      <w:r>
        <w:rPr>
          <w:rFonts w:ascii="Times New Roman" w:hAnsi="Times New Roman"/>
          <w:color w:val="auto"/>
          <w:szCs w:val="44"/>
          <w:highlight w:val="none"/>
        </w:rPr>
        <w:fldChar w:fldCharType="separate"/>
      </w:r>
      <w:r>
        <w:rPr>
          <w:rFonts w:hint="eastAsia"/>
          <w:color w:val="auto"/>
          <w:szCs w:val="36"/>
          <w:highlight w:val="none"/>
        </w:rPr>
        <w:t xml:space="preserve">第三章 </w:t>
      </w:r>
      <w:r>
        <w:rPr>
          <w:rFonts w:hint="eastAsia"/>
          <w:color w:val="auto"/>
          <w:szCs w:val="36"/>
          <w:highlight w:val="none"/>
          <w:lang w:val="en-US" w:eastAsia="zh-CN"/>
        </w:rPr>
        <w:t xml:space="preserve">  </w:t>
      </w:r>
      <w:r>
        <w:rPr>
          <w:color w:val="auto"/>
          <w:szCs w:val="36"/>
          <w:highlight w:val="none"/>
        </w:rPr>
        <w:t xml:space="preserve">评审</w:t>
      </w:r>
      <w:r>
        <w:rPr>
          <w:rFonts w:hint="eastAsia"/>
          <w:color w:val="auto"/>
          <w:szCs w:val="36"/>
          <w:highlight w:val="none"/>
        </w:rPr>
        <w:t xml:space="preserve">程序、评审</w:t>
      </w:r>
      <w:r>
        <w:rPr>
          <w:color w:val="auto"/>
          <w:szCs w:val="36"/>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_Toc5297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_Toc5064 </w:instrText>
      </w:r>
      <w:r>
        <w:rPr>
          <w:rFonts w:ascii="Times New Roman" w:hAnsi="Times New Roman"/>
          <w:color w:val="auto"/>
          <w:szCs w:val="44"/>
          <w:highlight w:val="none"/>
        </w:rPr>
        <w:fldChar w:fldCharType="separate"/>
      </w:r>
      <w:r>
        <w:rPr>
          <w:rFonts w:hint="eastAsia"/>
          <w:color w:val="auto"/>
          <w:szCs w:val="36"/>
          <w:highlight w:val="none"/>
        </w:rPr>
        <w:t xml:space="preserve">第四章 </w:t>
      </w:r>
      <w:r>
        <w:rPr>
          <w:rFonts w:hint="eastAsia"/>
          <w:color w:val="auto"/>
          <w:szCs w:val="36"/>
          <w:highlight w:val="none"/>
          <w:lang w:val="en-US" w:eastAsia="zh-CN"/>
        </w:rPr>
        <w:t xml:space="preserve">  </w:t>
      </w:r>
      <w:r>
        <w:rPr>
          <w:color w:val="auto"/>
          <w:szCs w:val="36"/>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_Toc5064 \h </w:instrText>
      </w:r>
      <w:r>
        <w:rPr>
          <w:color w:val="auto"/>
          <w:highlight w:val="none"/>
        </w:rPr>
        <w:fldChar w:fldCharType="separate"/>
      </w:r>
      <w:r>
        <w:rPr>
          <w:color w:val="auto"/>
          <w:highlight w:val="none"/>
        </w:rPr>
        <w:t xml:space="preserve">34</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_Toc2561 </w:instrText>
      </w:r>
      <w:r>
        <w:rPr>
          <w:rFonts w:ascii="Times New Roman" w:hAnsi="Times New Roman"/>
          <w:color w:val="auto"/>
          <w:szCs w:val="44"/>
          <w:highlight w:val="none"/>
        </w:rPr>
        <w:fldChar w:fldCharType="separate"/>
      </w:r>
      <w:r>
        <w:rPr>
          <w:color w:val="auto"/>
          <w:szCs w:val="36"/>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_Toc2561 \h </w:instrText>
      </w:r>
      <w:r>
        <w:rPr>
          <w:color w:val="auto"/>
          <w:highlight w:val="none"/>
        </w:rPr>
        <w:fldChar w:fldCharType="separate"/>
      </w:r>
      <w:r>
        <w:rPr>
          <w:color w:val="auto"/>
          <w:highlight w:val="none"/>
        </w:rPr>
        <w:t xml:space="preserve">36</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tabs>
          <w:tab w:val="clear" w:pos="1050" w:leader="none"/>
          <w:tab w:val="clear" w:pos="8937" w:leader="none"/>
          <w:tab w:val="right" w:pos="9412" w:leader="dot"/>
        </w:tabs>
        <w:rPr>
          <w:color w:val="auto"/>
          <w:highlight w:val="none"/>
        </w:rPr>
      </w:pPr>
      <w:r>
        <w:rPr>
          <w:rFonts w:ascii="Times New Roman" w:hAnsi="Times New Roman"/>
          <w:color w:val="auto"/>
          <w:szCs w:val="44"/>
          <w:highlight w:val="none"/>
        </w:rPr>
        <w:fldChar w:fldCharType="begin"/>
      </w:r>
      <w:r>
        <w:rPr>
          <w:rFonts w:ascii="Times New Roman" w:hAnsi="Times New Roman"/>
          <w:color w:val="auto"/>
          <w:szCs w:val="44"/>
          <w:highlight w:val="none"/>
        </w:rPr>
        <w:instrText xml:space="preserve"> HYPERLINK \l _Toc18312 </w:instrText>
      </w:r>
      <w:r>
        <w:rPr>
          <w:rFonts w:ascii="Times New Roman" w:hAnsi="Times New Roman"/>
          <w:color w:val="auto"/>
          <w:szCs w:val="44"/>
          <w:highlight w:val="none"/>
        </w:rPr>
        <w:fldChar w:fldCharType="separate"/>
      </w:r>
      <w:r>
        <w:rPr>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_Toc18312 \h </w:instrText>
      </w:r>
      <w:r>
        <w:rPr>
          <w:color w:val="auto"/>
          <w:highlight w:val="none"/>
        </w:rPr>
        <w:fldChar w:fldCharType="separate"/>
      </w:r>
      <w:r>
        <w:rPr>
          <w:color w:val="auto"/>
          <w:highlight w:val="none"/>
        </w:rPr>
        <w:t xml:space="preserve">41</w:t>
      </w:r>
      <w:r>
        <w:rPr>
          <w:color w:val="auto"/>
          <w:highlight w:val="none"/>
        </w:rPr>
        <w:fldChar w:fldCharType="end"/>
      </w:r>
      <w:r>
        <w:rPr>
          <w:rFonts w:ascii="Times New Roman" w:hAnsi="Times New Roman"/>
          <w:color w:val="auto"/>
          <w:szCs w:val="44"/>
          <w:highlight w:val="none"/>
        </w:rPr>
        <w:fldChar w:fldCharType="end"/>
      </w:r>
      <w:r/>
    </w:p>
    <w:p>
      <w:pPr>
        <w:pStyle w:val="1065"/>
        <w:keepLines w:val="0"/>
        <w:keepNext w:val="0"/>
        <w:pageBreakBefore w:val="0"/>
        <w:spacing w:line="360" w:lineRule="auto"/>
        <w:widowControl w:val="off"/>
        <w:rPr>
          <w:rFonts w:ascii="Times New Roman" w:hAnsi="Times New Roman"/>
          <w:b w:val="0"/>
          <w:color w:val="auto"/>
          <w:sz w:val="44"/>
          <w:szCs w:val="44"/>
          <w:highlight w:val="none"/>
        </w:rPr>
      </w:pPr>
      <w:r>
        <w:rPr>
          <w:rFonts w:ascii="Times New Roman" w:hAnsi="Times New Roman"/>
          <w:color w:val="auto"/>
          <w:szCs w:val="44"/>
          <w:highlight w:val="none"/>
        </w:rPr>
        <w:fldChar w:fldCharType="end"/>
      </w:r>
      <w:r/>
    </w:p>
    <w:p>
      <w:pPr>
        <w:pStyle w:val="1065"/>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footerReference w:type="default" r:id="rId17"/>
          <w:footerReference w:type="first" r:id="rId18"/>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5" w:name="_Toc11801"/>
      <w:r>
        <w:rPr>
          <w:b/>
          <w:color w:val="auto"/>
          <w:sz w:val="36"/>
          <w:szCs w:val="36"/>
          <w:highlight w:val="none"/>
        </w:rPr>
        <w:t xml:space="preserve">第一章   采购邀请</w:t>
      </w:r>
      <w:bookmarkEnd w:id="5"/>
      <w:r/>
      <w:bookmarkStart w:id="6" w:name="_Toc28359079"/>
      <w:r/>
      <w:bookmarkStart w:id="7" w:name="_Toc35393790"/>
      <w:r/>
      <w:bookmarkStart w:id="8" w:name="_Toc35393621"/>
      <w:r/>
      <w:bookmarkStart w:id="9" w:name="_Toc28359002"/>
      <w:r/>
      <w:bookmarkStart w:id="10" w:name="_Hlk24379207"/>
      <w:r/>
      <w:r/>
    </w:p>
    <w:p>
      <w:pPr>
        <w:ind w:firstLine="480"/>
        <w:spacing w:line="360" w:lineRule="auto"/>
        <w:rPr>
          <w:color w:val="auto"/>
          <w:sz w:val="24"/>
          <w:highlight w:val="none"/>
        </w:rPr>
      </w:pPr>
      <w:r>
        <w:rPr>
          <w:color w:val="auto"/>
          <w:sz w:val="24"/>
          <w:highlight w:val="none"/>
        </w:rPr>
      </w:r>
      <w:r/>
    </w:p>
    <w:p>
      <w:pPr>
        <w:pStyle w:val="1233"/>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6"/>
      <w:r/>
      <w:bookmarkEnd w:id="7"/>
      <w:r/>
      <w:bookmarkEnd w:id="8"/>
      <w:r/>
      <w:bookmarkEnd w:id="9"/>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JSZC-320400-YTZB-C2026-0023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Start w:id="11" w:name="_Hlk139273959"/>
      <w:r>
        <w:rPr>
          <w:rFonts w:hint="eastAsia" w:ascii="宋体" w:hAnsi="宋体" w:cs="宋体"/>
          <w:color w:val="auto"/>
          <w:sz w:val="24"/>
          <w:highlight w:val="none"/>
          <w:lang w:eastAsia="zh-CN"/>
        </w:rPr>
        <w:t xml:space="preserve">2026年全面推进美丽常州建设技术服务项目</w:t>
      </w:r>
      <w:bookmarkEnd w:id="1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bookmarkEnd w:id="10"/>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4.项目预算金额：人民币</w:t>
      </w:r>
      <w:r>
        <w:rPr>
          <w:rFonts w:hint="eastAsia" w:ascii="宋体" w:hAnsi="宋体" w:cs="宋体"/>
          <w:color w:val="auto"/>
          <w:sz w:val="24"/>
          <w:highlight w:val="none"/>
          <w:lang w:val="en-US" w:eastAsia="zh-CN"/>
        </w:rPr>
        <w:t xml:space="preserve">138</w:t>
      </w:r>
      <w:r>
        <w:rPr>
          <w:rFonts w:hint="eastAsia" w:ascii="宋体" w:hAnsi="宋体" w:eastAsia="宋体" w:cs="宋体"/>
          <w:color w:val="auto"/>
          <w:sz w:val="24"/>
          <w:highlight w:val="none"/>
          <w:lang w:val="en-US" w:eastAsia="zh-CN"/>
        </w:rPr>
        <w:t xml:space="preserve">万元</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项目最高限价（控制价）：</w:t>
      </w:r>
      <w:r>
        <w:rPr>
          <w:rFonts w:hint="eastAsia" w:ascii="宋体" w:hAnsi="宋体" w:cs="宋体"/>
          <w:color w:val="auto"/>
          <w:sz w:val="24"/>
          <w:highlight w:val="none"/>
          <w:lang w:val="en-US" w:eastAsia="zh-CN"/>
        </w:rPr>
        <w:t xml:space="preserve">138万元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color w:val="auto"/>
          <w:sz w:val="24"/>
          <w:highlight w:val="none"/>
        </w:rPr>
        <w:t xml:space="preserve">本项目为</w:t>
      </w:r>
      <w:r>
        <w:rPr>
          <w:rFonts w:hint="eastAsia" w:ascii="宋体" w:hAnsi="宋体"/>
          <w:color w:val="auto"/>
          <w:sz w:val="24"/>
          <w:highlight w:val="none"/>
          <w:lang w:eastAsia="zh-CN"/>
        </w:rPr>
        <w:t xml:space="preserve">常州市生态环境局关于2026年全面推进美丽常州建设技术服务项目</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根据《中共江苏省委 江苏省人民政府关于全面推进美丽江苏建设的实施意见》（苏发〔2024〕9号）等文件要求，</w:t>
      </w:r>
      <w:r>
        <w:rPr>
          <w:rFonts w:hint="eastAsia" w:ascii="宋体" w:hAnsi="宋体"/>
          <w:color w:val="auto"/>
          <w:sz w:val="24"/>
          <w:highlight w:val="none"/>
          <w:lang w:val="en-US" w:eastAsia="zh-CN"/>
        </w:rPr>
        <w:t xml:space="preserve">配合</w:t>
      </w:r>
      <w:r>
        <w:rPr>
          <w:rFonts w:hint="eastAsia" w:ascii="宋体" w:hAnsi="宋体"/>
          <w:color w:val="auto"/>
          <w:sz w:val="24"/>
          <w:highlight w:val="none"/>
          <w:lang w:eastAsia="zh-CN"/>
        </w:rPr>
        <w:t xml:space="preserve">对全市和各辖市区年度重点任务清单中目标任务和工程项目建设情况等共计800个点位进行现场勘查</w:t>
      </w:r>
      <w:r>
        <w:rPr>
          <w:rFonts w:hint="eastAsia" w:ascii="宋体" w:hAnsi="宋体"/>
          <w:color w:val="auto"/>
          <w:sz w:val="24"/>
          <w:highlight w:val="none"/>
          <w:lang w:val="en-US" w:eastAsia="zh-CN"/>
        </w:rPr>
        <w:t xml:space="preserve">时</w:t>
      </w:r>
      <w:r>
        <w:rPr>
          <w:rFonts w:hint="eastAsia" w:ascii="宋体" w:hAnsi="宋体"/>
          <w:color w:val="auto"/>
          <w:sz w:val="24"/>
          <w:highlight w:val="none"/>
          <w:lang w:eastAsia="zh-CN"/>
        </w:rPr>
        <w:t xml:space="preserve">，使用走航车、无人船、无人机等专业设备进行技术支撑服务；</w:t>
      </w:r>
      <w:r>
        <w:rPr>
          <w:rFonts w:hint="eastAsia" w:ascii="宋体" w:hAnsi="宋体"/>
          <w:color w:val="auto"/>
          <w:sz w:val="24"/>
          <w:highlight w:val="none"/>
          <w:lang w:val="en-US" w:eastAsia="zh-CN"/>
        </w:rPr>
        <w:t xml:space="preserve">配合在</w:t>
      </w:r>
      <w:r>
        <w:rPr>
          <w:rFonts w:hint="eastAsia" w:ascii="宋体" w:hAnsi="宋体"/>
          <w:color w:val="auto"/>
          <w:sz w:val="24"/>
          <w:highlight w:val="none"/>
          <w:lang w:eastAsia="zh-CN"/>
        </w:rPr>
        <w:t xml:space="preserve">本地主流媒体</w:t>
      </w:r>
      <w:r>
        <w:rPr>
          <w:rFonts w:hint="eastAsia" w:ascii="宋体" w:hAnsi="宋体"/>
          <w:color w:val="auto"/>
          <w:sz w:val="24"/>
          <w:highlight w:val="none"/>
          <w:lang w:val="en-US" w:eastAsia="zh-CN"/>
        </w:rPr>
        <w:t xml:space="preserve">上</w:t>
      </w:r>
      <w:r>
        <w:rPr>
          <w:rFonts w:hint="eastAsia" w:ascii="宋体" w:hAnsi="宋体"/>
          <w:color w:val="auto"/>
          <w:sz w:val="24"/>
          <w:highlight w:val="none"/>
          <w:lang w:eastAsia="zh-CN"/>
        </w:rPr>
        <w:t xml:space="preserve">对</w:t>
      </w:r>
      <w:r>
        <w:rPr>
          <w:rFonts w:hint="eastAsia" w:ascii="宋体" w:hAnsi="宋体"/>
          <w:color w:val="auto"/>
          <w:sz w:val="24"/>
          <w:highlight w:val="none"/>
          <w:lang w:val="en-US" w:eastAsia="zh-CN"/>
        </w:rPr>
        <w:t xml:space="preserve">美丽常州建设</w:t>
      </w:r>
      <w:r>
        <w:rPr>
          <w:rFonts w:hint="eastAsia" w:ascii="宋体" w:hAnsi="宋体"/>
          <w:color w:val="auto"/>
          <w:sz w:val="24"/>
          <w:highlight w:val="none"/>
          <w:lang w:eastAsia="zh-CN"/>
        </w:rPr>
        <w:t xml:space="preserve">的典型案例进行正面引导或反面曝光</w:t>
      </w:r>
      <w:r>
        <w:rPr>
          <w:rFonts w:hint="eastAsia" w:ascii="宋体" w:hAnsi="宋体"/>
          <w:color w:val="auto"/>
          <w:sz w:val="24"/>
          <w:highlight w:val="none"/>
          <w:lang w:val="en-US" w:eastAsia="zh-CN"/>
        </w:rPr>
        <w:t xml:space="preserve">并提供技术支撑服务</w:t>
      </w:r>
      <w:r>
        <w:rPr>
          <w:rFonts w:hint="eastAsia" w:ascii="宋体" w:hAnsi="宋体"/>
          <w:color w:val="auto"/>
          <w:sz w:val="24"/>
          <w:highlight w:val="none"/>
          <w:lang w:eastAsia="zh-CN"/>
        </w:rPr>
        <w:t xml:space="preserve">；开展全市及各辖市区完成情况技术支撑服务，形成全市和7个辖市区重点任务完成情况技术服务报告；开展美丽常州建设路径分析技术服务。</w:t>
      </w:r>
      <w:r>
        <w:rPr>
          <w:rFonts w:hint="eastAsia"/>
          <w:color w:val="auto"/>
          <w:sz w:val="24"/>
          <w:highlight w:val="none"/>
        </w:rPr>
        <w:t xml:space="preserve">具体内容详见</w:t>
      </w:r>
      <w:r>
        <w:rPr>
          <w:rFonts w:hint="eastAsia"/>
          <w:color w:val="auto"/>
          <w:sz w:val="24"/>
          <w:highlight w:val="none"/>
          <w:lang w:eastAsia="zh-CN"/>
        </w:rPr>
        <w:t xml:space="preserve">竞争性磋商</w:t>
      </w:r>
      <w:r>
        <w:rPr>
          <w:rFonts w:hint="eastAsia"/>
          <w:color w:val="auto"/>
          <w:sz w:val="24"/>
          <w:highlight w:val="none"/>
        </w:rPr>
        <w:t xml:space="preserve">文件。</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6.合同履行期限：</w:t>
      </w:r>
      <w:r>
        <w:rPr>
          <w:rFonts w:hint="eastAsia" w:ascii="宋体" w:hAnsi="宋体" w:cs="宋体"/>
          <w:color w:val="auto"/>
          <w:sz w:val="24"/>
          <w:highlight w:val="none"/>
          <w:lang w:eastAsia="zh-CN"/>
        </w:rPr>
        <w:t xml:space="preserve">自</w:t>
      </w:r>
      <w:r>
        <w:rPr>
          <w:rFonts w:hint="eastAsia" w:ascii="宋体" w:hAnsi="宋体" w:eastAsia="宋体" w:cs="宋体"/>
          <w:color w:val="auto"/>
          <w:sz w:val="24"/>
          <w:highlight w:val="none"/>
        </w:rPr>
        <w:t xml:space="preserve">合同签订</w:t>
      </w:r>
      <w:r>
        <w:rPr>
          <w:rFonts w:hint="eastAsia" w:ascii="宋体" w:hAnsi="宋体" w:cs="宋体"/>
          <w:color w:val="auto"/>
          <w:sz w:val="24"/>
          <w:highlight w:val="none"/>
          <w:lang w:eastAsia="zh-CN"/>
        </w:rPr>
        <w:t xml:space="preserve">生效之日起一年。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7.本项目是否接受联合体：□是 ■否。</w:t>
      </w:r>
      <w:r/>
    </w:p>
    <w:p>
      <w:pPr>
        <w:ind w:firstLine="480"/>
        <w:spacing w:line="360" w:lineRule="auto"/>
        <w:rPr>
          <w:rFonts w:hint="eastAsia" w:ascii="宋体" w:hAnsi="宋体" w:eastAsia="宋体" w:cs="宋体"/>
          <w:color w:val="auto"/>
          <w:sz w:val="24"/>
          <w:highlight w:val="none"/>
        </w:rPr>
      </w:pPr>
      <w:r/>
      <w:bookmarkStart w:id="12" w:name="_Toc28359080"/>
      <w:r/>
      <w:bookmarkStart w:id="13" w:name="_Toc35393791"/>
      <w:r/>
      <w:bookmarkStart w:id="14" w:name="_Toc28359003"/>
      <w:r/>
      <w:bookmarkStart w:id="15" w:name="_Toc35393622"/>
      <w:r>
        <w:rPr>
          <w:rFonts w:hint="eastAsia" w:ascii="宋体" w:hAnsi="宋体" w:eastAsia="宋体" w:cs="宋体"/>
          <w:color w:val="auto"/>
          <w:sz w:val="24"/>
          <w:highlight w:val="none"/>
        </w:rPr>
        <w:t xml:space="preserve">8.本项目是否接受进口产品响应：□是  ■否。</w:t>
      </w:r>
      <w:r/>
    </w:p>
    <w:p>
      <w:pPr>
        <w:pStyle w:val="1233"/>
        <w:ind w:firstLine="482"/>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rFonts w:hint="eastAsia" w:ascii="宋体" w:hAnsi="宋体" w:eastAsia="宋体" w:cs="宋体"/>
          <w:color w:val="auto"/>
          <w:sz w:val="24"/>
          <w:highlight w:val="none"/>
        </w:rPr>
      </w:pPr>
      <w:r/>
      <w:bookmarkStart w:id="16" w:name="_Toc28359081"/>
      <w:r/>
      <w:bookmarkStart w:id="17" w:name="_Toc28359004"/>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本项目专门面向 </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小微企业  采购。即：提供的服务全部由符合政策要求的中小企业承接。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其它落实政府采购政策的资格要求（如有）：</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3.3其他特定资格要求：</w:t>
      </w:r>
      <w:r>
        <w:rPr>
          <w:rFonts w:hint="eastAsia" w:ascii="宋体" w:hAnsi="宋体" w:cs="宋体"/>
          <w:color w:val="auto"/>
          <w:sz w:val="24"/>
          <w:highlight w:val="none"/>
          <w:lang w:eastAsia="zh-CN"/>
        </w:rPr>
        <w:t xml:space="preserve">无</w:t>
      </w:r>
      <w:r>
        <w:rPr>
          <w:rFonts w:hint="eastAsia" w:ascii="宋体" w:hAnsi="宋体" w:eastAsia="宋体" w:cs="宋体"/>
          <w:b/>
          <w:bCs/>
          <w:color w:val="auto"/>
          <w:sz w:val="24"/>
          <w:highlight w:val="none"/>
        </w:rPr>
        <w:t xml:space="preserve">。</w:t>
      </w:r>
      <w:bookmarkEnd w:id="16"/>
      <w:r/>
      <w:bookmarkEnd w:id="17"/>
      <w:r/>
      <w:r/>
    </w:p>
    <w:p>
      <w:pPr>
        <w:pStyle w:val="1233"/>
        <w:ind w:firstLine="482"/>
        <w:jc w:val="left"/>
        <w:spacing w:before="0" w:line="360" w:lineRule="auto"/>
        <w:widowControl/>
        <w:rPr>
          <w:rFonts w:hint="eastAsia" w:ascii="宋体" w:hAnsi="宋体" w:eastAsia="宋体" w:cs="宋体"/>
          <w:color w:val="auto"/>
          <w:sz w:val="24"/>
          <w:szCs w:val="24"/>
          <w:highlight w:val="none"/>
        </w:rPr>
      </w:pPr>
      <w:r/>
      <w:bookmarkStart w:id="18" w:name="_Toc35393623"/>
      <w:r/>
      <w:bookmarkStart w:id="19" w:name="_Toc35393792"/>
      <w:r>
        <w:rPr>
          <w:rFonts w:hint="eastAsia" w:ascii="宋体" w:hAnsi="宋体" w:eastAsia="宋体" w:cs="宋体"/>
          <w:color w:val="auto"/>
          <w:sz w:val="24"/>
          <w:szCs w:val="24"/>
          <w:highlight w:val="none"/>
        </w:rPr>
        <w:t xml:space="preserve">三、获取采购文件</w:t>
      </w:r>
      <w:bookmarkEnd w:id="18"/>
      <w:r/>
      <w:bookmarkEnd w:id="19"/>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color w:val="auto"/>
          <w:sz w:val="24"/>
          <w:highlight w:val="none"/>
          <w:lang w:eastAsia="zh-CN"/>
        </w:rPr>
        <w:t xml:space="preserve">自公告发布之日起5个工作日。</w:t>
      </w:r>
      <w:r/>
    </w:p>
    <w:p>
      <w:pPr>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2.地点：“苏采云”政府采购一体化平台</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4.售价：0元。</w:t>
      </w:r>
      <w:r/>
    </w:p>
    <w:p>
      <w:pPr>
        <w:pStyle w:val="1233"/>
        <w:ind w:firstLine="482"/>
        <w:jc w:val="left"/>
        <w:spacing w:before="0" w:line="360" w:lineRule="auto"/>
        <w:widowControl/>
        <w:rPr>
          <w:rFonts w:hint="eastAsia" w:ascii="宋体" w:hAnsi="宋体" w:eastAsia="宋体" w:cs="宋体"/>
          <w:color w:val="auto"/>
          <w:sz w:val="24"/>
          <w:szCs w:val="24"/>
          <w:highlight w:val="none"/>
        </w:rPr>
      </w:pPr>
      <w:r/>
      <w:bookmarkStart w:id="20" w:name="_Toc35393624"/>
      <w:r/>
      <w:bookmarkStart w:id="21" w:name="_Toc28359082"/>
      <w:r/>
      <w:bookmarkStart w:id="22" w:name="_Toc35393793"/>
      <w:r/>
      <w:bookmarkStart w:id="23" w:name="_Toc28359005"/>
      <w:r>
        <w:rPr>
          <w:rFonts w:hint="eastAsia" w:ascii="宋体" w:hAnsi="宋体" w:eastAsia="宋体" w:cs="宋体"/>
          <w:color w:val="auto"/>
          <w:sz w:val="24"/>
          <w:szCs w:val="24"/>
          <w:highlight w:val="none"/>
        </w:rPr>
        <w:t xml:space="preserve">四、</w:t>
      </w:r>
      <w:bookmarkEnd w:id="20"/>
      <w:r/>
      <w:bookmarkEnd w:id="21"/>
      <w:r/>
      <w:bookmarkEnd w:id="22"/>
      <w:r/>
      <w:bookmarkEnd w:id="23"/>
      <w:r>
        <w:rPr>
          <w:rFonts w:hint="eastAsia" w:ascii="宋体" w:hAnsi="宋体" w:eastAsia="宋体" w:cs="宋体"/>
          <w:color w:val="auto"/>
          <w:sz w:val="24"/>
          <w:szCs w:val="24"/>
          <w:highlight w:val="none"/>
        </w:rPr>
        <w:t xml:space="preserve">响应文件提交</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8</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lang w:val="en-US" w:eastAsia="zh-CN" w:bidi="ar"/>
        </w:rPr>
        <w:t xml:space="preserve">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rPr>
        <w:t xml:space="preserve">本项目采用远程“不见面”交易方式，无需到现场提交，请供应商在提交时间截止前提前登入“苏采云”</w:t>
      </w:r>
      <w:r>
        <w:rPr>
          <w:rFonts w:hint="eastAsia" w:ascii="宋体" w:hAnsi="宋体" w:eastAsia="宋体" w:cs="宋体"/>
          <w:color w:val="auto"/>
          <w:sz w:val="24"/>
          <w:highlight w:val="none"/>
          <w:lang w:bidi="ar"/>
        </w:rPr>
        <w:t xml:space="preserve">政府采购一体化平台</w:t>
      </w:r>
      <w:r>
        <w:rPr>
          <w:rFonts w:hint="eastAsia" w:ascii="宋体" w:hAnsi="宋体" w:eastAsia="宋体" w:cs="宋体"/>
          <w:color w:val="auto"/>
          <w:sz w:val="24"/>
          <w:highlight w:val="none"/>
        </w:rPr>
        <w:t xml:space="preserve">（网址：</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rPr>
        <w:t xml:space="preserve">http://jszfcg.jsczt.cn/jszc/login?rf=http://jszfcg.jsczt.cn/jszc/workspaceForPurchaseCenter），通过系统在线提交电子磋商响应文件。</w:t>
      </w:r>
      <w:r/>
    </w:p>
    <w:p>
      <w:pPr>
        <w:pStyle w:val="1233"/>
        <w:ind w:firstLine="482"/>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8</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rPr>
        <w:t xml:space="preserve">本项目采用远程“不见面”交易方式，无需到现场提交，请供应商在开启时间截止前提前登入“苏采云”</w:t>
      </w:r>
      <w:r>
        <w:rPr>
          <w:rFonts w:hint="eastAsia" w:ascii="宋体" w:hAnsi="宋体" w:eastAsia="宋体" w:cs="宋体"/>
          <w:color w:val="auto"/>
          <w:sz w:val="24"/>
          <w:highlight w:val="none"/>
          <w:lang w:bidi="ar"/>
        </w:rPr>
        <w:t xml:space="preserve">政府采购一体化平台</w:t>
      </w:r>
      <w:r>
        <w:rPr>
          <w:rFonts w:hint="eastAsia" w:ascii="宋体" w:hAnsi="宋体" w:eastAsia="宋体" w:cs="宋体"/>
          <w:color w:val="auto"/>
          <w:sz w:val="24"/>
          <w:highlight w:val="none"/>
        </w:rPr>
        <w:t xml:space="preserve">（网址：</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http://jszfcg.jsczt.cn/jszc/login?rf=http://jszfcg.jsczt.cn/jszc/workspaceForPurchaseCenter），供应商自行选择互联网连接畅通的场地，在规定的时间内进行解密开启（系统语音提示允许解密后，供应商30分钟内完成解密，否则视为该供应商自动放弃该项目的响应，其响应文件采购人不予受理）。</w:t>
      </w:r>
      <w:r/>
    </w:p>
    <w:p>
      <w:pPr>
        <w:pStyle w:val="1233"/>
        <w:ind w:firstLine="482"/>
        <w:jc w:val="left"/>
        <w:spacing w:before="0" w:line="360" w:lineRule="auto"/>
        <w:rPr>
          <w:rFonts w:hint="eastAsia" w:ascii="宋体" w:hAnsi="宋体" w:eastAsia="宋体" w:cs="宋体"/>
          <w:color w:val="auto"/>
          <w:sz w:val="24"/>
          <w:szCs w:val="24"/>
          <w:highlight w:val="none"/>
        </w:rPr>
      </w:pPr>
      <w:r/>
      <w:bookmarkStart w:id="24" w:name="_Toc35393794"/>
      <w:r/>
      <w:bookmarkStart w:id="25" w:name="_Toc28359007"/>
      <w:r/>
      <w:bookmarkStart w:id="26" w:name="_Toc28359084"/>
      <w:r/>
      <w:bookmarkStart w:id="27" w:name="_Toc35393625"/>
      <w:r>
        <w:rPr>
          <w:rFonts w:hint="eastAsia" w:ascii="宋体" w:hAnsi="宋体" w:eastAsia="宋体" w:cs="宋体"/>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1233"/>
        <w:ind w:firstLine="482"/>
        <w:jc w:val="left"/>
        <w:spacing w:before="0" w:line="360" w:lineRule="auto"/>
        <w:rPr>
          <w:rFonts w:hint="eastAsia" w:ascii="宋体" w:hAnsi="宋体" w:eastAsia="宋体" w:cs="宋体"/>
          <w:color w:val="auto"/>
          <w:sz w:val="24"/>
          <w:szCs w:val="24"/>
          <w:highlight w:val="none"/>
        </w:rPr>
      </w:pPr>
      <w:r/>
      <w:bookmarkStart w:id="28" w:name="_Toc35393795"/>
      <w:r/>
      <w:bookmarkStart w:id="29" w:name="_Toc35393626"/>
      <w:r>
        <w:rPr>
          <w:rFonts w:hint="eastAsia" w:ascii="宋体" w:hAnsi="宋体" w:eastAsia="宋体" w:cs="宋体"/>
          <w:color w:val="auto"/>
          <w:sz w:val="24"/>
          <w:szCs w:val="24"/>
          <w:highlight w:val="none"/>
        </w:rPr>
        <w:t xml:space="preserve">七、其他补充事宜</w:t>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1.本项目需要落实的政府采购政策：</w:t>
      </w:r>
      <w:r>
        <w:rPr>
          <w:rFonts w:hint="eastAsia" w:ascii="宋体" w:hAnsi="宋体" w:eastAsia="宋体" w:cs="宋体"/>
          <w:color w:val="auto"/>
          <w:sz w:val="24"/>
          <w:highlight w:val="none"/>
          <w:lang w:bidi="ar"/>
        </w:rPr>
        <w:t xml:space="preserve">无。</w:t>
      </w: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2.根据省财政厅《关于更换全省政府采购交易系统CA数字证书和电子签章的通知》（苏财购〔2023〕101号），“苏采云”政府采购</w:t>
      </w:r>
      <w:r>
        <w:rPr>
          <w:rFonts w:hint="eastAsia" w:ascii="宋体" w:hAnsi="宋体" w:eastAsia="宋体" w:cs="宋体"/>
          <w:color w:val="auto"/>
          <w:sz w:val="24"/>
          <w:highlight w:val="none"/>
          <w:lang w:eastAsia="zh-CN" w:bidi="ar"/>
        </w:rPr>
        <w:t xml:space="preserve">一体化平台</w:t>
      </w:r>
      <w:r>
        <w:rPr>
          <w:rFonts w:hint="eastAsia" w:ascii="宋体" w:hAnsi="宋体" w:eastAsia="宋体" w:cs="宋体"/>
          <w:color w:val="auto"/>
          <w:sz w:val="24"/>
          <w:highlight w:val="none"/>
          <w:lang w:bidi="ar"/>
        </w:rPr>
        <w:t xml:space="preserve">系统（以下简称苏采云系统）的CA数字证书、电子签章已更换为江苏省电子政务证书认证中心CA和方正国际软件（北京）有限公司电子签章。如果供应商通过</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苏采云</w:t>
      </w:r>
      <w:r>
        <w:rPr>
          <w:rFonts w:hint="eastAsia" w:ascii="宋体" w:hAnsi="宋体" w:eastAsia="宋体" w:cs="宋体"/>
          <w:color w:val="auto"/>
          <w:sz w:val="24"/>
          <w:highlight w:val="none"/>
          <w:lang w:eastAsia="zh-CN" w:bidi="ar"/>
        </w:rPr>
        <w:t xml:space="preserve">”平台</w:t>
      </w:r>
      <w:r>
        <w:rPr>
          <w:rFonts w:hint="eastAsia" w:ascii="宋体" w:hAnsi="宋体" w:eastAsia="宋体" w:cs="宋体"/>
          <w:color w:val="auto"/>
          <w:sz w:val="24"/>
          <w:highlight w:val="none"/>
          <w:lang w:bidi="ar"/>
        </w:rPr>
        <w:t xml:space="preserve">系统参与政府采购项目，需要更换CA数字证书和电子签章。具体办理指南和操作手册见链接：http://www.ccgp-jiangsu.gov.cn/jiangsu/zlxz/ee/ee3a4bc5a3454aa2b0d9312230633ce9.html、http://zfcg.changzhou.gov.cn/html/ns/down/921135080660472.html。</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bCs/>
          <w:color w:val="auto"/>
          <w:sz w:val="24"/>
          <w:highlight w:val="none"/>
          <w:lang w:bidi="ar"/>
        </w:rPr>
      </w:pPr>
      <w:r>
        <w:rPr>
          <w:rFonts w:hint="eastAsia" w:ascii="宋体" w:hAnsi="宋体" w:eastAsia="宋体" w:cs="宋体"/>
          <w:color w:val="auto"/>
          <w:sz w:val="24"/>
          <w:highlight w:val="none"/>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auto"/>
          <w:sz w:val="24"/>
          <w:highlight w:val="none"/>
          <w:lang w:bidi="ar"/>
        </w:rPr>
        <w:t xml:space="preserve">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技术支持服务热线    0519-85588210  0519-85588163</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CA认证证书办理（可邮寄）联系电话   0519-85588120</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5</w:t>
      </w:r>
      <w:r>
        <w:rPr>
          <w:rFonts w:hint="eastAsia" w:ascii="宋体" w:hAnsi="宋体" w:eastAsia="宋体" w:cs="宋体"/>
          <w:color w:val="auto"/>
          <w:sz w:val="24"/>
          <w:highlight w:val="none"/>
          <w:lang w:val="zh-TW" w:bidi="ar"/>
        </w:rPr>
        <w:t xml:space="preserve">.关于常州市中小企业政府采购信用融资：</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233"/>
        <w:ind w:firstLine="482"/>
        <w:jc w:val="left"/>
        <w:spacing w:before="0" w:line="360" w:lineRule="auto"/>
        <w:rPr>
          <w:rFonts w:hint="eastAsia" w:ascii="宋体" w:hAnsi="宋体" w:eastAsia="宋体" w:cs="宋体"/>
          <w:color w:val="auto"/>
          <w:sz w:val="24"/>
          <w:szCs w:val="24"/>
          <w:highlight w:val="none"/>
        </w:rPr>
      </w:pPr>
      <w:r/>
      <w:bookmarkStart w:id="30" w:name="_Toc28359008"/>
      <w:r/>
      <w:bookmarkStart w:id="31" w:name="_Toc28359085"/>
      <w:r/>
      <w:bookmarkStart w:id="32" w:name="_Toc35393796"/>
      <w:r/>
      <w:bookmarkStart w:id="33" w:name="_Toc35393627"/>
      <w:r>
        <w:rPr>
          <w:rFonts w:hint="eastAsia" w:ascii="宋体" w:hAnsi="宋体" w:eastAsia="宋体" w:cs="宋体"/>
          <w:color w:val="auto"/>
          <w:sz w:val="24"/>
          <w:szCs w:val="24"/>
          <w:highlight w:val="none"/>
        </w:rPr>
        <w:t xml:space="preserve">八、对本项目提出询问，请按以下方式联系。</w:t>
      </w:r>
      <w:bookmarkEnd w:id="30"/>
      <w:r/>
      <w:bookmarkEnd w:id="31"/>
      <w:r/>
      <w:bookmarkEnd w:id="32"/>
      <w:r/>
      <w:bookmarkEnd w:id="33"/>
      <w:r/>
      <w:r/>
    </w:p>
    <w:p>
      <w:pPr>
        <w:ind w:left="854" w:hanging="434"/>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1.采购人信息</w:t>
      </w:r>
      <w:r/>
    </w:p>
    <w:p>
      <w:pPr>
        <w:ind w:left="852" w:hanging="432"/>
        <w:jc w:val="left"/>
        <w:spacing w:line="360" w:lineRule="auto"/>
        <w:rPr>
          <w:rFonts w:hint="eastAsia" w:ascii="宋体" w:hAnsi="宋体" w:eastAsia="宋体" w:cs="宋体"/>
          <w:color w:val="auto"/>
          <w:sz w:val="24"/>
          <w:highlight w:val="none"/>
          <w:lang w:eastAsia="zh-CN"/>
        </w:rPr>
      </w:pPr>
      <w:r/>
      <w:bookmarkStart w:id="34" w:name="_Toc28359009"/>
      <w:r/>
      <w:bookmarkStart w:id="35" w:name="_Toc28359086"/>
      <w:r>
        <w:rPr>
          <w:rFonts w:hint="eastAsia" w:ascii="宋体" w:hAnsi="宋体" w:eastAsia="宋体" w:cs="宋体"/>
          <w:color w:val="auto"/>
          <w:sz w:val="24"/>
          <w:highlight w:val="none"/>
        </w:rPr>
        <w:t xml:space="preserve">名  称：</w:t>
      </w:r>
      <w:bookmarkStart w:id="36" w:name="_Hlk152606677"/>
      <w:r>
        <w:rPr>
          <w:rFonts w:hint="eastAsia" w:ascii="宋体" w:hAnsi="宋体" w:cs="宋体"/>
          <w:color w:val="auto"/>
          <w:sz w:val="24"/>
          <w:highlight w:val="none"/>
          <w:lang w:eastAsia="zh-CN"/>
        </w:rPr>
        <w:t xml:space="preserve">常州市生态环境局</w:t>
      </w:r>
      <w:bookmarkEnd w:id="36"/>
      <w:r/>
      <w:r/>
    </w:p>
    <w:p>
      <w:pPr>
        <w:ind w:left="432" w:hanging="1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址：常州市新北区龙城大道1280号2号楼B座5楼</w:t>
      </w:r>
      <w:r/>
    </w:p>
    <w:p>
      <w:pPr>
        <w:ind w:left="432" w:hanging="12"/>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联系人：王女士</w:t>
      </w:r>
      <w:r/>
    </w:p>
    <w:p>
      <w:pPr>
        <w:ind w:left="432" w:hanging="12"/>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联系方式：0519-85686026</w:t>
      </w:r>
      <w:r/>
    </w:p>
    <w:p>
      <w:pPr>
        <w:ind w:left="854" w:hanging="434"/>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2.采购代理机构信息</w:t>
      </w:r>
      <w:bookmarkEnd w:id="34"/>
      <w:r/>
      <w:bookmarkEnd w:id="35"/>
      <w:r/>
      <w:r/>
    </w:p>
    <w:p>
      <w:pPr>
        <w:ind w:left="852" w:hanging="432"/>
        <w:jc w:val="left"/>
        <w:spacing w:line="360" w:lineRule="auto"/>
        <w:rPr>
          <w:rFonts w:hint="eastAsia" w:ascii="宋体" w:hAnsi="宋体" w:eastAsia="宋体" w:cs="宋体"/>
          <w:color w:val="auto"/>
          <w:sz w:val="24"/>
          <w:highlight w:val="none"/>
        </w:rPr>
      </w:pPr>
      <w:r/>
      <w:bookmarkStart w:id="37" w:name="_Toc28359087"/>
      <w:r/>
      <w:bookmarkStart w:id="38" w:name="_Toc28359010"/>
      <w:r>
        <w:rPr>
          <w:rFonts w:hint="eastAsia" w:ascii="宋体" w:hAnsi="宋体" w:eastAsia="宋体" w:cs="宋体"/>
          <w:color w:val="auto"/>
          <w:sz w:val="24"/>
          <w:highlight w:val="none"/>
        </w:rPr>
        <w:t xml:space="preserve">名  称：常州盈泰招标有限公司</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址：常州市新北区太湖中路8号锦湖创新中心A座11楼</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联系方式：0519-89853339</w:t>
      </w:r>
      <w:r/>
    </w:p>
    <w:p>
      <w:pPr>
        <w:ind w:left="854" w:hanging="434"/>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7"/>
      <w:r/>
      <w:bookmarkEnd w:id="38"/>
      <w:r/>
      <w:r/>
    </w:p>
    <w:p>
      <w:pPr>
        <w:ind w:left="852" w:hanging="432"/>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szCs w:val="20"/>
          <w:highlight w:val="none"/>
        </w:rPr>
        <w:t xml:space="preserve">周女士      </w:t>
      </w:r>
      <w:r/>
    </w:p>
    <w:p>
      <w:pPr>
        <w:ind w:left="852" w:hanging="43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话：0519-89853339</w:t>
      </w:r>
      <w:r/>
    </w:p>
    <w:p>
      <w:pPr>
        <w:ind w:left="852" w:hanging="432"/>
        <w:jc w:val="left"/>
        <w:spacing w:line="360" w:lineRule="auto"/>
        <w:rPr>
          <w:color w:val="auto"/>
          <w:sz w:val="24"/>
          <w:highlight w:val="none"/>
        </w:rPr>
      </w:pPr>
      <w:r>
        <w:rPr>
          <w:color w:val="auto"/>
          <w:sz w:val="24"/>
          <w:highlight w:val="none"/>
        </w:rPr>
      </w:r>
      <w:r/>
    </w:p>
    <w:p>
      <w:pPr>
        <w:ind w:left="852" w:hanging="432"/>
        <w:jc w:val="left"/>
        <w:spacing w:line="360" w:lineRule="auto"/>
        <w:rPr>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b/>
          <w:color w:val="auto"/>
          <w:sz w:val="32"/>
          <w:szCs w:val="32"/>
          <w:highlight w:val="none"/>
        </w:rPr>
        <w:outlineLvl w:val="0"/>
      </w:pPr>
      <w:r>
        <w:rPr>
          <w:color w:val="auto"/>
          <w:sz w:val="24"/>
          <w:highlight w:val="none"/>
        </w:rPr>
        <w:br w:type="page" w:clear="all"/>
      </w:r>
      <w:bookmarkStart w:id="39" w:name="_Toc150774783"/>
      <w:r/>
      <w:bookmarkStart w:id="40" w:name="_Toc353873938"/>
      <w:r/>
      <w:bookmarkStart w:id="41" w:name="_Toc226965856"/>
      <w:r/>
      <w:bookmarkStart w:id="42" w:name="_Toc1779"/>
      <w:r/>
      <w:bookmarkStart w:id="43" w:name="_Toc353825548"/>
      <w:r/>
      <w:bookmarkStart w:id="44" w:name="_Toc265228423"/>
      <w:r/>
      <w:bookmarkStart w:id="45" w:name="_Toc127151777"/>
      <w:r/>
      <w:bookmarkStart w:id="46" w:name="_Toc305158854"/>
      <w:r/>
      <w:bookmarkStart w:id="47" w:name="_Toc127161488"/>
      <w:r/>
      <w:bookmarkStart w:id="48" w:name="_Toc195842950"/>
      <w:r/>
      <w:bookmarkStart w:id="49" w:name="_Toc305158928"/>
      <w:r/>
      <w:bookmarkStart w:id="50" w:name="_Toc512937850"/>
      <w:r/>
      <w:bookmarkStart w:id="51" w:name="_Toc264969275"/>
      <w:r>
        <w:rPr>
          <w:b/>
          <w:color w:val="auto"/>
          <w:sz w:val="36"/>
          <w:szCs w:val="36"/>
          <w:highlight w:val="none"/>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233"/>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52" w:name="_Toc164351613"/>
      <w:r/>
      <w:bookmarkStart w:id="53" w:name="_Toc150774619"/>
      <w:r/>
      <w:bookmarkStart w:id="54" w:name="_Toc151193617"/>
      <w:r/>
      <w:bookmarkStart w:id="55" w:name="_Toc142311021"/>
      <w:r/>
      <w:bookmarkStart w:id="56" w:name="_Toc127151519"/>
      <w:r/>
      <w:bookmarkStart w:id="57" w:name="_Toc520356144"/>
      <w:r/>
      <w:bookmarkStart w:id="58" w:name="_Toc150480757"/>
      <w:r/>
      <w:bookmarkStart w:id="59" w:name="_Toc226337215"/>
      <w:r/>
      <w:bookmarkStart w:id="60" w:name="_Toc150509270"/>
      <w:r/>
      <w:bookmarkStart w:id="61" w:name="_Toc226965709"/>
      <w:r/>
      <w:bookmarkStart w:id="62" w:name="_Toc149720812"/>
      <w:r/>
      <w:bookmarkStart w:id="63" w:name="_Toc164229360"/>
      <w:r/>
      <w:bookmarkStart w:id="64" w:name="_Toc127161433"/>
      <w:r/>
      <w:bookmarkStart w:id="65" w:name="_Toc151193761"/>
      <w:r/>
      <w:bookmarkStart w:id="66" w:name="_Toc164229214"/>
      <w:r/>
      <w:bookmarkStart w:id="67" w:name="_Toc226965792"/>
      <w:r/>
      <w:bookmarkStart w:id="68" w:name="_Toc151190146"/>
      <w:r/>
      <w:bookmarkStart w:id="69" w:name="_Toc164608788"/>
      <w:r/>
      <w:bookmarkStart w:id="70" w:name="_Toc151193689"/>
      <w:r/>
      <w:bookmarkStart w:id="71" w:name="_Toc150774724"/>
      <w:r/>
      <w:bookmarkStart w:id="72" w:name="_Toc226309763"/>
      <w:r/>
      <w:bookmarkStart w:id="73" w:name="_Toc127151720"/>
      <w:r/>
      <w:bookmarkStart w:id="74" w:name="_Toc151193833"/>
      <w:r/>
      <w:bookmarkStart w:id="75" w:name="_Toc195842884"/>
      <w:r/>
      <w:bookmarkStart w:id="76" w:name="_Toc164608633"/>
      <w:r/>
      <w:bookmarkStart w:id="77" w:name="_Toc151193907"/>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105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20"/>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w:t>
            </w:r>
            <w:r/>
          </w:p>
          <w:p>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w:t>
            </w:r>
            <w:r/>
          </w:p>
        </w:tc>
      </w:tr>
      <w:tr>
        <w:trPr>
          <w:jc w:val="center"/>
          <w:trHeight w:val="20"/>
        </w:trPr>
        <w:tc>
          <w:tcPr>
            <w:tcW w:w="988" w:type="dxa"/>
            <w:vAlign w:val="center"/>
            <w:textDirection w:val="lrTb"/>
            <w:noWrap w:val="false"/>
          </w:tcPr>
          <w:p>
            <w:pPr>
              <w:pStyle w:val="10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w:t>
            </w:r>
            <w:r/>
          </w:p>
          <w:p>
            <w:pPr>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cantSplit/>
          <w:jc w:val="center"/>
          <w:trHeight w:val="20"/>
        </w:trPr>
        <w:tc>
          <w:tcPr>
            <w:tcW w:w="988" w:type="dxa"/>
            <w:vAlign w:val="center"/>
            <w:vMerge w:val="restart"/>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□组织，考察时间：___</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分</w:t>
            </w:r>
            <w:r/>
          </w:p>
          <w:p>
            <w:pPr>
              <w:pStyle w:val="12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□召开，召开时间：___</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rPr>
              <w:t xml:space="preserve">___</w:t>
            </w:r>
            <w:r>
              <w:rPr>
                <w:rFonts w:hint="eastAsia" w:ascii="宋体" w:hAnsi="宋体" w:eastAsia="宋体" w:cs="宋体"/>
                <w:color w:val="auto"/>
                <w:sz w:val="24"/>
                <w:szCs w:val="24"/>
                <w:highlight w:val="none"/>
                <w:lang w:bidi="ar"/>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召开地点：___________。</w:t>
            </w:r>
            <w:r/>
          </w:p>
        </w:tc>
      </w:tr>
      <w:tr>
        <w:trPr>
          <w:jc w:val="center"/>
          <w:trHeight w:val="583"/>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b/>
                <w:bCs/>
                <w:color w:val="auto"/>
                <w:sz w:val="24"/>
                <w:szCs w:val="24"/>
                <w:highlight w:val="none"/>
                <w:u w:val="single"/>
              </w:rPr>
              <w:t xml:space="preserve">其他未</w:t>
            </w:r>
            <w:r>
              <w:rPr>
                <w:rFonts w:hint="eastAsia" w:ascii="宋体" w:hAnsi="宋体" w:eastAsia="宋体" w:cs="宋体"/>
                <w:b/>
                <w:bCs/>
                <w:color w:val="auto"/>
                <w:sz w:val="24"/>
                <w:szCs w:val="24"/>
                <w:highlight w:val="none"/>
                <w:u w:val="single"/>
                <w:lang w:val="en-US" w:eastAsia="zh-CN"/>
              </w:rPr>
              <w:t xml:space="preserve">列</w:t>
            </w:r>
            <w:r>
              <w:rPr>
                <w:rFonts w:hint="eastAsia" w:ascii="宋体" w:hAnsi="宋体" w:eastAsia="宋体" w:cs="宋体"/>
                <w:b/>
                <w:bCs/>
                <w:color w:val="auto"/>
                <w:sz w:val="24"/>
                <w:szCs w:val="24"/>
                <w:highlight w:val="none"/>
                <w:u w:val="single"/>
              </w:rPr>
              <w:t xml:space="preserve">明行业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1628"/>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eastAsia="宋体" w:cs="宋体"/>
                <w:color w:val="auto"/>
                <w:sz w:val="24"/>
                <w:szCs w:val="24"/>
                <w:highlight w:val="none"/>
                <w:u w:val="single"/>
              </w:rPr>
              <w:t xml:space="preserve">2次报价，响应文件中的报价作为首次报价，首次报价不超最高限价（控制价），磋商小组应当要求所有实质性响应的供应商在规定时间内提交最后报价，最后报价作为评分依据。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267"/>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Height w:val="465"/>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自提交响应文件的截止之日起算</w:t>
            </w:r>
            <w:r>
              <w:rPr>
                <w:rFonts w:hint="eastAsia" w:ascii="宋体" w:hAnsi="宋体" w:eastAsia="宋体" w:cs="宋体"/>
                <w:color w:val="auto"/>
                <w:sz w:val="24"/>
                <w:szCs w:val="24"/>
                <w:highlight w:val="none"/>
                <w:u w:val="single"/>
              </w:rPr>
              <w:t xml:space="preserve">60</w:t>
            </w:r>
            <w:r>
              <w:rPr>
                <w:rFonts w:hint="eastAsia" w:ascii="宋体" w:hAnsi="宋体" w:eastAsia="宋体" w:cs="宋体"/>
                <w:color w:val="auto"/>
                <w:sz w:val="24"/>
                <w:szCs w:val="24"/>
                <w:highlight w:val="none"/>
              </w:rPr>
              <w:t xml:space="preserve">日历天。</w:t>
            </w:r>
            <w:r/>
          </w:p>
        </w:tc>
      </w:tr>
      <w:tr>
        <w:trPr>
          <w:jc w:val="center"/>
          <w:trHeight w:val="20"/>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2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允许，具体要求：_______。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配合在本地主流媒体上对美丽常州建设的典型案例进行正面引导或反面曝光且提供技术支撑服务</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30万元 </w:t>
            </w:r>
            <w:r>
              <w:rPr>
                <w:rFonts w:ascii="SimSun" w:hAnsi="SimSun" w:eastAsia="SimSun" w:cs="SimSun"/>
                <w:color w:val="000000"/>
                <w:sz w:val="24"/>
              </w:rPr>
              <w:t xml:space="preserve">；</w:t>
            </w:r>
            <w:r/>
          </w:p>
          <w:p>
            <w:r>
              <w:rPr>
                <w:rFonts w:ascii="SimSun" w:hAnsi="SimSun" w:eastAsia="SimSun" w:cs="SimSun"/>
                <w:color w:val="000000"/>
                <w:sz w:val="24"/>
              </w:rPr>
              <w:t xml:space="preserve">（3）其他要求：_______。</w:t>
            </w:r>
            <w:r/>
            <w:r/>
            <w:r/>
          </w:p>
        </w:tc>
      </w:tr>
      <w:tr>
        <w:trPr>
          <w:jc w:val="center"/>
          <w:trHeight w:val="383"/>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询问送达形式：</w:t>
            </w:r>
            <w:r>
              <w:rPr>
                <w:rFonts w:hint="eastAsia" w:ascii="宋体" w:hAnsi="宋体" w:eastAsia="宋体" w:cs="宋体"/>
                <w:color w:val="auto"/>
                <w:sz w:val="24"/>
                <w:szCs w:val="24"/>
                <w:highlight w:val="none"/>
                <w:u w:val="single"/>
              </w:rPr>
              <w:t xml:space="preserve">书面形式</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rPr>
              <w:t xml:space="preserve">常州盈泰招标有限公司</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0519-89853339</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常州市新北区太湖中路8号锦湖创新中心A座11楼</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26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收费对象：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1082"/>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p>
          <w:p>
            <w:pPr>
              <w:pStyle w:val="10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收费标准：</w:t>
            </w:r>
            <w:r/>
          </w:p>
          <w:tbl>
            <w:tblPr>
              <w:tblStyle w:val="1050"/>
              <w:tblW w:w="4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3"/>
              <w:gridCol w:w="1471"/>
            </w:tblGrid>
            <w:tr>
              <w:trPr>
                <w:jc w:val="center"/>
                <w:trHeight w:val="1853"/>
              </w:trPr>
              <w:tc>
                <w:tcPr>
                  <w:tcW w:w="3263" w:type="dxa"/>
                  <w:textDirection w:val="lrTb"/>
                  <w:noWrap w:val="false"/>
                </w:tcPr>
                <w:p>
                  <w:pPr>
                    <w:ind w:firstLine="10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327025</wp:posOffset>
                            </wp:positionH>
                            <wp:positionV relativeFrom="paragraph">
                              <wp:posOffset>8890</wp:posOffset>
                            </wp:positionV>
                            <wp:extent cx="1676400" cy="1666875"/>
                            <wp:effectExtent l="3175" t="3175" r="15875" b="6350"/>
                            <wp:wrapNone/>
                            <wp:docPr id="7" name="直接连接符 3"/>
                            <wp:cNvGraphicFramePr/>
                            <a:graphic xmlns:a="http://schemas.openxmlformats.org/drawingml/2006/main">
                              <a:graphicData uri="http://schemas.microsoft.com/office/word/2010/wordprocessingShape">
                                <wps:wsp>
                                  <wps:cNvPr id="0" name=""/>
                                  <wps:cNvSpPr/>
                                  <wps:spPr bwMode="auto">
                                    <a:xfrm flipH="1" flipV="1">
                                      <a:off x="0" y="0"/>
                                      <a:ext cx="1676400" cy="16668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25.8pt,0.7pt" to="157.8pt,131.9pt" fillcolor="#FFFFFF" strokecolor="#000000"/>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8.8pt,-0.3pt" to="-8.8pt,-0.3pt" fillcolor="#FFFFFF" strokecolor="#000000"/>
                        </w:pict>
                      </mc:Fallback>
                    </mc:AlternateContent>
                  </w:r>
                  <w:r>
                    <w:rPr>
                      <w:rFonts w:hint="eastAsia" w:ascii="宋体" w:hAnsi="宋体" w:eastAsia="宋体" w:cs="宋体"/>
                      <w:bCs/>
                      <w:color w:val="auto"/>
                      <w:sz w:val="24"/>
                      <w:szCs w:val="24"/>
                      <w:highlight w:val="none"/>
                    </w:rPr>
                    <w:t xml:space="preserve">服</w:t>
                  </w:r>
                  <w:r/>
                </w:p>
                <w:p>
                  <w:pPr>
                    <w:ind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-64135</wp:posOffset>
                            </wp:positionH>
                            <wp:positionV relativeFrom="paragraph">
                              <wp:posOffset>81915</wp:posOffset>
                            </wp:positionV>
                            <wp:extent cx="2077085" cy="1035050"/>
                            <wp:effectExtent l="1905" t="4445" r="16510" b="8255"/>
                            <wp:wrapNone/>
                            <wp:docPr id="9" name="直接连接符 5"/>
                            <wp:cNvGraphicFramePr/>
                            <a:graphic xmlns:a="http://schemas.openxmlformats.org/drawingml/2006/main">
                              <a:graphicData uri="http://schemas.microsoft.com/office/word/2010/wordprocessingShape">
                                <wps:wsp>
                                  <wps:cNvPr id="0" name=""/>
                                  <wps:cNvSpPr/>
                                  <wps:spPr bwMode="auto">
                                    <a:xfrm flipH="1" flipV="1">
                                      <a:off x="0" y="0"/>
                                      <a:ext cx="2077085" cy="10350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flip:xy;visibility:visible;" from="-5.0pt,6.4pt" to="158.5pt,88.0pt" filled="f" strokecolor="#000000"/>
                        </w:pict>
                      </mc:Fallback>
                    </mc:AlternateContent>
                  </w:r>
                  <w:r>
                    <w:rPr>
                      <w:rFonts w:hint="eastAsia" w:ascii="宋体" w:hAnsi="宋体" w:eastAsia="宋体" w:cs="宋体"/>
                      <w:bCs/>
                      <w:color w:val="auto"/>
                      <w:sz w:val="24"/>
                      <w:szCs w:val="24"/>
                      <w:highlight w:val="none"/>
                    </w:rPr>
                    <w:t xml:space="preserve">　   类</w:t>
                  </w:r>
                  <w:r/>
                </w:p>
                <w:p>
                  <w:pPr>
                    <w:ind w:firstLine="12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p>
                <w:p>
                  <w:pPr>
                    <w:ind w:firstLine="12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中标金额（万元）</w:t>
                  </w:r>
                  <w:r/>
                </w:p>
              </w:tc>
              <w:tc>
                <w:tcPr>
                  <w:tcW w:w="1471" w:type="dxa"/>
                  <w:vAlign w:val="center"/>
                  <w:textDirection w:val="lrTb"/>
                  <w:noWrap w:val="false"/>
                </w:tcPr>
                <w:p>
                  <w:pPr>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服务类</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jc w:val="center"/>
              </w:trPr>
              <w:tc>
                <w:tcPr>
                  <w:tcW w:w="3263" w:type="dxa"/>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1471"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r>
            <w:tr>
              <w:trPr>
                <w:jc w:val="center"/>
              </w:trPr>
              <w:tc>
                <w:tcPr>
                  <w:tcW w:w="3263" w:type="dxa"/>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71" w:type="dxa"/>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2.代理服务收费按差额定率累进法计算。</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3.代理服务收费按上述计算方法不足人民币3000元的，按人民币3000元收取。</w:t>
            </w:r>
            <w:r/>
          </w:p>
          <w:p>
            <w:pPr>
              <w:tabs>
                <w:tab w:val="left" w:pos="510" w:leader="none"/>
                <w:tab w:val="left" w:pos="735" w:leader="none"/>
                <w:tab w:val="left" w:pos="945" w:leader="none"/>
                <w:tab w:val="left" w:pos="1155"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4.缴纳时间：</w:t>
            </w:r>
            <w:r>
              <w:rPr>
                <w:rFonts w:hint="eastAsia" w:ascii="宋体" w:hAnsi="宋体" w:eastAsia="宋体" w:cs="宋体"/>
                <w:bCs/>
                <w:color w:val="auto"/>
                <w:sz w:val="24"/>
                <w:szCs w:val="24"/>
                <w:highlight w:val="none"/>
                <w:u w:val="single"/>
              </w:rPr>
              <w:t xml:space="preserve">成交供应商应在领取成交通知书前将代理服务费付至采购代理机构指定的收款账户。成交供应商如果未按规定交纳代理服务费，将保留诉讼权利。</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收款单位：常州盈泰招标有限公司</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开户银行：中国建设银行常州市延陵路支行</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银行账号：32050162853600001068</w:t>
            </w:r>
            <w:r/>
          </w:p>
        </w:tc>
      </w:tr>
    </w:tbl>
    <w:p>
      <w:pPr>
        <w:spacing w:line="360" w:lineRule="auto"/>
        <w:tabs>
          <w:tab w:val="left" w:pos="5580" w:leader="none"/>
        </w:tabs>
        <w:rPr>
          <w:color w:val="auto"/>
          <w:sz w:val="24"/>
          <w:highlight w:val="none"/>
        </w:rPr>
        <w:sectPr>
          <w:footerReference w:type="default" r:id="rId19"/>
          <w:footerReference w:type="first" r:id="rId20"/>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pStyle w:val="1041"/>
        <w:jc w:val="center"/>
        <w:spacing w:before="0" w:after="0" w:afterAutospacing="0" w:line="360" w:lineRule="auto"/>
        <w:tabs>
          <w:tab w:val="center" w:pos="4592" w:leader="none"/>
          <w:tab w:val="left" w:pos="7860" w:leader="none"/>
        </w:tabs>
        <w:rPr>
          <w:rFonts w:ascii="Times New Roman" w:hAnsi="Times New Roman" w:eastAsia="宋体"/>
          <w:b/>
          <w:bCs/>
          <w:color w:val="auto"/>
          <w:sz w:val="28"/>
          <w:highlight w:val="none"/>
        </w:rPr>
      </w:pPr>
      <w:r/>
      <w:bookmarkStart w:id="78" w:name="_Toc305158822"/>
      <w:r/>
      <w:bookmarkStart w:id="79" w:name="_Toc226965827"/>
      <w:r/>
      <w:bookmarkStart w:id="80" w:name="_Toc142311056"/>
      <w:r/>
      <w:bookmarkStart w:id="81" w:name="_Toc353873934"/>
      <w:r/>
      <w:bookmarkStart w:id="82" w:name="_Toc264969244"/>
      <w:r/>
      <w:bookmarkStart w:id="83" w:name="_Toc265228392"/>
      <w:r/>
      <w:bookmarkStart w:id="84" w:name="_Toc353825544"/>
      <w:r/>
      <w:bookmarkStart w:id="85" w:name="_Toc305158896"/>
      <w:r/>
      <w:bookmarkStart w:id="86" w:name="_Toc150480792"/>
      <w:r/>
      <w:bookmarkStart w:id="87" w:name="_Toc127151554"/>
      <w:r/>
      <w:bookmarkStart w:id="88" w:name="_Toc150774759"/>
      <w:r/>
      <w:bookmarkStart w:id="89" w:name="_Toc226337250"/>
      <w:r/>
      <w:bookmarkStart w:id="90" w:name="_Toc353873664"/>
      <w:r>
        <w:rPr>
          <w:rFonts w:ascii="Times New Roman" w:hAnsi="Times New Roman" w:eastAsia="宋体"/>
          <w:b/>
          <w:bCs/>
          <w:color w:val="auto"/>
          <w:sz w:val="28"/>
          <w:highlight w:val="none"/>
        </w:rPr>
        <w:t xml:space="preserve">供应商须知</w:t>
      </w:r>
      <w:r/>
    </w:p>
    <w:p>
      <w:pPr>
        <w:pStyle w:val="1041"/>
        <w:jc w:val="center"/>
        <w:spacing w:before="0" w:beforeAutospacing="0" w:after="0" w:afterAutospacing="0" w:line="360" w:lineRule="auto"/>
        <w:tabs>
          <w:tab w:val="center" w:pos="4592" w:leader="none"/>
          <w:tab w:val="left" w:pos="7860" w:leader="none"/>
        </w:tabs>
        <w:rPr>
          <w:rFonts w:ascii="Times New Roman" w:hAnsi="Times New Roman" w:eastAsia="宋体"/>
          <w:color w:val="auto"/>
          <w:sz w:val="28"/>
          <w:highlight w:val="none"/>
        </w:rPr>
      </w:pPr>
      <w:r/>
      <w:bookmarkStart w:id="91" w:name="_Toc226965791"/>
      <w:r/>
      <w:bookmarkStart w:id="92" w:name="_Toc142311020"/>
      <w:r/>
      <w:bookmarkStart w:id="93" w:name="_Toc226965708"/>
      <w:r/>
      <w:bookmarkStart w:id="94" w:name="_Toc151193906"/>
      <w:r/>
      <w:bookmarkStart w:id="95" w:name="_Toc151193688"/>
      <w:r/>
      <w:bookmarkStart w:id="96" w:name="_Toc305158860"/>
      <w:r/>
      <w:bookmarkStart w:id="97" w:name="_Toc151193832"/>
      <w:r/>
      <w:bookmarkStart w:id="98" w:name="_Toc226309762"/>
      <w:r/>
      <w:bookmarkStart w:id="99" w:name="_Toc305158786"/>
      <w:r/>
      <w:bookmarkStart w:id="100" w:name="_Toc150774618"/>
      <w:r/>
      <w:bookmarkStart w:id="101" w:name="_Toc151193760"/>
      <w:r/>
      <w:bookmarkStart w:id="102" w:name="_Toc265228356"/>
      <w:r/>
      <w:bookmarkStart w:id="103" w:name="_Toc150480756"/>
      <w:r/>
      <w:bookmarkStart w:id="104" w:name="_Toc195842883"/>
      <w:r/>
      <w:bookmarkStart w:id="105" w:name="_Toc520356143"/>
      <w:r/>
      <w:bookmarkStart w:id="106" w:name="_Toc127151518"/>
      <w:r/>
      <w:bookmarkStart w:id="107" w:name="_Toc151190145"/>
      <w:r/>
      <w:bookmarkStart w:id="108" w:name="_Toc264969208"/>
      <w:r/>
      <w:bookmarkStart w:id="109" w:name="_Toc151193616"/>
      <w:r/>
      <w:bookmarkStart w:id="110" w:name="_Toc150509269"/>
      <w:r/>
      <w:bookmarkStart w:id="111" w:name="_Toc226337214"/>
      <w:r/>
      <w:bookmarkStart w:id="112" w:name="_Toc150774723"/>
      <w:r>
        <w:rPr>
          <w:rFonts w:ascii="Times New Roman" w:hAnsi="Times New Roman" w:eastAsia="宋体"/>
          <w:b/>
          <w:bCs/>
          <w:color w:val="auto"/>
          <w:sz w:val="28"/>
          <w:highlight w:val="none"/>
        </w:rPr>
        <w:t xml:space="preserve">一、说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113" w:name="_Toc305158861"/>
      <w:r/>
      <w:bookmarkStart w:id="114" w:name="_Toc264969209"/>
      <w:r/>
      <w:bookmarkStart w:id="115" w:name="_Toc265228357"/>
      <w:r/>
      <w:bookmarkStart w:id="116" w:name="_Toc305158787"/>
      <w:r>
        <w:rPr>
          <w:rFonts w:hint="eastAsia" w:ascii="宋体" w:hAnsi="宋体" w:cs="宋体"/>
          <w:b/>
          <w:bCs/>
          <w:color w:val="auto"/>
          <w:sz w:val="24"/>
          <w:highlight w:val="none"/>
        </w:rPr>
        <w:t xml:space="preserve">1 采购人、采购代理机构、供应商</w:t>
      </w:r>
      <w:bookmarkEnd w:id="113"/>
      <w:r/>
      <w:bookmarkEnd w:id="114"/>
      <w:r/>
      <w:bookmarkEnd w:id="115"/>
      <w:r/>
      <w:bookmarkEnd w:id="116"/>
      <w:r>
        <w:rPr>
          <w:rFonts w:hint="eastAsia" w:ascii="宋体" w:hAnsi="宋体" w:cs="宋体"/>
          <w:b/>
          <w:bCs/>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1.1 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1.2 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1.3 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b/>
          <w:bCs/>
          <w:color w:val="auto"/>
          <w:sz w:val="24"/>
          <w:highlight w:val="none"/>
        </w:rPr>
        <w:outlineLvl w:val="1"/>
      </w:pPr>
      <w:r/>
      <w:bookmarkStart w:id="117" w:name="_Toc164608789"/>
      <w:r/>
      <w:bookmarkStart w:id="118" w:name="_Toc226337216"/>
      <w:r/>
      <w:bookmarkStart w:id="119" w:name="_Toc226309764"/>
      <w:r/>
      <w:bookmarkStart w:id="120" w:name="_Toc127151520"/>
      <w:r/>
      <w:bookmarkStart w:id="121" w:name="_Toc305158862"/>
      <w:r/>
      <w:bookmarkStart w:id="122" w:name="_Toc265228358"/>
      <w:r/>
      <w:bookmarkStart w:id="123" w:name="_Toc164608634"/>
      <w:r/>
      <w:bookmarkStart w:id="124" w:name="_Toc226965710"/>
      <w:r/>
      <w:bookmarkStart w:id="125" w:name="_Toc150509271"/>
      <w:r/>
      <w:bookmarkStart w:id="126" w:name="_Toc151193690"/>
      <w:r/>
      <w:bookmarkStart w:id="127" w:name="_Toc151193834"/>
      <w:r/>
      <w:bookmarkStart w:id="128" w:name="_Toc226965793"/>
      <w:r/>
      <w:bookmarkStart w:id="129" w:name="_Toc264969210"/>
      <w:r/>
      <w:bookmarkStart w:id="130" w:name="_Toc164351614"/>
      <w:r/>
      <w:bookmarkStart w:id="131" w:name="_Toc195842885"/>
      <w:r/>
      <w:bookmarkStart w:id="132" w:name="_Toc142311022"/>
      <w:r/>
      <w:bookmarkStart w:id="133" w:name="_Toc150480758"/>
      <w:r/>
      <w:bookmarkStart w:id="134" w:name="_Toc150774725"/>
      <w:r/>
      <w:bookmarkStart w:id="135" w:name="_Toc151190147"/>
      <w:r/>
      <w:bookmarkStart w:id="136" w:name="_Toc127161434"/>
      <w:r/>
      <w:bookmarkStart w:id="137" w:name="_Toc151193762"/>
      <w:r/>
      <w:bookmarkStart w:id="138" w:name="_Toc151193908"/>
      <w:r/>
      <w:bookmarkStart w:id="139" w:name="_Toc164229361"/>
      <w:r/>
      <w:bookmarkStart w:id="140" w:name="_Toc305158788"/>
      <w:r/>
      <w:bookmarkStart w:id="141" w:name="_Toc164229215"/>
      <w:r/>
      <w:bookmarkStart w:id="142" w:name="_Toc151193618"/>
      <w:r/>
      <w:bookmarkStart w:id="143" w:name="_Toc127151721"/>
      <w:r/>
      <w:bookmarkStart w:id="144" w:name="_Toc150774620"/>
      <w:r/>
      <w:bookmarkStart w:id="145" w:name="_Toc149720813"/>
      <w:r>
        <w:rPr>
          <w:rFonts w:hint="eastAsia" w:ascii="宋体" w:hAnsi="宋体" w:cs="宋体"/>
          <w:b/>
          <w:bCs/>
          <w:color w:val="auto"/>
          <w:sz w:val="24"/>
          <w:highlight w:val="none"/>
        </w:rPr>
        <w:t xml:space="preserve">2 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cs="宋体"/>
          <w:b/>
          <w:bCs/>
          <w:color w:val="auto"/>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 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 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 是否属于科研仪器设备采购见《供应商须知资料表》。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 现场考察、磋商前答疑会</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3.1 若《供应商须知资料表》中规定了组织现场考察、召开磋商前答疑会，则供应商应按要求在规定的时间和地点参加。</w:t>
      </w:r>
      <w:bookmarkStart w:id="146" w:name="_Toc305158790"/>
      <w:r/>
      <w:bookmarkStart w:id="147" w:name="_Toc520356146"/>
      <w:r/>
      <w:bookmarkStart w:id="148" w:name="_Toc150774727"/>
      <w:r/>
      <w:bookmarkStart w:id="149" w:name="_Toc142311024"/>
      <w:r/>
      <w:bookmarkStart w:id="150" w:name="_Toc150509273"/>
      <w:r/>
      <w:bookmarkStart w:id="151" w:name="_Toc151193836"/>
      <w:r/>
      <w:bookmarkStart w:id="152" w:name="_Toc151193620"/>
      <w:r/>
      <w:bookmarkStart w:id="153" w:name="_Toc195842887"/>
      <w:r/>
      <w:bookmarkStart w:id="154" w:name="_Toc151193692"/>
      <w:r/>
      <w:bookmarkStart w:id="155" w:name="_Toc226965712"/>
      <w:r/>
      <w:bookmarkStart w:id="156" w:name="_Toc264969212"/>
      <w:r/>
      <w:bookmarkStart w:id="157" w:name="_Toc226965795"/>
      <w:r/>
      <w:bookmarkStart w:id="158" w:name="_Toc151193910"/>
      <w:r/>
      <w:bookmarkStart w:id="159" w:name="_Toc305158864"/>
      <w:r/>
      <w:bookmarkStart w:id="160" w:name="_Toc150774622"/>
      <w:r/>
      <w:bookmarkStart w:id="161" w:name="_Toc151190149"/>
      <w:r/>
      <w:bookmarkStart w:id="162" w:name="_Toc265228360"/>
      <w:r/>
      <w:bookmarkStart w:id="163" w:name="_Toc226309766"/>
      <w:r/>
      <w:bookmarkStart w:id="164" w:name="_Toc151193764"/>
      <w:r/>
      <w:bookmarkStart w:id="165" w:name="_Toc226337218"/>
      <w:r/>
      <w:bookmarkStart w:id="166" w:name="_Toc127151522"/>
      <w:r/>
      <w:bookmarkStart w:id="167" w:name="_Toc150480760"/>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3.2 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 政府采购政策（包括但不限于下列具体政策要求）</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 进口产品</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4.2 中小企业、监狱企业及残疾人福利性单位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 中小企业定义：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 政府采购节能产品、环境标志产品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 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 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 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 支持乡村产业振兴管理</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 为落实《关于运用政府采购政策支持乡村产业振兴的通知》（财库〔2021〕19号）有关要求，做好支持脱贫攻坚工作，本项目采购活动中对于支持乡村振兴管理的相关要求见第四章《采购需求》（如涉及）。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 正版软件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 政府采购创新产品政策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4.6.1 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4.7.1 绿色数据中心政策</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4.7.3 优先使用低挥发性有机化合物产品</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 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 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4.8.2 </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 响应费用</w:t>
      </w:r>
      <w:r/>
    </w:p>
    <w:p>
      <w:pPr>
        <w:numPr>
          <w:ilvl w:val="1"/>
          <w:numId w:val="0"/>
        </w:numPr>
        <w:ind w:firstLine="480"/>
        <w:spacing w:line="360" w:lineRule="auto"/>
        <w:tabs>
          <w:tab w:val="left" w:pos="1080" w:leader="none"/>
          <w:tab w:val="left" w:pos="2014" w:leader="none"/>
        </w:tabs>
        <w:rPr>
          <w:rStyle w:val="1322"/>
          <w:rFonts w:hAnsi="宋体" w:cs="宋体"/>
          <w:color w:val="auto"/>
          <w:sz w:val="24"/>
          <w:highlight w:val="none"/>
        </w:rPr>
      </w:pPr>
      <w:r>
        <w:rPr>
          <w:rFonts w:hint="eastAsia" w:ascii="宋体" w:hAnsi="宋体" w:cs="宋体"/>
          <w:color w:val="auto"/>
          <w:sz w:val="24"/>
          <w:highlight w:val="none"/>
        </w:rPr>
        <w:t xml:space="preserve">5.1 供应商应自行承担所有与准备和参加磋商有关的费用，无论磋商的结果如何，采购人或采购代理机构在任何情况下均无承担这些费用的义务和责任。</w:t>
      </w:r>
      <w:bookmarkStart w:id="168" w:name="_1.8_计量单位"/>
      <w:r/>
      <w:bookmarkEnd w:id="168"/>
      <w:r/>
      <w:r/>
    </w:p>
    <w:p>
      <w:pPr>
        <w:pStyle w:val="1041"/>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二、竞争性磋商文件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169" w:name="_Toc150509274"/>
      <w:r/>
      <w:bookmarkStart w:id="170" w:name="_Toc195842888"/>
      <w:r/>
      <w:bookmarkStart w:id="171" w:name="_Toc151193693"/>
      <w:r/>
      <w:bookmarkStart w:id="172" w:name="_Toc150774623"/>
      <w:r/>
      <w:bookmarkStart w:id="173" w:name="_Toc164229218"/>
      <w:r/>
      <w:bookmarkStart w:id="174" w:name="_Toc151190150"/>
      <w:r/>
      <w:bookmarkStart w:id="175" w:name="_Toc265228361"/>
      <w:r/>
      <w:bookmarkStart w:id="176" w:name="_Toc151193911"/>
      <w:r/>
      <w:bookmarkStart w:id="177" w:name="_Toc151193837"/>
      <w:r/>
      <w:bookmarkStart w:id="178" w:name="_Toc164608637"/>
      <w:r/>
      <w:bookmarkStart w:id="179" w:name="_Toc226337219"/>
      <w:r/>
      <w:bookmarkStart w:id="180" w:name="_Toc520356147"/>
      <w:r/>
      <w:bookmarkStart w:id="181" w:name="_Toc151193765"/>
      <w:r/>
      <w:bookmarkStart w:id="182" w:name="_Toc151193621"/>
      <w:r/>
      <w:bookmarkStart w:id="183" w:name="_Toc226309767"/>
      <w:r/>
      <w:bookmarkStart w:id="184" w:name="_Toc264969213"/>
      <w:r/>
      <w:bookmarkStart w:id="185" w:name="_Toc226965796"/>
      <w:r/>
      <w:bookmarkStart w:id="186" w:name="_Toc127161437"/>
      <w:r/>
      <w:bookmarkStart w:id="187" w:name="_Toc226965713"/>
      <w:r/>
      <w:bookmarkStart w:id="188" w:name="_Toc164351617"/>
      <w:r/>
      <w:bookmarkStart w:id="189" w:name="_Toc164229364"/>
      <w:r/>
      <w:bookmarkStart w:id="190" w:name="_Toc305158865"/>
      <w:r/>
      <w:bookmarkStart w:id="191" w:name="_Toc150774728"/>
      <w:r/>
      <w:bookmarkStart w:id="192" w:name="_Toc164608792"/>
      <w:r/>
      <w:bookmarkStart w:id="193" w:name="_Toc127151724"/>
      <w:r/>
      <w:bookmarkStart w:id="194" w:name="_Toc142311025"/>
      <w:r/>
      <w:bookmarkStart w:id="195" w:name="_Toc150480761"/>
      <w:r/>
      <w:bookmarkStart w:id="196" w:name="_Toc149720816"/>
      <w:r/>
      <w:bookmarkStart w:id="197" w:name="_Toc127151523"/>
      <w:r/>
      <w:bookmarkStart w:id="198" w:name="_Toc305158791"/>
      <w:r>
        <w:rPr>
          <w:rFonts w:hint="eastAsia" w:ascii="宋体" w:hAnsi="宋体" w:cs="宋体"/>
          <w:b/>
          <w:bCs/>
          <w:color w:val="auto"/>
          <w:sz w:val="24"/>
          <w:highlight w:val="none"/>
        </w:rPr>
        <w:t xml:space="preserve">6 竞争性磋商文件构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6.1 竞争性磋商文件包括以下部分：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6.2 供应商应认真阅读竞争性磋商文件的全部内容。供应商应按照竞争性磋商文件要求提交响应文件并保证所提供的全部资料的真实性，并对竞争性磋商文件作出实质性响应，否则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1080" w:leader="none"/>
          <w:tab w:val="left" w:pos="2014"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 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7.1 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7.2 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auto"/>
          <w:sz w:val="24"/>
          <w:highlight w:val="none"/>
        </w:rPr>
      </w:pPr>
      <w:r/>
      <w:bookmarkStart w:id="199" w:name="_Toc516367020"/>
      <w:r/>
      <w:bookmarkStart w:id="200" w:name="_Toc142311028"/>
      <w:r/>
      <w:bookmarkStart w:id="201" w:name="_Toc305158794"/>
      <w:r/>
      <w:bookmarkStart w:id="202" w:name="_Toc226337222"/>
      <w:r/>
      <w:bookmarkStart w:id="203" w:name="_Toc151193914"/>
      <w:r/>
      <w:bookmarkStart w:id="204" w:name="_Toc226309770"/>
      <w:r/>
      <w:bookmarkStart w:id="205" w:name="_Toc151193696"/>
      <w:r/>
      <w:bookmarkStart w:id="206" w:name="_Toc151193624"/>
      <w:r/>
      <w:bookmarkStart w:id="207" w:name="_Toc305158868"/>
      <w:r/>
      <w:bookmarkStart w:id="208" w:name="_Toc151193768"/>
      <w:r/>
      <w:bookmarkStart w:id="209" w:name="_Toc150509277"/>
      <w:r/>
      <w:bookmarkStart w:id="210" w:name="_Toc520356150"/>
      <w:r/>
      <w:bookmarkStart w:id="211" w:name="_Toc151190153"/>
      <w:r/>
      <w:bookmarkStart w:id="212" w:name="_Toc151193840"/>
      <w:r/>
      <w:bookmarkStart w:id="213" w:name="_Toc264969216"/>
      <w:r/>
      <w:bookmarkStart w:id="214" w:name="_Toc226965799"/>
      <w:r/>
      <w:bookmarkStart w:id="215" w:name="_Toc150480764"/>
      <w:r/>
      <w:bookmarkStart w:id="216" w:name="_Toc265228364"/>
      <w:r/>
      <w:bookmarkStart w:id="217" w:name="_Toc150774731"/>
      <w:r/>
      <w:bookmarkStart w:id="218" w:name="_Toc195842891"/>
      <w:r/>
      <w:bookmarkStart w:id="219" w:name="_Toc127151526"/>
      <w:r/>
      <w:bookmarkStart w:id="220" w:name="_Toc226965716"/>
      <w:r/>
      <w:bookmarkStart w:id="221" w:name="_Toc150774626"/>
      <w:r/>
      <w:r/>
    </w:p>
    <w:p>
      <w:pPr>
        <w:pStyle w:val="1041"/>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三、响应文件</w:t>
      </w:r>
      <w:bookmarkEnd w:id="199"/>
      <w:r>
        <w:rPr>
          <w:rFonts w:hint="eastAsia" w:ascii="宋体" w:hAnsi="宋体" w:eastAsia="宋体" w:cs="宋体"/>
          <w:b/>
          <w:bCs/>
          <w:color w:val="auto"/>
          <w:sz w:val="24"/>
          <w:szCs w:val="24"/>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222" w:name="_Toc164608641"/>
      <w:r/>
      <w:bookmarkStart w:id="223" w:name="_Toc150774627"/>
      <w:r/>
      <w:bookmarkStart w:id="224" w:name="_Toc164608796"/>
      <w:r/>
      <w:bookmarkStart w:id="225" w:name="_Toc151193841"/>
      <w:r/>
      <w:bookmarkStart w:id="226" w:name="_Toc516367021"/>
      <w:r/>
      <w:bookmarkStart w:id="227" w:name="_Toc127151728"/>
      <w:r/>
      <w:bookmarkStart w:id="228" w:name="_Toc127151527"/>
      <w:r/>
      <w:bookmarkStart w:id="229" w:name="_Toc151193915"/>
      <w:r/>
      <w:bookmarkStart w:id="230" w:name="_Toc226337223"/>
      <w:r/>
      <w:bookmarkStart w:id="231" w:name="_Toc520356151"/>
      <w:r/>
      <w:bookmarkStart w:id="232" w:name="_Toc150774732"/>
      <w:r/>
      <w:bookmarkStart w:id="233" w:name="_Toc151193697"/>
      <w:r/>
      <w:bookmarkStart w:id="234" w:name="_Toc164229222"/>
      <w:r/>
      <w:bookmarkStart w:id="235" w:name="_Toc164229368"/>
      <w:r/>
      <w:bookmarkStart w:id="236" w:name="_Toc127161441"/>
      <w:r/>
      <w:bookmarkStart w:id="237" w:name="_Toc226965800"/>
      <w:r/>
      <w:bookmarkStart w:id="238" w:name="_Toc195842892"/>
      <w:r/>
      <w:bookmarkStart w:id="239" w:name="_Toc150509278"/>
      <w:r/>
      <w:bookmarkStart w:id="240" w:name="_Toc164351621"/>
      <w:r/>
      <w:bookmarkStart w:id="241" w:name="_Toc151190154"/>
      <w:r/>
      <w:bookmarkStart w:id="242" w:name="_Toc305158869"/>
      <w:r/>
      <w:bookmarkStart w:id="243" w:name="_Toc151193769"/>
      <w:r/>
      <w:bookmarkStart w:id="244" w:name="_Toc265228365"/>
      <w:r/>
      <w:bookmarkStart w:id="245" w:name="_Toc150480765"/>
      <w:r/>
      <w:bookmarkStart w:id="246" w:name="_Toc149720820"/>
      <w:r/>
      <w:bookmarkStart w:id="247" w:name="_Toc151193625"/>
      <w:r/>
      <w:bookmarkStart w:id="248" w:name="_Toc305158795"/>
      <w:r/>
      <w:bookmarkStart w:id="249" w:name="_Toc226965717"/>
      <w:r/>
      <w:bookmarkStart w:id="250" w:name="_Toc226309771"/>
      <w:r/>
      <w:bookmarkStart w:id="251" w:name="_Toc142311029"/>
      <w:r/>
      <w:bookmarkStart w:id="252" w:name="_Toc264969217"/>
      <w:r>
        <w:rPr>
          <w:rFonts w:hint="eastAsia" w:ascii="宋体" w:hAnsi="宋体" w:cs="宋体"/>
          <w:b/>
          <w:bCs/>
          <w:color w:val="auto"/>
          <w:sz w:val="24"/>
          <w:highlight w:val="none"/>
        </w:rPr>
        <w:t xml:space="preserve">8 响应范围、竞争性磋商文件中计量单位的使用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s="宋体"/>
          <w:b/>
          <w:bCs/>
          <w:color w:val="auto"/>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8.2 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color w:val="auto"/>
          <w:sz w:val="24"/>
          <w:highlight w:val="none"/>
        </w:rPr>
        <w:outlineLvl w:val="1"/>
      </w:pPr>
      <w:r/>
      <w:bookmarkStart w:id="253" w:name="_Ref467306195"/>
      <w:r/>
      <w:bookmarkStart w:id="254" w:name="_Toc516367022"/>
      <w:r/>
      <w:bookmarkStart w:id="255" w:name="_Ref467306676"/>
      <w:r/>
      <w:bookmarkStart w:id="256" w:name="_Toc127161442"/>
      <w:r/>
      <w:bookmarkStart w:id="257" w:name="_Toc305158796"/>
      <w:r/>
      <w:bookmarkStart w:id="258" w:name="_Toc164608797"/>
      <w:r/>
      <w:bookmarkStart w:id="259" w:name="_Toc164229223"/>
      <w:r/>
      <w:bookmarkStart w:id="260" w:name="_Toc150480766"/>
      <w:r/>
      <w:bookmarkStart w:id="261" w:name="_Toc151190155"/>
      <w:r/>
      <w:bookmarkStart w:id="262" w:name="_Toc150774733"/>
      <w:r/>
      <w:bookmarkStart w:id="263" w:name="_Toc127151528"/>
      <w:r/>
      <w:bookmarkStart w:id="264" w:name="_Toc151193770"/>
      <w:r/>
      <w:bookmarkStart w:id="265" w:name="_Toc151193626"/>
      <w:r/>
      <w:bookmarkStart w:id="266" w:name="_Toc149720821"/>
      <w:r/>
      <w:bookmarkStart w:id="267" w:name="_Toc164229369"/>
      <w:r/>
      <w:bookmarkStart w:id="268" w:name="_Toc142311030"/>
      <w:r/>
      <w:bookmarkStart w:id="269" w:name="_Toc226965718"/>
      <w:r/>
      <w:bookmarkStart w:id="270" w:name="_Toc127151729"/>
      <w:r/>
      <w:bookmarkStart w:id="271" w:name="_Toc195842893"/>
      <w:r/>
      <w:bookmarkStart w:id="272" w:name="_Toc226965801"/>
      <w:r/>
      <w:bookmarkStart w:id="273" w:name="_Toc264969218"/>
      <w:r/>
      <w:bookmarkStart w:id="274" w:name="_Toc305158870"/>
      <w:r/>
      <w:bookmarkStart w:id="275" w:name="_Toc151193916"/>
      <w:r/>
      <w:bookmarkStart w:id="276" w:name="_Toc151193698"/>
      <w:r/>
      <w:bookmarkStart w:id="277" w:name="_Toc520356152"/>
      <w:r/>
      <w:bookmarkStart w:id="278" w:name="_Toc226309772"/>
      <w:r/>
      <w:bookmarkStart w:id="279" w:name="_Toc150509279"/>
      <w:r/>
      <w:bookmarkStart w:id="280" w:name="_Toc265228366"/>
      <w:r/>
      <w:bookmarkStart w:id="281" w:name="_Toc226337224"/>
      <w:r/>
      <w:bookmarkStart w:id="282" w:name="_Toc164608642"/>
      <w:r/>
      <w:bookmarkStart w:id="283" w:name="_Toc151193842"/>
      <w:r/>
      <w:bookmarkStart w:id="284" w:name="_Toc150774628"/>
      <w:r/>
      <w:bookmarkStart w:id="285" w:name="_Toc164351622"/>
      <w:r>
        <w:rPr>
          <w:rFonts w:hint="eastAsia" w:ascii="宋体" w:hAnsi="宋体" w:cs="宋体"/>
          <w:b/>
          <w:bCs/>
          <w:color w:val="auto"/>
          <w:sz w:val="24"/>
          <w:highlight w:val="none"/>
        </w:rPr>
        <w:t xml:space="preserve">9 响应文件</w:t>
      </w:r>
      <w:bookmarkEnd w:id="253"/>
      <w:r/>
      <w:bookmarkEnd w:id="254"/>
      <w:r/>
      <w:bookmarkEnd w:id="255"/>
      <w:r>
        <w:rPr>
          <w:rFonts w:hint="eastAsia" w:ascii="宋体" w:hAnsi="宋体" w:cs="宋体"/>
          <w:b/>
          <w:bCs/>
          <w:color w:val="auto"/>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286" w:name="_Ref467052588"/>
      <w:r>
        <w:rPr>
          <w:rFonts w:hint="eastAsia" w:ascii="宋体" w:hAnsi="宋体" w:cs="宋体"/>
          <w:color w:val="auto"/>
          <w:sz w:val="24"/>
          <w:highlight w:val="none"/>
        </w:rPr>
        <w:t xml:space="preserve">9.1供应商应当按照竞争性磋商文件的要求编制响应文件，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9.2 </w:t>
      </w: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9.3 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9.4 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9.5 供应商认为应附的其他材料。</w:t>
      </w:r>
      <w:bookmarkEnd w:id="286"/>
      <w:r/>
      <w:r/>
    </w:p>
    <w:p>
      <w:pPr>
        <w:ind w:firstLine="482"/>
        <w:spacing w:line="360" w:lineRule="auto"/>
        <w:tabs>
          <w:tab w:val="left" w:pos="360" w:leader="none"/>
        </w:tabs>
        <w:rPr>
          <w:rFonts w:ascii="宋体" w:hAnsi="宋体" w:cs="宋体"/>
          <w:b/>
          <w:bCs/>
          <w:color w:val="auto"/>
          <w:sz w:val="24"/>
          <w:highlight w:val="none"/>
        </w:rPr>
        <w:outlineLvl w:val="1"/>
      </w:pPr>
      <w:r/>
      <w:bookmarkStart w:id="287" w:name="_Toc164229371"/>
      <w:r/>
      <w:bookmarkStart w:id="288" w:name="_Toc149720823"/>
      <w:r/>
      <w:bookmarkStart w:id="289" w:name="_Toc151193918"/>
      <w:r/>
      <w:bookmarkStart w:id="290" w:name="_Toc195842895"/>
      <w:r/>
      <w:bookmarkStart w:id="291" w:name="_Toc151193628"/>
      <w:r/>
      <w:bookmarkStart w:id="292" w:name="_Toc151193700"/>
      <w:r/>
      <w:bookmarkStart w:id="293" w:name="_Toc164229225"/>
      <w:r/>
      <w:bookmarkStart w:id="294" w:name="_Toc151193844"/>
      <w:r/>
      <w:bookmarkStart w:id="295" w:name="_Toc151193772"/>
      <w:r/>
      <w:bookmarkStart w:id="296" w:name="_Toc150509281"/>
      <w:r/>
      <w:bookmarkStart w:id="297" w:name="_Toc150774735"/>
      <w:r/>
      <w:bookmarkStart w:id="298" w:name="_Toc127161444"/>
      <w:r/>
      <w:bookmarkStart w:id="299" w:name="_Toc164351624"/>
      <w:r/>
      <w:bookmarkStart w:id="300" w:name="_Toc150480768"/>
      <w:r/>
      <w:bookmarkStart w:id="301" w:name="_Toc151190157"/>
      <w:r/>
      <w:bookmarkStart w:id="302" w:name="_Toc164608644"/>
      <w:r/>
      <w:bookmarkStart w:id="303" w:name="_Toc520356155"/>
      <w:r/>
      <w:bookmarkStart w:id="304" w:name="_Toc142311032"/>
      <w:r/>
      <w:bookmarkStart w:id="305" w:name="_Toc164608799"/>
      <w:r/>
      <w:bookmarkStart w:id="306" w:name="_Toc150774630"/>
      <w:r/>
      <w:bookmarkStart w:id="307" w:name="_Toc127151530"/>
      <w:r/>
      <w:bookmarkStart w:id="308" w:name="_Toc127151731"/>
      <w:r>
        <w:rPr>
          <w:rFonts w:hint="eastAsia" w:ascii="宋体" w:hAnsi="宋体" w:cs="宋体"/>
          <w:b/>
          <w:bCs/>
          <w:color w:val="auto"/>
          <w:sz w:val="24"/>
          <w:highlight w:val="none"/>
        </w:rPr>
        <w:t xml:space="preserve">10 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10.1 所有响应均以人民币报价。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10.2 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 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10.2.2 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10.3 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10.4 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11 磋商保证金</w:t>
      </w:r>
      <w:r/>
    </w:p>
    <w:p>
      <w:pPr>
        <w:ind w:firstLine="480"/>
        <w:spacing w:line="360" w:lineRule="auto"/>
        <w:tabs>
          <w:tab w:val="left" w:pos="360" w:leader="none"/>
        </w:tabs>
        <w:rPr>
          <w:rFonts w:hint="default" w:ascii="宋体" w:hAnsi="宋体" w:eastAsia="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11.1 根据江苏省和常州市的相关文件规定，免收保证金。</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12 响应有效期</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12.1 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bookmarkStart w:id="309" w:name="_Toc150509284"/>
      <w:r/>
      <w:bookmarkStart w:id="310" w:name="_Toc305158875"/>
      <w:r/>
      <w:bookmarkStart w:id="311" w:name="_Toc142311035"/>
      <w:r/>
      <w:bookmarkStart w:id="312" w:name="_Toc226337229"/>
      <w:r/>
      <w:bookmarkStart w:id="313" w:name="_Toc127151533"/>
      <w:r/>
      <w:bookmarkStart w:id="314" w:name="_Toc164229374"/>
      <w:r/>
      <w:bookmarkStart w:id="315" w:name="_Toc127161447"/>
      <w:r/>
      <w:bookmarkStart w:id="316" w:name="_Toc264969223"/>
      <w:r/>
      <w:bookmarkStart w:id="317" w:name="_Toc151193921"/>
      <w:r/>
      <w:bookmarkStart w:id="318" w:name="_Toc150480771"/>
      <w:r/>
      <w:bookmarkStart w:id="319" w:name="_Toc226309777"/>
      <w:r/>
      <w:bookmarkStart w:id="320" w:name="_Toc226965806"/>
      <w:r/>
      <w:bookmarkStart w:id="321" w:name="_Toc150774738"/>
      <w:r/>
      <w:bookmarkStart w:id="322" w:name="_Toc127151734"/>
      <w:r/>
      <w:bookmarkStart w:id="323" w:name="_Toc151193631"/>
      <w:r/>
      <w:bookmarkStart w:id="324" w:name="_Toc151190160"/>
      <w:r/>
      <w:bookmarkStart w:id="325" w:name="_Toc151193703"/>
      <w:r/>
      <w:bookmarkStart w:id="326" w:name="_Toc520356158"/>
      <w:r/>
      <w:bookmarkStart w:id="327" w:name="_Toc226965723"/>
      <w:r/>
      <w:bookmarkStart w:id="328" w:name="_Toc164229228"/>
      <w:r/>
      <w:bookmarkStart w:id="329" w:name="_Toc149720826"/>
      <w:r/>
      <w:bookmarkStart w:id="330" w:name="_Toc151193775"/>
      <w:r/>
      <w:bookmarkStart w:id="331" w:name="_Toc195842898"/>
      <w:r/>
      <w:bookmarkStart w:id="332" w:name="_Toc265228371"/>
      <w:r/>
      <w:bookmarkStart w:id="333" w:name="_Toc305158801"/>
      <w:r/>
      <w:bookmarkStart w:id="334" w:name="_Toc151193847"/>
      <w:r/>
      <w:bookmarkStart w:id="335" w:name="_Toc164608802"/>
      <w:r/>
      <w:bookmarkStart w:id="336" w:name="_Toc164608647"/>
      <w:r/>
      <w:bookmarkStart w:id="337" w:name="_Toc164351627"/>
      <w:r/>
      <w:bookmarkStart w:id="338" w:name="_Toc150774633"/>
      <w:r>
        <w:rPr>
          <w:rFonts w:hint="eastAsia" w:ascii="宋体" w:hAnsi="宋体" w:cs="宋体"/>
          <w:b/>
          <w:bCs/>
          <w:color w:val="auto"/>
          <w:sz w:val="24"/>
          <w:highlight w:val="none"/>
        </w:rPr>
        <w:t xml:space="preserve">13 响应文件的签署</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bCs/>
          <w:color w:val="auto"/>
          <w:sz w:val="24"/>
          <w:highlight w:val="none"/>
        </w:rPr>
        <w:t xml:space="preserve">、盖章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339" w:name="_Toc151193776"/>
      <w:r/>
      <w:bookmarkStart w:id="340" w:name="_Toc195842899"/>
      <w:r/>
      <w:bookmarkStart w:id="341" w:name="_Toc151190161"/>
      <w:r/>
      <w:bookmarkStart w:id="342" w:name="_Toc142311036"/>
      <w:r/>
      <w:bookmarkStart w:id="343" w:name="_Toc265228372"/>
      <w:r/>
      <w:bookmarkStart w:id="344" w:name="_Toc150480772"/>
      <w:r/>
      <w:bookmarkStart w:id="345" w:name="_Toc226337230"/>
      <w:r/>
      <w:bookmarkStart w:id="346" w:name="_Toc305158802"/>
      <w:r/>
      <w:bookmarkStart w:id="347" w:name="_Toc305158876"/>
      <w:r/>
      <w:bookmarkStart w:id="348" w:name="_Toc127151534"/>
      <w:r/>
      <w:bookmarkStart w:id="349" w:name="_Toc226965724"/>
      <w:r/>
      <w:bookmarkStart w:id="350" w:name="_Toc150509285"/>
      <w:r/>
      <w:bookmarkStart w:id="351" w:name="_Toc226965807"/>
      <w:r/>
      <w:bookmarkStart w:id="352" w:name="_Toc150774739"/>
      <w:r/>
      <w:bookmarkStart w:id="353" w:name="_Toc520356159"/>
      <w:r/>
      <w:bookmarkStart w:id="354" w:name="_Toc151193922"/>
      <w:r/>
      <w:bookmarkStart w:id="355" w:name="_Toc226309778"/>
      <w:r/>
      <w:bookmarkStart w:id="356" w:name="_Toc264969224"/>
      <w:r/>
      <w:bookmarkStart w:id="357" w:name="_Toc151193704"/>
      <w:r/>
      <w:bookmarkStart w:id="358" w:name="_Toc151193632"/>
      <w:r/>
      <w:bookmarkStart w:id="359" w:name="_Toc151193848"/>
      <w:r/>
      <w:bookmarkStart w:id="360" w:name="_Toc150774634"/>
      <w:r>
        <w:rPr>
          <w:rFonts w:hint="eastAsia" w:ascii="宋体" w:hAnsi="宋体" w:cs="宋体"/>
          <w:color w:val="auto"/>
          <w:sz w:val="24"/>
          <w:highlight w:val="none"/>
        </w:rPr>
        <w:t xml:space="preserve">13.1 竞争性磋商文件要求签字、盖章的内容，供应商须按规定签字、盖章。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13.2 磋商响应文件应无涂改和行间插字，供应商造成的必须修改的错误，修改处应由磋商响应文件法定代表人或授权委托人签字或盖章并加盖供应商公章，否则修改无效。</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13.3 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041"/>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四、响应文件的提交</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361" w:name="_Toc164229230"/>
      <w:r/>
      <w:bookmarkStart w:id="362" w:name="_Toc226965808"/>
      <w:r/>
      <w:bookmarkStart w:id="363" w:name="_Toc151193923"/>
      <w:r/>
      <w:bookmarkStart w:id="364" w:name="_Toc127161449"/>
      <w:r/>
      <w:bookmarkStart w:id="365" w:name="_Toc164351629"/>
      <w:r/>
      <w:bookmarkStart w:id="366" w:name="_Toc127151535"/>
      <w:r/>
      <w:bookmarkStart w:id="367" w:name="_Toc151193633"/>
      <w:r/>
      <w:bookmarkStart w:id="368" w:name="_Toc226309779"/>
      <w:r/>
      <w:bookmarkStart w:id="369" w:name="_Toc305158877"/>
      <w:r/>
      <w:bookmarkStart w:id="370" w:name="_Toc142311037"/>
      <w:r/>
      <w:bookmarkStart w:id="371" w:name="_Toc150774635"/>
      <w:r/>
      <w:bookmarkStart w:id="372" w:name="_Toc164608804"/>
      <w:r/>
      <w:bookmarkStart w:id="373" w:name="_Toc150509286"/>
      <w:r/>
      <w:bookmarkStart w:id="374" w:name="_Toc195842900"/>
      <w:r/>
      <w:bookmarkStart w:id="375" w:name="_Toc149720828"/>
      <w:r/>
      <w:bookmarkStart w:id="376" w:name="_Toc151190162"/>
      <w:r/>
      <w:bookmarkStart w:id="377" w:name="_Toc151193705"/>
      <w:r/>
      <w:bookmarkStart w:id="378" w:name="_Toc520356160"/>
      <w:r/>
      <w:bookmarkStart w:id="379" w:name="_Toc226337231"/>
      <w:r/>
      <w:bookmarkStart w:id="380" w:name="_Toc150774740"/>
      <w:r/>
      <w:bookmarkStart w:id="381" w:name="_Toc226965725"/>
      <w:r/>
      <w:bookmarkStart w:id="382" w:name="_Toc264969225"/>
      <w:r/>
      <w:bookmarkStart w:id="383" w:name="_Toc127151736"/>
      <w:r/>
      <w:bookmarkStart w:id="384" w:name="_Toc164229376"/>
      <w:r/>
      <w:bookmarkStart w:id="385" w:name="_Toc164608649"/>
      <w:r/>
      <w:bookmarkStart w:id="386" w:name="_Toc151193849"/>
      <w:r/>
      <w:bookmarkStart w:id="387" w:name="_Toc265228373"/>
      <w:r/>
      <w:bookmarkStart w:id="388" w:name="_Toc305158803"/>
      <w:r/>
      <w:bookmarkStart w:id="389" w:name="_Toc151193777"/>
      <w:r/>
      <w:bookmarkStart w:id="390" w:name="_Toc150480773"/>
      <w:r>
        <w:rPr>
          <w:rFonts w:hint="eastAsia" w:ascii="宋体" w:hAnsi="宋体" w:cs="宋体"/>
          <w:b/>
          <w:bCs/>
          <w:color w:val="auto"/>
          <w:sz w:val="24"/>
          <w:highlight w:val="none"/>
        </w:rPr>
        <w:t xml:space="preserve">14响应文件的</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14.1</w:t>
      </w:r>
      <w:r>
        <w:rPr>
          <w:rFonts w:hint="eastAsia" w:ascii="宋体" w:hAnsi="宋体" w:cs="宋体"/>
          <w:b/>
          <w:color w:val="auto"/>
          <w:sz w:val="24"/>
          <w:highlight w:val="none"/>
        </w:rPr>
        <w:t xml:space="preserve">磋商开启前不需要提供纸质响应文件。合同签订前，需提供响应文件共一式叁份，“正本”壹份、“副本”贰份。在每一份响应文件上要标明“正本”或“副本”字样，一旦正本和副本有差异，以正本为准,正本、副本应分别装订成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14.2采购人及采购代理机构拒绝接受通过“苏采云”政府采购一体化平台以外任何形式提交的投标文件。</w:t>
      </w:r>
      <w:r/>
    </w:p>
    <w:p>
      <w:pPr>
        <w:ind w:firstLine="482"/>
        <w:spacing w:line="360" w:lineRule="auto"/>
        <w:tabs>
          <w:tab w:val="left" w:pos="360" w:leader="none"/>
        </w:tabs>
        <w:rPr>
          <w:rFonts w:ascii="宋体" w:hAnsi="宋体" w:cs="宋体"/>
          <w:b/>
          <w:bCs/>
          <w:color w:val="auto"/>
          <w:sz w:val="24"/>
          <w:highlight w:val="none"/>
        </w:rPr>
        <w:outlineLvl w:val="1"/>
      </w:pPr>
      <w:r/>
      <w:bookmarkStart w:id="391" w:name="_Toc151193706"/>
      <w:r/>
      <w:bookmarkStart w:id="392" w:name="_Toc127151536"/>
      <w:r/>
      <w:bookmarkStart w:id="393" w:name="_Toc127151737"/>
      <w:r/>
      <w:bookmarkStart w:id="394" w:name="_Toc151193850"/>
      <w:r/>
      <w:bookmarkStart w:id="395" w:name="_Toc164229377"/>
      <w:r/>
      <w:bookmarkStart w:id="396" w:name="_Toc226965809"/>
      <w:r/>
      <w:bookmarkStart w:id="397" w:name="_Toc164608805"/>
      <w:r/>
      <w:bookmarkStart w:id="398" w:name="_Toc151193634"/>
      <w:r/>
      <w:bookmarkStart w:id="399" w:name="_Toc150480774"/>
      <w:r/>
      <w:bookmarkStart w:id="400" w:name="_Toc150509287"/>
      <w:r/>
      <w:bookmarkStart w:id="401" w:name="_Toc305158804"/>
      <w:r/>
      <w:bookmarkStart w:id="402" w:name="_Toc226309780"/>
      <w:r/>
      <w:bookmarkStart w:id="403" w:name="_Toc195842901"/>
      <w:r/>
      <w:bookmarkStart w:id="404" w:name="_Toc151190163"/>
      <w:r/>
      <w:bookmarkStart w:id="405" w:name="_Toc164229231"/>
      <w:r/>
      <w:bookmarkStart w:id="406" w:name="_Toc164351630"/>
      <w:r/>
      <w:bookmarkStart w:id="407" w:name="_Toc265228374"/>
      <w:r/>
      <w:bookmarkStart w:id="408" w:name="_Toc150774741"/>
      <w:r/>
      <w:bookmarkStart w:id="409" w:name="_Toc164608650"/>
      <w:r/>
      <w:bookmarkStart w:id="410" w:name="_Toc520356161"/>
      <w:r/>
      <w:bookmarkStart w:id="411" w:name="_Toc264969226"/>
      <w:r/>
      <w:bookmarkStart w:id="412" w:name="_Toc226337232"/>
      <w:r/>
      <w:bookmarkStart w:id="413" w:name="_Toc149720829"/>
      <w:r/>
      <w:bookmarkStart w:id="414" w:name="_Toc305158878"/>
      <w:r/>
      <w:bookmarkStart w:id="415" w:name="_Toc151193924"/>
      <w:r/>
      <w:bookmarkStart w:id="416" w:name="_Toc127161450"/>
      <w:r/>
      <w:bookmarkStart w:id="417" w:name="_Toc226965726"/>
      <w:r/>
      <w:bookmarkStart w:id="418" w:name="_Toc151193778"/>
      <w:r/>
      <w:bookmarkStart w:id="419" w:name="_Toc150774636"/>
      <w:r/>
      <w:bookmarkStart w:id="420" w:name="_Toc142311038"/>
      <w:r>
        <w:rPr>
          <w:rFonts w:hint="eastAsia" w:ascii="宋体" w:hAnsi="宋体" w:cs="宋体"/>
          <w:b/>
          <w:bCs/>
          <w:color w:val="auto"/>
          <w:sz w:val="24"/>
          <w:highlight w:val="none"/>
        </w:rPr>
        <w:t xml:space="preserve">15响应文件截止</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b/>
          <w:bCs/>
          <w:color w:val="auto"/>
          <w:sz w:val="24"/>
          <w:highlight w:val="none"/>
        </w:rPr>
        <w:t xml:space="preserve">时间</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color w:val="auto"/>
          <w:sz w:val="24"/>
          <w:highlight w:val="none"/>
        </w:rPr>
        <w:outlineLvl w:val="1"/>
      </w:pPr>
      <w:r/>
      <w:bookmarkStart w:id="421" w:name="_Toc520356162"/>
      <w:r/>
      <w:bookmarkStart w:id="422" w:name="_Toc151193779"/>
      <w:r/>
      <w:bookmarkStart w:id="423" w:name="_Toc164608651"/>
      <w:r/>
      <w:bookmarkStart w:id="424" w:name="_Toc226965727"/>
      <w:r/>
      <w:bookmarkStart w:id="425" w:name="_Toc226309781"/>
      <w:r/>
      <w:bookmarkStart w:id="426" w:name="_Toc151193635"/>
      <w:r/>
      <w:bookmarkStart w:id="427" w:name="_Toc164351631"/>
      <w:r/>
      <w:bookmarkStart w:id="428" w:name="_Toc164229378"/>
      <w:r/>
      <w:bookmarkStart w:id="429" w:name="_Toc150774637"/>
      <w:r/>
      <w:bookmarkStart w:id="430" w:name="_Toc226965810"/>
      <w:r/>
      <w:bookmarkStart w:id="431" w:name="_Toc149720830"/>
      <w:r/>
      <w:bookmarkStart w:id="432" w:name="_Toc195842902"/>
      <w:r/>
      <w:bookmarkStart w:id="433" w:name="_Toc151193707"/>
      <w:r/>
      <w:bookmarkStart w:id="434" w:name="_Toc264969227"/>
      <w:r/>
      <w:bookmarkStart w:id="435" w:name="_Toc151190164"/>
      <w:r/>
      <w:bookmarkStart w:id="436" w:name="_Toc164608806"/>
      <w:r/>
      <w:bookmarkStart w:id="437" w:name="_Toc305158879"/>
      <w:r/>
      <w:bookmarkStart w:id="438" w:name="_Toc127151537"/>
      <w:r/>
      <w:bookmarkStart w:id="439" w:name="_Toc150509288"/>
      <w:r/>
      <w:bookmarkStart w:id="440" w:name="_Toc150480775"/>
      <w:r/>
      <w:bookmarkStart w:id="441" w:name="_Toc151193851"/>
      <w:r/>
      <w:bookmarkStart w:id="442" w:name="_Toc127151738"/>
      <w:r/>
      <w:bookmarkStart w:id="443" w:name="_Toc305158805"/>
      <w:r/>
      <w:bookmarkStart w:id="444" w:name="_Toc151193925"/>
      <w:r/>
      <w:bookmarkStart w:id="445" w:name="_Toc265228375"/>
      <w:r/>
      <w:bookmarkStart w:id="446" w:name="_Toc150774742"/>
      <w:r/>
      <w:bookmarkStart w:id="447" w:name="_Toc142311039"/>
      <w:r/>
      <w:bookmarkStart w:id="448" w:name="_Toc164229232"/>
      <w:r/>
      <w:bookmarkStart w:id="449" w:name="_Toc127161451"/>
      <w:r/>
      <w:bookmarkStart w:id="450" w:name="_Toc226337233"/>
      <w:r>
        <w:rPr>
          <w:rFonts w:hint="eastAsia" w:ascii="宋体" w:hAnsi="宋体" w:cs="宋体"/>
          <w:b/>
          <w:bCs/>
          <w:color w:val="auto"/>
          <w:sz w:val="24"/>
          <w:highlight w:val="none"/>
        </w:rPr>
        <w:t xml:space="preserve">16响应文件的修改与撤回</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41"/>
        <w:ind w:firstLine="482"/>
        <w:jc w:val="center"/>
        <w:spacing w:before="0" w:after="0" w:afterAutospacing="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五、评审</w:t>
      </w:r>
      <w:r/>
    </w:p>
    <w:p>
      <w:pPr>
        <w:ind w:firstLine="482"/>
        <w:spacing w:beforeAutospacing="0"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17响应文件的开启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17.2供应商不足3家的，不予开启。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451" w:name="_Toc520356165"/>
      <w:r>
        <w:rPr>
          <w:rFonts w:hint="eastAsia" w:ascii="宋体" w:hAnsi="宋体" w:cs="宋体"/>
          <w:color w:val="auto"/>
          <w:sz w:val="24"/>
          <w:highlight w:val="none"/>
        </w:rPr>
        <w:t xml:space="preserve">17.3本项目不公开报价。</w:t>
      </w:r>
      <w:bookmarkEnd w:id="451"/>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18.1磋商小组根据政府采购有关规定和本次采购项目的特点进行组建，并负责具体评审事务，独立履行职责。</w:t>
      </w:r>
      <w:bookmarkStart w:id="452" w:name="_Toc52035616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52"/>
      <w:r/>
      <w:bookmarkStart w:id="453" w:name="_Toc52035616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19.1见第三章《评审方法和评审标准》。</w:t>
      </w:r>
      <w:r/>
    </w:p>
    <w:p>
      <w:pPr>
        <w:ind w:firstLine="480"/>
        <w:spacing w:line="360" w:lineRule="auto"/>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041"/>
        <w:ind w:firstLine="482"/>
        <w:jc w:val="center"/>
        <w:spacing w:before="0" w:after="0" w:afterAutospacing="0" w:line="360" w:lineRule="auto"/>
        <w:rPr>
          <w:rFonts w:ascii="宋体" w:hAnsi="宋体" w:eastAsia="宋体" w:cs="宋体"/>
          <w:b/>
          <w:bCs/>
          <w:color w:val="auto"/>
          <w:sz w:val="24"/>
          <w:szCs w:val="24"/>
          <w:highlight w:val="none"/>
        </w:rPr>
      </w:pPr>
      <w:r/>
      <w:bookmarkStart w:id="454" w:name="_Toc151193859"/>
      <w:r/>
      <w:bookmarkStart w:id="455" w:name="_Toc226965818"/>
      <w:r/>
      <w:bookmarkStart w:id="456" w:name="_Toc151193933"/>
      <w:r/>
      <w:bookmarkStart w:id="457" w:name="_Toc226309789"/>
      <w:r/>
      <w:bookmarkStart w:id="458" w:name="_Toc305158813"/>
      <w:r/>
      <w:bookmarkStart w:id="459" w:name="_Toc150480783"/>
      <w:r/>
      <w:bookmarkStart w:id="460" w:name="_Toc226337241"/>
      <w:r/>
      <w:bookmarkStart w:id="461" w:name="_Toc305158887"/>
      <w:r/>
      <w:bookmarkStart w:id="462" w:name="_Toc142311047"/>
      <w:r/>
      <w:bookmarkStart w:id="463" w:name="_Toc264969235"/>
      <w:r/>
      <w:bookmarkStart w:id="464" w:name="_Toc151193715"/>
      <w:r/>
      <w:bookmarkStart w:id="465" w:name="_Toc127151545"/>
      <w:r/>
      <w:bookmarkStart w:id="466" w:name="_Toc150774645"/>
      <w:r/>
      <w:bookmarkStart w:id="467" w:name="_Toc151193787"/>
      <w:r/>
      <w:bookmarkStart w:id="468" w:name="_Toc151190172"/>
      <w:r/>
      <w:bookmarkStart w:id="469" w:name="_Toc151193643"/>
      <w:r/>
      <w:bookmarkStart w:id="470" w:name="_Toc226965735"/>
      <w:r/>
      <w:bookmarkStart w:id="471" w:name="_Toc265228383"/>
      <w:r/>
      <w:bookmarkStart w:id="472" w:name="_Toc150774750"/>
      <w:r/>
      <w:bookmarkStart w:id="473" w:name="_Toc195842910"/>
      <w:r/>
      <w:bookmarkStart w:id="474" w:name="_Toc150509296"/>
      <w:r>
        <w:rPr>
          <w:rFonts w:hint="eastAsia" w:ascii="宋体" w:hAnsi="宋体" w:eastAsia="宋体" w:cs="宋体"/>
          <w:b/>
          <w:bCs/>
          <w:color w:val="auto"/>
          <w:sz w:val="24"/>
          <w:szCs w:val="24"/>
          <w:highlight w:val="none"/>
        </w:rPr>
        <w:t xml:space="preserve">六</w:t>
      </w:r>
      <w:bookmarkEnd w:id="453"/>
      <w:r>
        <w:rPr>
          <w:rFonts w:hint="eastAsia" w:ascii="宋体" w:hAnsi="宋体" w:eastAsia="宋体" w:cs="宋体"/>
          <w:b/>
          <w:bCs/>
          <w:color w:val="auto"/>
          <w:sz w:val="24"/>
          <w:szCs w:val="24"/>
          <w:highlight w:val="none"/>
        </w:rPr>
        <w:t xml:space="preserve">、确定</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eastAsia="宋体" w:cs="宋体"/>
          <w:b/>
          <w:bCs/>
          <w:color w:val="auto"/>
          <w:sz w:val="24"/>
          <w:szCs w:val="24"/>
          <w:highlight w:val="none"/>
        </w:rPr>
        <w:t xml:space="preserve">成交</w:t>
      </w:r>
      <w:r/>
    </w:p>
    <w:p>
      <w:pPr>
        <w:ind w:firstLine="482"/>
        <w:spacing w:beforeAutospacing="0" w:line="360" w:lineRule="auto"/>
        <w:tabs>
          <w:tab w:val="left" w:pos="360" w:leader="none"/>
        </w:tabs>
        <w:rPr>
          <w:rFonts w:ascii="宋体" w:hAnsi="宋体" w:cs="宋体"/>
          <w:b/>
          <w:bCs/>
          <w:color w:val="auto"/>
          <w:sz w:val="24"/>
          <w:highlight w:val="none"/>
        </w:rPr>
        <w:outlineLvl w:val="1"/>
      </w:pPr>
      <w:r/>
      <w:bookmarkStart w:id="475" w:name="_Toc164608661"/>
      <w:r/>
      <w:bookmarkStart w:id="476" w:name="_Toc151190174"/>
      <w:r/>
      <w:bookmarkStart w:id="477" w:name="_Toc127151748"/>
      <w:r/>
      <w:bookmarkStart w:id="478" w:name="_Toc164608816"/>
      <w:r/>
      <w:bookmarkStart w:id="479" w:name="_Toc151193645"/>
      <w:r/>
      <w:bookmarkStart w:id="480" w:name="_Toc226965820"/>
      <w:r/>
      <w:bookmarkStart w:id="481" w:name="_Toc151193935"/>
      <w:r/>
      <w:bookmarkStart w:id="482" w:name="_Toc305158815"/>
      <w:r/>
      <w:bookmarkStart w:id="483" w:name="_Toc226309791"/>
      <w:r/>
      <w:bookmarkStart w:id="484" w:name="_Toc164229388"/>
      <w:r/>
      <w:bookmarkStart w:id="485" w:name="_Toc151193789"/>
      <w:r/>
      <w:bookmarkStart w:id="486" w:name="_Toc195842912"/>
      <w:r/>
      <w:bookmarkStart w:id="487" w:name="_Toc150509298"/>
      <w:r/>
      <w:bookmarkStart w:id="488" w:name="_Toc265228385"/>
      <w:r/>
      <w:bookmarkStart w:id="489" w:name="_Toc150480785"/>
      <w:r/>
      <w:bookmarkStart w:id="490" w:name="_Toc164229242"/>
      <w:r/>
      <w:bookmarkStart w:id="491" w:name="_Toc150774647"/>
      <w:r/>
      <w:bookmarkStart w:id="492" w:name="_Toc264969237"/>
      <w:r/>
      <w:bookmarkStart w:id="493" w:name="_Toc127161461"/>
      <w:r/>
      <w:bookmarkStart w:id="494" w:name="_Toc127151547"/>
      <w:r/>
      <w:bookmarkStart w:id="495" w:name="_Toc226337243"/>
      <w:r/>
      <w:bookmarkStart w:id="496" w:name="_Toc150774752"/>
      <w:r/>
      <w:bookmarkStart w:id="497" w:name="_Toc305158889"/>
      <w:r/>
      <w:bookmarkStart w:id="498" w:name="_Toc226965737"/>
      <w:r/>
      <w:bookmarkStart w:id="499" w:name="_Toc164351641"/>
      <w:r/>
      <w:bookmarkStart w:id="500" w:name="_Toc149720840"/>
      <w:r/>
      <w:bookmarkStart w:id="501" w:name="_Toc151193717"/>
      <w:r/>
      <w:bookmarkStart w:id="502" w:name="_Toc151193861"/>
      <w:r/>
      <w:bookmarkStart w:id="503" w:name="_Toc142311049"/>
      <w:r>
        <w:rPr>
          <w:rFonts w:hint="eastAsia" w:ascii="宋体" w:hAnsi="宋体" w:cs="宋体"/>
          <w:b/>
          <w:bCs/>
          <w:color w:val="auto"/>
          <w:sz w:val="24"/>
          <w:highlight w:val="none"/>
        </w:rPr>
        <w:t xml:space="preserve">20确定成交供应商</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color w:val="auto"/>
          <w:sz w:val="24"/>
          <w:highlight w:val="none"/>
        </w:rPr>
        <w:outlineLvl w:val="1"/>
      </w:pPr>
      <w:r/>
      <w:bookmarkStart w:id="504" w:name="_Toc305158891"/>
      <w:r/>
      <w:bookmarkStart w:id="505" w:name="_Toc305158817"/>
      <w:r/>
      <w:bookmarkStart w:id="506" w:name="_Toc264969239"/>
      <w:r/>
      <w:bookmarkStart w:id="507" w:name="_Toc150480787"/>
      <w:r/>
      <w:bookmarkStart w:id="508" w:name="_Toc226337245"/>
      <w:r/>
      <w:bookmarkStart w:id="509" w:name="_Toc195842914"/>
      <w:r/>
      <w:bookmarkStart w:id="510" w:name="_Toc151193719"/>
      <w:r/>
      <w:bookmarkStart w:id="511" w:name="_Toc164229244"/>
      <w:r/>
      <w:bookmarkStart w:id="512" w:name="_Toc226965739"/>
      <w:r/>
      <w:bookmarkStart w:id="513" w:name="_Toc226965822"/>
      <w:r/>
      <w:bookmarkStart w:id="514" w:name="_Toc150774649"/>
      <w:r/>
      <w:bookmarkStart w:id="515" w:name="_Toc151190176"/>
      <w:r/>
      <w:bookmarkStart w:id="516" w:name="_Toc151193937"/>
      <w:r/>
      <w:bookmarkStart w:id="517" w:name="_Toc127161463"/>
      <w:r/>
      <w:bookmarkStart w:id="518" w:name="_Toc150774754"/>
      <w:r/>
      <w:bookmarkStart w:id="519" w:name="_Toc127151750"/>
      <w:r/>
      <w:bookmarkStart w:id="520" w:name="_Toc127151549"/>
      <w:r/>
      <w:bookmarkStart w:id="521" w:name="_Toc142311051"/>
      <w:r/>
      <w:bookmarkStart w:id="522" w:name="_Toc164608818"/>
      <w:r/>
      <w:bookmarkStart w:id="523" w:name="_Toc265228387"/>
      <w:r/>
      <w:bookmarkStart w:id="524" w:name="_Toc150509300"/>
      <w:r/>
      <w:bookmarkStart w:id="525" w:name="_Toc226309793"/>
      <w:r/>
      <w:bookmarkStart w:id="526" w:name="_Toc164229390"/>
      <w:r/>
      <w:bookmarkStart w:id="527" w:name="_Toc151193791"/>
      <w:r/>
      <w:bookmarkStart w:id="528" w:name="_Toc151193863"/>
      <w:r/>
      <w:bookmarkStart w:id="529" w:name="_Toc149720842"/>
      <w:r/>
      <w:bookmarkStart w:id="530" w:name="_Toc151193647"/>
      <w:r/>
      <w:bookmarkStart w:id="531" w:name="_Toc164351643"/>
      <w:r/>
      <w:bookmarkStart w:id="532" w:name="_Toc164608663"/>
      <w:r/>
      <w:bookmarkStart w:id="533" w:name="_Ref467307090"/>
      <w:r/>
      <w:bookmarkStart w:id="534" w:name="_Ref467306425"/>
      <w:r/>
      <w:bookmarkStart w:id="535" w:name="_Toc520356176"/>
      <w:r>
        <w:rPr>
          <w:rFonts w:hint="eastAsia" w:ascii="宋体" w:hAnsi="宋体" w:cs="宋体"/>
          <w:b/>
          <w:bCs/>
          <w:color w:val="auto"/>
          <w:sz w:val="24"/>
          <w:highlight w:val="none"/>
        </w:rPr>
        <w:t xml:space="preserve">21成交公告与成交通知书</w:t>
      </w:r>
      <w:bookmarkEnd w:id="504"/>
      <w:r/>
      <w:bookmarkEnd w:id="505"/>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21.1采购人或采购代理机构将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22.1.2出现影响采购公正的违法、违规行为的；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22.1.3</w:t>
      </w: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22.1.4情况严重且影响采购活动公平、公正性的。</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firstLine="482"/>
        <w:spacing w:line="360" w:lineRule="auto"/>
        <w:tabs>
          <w:tab w:val="left" w:pos="360" w:leader="none"/>
        </w:tabs>
        <w:rPr>
          <w:rFonts w:ascii="宋体" w:hAnsi="宋体" w:cs="宋体"/>
          <w:b/>
          <w:bCs/>
          <w:color w:val="auto"/>
          <w:sz w:val="24"/>
          <w:highlight w:val="none"/>
        </w:rPr>
        <w:outlineLvl w:val="1"/>
      </w:pPr>
      <w:r/>
      <w:bookmarkStart w:id="536" w:name="_Ref467307204"/>
      <w:r/>
      <w:bookmarkStart w:id="537" w:name="_Toc151193864"/>
      <w:r/>
      <w:bookmarkStart w:id="538" w:name="_Toc164229245"/>
      <w:r/>
      <w:bookmarkStart w:id="539" w:name="_Toc150509301"/>
      <w:r/>
      <w:bookmarkStart w:id="540" w:name="_Toc127161464"/>
      <w:r/>
      <w:bookmarkStart w:id="541" w:name="_Toc151193648"/>
      <w:r/>
      <w:bookmarkStart w:id="542" w:name="_Toc520356175"/>
      <w:r/>
      <w:bookmarkStart w:id="543" w:name="_Toc151190177"/>
      <w:r/>
      <w:bookmarkStart w:id="544" w:name="_Ref467306377"/>
      <w:r/>
      <w:bookmarkStart w:id="545" w:name="_Ref467306978"/>
      <w:r/>
      <w:bookmarkStart w:id="546" w:name="_Toc226965823"/>
      <w:r/>
      <w:bookmarkStart w:id="547" w:name="_Toc164608819"/>
      <w:r/>
      <w:bookmarkStart w:id="548" w:name="_Toc305158892"/>
      <w:r/>
      <w:bookmarkStart w:id="549" w:name="_Toc151193938"/>
      <w:r/>
      <w:bookmarkStart w:id="550" w:name="_Toc226309794"/>
      <w:r/>
      <w:bookmarkStart w:id="551" w:name="_Toc226337246"/>
      <w:r/>
      <w:bookmarkStart w:id="552" w:name="_Toc127151751"/>
      <w:r/>
      <w:bookmarkStart w:id="553" w:name="_Toc164608664"/>
      <w:r/>
      <w:bookmarkStart w:id="554" w:name="_Toc164229391"/>
      <w:r/>
      <w:bookmarkStart w:id="555" w:name="_Ref467307062"/>
      <w:r/>
      <w:bookmarkStart w:id="556" w:name="_Toc127151550"/>
      <w:r/>
      <w:bookmarkStart w:id="557" w:name="_Toc150774650"/>
      <w:r/>
      <w:bookmarkStart w:id="558" w:name="_Toc142311052"/>
      <w:r/>
      <w:bookmarkStart w:id="559" w:name="_Toc150774755"/>
      <w:r/>
      <w:bookmarkStart w:id="560" w:name="_Toc149720843"/>
      <w:r/>
      <w:bookmarkStart w:id="561" w:name="_Toc164351644"/>
      <w:r/>
      <w:bookmarkStart w:id="562" w:name="_Toc151193720"/>
      <w:r/>
      <w:bookmarkStart w:id="563" w:name="_Toc151193792"/>
      <w:r/>
      <w:bookmarkStart w:id="564" w:name="_Toc265228388"/>
      <w:r/>
      <w:bookmarkStart w:id="565" w:name="_Toc226965740"/>
      <w:r/>
      <w:bookmarkStart w:id="566" w:name="_Toc150480788"/>
      <w:r/>
      <w:bookmarkStart w:id="567" w:name="_Toc195842915"/>
      <w:r/>
      <w:bookmarkStart w:id="568" w:name="_Toc264969240"/>
      <w:r/>
      <w:bookmarkStart w:id="569" w:name="_Toc305158818"/>
      <w:r>
        <w:rPr>
          <w:rFonts w:hint="eastAsia" w:ascii="宋体" w:hAnsi="宋体" w:cs="宋体"/>
          <w:b/>
          <w:bCs/>
          <w:color w:val="auto"/>
          <w:sz w:val="24"/>
          <w:highlight w:val="none"/>
        </w:rPr>
        <w:t xml:space="preserve">23签订合同</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33"/>
      <w:r/>
      <w:bookmarkEnd w:id="534"/>
      <w:r/>
      <w:bookmarkEnd w:id="535"/>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24.1询问</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24.2质疑</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24.2.3质疑函须使用财政部制定的范本文件。（下载网址：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80"/>
          <w:rFonts w:hint="eastAsia" w:ascii="宋体" w:hAnsi="宋体" w:cs="宋体"/>
          <w:color w:val="auto"/>
          <w:sz w:val="24"/>
          <w:highlight w:val="none"/>
        </w:rPr>
        <w:t xml:space="preserve">http://gk</w:t>
      </w:r>
      <w:bookmarkStart w:id="570" w:name="_Hlt100654014"/>
      <w:r>
        <w:rPr>
          <w:rStyle w:val="1080"/>
          <w:rFonts w:hint="eastAsia" w:ascii="宋体" w:hAnsi="宋体" w:cs="宋体"/>
          <w:color w:val="auto"/>
          <w:sz w:val="24"/>
          <w:highlight w:val="none"/>
        </w:rPr>
        <w:t xml:space="preserve">s</w:t>
      </w:r>
      <w:bookmarkEnd w:id="570"/>
      <w:r>
        <w:rPr>
          <w:rStyle w:val="1080"/>
          <w:rFonts w:hint="eastAsia" w:ascii="宋体" w:hAnsi="宋体" w:cs="宋体"/>
          <w:color w:val="auto"/>
          <w:sz w:val="24"/>
          <w:highlight w:val="none"/>
        </w:rPr>
        <w:t xml:space="preserve">.m</w:t>
      </w:r>
      <w:bookmarkStart w:id="571" w:name="_Hlt100653993"/>
      <w:r/>
      <w:bookmarkStart w:id="572" w:name="_Hlt100653994"/>
      <w:r>
        <w:rPr>
          <w:rStyle w:val="1080"/>
          <w:rFonts w:hint="eastAsia" w:ascii="宋体" w:hAnsi="宋体" w:cs="宋体"/>
          <w:color w:val="auto"/>
          <w:sz w:val="24"/>
          <w:highlight w:val="none"/>
        </w:rPr>
        <w:t xml:space="preserve">o</w:t>
      </w:r>
      <w:bookmarkEnd w:id="571"/>
      <w:r/>
      <w:bookmarkEnd w:id="572"/>
      <w:r/>
      <w:bookmarkStart w:id="573" w:name="_Hlt101169156"/>
      <w:r>
        <w:rPr>
          <w:rStyle w:val="1080"/>
          <w:rFonts w:hint="eastAsia" w:ascii="宋体" w:hAnsi="宋体" w:cs="宋体"/>
          <w:color w:val="auto"/>
          <w:sz w:val="24"/>
          <w:highlight w:val="none"/>
        </w:rPr>
        <w:t xml:space="preserve">f</w:t>
      </w:r>
      <w:bookmarkEnd w:id="573"/>
      <w:r>
        <w:rPr>
          <w:rStyle w:val="1080"/>
          <w:rFonts w:hint="eastAsia" w:ascii="宋体" w:hAnsi="宋体" w:cs="宋体"/>
          <w:color w:val="auto"/>
          <w:sz w:val="24"/>
          <w:highlight w:val="none"/>
        </w:rPr>
        <w:t xml:space="preserve">.gov.cn/ztztz/zhengfucaigouguanli/201802/t20180201_2804589.htm</w:t>
      </w:r>
      <w:r>
        <w:rPr>
          <w:rStyle w:val="1080"/>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8"/>
        </w:numPr>
        <w:ind w:left="0" w:firstLine="480"/>
        <w:spacing w:line="360" w:lineRule="auto"/>
        <w:tabs>
          <w:tab w:val="left" w:pos="1080" w:leader="none"/>
          <w:tab w:val="left" w:pos="2014" w:leader="none"/>
        </w:tabs>
        <w:rPr>
          <w:rFonts w:ascii="宋体" w:hAnsi="宋体" w:cs="宋体"/>
          <w:color w:val="auto"/>
          <w:sz w:val="24"/>
          <w:highlight w:val="none"/>
        </w:rPr>
        <w:sectPr>
          <w:footerReference w:type="even" r:id="rId21"/>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574" w:name="_Toc5297"/>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74"/>
      <w:r/>
      <w:bookmarkStart w:id="575" w:name="_Toc487900382"/>
      <w:r/>
      <w:r/>
    </w:p>
    <w:p>
      <w:pPr>
        <w:pStyle w:val="1233"/>
        <w:spacing w:before="0" w:line="360" w:lineRule="auto"/>
        <w:rPr>
          <w:b/>
          <w:color w:val="auto"/>
          <w:sz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575"/>
      <w:r/>
      <w:r/>
    </w:p>
    <w:p>
      <w:pPr>
        <w:ind w:firstLine="482"/>
        <w:spacing w:line="360" w:lineRule="auto"/>
        <w:tabs>
          <w:tab w:val="left" w:pos="360" w:leader="none"/>
        </w:tabs>
        <w:rPr>
          <w:rFonts w:ascii="宋体" w:hAnsi="宋体" w:cs="宋体"/>
          <w:b/>
          <w:bCs/>
          <w:color w:val="auto"/>
          <w:sz w:val="24"/>
          <w:highlight w:val="none"/>
        </w:rPr>
        <w:outlineLvl w:val="1"/>
      </w:pPr>
      <w:r/>
      <w:bookmarkStart w:id="576" w:name="_Toc127161455"/>
      <w:r/>
      <w:bookmarkStart w:id="577" w:name="_Toc151193639"/>
      <w:r/>
      <w:bookmarkStart w:id="578" w:name="_Toc151193929"/>
      <w:r/>
      <w:bookmarkStart w:id="579" w:name="_Toc226965731"/>
      <w:r/>
      <w:bookmarkStart w:id="580" w:name="_Toc151193783"/>
      <w:r/>
      <w:bookmarkStart w:id="581" w:name="_Toc151193711"/>
      <w:r/>
      <w:bookmarkStart w:id="582" w:name="_Toc264969231"/>
      <w:r/>
      <w:bookmarkStart w:id="583" w:name="_Toc127151541"/>
      <w:r/>
      <w:bookmarkStart w:id="584" w:name="_Toc142311043"/>
      <w:r/>
      <w:bookmarkStart w:id="585" w:name="_Toc164608810"/>
      <w:r/>
      <w:bookmarkStart w:id="586" w:name="_Toc226337237"/>
      <w:r/>
      <w:bookmarkStart w:id="587" w:name="_Toc150774746"/>
      <w:r/>
      <w:bookmarkStart w:id="588" w:name="_Toc151193855"/>
      <w:r/>
      <w:bookmarkStart w:id="589" w:name="_Toc164608655"/>
      <w:r/>
      <w:bookmarkStart w:id="590" w:name="_Toc164351635"/>
      <w:r/>
      <w:bookmarkStart w:id="591" w:name="_Toc149720834"/>
      <w:r/>
      <w:bookmarkStart w:id="592" w:name="_Toc265228379"/>
      <w:r/>
      <w:bookmarkStart w:id="593" w:name="_Toc195842906"/>
      <w:r/>
      <w:bookmarkStart w:id="594" w:name="_Toc150509292"/>
      <w:r/>
      <w:bookmarkStart w:id="595" w:name="_Toc226965814"/>
      <w:r/>
      <w:bookmarkStart w:id="596" w:name="_Toc127151742"/>
      <w:r/>
      <w:bookmarkStart w:id="597" w:name="_Toc150774641"/>
      <w:r/>
      <w:bookmarkStart w:id="598" w:name="_Toc151190168"/>
      <w:r/>
      <w:bookmarkStart w:id="599" w:name="_Toc305158883"/>
      <w:r/>
      <w:bookmarkStart w:id="600" w:name="_Toc226309785"/>
      <w:r/>
      <w:bookmarkStart w:id="601" w:name="_Toc164229382"/>
      <w:r/>
      <w:bookmarkStart w:id="602" w:name="_Toc164229236"/>
      <w:r/>
      <w:bookmarkStart w:id="603" w:name="_Toc150480779"/>
      <w:r/>
      <w:bookmarkStart w:id="604" w:name="_Toc305158809"/>
      <w:r/>
      <w:bookmarkStart w:id="605" w:name="_Toc353873941"/>
      <w:r/>
      <w:bookmarkStart w:id="606" w:name="_Toc353825551"/>
      <w:r/>
      <w:bookmarkStart w:id="607" w:name="_Toc353873935"/>
      <w:r/>
      <w:bookmarkStart w:id="608" w:name="_Toc195842920"/>
      <w:r/>
      <w:bookmarkStart w:id="609" w:name="_Toc150774760"/>
      <w:r/>
      <w:bookmarkStart w:id="610" w:name="_Toc264969245"/>
      <w:r/>
      <w:bookmarkStart w:id="611" w:name="_Toc353873665"/>
      <w:r/>
      <w:bookmarkStart w:id="612" w:name="_Toc150480793"/>
      <w:r/>
      <w:bookmarkStart w:id="613" w:name="_Toc226965828"/>
      <w:r/>
      <w:bookmarkStart w:id="614" w:name="_Toc305158897"/>
      <w:r/>
      <w:bookmarkStart w:id="615" w:name="_Toc353825545"/>
      <w:r/>
      <w:bookmarkStart w:id="616" w:name="_Toc142311057"/>
      <w:r/>
      <w:bookmarkStart w:id="617" w:name="_Toc226337251"/>
      <w:r/>
      <w:bookmarkStart w:id="618" w:name="_Toc265228393"/>
      <w:r/>
      <w:bookmarkStart w:id="619" w:name="_Toc305158823"/>
      <w:r/>
      <w:bookmarkStart w:id="620" w:name="_Toc127151555"/>
      <w:r>
        <w:rPr>
          <w:rFonts w:hint="eastAsia" w:ascii="宋体" w:hAnsi="宋体" w:cs="宋体"/>
          <w:b/>
          <w:bCs/>
          <w:color w:val="auto"/>
          <w:sz w:val="24"/>
          <w:highlight w:val="none"/>
        </w:rPr>
        <w:t xml:space="preserve">1响应文件的</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hint="eastAsia" w:ascii="宋体" w:hAnsi="宋体" w:cs="宋体"/>
          <w:b/>
          <w:bCs/>
          <w:color w:val="auto"/>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1.3《资格性检查要求》见下表：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50"/>
        <w:tblW w:w="96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59"/>
        <w:gridCol w:w="5460"/>
        <w:gridCol w:w="1665"/>
      </w:tblGrid>
      <w:tr>
        <w:trPr>
          <w:cantSplit/>
          <w:trHeight w:val="20"/>
          <w:tblHeader/>
        </w:trPr>
        <w:tc>
          <w:tcPr>
            <w:tcW w:w="704"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bookmarkStart w:id="621" w:name="_Hlt487972895"/>
            <w:r/>
            <w:bookmarkEnd w:id="621"/>
            <w:r>
              <w:rPr>
                <w:rFonts w:hint="eastAsia" w:ascii="宋体" w:hAnsi="宋体" w:eastAsia="宋体" w:cs="宋体"/>
                <w:b/>
                <w:color w:val="auto"/>
                <w:sz w:val="24"/>
                <w:szCs w:val="24"/>
                <w:highlight w:val="none"/>
              </w:rPr>
              <w:t xml:space="preserve">序号</w:t>
            </w:r>
            <w:r/>
          </w:p>
        </w:tc>
        <w:tc>
          <w:tcPr>
            <w:tcW w:w="1859"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5460"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665"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满足《中华人民共和国政府采购法》第二十二条规定及法律法规的其他规定</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具体规定见第一章《采购邀请》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68"/>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供应商资格声明函</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提供了符合采购文件要求的《供应商资格声明函》。</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供应商信用记录</w:t>
            </w:r>
            <w:r/>
          </w:p>
        </w:tc>
        <w:tc>
          <w:tcPr>
            <w:tcW w:w="5460" w:type="dxa"/>
            <w:vAlign w:val="center"/>
            <w:textDirection w:val="lrTb"/>
            <w:noWrap w:val="false"/>
          </w:tcPr>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查询渠道：信用中国网站和中国政府采购网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。联合体形式响应的，联合体成员存在不良信用记录，视同联合体存在不良信用记录。</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shd w:val="clear" w:color="auto" w:fill="auto"/>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2-1</w:t>
            </w:r>
            <w:r/>
          </w:p>
        </w:tc>
        <w:tc>
          <w:tcPr>
            <w:shd w:val="clear" w:color="auto" w:fill="auto"/>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中小企业声明函</w:t>
            </w:r>
            <w:r/>
          </w:p>
        </w:tc>
        <w:tc>
          <w:tcPr>
            <w:shd w:val="clear" w:color="auto" w:fill="auto"/>
            <w:tcW w:w="5460" w:type="dxa"/>
            <w:vAlign w:val="center"/>
            <w:textDirection w:val="lrTb"/>
            <w:noWrap w:val="false"/>
          </w:tcPr>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注2：残疾人福利性单位须按磋商文件要求提供《残疾人福利性单位声明函》。</w:t>
            </w:r>
            <w:r/>
          </w:p>
        </w:tc>
        <w:tc>
          <w:tcPr>
            <w:shd w:val="clear" w:color="auto" w:fill="auto"/>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其它落实政府采购政策的资格要求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如有，见第一章《采购邀请》</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是否接受联合体响应</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本项目不接受联合体响应，供应商不得为联合体。</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
        </w:trPr>
        <w:tc>
          <w:tcPr>
            <w:tcW w:w="704"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859"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其他特定资格要求</w:t>
            </w:r>
            <w:r/>
          </w:p>
        </w:tc>
        <w:tc>
          <w:tcPr>
            <w:tcW w:w="5460" w:type="dxa"/>
            <w:vAlign w:val="center"/>
            <w:textDirection w:val="lrTb"/>
            <w:noWrap w:val="false"/>
          </w:tcPr>
          <w:p>
            <w:pPr>
              <w:tabs>
                <w:tab w:val="left" w:pos="108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如有，见第一章《采购邀请》</w:t>
            </w:r>
            <w:r>
              <w:rPr>
                <w:rFonts w:hint="eastAsia" w:ascii="宋体" w:hAnsi="宋体" w:cs="宋体"/>
                <w:color w:val="auto"/>
                <w:sz w:val="24"/>
                <w:highlight w:val="none"/>
                <w:lang w:eastAsia="zh-CN"/>
              </w:rPr>
              <w:t xml:space="preserve">。</w:t>
            </w:r>
            <w:r/>
          </w:p>
        </w:tc>
        <w:tc>
          <w:tcPr>
            <w:tcW w:w="1665" w:type="dxa"/>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1.4《符合性审查要求》见下表：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50"/>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199"/>
        <w:gridCol w:w="6857"/>
      </w:tblGrid>
      <w:tr>
        <w:trPr>
          <w:jc w:val="center"/>
          <w:trHeight w:val="435"/>
        </w:trPr>
        <w:tc>
          <w:tcPr>
            <w:tcW w:w="37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12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50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p>
        </w:tc>
        <w:tc>
          <w:tcPr>
            <w:tcW w:w="3504" w:type="pct"/>
            <w:vAlign w:val="center"/>
            <w:textDirection w:val="lrTb"/>
            <w:noWrap w:val="false"/>
          </w:tcPr>
          <w:p>
            <w:pPr>
              <w:widowControl/>
              <w:rPr>
                <w:rFonts w:hint="eastAsia" w:ascii="宋体" w:hAnsi="宋体" w:cs="宋体"/>
                <w:color w:val="auto"/>
                <w:sz w:val="24"/>
                <w:highlight w:val="none"/>
              </w:rPr>
            </w:pPr>
            <w:r>
              <w:rPr>
                <w:color w:val="auto"/>
                <w:sz w:val="24"/>
                <w:highlight w:val="none"/>
              </w:rPr>
              <w:t xml:space="preserve">按</w:t>
            </w:r>
            <w:r>
              <w:rPr>
                <w:rFonts w:hint="eastAsia"/>
                <w:color w:val="auto"/>
                <w:sz w:val="24"/>
                <w:highlight w:val="none"/>
              </w:rPr>
              <w:t xml:space="preserve">采购</w:t>
            </w:r>
            <w:r>
              <w:rPr>
                <w:color w:val="auto"/>
                <w:sz w:val="24"/>
                <w:highlight w:val="none"/>
              </w:rPr>
              <w:t xml:space="preserve">文件要求提供</w:t>
            </w:r>
            <w:r>
              <w:rPr>
                <w:rFonts w:hint="eastAsia"/>
                <w:color w:val="auto"/>
                <w:sz w:val="24"/>
                <w:highlight w:val="none"/>
              </w:rPr>
              <w:t xml:space="preserve">响应函、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rPr>
                <w:color w:val="auto"/>
                <w:sz w:val="24"/>
                <w:highlight w:val="none"/>
              </w:rPr>
              <w:t xml:space="preserve">；</w:t>
            </w:r>
            <w:r>
              <w:rPr>
                <w:rFonts w:hint="eastAsia"/>
                <w:color w:val="auto"/>
                <w:sz w:val="24"/>
                <w:highlight w:val="none"/>
              </w:rPr>
              <w:t xml:space="preserve">（格式见《响应文件格式》）。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响应报价</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（由评委审查，无需供应商提供材料。）报价一览表</w:t>
            </w:r>
            <w:r>
              <w:rPr>
                <w:rFonts w:hint="eastAsia" w:ascii="宋体" w:hAnsi="宋体" w:cs="宋体"/>
                <w:color w:val="auto"/>
                <w:sz w:val="24"/>
                <w:highlight w:val="none"/>
              </w:rPr>
              <w:t xml:space="preserve">响应报价未</w:t>
            </w:r>
            <w:r>
              <w:rPr>
                <w:rFonts w:hint="eastAsia" w:ascii="宋体" w:hAnsi="宋体" w:cs="宋体"/>
                <w:color w:val="auto"/>
                <w:sz w:val="24"/>
                <w:highlight w:val="none"/>
              </w:rPr>
              <w:t xml:space="preserve">超过采购文件中规定的项目/采购包预算金额或者项目/采购包最高限价。</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响应文件未</w:t>
            </w:r>
            <w:r>
              <w:rPr>
                <w:rFonts w:hint="eastAsia" w:ascii="宋体" w:hAnsi="宋体" w:cs="宋体"/>
                <w:color w:val="auto"/>
                <w:sz w:val="24"/>
                <w:highlight w:val="none"/>
              </w:rPr>
              <w:t xml:space="preserve">出现可选择性或可调整的报价（采购文件另有规定的除外）</w:t>
            </w:r>
            <w:r>
              <w:rPr>
                <w:rFonts w:hint="eastAsia" w:ascii="宋体" w:hAnsi="宋体" w:cs="宋体"/>
                <w:color w:val="auto"/>
                <w:sz w:val="24"/>
                <w:highlight w:val="none"/>
              </w:rPr>
              <w:t xml:space="preserve">；（提供《报价一览表》，格式见《响应文件格式》）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504" w:type="pct"/>
            <w:vAlign w:val="center"/>
            <w:textDirection w:val="lrTb"/>
            <w:noWrap w:val="false"/>
          </w:tcPr>
          <w:p>
            <w:pPr>
              <w:jc w:val="left"/>
              <w:widowControl/>
              <w:rPr>
                <w:rFonts w:hint="eastAsia" w:ascii="宋体" w:hAnsi="宋体" w:cs="宋体"/>
                <w:b w:val="0"/>
                <w:bCs w:val="0"/>
                <w:color w:val="auto"/>
                <w:sz w:val="24"/>
                <w:highlight w:val="none"/>
                <w:lang w:eastAsia="zh-CN"/>
              </w:rPr>
            </w:pPr>
            <w:r>
              <w:rPr>
                <w:rFonts w:hint="eastAsia" w:ascii="宋体" w:hAnsi="宋体" w:cs="宋体"/>
                <w:color w:val="auto"/>
                <w:sz w:val="24"/>
                <w:highlight w:val="none"/>
              </w:rPr>
              <w:t xml:space="preserve">（由评委审查，报价合理的予以通过。）</w:t>
            </w:r>
            <w:r>
              <w:rPr>
                <w:rFonts w:hint="eastAsia" w:ascii="宋体" w:hAnsi="宋体" w:cs="宋体"/>
                <w:b w:val="0"/>
                <w:bCs w:val="0"/>
                <w:color w:val="auto"/>
                <w:sz w:val="24"/>
                <w:highlight w:val="none"/>
                <w:lang w:eastAsia="zh-CN"/>
              </w:rPr>
              <w:t xml:space="preserve">根据苏财购〔202</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36</w:t>
            </w:r>
            <w:r>
              <w:rPr>
                <w:rFonts w:hint="eastAsia" w:ascii="宋体" w:hAnsi="宋体" w:cs="宋体"/>
                <w:b w:val="0"/>
                <w:bCs w:val="0"/>
                <w:color w:val="auto"/>
                <w:sz w:val="24"/>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③ 投标(响应)报价低于采购项目最高限价45%的，即投标(响应)报价&lt;采购项目最高限价×45%；</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④ 评审委员会基于专业判断，认为供应商报价过低，有可能影响产品质量或者不能诚信履约的其他情形。</w:t>
            </w:r>
            <w:r/>
          </w:p>
          <w:p>
            <w:pPr>
              <w:jc w:val="left"/>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widowControl/>
              <w:rPr>
                <w:rFonts w:hint="eastAsia" w:ascii="宋体" w:hAnsi="宋体" w:cs="宋体"/>
                <w:color w:val="auto"/>
                <w:sz w:val="24"/>
                <w:highlight w:val="none"/>
              </w:rPr>
            </w:pPr>
            <w:r>
              <w:rPr>
                <w:rFonts w:hint="eastAsia" w:ascii="宋体" w:hAnsi="宋体" w:cs="宋体"/>
                <w:b w:val="0"/>
                <w:bCs w:val="0"/>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（由评委审查，无需供应商提供材料。）不涉及报价修正，或响应文件报价出现前后不一致时，供应商对修正后的报价予以确认。</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（由评委审查，无需供应商提供材料。）按照采购文件要求签署、加盖公章的。</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（由评委审查，无需供应商提供材料。）响应文件未将一个采购包中的内容拆开响应。</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响应文件中承诺的响应有效期满足采购文件中载明的响应有效期的；（详见附件响应函）</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标记为“实质性格式”的文件均按磋商文件要求提供；（详见附件《响应文件格式》）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响应文件满足磋商文件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color w:val="auto"/>
                <w:sz w:val="24"/>
                <w:highlight w:val="none"/>
              </w:rPr>
              <w:t xml:space="preserve">（如</w:t>
            </w:r>
            <w:r>
              <w:rPr>
                <w:rFonts w:ascii="宋体" w:hAnsi="宋体"/>
                <w:color w:val="auto"/>
                <w:sz w:val="24"/>
                <w:highlight w:val="none"/>
              </w:rPr>
              <w:t xml:space="preserve">第</w:t>
            </w:r>
            <w:r>
              <w:rPr>
                <w:rFonts w:hint="eastAsia" w:ascii="宋体" w:hAnsi="宋体"/>
                <w:color w:val="auto"/>
                <w:sz w:val="24"/>
                <w:highlight w:val="none"/>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的，按照序号逐项提供相关证明材料；如</w:t>
            </w:r>
            <w:r>
              <w:rPr>
                <w:rFonts w:ascii="宋体" w:hAnsi="宋体"/>
                <w:color w:val="auto"/>
                <w:sz w:val="24"/>
                <w:highlight w:val="none"/>
              </w:rPr>
              <w:t xml:space="preserve">第</w:t>
            </w:r>
            <w:r>
              <w:rPr>
                <w:rFonts w:hint="eastAsia" w:ascii="宋体" w:hAnsi="宋体"/>
                <w:color w:val="auto"/>
                <w:sz w:val="24"/>
                <w:highlight w:val="none"/>
                <w:lang w:eastAsia="zh-CN"/>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没有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的，则无需供应商提供材料。）</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分包承担主体具备《供应商须知资料表》载明的资质条件且提供了资质证书电子件（如有）；</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按磋商文件规定签订并提供分包意向协议原件的电子件的；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国家有关部门对供应商的响应产品有强制性规定或要求的（如相应技术、安全、节能和环保等），如有下列情形的，供应商的响应产品应符合相应规定或要求，并提供证明文件电子件：</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3252"/>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串通响应</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750"/>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11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50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供应商、响应文件不存在不符合法律、法规和磋商文件规定的其他无效情形。</w:t>
            </w:r>
            <w:bookmarkEnd w:id="605"/>
            <w:r/>
            <w:bookmarkEnd w:id="606"/>
            <w:r/>
            <w:r/>
          </w:p>
        </w:tc>
      </w:tr>
    </w:tbl>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2.3对磋商文件作出的实质性变动是磋商文件的有效组成部分，磋商小组应当及时</w:t>
      </w:r>
      <w:r>
        <w:rPr>
          <w:rFonts w:hint="eastAsia" w:ascii="宋体" w:hAnsi="宋体" w:cs="宋体"/>
          <w:color w:val="auto"/>
          <w:sz w:val="24"/>
          <w:highlight w:val="none"/>
        </w:rPr>
        <w:t xml:space="preserve">通过苏采云系统</w:t>
      </w:r>
      <w:r>
        <w:rPr>
          <w:rFonts w:hint="eastAsia" w:ascii="宋体" w:hAnsi="宋体" w:cs="宋体"/>
          <w:color w:val="auto"/>
          <w:sz w:val="24"/>
          <w:highlight w:val="none"/>
        </w:rPr>
        <w:t xml:space="preserve">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2.5响应文件的澄清、说明或者更正：</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以书面形式要求供应商对其响应文件中含义不明确、同类问题表述不一致或者有明显文字和计算错误的内容，作出必要的澄清、说明或者补正。供应商的澄清、说明或者补正应当采用书面形式，并加盖公章或授权代表</w:t>
      </w:r>
      <w:r>
        <w:rPr>
          <w:rFonts w:hint="eastAsia" w:ascii="宋体" w:hAnsi="宋体" w:cs="宋体"/>
          <w:color w:val="auto"/>
          <w:sz w:val="24"/>
          <w:highlight w:val="none"/>
        </w:rPr>
        <w:t xml:space="preserve">本人签字</w:t>
      </w:r>
      <w:r>
        <w:rPr>
          <w:rFonts w:hint="eastAsia" w:ascii="宋体" w:hAnsi="宋体" w:cs="宋体"/>
          <w:color w:val="auto"/>
          <w:sz w:val="24"/>
          <w:highlight w:val="none"/>
        </w:rPr>
        <w:t xml:space="preserve">。供应商的澄清、说明或者补正不得超出响应文件的范围或者改变响应文件的实质性内容。澄清文件将作为响应文件内容的一部分。</w:t>
      </w:r>
      <w:r/>
    </w:p>
    <w:p>
      <w:pPr>
        <w:numPr>
          <w:ilvl w:val="1"/>
          <w:numId w:val="0"/>
        </w:numPr>
        <w:ind w:firstLine="480"/>
        <w:spacing w:line="360" w:lineRule="auto"/>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2.6</w:t>
      </w:r>
      <w:r>
        <w:rPr>
          <w:rFonts w:hint="eastAsia" w:ascii="宋体" w:hAnsi="宋体" w:cs="宋体"/>
          <w:b/>
          <w:color w:val="auto"/>
          <w:sz w:val="24"/>
          <w:highlight w:val="none"/>
        </w:rPr>
        <w:t xml:space="preserve">磋商结束后，磋商小组将要求所有实质性响应的供应商在规定时间内通过苏采云平台系统提交最终报价。</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2.7磋商文件能够详细列明采购标的的技术、服务要求的，磋商结束后，磋商小组应当要求所有实质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0%的扣除，用扣除后的价格参加评审。</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30%以上的联合体或者大中型企业的报价给予6%的扣除，用扣除后的价格参加评审。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3.3.9其他为落实政府采购政策实施的优先采购：</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4磋商环节及提交最终报价后如出现以下情况的，供应商的响应文件无效：</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color w:val="auto"/>
          <w:sz w:val="24"/>
          <w:highlight w:val="none"/>
        </w:rPr>
        <w:t xml:space="preserve">4.7其他：</w:t>
      </w:r>
      <w:r>
        <w:rPr>
          <w:rFonts w:hint="eastAsia" w:ascii="宋体" w:hAnsi="宋体" w:cs="宋体"/>
          <w:b w:val="0"/>
          <w:bCs w:val="0"/>
          <w:color w:val="auto"/>
          <w:sz w:val="24"/>
          <w:highlight w:val="none"/>
        </w:rPr>
        <w:t xml:space="preserve">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② 投标(响应)报价低于通过符合性审查的次低报价供应商投标(响应)报价50%的，即投标(响应)报价&lt;通过符合性审查的次低报价供应商投标(响应)报价×50%；</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③ 投标(响应)报价低于采购项目最高限价45%的，即投标(响应)报价&lt;采购项目最高限价×45%；</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④ 评审委员会基于专业判断，认为供应商报价过低，有可能影响产品质量或者不能诚信履约的其他情形。</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5.4关于无线局域网认证产品政府采购清单中的产品，优先采购的具体规定（如涉及）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6确定</w:t>
      </w:r>
      <w:bookmarkStart w:id="622" w:name="_Toc150480784"/>
      <w:r/>
      <w:bookmarkStart w:id="623" w:name="_Toc305158814"/>
      <w:r/>
      <w:bookmarkStart w:id="624" w:name="_Toc226309790"/>
      <w:r/>
      <w:bookmarkStart w:id="625" w:name="_Toc127161460"/>
      <w:r/>
      <w:bookmarkStart w:id="626" w:name="_Toc264969236"/>
      <w:r/>
      <w:bookmarkStart w:id="627" w:name="_Toc151193644"/>
      <w:r/>
      <w:bookmarkStart w:id="628" w:name="_Toc150509297"/>
      <w:r/>
      <w:bookmarkStart w:id="629" w:name="_Toc127151546"/>
      <w:r/>
      <w:bookmarkStart w:id="630" w:name="_Toc151193934"/>
      <w:r/>
      <w:bookmarkStart w:id="631" w:name="_Toc151193788"/>
      <w:r/>
      <w:bookmarkStart w:id="632" w:name="_Toc151193716"/>
      <w:r/>
      <w:bookmarkStart w:id="633" w:name="_Toc151193860"/>
      <w:r/>
      <w:bookmarkStart w:id="634" w:name="_Toc164608660"/>
      <w:r/>
      <w:bookmarkStart w:id="635" w:name="_Toc226965736"/>
      <w:r/>
      <w:bookmarkStart w:id="636" w:name="_Toc305158888"/>
      <w:r/>
      <w:bookmarkStart w:id="637" w:name="_Toc195842911"/>
      <w:r/>
      <w:bookmarkStart w:id="638" w:name="_Toc149720839"/>
      <w:r/>
      <w:bookmarkStart w:id="639" w:name="_Toc151190173"/>
      <w:r/>
      <w:bookmarkStart w:id="640" w:name="_Toc142311048"/>
      <w:r/>
      <w:bookmarkStart w:id="641" w:name="_Toc164229241"/>
      <w:r/>
      <w:bookmarkStart w:id="642" w:name="_Toc127151747"/>
      <w:r/>
      <w:bookmarkStart w:id="643" w:name="_Toc150774751"/>
      <w:r/>
      <w:bookmarkStart w:id="644" w:name="_Ref467307010"/>
      <w:r/>
      <w:bookmarkStart w:id="645" w:name="_Toc164351640"/>
      <w:r/>
      <w:bookmarkStart w:id="646" w:name="_Toc164608815"/>
      <w:r/>
      <w:bookmarkStart w:id="647" w:name="_Toc520356170"/>
      <w:r/>
      <w:bookmarkStart w:id="648" w:name="_Toc226337242"/>
      <w:r/>
      <w:bookmarkStart w:id="649" w:name="_Toc150774646"/>
      <w:r/>
      <w:bookmarkStart w:id="650" w:name="_Toc164229387"/>
      <w:r/>
      <w:bookmarkStart w:id="651" w:name="_Toc265228384"/>
      <w:r/>
      <w:bookmarkStart w:id="652" w:name="_Toc226965819"/>
      <w:r>
        <w:rPr>
          <w:rFonts w:hint="eastAsia" w:ascii="宋体" w:hAnsi="宋体" w:cs="宋体"/>
          <w:b/>
          <w:bCs/>
          <w:color w:val="auto"/>
          <w:sz w:val="24"/>
          <w:highlight w:val="none"/>
        </w:rPr>
        <w:t xml:space="preserve">成交候选人名单</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7报告违法行为</w:t>
      </w:r>
      <w:r/>
    </w:p>
    <w:p>
      <w:pPr>
        <w:numPr>
          <w:ilvl w:val="1"/>
          <w:numId w:val="0"/>
        </w:numPr>
        <w:ind w:firstLine="480"/>
        <w:spacing w:line="360" w:lineRule="auto"/>
        <w:widowControl/>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7.1磋商小组在评审过程中发现供应商有行贿、提供虚假材料或者串通等违法行为时，有向采购人、采购代理机构或者有关部门报告的职责。</w:t>
      </w:r>
      <w:r/>
    </w:p>
    <w:p>
      <w:pPr>
        <w:numPr>
          <w:ilvl w:val="0"/>
          <w:numId w:val="0"/>
        </w:numPr>
        <w:ind w:left="357"/>
        <w:jc w:val="left"/>
        <w:spacing w:line="360" w:lineRule="auto"/>
        <w:widowControl/>
        <w:tabs>
          <w:tab w:val="left" w:pos="1080" w:leader="none"/>
          <w:tab w:val="left" w:pos="1872" w:leader="none"/>
        </w:tabs>
        <w:rPr>
          <w:b/>
          <w:color w:val="auto"/>
          <w:sz w:val="24"/>
          <w:highlight w:val="none"/>
        </w:rPr>
      </w:pPr>
      <w:r>
        <w:rPr>
          <w:b/>
          <w:color w:val="auto"/>
          <w:sz w:val="24"/>
          <w:highlight w:val="none"/>
        </w:rPr>
      </w:r>
      <w:r/>
    </w:p>
    <w:p>
      <w:pPr>
        <w:pStyle w:val="1233"/>
        <w:jc w:val="both"/>
        <w:spacing w:before="0" w:line="360" w:lineRule="auto"/>
        <w:rPr>
          <w:rFonts w:hint="default" w:ascii="Times New Roman" w:hAnsi="Times New Roman" w:eastAsia="宋体"/>
          <w:color w:val="auto"/>
          <w:sz w:val="24"/>
          <w:szCs w:val="24"/>
          <w:highlight w:val="none"/>
          <w:lang w:val="en-US" w:eastAsia="zh-CN"/>
        </w:rPr>
      </w:pPr>
      <w:r>
        <w:rPr>
          <w:rFonts w:ascii="Times New Roman" w:hAnsi="Times New Roman" w:eastAsia="宋体"/>
          <w:color w:val="auto"/>
          <w:sz w:val="24"/>
          <w:szCs w:val="24"/>
          <w:highlight w:val="none"/>
        </w:rPr>
        <w:br w:type="page" w:clear="all"/>
      </w: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50"/>
        <w:tblW w:w="962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c>
          <w:tcPr>
            <w:tcW w:w="835"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序号</w:t>
            </w:r>
            <w:r/>
          </w:p>
        </w:tc>
        <w:tc>
          <w:tcPr>
            <w:tcW w:w="1462"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评分因素</w:t>
            </w:r>
            <w:r/>
          </w:p>
        </w:tc>
        <w:tc>
          <w:tcPr>
            <w:tcW w:w="788"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分值</w:t>
            </w:r>
            <w:r/>
          </w:p>
        </w:tc>
        <w:tc>
          <w:tcPr>
            <w:tcW w:w="4103"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评分标准</w:t>
            </w:r>
            <w:r/>
          </w:p>
        </w:tc>
        <w:tc>
          <w:tcPr>
            <w:tcW w:w="2440" w:type="dxa"/>
            <w:vAlign w:val="center"/>
            <w:textDirection w:val="lrTb"/>
            <w:noWrap w:val="false"/>
          </w:tcPr>
          <w:p>
            <w:pPr>
              <w:jc w:val="cente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价格分</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w:t>
            </w:r>
            <w:r/>
          </w:p>
        </w:tc>
        <w:tc>
          <w:tcPr>
            <w:tcW w:w="410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ascii="Calibri" w:hAnsi="Calibri" w:eastAsia="宋体" w:cs="Times New Roman"/>
                <w:color w:val="auto"/>
                <w:sz w:val="24"/>
                <w:szCs w:val="24"/>
                <w:highlight w:val="none"/>
              </w:rPr>
              <w:t xml:space="preserve">满足磋商文件要求且</w:t>
            </w:r>
            <w:r>
              <w:rPr>
                <w:rFonts w:hint="eastAsia" w:ascii="Calibri" w:hAnsi="Calibri" w:eastAsia="宋体" w:cs="Times New Roman"/>
                <w:color w:val="auto"/>
                <w:sz w:val="24"/>
                <w:szCs w:val="24"/>
                <w:highlight w:val="none"/>
              </w:rPr>
              <w:t xml:space="preserve">最终报价</w:t>
            </w:r>
            <w:r>
              <w:rPr>
                <w:rFonts w:ascii="Calibri" w:hAnsi="Calibri" w:eastAsia="宋体" w:cs="Times New Roman"/>
                <w:color w:val="auto"/>
                <w:sz w:val="24"/>
                <w:szCs w:val="24"/>
                <w:highlight w:val="none"/>
              </w:rPr>
              <w:t xml:space="preserve">最低的报价为</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基准价，其价格分为满分。其他供应商的价格分统一按照下列公式计算：</w:t>
            </w:r>
            <w:r>
              <w:rPr>
                <w:rFonts w:hint="eastAsia" w:ascii="Calibri" w:hAnsi="Calibri" w:eastAsia="宋体" w:cs="Times New Roman"/>
                <w:color w:val="auto"/>
                <w:sz w:val="24"/>
                <w:szCs w:val="24"/>
                <w:highlight w:val="none"/>
                <w:lang w:eastAsia="zh-CN"/>
              </w:rPr>
              <w:t xml:space="preserve">（计算结果四舍五入保留两位小数）</w:t>
            </w:r>
            <w:r/>
          </w:p>
          <w:p>
            <w:pPr>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价格分</w:t>
            </w:r>
            <w:r>
              <w:rPr>
                <w:rFonts w:ascii="Calibri" w:hAnsi="Calibri" w:eastAsia="宋体" w:cs="Times New Roman"/>
                <w:color w:val="auto"/>
                <w:sz w:val="24"/>
                <w:szCs w:val="24"/>
                <w:highlight w:val="none"/>
              </w:rPr>
              <w:t xml:space="preserve">得分＝（</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基准价/</w:t>
            </w:r>
            <w:r>
              <w:rPr>
                <w:rFonts w:hint="eastAsia" w:ascii="Calibri" w:hAnsi="Calibri" w:eastAsia="宋体" w:cs="Times New Roman"/>
                <w:color w:val="auto"/>
                <w:sz w:val="24"/>
                <w:szCs w:val="24"/>
                <w:highlight w:val="none"/>
              </w:rPr>
              <w:t xml:space="preserve">最终报价</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1</w:t>
            </w:r>
            <w:r>
              <w:rPr>
                <w:rFonts w:hint="eastAsia" w:ascii="Calibri" w:hAnsi="Calibri" w:cs="Times New Roman"/>
                <w:color w:val="auto"/>
                <w:sz w:val="24"/>
                <w:szCs w:val="24"/>
                <w:highlight w:val="none"/>
                <w:lang w:val="en-US" w:eastAsia="zh-CN"/>
              </w:rPr>
              <w:t xml:space="preserve">5</w:t>
            </w:r>
            <w:r>
              <w:rPr>
                <w:rFonts w:hint="eastAsia" w:ascii="Calibri" w:hAnsi="Calibri" w:eastAsia="宋体" w:cs="Times New Roman"/>
                <w:color w:val="auto"/>
                <w:sz w:val="24"/>
                <w:szCs w:val="24"/>
                <w:highlight w:val="none"/>
                <w:lang w:val="en-US" w:eastAsia="zh-CN"/>
              </w:rPr>
              <w:t xml:space="preserve">%</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100</w:t>
            </w:r>
            <w:r>
              <w:rPr>
                <w:rFonts w:ascii="Calibri" w:hAnsi="Calibri" w:eastAsia="宋体" w:cs="Times New Roman"/>
                <w:color w:val="auto"/>
                <w:sz w:val="24"/>
                <w:szCs w:val="24"/>
                <w:highlight w:val="none"/>
              </w:rPr>
              <w:t xml:space="preserve">。</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90"/>
        </w:trPr>
        <w:tc>
          <w:tcPr>
            <w:tcW w:w="835"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2</w:t>
            </w:r>
            <w:r/>
          </w:p>
        </w:tc>
        <w:tc>
          <w:tcPr>
            <w:tcW w:w="1462"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主观分</w:t>
            </w:r>
            <w:r/>
          </w:p>
        </w:tc>
        <w:tc>
          <w:tcPr>
            <w:tcW w:w="788" w:type="dxa"/>
            <w:vAlign w:val="center"/>
            <w:textDirection w:val="lrTb"/>
            <w:noWrap w:val="false"/>
          </w:tcPr>
          <w:p>
            <w:pPr>
              <w:ind w:firstLine="28"/>
              <w:jc w:val="center"/>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40</w:t>
            </w:r>
            <w:r/>
          </w:p>
        </w:tc>
        <w:tc>
          <w:tcPr>
            <w:tcW w:w="4103" w:type="dxa"/>
            <w:vAlign w:val="center"/>
            <w:textDirection w:val="lrTb"/>
            <w:noWrap w:val="false"/>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p>
        </w:tc>
        <w:tc>
          <w:tcPr>
            <w:tcW w:w="1462"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服务方案总体设计</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供应商提供服务方案总体设计（含对任务的理解、技术路线、工作计划等）</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评委进行综合评分：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对项目需求理解深刻，服务架构完整、逻辑清晰，技术路线先进，工作计划周密，完全响应并明显优于采购要求，得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对项目需求理解较好，服务方案完整，技术路线合理，工作计划可行，能够较好响应采</w:t>
            </w:r>
            <w:r>
              <w:rPr>
                <w:rFonts w:hint="eastAsia" w:ascii="宋体" w:hAnsi="宋体" w:cs="宋体"/>
                <w:color w:val="auto"/>
                <w:sz w:val="24"/>
                <w:szCs w:val="24"/>
                <w:highlight w:val="none"/>
                <w:lang w:val="en-US" w:eastAsia="zh-CN"/>
              </w:rPr>
              <w:t xml:space="preserve">购要求</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对项目需求基本理解，服务方案基本完整但有少量不足，技术路线一般，工作计划存在部分瑕疵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对项目需求理解较浅，服务方案存在明显缺陷或遗漏，但仍有部分内容可用，得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2.2</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现场勘查与设备应用方案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8</w:t>
            </w:r>
            <w:r/>
          </w:p>
        </w:tc>
        <w:tc>
          <w:tcPr>
            <w:tcW w:w="4103" w:type="dxa"/>
            <w:vAlign w:val="center"/>
            <w:textDirection w:val="lrTb"/>
            <w:noWrap w:val="false"/>
          </w:tcPr>
          <w:p>
            <w:pPr>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评委根据</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eastAsia="zh-CN"/>
              </w:rPr>
              <w:t xml:space="preserve">针对本项目需求制定的现</w:t>
            </w:r>
            <w:r>
              <w:rPr>
                <w:rFonts w:hint="eastAsia" w:ascii="宋体" w:hAnsi="宋体" w:eastAsia="宋体" w:cs="宋体"/>
                <w:b/>
                <w:bCs/>
                <w:color w:val="auto"/>
                <w:sz w:val="24"/>
                <w:szCs w:val="24"/>
                <w:highlight w:val="none"/>
                <w:lang w:eastAsia="zh-CN"/>
              </w:rPr>
              <w:t xml:space="preserve">场</w:t>
            </w:r>
            <w:r>
              <w:rPr>
                <w:rFonts w:hint="eastAsia" w:ascii="宋体" w:hAnsi="宋体" w:cs="宋体"/>
                <w:b/>
                <w:bCs/>
                <w:color w:val="auto"/>
                <w:sz w:val="24"/>
                <w:szCs w:val="24"/>
                <w:highlight w:val="none"/>
                <w:lang w:val="en-US" w:eastAsia="zh-CN"/>
              </w:rPr>
              <w:t xml:space="preserve">配合</w:t>
            </w:r>
            <w:r>
              <w:rPr>
                <w:rFonts w:hint="eastAsia" w:ascii="宋体" w:hAnsi="宋体" w:eastAsia="宋体" w:cs="宋体"/>
                <w:b/>
                <w:bCs/>
                <w:color w:val="auto"/>
                <w:sz w:val="24"/>
                <w:szCs w:val="24"/>
                <w:highlight w:val="none"/>
                <w:lang w:eastAsia="zh-CN"/>
              </w:rPr>
              <w:t xml:space="preserve">勘</w:t>
            </w:r>
            <w:r>
              <w:rPr>
                <w:rFonts w:hint="eastAsia" w:ascii="宋体" w:hAnsi="宋体" w:eastAsia="宋体" w:cs="宋体"/>
                <w:b/>
                <w:bCs/>
                <w:color w:val="auto"/>
                <w:sz w:val="24"/>
                <w:szCs w:val="24"/>
                <w:highlight w:val="none"/>
                <w:lang w:eastAsia="zh-CN"/>
              </w:rPr>
              <w:t xml:space="preserve">查与设备应用方案（覆盖800个点位，使用走航车、无人船、无人机）</w:t>
            </w:r>
            <w:r>
              <w:rPr>
                <w:rFonts w:hint="eastAsia" w:ascii="宋体" w:hAnsi="宋体" w:eastAsia="宋体" w:cs="宋体"/>
                <w:b/>
                <w:bCs/>
                <w:color w:val="auto"/>
                <w:sz w:val="24"/>
                <w:szCs w:val="24"/>
                <w:highlight w:val="none"/>
              </w:rPr>
              <w:t xml:space="preserve">等</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进行综合评</w:t>
            </w:r>
            <w:r>
              <w:rPr>
                <w:rFonts w:hint="eastAsia" w:ascii="宋体" w:hAnsi="宋体" w:eastAsia="宋体" w:cs="宋体"/>
                <w:b/>
                <w:bCs/>
                <w:color w:val="auto"/>
                <w:sz w:val="24"/>
                <w:szCs w:val="24"/>
                <w:highlight w:val="none"/>
                <w:lang w:eastAsia="zh-CN"/>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勘查计划详尽，800个点位覆盖合理、进度科学；走航车、无人船、无人机设备配置充足（数量和性能明显超出基础要求），能应对复杂陆域、水域、空中场景；数据采集与处理流程规范，质量保障措施有力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勘查计划较完整，点位安排合理；设备配置满足采购要求；数据采集处理流程基本规范，有质量保障措施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rPr>
              <w:t xml:space="preserve">勘查计划基本可行但细节不足；设备配置符合最低要求但无冗余；数据质量保障措施一般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配合</w:t>
            </w:r>
            <w:bookmarkStart w:id="733" w:name="_GoBack"/>
            <w:r/>
            <w:bookmarkEnd w:id="733"/>
            <w:r>
              <w:rPr>
                <w:rFonts w:hint="eastAsia" w:ascii="宋体" w:hAnsi="宋体" w:eastAsia="宋体" w:cs="宋体"/>
                <w:color w:val="auto"/>
                <w:sz w:val="24"/>
                <w:szCs w:val="24"/>
                <w:highlight w:val="none"/>
              </w:rPr>
              <w:t xml:space="preserve">勘查计划粗略或效率较低；设备配置存在少量短板（如某类设备仅一台且无备用）；数据质量保障措施薄弱，但仍有基本框架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.3</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媒体正面典型与反面曝光方案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w:t>
            </w:r>
            <w:r>
              <w:rPr>
                <w:rFonts w:hint="eastAsia" w:ascii="宋体" w:hAnsi="宋体" w:eastAsia="宋体" w:cs="Times New Roman"/>
                <w:b/>
                <w:bCs/>
                <w:color w:val="auto"/>
                <w:sz w:val="24"/>
                <w:szCs w:val="24"/>
                <w:highlight w:val="none"/>
                <w:lang w:eastAsia="zh-CN"/>
              </w:rPr>
              <w:t xml:space="preserve">针对本项目需求</w:t>
            </w:r>
            <w:r>
              <w:rPr>
                <w:rFonts w:hint="eastAsia" w:ascii="宋体" w:hAnsi="宋体" w:eastAsia="宋体" w:cs="Times New Roman"/>
                <w:b/>
                <w:bCs/>
                <w:color w:val="auto"/>
                <w:sz w:val="24"/>
                <w:szCs w:val="24"/>
                <w:highlight w:val="none"/>
              </w:rPr>
              <w:t xml:space="preserve">拟制的</w:t>
            </w:r>
            <w:r>
              <w:rPr>
                <w:rFonts w:hint="eastAsia" w:ascii="宋体" w:hAnsi="宋体" w:cs="宋体"/>
                <w:b/>
                <w:bCs/>
                <w:color w:val="auto"/>
                <w:sz w:val="24"/>
                <w:szCs w:val="24"/>
                <w:highlight w:val="none"/>
                <w:lang w:val="en-US" w:eastAsia="zh-CN"/>
              </w:rPr>
              <w:t xml:space="preserve">配合主流</w:t>
            </w:r>
            <w:r>
              <w:rPr>
                <w:rFonts w:hint="eastAsia" w:ascii="宋体" w:hAnsi="宋体" w:eastAsia="宋体" w:cs="Times New Roman"/>
                <w:b/>
                <w:bCs/>
                <w:color w:val="auto"/>
                <w:sz w:val="24"/>
                <w:szCs w:val="24"/>
                <w:highlight w:val="none"/>
              </w:rPr>
              <w:t xml:space="preserve">媒体正面典型与反面曝光方案</w:t>
            </w:r>
            <w:r>
              <w:rPr>
                <w:rFonts w:hint="eastAsia" w:ascii="宋体" w:hAnsi="宋体" w:cs="Times New Roman"/>
                <w:b/>
                <w:bCs/>
                <w:color w:val="auto"/>
                <w:sz w:val="24"/>
                <w:szCs w:val="24"/>
                <w:highlight w:val="none"/>
                <w:lang w:eastAsia="zh-CN"/>
              </w:rPr>
              <w:t xml:space="preserve">内容</w:t>
            </w:r>
            <w:r>
              <w:rPr>
                <w:rFonts w:hint="eastAsia" w:ascii="宋体" w:hAnsi="宋体" w:eastAsia="宋体" w:cs="Times New Roman"/>
                <w:b/>
                <w:bCs/>
                <w:color w:val="auto"/>
                <w:sz w:val="24"/>
                <w:szCs w:val="24"/>
                <w:highlight w:val="none"/>
                <w:lang w:eastAsia="zh-CN"/>
              </w:rPr>
              <w:t xml:space="preserve">进行综合评分：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正面典型选取精准、传播切入点明确，</w:t>
            </w:r>
            <w:r>
              <w:rPr>
                <w:rFonts w:hint="eastAsia" w:ascii="宋体" w:hAnsi="宋体" w:cs="Times New Roman"/>
                <w:color w:val="auto"/>
                <w:sz w:val="24"/>
                <w:szCs w:val="24"/>
                <w:highlight w:val="none"/>
                <w:lang w:val="en-US" w:eastAsia="zh-CN"/>
              </w:rPr>
              <w:t xml:space="preserve">技术指导简明准确，</w:t>
            </w:r>
            <w:r>
              <w:rPr>
                <w:rFonts w:hint="eastAsia" w:ascii="宋体" w:hAnsi="宋体" w:eastAsia="宋体" w:cs="Times New Roman"/>
                <w:color w:val="auto"/>
                <w:sz w:val="24"/>
                <w:szCs w:val="24"/>
                <w:highlight w:val="none"/>
              </w:rPr>
              <w:t xml:space="preserve">能充分体现重点任务及工程的成效；反面曝光有严谨的核实程序、风险控制措施及整改</w:t>
            </w:r>
            <w:r>
              <w:rPr>
                <w:rFonts w:hint="eastAsia" w:ascii="宋体" w:hAnsi="宋体" w:cs="Times New Roman"/>
                <w:color w:val="auto"/>
                <w:sz w:val="24"/>
                <w:szCs w:val="24"/>
                <w:highlight w:val="none"/>
                <w:lang w:val="en-US" w:eastAsia="zh-CN"/>
              </w:rPr>
              <w:t xml:space="preserve">技术指导</w:t>
            </w:r>
            <w:r>
              <w:rPr>
                <w:rFonts w:hint="eastAsia" w:ascii="宋体" w:hAnsi="宋体" w:eastAsia="宋体" w:cs="Times New Roman"/>
                <w:color w:val="auto"/>
                <w:sz w:val="24"/>
                <w:szCs w:val="24"/>
                <w:highlight w:val="none"/>
              </w:rPr>
              <w:t xml:space="preserve">；与本地主流媒体合作明确，发布渠道和节奏可行，舆情应对预案完整有力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正面典型选取较合理，传播思路清晰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技术指导较简明</w:t>
            </w:r>
            <w:r>
              <w:rPr>
                <w:rFonts w:hint="eastAsia" w:ascii="宋体" w:hAnsi="宋体" w:eastAsia="宋体" w:cs="Times New Roman"/>
                <w:color w:val="auto"/>
                <w:sz w:val="24"/>
                <w:szCs w:val="24"/>
                <w:highlight w:val="none"/>
              </w:rPr>
              <w:t xml:space="preserve">；反面曝光具备基本的核实流程</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风险防范措施</w:t>
            </w:r>
            <w:r>
              <w:rPr>
                <w:rFonts w:hint="eastAsia" w:ascii="宋体" w:hAnsi="宋体" w:cs="Times New Roman"/>
                <w:color w:val="auto"/>
                <w:sz w:val="24"/>
                <w:szCs w:val="24"/>
                <w:highlight w:val="none"/>
                <w:lang w:val="en-US" w:eastAsia="zh-CN"/>
              </w:rPr>
              <w:t xml:space="preserve">和基本技术服务</w:t>
            </w:r>
            <w:r>
              <w:rPr>
                <w:rFonts w:hint="eastAsia" w:ascii="宋体" w:hAnsi="宋体" w:eastAsia="宋体" w:cs="Times New Roman"/>
                <w:color w:val="auto"/>
                <w:sz w:val="24"/>
                <w:szCs w:val="24"/>
                <w:highlight w:val="none"/>
              </w:rPr>
              <w:t xml:space="preserve">；有媒体合作渠道或自有发布平台，舆情应对方案基本可行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正面典型和反面曝光均有涉及，但细节不足或操作性一般</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技术指导一般</w:t>
            </w:r>
            <w:r>
              <w:rPr>
                <w:rFonts w:hint="eastAsia" w:ascii="宋体" w:hAnsi="宋体" w:eastAsia="宋体" w:cs="Times New Roman"/>
                <w:color w:val="auto"/>
                <w:sz w:val="24"/>
                <w:szCs w:val="24"/>
                <w:highlight w:val="none"/>
              </w:rPr>
              <w:t xml:space="preserve">；媒体资源不明确，舆情应对措施简单</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整改技术一般</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仅提及正面典型或反面曝光中的单一方面，缺乏具体操作路径，舆情风险意识较弱</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.4</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技术服务报告编制方案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根据供应商针对本项目</w:t>
            </w:r>
            <w:r>
              <w:rPr>
                <w:rFonts w:hint="eastAsia" w:ascii="宋体" w:hAnsi="宋体" w:eastAsia="宋体" w:cs="Times New Roman"/>
                <w:b/>
                <w:bCs/>
                <w:color w:val="auto"/>
                <w:sz w:val="24"/>
                <w:szCs w:val="24"/>
                <w:highlight w:val="none"/>
                <w:lang w:eastAsia="zh-CN"/>
              </w:rPr>
              <w:t xml:space="preserve">需求</w:t>
            </w:r>
            <w:r>
              <w:rPr>
                <w:rFonts w:hint="eastAsia" w:ascii="宋体" w:hAnsi="宋体" w:eastAsia="宋体" w:cs="Times New Roman"/>
                <w:b/>
                <w:bCs/>
                <w:color w:val="auto"/>
                <w:sz w:val="24"/>
                <w:szCs w:val="24"/>
                <w:highlight w:val="none"/>
              </w:rPr>
              <w:t xml:space="preserve">制定的</w:t>
            </w:r>
            <w:r>
              <w:rPr>
                <w:rFonts w:hint="eastAsia" w:ascii="宋体" w:hAnsi="宋体" w:cs="Times New Roman"/>
                <w:b/>
                <w:bCs/>
                <w:color w:val="auto"/>
                <w:sz w:val="24"/>
                <w:szCs w:val="24"/>
                <w:highlight w:val="none"/>
                <w:lang w:val="en-US" w:eastAsia="zh-CN"/>
              </w:rPr>
              <w:t xml:space="preserve">技术服务报告编制方案（需提供全市+7个辖市区共计8份报告）</w:t>
            </w:r>
            <w:r>
              <w:rPr>
                <w:rFonts w:hint="eastAsia" w:ascii="宋体" w:hAnsi="宋体" w:eastAsia="宋体" w:cs="Times New Roman"/>
                <w:b/>
                <w:bCs/>
                <w:color w:val="auto"/>
                <w:sz w:val="24"/>
                <w:szCs w:val="24"/>
                <w:highlight w:val="none"/>
              </w:rPr>
              <w:t xml:space="preserve">进行</w:t>
            </w:r>
            <w:r>
              <w:rPr>
                <w:rFonts w:hint="eastAsia" w:ascii="宋体" w:hAnsi="宋体" w:eastAsia="宋体" w:cs="Times New Roman"/>
                <w:b/>
                <w:bCs/>
                <w:color w:val="auto"/>
                <w:sz w:val="24"/>
                <w:szCs w:val="24"/>
                <w:highlight w:val="none"/>
                <w:lang w:eastAsia="zh-CN"/>
              </w:rPr>
              <w:t xml:space="preserve">综合</w:t>
            </w:r>
            <w:r>
              <w:rPr>
                <w:rFonts w:hint="eastAsia" w:ascii="宋体" w:hAnsi="宋体" w:eastAsia="宋体" w:cs="Times New Roman"/>
                <w:b/>
                <w:bCs/>
                <w:color w:val="auto"/>
                <w:sz w:val="24"/>
                <w:szCs w:val="24"/>
                <w:highlight w:val="none"/>
              </w:rPr>
              <w:t xml:space="preserve">评</w:t>
            </w:r>
            <w:r>
              <w:rPr>
                <w:rFonts w:hint="eastAsia" w:ascii="宋体" w:hAnsi="宋体" w:eastAsia="宋体" w:cs="Times New Roman"/>
                <w:b/>
                <w:bCs/>
                <w:color w:val="auto"/>
                <w:sz w:val="24"/>
                <w:szCs w:val="24"/>
                <w:highlight w:val="none"/>
                <w:lang w:eastAsia="zh-CN"/>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报告框架完整、逻辑清晰，能分区域对比分析，数据来源明确；有严格的三级审核流程，交付时间承诺优于采购</w:t>
            </w:r>
            <w:r>
              <w:rPr>
                <w:rFonts w:hint="eastAsia" w:ascii="宋体" w:hAnsi="宋体" w:cs="Times New Roman"/>
                <w:color w:val="auto"/>
                <w:sz w:val="24"/>
                <w:szCs w:val="24"/>
                <w:highlight w:val="none"/>
                <w:lang w:val="en-US" w:eastAsia="zh-CN"/>
              </w:rPr>
              <w:t xml:space="preserve">时间</w:t>
            </w:r>
            <w:r>
              <w:rPr>
                <w:rFonts w:hint="eastAsia" w:ascii="宋体" w:hAnsi="宋体" w:eastAsia="宋体" w:cs="Times New Roman"/>
                <w:color w:val="auto"/>
                <w:sz w:val="24"/>
                <w:szCs w:val="24"/>
                <w:highlight w:val="none"/>
              </w:rPr>
              <w:t xml:space="preserve">要求</w:t>
            </w:r>
            <w:r>
              <w:rPr>
                <w:rFonts w:hint="eastAsia" w:ascii="宋体" w:hAnsi="宋体" w:cs="Times New Roman"/>
                <w:color w:val="auto"/>
                <w:sz w:val="24"/>
                <w:szCs w:val="24"/>
                <w:highlight w:val="none"/>
                <w:lang w:val="en-US" w:eastAsia="zh-CN"/>
              </w:rPr>
              <w:t xml:space="preserve">的</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报告框架较完整，能满足8份报告的编制要求，有基本的审核机制，交付时间符合采购要求</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报告框架基本完整但部分内容缺失（如缺少对比分析或可视化图表），审核流程不清晰，交付时间承诺模糊</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报告框架简单或混乱，关键内容缺失较多，无明确审核流程</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.5</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美丽</w:t>
            </w:r>
            <w:r>
              <w:rPr>
                <w:rFonts w:hint="eastAsia" w:ascii="宋体" w:hAnsi="宋体" w:cs="Times New Roman"/>
                <w:color w:val="auto"/>
                <w:sz w:val="24"/>
                <w:szCs w:val="24"/>
                <w:highlight w:val="none"/>
                <w:lang w:val="en-US" w:eastAsia="zh-CN"/>
              </w:rPr>
              <w:t xml:space="preserve">常州</w:t>
            </w:r>
            <w:r>
              <w:rPr>
                <w:rFonts w:hint="eastAsia" w:ascii="宋体" w:hAnsi="宋体" w:eastAsia="宋体" w:cs="Times New Roman"/>
                <w:color w:val="auto"/>
                <w:sz w:val="24"/>
                <w:szCs w:val="24"/>
                <w:highlight w:val="none"/>
              </w:rPr>
              <w:t xml:space="preserve">建设路径分析方案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6</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根据供应商针对本项目</w:t>
            </w:r>
            <w:r>
              <w:rPr>
                <w:rFonts w:hint="eastAsia" w:ascii="宋体" w:hAnsi="宋体" w:cs="Times New Roman"/>
                <w:b/>
                <w:bCs/>
                <w:color w:val="auto"/>
                <w:sz w:val="24"/>
                <w:szCs w:val="24"/>
                <w:highlight w:val="none"/>
                <w:lang w:val="en-US" w:eastAsia="zh-CN"/>
              </w:rPr>
              <w:t xml:space="preserve">制定美丽常州建设路径分析方案</w:t>
            </w:r>
            <w:r>
              <w:rPr>
                <w:rFonts w:hint="eastAsia" w:ascii="宋体" w:hAnsi="宋体" w:eastAsia="宋体" w:cs="Times New Roman"/>
                <w:b/>
                <w:bCs/>
                <w:color w:val="auto"/>
                <w:sz w:val="24"/>
                <w:szCs w:val="24"/>
                <w:highlight w:val="none"/>
              </w:rPr>
              <w:t xml:space="preserve">进行</w:t>
            </w:r>
            <w:r>
              <w:rPr>
                <w:rFonts w:hint="eastAsia" w:ascii="宋体" w:hAnsi="宋体" w:eastAsia="宋体" w:cs="Times New Roman"/>
                <w:b/>
                <w:bCs/>
                <w:color w:val="auto"/>
                <w:sz w:val="24"/>
                <w:szCs w:val="24"/>
                <w:highlight w:val="none"/>
                <w:lang w:eastAsia="zh-CN"/>
              </w:rPr>
              <w:t xml:space="preserve">综合评分：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分析维度全面（至少涵盖生态、低碳、宜居、智慧、人文等），结合本地实际和勘查数据提出多条差异化、可操作的建设路径，有前瞻性和创新性</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分析维度较合理，能提出一般性建设路径，但深度或针对性不足，缺乏与本项目的紧密结合</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分析维度单一，建设路径空泛或重复常见内容，缺乏实际指导意义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方案简单堆砌，未体现对美丽城市建设的系统理解，路径缺乏可行性</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.6</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项目管理与质量控制方案</w:t>
            </w:r>
            <w:r/>
          </w:p>
        </w:tc>
        <w:tc>
          <w:tcPr>
            <w:tcW w:w="788" w:type="dxa"/>
            <w:vAlign w:val="center"/>
            <w:textDirection w:val="lrTb"/>
            <w:noWrap w:val="false"/>
          </w:tcPr>
          <w:p>
            <w:pPr>
              <w:ind w:firstLine="28"/>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w:t>
            </w:r>
            <w:r/>
          </w:p>
        </w:tc>
        <w:tc>
          <w:tcPr>
            <w:tcW w:w="4103" w:type="dxa"/>
            <w:vAlign w:val="center"/>
            <w:textDirection w:val="lrTb"/>
            <w:noWrap w:val="false"/>
          </w:tcPr>
          <w:p>
            <w:pP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评委</w:t>
            </w:r>
            <w:r>
              <w:rPr>
                <w:rFonts w:hint="eastAsia" w:ascii="宋体" w:hAnsi="宋体" w:eastAsia="宋体" w:cs="Times New Roman"/>
                <w:b/>
                <w:bCs/>
                <w:color w:val="auto"/>
                <w:sz w:val="24"/>
                <w:szCs w:val="24"/>
                <w:highlight w:val="none"/>
              </w:rPr>
              <w:t xml:space="preserve">根据供应商</w:t>
            </w:r>
            <w:r>
              <w:rPr>
                <w:rFonts w:hint="eastAsia" w:ascii="宋体" w:hAnsi="宋体" w:eastAsia="宋体" w:cs="Times New Roman"/>
                <w:b/>
                <w:bCs/>
                <w:color w:val="auto"/>
                <w:sz w:val="24"/>
                <w:szCs w:val="24"/>
                <w:highlight w:val="none"/>
                <w:lang w:eastAsia="zh-CN"/>
              </w:rPr>
              <w:t xml:space="preserve">针对本项目需求</w:t>
            </w:r>
            <w:r>
              <w:rPr>
                <w:rFonts w:hint="eastAsia" w:ascii="宋体" w:hAnsi="宋体" w:eastAsia="宋体" w:cs="Times New Roman"/>
                <w:b/>
                <w:bCs/>
                <w:color w:val="auto"/>
                <w:sz w:val="24"/>
                <w:szCs w:val="24"/>
                <w:highlight w:val="none"/>
              </w:rPr>
              <w:t xml:space="preserve">拟制的项目管理与质量控制方案进行</w:t>
            </w:r>
            <w:r>
              <w:rPr>
                <w:rFonts w:hint="eastAsia" w:ascii="宋体" w:hAnsi="宋体" w:eastAsia="宋体" w:cs="Times New Roman"/>
                <w:b/>
                <w:bCs/>
                <w:color w:val="auto"/>
                <w:sz w:val="24"/>
                <w:szCs w:val="24"/>
                <w:highlight w:val="none"/>
                <w:lang w:eastAsia="zh-CN"/>
              </w:rPr>
              <w:t xml:space="preserve">综合</w:t>
            </w:r>
            <w:r>
              <w:rPr>
                <w:rFonts w:hint="eastAsia" w:ascii="宋体" w:hAnsi="宋体" w:eastAsia="宋体" w:cs="Times New Roman"/>
                <w:b/>
                <w:bCs/>
                <w:color w:val="auto"/>
                <w:sz w:val="24"/>
                <w:szCs w:val="24"/>
                <w:highlight w:val="none"/>
              </w:rPr>
              <w:t xml:space="preserve">评</w:t>
            </w:r>
            <w:r>
              <w:rPr>
                <w:rFonts w:hint="eastAsia" w:ascii="宋体" w:hAnsi="宋体" w:eastAsia="宋体" w:cs="Times New Roman"/>
                <w:b/>
                <w:bCs/>
                <w:color w:val="auto"/>
                <w:sz w:val="24"/>
                <w:szCs w:val="24"/>
                <w:highlight w:val="none"/>
                <w:lang w:eastAsia="zh-CN"/>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项目管理方案系统严密，包含进度、人员调度、数据安全、风险预案等，措施具体、责任明确、可追溯性强，得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项目管理方案较完整，能满足项目基本管理要求，但细节或风险管理不够深入，得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项目管理方案存在明显不足（如缺少数据安全或风险预案），但主体框架存在，得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项目管理方案粗略，缺失较多关键要素，管理措施难以落地，得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未提供不得分。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2.7</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后续服务与应急保障</w:t>
            </w:r>
            <w:r/>
          </w:p>
        </w:tc>
        <w:tc>
          <w:tcPr>
            <w:tcW w:w="788"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w:t>
            </w:r>
            <w:r/>
          </w:p>
        </w:tc>
        <w:tc>
          <w:tcPr>
            <w:tcW w:w="4103" w:type="dxa"/>
            <w:vAlign w:val="center"/>
            <w:textDirection w:val="lrTb"/>
            <w:noWrap w:val="false"/>
          </w:tcPr>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评委根据供应商针对本项目需求拟制的后续服务与应急保障方案进行综合评分：</w:t>
            </w:r>
            <w:r/>
          </w:p>
          <w:p>
            <w:pPr>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承诺服务期内提供7×8小时以上技术支持，响应时间≤2小时，解决方案≤24小时；针对走航车、无人船、无人机分别有明确的备用设备或替代方案，应急保障完善</w:t>
            </w:r>
            <w:r>
              <w:rPr>
                <w:rFonts w:hint="eastAsia" w:ascii="宋体" w:hAnsi="宋体" w:cs="Times New Roman"/>
                <w:color w:val="auto"/>
                <w:sz w:val="24"/>
                <w:szCs w:val="24"/>
                <w:highlight w:val="none"/>
                <w:lang w:val="en-US" w:eastAsia="zh-CN"/>
              </w:rPr>
              <w:t xml:space="preserve">,得4分；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承诺提供基本后续服务，响应时间≤4小时，解决方案≤48小时；有备用设备或替代方案但不够具体</w:t>
            </w:r>
            <w:r>
              <w:rPr>
                <w:rFonts w:hint="eastAsia" w:ascii="宋体" w:hAnsi="宋体" w:cs="Times New Roman"/>
                <w:color w:val="auto"/>
                <w:sz w:val="24"/>
                <w:szCs w:val="24"/>
                <w:highlight w:val="none"/>
                <w:lang w:val="en-US" w:eastAsia="zh-CN"/>
              </w:rPr>
              <w:t xml:space="preserve">，得3分；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后续服务承诺一般，响应时间≤8小时，无明确备用设备，应急措施简单</w:t>
            </w:r>
            <w:r>
              <w:rPr>
                <w:rFonts w:hint="eastAsia" w:ascii="宋体" w:hAnsi="宋体" w:cs="Times New Roman"/>
                <w:color w:val="auto"/>
                <w:sz w:val="24"/>
                <w:szCs w:val="24"/>
                <w:highlight w:val="none"/>
                <w:lang w:val="en-US" w:eastAsia="zh-CN"/>
              </w:rPr>
              <w:t xml:space="preserve">，得2分；</w:t>
            </w:r>
            <w:r/>
          </w:p>
          <w:p>
            <w:pPr>
              <w:rPr>
                <w:rFonts w:hint="eastAsia" w:ascii="宋体" w:hAnsi="宋体" w:cs="Times New Roman"/>
                <w:color w:val="auto"/>
                <w:sz w:val="24"/>
                <w:szCs w:val="24"/>
                <w:highlight w:val="none"/>
                <w:lang w:val="en-US" w:eastAsia="zh-CN"/>
              </w:rPr>
            </w:pPr>
            <w:r>
              <w:rPr>
                <w:rFonts w:hint="default" w:ascii="宋体" w:hAnsi="宋体" w:cs="Times New Roman"/>
                <w:color w:val="auto"/>
                <w:sz w:val="24"/>
                <w:szCs w:val="24"/>
                <w:highlight w:val="none"/>
                <w:lang w:val="en-US" w:eastAsia="zh-CN"/>
              </w:rPr>
              <w:t xml:space="preserve">后续服务承诺模糊，响应时间不明确，缺乏应急保障能力的说明</w:t>
            </w:r>
            <w:r>
              <w:rPr>
                <w:rFonts w:hint="eastAsia" w:ascii="宋体" w:hAnsi="宋体" w:cs="Times New Roman"/>
                <w:color w:val="auto"/>
                <w:sz w:val="24"/>
                <w:szCs w:val="24"/>
                <w:highlight w:val="none"/>
                <w:lang w:val="en-US" w:eastAsia="zh-CN"/>
              </w:rPr>
              <w:t xml:space="preserve">，得1分；</w:t>
            </w:r>
            <w:r/>
          </w:p>
          <w:p>
            <w:pP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未提供不得分。</w:t>
            </w:r>
            <w:r/>
          </w:p>
        </w:tc>
        <w:tc>
          <w:tcPr>
            <w:tcW w:w="2440" w:type="dxa"/>
            <w:vAlign w:val="center"/>
            <w:textDirection w:val="lrTb"/>
            <w:noWrap w:val="false"/>
          </w:tcPr>
          <w:p>
            <w:pPr>
              <w:ind w:left="-38"/>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根据响应文件进行评审</w:t>
            </w:r>
            <w:r/>
          </w:p>
        </w:tc>
      </w:tr>
      <w:tr>
        <w:trPr/>
        <w:tc>
          <w:tcPr>
            <w:tcW w:w="835"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p>
        </w:tc>
        <w:tc>
          <w:tcPr>
            <w:tcW w:w="1462"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客观分</w:t>
            </w:r>
            <w:r/>
          </w:p>
        </w:tc>
        <w:tc>
          <w:tcPr>
            <w:tcW w:w="788" w:type="dxa"/>
            <w:vAlign w:val="center"/>
            <w:textDirection w:val="lrTb"/>
            <w:noWrap w:val="false"/>
          </w:tcPr>
          <w:p>
            <w:pPr>
              <w:ind w:firstLine="28"/>
              <w:jc w:val="center"/>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45</w:t>
            </w:r>
            <w:r/>
          </w:p>
        </w:tc>
        <w:tc>
          <w:tcPr>
            <w:tcW w:w="4103" w:type="dxa"/>
            <w:vAlign w:val="center"/>
            <w:textDirection w:val="lrTb"/>
            <w:noWrap w:val="false"/>
          </w:tcPr>
          <w:p>
            <w:pPr>
              <w:rPr>
                <w:rFonts w:hint="default" w:ascii="宋体" w:hAnsi="宋体" w:eastAsia="宋体" w:cs="Times New Roman"/>
                <w:color w:val="auto"/>
                <w:sz w:val="24"/>
                <w:szCs w:val="24"/>
                <w:highlight w:val="none"/>
                <w:lang w:val="en-US"/>
              </w:rPr>
            </w:pPr>
            <w:r>
              <w:rPr>
                <w:rFonts w:hint="default" w:ascii="宋体" w:hAnsi="宋体" w:eastAsia="宋体" w:cs="Times New Roman"/>
                <w:color w:val="auto"/>
                <w:sz w:val="24"/>
                <w:szCs w:val="24"/>
                <w:highlight w:val="none"/>
                <w:lang w:val="en-US"/>
              </w:rPr>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.1</w:t>
            </w:r>
            <w:r/>
          </w:p>
        </w:tc>
        <w:tc>
          <w:tcPr>
            <w:tcW w:w="1462" w:type="dxa"/>
            <w:vAlign w:val="center"/>
            <w:textDirection w:val="lrTb"/>
            <w:noWrap w:val="false"/>
          </w:tcPr>
          <w:p>
            <w:pPr>
              <w:ind w:firstLine="28"/>
              <w:jc w:val="center"/>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企业</w:t>
            </w:r>
            <w:r>
              <w:rPr>
                <w:rFonts w:hint="eastAsia" w:ascii="宋体" w:hAnsi="宋体" w:eastAsia="宋体" w:cs="Times New Roman"/>
                <w:color w:val="auto"/>
                <w:sz w:val="24"/>
                <w:szCs w:val="24"/>
                <w:highlight w:val="none"/>
              </w:rPr>
              <w:t xml:space="preserve">业绩</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w:t>
            </w:r>
            <w:r/>
          </w:p>
        </w:tc>
        <w:tc>
          <w:tcPr>
            <w:tcW w:w="4103" w:type="dxa"/>
            <w:vAlign w:val="center"/>
            <w:textDirection w:val="lrTb"/>
            <w:noWrap w:val="false"/>
          </w:tcPr>
          <w:p>
            <w:pPr>
              <w:jc w:val="left"/>
              <w:spacing w:line="360" w:lineRule="exact"/>
              <w:widowControl/>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勘查评估类业绩</w:t>
            </w:r>
            <w:r>
              <w:rPr>
                <w:rFonts w:hint="eastAsia" w:ascii="宋体" w:hAnsi="宋体" w:eastAsia="宋体" w:cs="Times New Roman"/>
                <w:b/>
                <w:bCs/>
                <w:color w:val="auto"/>
                <w:sz w:val="24"/>
                <w:szCs w:val="24"/>
                <w:highlight w:val="none"/>
                <w:lang w:eastAsia="zh-CN"/>
              </w:rPr>
              <w:t xml:space="preserve">：</w:t>
            </w:r>
            <w:r/>
          </w:p>
          <w:p>
            <w:pPr>
              <w:jc w:val="left"/>
              <w:spacing w:line="3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供应商提供</w:t>
            </w:r>
            <w:r>
              <w:rPr>
                <w:rFonts w:hint="eastAsia" w:ascii="宋体" w:hAnsi="宋体" w:eastAsia="宋体" w:cs="Times New Roman"/>
                <w:color w:val="auto"/>
                <w:sz w:val="24"/>
                <w:szCs w:val="24"/>
                <w:highlight w:val="none"/>
                <w:lang w:eastAsia="zh-CN"/>
              </w:rPr>
              <w:t xml:space="preserve">自</w:t>
            </w:r>
            <w:r>
              <w:rPr>
                <w:rFonts w:hint="eastAsia" w:ascii="宋体" w:hAnsi="宋体" w:eastAsia="宋体" w:cs="Times New Roman"/>
                <w:color w:val="auto"/>
                <w:sz w:val="24"/>
                <w:szCs w:val="24"/>
                <w:highlight w:val="none"/>
              </w:rPr>
              <w:t xml:space="preserve">202</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年1月1日</w:t>
            </w:r>
            <w:r>
              <w:rPr>
                <w:rFonts w:hint="eastAsia" w:ascii="宋体" w:hAnsi="宋体" w:eastAsia="宋体" w:cs="Times New Roman"/>
                <w:color w:val="auto"/>
                <w:sz w:val="24"/>
                <w:szCs w:val="24"/>
                <w:highlight w:val="none"/>
                <w:lang w:eastAsia="zh-CN"/>
              </w:rPr>
              <w:t xml:space="preserve">至本项目磋商公告发布之日止</w:t>
            </w:r>
            <w:r>
              <w:rPr>
                <w:rFonts w:hint="eastAsia" w:ascii="宋体" w:hAnsi="宋体" w:eastAsia="宋体" w:cs="Times New Roman"/>
                <w:b/>
                <w:bCs/>
                <w:color w:val="auto"/>
                <w:sz w:val="24"/>
                <w:szCs w:val="24"/>
                <w:highlight w:val="none"/>
              </w:rPr>
              <w:t xml:space="preserve">（以合同签订时间为准）</w:t>
            </w:r>
            <w:r>
              <w:rPr>
                <w:rFonts w:hint="eastAsia" w:ascii="宋体" w:hAnsi="宋体" w:cs="Times New Roman"/>
                <w:color w:val="auto"/>
                <w:sz w:val="24"/>
                <w:szCs w:val="24"/>
                <w:highlight w:val="none"/>
                <w:lang w:val="en-US" w:eastAsia="zh-CN"/>
              </w:rPr>
              <w:t xml:space="preserve">承接</w:t>
            </w:r>
            <w:r>
              <w:rPr>
                <w:rFonts w:hint="eastAsia" w:ascii="宋体" w:hAnsi="宋体" w:eastAsia="宋体" w:cs="Times New Roman"/>
                <w:color w:val="auto"/>
                <w:sz w:val="24"/>
                <w:szCs w:val="24"/>
                <w:highlight w:val="none"/>
              </w:rPr>
              <w:t xml:space="preserve">的</w:t>
            </w:r>
            <w:r>
              <w:rPr>
                <w:rFonts w:hint="eastAsia" w:ascii="宋体" w:hAnsi="宋体" w:cs="Times New Roman"/>
                <w:color w:val="auto"/>
                <w:sz w:val="24"/>
                <w:szCs w:val="24"/>
                <w:highlight w:val="none"/>
                <w:lang w:val="en-US" w:eastAsia="zh-CN"/>
              </w:rPr>
              <w:t xml:space="preserve">配合</w:t>
            </w:r>
            <w:r>
              <w:rPr>
                <w:rFonts w:hint="eastAsia" w:ascii="宋体" w:hAnsi="宋体" w:eastAsia="宋体" w:cs="Times New Roman"/>
                <w:color w:val="auto"/>
                <w:sz w:val="24"/>
                <w:szCs w:val="24"/>
                <w:highlight w:val="none"/>
              </w:rPr>
              <w:t xml:space="preserve">政府或企事业单位委托的现场勘查、无人机/无人船/走航车巡查监测、任务跟踪评估或技术服务报告编制类项目</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w:t>
            </w:r>
            <w:r>
              <w:rPr>
                <w:rFonts w:hint="eastAsia" w:ascii="宋体" w:hAnsi="宋体" w:cs="Times New Roman"/>
                <w:color w:val="auto"/>
                <w:sz w:val="24"/>
                <w:szCs w:val="24"/>
                <w:highlight w:val="none"/>
                <w:lang w:eastAsia="zh-CN"/>
              </w:rPr>
              <w:t xml:space="preserve">提供</w:t>
            </w:r>
            <w:r>
              <w:rPr>
                <w:rFonts w:hint="eastAsia" w:ascii="宋体" w:hAnsi="宋体" w:eastAsia="宋体" w:cs="Times New Roman"/>
                <w:color w:val="auto"/>
                <w:sz w:val="24"/>
                <w:szCs w:val="24"/>
                <w:highlight w:val="none"/>
              </w:rPr>
              <w:t xml:space="preserve">一个得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分，最高得</w:t>
            </w: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p>
          <w:p>
            <w:pPr>
              <w:jc w:val="left"/>
              <w:spacing w:line="360" w:lineRule="exact"/>
              <w:widowControl/>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2、路径分析或规划类业绩：</w:t>
            </w:r>
            <w:r/>
          </w:p>
          <w:p>
            <w:pPr>
              <w:jc w:val="left"/>
              <w:spacing w:line="360" w:lineRule="exact"/>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供应商提供自2023年1月1日至本项目磋商公告发布之日止</w:t>
            </w:r>
            <w:r>
              <w:rPr>
                <w:rFonts w:hint="eastAsia" w:ascii="宋体" w:hAnsi="宋体" w:cs="Times New Roman"/>
                <w:b/>
                <w:bCs/>
                <w:color w:val="auto"/>
                <w:sz w:val="24"/>
                <w:szCs w:val="24"/>
                <w:highlight w:val="none"/>
                <w:lang w:val="en-US" w:eastAsia="zh-CN"/>
              </w:rPr>
              <w:t xml:space="preserve">（以合同签订时间为准）</w:t>
            </w:r>
            <w:r>
              <w:rPr>
                <w:rFonts w:hint="eastAsia" w:ascii="宋体" w:hAnsi="宋体" w:cs="Times New Roman"/>
                <w:color w:val="auto"/>
                <w:sz w:val="24"/>
                <w:szCs w:val="24"/>
                <w:highlight w:val="none"/>
                <w:lang w:val="en-US" w:eastAsia="zh-CN"/>
              </w:rPr>
              <w:t xml:space="preserve">承接的市级及以上环境规划、美丽城市建设路径分析或类似综合性城市发展技术咨询服务项目，每提供一个得3分，最高得6分。</w:t>
            </w:r>
            <w:r/>
          </w:p>
          <w:p>
            <w:pPr>
              <w:jc w:val="left"/>
              <w:spacing w:line="360" w:lineRule="exact"/>
              <w:widowControl/>
              <w:rPr>
                <w:rFonts w:hint="default" w:ascii="宋体" w:hAnsi="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本项最高得15分。</w:t>
            </w:r>
            <w:r/>
          </w:p>
        </w:tc>
        <w:tc>
          <w:tcPr>
            <w:tcW w:w="2440" w:type="dxa"/>
            <w:vAlign w:val="center"/>
            <w:textDirection w:val="lrTb"/>
            <w:noWrap w:val="false"/>
          </w:tcPr>
          <w:p>
            <w:pPr>
              <w:ind w:left="-38"/>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响应文件中提供</w:t>
            </w:r>
            <w:r>
              <w:rPr>
                <w:rFonts w:hint="eastAsia" w:ascii="宋体" w:hAnsi="宋体" w:eastAsia="宋体" w:cs="Times New Roman"/>
                <w:color w:val="auto"/>
                <w:sz w:val="24"/>
                <w:szCs w:val="24"/>
                <w:highlight w:val="none"/>
                <w:lang w:eastAsia="zh-CN"/>
              </w:rPr>
              <w:t xml:space="preserve">完整有效业绩</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eastAsia="宋体" w:cs="Times New Roman"/>
                <w:color w:val="auto"/>
                <w:sz w:val="24"/>
                <w:szCs w:val="24"/>
                <w:highlight w:val="none"/>
                <w:lang w:eastAsia="zh-CN"/>
              </w:rPr>
              <w:t xml:space="preserve">或复印件</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包含合同首页、关键内容页、签字盖章页）</w:t>
            </w:r>
            <w:r>
              <w:rPr>
                <w:rFonts w:hint="eastAsia" w:ascii="宋体" w:hAnsi="宋体" w:eastAsia="宋体" w:cs="Times New Roman"/>
                <w:color w:val="auto"/>
                <w:sz w:val="24"/>
                <w:szCs w:val="24"/>
                <w:highlight w:val="none"/>
              </w:rPr>
              <w:t xml:space="preserve">并加盖供应商公章，否则不得分。</w:t>
            </w:r>
            <w:r/>
          </w:p>
        </w:tc>
      </w:tr>
      <w:tr>
        <w:trPr>
          <w:trHeight w:val="771"/>
        </w:trPr>
        <w:tc>
          <w:tcPr>
            <w:shd w:val="clear" w:color="auto" w:fill="auto"/>
            <w:tcW w:w="835" w:type="dxa"/>
            <w:vAlign w:val="center"/>
            <w:textDirection w:val="lrTb"/>
            <w:noWrap w:val="false"/>
          </w:tcPr>
          <w:p>
            <w:pPr>
              <w:ind w:firstLine="28"/>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w:t>
            </w:r>
            <w:r/>
          </w:p>
        </w:tc>
        <w:tc>
          <w:tcPr>
            <w:shd w:val="clear" w:color="auto" w:fill="auto"/>
            <w:tcW w:w="1462" w:type="dxa"/>
            <w:vAlign w:val="center"/>
            <w:textDirection w:val="lrTb"/>
            <w:noWrap w:val="false"/>
          </w:tcPr>
          <w:p>
            <w:pPr>
              <w:ind w:firstLine="28"/>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项目团队</w:t>
            </w:r>
            <w:r/>
          </w:p>
          <w:p>
            <w:pPr>
              <w:ind w:firstLine="28"/>
              <w:jc w:val="center"/>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rPr>
              <w:t xml:space="preserve">配置</w:t>
            </w:r>
            <w:r/>
          </w:p>
        </w:tc>
        <w:tc>
          <w:tcPr>
            <w:shd w:val="clear" w:color="auto" w:fill="auto"/>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rPr>
              <w:t xml:space="preserve">12</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cs="Times New Roman"/>
                <w:b/>
                <w:bCs/>
                <w:color w:val="auto"/>
                <w:sz w:val="24"/>
                <w:szCs w:val="24"/>
                <w:highlight w:val="none"/>
                <w:lang w:val="en-US" w:eastAsia="zh-CN" w:bidi="ar-SA"/>
              </w:rPr>
              <w:t xml:space="preserve">项目负责人：</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供应商拟投入</w:t>
            </w:r>
            <w:r>
              <w:rPr>
                <w:rFonts w:hint="default" w:ascii="宋体" w:hAnsi="宋体" w:cs="Times New Roman"/>
                <w:color w:val="auto"/>
                <w:sz w:val="24"/>
                <w:szCs w:val="24"/>
                <w:highlight w:val="none"/>
                <w:lang w:val="en-US" w:eastAsia="zh-CN" w:bidi="ar-SA"/>
              </w:rPr>
              <w:t xml:space="preserve">项目负责人具备环保类高级职称的得3分</w:t>
            </w:r>
            <w:r>
              <w:rPr>
                <w:rFonts w:hint="eastAsia" w:ascii="宋体" w:hAnsi="宋体" w:cs="Times New Roman"/>
                <w:color w:val="auto"/>
                <w:sz w:val="24"/>
                <w:szCs w:val="24"/>
                <w:highlight w:val="none"/>
                <w:lang w:val="en-US" w:eastAsia="zh-CN" w:bidi="ar-SA"/>
              </w:rPr>
              <w:t xml:space="preserve">，中级职称的得2分；同时具有注册环评工程师或注册环保工程师的加1分，最高得4分。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2、项目组成员（项目负责人除外）：</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w:t>
            </w:r>
            <w:r>
              <w:rPr>
                <w:rFonts w:hint="default" w:ascii="宋体" w:hAnsi="宋体" w:cs="Times New Roman"/>
                <w:color w:val="auto"/>
                <w:sz w:val="24"/>
                <w:szCs w:val="24"/>
                <w:highlight w:val="none"/>
                <w:lang w:val="en-US" w:eastAsia="zh-CN" w:bidi="ar-SA"/>
              </w:rPr>
              <w:t xml:space="preserve">具有环保类高级职称的</w:t>
            </w:r>
            <w:r>
              <w:rPr>
                <w:rFonts w:hint="eastAsia" w:ascii="宋体" w:hAnsi="宋体" w:cs="Times New Roman"/>
                <w:color w:val="auto"/>
                <w:sz w:val="24"/>
                <w:szCs w:val="24"/>
                <w:highlight w:val="none"/>
                <w:lang w:val="en-US" w:eastAsia="zh-CN" w:bidi="ar-SA"/>
              </w:rPr>
              <w:t xml:space="preserve">，每有1人得2分，中级职称的，每有1人得1分，最高得3分；</w:t>
            </w:r>
            <w:r/>
          </w:p>
          <w:p>
            <w:pPr>
              <w:numPr>
                <w:ilvl w:val="0"/>
                <w:numId w:val="0"/>
              </w:numPr>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（3）具有注册测绘师或注册环评工程师等国家注册类证书（与环境、测绘相关）每有1人得1分，最高得2分。同一人持有多个证书不重复计分。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3、项目团队规模：</w:t>
            </w:r>
            <w:r/>
          </w:p>
          <w:p>
            <w:pPr>
              <w:numPr>
                <w:ilvl w:val="0"/>
                <w:numId w:val="0"/>
              </w:numPr>
              <w:rPr>
                <w:rFonts w:hint="default" w:ascii="宋体" w:hAnsi="宋体" w:cs="Times New Roman"/>
                <w:b w:val="0"/>
                <w:bCs w:val="0"/>
                <w:color w:val="auto"/>
                <w:sz w:val="24"/>
                <w:szCs w:val="24"/>
                <w:highlight w:val="none"/>
                <w:lang w:val="en-US" w:eastAsia="zh-CN" w:bidi="ar-SA"/>
              </w:rPr>
            </w:pPr>
            <w:r>
              <w:rPr>
                <w:rFonts w:hint="default" w:ascii="宋体" w:hAnsi="宋体" w:cs="Times New Roman"/>
                <w:b w:val="0"/>
                <w:bCs w:val="0"/>
                <w:color w:val="auto"/>
                <w:sz w:val="24"/>
                <w:szCs w:val="24"/>
                <w:highlight w:val="none"/>
                <w:lang w:val="en-US" w:eastAsia="zh-CN" w:bidi="ar-SA"/>
              </w:rPr>
              <w:t xml:space="preserve">供应商拟投入本项目的专职技术人员（含项目负责人及项目组成员）总数</w:t>
            </w:r>
            <w:r>
              <w:rPr>
                <w:rFonts w:hint="eastAsia" w:ascii="宋体" w:hAnsi="宋体" w:cs="Times New Roman"/>
                <w:b w:val="0"/>
                <w:bCs w:val="0"/>
                <w:color w:val="auto"/>
                <w:sz w:val="24"/>
                <w:szCs w:val="24"/>
                <w:highlight w:val="none"/>
                <w:lang w:val="en-US" w:eastAsia="zh-CN" w:bidi="ar-SA"/>
              </w:rPr>
              <w:t xml:space="preserve">在</w:t>
            </w:r>
            <w:r>
              <w:rPr>
                <w:rFonts w:hint="default" w:ascii="宋体" w:hAnsi="宋体" w:cs="Times New Roman"/>
                <w:b w:val="0"/>
                <w:bCs w:val="0"/>
                <w:color w:val="auto"/>
                <w:sz w:val="24"/>
                <w:szCs w:val="24"/>
                <w:highlight w:val="none"/>
                <w:lang w:val="en-US" w:eastAsia="zh-CN" w:bidi="ar-SA"/>
              </w:rPr>
              <w:t xml:space="preserve">满足</w:t>
            </w:r>
            <w:r>
              <w:rPr>
                <w:rFonts w:hint="eastAsia" w:ascii="宋体" w:hAnsi="宋体" w:cs="Times New Roman"/>
                <w:b w:val="0"/>
                <w:bCs w:val="0"/>
                <w:color w:val="auto"/>
                <w:sz w:val="24"/>
                <w:szCs w:val="24"/>
                <w:highlight w:val="none"/>
                <w:lang w:val="en-US" w:eastAsia="zh-CN" w:bidi="ar-SA"/>
              </w:rPr>
              <w:t xml:space="preserve">采购需求</w:t>
            </w:r>
            <w:r>
              <w:rPr>
                <w:rFonts w:hint="default" w:ascii="宋体" w:hAnsi="宋体" w:cs="Times New Roman"/>
                <w:b w:val="0"/>
                <w:bCs w:val="0"/>
                <w:color w:val="auto"/>
                <w:sz w:val="24"/>
                <w:szCs w:val="24"/>
                <w:highlight w:val="none"/>
                <w:lang w:val="en-US" w:eastAsia="zh-CN" w:bidi="ar-SA"/>
              </w:rPr>
              <w:t xml:space="preserve">最低要求4人</w:t>
            </w:r>
            <w:r>
              <w:rPr>
                <w:rFonts w:hint="eastAsia" w:ascii="宋体" w:hAnsi="宋体" w:cs="Times New Roman"/>
                <w:b w:val="0"/>
                <w:bCs w:val="0"/>
                <w:color w:val="auto"/>
                <w:sz w:val="24"/>
                <w:szCs w:val="24"/>
                <w:highlight w:val="none"/>
                <w:lang w:val="en-US" w:eastAsia="zh-CN" w:bidi="ar-SA"/>
              </w:rPr>
              <w:t xml:space="preserve">的基础上，每增加1人得1分，最高得3分。</w:t>
            </w:r>
            <w:r/>
          </w:p>
          <w:p>
            <w:pPr>
              <w:numPr>
                <w:ilvl w:val="0"/>
                <w:numId w:val="0"/>
              </w:numPr>
              <w:rPr>
                <w:rFonts w:hint="default" w:ascii="宋体" w:hAnsi="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本项最高得12分。</w:t>
            </w:r>
            <w:r/>
          </w:p>
        </w:tc>
        <w:tc>
          <w:tcPr>
            <w:shd w:val="clear" w:color="auto" w:fill="auto"/>
            <w:tcW w:w="2440" w:type="dxa"/>
            <w:vAlign w:val="center"/>
            <w:textDirection w:val="lrTb"/>
            <w:noWrap w:val="false"/>
          </w:tcPr>
          <w:p>
            <w:pPr>
              <w:ind w:left="-38"/>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响应文件中提供</w:t>
            </w:r>
            <w:r>
              <w:rPr>
                <w:rFonts w:hint="eastAsia" w:ascii="宋体" w:hAnsi="宋体" w:cs="Times New Roman"/>
                <w:color w:val="auto"/>
                <w:sz w:val="24"/>
                <w:szCs w:val="24"/>
                <w:highlight w:val="none"/>
                <w:lang w:eastAsia="zh-CN"/>
              </w:rPr>
              <w:t xml:space="preserve">项目团队人员清单及</w:t>
            </w:r>
            <w:r>
              <w:rPr>
                <w:rFonts w:hint="eastAsia" w:ascii="宋体" w:hAnsi="宋体" w:cs="Times New Roman"/>
                <w:color w:val="auto"/>
                <w:sz w:val="24"/>
                <w:szCs w:val="24"/>
                <w:highlight w:val="none"/>
                <w:lang w:val="en-US" w:eastAsia="zh-CN"/>
              </w:rPr>
              <w:t xml:space="preserve">上述人员</w:t>
            </w:r>
            <w:r>
              <w:rPr>
                <w:rFonts w:hint="eastAsia" w:ascii="宋体" w:hAnsi="宋体" w:eastAsia="宋体" w:cs="Times New Roman"/>
                <w:color w:val="auto"/>
                <w:sz w:val="24"/>
                <w:szCs w:val="24"/>
                <w:highlight w:val="none"/>
                <w:lang w:eastAsia="zh-CN"/>
              </w:rPr>
              <w:t xml:space="preserve">有效</w:t>
            </w:r>
            <w:r>
              <w:rPr>
                <w:rFonts w:hint="eastAsia" w:ascii="宋体" w:hAnsi="宋体" w:cs="Times New Roman"/>
                <w:color w:val="auto"/>
                <w:sz w:val="24"/>
                <w:szCs w:val="24"/>
                <w:highlight w:val="none"/>
                <w:lang w:val="en-US" w:eastAsia="zh-CN"/>
              </w:rPr>
              <w:t xml:space="preserve">的证书原件扫描件或复印件和供应商为其缴纳的磋商截止前3个月中任意一个月社保缴费证明材料并加盖供应商公章，</w:t>
            </w:r>
            <w:r>
              <w:rPr>
                <w:rFonts w:hint="eastAsia" w:ascii="宋体" w:hAnsi="宋体" w:eastAsia="宋体" w:cs="Times New Roman"/>
                <w:color w:val="auto"/>
                <w:sz w:val="24"/>
                <w:szCs w:val="24"/>
                <w:highlight w:val="none"/>
              </w:rPr>
              <w:t xml:space="preserve">否则不得分。</w:t>
            </w:r>
            <w:r/>
          </w:p>
        </w:tc>
      </w:tr>
      <w:tr>
        <w:trPr>
          <w:trHeight w:val="771"/>
        </w:trPr>
        <w:tc>
          <w:tcPr>
            <w:shd w:val="clear" w:color="auto" w:fill="auto"/>
            <w:tcW w:w="835"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3.3</w:t>
            </w:r>
            <w:r/>
          </w:p>
        </w:tc>
        <w:tc>
          <w:tcPr>
            <w:shd w:val="clear" w:color="auto" w:fill="auto"/>
            <w:tcW w:w="1462" w:type="dxa"/>
            <w:vAlign w:val="center"/>
            <w:textDirection w:val="lrTb"/>
            <w:noWrap w:val="false"/>
          </w:tcPr>
          <w:p>
            <w:pPr>
              <w:ind w:firstLine="28"/>
              <w:jc w:val="center"/>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专业设备</w:t>
            </w:r>
            <w:r/>
          </w:p>
          <w:p>
            <w:pPr>
              <w:ind w:firstLine="28"/>
              <w:jc w:val="center"/>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配置</w:t>
            </w:r>
            <w:r/>
          </w:p>
        </w:tc>
        <w:tc>
          <w:tcPr>
            <w:shd w:val="clear" w:color="auto" w:fill="auto"/>
            <w:tcW w:w="788" w:type="dxa"/>
            <w:vAlign w:val="center"/>
            <w:textDirection w:val="lrTb"/>
            <w:noWrap w:val="false"/>
          </w:tcPr>
          <w:p>
            <w:pPr>
              <w:ind w:firstLine="28"/>
              <w:jc w:val="center"/>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12</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供应商配备相关作业设备，每满足一项设备得4分，最高得12分。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1、走航车</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default" w:ascii="宋体" w:hAnsi="宋体" w:cs="Times New Roman"/>
                <w:b w:val="0"/>
                <w:bCs w:val="0"/>
                <w:color w:val="auto"/>
                <w:sz w:val="24"/>
                <w:szCs w:val="24"/>
                <w:highlight w:val="none"/>
                <w:lang w:val="en-US" w:eastAsia="zh-CN" w:bidi="ar-SA"/>
              </w:rPr>
              <w:t xml:space="preserve">具备</w:t>
            </w:r>
            <w:r>
              <w:rPr>
                <w:rFonts w:hint="eastAsia" w:ascii="宋体" w:hAnsi="宋体" w:cs="Times New Roman"/>
                <w:b w:val="0"/>
                <w:bCs w:val="0"/>
                <w:color w:val="auto"/>
                <w:sz w:val="24"/>
                <w:szCs w:val="24"/>
                <w:highlight w:val="none"/>
                <w:lang w:val="en-US" w:eastAsia="zh-CN" w:bidi="ar-SA"/>
              </w:rPr>
              <w:t xml:space="preserve">VOCs</w:t>
            </w:r>
            <w:r>
              <w:rPr>
                <w:rFonts w:hint="default" w:ascii="宋体" w:hAnsi="宋体" w:cs="Times New Roman"/>
                <w:b w:val="0"/>
                <w:bCs w:val="0"/>
                <w:color w:val="auto"/>
                <w:sz w:val="24"/>
                <w:szCs w:val="24"/>
                <w:highlight w:val="none"/>
                <w:lang w:val="en-US" w:eastAsia="zh-CN" w:bidi="ar-SA"/>
              </w:rPr>
              <w:t xml:space="preserve">(挥发性有机物)等污染物的走航监测能力，可实时采集、存储和传输监测数据</w:t>
            </w:r>
            <w:r>
              <w:rPr>
                <w:rFonts w:hint="eastAsia" w:ascii="宋体" w:hAnsi="宋体" w:cs="Times New Roman"/>
                <w:b w:val="0"/>
                <w:bCs w:val="0"/>
                <w:color w:val="auto"/>
                <w:sz w:val="24"/>
                <w:szCs w:val="24"/>
                <w:highlight w:val="none"/>
                <w:lang w:val="en-US" w:eastAsia="zh-CN" w:bidi="ar-SA"/>
              </w:rPr>
              <w:t xml:space="preserve">，且配备相应监测平台；</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2、无人船</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具备搭载水质检测(如H、浊度、温度等)或其他环境监测传感器能力；</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3、无人机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具备航拍功能。</w:t>
            </w:r>
            <w:r/>
          </w:p>
        </w:tc>
        <w:tc>
          <w:tcPr>
            <w:shd w:val="clear" w:color="auto" w:fill="auto"/>
            <w:tcW w:w="2440" w:type="dxa"/>
            <w:vAlign w:val="center"/>
            <w:textDirection w:val="lrTb"/>
            <w:noWrap w:val="false"/>
          </w:tcPr>
          <w:p>
            <w:pPr>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1、自有设备：</w:t>
            </w:r>
            <w:r/>
          </w:p>
          <w:p>
            <w:pP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提供设备购置发票原件扫描件或复印件并加盖供应商公章，未提供不得分。</w:t>
            </w:r>
            <w:r/>
          </w:p>
          <w:p>
            <w:pPr>
              <w:rPr>
                <w:rFonts w:hint="default" w:ascii="宋体" w:hAnsi="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2、租赁设备：</w:t>
            </w:r>
            <w:r>
              <w:rPr>
                <w:rFonts w:hint="eastAsia" w:ascii="宋体" w:hAnsi="宋体" w:cs="Times New Roman"/>
                <w:color w:val="auto"/>
                <w:sz w:val="24"/>
                <w:szCs w:val="24"/>
                <w:highlight w:val="none"/>
                <w:lang w:val="en-US" w:eastAsia="zh-CN"/>
              </w:rPr>
              <w:br/>
            </w:r>
            <w:r>
              <w:rPr>
                <w:rFonts w:hint="eastAsia" w:ascii="宋体" w:hAnsi="宋体" w:cs="Times New Roman"/>
                <w:color w:val="auto"/>
                <w:sz w:val="24"/>
                <w:szCs w:val="24"/>
                <w:highlight w:val="none"/>
                <w:lang w:val="en-US" w:eastAsia="zh-CN"/>
              </w:rPr>
              <w:t xml:space="preserve">提供设备租赁合同（协议）和对应租期租金支付证明材料扫描件或复印件并加盖供应商公章，租赁期须覆盖本项目服务期，未提供不得分。</w:t>
            </w:r>
            <w:r/>
          </w:p>
        </w:tc>
      </w:tr>
      <w:tr>
        <w:trPr>
          <w:trHeight w:val="771"/>
        </w:trPr>
        <w:tc>
          <w:tcPr>
            <w:shd w:val="clear" w:color="auto" w:fill="auto"/>
            <w:tcW w:w="835"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3.4</w:t>
            </w:r>
            <w:r/>
          </w:p>
        </w:tc>
        <w:tc>
          <w:tcPr>
            <w:shd w:val="clear" w:color="auto" w:fill="auto"/>
            <w:tcW w:w="1462" w:type="dxa"/>
            <w:vAlign w:val="center"/>
            <w:textDirection w:val="lrTb"/>
            <w:noWrap w:val="false"/>
          </w:tcPr>
          <w:p>
            <w:pPr>
              <w:ind w:firstLine="28"/>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服务响应与保障能力</w:t>
            </w:r>
            <w:r/>
          </w:p>
        </w:tc>
        <w:tc>
          <w:tcPr>
            <w:shd w:val="clear" w:color="auto" w:fill="auto"/>
            <w:tcW w:w="788" w:type="dxa"/>
            <w:vAlign w:val="center"/>
            <w:textDirection w:val="lrTb"/>
            <w:noWrap w:val="false"/>
          </w:tcPr>
          <w:p>
            <w:pPr>
              <w:ind w:firstLine="28"/>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p>
        </w:tc>
        <w:tc>
          <w:tcPr>
            <w:shd w:val="clear" w:color="auto" w:fill="auto"/>
            <w:tcW w:w="4103" w:type="dxa"/>
            <w:vAlign w:val="center"/>
            <w:textDirection w:val="lrTb"/>
            <w:noWrap w:val="false"/>
          </w:tcPr>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1、响应时间承诺：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供应商承诺在接到采购人通知后，2小时内能够到达本项目任一项目点位（含各辖市区）开展现场工作的，得3分；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承诺4小时内到达的，得1分；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超过4小时或未提供承诺的不得分。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2、项目实施期间驻场人员承诺：</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供应商承诺在本项目服务期内（或现场勘查集中实施阶段），在常州市范围内安排不少于2名专职技术人员常驻，负责日常联络、现场勘查协调及应急响应，并提供人员名单及承诺函的，得3分；</w:t>
            </w:r>
            <w:r/>
          </w:p>
          <w:p>
            <w:pPr>
              <w:numPr>
                <w:ilvl w:val="0"/>
                <w:numId w:val="0"/>
              </w:numPr>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承诺安排1名专职技术人员常驻的，得1分；</w:t>
            </w:r>
            <w:r/>
          </w:p>
          <w:p>
            <w:pPr>
              <w:numPr>
                <w:ilvl w:val="0"/>
                <w:numId w:val="0"/>
              </w:numPr>
              <w:rPr>
                <w:rFonts w:hint="eastAsia" w:ascii="宋体" w:hAnsi="宋体" w:cs="Times New Roman"/>
                <w:b/>
                <w:bCs/>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未承诺安排常驻人员或未提供承诺 的不得分。</w:t>
            </w:r>
            <w:r/>
          </w:p>
        </w:tc>
        <w:tc>
          <w:tcPr>
            <w:shd w:val="clear" w:color="auto" w:fill="auto"/>
            <w:tcW w:w="2440" w:type="dxa"/>
            <w:vAlign w:val="center"/>
            <w:textDirection w:val="lrTb"/>
            <w:noWrap w:val="false"/>
          </w:tcPr>
          <w:p>
            <w:pPr>
              <w:ind w:left="-38"/>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按上述评分要求提供承诺函，未提供不得分。</w:t>
            </w:r>
            <w:r/>
          </w:p>
        </w:tc>
      </w:tr>
      <w:tr>
        <w:trPr>
          <w:trHeight w:val="570"/>
        </w:trPr>
        <w:tc>
          <w:tcPr>
            <w:gridSpan w:val="2"/>
            <w:tcW w:w="2297"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合计</w:t>
            </w:r>
            <w:r/>
          </w:p>
        </w:tc>
        <w:tc>
          <w:tcPr>
            <w:tcW w:w="788" w:type="dxa"/>
            <w:vAlign w:val="center"/>
            <w:textDirection w:val="lrTb"/>
            <w:noWrap w:val="false"/>
          </w:tcPr>
          <w:p>
            <w:pPr>
              <w:ind w:firstLine="28"/>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100</w:t>
            </w:r>
            <w:r/>
          </w:p>
        </w:tc>
        <w:tc>
          <w:tcPr>
            <w:gridSpan w:val="2"/>
            <w:tcW w:w="6543" w:type="dxa"/>
            <w:vAlign w:val="center"/>
            <w:textDirection w:val="lrTb"/>
            <w:noWrap w:val="false"/>
          </w:tcPr>
          <w:p>
            <w:pP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bl>
    <w:p>
      <w:pPr>
        <w:jc w:val="left"/>
        <w:spacing w:line="440" w:lineRule="exact"/>
        <w:rPr>
          <w:rFonts w:hint="eastAsia" w:ascii="宋体" w:hAnsi="宋体"/>
          <w:color w:val="auto"/>
          <w:sz w:val="24"/>
          <w:highlight w:val="none"/>
        </w:rPr>
      </w:pPr>
      <w:r>
        <w:rPr>
          <w:rFonts w:hint="eastAsia" w:ascii="宋体" w:hAnsi="宋体"/>
          <w:color w:val="auto"/>
          <w:sz w:val="24"/>
          <w:highlight w:val="none"/>
        </w:rPr>
      </w:r>
      <w:r/>
    </w:p>
    <w:p>
      <w:pPr>
        <w:jc w:val="left"/>
        <w:spacing w:line="440" w:lineRule="exact"/>
        <w:rPr>
          <w:rFonts w:ascii="宋体" w:hAnsi="宋体"/>
          <w:color w:val="auto"/>
          <w:sz w:val="24"/>
          <w:highlight w:val="none"/>
        </w:rPr>
      </w:pPr>
      <w:r>
        <w:rPr>
          <w:rFonts w:hint="eastAsia" w:ascii="宋体" w:hAnsi="宋体"/>
          <w:color w:val="auto"/>
          <w:sz w:val="24"/>
          <w:highlight w:val="none"/>
        </w:rPr>
        <w:t xml:space="preserve">注：1.评分细则中要求提供的证明文件及资料等在响应文件中提供原件扫描件，并加盖供应商公章。</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2．评审时，未能按以上要求提供相应证明（原件扫描件）的，不作为评审依据，不得分。</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3.便于评分，请供应商在偏离表中逐条列出技术参数证明材料所在页码。</w:t>
      </w:r>
      <w:r/>
    </w:p>
    <w:p>
      <w:pPr>
        <w:jc w:val="left"/>
        <w:widowControl/>
        <w:rPr>
          <w:b/>
          <w:color w:val="auto"/>
          <w:sz w:val="36"/>
          <w:szCs w:val="36"/>
          <w:highlight w:val="none"/>
        </w:rPr>
      </w:pPr>
      <w:r>
        <w:rPr>
          <w:b/>
          <w:color w:val="auto"/>
          <w:sz w:val="36"/>
          <w:szCs w:val="36"/>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  </w:t>
      </w:r>
      <w:bookmarkStart w:id="653" w:name="_Toc5064"/>
      <w:r>
        <w:rPr>
          <w:b/>
          <w:color w:val="auto"/>
          <w:sz w:val="36"/>
          <w:szCs w:val="36"/>
          <w:highlight w:val="none"/>
        </w:rPr>
        <w:t xml:space="preserve">采购需求</w:t>
      </w:r>
      <w:bookmarkEnd w:id="653"/>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为深入贯彻落实省下达我市重点任务以及市委、市政府全面推进美丽常州建设部署要求，积极谋划推进“十五五”美丽常州建设，拟组织相关技术人员</w:t>
      </w: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年度重点任务及工程项目实施和进展情况</w:t>
      </w:r>
      <w:r>
        <w:rPr>
          <w:rFonts w:hint="eastAsia" w:ascii="宋体" w:hAnsi="宋体" w:cs="宋体"/>
          <w:b w:val="0"/>
          <w:bCs w:val="0"/>
          <w:color w:val="auto"/>
          <w:sz w:val="24"/>
          <w:szCs w:val="24"/>
          <w:highlight w:val="none"/>
          <w:lang w:val="en-US" w:eastAsia="zh-CN"/>
        </w:rPr>
        <w:t xml:space="preserve">勘查时提供</w:t>
      </w:r>
      <w:r>
        <w:rPr>
          <w:rFonts w:hint="eastAsia" w:ascii="宋体" w:hAnsi="宋体" w:eastAsia="宋体" w:cs="宋体"/>
          <w:b w:val="0"/>
          <w:bCs w:val="0"/>
          <w:color w:val="auto"/>
          <w:sz w:val="24"/>
          <w:szCs w:val="24"/>
          <w:highlight w:val="none"/>
        </w:rPr>
        <w:t xml:space="preserve">技术支撑服务，</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上进行美丽常州建设典型案例</w:t>
      </w:r>
      <w:r>
        <w:rPr>
          <w:rFonts w:hint="eastAsia" w:ascii="宋体" w:hAnsi="宋体" w:eastAsia="宋体" w:cs="宋体"/>
          <w:b w:val="0"/>
          <w:bCs w:val="0"/>
          <w:color w:val="auto"/>
          <w:sz w:val="24"/>
          <w:szCs w:val="24"/>
          <w:highlight w:val="none"/>
        </w:rPr>
        <w:t xml:space="preserve">正面引导或反面曝光</w:t>
      </w:r>
      <w:r>
        <w:rPr>
          <w:rFonts w:hint="eastAsia" w:ascii="宋体" w:hAnsi="宋体" w:cs="宋体"/>
          <w:b w:val="0"/>
          <w:bCs w:val="0"/>
          <w:color w:val="auto"/>
          <w:sz w:val="24"/>
          <w:szCs w:val="24"/>
          <w:highlight w:val="none"/>
          <w:lang w:val="en-US" w:eastAsia="zh-CN"/>
        </w:rPr>
        <w:t xml:space="preserve">且提供技术支撑服务</w:t>
      </w:r>
      <w:r>
        <w:rPr>
          <w:rFonts w:hint="eastAsia" w:ascii="宋体" w:hAnsi="宋体" w:eastAsia="宋体" w:cs="宋体"/>
          <w:b w:val="0"/>
          <w:bCs w:val="0"/>
          <w:color w:val="auto"/>
          <w:sz w:val="24"/>
          <w:szCs w:val="24"/>
          <w:highlight w:val="none"/>
        </w:rPr>
        <w:t xml:space="preserve">，根据对完成情况开展技术支撑服务形成技术服务报告，为市生态环境局及市攻坚办决策提供依据。</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开展美丽常州建设重点任务技术支撑服务，定期形成全面推进美丽常州建设重点任务技术服务报告，开展美丽常州建设路径分析技术服务。</w:t>
      </w: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对全市和各辖市区年度重点任务清单中目标任务和工程项目建设情况等共计800个点位进行现场勘查</w:t>
      </w:r>
      <w:r>
        <w:rPr>
          <w:rFonts w:hint="eastAsia" w:ascii="宋体" w:hAnsi="宋体" w:cs="宋体"/>
          <w:b w:val="0"/>
          <w:bCs w:val="0"/>
          <w:color w:val="auto"/>
          <w:sz w:val="24"/>
          <w:szCs w:val="24"/>
          <w:highlight w:val="none"/>
          <w:lang w:val="en-US" w:eastAsia="zh-CN"/>
        </w:rPr>
        <w:t xml:space="preserve">时</w:t>
      </w:r>
      <w:r>
        <w:rPr>
          <w:rFonts w:hint="eastAsia" w:ascii="宋体" w:hAnsi="宋体" w:eastAsia="宋体" w:cs="宋体"/>
          <w:b w:val="0"/>
          <w:bCs w:val="0"/>
          <w:color w:val="auto"/>
          <w:sz w:val="24"/>
          <w:szCs w:val="24"/>
          <w:highlight w:val="none"/>
        </w:rPr>
        <w:t xml:space="preserve">，使用走航车、无人船、无人机等专业设备进行技术支撑服务；</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w:t>
      </w:r>
      <w:r>
        <w:rPr>
          <w:rFonts w:hint="eastAsia" w:ascii="宋体" w:hAnsi="宋体" w:eastAsia="宋体" w:cs="宋体"/>
          <w:b w:val="0"/>
          <w:bCs w:val="0"/>
          <w:color w:val="auto"/>
          <w:sz w:val="24"/>
          <w:szCs w:val="24"/>
          <w:highlight w:val="none"/>
        </w:rPr>
        <w:t xml:space="preserve">对</w:t>
      </w:r>
      <w:r>
        <w:rPr>
          <w:rFonts w:hint="eastAsia" w:ascii="宋体" w:hAnsi="宋体" w:cs="宋体"/>
          <w:b w:val="0"/>
          <w:bCs w:val="0"/>
          <w:color w:val="auto"/>
          <w:sz w:val="24"/>
          <w:szCs w:val="24"/>
          <w:highlight w:val="none"/>
          <w:lang w:val="en-US" w:eastAsia="zh-CN"/>
        </w:rPr>
        <w:t xml:space="preserve">美丽常州建设</w:t>
      </w:r>
      <w:r>
        <w:rPr>
          <w:rFonts w:hint="eastAsia" w:ascii="宋体" w:hAnsi="宋体" w:eastAsia="宋体" w:cs="宋体"/>
          <w:b w:val="0"/>
          <w:bCs w:val="0"/>
          <w:color w:val="auto"/>
          <w:sz w:val="24"/>
          <w:szCs w:val="24"/>
          <w:highlight w:val="none"/>
        </w:rPr>
        <w:t xml:space="preserve">的典型案例进行正面引导或反面曝光</w:t>
      </w:r>
      <w:r>
        <w:rPr>
          <w:rFonts w:hint="eastAsia" w:ascii="宋体" w:hAnsi="宋体" w:cs="宋体"/>
          <w:b w:val="0"/>
          <w:bCs w:val="0"/>
          <w:color w:val="auto"/>
          <w:sz w:val="24"/>
          <w:szCs w:val="24"/>
          <w:highlight w:val="none"/>
          <w:lang w:val="en-US" w:eastAsia="zh-CN"/>
        </w:rPr>
        <w:t xml:space="preserve">且提供技术支撑服务</w:t>
      </w:r>
      <w:r>
        <w:rPr>
          <w:rFonts w:hint="eastAsia" w:ascii="宋体" w:hAnsi="宋体" w:eastAsia="宋体" w:cs="宋体"/>
          <w:b w:val="0"/>
          <w:bCs w:val="0"/>
          <w:color w:val="auto"/>
          <w:sz w:val="24"/>
          <w:szCs w:val="24"/>
          <w:highlight w:val="none"/>
        </w:rPr>
        <w:t xml:space="preserve">；开展全市及各辖市区完成情况技术支撑服务，形成全市和7个辖市区重点任务完成情况技术服务报告；</w:t>
      </w:r>
      <w:r>
        <w:rPr>
          <w:rFonts w:hint="eastAsia" w:ascii="宋体" w:hAnsi="宋体" w:cs="宋体"/>
          <w:b w:val="0"/>
          <w:bCs w:val="0"/>
          <w:color w:val="auto"/>
          <w:sz w:val="24"/>
          <w:szCs w:val="24"/>
          <w:highlight w:val="none"/>
          <w:lang w:val="en-US" w:eastAsia="zh-CN"/>
        </w:rPr>
        <w:t xml:space="preserve">形成</w:t>
      </w:r>
      <w:r>
        <w:rPr>
          <w:rFonts w:hint="eastAsia" w:ascii="宋体" w:hAnsi="宋体" w:eastAsia="宋体" w:cs="宋体"/>
          <w:b w:val="0"/>
          <w:bCs w:val="0"/>
          <w:color w:val="auto"/>
          <w:sz w:val="24"/>
          <w:szCs w:val="24"/>
          <w:highlight w:val="none"/>
        </w:rPr>
        <w:t xml:space="preserve">美丽常州建设路径分析技术服务。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三、工作成果要求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配合</w:t>
      </w:r>
      <w:r>
        <w:rPr>
          <w:rFonts w:hint="eastAsia" w:ascii="宋体" w:hAnsi="宋体" w:eastAsia="宋体" w:cs="宋体"/>
          <w:b w:val="0"/>
          <w:bCs w:val="0"/>
          <w:color w:val="auto"/>
          <w:sz w:val="24"/>
          <w:szCs w:val="24"/>
          <w:highlight w:val="none"/>
        </w:rPr>
        <w:t xml:space="preserve">对800个点位进行现场</w:t>
      </w:r>
      <w:r>
        <w:rPr>
          <w:rFonts w:hint="eastAsia" w:ascii="宋体" w:hAnsi="宋体" w:cs="宋体"/>
          <w:b w:val="0"/>
          <w:bCs w:val="0"/>
          <w:color w:val="auto"/>
          <w:sz w:val="24"/>
          <w:szCs w:val="24"/>
          <w:highlight w:val="none"/>
          <w:lang w:val="en-US" w:eastAsia="zh-CN"/>
        </w:rPr>
        <w:t xml:space="preserve">勘查时提供</w:t>
      </w:r>
      <w:r>
        <w:rPr>
          <w:rFonts w:hint="eastAsia" w:ascii="宋体" w:hAnsi="宋体" w:eastAsia="宋体" w:cs="宋体"/>
          <w:b w:val="0"/>
          <w:bCs w:val="0"/>
          <w:color w:val="auto"/>
          <w:sz w:val="24"/>
          <w:szCs w:val="24"/>
          <w:highlight w:val="none"/>
        </w:rPr>
        <w:t xml:space="preserve">技术支撑服务，形成全市和7个辖市区美丽常州建设技术服务报告和1份路径分析材料,</w:t>
      </w:r>
      <w:r>
        <w:rPr>
          <w:rFonts w:hint="eastAsia" w:ascii="宋体" w:hAnsi="宋体" w:cs="宋体"/>
          <w:b w:val="0"/>
          <w:bCs w:val="0"/>
          <w:color w:val="auto"/>
          <w:sz w:val="24"/>
          <w:szCs w:val="24"/>
          <w:highlight w:val="none"/>
          <w:lang w:val="en-US" w:eastAsia="zh-CN"/>
        </w:rPr>
        <w:t xml:space="preserve">配合在</w:t>
      </w:r>
      <w:r>
        <w:rPr>
          <w:rFonts w:hint="eastAsia" w:ascii="宋体" w:hAnsi="宋体" w:eastAsia="宋体" w:cs="宋体"/>
          <w:b w:val="0"/>
          <w:bCs w:val="0"/>
          <w:color w:val="auto"/>
          <w:sz w:val="24"/>
          <w:szCs w:val="24"/>
          <w:highlight w:val="none"/>
        </w:rPr>
        <w:t xml:space="preserve">本地主流媒体</w:t>
      </w:r>
      <w:r>
        <w:rPr>
          <w:rFonts w:hint="eastAsia" w:ascii="宋体" w:hAnsi="宋体" w:cs="宋体"/>
          <w:b w:val="0"/>
          <w:bCs w:val="0"/>
          <w:color w:val="auto"/>
          <w:sz w:val="24"/>
          <w:szCs w:val="24"/>
          <w:highlight w:val="none"/>
          <w:lang w:val="en-US" w:eastAsia="zh-CN"/>
        </w:rPr>
        <w:t xml:space="preserve">上每月</w:t>
      </w:r>
      <w:r>
        <w:rPr>
          <w:rFonts w:hint="eastAsia" w:ascii="宋体" w:hAnsi="宋体" w:eastAsia="宋体" w:cs="宋体"/>
          <w:b w:val="0"/>
          <w:bCs w:val="0"/>
          <w:color w:val="auto"/>
          <w:sz w:val="24"/>
          <w:szCs w:val="24"/>
          <w:highlight w:val="none"/>
        </w:rPr>
        <w:t xml:space="preserve">进行正面引导或反面</w:t>
      </w:r>
      <w:r>
        <w:rPr>
          <w:rFonts w:hint="eastAsia" w:ascii="宋体" w:hAnsi="宋体" w:cs="宋体"/>
          <w:b w:val="0"/>
          <w:bCs w:val="0"/>
          <w:color w:val="auto"/>
          <w:sz w:val="24"/>
          <w:szCs w:val="24"/>
          <w:highlight w:val="none"/>
          <w:lang w:eastAsia="zh-CN"/>
        </w:rPr>
        <w:t xml:space="preserve">曝光</w:t>
      </w:r>
      <w:r>
        <w:rPr>
          <w:rFonts w:hint="eastAsia" w:ascii="宋体" w:hAnsi="宋体" w:cs="宋体"/>
          <w:b w:val="0"/>
          <w:bCs w:val="0"/>
          <w:color w:val="auto"/>
          <w:sz w:val="24"/>
          <w:szCs w:val="24"/>
          <w:highlight w:val="none"/>
          <w:lang w:val="en-US" w:eastAsia="zh-CN"/>
        </w:rPr>
        <w:t xml:space="preserve">提供技术支撑服务</w:t>
      </w:r>
      <w:r>
        <w:rPr>
          <w:rFonts w:hint="eastAsia" w:ascii="宋体" w:hAnsi="宋体" w:eastAsia="宋体" w:cs="宋体"/>
          <w:b w:val="0"/>
          <w:bCs w:val="0"/>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四、服务期限</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服务期限：自合同生效之日起一年</w:t>
      </w:r>
      <w:r>
        <w:rPr>
          <w:rFonts w:hint="eastAsia" w:ascii="宋体" w:hAnsi="宋体" w:cs="宋体"/>
          <w:b w:val="0"/>
          <w:bCs w:val="0"/>
          <w:color w:val="auto"/>
          <w:sz w:val="24"/>
          <w:szCs w:val="24"/>
          <w:highlight w:val="none"/>
          <w:lang w:eastAsia="zh-CN"/>
        </w:rPr>
        <w:t xml:space="preserve">，涵盖</w:t>
      </w:r>
      <w:r>
        <w:rPr>
          <w:rFonts w:hint="eastAsia" w:ascii="宋体" w:hAnsi="宋体" w:cs="宋体"/>
          <w:b w:val="0"/>
          <w:bCs w:val="0"/>
          <w:color w:val="auto"/>
          <w:sz w:val="24"/>
          <w:szCs w:val="24"/>
          <w:highlight w:val="none"/>
          <w:lang w:val="en-US" w:eastAsia="zh-CN"/>
        </w:rPr>
        <w:t xml:space="preserve">配合现场勘查</w:t>
      </w:r>
      <w:r>
        <w:rPr>
          <w:rFonts w:hint="eastAsia" w:ascii="宋体" w:hAnsi="宋体" w:cs="宋体"/>
          <w:b w:val="0"/>
          <w:bCs w:val="0"/>
          <w:color w:val="auto"/>
          <w:sz w:val="24"/>
          <w:szCs w:val="24"/>
          <w:highlight w:val="none"/>
          <w:lang w:eastAsia="zh-CN"/>
        </w:rPr>
        <w:t xml:space="preserve">、报告编制、媒体协同、成果交付、整改复核等全周期服务，确保各阶段工作按时序推进、按期完成。</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五、服务团队人员配置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本项目至少安排不低于4名专业技术人员组成团队负责该项目的日常工作。</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六、专业设备配置</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供应商在本项目服务期间，须配备</w:t>
      </w:r>
      <w:r>
        <w:rPr>
          <w:rFonts w:hint="eastAsia" w:ascii="宋体" w:hAnsi="宋体" w:cs="宋体"/>
          <w:i w:val="0"/>
          <w:iCs w:val="0"/>
          <w:caps w:val="0"/>
          <w:color w:val="auto"/>
          <w:spacing w:val="0"/>
          <w:sz w:val="24"/>
          <w:szCs w:val="24"/>
          <w:highlight w:val="none"/>
          <w:shd w:val="clear" w:color="auto" w:fill="ffffff"/>
          <w:lang w:eastAsia="zh-CN"/>
        </w:rPr>
        <w:t xml:space="preserve">专业技术</w:t>
      </w:r>
      <w:r>
        <w:rPr>
          <w:rFonts w:hint="eastAsia" w:ascii="宋体" w:hAnsi="宋体" w:eastAsia="宋体" w:cs="宋体"/>
          <w:i w:val="0"/>
          <w:iCs w:val="0"/>
          <w:caps w:val="0"/>
          <w:color w:val="auto"/>
          <w:spacing w:val="0"/>
          <w:sz w:val="24"/>
          <w:szCs w:val="24"/>
          <w:highlight w:val="none"/>
          <w:shd w:val="clear" w:color="auto" w:fill="ffffff"/>
        </w:rPr>
        <w:t xml:space="preserve">设备用于现场勘查及技术支撑服务。设备可为本单位自有或阶段性租赁</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由采购单位组织验收，根据采购文件的相关要求进行验收。供应商的技术、服务和成果内容符合相关验收要求，通过验收。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七、报价方式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报价方式为固定总价。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供应商报价时需充分考虑项目全周期成本与各类风险，报价一经确认，合同履行期间不作调整。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八、付款方式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合同签订生效后30个工作日内，供应商向采购人提交合法有效的税务发票，采购人审核无误后支付合同总金额的60%；</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供应商完成全部工作量，提交完整成果文件（含报告、核查资料、媒体报道证明等），并通过采购单位验收合格后，凭有效税务发票，采购人支付剩余40%合同金额；</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若成果未通过验收，供应商需在规定时限内完成整改、重新提交，验收合格后再支付剩余款项，整改期间不增加任何费用。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rFonts w:hAnsi="宋体" w:cs="宋体"/>
          <w:b/>
          <w:color w:val="auto"/>
          <w:highlight w:val="none"/>
        </w:rPr>
        <w:outlineLvl w:val="0"/>
      </w:pPr>
      <w:r/>
      <w:bookmarkStart w:id="654" w:name="_Toc2561"/>
      <w:r>
        <w:rPr>
          <w:b/>
          <w:color w:val="auto"/>
          <w:sz w:val="36"/>
          <w:szCs w:val="36"/>
          <w:highlight w:val="none"/>
        </w:rPr>
        <w:t xml:space="preserve">第五章   合同草案条款</w:t>
      </w:r>
      <w:bookmarkEnd w:id="654"/>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签订时间：</w:t>
      </w:r>
      <w:r>
        <w:rPr>
          <w:rFonts w:hint="eastAsia" w:ascii="宋体" w:hAnsi="宋体" w:eastAsia="宋体" w:cs="宋体"/>
          <w:b/>
          <w:color w:val="auto"/>
          <w:sz w:val="24"/>
          <w:szCs w:val="24"/>
          <w:highlight w:val="none"/>
          <w:u w:val="single"/>
        </w:rPr>
        <w:t xml:space="preserve">    年    月    日</w:t>
      </w:r>
      <w:r/>
    </w:p>
    <w:p>
      <w:pPr>
        <w:ind w:firstLine="482"/>
        <w:jc w:val="left"/>
        <w:spacing w:line="4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甲、乙双方就乙方中标的</w:t>
      </w:r>
      <w:r>
        <w:rPr>
          <w:rFonts w:hint="eastAsia" w:ascii="宋体" w:hAnsi="宋体" w:cs="宋体"/>
          <w:color w:val="auto"/>
          <w:sz w:val="24"/>
          <w:szCs w:val="24"/>
          <w:highlight w:val="none"/>
          <w:u w:val="single"/>
          <w:lang w:eastAsia="zh-CN"/>
        </w:rPr>
        <w:t xml:space="preserve">2026年全面推进美丽常州建设技术服务</w:t>
      </w:r>
      <w:r>
        <w:rPr>
          <w:rFonts w:hint="eastAsia" w:ascii="宋体" w:hAnsi="宋体" w:eastAsia="宋体" w:cs="宋体"/>
          <w:color w:val="auto"/>
          <w:sz w:val="24"/>
          <w:szCs w:val="24"/>
          <w:highlight w:val="none"/>
        </w:rPr>
        <w:t xml:space="preserve">项目，本着平等互利的原则，通过共同协商，根据《中华人民共和国政府采购法》、《中华人民共和国民法典》及有关法律法规之规定，就相关事宜达成如下合同。</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项目基本情况</w:t>
      </w:r>
      <w:r/>
    </w:p>
    <w:p>
      <w:pPr>
        <w:ind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深入贯彻落实省下达我市重点任务以及市委、市政府全面推进美丽常州建设部署要求，积极谋划推进“十五五”美丽常州建设，拟组织相关技术人员对年度重点任务及工程项目实施和进展情况进行技术支撑服务，并通过本地主流媒体进行正面引导或反面曝光推进任务完成和问题整改，根据对完成情况开展技术支撑服务形成技术服务报告，为市生态环境局及市攻坚办决策提供依据。</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第二条    项目</w:t>
      </w:r>
      <w:r>
        <w:rPr>
          <w:rFonts w:hint="eastAsia" w:ascii="宋体" w:hAnsi="宋体" w:eastAsia="宋体" w:cs="宋体"/>
          <w:b/>
          <w:color w:val="auto"/>
          <w:sz w:val="24"/>
          <w:szCs w:val="24"/>
          <w:highlight w:val="none"/>
          <w:lang w:val="en-US" w:eastAsia="zh-CN"/>
        </w:rPr>
        <w:t xml:space="preserve">服务</w:t>
      </w:r>
      <w:r>
        <w:rPr>
          <w:rFonts w:hint="eastAsia" w:ascii="宋体" w:hAnsi="宋体" w:cs="宋体"/>
          <w:b/>
          <w:color w:val="auto"/>
          <w:sz w:val="24"/>
          <w:szCs w:val="24"/>
          <w:highlight w:val="none"/>
          <w:lang w:val="en-US" w:eastAsia="zh-CN"/>
        </w:rPr>
        <w:t xml:space="preserve">内容</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展美丽常州建设重点任务技术支撑服务，定期形成全面推进美丽常州建设重点任务技术服务报告，开展美丽常州建设路径分析技术服务。对全市和各辖市区年度重点任务清单中目标任务和工程项目建设情况等共计800个点位进行现场勘查，使用走航车、无人船、无人机等专业设备进行技术支撑服务；本地主流媒体针对重点任务及工程的典型案例进行正面引导或反面曝光；开展全市及各辖市区完成情况技术支撑服务，形成全市和7个辖市区重点任务完成情况技术服务报告；开展美丽常州建设路径分析技术服务。</w:t>
      </w:r>
      <w:r/>
    </w:p>
    <w:p>
      <w:pPr>
        <w:ind w:firstLine="482"/>
        <w:keepLines w:val="0"/>
        <w:keepNext w:val="0"/>
        <w:pageBreakBefore w:val="0"/>
        <w:spacing w:line="440" w:lineRule="exact"/>
        <w:widowControl w:val="off"/>
        <w:rPr>
          <w:rFonts w:hint="default" w:ascii="宋体" w:hAnsi="宋体" w:cs="宋体"/>
          <w:b/>
          <w:color w:val="auto"/>
          <w:sz w:val="21"/>
          <w:szCs w:val="21"/>
          <w:highlight w:val="none"/>
          <w:lang w:val="en-US" w:eastAsia="zh-CN" w:bidi="ar"/>
        </w:rPr>
      </w:pPr>
      <w:r>
        <w:rPr>
          <w:rFonts w:hint="eastAsia" w:ascii="宋体" w:hAnsi="宋体" w:cs="宋体"/>
          <w:b/>
          <w:color w:val="auto"/>
          <w:sz w:val="24"/>
          <w:szCs w:val="24"/>
          <w:highlight w:val="none"/>
          <w:lang w:val="en-US" w:eastAsia="zh-CN" w:bidi="ar"/>
        </w:rPr>
        <w:t xml:space="preserve">第三条    工作成果要求</w:t>
      </w:r>
      <w:r/>
    </w:p>
    <w:p>
      <w:pPr>
        <w:ind w:firstLine="480"/>
        <w:keepLines w:val="0"/>
        <w:keepNext w:val="0"/>
        <w:pageBreakBefore w:val="0"/>
        <w:spacing w:line="440" w:lineRule="exact"/>
        <w:widowControl w:val="off"/>
        <w:rPr>
          <w:rFonts w:hint="default"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通过技术服务，对800个点位进行现场技术支撑服务核查，形成全市和7个辖市区美丽常州建设技术服务报告和1份路径分析材料,本地主流媒体定期进行正面引导或反面曝光15期左右。</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四</w:t>
      </w:r>
      <w:r>
        <w:rPr>
          <w:rFonts w:hint="eastAsia" w:ascii="宋体" w:hAnsi="宋体" w:eastAsia="宋体" w:cs="宋体"/>
          <w:b/>
          <w:color w:val="auto"/>
          <w:sz w:val="24"/>
          <w:szCs w:val="24"/>
          <w:highlight w:val="none"/>
          <w:lang w:bidi="ar"/>
        </w:rPr>
        <w:t xml:space="preserve">条    合同价款和支付方式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.1合同价款</w:t>
      </w:r>
      <w:r/>
    </w:p>
    <w:p>
      <w:pPr>
        <w:pStyle w:val="1477"/>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本合同项下总价款为人民币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元（小写：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lang w:val="en-US"/>
        </w:rPr>
        <w:t xml:space="preserve">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不再支付其他任何费用。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.2费用支付方式</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合同签订生效后30个工作日内，供应商向采购人提交合法有效的税务发票，采购人审核无误后支付合同总金额的60%；</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供应商完成全部工作量，提交完整成果文件（含报告、核查资料、媒体报道证明等），并通过采购单位验收合格后，凭有效税务发票，采购人支付剩余40%合同金额；</w:t>
      </w:r>
      <w:r/>
    </w:p>
    <w:p>
      <w:pPr>
        <w:ind w:left="42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若成果未通过验收，供应商需在规定时限内完成整改、重新提交，验收合格后再支付剩余款项，整改期间不增加任何费用。</w:t>
      </w:r>
      <w:r/>
    </w:p>
    <w:p>
      <w:pPr>
        <w:ind w:left="42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五</w:t>
      </w:r>
      <w:r>
        <w:rPr>
          <w:rFonts w:hint="eastAsia" w:ascii="宋体" w:hAnsi="宋体" w:eastAsia="宋体" w:cs="宋体"/>
          <w:b/>
          <w:color w:val="auto"/>
          <w:sz w:val="24"/>
          <w:szCs w:val="24"/>
          <w:highlight w:val="none"/>
          <w:lang w:bidi="ar"/>
        </w:rPr>
        <w:t xml:space="preserve">条    双方权利义务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.1甲方权利义务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.1.1甲方有责任为乙方完成本合同规定工作任务在合理范围内提供必要的支持，包括但不限于提供合法、有效的基础资料、配合调研工作、对乙方提供</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及时反馈意见、组织验收等。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.1.2甲方应按照本合同相关规定支付费用，如果甲方未按照规定按时支付各阶段费用，则甲方应当顺延乙方提</w:t>
      </w:r>
      <w:r>
        <w:rPr>
          <w:rFonts w:hint="eastAsia" w:ascii="宋体" w:hAnsi="宋体" w:eastAsia="宋体" w:cs="宋体"/>
          <w:color w:val="auto"/>
          <w:sz w:val="24"/>
          <w:szCs w:val="24"/>
          <w:highlight w:val="none"/>
          <w:lang w:eastAsia="zh-CN" w:bidi="ar"/>
        </w:rPr>
        <w:t xml:space="preserve">供相应服务</w:t>
      </w:r>
      <w:r>
        <w:rPr>
          <w:rFonts w:hint="eastAsia" w:ascii="宋体" w:hAnsi="宋体" w:eastAsia="宋体" w:cs="宋体"/>
          <w:color w:val="auto"/>
          <w:sz w:val="24"/>
          <w:szCs w:val="24"/>
          <w:highlight w:val="none"/>
          <w:lang w:bidi="ar"/>
        </w:rPr>
        <w:t xml:space="preserve">时间，因不可抗力或乙方原因造成的除外。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.1.3甲方有权随时监督乙方工作和进度，并提出合理的修改建议或方案，乙方应积极配合完成。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.2乙方权利义务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2.1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.2.2乙方应按本合同相关规定交付</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。乙方应对提交</w:t>
      </w:r>
      <w:r>
        <w:rPr>
          <w:rFonts w:hint="eastAsia" w:ascii="宋体" w:hAnsi="宋体" w:eastAsia="宋体" w:cs="宋体"/>
          <w:color w:val="auto"/>
          <w:sz w:val="24"/>
          <w:szCs w:val="24"/>
          <w:highlight w:val="none"/>
          <w:lang w:eastAsia="zh-CN" w:bidi="ar"/>
        </w:rPr>
        <w:t xml:space="preserve">服务成果</w:t>
      </w:r>
      <w:r>
        <w:rPr>
          <w:rFonts w:hint="eastAsia" w:ascii="宋体" w:hAnsi="宋体" w:eastAsia="宋体" w:cs="宋体"/>
          <w:color w:val="auto"/>
          <w:sz w:val="24"/>
          <w:szCs w:val="24"/>
          <w:highlight w:val="none"/>
          <w:lang w:bidi="ar"/>
        </w:rPr>
        <w:t xml:space="preserve">的深度、及时性、完整性、正确性等负责。如果</w:t>
      </w:r>
      <w:r>
        <w:rPr>
          <w:rFonts w:hint="eastAsia" w:ascii="宋体" w:hAnsi="宋体" w:eastAsia="宋体" w:cs="宋体"/>
          <w:color w:val="auto"/>
          <w:sz w:val="24"/>
          <w:szCs w:val="24"/>
          <w:highlight w:val="none"/>
          <w:lang w:eastAsia="zh-CN" w:bidi="ar"/>
        </w:rPr>
        <w:t xml:space="preserve">服务</w:t>
      </w:r>
      <w:r>
        <w:rPr>
          <w:rFonts w:hint="eastAsia" w:ascii="宋体" w:hAnsi="宋体" w:eastAsia="宋体" w:cs="宋体"/>
          <w:color w:val="auto"/>
          <w:sz w:val="24"/>
          <w:szCs w:val="24"/>
          <w:highlight w:val="none"/>
          <w:lang w:bidi="ar"/>
        </w:rPr>
        <w:t xml:space="preserve">成果中出现了遗漏或错误，乙方应无条件负责修改或补充。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.2.3乙方应参加</w:t>
      </w:r>
      <w:r>
        <w:rPr>
          <w:rFonts w:hint="eastAsia" w:ascii="宋体" w:hAnsi="宋体" w:eastAsia="宋体" w:cs="宋体"/>
          <w:color w:val="auto"/>
          <w:sz w:val="24"/>
          <w:szCs w:val="24"/>
          <w:highlight w:val="none"/>
          <w:lang w:eastAsia="zh-CN" w:bidi="ar"/>
        </w:rPr>
        <w:t xml:space="preserve">服务项目</w:t>
      </w:r>
      <w:r>
        <w:rPr>
          <w:rFonts w:hint="eastAsia" w:ascii="宋体" w:hAnsi="宋体" w:eastAsia="宋体" w:cs="宋体"/>
          <w:color w:val="auto"/>
          <w:sz w:val="24"/>
          <w:szCs w:val="24"/>
          <w:highlight w:val="none"/>
          <w:lang w:bidi="ar"/>
        </w:rPr>
        <w:t xml:space="preserve">审查、验收等会议，并根据会议意见负责工作任务范围内的必要调整及补充。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2.4如乙方因本项目工作的需要与第三方进行互补性专业合作的，但事先须征得甲方书面同意，乙方需确保与第三方的专业合作的工作进度及工作质量，同时乙方必须要求此第三方履行与乙方同样的保密义务，且甲方对前述合作内容无需另行支付任何其他费用。</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六</w:t>
      </w:r>
      <w:r>
        <w:rPr>
          <w:rFonts w:hint="eastAsia" w:ascii="宋体" w:hAnsi="宋体" w:eastAsia="宋体" w:cs="宋体"/>
          <w:b/>
          <w:color w:val="auto"/>
          <w:sz w:val="24"/>
          <w:szCs w:val="24"/>
          <w:highlight w:val="none"/>
          <w:lang w:bidi="ar"/>
        </w:rPr>
        <w:t xml:space="preserve">条   知识产权</w:t>
      </w:r>
      <w:r>
        <w:rPr>
          <w:rFonts w:hint="eastAsia" w:ascii="宋体" w:hAnsi="宋体" w:eastAsia="宋体" w:cs="宋体"/>
          <w:b/>
          <w:color w:val="auto"/>
          <w:sz w:val="24"/>
          <w:szCs w:val="24"/>
          <w:highlight w:val="none"/>
          <w:lang w:eastAsia="zh-CN" w:bidi="ar"/>
        </w:rPr>
        <w:t xml:space="preserve">和项目保密</w:t>
      </w:r>
      <w:r/>
    </w:p>
    <w:p>
      <w:pPr>
        <w:ind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6</w:t>
      </w:r>
      <w:r>
        <w:rPr>
          <w:rFonts w:hint="eastAsia" w:ascii="宋体" w:hAnsi="宋体" w:eastAsia="宋体" w:cs="宋体"/>
          <w:b w:val="0"/>
          <w:bCs/>
          <w:color w:val="auto"/>
          <w:sz w:val="24"/>
          <w:szCs w:val="24"/>
          <w:highlight w:val="none"/>
          <w:lang w:val="en-US" w:eastAsia="zh-CN" w:bidi="ar"/>
        </w:rPr>
        <w:t xml:space="preserve">.1知识产权</w:t>
      </w:r>
      <w:r/>
    </w:p>
    <w:p>
      <w:pPr>
        <w:ind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在本项目进行过程中，所产生的所有与本项目相关的，无论以任何载体形式出现的工作成果，其知识产权均属于</w:t>
      </w:r>
      <w:r>
        <w:rPr>
          <w:rFonts w:hint="eastAsia" w:ascii="宋体" w:hAnsi="宋体" w:eastAsia="宋体" w:cs="宋体"/>
          <w:b w:val="0"/>
          <w:bCs/>
          <w:color w:val="auto"/>
          <w:sz w:val="24"/>
          <w:szCs w:val="24"/>
          <w:highlight w:val="none"/>
          <w:lang w:eastAsia="zh-CN" w:bidi="ar"/>
        </w:rPr>
        <w:t xml:space="preserve">甲方</w:t>
      </w:r>
      <w:r>
        <w:rPr>
          <w:rFonts w:hint="eastAsia" w:ascii="宋体" w:hAnsi="宋体" w:eastAsia="宋体" w:cs="宋体"/>
          <w:b w:val="0"/>
          <w:bCs/>
          <w:color w:val="auto"/>
          <w:sz w:val="24"/>
          <w:szCs w:val="24"/>
          <w:highlight w:val="none"/>
          <w:lang w:bidi="ar"/>
        </w:rPr>
        <w:t xml:space="preserve">所有。</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.2保密条款</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.2.1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及其工作人员需遵守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的保密规定，不以任何形式将收集的所有资料、数据等进行泄漏、传播。项目成果最终所有权属</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，在项目完成时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必须全部移交。以上保密规定如有违反，采购单位有权追究成交单位相关法律责任。</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numPr>
          <w:ilvl w:val="0"/>
          <w:numId w:val="0"/>
        </w:num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第</w:t>
      </w:r>
      <w:r>
        <w:rPr>
          <w:rFonts w:hint="eastAsia" w:ascii="宋体" w:hAnsi="宋体" w:cs="宋体"/>
          <w:b/>
          <w:color w:val="auto"/>
          <w:sz w:val="24"/>
          <w:szCs w:val="24"/>
          <w:highlight w:val="none"/>
          <w:lang w:val="en-US" w:eastAsia="zh-CN" w:bidi="ar"/>
        </w:rPr>
        <w:t xml:space="preserve">七</w:t>
      </w:r>
      <w:r>
        <w:rPr>
          <w:rFonts w:hint="eastAsia" w:ascii="宋体" w:hAnsi="宋体" w:eastAsia="宋体" w:cs="宋体"/>
          <w:b/>
          <w:color w:val="auto"/>
          <w:sz w:val="24"/>
          <w:szCs w:val="24"/>
          <w:highlight w:val="none"/>
          <w:lang w:val="en-US" w:eastAsia="zh-CN" w:bidi="ar"/>
        </w:rPr>
        <w:t xml:space="preserve">条   履约保证金</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无。</w:t>
      </w:r>
      <w:r/>
    </w:p>
    <w:p>
      <w:pPr>
        <w:ind w:firstLine="482"/>
        <w:keepLines w:val="0"/>
        <w:keepNext w:val="0"/>
        <w:pageBreakBefore w:val="0"/>
        <w:spacing w:before="120" w:after="120" w:line="44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lang w:eastAsia="zh-CN"/>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eastAsia="zh-CN"/>
        </w:rPr>
        <w:t xml:space="preserve">条</w:t>
      </w:r>
      <w:r>
        <w:rPr>
          <w:rFonts w:hint="eastAsia" w:ascii="宋体" w:hAnsi="宋体" w:eastAsia="宋体" w:cs="宋体"/>
          <w:b/>
          <w:color w:val="auto"/>
          <w:sz w:val="24"/>
          <w:szCs w:val="24"/>
          <w:highlight w:val="none"/>
          <w:lang w:val="en-US" w:eastAsia="zh-CN"/>
        </w:rPr>
        <w:t xml:space="preserve">  履约保证和</w:t>
      </w:r>
      <w:r>
        <w:rPr>
          <w:rFonts w:hint="eastAsia" w:ascii="宋体" w:hAnsi="宋体" w:eastAsia="宋体" w:cs="宋体"/>
          <w:b/>
          <w:color w:val="auto"/>
          <w:sz w:val="24"/>
          <w:szCs w:val="24"/>
          <w:highlight w:val="none"/>
        </w:rPr>
        <w:t xml:space="preserve">项目验收</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 乙方应按照采购文件规定的服务要求、质量标准向甲方提供服务。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
        </w:rPr>
        <w:t xml:space="preserve">8</w:t>
      </w: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val="en-US" w:eastAsia="zh-CN" w:bidi="ar"/>
        </w:rPr>
        <w:t xml:space="preserve"> </w:t>
      </w:r>
      <w:r>
        <w:rPr>
          <w:rFonts w:hint="eastAsia" w:ascii="宋体" w:hAnsi="宋体" w:eastAsia="宋体" w:cs="宋体"/>
          <w:color w:val="auto"/>
          <w:sz w:val="24"/>
          <w:szCs w:val="24"/>
          <w:highlight w:val="none"/>
        </w:rPr>
        <w:t xml:space="preserve">甲方依法组织履约验收工作。</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九</w:t>
      </w:r>
      <w:r>
        <w:rPr>
          <w:rFonts w:hint="eastAsia" w:ascii="宋体" w:hAnsi="宋体" w:eastAsia="宋体" w:cs="宋体"/>
          <w:b/>
          <w:color w:val="auto"/>
          <w:sz w:val="24"/>
          <w:szCs w:val="24"/>
          <w:highlight w:val="none"/>
          <w:lang w:bidi="ar"/>
        </w:rPr>
        <w:t xml:space="preserve">条  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1甲、乙任何一方不履行本合同责任或者履行本合同责任不符合本合同规定的，应当承担继续履行、采取补救措施或者赔偿损失等违约责任。损失赔偿金额总额以甲方应向乙方已支付的费用为限，在任何情况下累计赔偿金额不超过合同价款总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.2本合同生效后，因甲方单方原因中途终止或解除本合同的，双方应根据乙方已完成的工作量支付相应的合理费用（如有），如甲方已支付的，经双方结算后，乙方应将剩余费用无息退还至甲方。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.3本合同生效后，因乙方单方原因中途终止或解除合同时，乙方应无息返还甲方已经支付但未实际完成相应工作任务的费用，并按照甲方实际损失进行赔偿。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应无息返还甲方已经支付的费用并按照合同价款的总额想甲方支付违约金。</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cs="宋体"/>
          <w:b/>
          <w:color w:val="auto"/>
          <w:sz w:val="24"/>
          <w:szCs w:val="24"/>
          <w:highlight w:val="none"/>
          <w:lang w:val="en-US" w:eastAsia="zh-CN" w:bidi="ar"/>
        </w:rPr>
        <w:t xml:space="preserve">十</w:t>
      </w:r>
      <w:r>
        <w:rPr>
          <w:rFonts w:hint="eastAsia" w:ascii="宋体" w:hAnsi="宋体" w:eastAsia="宋体" w:cs="宋体"/>
          <w:b/>
          <w:color w:val="auto"/>
          <w:sz w:val="24"/>
          <w:szCs w:val="24"/>
          <w:highlight w:val="none"/>
          <w:lang w:bidi="ar"/>
        </w:rPr>
        <w:t xml:space="preserve">条    合同变更、解除和终止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.1甲、乙双方因故需变更或终止本合同时，应提前7个工作日书面通知对方，对本合同中的遗留问题取得一致意见，形成书面协议作为本合同附件。未达成协议前，本合同继续有效。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.2本合同以乙方向甲方提供本合同规定的全部成果文件，甲方按本合同规定付清全部费用之日起，终止本合同关系，本合同另有条款约定的除外。</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w:t>
      </w:r>
      <w:r>
        <w:rPr>
          <w:rFonts w:hint="eastAsia" w:ascii="宋体" w:hAnsi="宋体" w:cs="宋体"/>
          <w:b/>
          <w:color w:val="auto"/>
          <w:sz w:val="24"/>
          <w:szCs w:val="24"/>
          <w:highlight w:val="none"/>
          <w:lang w:val="en-US" w:eastAsia="zh-CN" w:bidi="ar"/>
        </w:rPr>
        <w:t xml:space="preserve">一</w:t>
      </w:r>
      <w:r>
        <w:rPr>
          <w:rFonts w:hint="eastAsia" w:ascii="宋体" w:hAnsi="宋体" w:eastAsia="宋体" w:cs="宋体"/>
          <w:b/>
          <w:color w:val="auto"/>
          <w:sz w:val="24"/>
          <w:szCs w:val="24"/>
          <w:highlight w:val="none"/>
          <w:lang w:bidi="ar"/>
        </w:rPr>
        <w:t xml:space="preserve">条    争议处理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本合同发生争议时，甲、乙双方应友好协商解决。如协商不成的，双方同意由</w:t>
      </w:r>
      <w:r>
        <w:rPr>
          <w:rFonts w:hint="eastAsia" w:ascii="宋体" w:hAnsi="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所在地人民法院管辖。</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w:t>
      </w:r>
      <w:r>
        <w:rPr>
          <w:rFonts w:hint="eastAsia" w:ascii="宋体" w:hAnsi="宋体" w:cs="宋体"/>
          <w:b/>
          <w:color w:val="auto"/>
          <w:sz w:val="24"/>
          <w:szCs w:val="24"/>
          <w:highlight w:val="none"/>
          <w:lang w:val="en-US" w:eastAsia="zh-CN" w:bidi="ar"/>
        </w:rPr>
        <w:t xml:space="preserve">二</w:t>
      </w:r>
      <w:r>
        <w:rPr>
          <w:rFonts w:hint="eastAsia" w:ascii="宋体" w:hAnsi="宋体" w:eastAsia="宋体" w:cs="宋体"/>
          <w:b/>
          <w:color w:val="auto"/>
          <w:sz w:val="24"/>
          <w:szCs w:val="24"/>
          <w:highlight w:val="none"/>
          <w:lang w:bidi="ar"/>
        </w:rPr>
        <w:t xml:space="preserve">条    合同生效和其他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.1本合同经甲乙双方授权代表签订并加盖公章后，自签订之日起生效。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由于不可抗力因素致使合同无法履行时，甲、乙双方应及时协商解决。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未尽事宜，经甲、乙双方协商一致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签订补充协议，补充协议与本合同具有同等效力。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本合同一式伍份，甲方贰份、乙方贰份、采购代理机构壹份</w:t>
      </w:r>
      <w:r>
        <w:rPr>
          <w:rFonts w:hint="eastAsia" w:ascii="宋体" w:hAnsi="宋体" w:eastAsia="宋体" w:cs="宋体"/>
          <w:color w:val="auto"/>
          <w:sz w:val="24"/>
          <w:szCs w:val="24"/>
          <w:highlight w:val="none"/>
          <w:lang w:eastAsia="zh-CN" w:bidi="ar"/>
        </w:rPr>
        <w:t xml:space="preserve">存档</w:t>
      </w:r>
      <w:r>
        <w:rPr>
          <w:rFonts w:hint="eastAsia" w:ascii="宋体" w:hAnsi="宋体" w:eastAsia="宋体" w:cs="宋体"/>
          <w:color w:val="auto"/>
          <w:sz w:val="24"/>
          <w:szCs w:val="24"/>
          <w:highlight w:val="none"/>
          <w:lang w:bidi="ar"/>
        </w:rPr>
        <w:t xml:space="preserve">，各份均具同等法律效力。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其他未尽事宜，参照相关法律，双方协商解决。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甲方：单位名称（章）：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经办人：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乙方：单位名称（章）：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经办人：                      电  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                    银行帐号：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3"/>
        <w:jc w:val="left"/>
        <w:keepLines w:val="0"/>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附：</w:t>
      </w:r>
      <w:r/>
    </w:p>
    <w:p>
      <w:pPr>
        <w:pStyle w:val="123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284"/>
        <w:ind w:firstLine="480"/>
        <w:spacing w:after="240" w:afterAutospacing="0" w:line="360" w:lineRule="auto"/>
        <w:rPr>
          <w:color w:val="auto"/>
          <w:highlight w:val="none"/>
        </w:rPr>
      </w:pPr>
      <w:r>
        <w:rPr>
          <w:rFonts w:hint="eastAsia"/>
          <w:color w:val="auto"/>
          <w:highlight w:val="none"/>
        </w:rPr>
        <w:t xml:space="preserve">采购人（甲方）：                        供应商（乙方）：</w:t>
      </w:r>
      <w:r/>
    </w:p>
    <w:p>
      <w:pPr>
        <w:pStyle w:val="1284"/>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284"/>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284"/>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284"/>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284"/>
        <w:spacing w:before="0" w:beforeAutospacing="0" w:after="0" w:afterAutospacing="0"/>
        <w:rPr>
          <w:bCs/>
          <w:color w:val="auto"/>
          <w:highlight w:val="none"/>
        </w:rPr>
      </w:pPr>
      <w:r>
        <w:rPr>
          <w:rFonts w:hint="eastAsia"/>
          <w:bCs/>
          <w:color w:val="auto"/>
          <w:highlight w:val="none"/>
        </w:rPr>
        <w:t xml:space="preserve">  </w:t>
      </w:r>
      <w:r/>
    </w:p>
    <w:p>
      <w:pPr>
        <w:pStyle w:val="1284"/>
        <w:spacing w:before="0" w:beforeAutospacing="0" w:after="0" w:afterAutospacing="0"/>
        <w:rPr>
          <w:color w:val="auto"/>
          <w:highlight w:val="none"/>
        </w:rPr>
      </w:pPr>
      <w:r>
        <w:rPr>
          <w:rFonts w:hint="eastAsia"/>
          <w:bCs/>
          <w:color w:val="auto"/>
          <w:highlight w:val="none"/>
        </w:rPr>
        <w:t xml:space="preserve">                  年   月   日                            年   月   日</w:t>
      </w:r>
      <w:r/>
    </w:p>
    <w:p>
      <w:pPr>
        <w:pStyle w:val="1266"/>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outlineLvl w:val="0"/>
      </w:pPr>
      <w:r/>
      <w:bookmarkStart w:id="655" w:name="_Toc18312"/>
      <w:r>
        <w:rPr>
          <w:b/>
          <w:color w:val="auto"/>
          <w:sz w:val="36"/>
          <w:szCs w:val="36"/>
          <w:highlight w:val="none"/>
        </w:rPr>
        <w:t xml:space="preserve">第六章   响应文件格式</w:t>
      </w:r>
      <w:bookmarkEnd w:id="655"/>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235"/>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234"/>
        <w:ind w:firstLine="480"/>
        <w:spacing w:line="460" w:lineRule="exact"/>
        <w:rPr>
          <w:color w:val="auto"/>
          <w:highlight w:val="none"/>
        </w:rPr>
      </w:pPr>
      <w:r>
        <w:rPr>
          <w:color w:val="auto"/>
          <w:highlight w:val="none"/>
        </w:rPr>
      </w:r>
      <w:r/>
    </w:p>
    <w:p>
      <w:pPr>
        <w:pStyle w:val="1234"/>
        <w:ind w:firstLine="480"/>
        <w:spacing w:line="460" w:lineRule="exact"/>
        <w:rPr>
          <w:color w:val="auto"/>
          <w:highlight w:val="none"/>
        </w:rPr>
      </w:pPr>
      <w:r>
        <w:rPr>
          <w:rFonts w:hint="eastAsia"/>
          <w:color w:val="auto"/>
          <w:highlight w:val="none"/>
        </w:rPr>
        <w:t xml:space="preserve">致：常州盈泰招标有限公司</w:t>
      </w:r>
      <w:r/>
    </w:p>
    <w:p>
      <w:pPr>
        <w:pStyle w:val="1234"/>
        <w:ind w:firstLine="960"/>
        <w:spacing w:line="460" w:lineRule="exact"/>
        <w:rPr>
          <w:color w:val="auto"/>
          <w:highlight w:val="none"/>
          <w:u w:val="single"/>
        </w:rPr>
      </w:pPr>
      <w:r>
        <w:rPr>
          <w:rFonts w:hint="eastAsia"/>
          <w:color w:val="auto"/>
          <w:highlight w:val="none"/>
          <w:u w:val="single"/>
        </w:rPr>
        <w:t xml:space="preserve">（采购人名称）</w:t>
      </w:r>
      <w:r/>
    </w:p>
    <w:p>
      <w:pPr>
        <w:pStyle w:val="1234"/>
        <w:ind w:firstLine="480"/>
        <w:spacing w:line="460" w:lineRule="exact"/>
        <w:rPr>
          <w:color w:val="auto"/>
          <w:highlight w:val="none"/>
        </w:rPr>
      </w:pPr>
      <w:r>
        <w:rPr>
          <w:color w:val="auto"/>
          <w:highlight w:val="none"/>
        </w:rPr>
      </w:r>
      <w:r/>
    </w:p>
    <w:p>
      <w:pPr>
        <w:pStyle w:val="1234"/>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234"/>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234"/>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234"/>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234"/>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234"/>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234"/>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234"/>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234"/>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4"/>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234"/>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234"/>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234"/>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234"/>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234"/>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234"/>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234"/>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234"/>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234"/>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51"/>
        <w:ind w:firstLine="480"/>
        <w:spacing w:line="460" w:lineRule="exact"/>
        <w:rPr>
          <w:color w:val="auto"/>
          <w:highlight w:val="none"/>
        </w:rPr>
      </w:pPr>
      <w:r>
        <w:rPr>
          <w:rFonts w:hint="eastAsia"/>
          <w:b/>
          <w:bCs/>
          <w:color w:val="auto"/>
          <w:highlight w:val="none"/>
          <w:lang w:val="en-US" w:eastAsia="zh-CN"/>
        </w:rPr>
        <w:t xml:space="preserve">十一、我单位法定代表人的社保缴纳单位为：</w:t>
      </w:r>
      <w:r>
        <w:rPr>
          <w:rFonts w:hint="eastAsia"/>
          <w:b/>
          <w:bCs/>
          <w:color w:val="auto"/>
          <w:highlight w:val="none"/>
          <w:u w:val="single"/>
          <w:lang w:val="en-US" w:eastAsia="zh-CN"/>
        </w:rPr>
        <w:t xml:space="preserve">                    </w:t>
      </w:r>
      <w:r>
        <w:rPr>
          <w:rFonts w:hint="eastAsia"/>
          <w:b/>
          <w:bCs/>
          <w:color w:val="auto"/>
          <w:highlight w:val="none"/>
          <w:lang w:val="en-US" w:eastAsia="zh-CN"/>
        </w:rPr>
        <w:t xml:space="preserve">。（请供应商如实填写）。</w:t>
      </w:r>
      <w:r/>
    </w:p>
    <w:p>
      <w:pPr>
        <w:pStyle w:val="1234"/>
        <w:ind w:firstLine="480"/>
        <w:spacing w:line="460" w:lineRule="exact"/>
        <w:rPr>
          <w:color w:val="auto"/>
          <w:highlight w:val="none"/>
        </w:rPr>
      </w:pPr>
      <w:r>
        <w:rPr>
          <w:color w:val="auto"/>
          <w:highlight w:val="none"/>
        </w:rPr>
      </w:r>
      <w:r/>
    </w:p>
    <w:p>
      <w:pPr>
        <w:pStyle w:val="1234"/>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234"/>
        <w:ind w:firstLine="480"/>
        <w:spacing w:line="460" w:lineRule="exact"/>
        <w:rPr>
          <w:color w:val="auto"/>
          <w:highlight w:val="none"/>
        </w:rPr>
      </w:pPr>
      <w:r>
        <w:rPr>
          <w:color w:val="auto"/>
          <w:highlight w:val="none"/>
        </w:rPr>
      </w:r>
      <w:r/>
    </w:p>
    <w:p>
      <w:pPr>
        <w:pStyle w:val="1234"/>
        <w:ind w:firstLine="480"/>
        <w:spacing w:line="460" w:lineRule="exact"/>
        <w:rPr>
          <w:color w:val="auto"/>
          <w:highlight w:val="none"/>
        </w:rPr>
      </w:pPr>
      <w:r>
        <w:rPr>
          <w:color w:val="auto"/>
          <w:highlight w:val="none"/>
        </w:rPr>
      </w:r>
      <w:r/>
    </w:p>
    <w:p>
      <w:pPr>
        <w:pStyle w:val="1234"/>
        <w:ind w:firstLine="480"/>
        <w:spacing w:line="460" w:lineRule="exact"/>
        <w:rPr>
          <w:color w:val="auto"/>
          <w:highlight w:val="none"/>
        </w:rPr>
      </w:pPr>
      <w:r>
        <w:rPr>
          <w:rFonts w:hint="eastAsia"/>
          <w:color w:val="auto"/>
          <w:highlight w:val="none"/>
        </w:rPr>
        <w:t xml:space="preserve">                                            供应商：（加盖公章）</w:t>
      </w:r>
      <w:r/>
    </w:p>
    <w:p>
      <w:pPr>
        <w:pStyle w:val="1234"/>
        <w:ind w:firstLine="480"/>
        <w:spacing w:line="460" w:lineRule="exact"/>
        <w:rPr>
          <w:color w:val="auto"/>
          <w:highlight w:val="none"/>
        </w:rPr>
      </w:pPr>
      <w:r>
        <w:rPr>
          <w:rFonts w:hint="eastAsia"/>
          <w:color w:val="auto"/>
          <w:highlight w:val="none"/>
        </w:rPr>
        <w:t xml:space="preserve">                                           法定代表人（或单位负责人）签字或盖章：</w:t>
      </w:r>
      <w:r/>
    </w:p>
    <w:p>
      <w:pPr>
        <w:pStyle w:val="1234"/>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1"/>
          <w:footerReference w:type="default" r:id="rId22"/>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spacing w:line="360" w:lineRule="auto"/>
        <w:rPr>
          <w:rFonts w:ascii="宋体" w:hAnsi="宋体" w:cs="宋体"/>
          <w:b w:val="0"/>
          <w:bCs w:val="0"/>
          <w:color w:val="auto"/>
          <w:sz w:val="24"/>
          <w:szCs w:val="20"/>
          <w:highlight w:val="none"/>
        </w:rPr>
        <w:outlineLvl w:val="2"/>
      </w:pPr>
      <w:r>
        <w:rPr>
          <w:rFonts w:hint="eastAsia" w:ascii="宋体" w:hAnsi="宋体" w:cs="宋体"/>
          <w:b w:val="0"/>
          <w:bCs w:val="0"/>
          <w:color w:val="auto"/>
          <w:sz w:val="24"/>
          <w:highlight w:val="none"/>
        </w:rPr>
        <w:t xml:space="preserve">2  </w:t>
      </w:r>
      <w:r>
        <w:rPr>
          <w:rFonts w:hint="eastAsia" w:ascii="宋体" w:hAnsi="宋体" w:cs="宋体"/>
          <w:b w:val="0"/>
          <w:bCs w:val="0"/>
          <w:color w:val="auto"/>
          <w:sz w:val="24"/>
          <w:szCs w:val="20"/>
          <w:highlight w:val="none"/>
        </w:rPr>
        <w:t xml:space="preserve">落实政府采购政策需满足的资格要求：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本项目专门面向 </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中小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小微企业  采购。即：提供的服务全部由符合政策要求的中小企业承接。</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w:t>
      </w:r>
      <w:r>
        <w:rPr>
          <w:rFonts w:hint="eastAsia" w:ascii="宋体" w:hAnsi="宋体" w:cs="宋体"/>
          <w:color w:val="auto"/>
          <w:sz w:val="24"/>
          <w:highlight w:val="none"/>
        </w:rPr>
        <w:t xml:space="preserve">其它落实政府采购政策的资格要求</w:t>
      </w:r>
      <w:r>
        <w:rPr>
          <w:rFonts w:hint="eastAsia" w:ascii="宋体" w:hAnsi="宋体" w:cs="宋体"/>
          <w:color w:val="auto"/>
          <w:sz w:val="24"/>
          <w:szCs w:val="20"/>
          <w:highlight w:val="none"/>
        </w:rPr>
        <w:t xml:space="preserve">：无。</w:t>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spacing w:line="360" w:lineRule="auto"/>
        <w:rPr>
          <w:rFonts w:ascii="宋体" w:hAnsi="宋体" w:cs="宋体"/>
          <w:b w:val="0"/>
          <w:bCs w:val="0"/>
          <w:color w:val="auto"/>
          <w:sz w:val="24"/>
          <w:szCs w:val="20"/>
          <w:highlight w:val="none"/>
        </w:rPr>
        <w:outlineLvl w:val="2"/>
      </w:pPr>
      <w:r>
        <w:rPr>
          <w:rFonts w:hint="eastAsia" w:ascii="宋体" w:hAnsi="宋体" w:cs="宋体"/>
          <w:b w:val="0"/>
          <w:bCs w:val="0"/>
          <w:color w:val="auto"/>
          <w:sz w:val="24"/>
          <w:szCs w:val="20"/>
          <w:highlight w:val="none"/>
        </w:rPr>
        <w:t xml:space="preserve">3 </w:t>
      </w:r>
      <w:r>
        <w:rPr>
          <w:rFonts w:hint="eastAsia" w:ascii="宋体" w:hAnsi="宋体" w:cs="宋体"/>
          <w:b w:val="0"/>
          <w:bCs w:val="0"/>
          <w:color w:val="auto"/>
          <w:sz w:val="24"/>
          <w:szCs w:val="20"/>
          <w:highlight w:val="none"/>
          <w:lang w:val="en-US" w:eastAsia="zh-CN"/>
        </w:rPr>
        <w:t xml:space="preserve"> </w:t>
      </w:r>
      <w:r>
        <w:rPr>
          <w:rFonts w:hint="eastAsia" w:ascii="宋体" w:hAnsi="宋体" w:cs="宋体"/>
          <w:b w:val="0"/>
          <w:bCs w:val="0"/>
          <w:color w:val="auto"/>
          <w:sz w:val="24"/>
          <w:szCs w:val="20"/>
          <w:highlight w:val="none"/>
        </w:rPr>
        <w:t xml:space="preserve">本项目的特定资格要求：无。</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3.1联合协议：本项目不接受联合体投标。</w:t>
      </w:r>
      <w:r/>
    </w:p>
    <w:p>
      <w:pPr>
        <w:jc w:val="left"/>
        <w:widowControl/>
        <w:rPr>
          <w:rFonts w:hint="eastAsia" w:eastAsia="宋体"/>
          <w:b/>
          <w:bCs/>
          <w:color w:val="auto"/>
          <w:sz w:val="24"/>
          <w:szCs w:val="20"/>
          <w:highlight w:val="none"/>
          <w:lang w:eastAsia="zh-CN"/>
        </w:rPr>
      </w:pPr>
      <w:r>
        <w:rPr>
          <w:rFonts w:hint="eastAsia" w:ascii="宋体" w:hAnsi="宋体" w:cs="宋体"/>
          <w:color w:val="auto"/>
          <w:sz w:val="24"/>
          <w:szCs w:val="20"/>
          <w:highlight w:val="none"/>
        </w:rPr>
        <w:t xml:space="preserve">3.2其他特定资格要求：</w:t>
      </w:r>
      <w:r>
        <w:rPr>
          <w:rFonts w:hint="eastAsia" w:ascii="宋体" w:hAnsi="宋体" w:cs="宋体"/>
          <w:color w:val="auto"/>
          <w:sz w:val="24"/>
          <w:szCs w:val="20"/>
          <w:highlight w:val="none"/>
          <w:lang w:eastAsia="zh-CN"/>
        </w:rPr>
        <w:t xml:space="preserve">无</w:t>
      </w:r>
      <w:r>
        <w:rPr>
          <w:rFonts w:hint="eastAsia"/>
          <w:b w:val="0"/>
          <w:bCs w:val="0"/>
          <w:color w:val="auto"/>
          <w:sz w:val="24"/>
          <w:szCs w:val="20"/>
          <w:highlight w:val="none"/>
        </w:rPr>
        <w:t xml:space="preserve">。</w:t>
      </w:r>
      <w:r/>
    </w:p>
    <w:p>
      <w:pPr>
        <w:spacing w:line="360" w:lineRule="auto"/>
        <w:rPr>
          <w:color w:val="auto"/>
          <w:sz w:val="24"/>
          <w:szCs w:val="20"/>
          <w:highlight w:val="none"/>
        </w:rPr>
        <w:outlineLvl w:val="2"/>
      </w:pPr>
      <w:r>
        <w:rPr>
          <w:b/>
          <w:color w:val="auto"/>
          <w:sz w:val="24"/>
          <w:highlight w:val="none"/>
        </w:rPr>
        <w:br w:type="page" w:clear="all"/>
      </w:r>
      <w:bookmarkStart w:id="656" w:name="_Toc264969247"/>
      <w:r/>
      <w:bookmarkStart w:id="657" w:name="_Toc226337253"/>
      <w:r/>
      <w:bookmarkStart w:id="658" w:name="_Toc265228395"/>
      <w:r/>
      <w:bookmarkStart w:id="659" w:name="_Toc142311059"/>
      <w:r/>
      <w:bookmarkStart w:id="660" w:name="_Toc226309801"/>
      <w:r/>
      <w:bookmarkStart w:id="661" w:name="_Toc150774762"/>
      <w:r/>
      <w:bookmarkStart w:id="662" w:name="_Ref467988705"/>
      <w:r/>
      <w:bookmarkStart w:id="663" w:name="_Toc127151557"/>
      <w:r/>
      <w:bookmarkStart w:id="664" w:name="_Toc150480795"/>
      <w:r/>
      <w:bookmarkStart w:id="665" w:name="_Toc305158899"/>
      <w:r/>
      <w:bookmarkStart w:id="666" w:name="_Toc520356218"/>
      <w:r/>
      <w:bookmarkStart w:id="667" w:name="_Toc226965747"/>
      <w:r/>
      <w:bookmarkStart w:id="668" w:name="_Toc305158825"/>
      <w:r/>
      <w:bookmarkStart w:id="669" w:name="_Toc195842922"/>
      <w:r/>
      <w:bookmarkStart w:id="670" w:name="_Toc226965830"/>
      <w:r/>
      <w:bookmarkStart w:id="671" w:name="_Toc480942350"/>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w:t>
      </w:r>
      <w:r>
        <w:rPr>
          <w:rFonts w:hint="eastAsia"/>
          <w:color w:val="auto"/>
          <w:sz w:val="24"/>
          <w:szCs w:val="20"/>
          <w:highlight w:val="none"/>
        </w:rPr>
        <w:t xml:space="preserve">：</w:t>
      </w:r>
      <w:r>
        <w:rPr>
          <w:color w:val="auto"/>
          <w:sz w:val="24"/>
          <w:szCs w:val="20"/>
          <w:highlight w:val="none"/>
        </w:rPr>
        <w:t xml:space="preserve">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72" w:name="_Hlt520356243"/>
      <w:r/>
      <w:bookmarkEnd w:id="672"/>
      <w:r/>
      <w:bookmarkStart w:id="673" w:name="_Hlt520355938"/>
      <w:r/>
      <w:bookmarkEnd w:id="673"/>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261"/>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lang w:val="en-US" w:eastAsia="zh-CN"/>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 法人授权委托书（实质性格式）</w:t>
      </w:r>
      <w:r/>
    </w:p>
    <w:p>
      <w:pPr>
        <w:jc w:val="center"/>
        <w:spacing w:line="312" w:lineRule="auto"/>
        <w:rPr>
          <w:rFonts w:hint="eastAsia" w:ascii="宋体" w:hAnsi="宋体" w:cs="宋体"/>
          <w:b/>
          <w:color w:val="auto"/>
          <w:sz w:val="24"/>
          <w:highlight w:val="none"/>
        </w:rPr>
      </w:pPr>
      <w:r/>
      <w:bookmarkStart w:id="674" w:name="_Toc19862"/>
      <w:r/>
      <w:bookmarkStart w:id="675" w:name="_Toc1214"/>
      <w:r/>
      <w:bookmarkStart w:id="676" w:name="_Toc20050"/>
      <w:r/>
      <w:r/>
    </w:p>
    <w:p>
      <w:pPr>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法人授权委托书</w:t>
      </w:r>
      <w:bookmarkEnd w:id="674"/>
      <w:r/>
      <w:bookmarkEnd w:id="675"/>
      <w:r/>
      <w:bookmarkEnd w:id="676"/>
      <w:r/>
      <w:r/>
    </w:p>
    <w:p>
      <w:pPr>
        <w:pStyle w:val="1055"/>
        <w:tabs>
          <w:tab w:val="left" w:pos="567" w:leader="none"/>
        </w:tabs>
        <w:rPr>
          <w:rFonts w:hint="eastAsia"/>
          <w:color w:val="auto"/>
          <w:highlight w:val="none"/>
        </w:rPr>
      </w:pPr>
      <w:r>
        <w:rPr>
          <w:rFonts w:hint="eastAsia"/>
          <w:color w:val="auto"/>
          <w:highlight w:val="none"/>
        </w:rPr>
      </w:r>
      <w:r/>
    </w:p>
    <w:p>
      <w:pPr>
        <w:ind w:firstLine="720"/>
        <w:jc w:val="left"/>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（供应商名称）的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（法定代表人姓名、职务）代表供应商授权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（被授权人的姓名、职务）为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本授权书于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日签字生效，特此声明。</w:t>
      </w:r>
      <w:r/>
    </w:p>
    <w:p>
      <w:pPr>
        <w:pStyle w:val="1055"/>
        <w:tabs>
          <w:tab w:val="left" w:pos="567" w:leader="none"/>
        </w:tabs>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委托代理人签字或盖章：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邮编：</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账号：</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代理人身份证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（双面复印件）粘贴处：</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  政府采购供应商信用承诺书</w:t>
      </w:r>
      <w:r>
        <w:rPr>
          <w:rFonts w:hint="eastAsia" w:ascii="宋体" w:hAnsi="宋体" w:eastAsia="宋体" w:cs="宋体"/>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outlineLvl w:val="1"/>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7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ascii="宋体" w:hAnsi="宋体" w:eastAsia="宋体"/>
          <w:b/>
          <w:bCs w:val="0"/>
          <w:color w:val="auto"/>
          <w:sz w:val="24"/>
          <w:szCs w:val="20"/>
          <w:highlight w:val="none"/>
          <w:lang w:eastAsia="zh-CN"/>
        </w:rPr>
      </w:pPr>
      <w:r>
        <w:rPr>
          <w:color w:val="auto"/>
          <w:sz w:val="24"/>
          <w:szCs w:val="20"/>
          <w:highlight w:val="none"/>
        </w:rPr>
        <w:br w:type="page" w:clear="all"/>
      </w:r>
      <w:r>
        <w:rPr>
          <w:rFonts w:hint="eastAsia"/>
          <w:color w:val="auto"/>
          <w:sz w:val="24"/>
          <w:szCs w:val="20"/>
          <w:highlight w:val="none"/>
          <w:lang w:val="en-US" w:eastAsia="zh-CN"/>
        </w:rPr>
        <w:t xml:space="preserve">8</w:t>
      </w:r>
      <w:r>
        <w:rPr>
          <w:color w:val="auto"/>
          <w:sz w:val="24"/>
          <w:szCs w:val="20"/>
          <w:highlight w:val="none"/>
        </w:rPr>
        <w:t xml:space="preserve">  </w:t>
      </w:r>
      <w:r>
        <w:rPr>
          <w:rFonts w:hint="eastAsia" w:ascii="宋体" w:hAnsi="宋体" w:cs="宋体"/>
          <w:b/>
          <w:bCs w:val="0"/>
          <w:color w:val="auto"/>
          <w:sz w:val="24"/>
          <w:highlight w:val="none"/>
        </w:rPr>
        <w:t xml:space="preserve">供应商管理关系或控股关系信息情况表</w:t>
      </w:r>
      <w:r/>
    </w:p>
    <w:p>
      <w:pPr>
        <w:ind w:firstLine="560"/>
        <w:jc w:val="center"/>
        <w:spacing w:line="52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10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0"/>
              </w:num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0"/>
              </w:numPr>
              <w:ind w:firstLine="561"/>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报价一览表</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jc w:val="center"/>
        <w:rPr>
          <w:b/>
          <w:color w:val="auto"/>
          <w:sz w:val="36"/>
          <w:szCs w:val="36"/>
          <w:highlight w:val="none"/>
        </w:rPr>
      </w:pPr>
      <w:r/>
      <w:bookmarkStart w:id="677" w:name="_Toc164608827"/>
      <w:r/>
      <w:bookmarkStart w:id="678" w:name="_Toc305158826"/>
      <w:r/>
      <w:bookmarkStart w:id="679" w:name="_Toc195842923"/>
      <w:r/>
      <w:bookmarkStart w:id="680" w:name="_Toc226965831"/>
      <w:r/>
      <w:bookmarkStart w:id="681" w:name="_Toc226309802"/>
      <w:r/>
      <w:bookmarkStart w:id="682" w:name="_Toc264969248"/>
      <w:r/>
      <w:bookmarkStart w:id="683" w:name="_Toc226337254"/>
      <w:r/>
      <w:bookmarkStart w:id="684" w:name="_Toc265228396"/>
      <w:r/>
      <w:bookmarkStart w:id="685" w:name="_Toc226965748"/>
      <w:r/>
      <w:bookmarkStart w:id="686" w:name="_Toc164608672"/>
      <w:r/>
      <w:bookmarkStart w:id="687" w:name="_Toc305158900"/>
      <w:r>
        <w:rPr>
          <w:rFonts w:hint="eastAsia"/>
          <w:b/>
          <w:color w:val="auto"/>
          <w:sz w:val="36"/>
          <w:szCs w:val="36"/>
          <w:highlight w:val="none"/>
        </w:rPr>
        <w:t xml:space="preserve">报价一览表</w:t>
      </w:r>
      <w:bookmarkEnd w:id="677"/>
      <w:r/>
      <w:bookmarkEnd w:id="678"/>
      <w:r/>
      <w:bookmarkEnd w:id="679"/>
      <w:r/>
      <w:bookmarkEnd w:id="680"/>
      <w:r/>
      <w:bookmarkEnd w:id="681"/>
      <w:r/>
      <w:bookmarkEnd w:id="682"/>
      <w:r/>
      <w:bookmarkEnd w:id="683"/>
      <w:r/>
      <w:bookmarkEnd w:id="684"/>
      <w:r/>
      <w:bookmarkEnd w:id="685"/>
      <w:r/>
      <w:bookmarkEnd w:id="686"/>
      <w:r/>
      <w:bookmarkEnd w:id="687"/>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0"/>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3317"/>
        <w:gridCol w:w="2097"/>
        <w:gridCol w:w="2206"/>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7"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430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spacing w:line="312" w:lineRule="auto"/>
        <w:rPr>
          <w:rFonts w:ascii="宋体" w:hAnsi="宋体" w:cs="宋体"/>
          <w:bCs/>
          <w:color w:val="auto"/>
          <w:sz w:val="24"/>
          <w:highlight w:val="none"/>
        </w:rPr>
      </w:pPr>
      <w:r/>
      <w:bookmarkStart w:id="688" w:name="_Toc226337255"/>
      <w:r/>
      <w:bookmarkStart w:id="689" w:name="_Toc150774763"/>
      <w:r/>
      <w:bookmarkStart w:id="690" w:name="_Toc264969249"/>
      <w:r/>
      <w:bookmarkStart w:id="691" w:name="_Toc226965749"/>
      <w:r/>
      <w:bookmarkStart w:id="692" w:name="_Toc195842924"/>
      <w:r/>
      <w:bookmarkStart w:id="693" w:name="_Toc150480796"/>
      <w:r/>
      <w:bookmarkStart w:id="694" w:name="_Toc305158827"/>
      <w:r/>
      <w:bookmarkStart w:id="695" w:name="_Toc226965832"/>
      <w:r/>
      <w:bookmarkStart w:id="696" w:name="_Toc142311060"/>
      <w:r/>
      <w:bookmarkStart w:id="697" w:name="_Toc305158901"/>
      <w:r/>
      <w:bookmarkStart w:id="698" w:name="_Toc127151558"/>
      <w:r/>
      <w:bookmarkStart w:id="699" w:name="_Toc226309803"/>
      <w:r/>
      <w:bookmarkStart w:id="700" w:name="_Toc265228397"/>
      <w:r>
        <w:rPr>
          <w:color w:val="auto"/>
          <w:sz w:val="24"/>
          <w:szCs w:val="20"/>
          <w:highlight w:val="none"/>
        </w:rPr>
        <w:br w:type="page" w:clear="all"/>
      </w:r>
      <w:r>
        <w:rPr>
          <w:rFonts w:hint="eastAsia"/>
          <w:color w:val="auto"/>
          <w:sz w:val="24"/>
          <w:szCs w:val="20"/>
          <w:highlight w:val="none"/>
          <w:lang w:val="en-US" w:eastAsia="zh-CN"/>
        </w:rPr>
        <w:t xml:space="preserve">10</w:t>
      </w:r>
      <w:r>
        <w:rPr>
          <w:color w:val="auto"/>
          <w:sz w:val="24"/>
          <w:szCs w:val="20"/>
          <w:highlight w:val="none"/>
        </w:rPr>
        <w:t xml:space="preserve">  </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Start w:id="701" w:name="_Toc265228400"/>
      <w:r/>
      <w:bookmarkStart w:id="702" w:name="_Toc305158830"/>
      <w:r/>
      <w:bookmarkStart w:id="703" w:name="_Toc226965835"/>
      <w:r/>
      <w:bookmarkStart w:id="704" w:name="_Toc264969252"/>
      <w:r/>
      <w:bookmarkStart w:id="705" w:name="_Toc142311062"/>
      <w:r/>
      <w:bookmarkStart w:id="706" w:name="_Toc127151562"/>
      <w:r/>
      <w:bookmarkStart w:id="707" w:name="_Toc226309806"/>
      <w:r/>
      <w:bookmarkStart w:id="708" w:name="_Toc226965752"/>
      <w:r/>
      <w:bookmarkStart w:id="709" w:name="_Toc305158904"/>
      <w:r/>
      <w:bookmarkStart w:id="710" w:name="_Toc226337258"/>
      <w:r/>
      <w:bookmarkStart w:id="711" w:name="_Toc150480798"/>
      <w:r/>
      <w:bookmarkStart w:id="712" w:name="_Toc150774765"/>
      <w:r/>
      <w:bookmarkStart w:id="713" w:name="_Toc195842927"/>
      <w:r/>
      <w:bookmarkStart w:id="714" w:name="_Toc226965751"/>
      <w:r/>
      <w:bookmarkStart w:id="715" w:name="_Toc195842926"/>
      <w:r/>
      <w:bookmarkStart w:id="716" w:name="_Toc142311061"/>
      <w:r/>
      <w:bookmarkStart w:id="717" w:name="_Toc127151561"/>
      <w:r/>
      <w:bookmarkStart w:id="718" w:name="_Toc305158903"/>
      <w:r/>
      <w:bookmarkStart w:id="719" w:name="_Toc150774764"/>
      <w:r/>
      <w:bookmarkStart w:id="720" w:name="_Toc264969251"/>
      <w:r/>
      <w:bookmarkStart w:id="721" w:name="_Toc226337257"/>
      <w:r/>
      <w:bookmarkStart w:id="722" w:name="_Toc265228399"/>
      <w:r/>
      <w:bookmarkStart w:id="723" w:name="_Toc226309805"/>
      <w:r/>
      <w:bookmarkStart w:id="724" w:name="_Toc226965834"/>
      <w:r/>
      <w:bookmarkStart w:id="725" w:name="_Toc150480797"/>
      <w:r/>
      <w:bookmarkStart w:id="726" w:name="_Toc305158829"/>
      <w:r>
        <w:rPr>
          <w:rFonts w:hint="eastAsia" w:ascii="宋体" w:hAnsi="宋体" w:cs="宋体"/>
          <w:bCs/>
          <w:color w:val="auto"/>
          <w:sz w:val="24"/>
          <w:highlight w:val="none"/>
        </w:rPr>
        <w:t xml:space="preserve">分项报价表</w:t>
      </w:r>
      <w:r/>
    </w:p>
    <w:p>
      <w:pPr>
        <w:spacing w:line="360" w:lineRule="auto"/>
        <w:rPr>
          <w:color w:val="auto"/>
          <w:sz w:val="24"/>
          <w:szCs w:val="20"/>
          <w:highlight w:val="none"/>
        </w:rPr>
      </w:pPr>
      <w:r/>
      <w:bookmarkStart w:id="727" w:name="_Toc23177"/>
      <w:r/>
      <w:bookmarkStart w:id="728" w:name="_Toc25130"/>
      <w:r/>
      <w:bookmarkStart w:id="729" w:name="_Toc29062"/>
      <w:r/>
      <w:bookmarkStart w:id="730" w:name="_Toc22479"/>
      <w:r/>
      <w:bookmarkEnd w:id="727"/>
      <w:r/>
      <w:bookmarkEnd w:id="728"/>
      <w:r/>
      <w:bookmarkEnd w:id="729"/>
      <w:r/>
      <w:bookmarkEnd w:id="730"/>
      <w:r/>
      <w:r/>
    </w:p>
    <w:p>
      <w:pPr>
        <w:jc w:val="center"/>
        <w:rPr>
          <w:b/>
          <w:color w:val="auto"/>
          <w:sz w:val="36"/>
          <w:szCs w:val="36"/>
          <w:highlight w:val="none"/>
        </w:rPr>
      </w:pPr>
      <w:r>
        <w:rPr>
          <w:rFonts w:hint="eastAsia"/>
          <w:b/>
          <w:color w:val="auto"/>
          <w:sz w:val="36"/>
          <w:szCs w:val="36"/>
          <w:highlight w:val="none"/>
        </w:rPr>
        <w:t xml:space="preserve">分项报价表</w:t>
      </w:r>
      <w:r/>
    </w:p>
    <w:p>
      <w:pPr>
        <w:jc w:val="left"/>
        <w:rPr>
          <w:rFonts w:ascii="宋体" w:hAnsi="宋体"/>
          <w:color w:val="auto"/>
          <w:sz w:val="24"/>
          <w:highlight w:val="none"/>
        </w:rPr>
      </w:pPr>
      <w:r>
        <w:rPr>
          <w:rFonts w:ascii="宋体" w:hAnsi="宋体"/>
          <w:color w:val="auto"/>
          <w:sz w:val="24"/>
          <w:highlight w:val="none"/>
        </w:rPr>
      </w:r>
      <w:r/>
    </w:p>
    <w:tbl>
      <w:tblPr>
        <w:tblStyle w:val="1050"/>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jc w:val="center"/>
          <w:trHeight w:val="296"/>
        </w:trPr>
        <w:tc>
          <w:tcPr>
            <w:tcW w:w="75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92"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  目 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p>
        </w:tc>
        <w:tc>
          <w:tcPr>
            <w:tcW w:w="270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 务 内 容</w:t>
            </w:r>
            <w:r/>
          </w:p>
        </w:tc>
        <w:tc>
          <w:tcPr>
            <w:tcW w:w="803"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07"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2"/>
            <w:tcW w:w="190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人民币价格</w:t>
            </w:r>
            <w:r/>
          </w:p>
        </w:tc>
      </w:tr>
      <w:tr>
        <w:trPr>
          <w:cantSplit/>
          <w:jc w:val="center"/>
          <w:trHeight w:val="56"/>
        </w:trPr>
        <w:tc>
          <w:tcPr>
            <w:tcW w:w="759"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93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0"/>
        </w:trPr>
        <w:tc>
          <w:tcPr>
            <w:gridSpan w:val="5"/>
            <w:tcW w:w="746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gridSpan w:val="2"/>
            <w:tcW w:w="1908"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ind w:firstLine="240"/>
        <w:jc w:val="left"/>
        <w:rPr>
          <w:rFonts w:ascii="宋体" w:hAnsi="宋体"/>
          <w:color w:val="auto"/>
          <w:sz w:val="24"/>
          <w:highlight w:val="none"/>
        </w:rPr>
      </w:pPr>
      <w:r>
        <w:rPr>
          <w:rFonts w:ascii="宋体" w:hAnsi="宋体"/>
          <w:color w:val="auto"/>
          <w:sz w:val="24"/>
          <w:highlight w:val="none"/>
        </w:rPr>
      </w:r>
      <w:r/>
    </w:p>
    <w:p>
      <w:pPr>
        <w:ind w:firstLine="240"/>
        <w:jc w:val="left"/>
        <w:rPr>
          <w:rFonts w:ascii="宋体" w:hAnsi="宋体"/>
          <w:color w:val="auto"/>
          <w:sz w:val="24"/>
          <w:highlight w:val="none"/>
        </w:rPr>
      </w:pPr>
      <w:r>
        <w:rPr>
          <w:rFonts w:hint="eastAsia" w:ascii="宋体" w:hAnsi="宋体"/>
          <w:color w:val="auto"/>
          <w:sz w:val="24"/>
          <w:highlight w:val="none"/>
        </w:rPr>
        <w:t xml:space="preserve">此表仅供参考。</w:t>
      </w:r>
      <w:r/>
    </w:p>
    <w:p>
      <w:pPr>
        <w:ind w:firstLine="3360"/>
        <w:jc w:val="left"/>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供应商名称（公章）：</w:t>
      </w:r>
      <w:r/>
    </w:p>
    <w:p>
      <w:pPr>
        <w:ind w:firstLine="283"/>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widowControl/>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11</w:t>
      </w:r>
      <w:r>
        <w:rPr>
          <w:color w:val="auto"/>
          <w:sz w:val="24"/>
          <w:szCs w:val="20"/>
          <w:highlight w:val="none"/>
        </w:rPr>
        <w:t xml:space="preserve">  合同条款偏离表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1050"/>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rFonts w:hint="eastAsia"/>
                <w:b/>
                <w:color w:val="auto"/>
                <w:sz w:val="24"/>
                <w:highlight w:val="none"/>
                <w:lang w:eastAsia="zh-CN"/>
              </w:rPr>
              <w:t xml:space="preserve">□</w:t>
            </w: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rFonts w:hint="eastAsia"/>
                <w:b/>
                <w:color w:val="auto"/>
                <w:sz w:val="24"/>
                <w:highlight w:val="none"/>
                <w:lang w:eastAsia="zh-CN"/>
              </w:rPr>
              <w:t xml:space="preserve">□</w:t>
            </w: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2</w:t>
      </w:r>
      <w:r>
        <w:rPr>
          <w:color w:val="auto"/>
          <w:sz w:val="24"/>
          <w:szCs w:val="20"/>
          <w:highlight w:val="none"/>
        </w:rPr>
        <w:t xml:space="preserve">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298"/>
          <w:color w:val="auto"/>
          <w:sz w:val="24"/>
          <w:highlight w:val="none"/>
        </w:rPr>
        <w:t xml:space="preserve">http://202.106.120.146/baosong/appweb/orgScale.html</w:t>
      </w:r>
      <w:r>
        <w:rPr>
          <w:rStyle w:val="1298"/>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szCs w:val="20"/>
          <w:highlight w:val="none"/>
        </w:rPr>
      </w:pPr>
      <w:r>
        <w:rPr>
          <w:b/>
          <w:bCs/>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0"/>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before="240" w:after="240" w:line="360" w:lineRule="auto"/>
        <w:rPr>
          <w:color w:val="auto"/>
          <w:sz w:val="36"/>
          <w:szCs w:val="36"/>
          <w:highlight w:val="none"/>
        </w:rPr>
      </w:pPr>
      <w:r>
        <w:rPr>
          <w:color w:val="auto"/>
          <w:sz w:val="24"/>
          <w:szCs w:val="20"/>
          <w:highlight w:val="none"/>
        </w:rPr>
        <w:br w:type="page" w:clear="all"/>
      </w: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rFonts w:hint="eastAsia"/>
          <w:b/>
          <w:color w:val="auto"/>
          <w:sz w:val="24"/>
          <w:highlight w:val="none"/>
          <w:lang w:eastAsia="zh-CN"/>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rFonts w:hint="eastAsia"/>
          <w:b/>
          <w:color w:val="auto"/>
          <w:sz w:val="24"/>
          <w:highlight w:val="none"/>
          <w:lang w:eastAsia="zh-CN"/>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1）项目组织实施方案；</w:t>
      </w:r>
      <w:r/>
    </w:p>
    <w:p>
      <w:pPr>
        <w:ind w:firstLine="480"/>
        <w:spacing w:line="560" w:lineRule="exact"/>
        <w:rPr>
          <w:color w:val="auto"/>
          <w:sz w:val="24"/>
          <w:szCs w:val="20"/>
          <w:highlight w:val="none"/>
        </w:rPr>
      </w:pPr>
      <w:r>
        <w:rPr>
          <w:rFonts w:hint="eastAsia"/>
          <w:color w:val="auto"/>
          <w:sz w:val="24"/>
          <w:szCs w:val="20"/>
          <w:highlight w:val="none"/>
        </w:rPr>
        <w:t xml:space="preserve">2）项目管理方案；</w:t>
      </w:r>
      <w:r/>
    </w:p>
    <w:p>
      <w:pPr>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p>
    <w:p>
      <w:pPr>
        <w:ind w:firstLine="480"/>
        <w:spacing w:line="560" w:lineRule="exact"/>
        <w:rPr>
          <w:color w:val="auto"/>
          <w:sz w:val="24"/>
          <w:szCs w:val="20"/>
          <w:highlight w:val="none"/>
        </w:rPr>
      </w:pPr>
      <w:r>
        <w:rPr>
          <w:rFonts w:hint="eastAsia"/>
          <w:color w:val="auto"/>
          <w:sz w:val="24"/>
          <w:szCs w:val="20"/>
          <w:highlight w:val="none"/>
        </w:rPr>
        <w:t xml:space="preserve">5）优惠条款或承诺；</w:t>
      </w:r>
      <w:r/>
    </w:p>
    <w:p>
      <w:pPr>
        <w:ind w:firstLine="480"/>
        <w:spacing w:line="560" w:lineRule="exact"/>
        <w:rPr>
          <w:color w:val="auto"/>
          <w:sz w:val="24"/>
          <w:szCs w:val="20"/>
          <w:highlight w:val="none"/>
        </w:rPr>
      </w:pPr>
      <w:r>
        <w:rPr>
          <w:rFonts w:hint="eastAsia"/>
          <w:color w:val="auto"/>
          <w:sz w:val="24"/>
          <w:szCs w:val="20"/>
          <w:highlight w:val="none"/>
        </w:rPr>
        <w:t xml:space="preserve">6）其他。</w:t>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0"/>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rPr>
          <w:color w:val="auto"/>
          <w:sz w:val="24"/>
          <w:szCs w:val="20"/>
          <w:highlight w:val="none"/>
        </w:rPr>
      </w:pPr>
      <w:r>
        <w:rPr>
          <w:color w:val="auto"/>
          <w:sz w:val="22"/>
          <w:highlight w:val="none"/>
        </w:rPr>
        <w:br w:type="page" w:clear="all"/>
      </w:r>
      <w:bookmarkStart w:id="731" w:name="_Toc288738839"/>
      <w:r/>
      <w:bookmarkStart w:id="732" w:name="_Toc288738397"/>
      <w:r>
        <w:rPr>
          <w:rFonts w:hint="eastAsia"/>
          <w:color w:val="auto"/>
          <w:sz w:val="24"/>
          <w:szCs w:val="20"/>
          <w:highlight w:val="none"/>
        </w:rPr>
        <w:t xml:space="preserve">1</w:t>
      </w:r>
      <w:r>
        <w:rPr>
          <w:rFonts w:hint="eastAsia"/>
          <w:color w:val="auto"/>
          <w:sz w:val="24"/>
          <w:szCs w:val="20"/>
          <w:highlight w:val="none"/>
          <w:lang w:val="en-US" w:eastAsia="zh-CN"/>
        </w:rPr>
        <w:t xml:space="preserve">6</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31"/>
      <w:r/>
      <w:bookmarkEnd w:id="73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7</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3"/>
      <w:footerReference w:type="first" r:id="rId24"/>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egoe UI Symbol">
    <w:panose1 w:val="020B0502040204020203"/>
  </w:font>
  <w:font w:name="SimSun">
    <w:panose1 w:val="0201060003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rPr>
        <w:rStyle w:val="1295"/>
      </w:rPr>
      <w:framePr w:wrap="around" w:vAnchor="text" w:hAnchor="margin" w:xAlign="center" w:y="1"/>
    </w:pPr>
    <w:r>
      <w:fldChar w:fldCharType="begin"/>
    </w:r>
    <w:r>
      <w:rPr>
        <w:rStyle w:val="1295"/>
      </w:rPr>
      <w:instrText xml:space="preserve">PAGE  </w:instrText>
    </w:r>
    <w:r>
      <w:fldChar w:fldCharType="end"/>
    </w:r>
    <w:r/>
  </w:p>
  <w:p>
    <w:pPr>
      <w:pStyle w:val="12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clear" w:pos="7143" w:leader="none"/>
        <w:tab w:val="right" w:pos="8306" w:leader="none"/>
        <w:tab w:val="clear" w:pos="14287" w:leader="none"/>
      </w:tabs>
      <w:rPr>
        <w:rStyle w:val="1079"/>
      </w:rPr>
    </w:pPr>
    <w:r>
      <w:rPr>
        <w:rStyle w:val="1079"/>
      </w:rPr>
      <w:fldChar w:fldCharType="begin"/>
    </w:r>
    <w:r>
      <w:rPr>
        <w:rStyle w:val="1079"/>
      </w:rPr>
      <w:instrText xml:space="preserve">PAGE  </w:instrText>
    </w:r>
    <w:r>
      <w:rPr>
        <w:rStyle w:val="1079"/>
      </w:rPr>
      <w:fldChar w:fldCharType="end"/>
    </w:r>
    <w:r/>
  </w:p>
  <w:p>
    <w:pPr>
      <w:pStyle w:val="1063"/>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rPr>
        <w:rStyle w:val="1295"/>
      </w:rPr>
      <w:framePr w:wrap="around" w:vAnchor="text" w:hAnchor="margin" w:xAlign="right" w:y="1"/>
    </w:pPr>
    <w:r>
      <w:rPr>
        <w:rStyle w:val="1295"/>
      </w:rPr>
      <w:fldChar w:fldCharType="begin"/>
    </w:r>
    <w:r>
      <w:rPr>
        <w:rStyle w:val="1295"/>
      </w:rPr>
      <w:instrText xml:space="preserve">PAGE  </w:instrText>
    </w:r>
    <w:r>
      <w:rPr>
        <w:rStyle w:val="1295"/>
      </w:rPr>
      <w:fldChar w:fldCharType="end"/>
    </w:r>
    <w:r/>
  </w:p>
  <w:p>
    <w:pPr>
      <w:pStyle w:val="1275"/>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right"/>
      <w:pBdr>
        <w:bottom w:val="single" w:color="000000" w:sz="4" w:space="1"/>
      </w:pBdr>
    </w:pPr>
    <w:r>
      <w:rPr>
        <w:rFonts w:hint="eastAsia"/>
      </w:rPr>
      <w:t xml:space="preserve">常州市政府采购项目竞争性磋商文件</w:t>
    </w:r>
    <w:r/>
  </w:p>
  <w:p>
    <w:pPr>
      <w:pStyle w:val="1278"/>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right"/>
      <w:pBdr>
        <w:bottom w:val="single" w:color="000000" w:sz="4" w:space="1"/>
      </w:pBdr>
    </w:pPr>
    <w:r>
      <w:rPr>
        <w:rFonts w:hint="eastAsia"/>
      </w:rPr>
      <w:t xml:space="preserve">常州市政府采购项目竞争性磋商文件</w:t>
    </w:r>
    <w:r/>
  </w:p>
  <w:p>
    <w:pPr>
      <w:pStyle w:val="1278"/>
      <w:jc w:val="right"/>
      <w:rPr>
        <w:rFonts w:ascii="宋体" w:hAnsi="宋体"/>
      </w:rPr>
    </w:pPr>
    <w:r>
      <w:rPr>
        <w:rFonts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right"/>
      <w:pBdr>
        <w:bottom w:val="single" w:color="000000" w:sz="4" w:space="1"/>
      </w:pBdr>
    </w:pPr>
    <w:r>
      <w:rPr>
        <w:rFonts w:hint="eastAsia"/>
      </w:rPr>
      <w:t xml:space="preserve">常州市政府采购项目竞争性磋商文件</w:t>
    </w:r>
    <w:r/>
  </w:p>
  <w:p>
    <w:pPr>
      <w:pStyle w:val="12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3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32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2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6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6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0"/>
      <w:isLgl w:val="false"/>
      <w:suff w:val="nothing"/>
      <w:lvlText w:val="%1.%2.%3.%4.%5.%6　"/>
      <w:lvlJc w:val="left"/>
      <w:pPr>
        <w:ind w:left="-25" w:firstLine="0"/>
      </w:pPr>
      <w:rPr>
        <w:rFonts w:ascii="Times New Roman" w:hAnsi="Times New Roman" w:eastAsia="宋体"/>
        <w:b/>
        <w:i w:val="0"/>
        <w:sz w:val="28"/>
      </w:rPr>
    </w:lvl>
    <w:lvl w:ilvl="6">
      <w:start w:val="1"/>
      <w:numFmt w:val="lowerLetter"/>
      <w:pStyle w:val="138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40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431"/>
      <w:isLgl w:val="false"/>
      <w:suff w:val="tab"/>
      <w:lvlText w:val="%1"/>
      <w:lvlJc w:val="left"/>
      <w:pPr>
        <w:ind w:left="680" w:hanging="680"/>
      </w:pPr>
      <w:rPr>
        <w:rFonts w:hint="eastAsia" w:ascii="宋体" w:hAnsi="宋体" w:eastAsia="宋体"/>
      </w:rPr>
    </w:lvl>
    <w:lvl w:ilvl="1">
      <w:start w:val="1"/>
      <w:numFmt w:val="decimal"/>
      <w:pStyle w:val="1432"/>
      <w:isLgl w:val="false"/>
      <w:suff w:val="tab"/>
      <w:lvlText w:val="%1.%2"/>
      <w:lvlJc w:val="left"/>
      <w:pPr>
        <w:ind w:left="851" w:hanging="851"/>
      </w:pPr>
      <w:rPr>
        <w:rFonts w:hint="eastAsia" w:ascii="宋体" w:hAnsi="宋体" w:eastAsia="宋体"/>
        <w:color w:val="000000"/>
      </w:rPr>
    </w:lvl>
    <w:lvl w:ilvl="2">
      <w:start w:val="1"/>
      <w:numFmt w:val="decimal"/>
      <w:pStyle w:val="143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7"/>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2">
    <w:name w:val="Heading 1 Char"/>
    <w:basedOn w:val="1049"/>
    <w:link w:val="1040"/>
    <w:uiPriority w:val="9"/>
    <w:rPr>
      <w:rFonts w:ascii="Arial" w:hAnsi="Arial" w:eastAsia="Arial" w:cs="Arial"/>
      <w:sz w:val="40"/>
      <w:szCs w:val="40"/>
    </w:rPr>
  </w:style>
  <w:style w:type="character" w:styleId="1003">
    <w:name w:val="Heading 2 Char"/>
    <w:basedOn w:val="1049"/>
    <w:link w:val="1041"/>
    <w:uiPriority w:val="9"/>
    <w:rPr>
      <w:rFonts w:ascii="Arial" w:hAnsi="Arial" w:eastAsia="Arial" w:cs="Arial"/>
      <w:sz w:val="34"/>
    </w:rPr>
  </w:style>
  <w:style w:type="character" w:styleId="1004">
    <w:name w:val="Heading 3 Char"/>
    <w:basedOn w:val="1049"/>
    <w:link w:val="1042"/>
    <w:uiPriority w:val="9"/>
    <w:rPr>
      <w:rFonts w:ascii="Arial" w:hAnsi="Arial" w:eastAsia="Arial" w:cs="Arial"/>
      <w:sz w:val="30"/>
      <w:szCs w:val="30"/>
    </w:rPr>
  </w:style>
  <w:style w:type="character" w:styleId="1005">
    <w:name w:val="Heading 4 Char"/>
    <w:basedOn w:val="1049"/>
    <w:link w:val="1043"/>
    <w:uiPriority w:val="9"/>
    <w:rPr>
      <w:rFonts w:ascii="Arial" w:hAnsi="Arial" w:eastAsia="Arial" w:cs="Arial"/>
      <w:b/>
      <w:bCs/>
      <w:sz w:val="26"/>
      <w:szCs w:val="26"/>
    </w:rPr>
  </w:style>
  <w:style w:type="character" w:styleId="1006">
    <w:name w:val="Heading 5 Char"/>
    <w:basedOn w:val="1049"/>
    <w:link w:val="1044"/>
    <w:uiPriority w:val="9"/>
    <w:rPr>
      <w:rFonts w:ascii="Arial" w:hAnsi="Arial" w:eastAsia="Arial" w:cs="Arial"/>
      <w:b/>
      <w:bCs/>
      <w:sz w:val="24"/>
      <w:szCs w:val="24"/>
    </w:rPr>
  </w:style>
  <w:style w:type="character" w:styleId="1007">
    <w:name w:val="Heading 6 Char"/>
    <w:basedOn w:val="1049"/>
    <w:link w:val="1045"/>
    <w:uiPriority w:val="9"/>
    <w:rPr>
      <w:rFonts w:ascii="Arial" w:hAnsi="Arial" w:eastAsia="Arial" w:cs="Arial"/>
      <w:b/>
      <w:bCs/>
      <w:sz w:val="22"/>
      <w:szCs w:val="22"/>
    </w:rPr>
  </w:style>
  <w:style w:type="character" w:styleId="1008">
    <w:name w:val="Heading 7 Char"/>
    <w:basedOn w:val="1049"/>
    <w:link w:val="1046"/>
    <w:uiPriority w:val="9"/>
    <w:rPr>
      <w:rFonts w:ascii="Arial" w:hAnsi="Arial" w:eastAsia="Arial" w:cs="Arial"/>
      <w:b/>
      <w:bCs/>
      <w:i/>
      <w:iCs/>
      <w:sz w:val="22"/>
      <w:szCs w:val="22"/>
    </w:rPr>
  </w:style>
  <w:style w:type="character" w:styleId="1009">
    <w:name w:val="Heading 8 Char"/>
    <w:basedOn w:val="1049"/>
    <w:link w:val="1047"/>
    <w:uiPriority w:val="9"/>
    <w:rPr>
      <w:rFonts w:ascii="Arial" w:hAnsi="Arial" w:eastAsia="Arial" w:cs="Arial"/>
      <w:i/>
      <w:iCs/>
      <w:sz w:val="22"/>
      <w:szCs w:val="22"/>
    </w:rPr>
  </w:style>
  <w:style w:type="character" w:styleId="1010">
    <w:name w:val="Heading 9 Char"/>
    <w:basedOn w:val="1049"/>
    <w:link w:val="1048"/>
    <w:uiPriority w:val="9"/>
    <w:rPr>
      <w:rFonts w:ascii="Arial" w:hAnsi="Arial" w:eastAsia="Arial" w:cs="Arial"/>
      <w:i/>
      <w:iCs/>
      <w:sz w:val="21"/>
      <w:szCs w:val="21"/>
    </w:rPr>
  </w:style>
  <w:style w:type="character" w:styleId="1011">
    <w:name w:val="Title Char"/>
    <w:basedOn w:val="1049"/>
    <w:link w:val="1074"/>
    <w:uiPriority w:val="10"/>
    <w:rPr>
      <w:sz w:val="48"/>
      <w:szCs w:val="48"/>
    </w:rPr>
  </w:style>
  <w:style w:type="character" w:styleId="1012">
    <w:name w:val="Subtitle Char"/>
    <w:basedOn w:val="1049"/>
    <w:link w:val="1067"/>
    <w:uiPriority w:val="11"/>
    <w:rPr>
      <w:sz w:val="24"/>
      <w:szCs w:val="24"/>
    </w:rPr>
  </w:style>
  <w:style w:type="character" w:styleId="1013">
    <w:name w:val="Quote Char"/>
    <w:link w:val="1097"/>
    <w:uiPriority w:val="29"/>
    <w:rPr>
      <w:i/>
    </w:rPr>
  </w:style>
  <w:style w:type="character" w:styleId="1014">
    <w:name w:val="Intense Quote Char"/>
    <w:link w:val="1099"/>
    <w:uiPriority w:val="30"/>
    <w:rPr>
      <w:i/>
    </w:rPr>
  </w:style>
  <w:style w:type="character" w:styleId="1015">
    <w:name w:val="Header Char"/>
    <w:basedOn w:val="1049"/>
    <w:link w:val="1064"/>
    <w:uiPriority w:val="99"/>
  </w:style>
  <w:style w:type="character" w:styleId="1016">
    <w:name w:val="Caption Char"/>
    <w:basedOn w:val="1053"/>
    <w:link w:val="1063"/>
    <w:uiPriority w:val="99"/>
  </w:style>
  <w:style w:type="table" w:styleId="1017">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2">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3">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4">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7">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8">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9">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5">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36">
    <w:name w:val="Footnote Text Char"/>
    <w:link w:val="1068"/>
    <w:uiPriority w:val="99"/>
    <w:rPr>
      <w:sz w:val="18"/>
    </w:rPr>
  </w:style>
  <w:style w:type="character" w:styleId="1037">
    <w:name w:val="Endnote Text Char"/>
    <w:link w:val="1062"/>
    <w:uiPriority w:val="99"/>
    <w:rPr>
      <w:sz w:val="20"/>
    </w:rPr>
  </w:style>
  <w:style w:type="paragraph" w:styleId="1038">
    <w:name w:val="TOC Heading"/>
    <w:uiPriority w:val="39"/>
    <w:unhideWhenUsed/>
  </w:style>
  <w:style w:type="paragraph" w:styleId="103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0">
    <w:name w:val="Heading 1"/>
    <w:basedOn w:val="1039"/>
    <w:next w:val="1039"/>
    <w:link w:val="1084"/>
    <w:uiPriority w:val="9"/>
    <w:qFormat/>
    <w:pPr>
      <w:keepLines/>
      <w:keepNext/>
      <w:spacing w:before="480" w:after="200"/>
      <w:outlineLvl w:val="0"/>
    </w:pPr>
    <w:rPr>
      <w:rFonts w:ascii="Arial" w:hAnsi="Arial" w:eastAsia="Arial" w:cs="Arial"/>
      <w:sz w:val="40"/>
      <w:szCs w:val="40"/>
    </w:rPr>
  </w:style>
  <w:style w:type="paragraph" w:styleId="1041">
    <w:name w:val="Heading 2"/>
    <w:basedOn w:val="1039"/>
    <w:next w:val="1051"/>
    <w:link w:val="1085"/>
    <w:uiPriority w:val="9"/>
    <w:unhideWhenUsed/>
    <w:qFormat/>
    <w:pPr>
      <w:keepLines/>
      <w:keepNext/>
      <w:spacing w:before="360" w:after="200"/>
      <w:outlineLvl w:val="1"/>
    </w:pPr>
    <w:rPr>
      <w:rFonts w:ascii="Arial" w:hAnsi="Arial" w:eastAsia="Arial" w:cs="Arial"/>
      <w:sz w:val="34"/>
    </w:rPr>
  </w:style>
  <w:style w:type="paragraph" w:styleId="1042">
    <w:name w:val="Heading 3"/>
    <w:basedOn w:val="1039"/>
    <w:next w:val="1039"/>
    <w:link w:val="1086"/>
    <w:uiPriority w:val="9"/>
    <w:unhideWhenUsed/>
    <w:qFormat/>
    <w:pPr>
      <w:keepLines/>
      <w:keepNext/>
      <w:spacing w:before="320" w:after="200"/>
      <w:outlineLvl w:val="2"/>
    </w:pPr>
    <w:rPr>
      <w:rFonts w:ascii="Arial" w:hAnsi="Arial" w:eastAsia="Arial" w:cs="Arial"/>
      <w:sz w:val="30"/>
      <w:szCs w:val="30"/>
    </w:rPr>
  </w:style>
  <w:style w:type="paragraph" w:styleId="1043">
    <w:name w:val="Heading 4"/>
    <w:basedOn w:val="1039"/>
    <w:next w:val="1039"/>
    <w:link w:val="1087"/>
    <w:uiPriority w:val="9"/>
    <w:unhideWhenUsed/>
    <w:qFormat/>
    <w:pPr>
      <w:keepLines/>
      <w:keepNext/>
      <w:spacing w:before="320" w:after="200"/>
      <w:outlineLvl w:val="3"/>
    </w:pPr>
    <w:rPr>
      <w:rFonts w:ascii="Arial" w:hAnsi="Arial" w:eastAsia="Arial" w:cs="Arial"/>
      <w:b/>
      <w:bCs/>
      <w:sz w:val="26"/>
      <w:szCs w:val="26"/>
    </w:rPr>
  </w:style>
  <w:style w:type="paragraph" w:styleId="1044">
    <w:name w:val="Heading 5"/>
    <w:basedOn w:val="1039"/>
    <w:next w:val="1039"/>
    <w:link w:val="1088"/>
    <w:uiPriority w:val="9"/>
    <w:unhideWhenUsed/>
    <w:qFormat/>
    <w:pPr>
      <w:keepLines/>
      <w:keepNext/>
      <w:spacing w:before="320" w:after="200"/>
      <w:outlineLvl w:val="4"/>
    </w:pPr>
    <w:rPr>
      <w:rFonts w:ascii="Arial" w:hAnsi="Arial" w:eastAsia="Arial" w:cs="Arial"/>
      <w:b/>
      <w:bCs/>
      <w:sz w:val="24"/>
    </w:rPr>
  </w:style>
  <w:style w:type="paragraph" w:styleId="1045">
    <w:name w:val="Heading 6"/>
    <w:basedOn w:val="1039"/>
    <w:next w:val="1039"/>
    <w:link w:val="1089"/>
    <w:uiPriority w:val="9"/>
    <w:unhideWhenUsed/>
    <w:qFormat/>
    <w:pPr>
      <w:keepLines/>
      <w:keepNext/>
      <w:spacing w:before="320" w:after="200"/>
      <w:outlineLvl w:val="5"/>
    </w:pPr>
    <w:rPr>
      <w:rFonts w:ascii="Arial" w:hAnsi="Arial" w:eastAsia="Arial" w:cs="Arial"/>
      <w:b/>
      <w:bCs/>
      <w:sz w:val="22"/>
      <w:szCs w:val="22"/>
    </w:rPr>
  </w:style>
  <w:style w:type="paragraph" w:styleId="1046">
    <w:name w:val="Heading 7"/>
    <w:basedOn w:val="1039"/>
    <w:next w:val="1039"/>
    <w:link w:val="1090"/>
    <w:uiPriority w:val="9"/>
    <w:unhideWhenUsed/>
    <w:qFormat/>
    <w:pPr>
      <w:keepLines/>
      <w:keepNext/>
      <w:spacing w:before="320" w:after="200"/>
      <w:outlineLvl w:val="6"/>
    </w:pPr>
    <w:rPr>
      <w:rFonts w:ascii="Arial" w:hAnsi="Arial" w:eastAsia="Arial" w:cs="Arial"/>
      <w:b/>
      <w:bCs/>
      <w:i/>
      <w:iCs/>
      <w:sz w:val="22"/>
      <w:szCs w:val="22"/>
    </w:rPr>
  </w:style>
  <w:style w:type="paragraph" w:styleId="1047">
    <w:name w:val="Heading 8"/>
    <w:basedOn w:val="1039"/>
    <w:next w:val="1039"/>
    <w:link w:val="1091"/>
    <w:uiPriority w:val="9"/>
    <w:unhideWhenUsed/>
    <w:qFormat/>
    <w:pPr>
      <w:keepLines/>
      <w:keepNext/>
      <w:spacing w:before="320" w:after="200"/>
      <w:outlineLvl w:val="7"/>
    </w:pPr>
    <w:rPr>
      <w:rFonts w:ascii="Arial" w:hAnsi="Arial" w:eastAsia="Arial" w:cs="Arial"/>
      <w:i/>
      <w:iCs/>
      <w:sz w:val="22"/>
      <w:szCs w:val="22"/>
    </w:rPr>
  </w:style>
  <w:style w:type="paragraph" w:styleId="1048">
    <w:name w:val="Heading 9"/>
    <w:basedOn w:val="1039"/>
    <w:next w:val="1039"/>
    <w:link w:val="1092"/>
    <w:uiPriority w:val="9"/>
    <w:unhideWhenUsed/>
    <w:qFormat/>
    <w:pPr>
      <w:keepLines/>
      <w:keepNext/>
      <w:spacing w:before="320" w:after="200"/>
      <w:outlineLvl w:val="8"/>
    </w:pPr>
    <w:rPr>
      <w:rFonts w:ascii="Arial" w:hAnsi="Arial" w:eastAsia="Arial" w:cs="Arial"/>
      <w:i/>
      <w:iCs/>
      <w:szCs w:val="21"/>
    </w:rPr>
  </w:style>
  <w:style w:type="character" w:styleId="1049" w:default="1">
    <w:name w:val="Default Paragraph Font"/>
    <w:uiPriority w:val="1"/>
    <w:semiHidden/>
    <w:unhideWhenUsed/>
    <w:qFormat/>
  </w:style>
  <w:style w:type="table" w:styleId="1050" w:default="1">
    <w:name w:val="Normal Table"/>
    <w:uiPriority w:val="99"/>
    <w:semiHidden/>
    <w:unhideWhenUsed/>
    <w:qFormat/>
    <w:tblPr>
      <w:tblCellMar>
        <w:left w:w="108" w:type="dxa"/>
        <w:top w:w="0" w:type="dxa"/>
        <w:right w:w="108" w:type="dxa"/>
        <w:bottom w:w="0" w:type="dxa"/>
      </w:tblCellMar>
    </w:tblPr>
  </w:style>
  <w:style w:type="paragraph" w:styleId="1051">
    <w:name w:val="Normal Indent"/>
    <w:basedOn w:val="1039"/>
    <w:uiPriority w:val="0"/>
    <w:qFormat/>
    <w:pPr>
      <w:ind w:firstLine="420"/>
      <w:jc w:val="left"/>
    </w:pPr>
    <w:rPr>
      <w:rFonts w:ascii="宋体" w:hAnsiTheme="minorHAnsi" w:cstheme="minorBidi"/>
      <w:sz w:val="24"/>
    </w:rPr>
  </w:style>
  <w:style w:type="paragraph" w:styleId="1052">
    <w:name w:val="toc 7"/>
    <w:basedOn w:val="1039"/>
    <w:next w:val="1039"/>
    <w:uiPriority w:val="0"/>
    <w:qFormat/>
    <w:pPr>
      <w:ind w:left="2520"/>
    </w:pPr>
  </w:style>
  <w:style w:type="paragraph" w:styleId="1053">
    <w:name w:val="Caption"/>
    <w:basedOn w:val="1039"/>
    <w:next w:val="10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54">
    <w:name w:val="annotation text"/>
    <w:basedOn w:val="1039"/>
    <w:uiPriority w:val="0"/>
    <w:unhideWhenUsed/>
    <w:qFormat/>
    <w:pPr>
      <w:jc w:val="left"/>
    </w:pPr>
  </w:style>
  <w:style w:type="paragraph" w:styleId="1055">
    <w:name w:val="Body Text"/>
    <w:basedOn w:val="1039"/>
    <w:uiPriority w:val="0"/>
    <w:semiHidden/>
    <w:qFormat/>
    <w:rPr>
      <w:rFonts w:ascii="Arial" w:hAnsi="Arial" w:eastAsia="Arial" w:cs="Arial"/>
      <w:szCs w:val="21"/>
      <w:lang w:eastAsia="en-US"/>
    </w:rPr>
  </w:style>
  <w:style w:type="paragraph" w:styleId="1056">
    <w:name w:val="Body Text Indent"/>
    <w:basedOn w:val="1039"/>
    <w:next w:val="1057"/>
    <w:uiPriority w:val="0"/>
    <w:qFormat/>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paragraph" w:styleId="1057">
    <w:name w:val="envelope return"/>
    <w:basedOn w:val="1039"/>
    <w:uiPriority w:val="0"/>
    <w:qFormat/>
    <w:rPr>
      <w:rFonts w:ascii="Arial" w:hAnsi="Arial"/>
    </w:rPr>
  </w:style>
  <w:style w:type="paragraph" w:styleId="1058">
    <w:name w:val="toc 5"/>
    <w:basedOn w:val="1039"/>
    <w:next w:val="1039"/>
    <w:uiPriority w:val="0"/>
    <w:qFormat/>
    <w:pPr>
      <w:ind w:left="1680"/>
    </w:pPr>
  </w:style>
  <w:style w:type="paragraph" w:styleId="1059">
    <w:name w:val="toc 3"/>
    <w:basedOn w:val="1039"/>
    <w:next w:val="1039"/>
    <w:uiPriority w:val="39"/>
    <w:qFormat/>
    <w:pPr>
      <w:ind w:left="840"/>
    </w:pPr>
  </w:style>
  <w:style w:type="paragraph" w:styleId="1060">
    <w:name w:val="Plain Text"/>
    <w:basedOn w:val="1039"/>
    <w:uiPriority w:val="0"/>
    <w:qFormat/>
    <w:rPr>
      <w:rFonts w:hint="eastAsia" w:ascii="宋体" w:hAnsi="Courier New" w:cs="宋体"/>
      <w:szCs w:val="22"/>
    </w:rPr>
  </w:style>
  <w:style w:type="paragraph" w:styleId="1061">
    <w:name w:val="toc 8"/>
    <w:basedOn w:val="1039"/>
    <w:next w:val="1039"/>
    <w:uiPriority w:val="0"/>
    <w:qFormat/>
    <w:pPr>
      <w:ind w:left="2940"/>
    </w:pPr>
  </w:style>
  <w:style w:type="paragraph" w:styleId="1062">
    <w:name w:val="endnote text"/>
    <w:basedOn w:val="1039"/>
    <w:link w:val="1230"/>
    <w:uiPriority w:val="99"/>
    <w:semiHidden/>
    <w:unhideWhenUsed/>
    <w:qFormat/>
    <w:rPr>
      <w:sz w:val="20"/>
    </w:rPr>
  </w:style>
  <w:style w:type="paragraph" w:styleId="1063">
    <w:name w:val="Footer"/>
    <w:basedOn w:val="1039"/>
    <w:link w:val="1103"/>
    <w:uiPriority w:val="99"/>
    <w:unhideWhenUsed/>
    <w:qFormat/>
    <w:pPr>
      <w:tabs>
        <w:tab w:val="center" w:pos="7143" w:leader="none"/>
        <w:tab w:val="right" w:pos="14287" w:leader="none"/>
      </w:tabs>
    </w:pPr>
  </w:style>
  <w:style w:type="paragraph" w:styleId="1064">
    <w:name w:val="Header"/>
    <w:basedOn w:val="1039"/>
    <w:link w:val="1101"/>
    <w:uiPriority w:val="99"/>
    <w:unhideWhenUsed/>
    <w:qFormat/>
    <w:pPr>
      <w:tabs>
        <w:tab w:val="center" w:pos="7143" w:leader="none"/>
        <w:tab w:val="right" w:pos="14287" w:leader="none"/>
      </w:tabs>
    </w:pPr>
  </w:style>
  <w:style w:type="paragraph" w:styleId="1065">
    <w:name w:val="toc 1"/>
    <w:basedOn w:val="1039"/>
    <w:next w:val="1039"/>
    <w:uiPriority w:val="39"/>
    <w:qFormat/>
    <w:pPr>
      <w:spacing w:line="300" w:lineRule="auto"/>
      <w:tabs>
        <w:tab w:val="left" w:pos="1050" w:leader="none"/>
        <w:tab w:val="right" w:pos="8937" w:leader="dot"/>
      </w:tabs>
    </w:pPr>
    <w:rPr>
      <w:rFonts w:ascii="宋体" w:hAnsi="宋体"/>
      <w:b/>
      <w:sz w:val="24"/>
    </w:rPr>
  </w:style>
  <w:style w:type="paragraph" w:styleId="1066">
    <w:name w:val="toc 4"/>
    <w:basedOn w:val="1039"/>
    <w:next w:val="1039"/>
    <w:uiPriority w:val="0"/>
    <w:qFormat/>
    <w:pPr>
      <w:ind w:left="1260"/>
    </w:pPr>
  </w:style>
  <w:style w:type="paragraph" w:styleId="1067">
    <w:name w:val="Subtitle"/>
    <w:basedOn w:val="1039"/>
    <w:next w:val="1039"/>
    <w:link w:val="1096"/>
    <w:uiPriority w:val="11"/>
    <w:qFormat/>
    <w:pPr>
      <w:spacing w:before="200" w:after="200"/>
    </w:pPr>
    <w:rPr>
      <w:sz w:val="24"/>
    </w:rPr>
  </w:style>
  <w:style w:type="paragraph" w:styleId="1068">
    <w:name w:val="footnote text"/>
    <w:basedOn w:val="1039"/>
    <w:link w:val="1229"/>
    <w:uiPriority w:val="99"/>
    <w:semiHidden/>
    <w:unhideWhenUsed/>
    <w:qFormat/>
    <w:pPr>
      <w:spacing w:after="40"/>
    </w:pPr>
    <w:rPr>
      <w:sz w:val="18"/>
    </w:rPr>
  </w:style>
  <w:style w:type="paragraph" w:styleId="1069">
    <w:name w:val="toc 6"/>
    <w:basedOn w:val="1039"/>
    <w:next w:val="1039"/>
    <w:uiPriority w:val="0"/>
    <w:qFormat/>
    <w:pPr>
      <w:ind w:left="2100"/>
    </w:pPr>
  </w:style>
  <w:style w:type="paragraph" w:styleId="1070">
    <w:name w:val="table of figures"/>
    <w:basedOn w:val="1039"/>
    <w:next w:val="1039"/>
    <w:uiPriority w:val="99"/>
    <w:unhideWhenUsed/>
    <w:qFormat/>
  </w:style>
  <w:style w:type="paragraph" w:styleId="1071">
    <w:name w:val="toc 2"/>
    <w:basedOn w:val="1039"/>
    <w:next w:val="1039"/>
    <w:uiPriority w:val="39"/>
    <w:qFormat/>
    <w:pPr>
      <w:ind w:left="420"/>
      <w:spacing w:line="312" w:lineRule="auto"/>
      <w:tabs>
        <w:tab w:val="right" w:pos="8937" w:leader="dot"/>
      </w:tabs>
    </w:pPr>
  </w:style>
  <w:style w:type="paragraph" w:styleId="1072">
    <w:name w:val="toc 9"/>
    <w:basedOn w:val="1039"/>
    <w:next w:val="1039"/>
    <w:uiPriority w:val="0"/>
    <w:qFormat/>
    <w:pPr>
      <w:ind w:left="3360"/>
    </w:pPr>
  </w:style>
  <w:style w:type="paragraph" w:styleId="1073">
    <w:name w:val="Normal (Web)"/>
    <w:basedOn w:val="1039"/>
    <w:uiPriority w:val="0"/>
    <w:qFormat/>
    <w:rPr>
      <w:sz w:val="24"/>
    </w:rPr>
  </w:style>
  <w:style w:type="paragraph" w:styleId="1074">
    <w:name w:val="Title"/>
    <w:basedOn w:val="1039"/>
    <w:next w:val="1039"/>
    <w:link w:val="1095"/>
    <w:uiPriority w:val="10"/>
    <w:qFormat/>
    <w:pPr>
      <w:contextualSpacing/>
      <w:spacing w:before="300" w:after="200"/>
    </w:pPr>
    <w:rPr>
      <w:sz w:val="48"/>
      <w:szCs w:val="48"/>
    </w:rPr>
  </w:style>
  <w:style w:type="paragraph" w:styleId="1075">
    <w:name w:val="Body Text First Indent"/>
    <w:basedOn w:val="1055"/>
    <w:uiPriority w:val="99"/>
    <w:unhideWhenUsed/>
    <w:qFormat/>
    <w:pPr>
      <w:ind w:firstLine="420"/>
      <w:tabs>
        <w:tab w:val="left" w:pos="567" w:leader="none"/>
      </w:tabs>
    </w:pPr>
    <w:rPr>
      <w:rFonts w:ascii="Times New Roman" w:hAnsi="Times New Roman"/>
      <w:sz w:val="21"/>
    </w:rPr>
  </w:style>
  <w:style w:type="paragraph" w:styleId="1076">
    <w:name w:val="Body Text First Indent 2"/>
    <w:basedOn w:val="1056"/>
    <w:uiPriority w:val="0"/>
    <w:qFormat/>
    <w:pPr>
      <w:ind w:left="420" w:firstLine="420"/>
      <w:spacing w:after="120" w:line="480" w:lineRule="exact"/>
    </w:pPr>
    <w:rPr>
      <w:rFonts w:ascii="Times New Roman" w:hAnsi="Times New Roman" w:eastAsia="宋体" w:cs="Times New Roman"/>
      <w:szCs w:val="20"/>
    </w:rPr>
  </w:style>
  <w:style w:type="table" w:styleId="10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8">
    <w:name w:val="endnote reference"/>
    <w:uiPriority w:val="99"/>
    <w:semiHidden/>
    <w:unhideWhenUsed/>
    <w:qFormat/>
    <w:rPr>
      <w:vertAlign w:val="superscript"/>
    </w:rPr>
  </w:style>
  <w:style w:type="character" w:styleId="1079">
    <w:name w:val="page number"/>
    <w:basedOn w:val="1049"/>
    <w:uiPriority w:val="0"/>
    <w:qFormat/>
  </w:style>
  <w:style w:type="character" w:styleId="1080">
    <w:name w:val="Hyperlink"/>
    <w:uiPriority w:val="99"/>
    <w:unhideWhenUsed/>
    <w:qFormat/>
    <w:rPr>
      <w:color w:val="0000ff" w:themeColor="hyperlink"/>
      <w:u w:val="single"/>
      <w14:textFill>
        <w14:solidFill>
          <w14:schemeClr w14:val="hlink"/>
        </w14:solidFill>
      </w14:textFill>
    </w:rPr>
  </w:style>
  <w:style w:type="character" w:styleId="1081">
    <w:name w:val="footnote reference"/>
    <w:uiPriority w:val="99"/>
    <w:unhideWhenUsed/>
    <w:qFormat/>
    <w:rPr>
      <w:vertAlign w:val="superscript"/>
    </w:rPr>
  </w:style>
  <w:style w:type="paragraph" w:styleId="1082" w:customStyle="1">
    <w:name w:val="Default"/>
    <w:next w:val="1039"/>
    <w:uiPriority w:val="0"/>
    <w:qFormat/>
    <w:pPr>
      <w:widowControl w:val="off"/>
    </w:pPr>
    <w:rPr>
      <w:rFonts w:ascii="Symbol" w:hAnsi="Symbol" w:eastAsia="宋体" w:cs="Symbol"/>
      <w:color w:val="000000"/>
      <w:sz w:val="24"/>
      <w:szCs w:val="24"/>
      <w:lang w:val="en-US" w:eastAsia="zh-CN" w:bidi="ar-SA"/>
    </w:rPr>
  </w:style>
  <w:style w:type="paragraph" w:styleId="1083" w:customStyle="1">
    <w:name w:val="目录 11"/>
    <w:basedOn w:val="1039"/>
    <w:next w:val="1039"/>
    <w:uiPriority w:val="39"/>
    <w:unhideWhenUsed/>
    <w:qFormat/>
    <w:pPr>
      <w:jc w:val="left"/>
      <w:spacing w:after="100" w:line="259" w:lineRule="auto"/>
      <w:widowControl/>
    </w:pPr>
    <w:rPr>
      <w:rFonts w:ascii="Calibri" w:hAnsi="Calibri" w:eastAsia="宋体"/>
      <w:sz w:val="22"/>
      <w:szCs w:val="22"/>
    </w:rPr>
  </w:style>
  <w:style w:type="character" w:styleId="1084" w:customStyle="1">
    <w:name w:val="标题 1 字符1"/>
    <w:link w:val="1040"/>
    <w:uiPriority w:val="9"/>
    <w:qFormat/>
    <w:rPr>
      <w:rFonts w:ascii="Arial" w:hAnsi="Arial" w:eastAsia="Arial" w:cs="Arial"/>
      <w:sz w:val="40"/>
      <w:szCs w:val="40"/>
    </w:rPr>
  </w:style>
  <w:style w:type="character" w:styleId="1085" w:customStyle="1">
    <w:name w:val="标题 2 字符1"/>
    <w:link w:val="1041"/>
    <w:uiPriority w:val="9"/>
    <w:qFormat/>
    <w:rPr>
      <w:rFonts w:ascii="Arial" w:hAnsi="Arial" w:eastAsia="Arial" w:cs="Arial"/>
      <w:sz w:val="34"/>
    </w:rPr>
  </w:style>
  <w:style w:type="character" w:styleId="1086" w:customStyle="1">
    <w:name w:val="标题 3 字符1"/>
    <w:link w:val="1042"/>
    <w:uiPriority w:val="9"/>
    <w:qFormat/>
    <w:rPr>
      <w:rFonts w:ascii="Arial" w:hAnsi="Arial" w:eastAsia="Arial" w:cs="Arial"/>
      <w:sz w:val="30"/>
      <w:szCs w:val="30"/>
    </w:rPr>
  </w:style>
  <w:style w:type="character" w:styleId="1087" w:customStyle="1">
    <w:name w:val="标题 4 字符1"/>
    <w:link w:val="1043"/>
    <w:uiPriority w:val="9"/>
    <w:qFormat/>
    <w:rPr>
      <w:rFonts w:ascii="Arial" w:hAnsi="Arial" w:eastAsia="Arial" w:cs="Arial"/>
      <w:b/>
      <w:bCs/>
      <w:sz w:val="26"/>
      <w:szCs w:val="26"/>
    </w:rPr>
  </w:style>
  <w:style w:type="character" w:styleId="1088" w:customStyle="1">
    <w:name w:val="标题 5 字符1"/>
    <w:link w:val="1044"/>
    <w:uiPriority w:val="9"/>
    <w:qFormat/>
    <w:rPr>
      <w:rFonts w:ascii="Arial" w:hAnsi="Arial" w:eastAsia="Arial" w:cs="Arial"/>
      <w:b/>
      <w:bCs/>
      <w:sz w:val="24"/>
      <w:szCs w:val="24"/>
    </w:rPr>
  </w:style>
  <w:style w:type="character" w:styleId="1089" w:customStyle="1">
    <w:name w:val="标题 6 字符1"/>
    <w:link w:val="1045"/>
    <w:uiPriority w:val="9"/>
    <w:qFormat/>
    <w:rPr>
      <w:rFonts w:ascii="Arial" w:hAnsi="Arial" w:eastAsia="Arial" w:cs="Arial"/>
      <w:b/>
      <w:bCs/>
      <w:sz w:val="22"/>
      <w:szCs w:val="22"/>
    </w:rPr>
  </w:style>
  <w:style w:type="character" w:styleId="1090" w:customStyle="1">
    <w:name w:val="标题 7 字符1"/>
    <w:link w:val="1046"/>
    <w:uiPriority w:val="9"/>
    <w:qFormat/>
    <w:rPr>
      <w:rFonts w:ascii="Arial" w:hAnsi="Arial" w:eastAsia="Arial" w:cs="Arial"/>
      <w:b/>
      <w:bCs/>
      <w:i/>
      <w:iCs/>
      <w:sz w:val="22"/>
      <w:szCs w:val="22"/>
    </w:rPr>
  </w:style>
  <w:style w:type="character" w:styleId="1091" w:customStyle="1">
    <w:name w:val="标题 8 字符1"/>
    <w:link w:val="1047"/>
    <w:uiPriority w:val="9"/>
    <w:qFormat/>
    <w:rPr>
      <w:rFonts w:ascii="Arial" w:hAnsi="Arial" w:eastAsia="Arial" w:cs="Arial"/>
      <w:i/>
      <w:iCs/>
      <w:sz w:val="22"/>
      <w:szCs w:val="22"/>
    </w:rPr>
  </w:style>
  <w:style w:type="character" w:styleId="1092" w:customStyle="1">
    <w:name w:val="标题 9 字符1"/>
    <w:link w:val="1048"/>
    <w:uiPriority w:val="9"/>
    <w:qFormat/>
    <w:rPr>
      <w:rFonts w:ascii="Arial" w:hAnsi="Arial" w:eastAsia="Arial" w:cs="Arial"/>
      <w:i/>
      <w:iCs/>
      <w:sz w:val="21"/>
      <w:szCs w:val="21"/>
    </w:rPr>
  </w:style>
  <w:style w:type="paragraph" w:styleId="1093">
    <w:name w:val="List Paragraph"/>
    <w:basedOn w:val="1039"/>
    <w:uiPriority w:val="34"/>
    <w:qFormat/>
    <w:pPr>
      <w:contextualSpacing/>
      <w:ind w:left="720"/>
    </w:pPr>
  </w:style>
  <w:style w:type="paragraph" w:styleId="1094">
    <w:name w:val="No Spacing"/>
    <w:uiPriority w:val="1"/>
    <w:qFormat/>
    <w:rPr>
      <w:rFonts w:ascii="Times New Roman" w:hAnsi="Times New Roman" w:eastAsia="宋体" w:cs="Times New Roman"/>
      <w:lang w:val="en-US" w:eastAsia="zh-CN" w:bidi="ar-SA"/>
    </w:rPr>
  </w:style>
  <w:style w:type="character" w:styleId="1095" w:customStyle="1">
    <w:name w:val="标题 字符1"/>
    <w:link w:val="1074"/>
    <w:uiPriority w:val="10"/>
    <w:qFormat/>
    <w:rPr>
      <w:sz w:val="48"/>
      <w:szCs w:val="48"/>
    </w:rPr>
  </w:style>
  <w:style w:type="character" w:styleId="1096" w:customStyle="1">
    <w:name w:val="副标题 字符"/>
    <w:link w:val="1067"/>
    <w:uiPriority w:val="11"/>
    <w:qFormat/>
    <w:rPr>
      <w:sz w:val="24"/>
      <w:szCs w:val="24"/>
    </w:rPr>
  </w:style>
  <w:style w:type="paragraph" w:styleId="1097">
    <w:name w:val="Quote"/>
    <w:basedOn w:val="1039"/>
    <w:next w:val="1039"/>
    <w:link w:val="1098"/>
    <w:uiPriority w:val="29"/>
    <w:qFormat/>
    <w:pPr>
      <w:ind w:left="720" w:right="720"/>
    </w:pPr>
    <w:rPr>
      <w:i/>
    </w:rPr>
  </w:style>
  <w:style w:type="character" w:styleId="1098" w:customStyle="1">
    <w:name w:val="引用 字符"/>
    <w:link w:val="1097"/>
    <w:uiPriority w:val="29"/>
    <w:qFormat/>
    <w:rPr>
      <w:i/>
    </w:rPr>
  </w:style>
  <w:style w:type="paragraph" w:styleId="1099">
    <w:name w:val="Intense Quote"/>
    <w:basedOn w:val="1039"/>
    <w:next w:val="1039"/>
    <w:link w:val="11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0" w:customStyle="1">
    <w:name w:val="明显引用 字符"/>
    <w:link w:val="1099"/>
    <w:uiPriority w:val="30"/>
    <w:qFormat/>
    <w:rPr>
      <w:i/>
    </w:rPr>
  </w:style>
  <w:style w:type="character" w:styleId="1101" w:customStyle="1">
    <w:name w:val="页眉 字符1"/>
    <w:link w:val="1064"/>
    <w:uiPriority w:val="99"/>
    <w:qFormat/>
  </w:style>
  <w:style w:type="character" w:styleId="1102" w:customStyle="1">
    <w:name w:val="Footer Char"/>
    <w:uiPriority w:val="99"/>
    <w:qFormat/>
  </w:style>
  <w:style w:type="character" w:styleId="1103" w:customStyle="1">
    <w:name w:val="页脚 字符1"/>
    <w:link w:val="1063"/>
    <w:uiPriority w:val="99"/>
    <w:qFormat/>
  </w:style>
  <w:style w:type="table" w:styleId="11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9" w:customStyle="1">
    <w:name w:val="脚注文本 字符"/>
    <w:link w:val="1068"/>
    <w:uiPriority w:val="99"/>
    <w:qFormat/>
    <w:rPr>
      <w:sz w:val="18"/>
    </w:rPr>
  </w:style>
  <w:style w:type="character" w:styleId="1230" w:customStyle="1">
    <w:name w:val="尾注文本 字符"/>
    <w:link w:val="1062"/>
    <w:uiPriority w:val="99"/>
    <w:qFormat/>
    <w:rPr>
      <w:sz w:val="20"/>
    </w:rPr>
  </w:style>
  <w:style w:type="paragraph" w:styleId="1231" w:customStyle="1">
    <w:name w:val="TOC 标题1"/>
    <w:uiPriority w:val="39"/>
    <w:unhideWhenUsed/>
    <w:qFormat/>
    <w:rPr>
      <w:rFonts w:ascii="Times New Roman" w:hAnsi="Times New Roman" w:eastAsia="宋体" w:cs="Times New Roman"/>
      <w:lang w:val="en-US" w:eastAsia="zh-CN" w:bidi="ar-SA"/>
    </w:rPr>
  </w:style>
  <w:style w:type="paragraph" w:styleId="1232" w:customStyle="1">
    <w:name w:val="标题 11"/>
    <w:basedOn w:val="1039"/>
    <w:next w:val="1039"/>
    <w:link w:val="1244"/>
    <w:uiPriority w:val="0"/>
    <w:qFormat/>
    <w:pPr>
      <w:jc w:val="center"/>
      <w:keepLines/>
      <w:keepNext/>
      <w:spacing w:before="240" w:after="120" w:line="300" w:lineRule="auto"/>
      <w:outlineLvl w:val="0"/>
    </w:pPr>
    <w:rPr>
      <w:rFonts w:ascii="宋体"/>
      <w:b/>
      <w:sz w:val="32"/>
      <w:szCs w:val="20"/>
    </w:rPr>
  </w:style>
  <w:style w:type="paragraph" w:styleId="1233" w:customStyle="1">
    <w:name w:val="标题 21"/>
    <w:basedOn w:val="1039"/>
    <w:next w:val="1234"/>
    <w:link w:val="1245"/>
    <w:uiPriority w:val="0"/>
    <w:qFormat/>
    <w:pPr>
      <w:jc w:val="center"/>
      <w:keepLines/>
      <w:keepNext/>
      <w:spacing w:before="120" w:line="300" w:lineRule="auto"/>
      <w:outlineLvl w:val="1"/>
    </w:pPr>
    <w:rPr>
      <w:rFonts w:ascii="Arial" w:hAnsi="Arial" w:eastAsia="黑体"/>
      <w:b/>
      <w:sz w:val="30"/>
      <w:szCs w:val="20"/>
    </w:rPr>
  </w:style>
  <w:style w:type="paragraph" w:styleId="1234" w:customStyle="1">
    <w:name w:val="正文缩进11"/>
    <w:basedOn w:val="1039"/>
    <w:next w:val="1039"/>
    <w:link w:val="1246"/>
    <w:uiPriority w:val="0"/>
    <w:qFormat/>
    <w:pPr>
      <w:ind w:firstLine="420"/>
      <w:jc w:val="left"/>
    </w:pPr>
    <w:rPr>
      <w:rFonts w:ascii="宋体"/>
      <w:sz w:val="24"/>
    </w:rPr>
  </w:style>
  <w:style w:type="paragraph" w:styleId="1235" w:customStyle="1">
    <w:name w:val="标题 31"/>
    <w:basedOn w:val="1039"/>
    <w:next w:val="1234"/>
    <w:link w:val="1247"/>
    <w:uiPriority w:val="0"/>
    <w:qFormat/>
    <w:pPr>
      <w:jc w:val="left"/>
      <w:keepLines/>
      <w:keepNext/>
      <w:spacing w:before="360" w:after="120"/>
      <w:outlineLvl w:val="2"/>
    </w:pPr>
    <w:rPr>
      <w:rFonts w:ascii="宋体"/>
      <w:b/>
      <w:sz w:val="24"/>
      <w:szCs w:val="20"/>
      <w:u w:val="single"/>
    </w:rPr>
  </w:style>
  <w:style w:type="paragraph" w:styleId="1236" w:customStyle="1">
    <w:name w:val="标题 41"/>
    <w:basedOn w:val="1039"/>
    <w:next w:val="1039"/>
    <w:link w:val="1248"/>
    <w:uiPriority w:val="0"/>
    <w:qFormat/>
    <w:pPr>
      <w:keepLines/>
      <w:keepNext/>
      <w:spacing w:before="280" w:after="290" w:line="376" w:lineRule="atLeast"/>
      <w:outlineLvl w:val="3"/>
    </w:pPr>
    <w:rPr>
      <w:rFonts w:ascii="Arial" w:hAnsi="Arial" w:eastAsia="黑体"/>
      <w:b/>
      <w:sz w:val="28"/>
      <w:szCs w:val="20"/>
    </w:rPr>
  </w:style>
  <w:style w:type="paragraph" w:styleId="1237" w:customStyle="1">
    <w:name w:val="标题 51"/>
    <w:basedOn w:val="1039"/>
    <w:next w:val="1039"/>
    <w:link w:val="1249"/>
    <w:uiPriority w:val="0"/>
    <w:qFormat/>
    <w:pPr>
      <w:keepLines/>
      <w:keepNext/>
      <w:spacing w:before="280" w:after="290" w:line="376" w:lineRule="atLeast"/>
      <w:outlineLvl w:val="4"/>
    </w:pPr>
    <w:rPr>
      <w:b/>
      <w:sz w:val="28"/>
      <w:szCs w:val="20"/>
    </w:rPr>
  </w:style>
  <w:style w:type="paragraph" w:styleId="1238" w:customStyle="1">
    <w:name w:val="标题 61"/>
    <w:basedOn w:val="1039"/>
    <w:next w:val="1039"/>
    <w:link w:val="1250"/>
    <w:uiPriority w:val="0"/>
    <w:qFormat/>
    <w:pPr>
      <w:keepLines/>
      <w:keepNext/>
      <w:spacing w:before="240" w:after="64" w:line="320" w:lineRule="atLeast"/>
      <w:outlineLvl w:val="5"/>
    </w:pPr>
    <w:rPr>
      <w:rFonts w:ascii="Arial" w:hAnsi="Arial" w:eastAsia="黑体"/>
      <w:b/>
      <w:sz w:val="24"/>
      <w:szCs w:val="20"/>
    </w:rPr>
  </w:style>
  <w:style w:type="paragraph" w:styleId="1239" w:customStyle="1">
    <w:name w:val="标题 71"/>
    <w:basedOn w:val="1039"/>
    <w:next w:val="1039"/>
    <w:link w:val="1251"/>
    <w:uiPriority w:val="0"/>
    <w:qFormat/>
    <w:pPr>
      <w:keepLines/>
      <w:keepNext/>
      <w:spacing w:before="240" w:after="64" w:line="320" w:lineRule="atLeast"/>
      <w:outlineLvl w:val="6"/>
    </w:pPr>
    <w:rPr>
      <w:b/>
      <w:sz w:val="24"/>
      <w:szCs w:val="20"/>
    </w:rPr>
  </w:style>
  <w:style w:type="paragraph" w:styleId="1240" w:customStyle="1">
    <w:name w:val="标题 81"/>
    <w:basedOn w:val="1039"/>
    <w:next w:val="1039"/>
    <w:link w:val="1252"/>
    <w:uiPriority w:val="0"/>
    <w:qFormat/>
    <w:pPr>
      <w:keepLines/>
      <w:keepNext/>
      <w:spacing w:before="240" w:after="64" w:line="320" w:lineRule="atLeast"/>
      <w:outlineLvl w:val="7"/>
    </w:pPr>
    <w:rPr>
      <w:rFonts w:ascii="Arial" w:hAnsi="Arial" w:eastAsia="黑体"/>
      <w:sz w:val="24"/>
      <w:szCs w:val="20"/>
    </w:rPr>
  </w:style>
  <w:style w:type="paragraph" w:styleId="1241" w:customStyle="1">
    <w:name w:val="标题 91"/>
    <w:basedOn w:val="1039"/>
    <w:next w:val="1039"/>
    <w:link w:val="1253"/>
    <w:uiPriority w:val="0"/>
    <w:qFormat/>
    <w:pPr>
      <w:keepLines/>
      <w:keepNext/>
      <w:spacing w:before="240" w:after="64" w:line="320" w:lineRule="atLeast"/>
      <w:outlineLvl w:val="8"/>
    </w:pPr>
    <w:rPr>
      <w:rFonts w:ascii="Arial" w:hAnsi="Arial" w:eastAsia="黑体"/>
      <w:szCs w:val="20"/>
    </w:rPr>
  </w:style>
  <w:style w:type="character" w:styleId="1242" w:customStyle="1">
    <w:name w:val="默认段落字体1"/>
    <w:uiPriority w:val="1"/>
    <w:unhideWhenUsed/>
    <w:qFormat/>
  </w:style>
  <w:style w:type="table" w:styleId="1243" w:customStyle="1">
    <w:name w:val="普通表格1"/>
    <w:uiPriority w:val="99"/>
    <w:unhideWhenUsed/>
    <w:qFormat/>
    <w:tblPr>
      <w:tblCellMar>
        <w:left w:w="0" w:type="dxa"/>
        <w:top w:w="0" w:type="dxa"/>
        <w:right w:w="0" w:type="dxa"/>
        <w:bottom w:w="0" w:type="dxa"/>
      </w:tblCellMar>
    </w:tblPr>
  </w:style>
  <w:style w:type="character" w:styleId="1244" w:customStyle="1">
    <w:name w:val="标题 1 字符"/>
    <w:link w:val="1232"/>
    <w:uiPriority w:val="0"/>
    <w:qFormat/>
    <w:rPr>
      <w:rFonts w:ascii="宋体"/>
      <w:b/>
      <w:sz w:val="32"/>
    </w:rPr>
  </w:style>
  <w:style w:type="character" w:styleId="1245" w:customStyle="1">
    <w:name w:val="标题 2 字符"/>
    <w:link w:val="1233"/>
    <w:uiPriority w:val="0"/>
    <w:qFormat/>
    <w:rPr>
      <w:rFonts w:ascii="Arial" w:hAnsi="Arial" w:eastAsia="黑体"/>
      <w:b/>
      <w:sz w:val="30"/>
      <w:lang w:val="en-US" w:eastAsia="zh-CN" w:bidi="ar-SA"/>
    </w:rPr>
  </w:style>
  <w:style w:type="character" w:styleId="1246" w:customStyle="1">
    <w:name w:val="正文缩进 字符"/>
    <w:link w:val="1234"/>
    <w:uiPriority w:val="0"/>
    <w:qFormat/>
    <w:rPr>
      <w:rFonts w:ascii="宋体" w:eastAsia="宋体"/>
      <w:sz w:val="24"/>
      <w:szCs w:val="24"/>
      <w:lang w:val="en-US" w:eastAsia="zh-CN" w:bidi="ar-SA"/>
    </w:rPr>
  </w:style>
  <w:style w:type="character" w:styleId="1247" w:customStyle="1">
    <w:name w:val="标题 3 字符"/>
    <w:link w:val="1235"/>
    <w:uiPriority w:val="0"/>
    <w:qFormat/>
    <w:rPr>
      <w:rFonts w:ascii="宋体" w:eastAsia="宋体"/>
      <w:b/>
      <w:sz w:val="24"/>
      <w:u w:val="single"/>
      <w:lang w:val="en-US" w:eastAsia="zh-CN" w:bidi="ar-SA"/>
    </w:rPr>
  </w:style>
  <w:style w:type="character" w:styleId="1248" w:customStyle="1">
    <w:name w:val="标题 4 字符"/>
    <w:link w:val="1236"/>
    <w:uiPriority w:val="0"/>
    <w:qFormat/>
    <w:rPr>
      <w:rFonts w:ascii="Arial" w:hAnsi="Arial" w:eastAsia="黑体"/>
      <w:b/>
      <w:sz w:val="28"/>
    </w:rPr>
  </w:style>
  <w:style w:type="character" w:styleId="1249" w:customStyle="1">
    <w:name w:val="标题 5 字符"/>
    <w:link w:val="1237"/>
    <w:uiPriority w:val="0"/>
    <w:qFormat/>
    <w:rPr>
      <w:b/>
      <w:sz w:val="28"/>
    </w:rPr>
  </w:style>
  <w:style w:type="character" w:styleId="1250" w:customStyle="1">
    <w:name w:val="标题 6 字符"/>
    <w:link w:val="1238"/>
    <w:uiPriority w:val="0"/>
    <w:qFormat/>
    <w:rPr>
      <w:rFonts w:ascii="Arial" w:hAnsi="Arial" w:eastAsia="黑体"/>
      <w:b/>
      <w:sz w:val="24"/>
    </w:rPr>
  </w:style>
  <w:style w:type="character" w:styleId="1251" w:customStyle="1">
    <w:name w:val="标题 7 字符"/>
    <w:link w:val="1239"/>
    <w:uiPriority w:val="0"/>
    <w:qFormat/>
    <w:rPr>
      <w:b/>
      <w:sz w:val="24"/>
    </w:rPr>
  </w:style>
  <w:style w:type="character" w:styleId="1252" w:customStyle="1">
    <w:name w:val="标题 8 字符"/>
    <w:link w:val="1240"/>
    <w:uiPriority w:val="0"/>
    <w:qFormat/>
    <w:rPr>
      <w:rFonts w:ascii="Arial" w:hAnsi="Arial" w:eastAsia="黑体"/>
      <w:sz w:val="24"/>
    </w:rPr>
  </w:style>
  <w:style w:type="character" w:styleId="1253" w:customStyle="1">
    <w:name w:val="标题 9 字符"/>
    <w:link w:val="1241"/>
    <w:uiPriority w:val="0"/>
    <w:qFormat/>
    <w:rPr>
      <w:rFonts w:ascii="Arial" w:hAnsi="Arial" w:eastAsia="黑体"/>
      <w:sz w:val="21"/>
    </w:rPr>
  </w:style>
  <w:style w:type="paragraph" w:styleId="1254" w:customStyle="1">
    <w:name w:val="题注1"/>
    <w:basedOn w:val="1039"/>
    <w:next w:val="1039"/>
    <w:uiPriority w:val="0"/>
    <w:qFormat/>
    <w:pPr>
      <w:spacing w:line="480" w:lineRule="auto"/>
    </w:pPr>
    <w:rPr>
      <w:rFonts w:ascii="华文中宋" w:hAnsi="华文中宋" w:eastAsia="华文中宋"/>
      <w:sz w:val="36"/>
      <w:szCs w:val="20"/>
    </w:rPr>
  </w:style>
  <w:style w:type="paragraph" w:styleId="1255" w:customStyle="1">
    <w:name w:val="文档结构图1"/>
    <w:basedOn w:val="1039"/>
    <w:link w:val="1256"/>
    <w:uiPriority w:val="0"/>
    <w:qFormat/>
    <w:pPr>
      <w:shd w:val="clear" w:color="auto" w:fill="000080"/>
    </w:pPr>
  </w:style>
  <w:style w:type="character" w:styleId="1256" w:customStyle="1">
    <w:name w:val="文档结构图 字符"/>
    <w:link w:val="1255"/>
    <w:uiPriority w:val="0"/>
    <w:qFormat/>
    <w:rPr>
      <w:sz w:val="21"/>
      <w:szCs w:val="24"/>
      <w:shd w:val="clear" w:color="auto" w:fill="000080"/>
    </w:rPr>
  </w:style>
  <w:style w:type="paragraph" w:styleId="1257" w:customStyle="1">
    <w:name w:val="批注文字1"/>
    <w:basedOn w:val="1039"/>
    <w:link w:val="1258"/>
    <w:uiPriority w:val="99"/>
    <w:qFormat/>
    <w:pPr>
      <w:jc w:val="left"/>
    </w:pPr>
  </w:style>
  <w:style w:type="character" w:styleId="1258" w:customStyle="1">
    <w:name w:val="批注文字 字符1"/>
    <w:link w:val="1257"/>
    <w:uiPriority w:val="99"/>
    <w:qFormat/>
    <w:rPr>
      <w:sz w:val="21"/>
      <w:szCs w:val="24"/>
    </w:rPr>
  </w:style>
  <w:style w:type="paragraph" w:styleId="1259" w:customStyle="1">
    <w:name w:val="正文文本 31"/>
    <w:basedOn w:val="1039"/>
    <w:link w:val="1260"/>
    <w:uiPriority w:val="0"/>
    <w:qFormat/>
    <w:pPr>
      <w:spacing w:after="120"/>
    </w:pPr>
    <w:rPr>
      <w:sz w:val="16"/>
      <w:szCs w:val="16"/>
    </w:rPr>
  </w:style>
  <w:style w:type="character" w:styleId="1260" w:customStyle="1">
    <w:name w:val="正文文本 3 字符"/>
    <w:link w:val="1259"/>
    <w:uiPriority w:val="0"/>
    <w:qFormat/>
    <w:rPr>
      <w:sz w:val="16"/>
      <w:szCs w:val="16"/>
    </w:rPr>
  </w:style>
  <w:style w:type="paragraph" w:styleId="1261" w:customStyle="1">
    <w:name w:val="正文文本1"/>
    <w:basedOn w:val="1039"/>
    <w:next w:val="1055"/>
    <w:link w:val="1262"/>
    <w:uiPriority w:val="0"/>
    <w:qFormat/>
    <w:pPr>
      <w:spacing w:before="120" w:line="22" w:lineRule="atLeast"/>
      <w:tabs>
        <w:tab w:val="left" w:pos="567" w:leader="none"/>
      </w:tabs>
    </w:pPr>
    <w:rPr>
      <w:rFonts w:ascii="宋体" w:hAnsi="宋体"/>
      <w:sz w:val="24"/>
    </w:rPr>
  </w:style>
  <w:style w:type="character" w:styleId="1262" w:customStyle="1">
    <w:name w:val="正文文本 字符"/>
    <w:link w:val="1261"/>
    <w:uiPriority w:val="0"/>
    <w:qFormat/>
    <w:rPr>
      <w:rFonts w:ascii="宋体" w:hAnsi="宋体"/>
      <w:sz w:val="24"/>
      <w:szCs w:val="24"/>
    </w:rPr>
  </w:style>
  <w:style w:type="paragraph" w:styleId="1263" w:customStyle="1">
    <w:name w:val="正文文本缩进11"/>
    <w:basedOn w:val="1039"/>
    <w:link w:val="1264"/>
    <w:uiPriority w:val="0"/>
    <w:qFormat/>
    <w:pPr>
      <w:ind w:firstLine="570"/>
      <w:spacing w:line="360" w:lineRule="auto"/>
    </w:pPr>
    <w:rPr>
      <w:sz w:val="24"/>
    </w:rPr>
  </w:style>
  <w:style w:type="character" w:styleId="1264" w:customStyle="1">
    <w:name w:val="正文文本缩进 字符"/>
    <w:link w:val="1263"/>
    <w:uiPriority w:val="0"/>
    <w:qFormat/>
    <w:rPr>
      <w:rFonts w:eastAsia="宋体"/>
      <w:sz w:val="24"/>
      <w:szCs w:val="24"/>
      <w:lang w:val="en-US" w:eastAsia="zh-CN" w:bidi="ar-SA"/>
    </w:rPr>
  </w:style>
  <w:style w:type="paragraph" w:styleId="1265" w:customStyle="1">
    <w:name w:val="列表 21"/>
    <w:basedOn w:val="1039"/>
    <w:uiPriority w:val="0"/>
    <w:qFormat/>
    <w:pPr>
      <w:ind w:left="100" w:hanging="200"/>
    </w:pPr>
  </w:style>
  <w:style w:type="paragraph" w:styleId="1266" w:customStyle="1">
    <w:name w:val="文本块1"/>
    <w:basedOn w:val="1039"/>
    <w:uiPriority w:val="0"/>
    <w:qFormat/>
    <w:pPr>
      <w:ind w:left="480" w:right="-341" w:firstLine="513"/>
      <w:widowControl/>
    </w:pPr>
    <w:rPr>
      <w:sz w:val="24"/>
      <w:szCs w:val="20"/>
    </w:rPr>
  </w:style>
  <w:style w:type="paragraph" w:styleId="1267" w:customStyle="1">
    <w:name w:val="纯文本1"/>
    <w:basedOn w:val="1039"/>
    <w:next w:val="1234"/>
    <w:link w:val="1268"/>
    <w:uiPriority w:val="0"/>
    <w:qFormat/>
    <w:rPr>
      <w:rFonts w:hint="eastAsia" w:ascii="宋体" w:hAnsi="Courier New"/>
      <w:szCs w:val="20"/>
    </w:rPr>
  </w:style>
  <w:style w:type="character" w:styleId="1268" w:customStyle="1">
    <w:name w:val="纯文本 字符2"/>
    <w:link w:val="1267"/>
    <w:uiPriority w:val="0"/>
    <w:qFormat/>
    <w:rPr>
      <w:rFonts w:hint="eastAsia" w:ascii="宋体" w:hAnsi="Courier New" w:eastAsia="宋体" w:cs="宋体"/>
      <w:sz w:val="21"/>
    </w:rPr>
  </w:style>
  <w:style w:type="paragraph" w:styleId="1269" w:customStyle="1">
    <w:name w:val="日期1"/>
    <w:basedOn w:val="1039"/>
    <w:next w:val="1039"/>
    <w:link w:val="1270"/>
    <w:uiPriority w:val="0"/>
    <w:qFormat/>
    <w:pPr>
      <w:ind w:left="100"/>
    </w:pPr>
    <w:rPr>
      <w:rFonts w:ascii="仿宋_GB2312" w:hAnsi="宋体" w:eastAsia="仿宋_GB2312"/>
      <w:color w:val="000000"/>
      <w:sz w:val="24"/>
    </w:rPr>
  </w:style>
  <w:style w:type="character" w:styleId="1270" w:customStyle="1">
    <w:name w:val="日期 字符"/>
    <w:link w:val="1269"/>
    <w:uiPriority w:val="0"/>
    <w:qFormat/>
    <w:rPr>
      <w:rFonts w:ascii="仿宋_GB2312" w:hAnsi="宋体" w:eastAsia="仿宋_GB2312"/>
      <w:color w:val="000000"/>
      <w:sz w:val="24"/>
      <w:szCs w:val="24"/>
    </w:rPr>
  </w:style>
  <w:style w:type="paragraph" w:styleId="1271" w:customStyle="1">
    <w:name w:val="正文文本缩进 21"/>
    <w:basedOn w:val="1039"/>
    <w:link w:val="1272"/>
    <w:uiPriority w:val="0"/>
    <w:qFormat/>
    <w:pPr>
      <w:ind w:firstLine="480"/>
    </w:pPr>
    <w:rPr>
      <w:rFonts w:ascii="仿宋_GB2312" w:eastAsia="仿宋_GB2312"/>
      <w:sz w:val="24"/>
    </w:rPr>
  </w:style>
  <w:style w:type="character" w:styleId="1272" w:customStyle="1">
    <w:name w:val="正文文本缩进 2 字符"/>
    <w:link w:val="1271"/>
    <w:uiPriority w:val="0"/>
    <w:qFormat/>
    <w:rPr>
      <w:rFonts w:ascii="仿宋_GB2312" w:eastAsia="仿宋_GB2312"/>
      <w:sz w:val="24"/>
      <w:szCs w:val="24"/>
    </w:rPr>
  </w:style>
  <w:style w:type="paragraph" w:styleId="1273" w:customStyle="1">
    <w:name w:val="批注框文本1"/>
    <w:basedOn w:val="1039"/>
    <w:link w:val="1274"/>
    <w:uiPriority w:val="0"/>
    <w:qFormat/>
    <w:rPr>
      <w:sz w:val="18"/>
      <w:szCs w:val="18"/>
    </w:rPr>
  </w:style>
  <w:style w:type="character" w:styleId="1274" w:customStyle="1">
    <w:name w:val="批注框文本 字符"/>
    <w:link w:val="1273"/>
    <w:uiPriority w:val="0"/>
    <w:qFormat/>
    <w:rPr>
      <w:sz w:val="18"/>
      <w:szCs w:val="18"/>
    </w:rPr>
  </w:style>
  <w:style w:type="paragraph" w:styleId="1275" w:customStyle="1">
    <w:name w:val="页脚1"/>
    <w:basedOn w:val="1039"/>
    <w:link w:val="1276"/>
    <w:uiPriority w:val="99"/>
    <w:qFormat/>
    <w:pPr>
      <w:jc w:val="left"/>
      <w:tabs>
        <w:tab w:val="center" w:pos="4153" w:leader="none"/>
        <w:tab w:val="right" w:pos="8306" w:leader="none"/>
      </w:tabs>
    </w:pPr>
    <w:rPr>
      <w:rFonts w:ascii="宋体"/>
      <w:sz w:val="18"/>
      <w:szCs w:val="20"/>
    </w:rPr>
  </w:style>
  <w:style w:type="character" w:styleId="1276" w:customStyle="1">
    <w:name w:val="页脚 字符"/>
    <w:link w:val="1275"/>
    <w:uiPriority w:val="99"/>
    <w:qFormat/>
    <w:rPr>
      <w:rFonts w:ascii="宋体" w:eastAsia="宋体"/>
      <w:sz w:val="18"/>
      <w:lang w:val="en-US" w:eastAsia="zh-CN" w:bidi="ar-SA"/>
    </w:rPr>
  </w:style>
  <w:style w:type="paragraph" w:styleId="1277" w:customStyle="1">
    <w:name w:val="寄信人地址1"/>
    <w:basedOn w:val="1039"/>
    <w:uiPriority w:val="0"/>
    <w:qFormat/>
    <w:rPr>
      <w:rFonts w:ascii="Arial" w:hAnsi="Arial"/>
    </w:rPr>
  </w:style>
  <w:style w:type="paragraph" w:styleId="1278" w:customStyle="1">
    <w:name w:val="页眉1"/>
    <w:basedOn w:val="1039"/>
    <w:link w:val="1279"/>
    <w:uiPriority w:val="0"/>
    <w:qFormat/>
    <w:pPr>
      <w:jc w:val="center"/>
      <w:tabs>
        <w:tab w:val="center" w:pos="4153" w:leader="none"/>
        <w:tab w:val="right" w:pos="8306" w:leader="none"/>
      </w:tabs>
      <w:pBdr>
        <w:bottom w:val="none" w:color="000000" w:sz="0" w:space="1"/>
      </w:pBdr>
    </w:pPr>
    <w:rPr>
      <w:sz w:val="18"/>
      <w:szCs w:val="18"/>
    </w:rPr>
  </w:style>
  <w:style w:type="character" w:styleId="1279" w:customStyle="1">
    <w:name w:val="页眉 字符"/>
    <w:link w:val="1278"/>
    <w:uiPriority w:val="0"/>
    <w:qFormat/>
    <w:rPr>
      <w:rFonts w:eastAsia="宋体"/>
      <w:sz w:val="18"/>
      <w:szCs w:val="18"/>
      <w:lang w:val="en-US" w:eastAsia="zh-CN" w:bidi="ar-SA"/>
    </w:rPr>
  </w:style>
  <w:style w:type="paragraph" w:styleId="1280" w:customStyle="1">
    <w:name w:val="正文文本缩进 31"/>
    <w:basedOn w:val="1039"/>
    <w:link w:val="1281"/>
    <w:uiPriority w:val="0"/>
    <w:qFormat/>
    <w:pPr>
      <w:ind w:left="720" w:firstLine="480"/>
      <w:jc w:val="left"/>
      <w:spacing w:before="120" w:line="22" w:lineRule="atLeast"/>
    </w:pPr>
    <w:rPr>
      <w:rFonts w:ascii="宋体"/>
      <w:sz w:val="24"/>
      <w:szCs w:val="20"/>
    </w:rPr>
  </w:style>
  <w:style w:type="character" w:styleId="1281" w:customStyle="1">
    <w:name w:val="正文文本缩进 3 字符"/>
    <w:link w:val="1280"/>
    <w:uiPriority w:val="0"/>
    <w:qFormat/>
    <w:rPr>
      <w:rFonts w:ascii="宋体"/>
      <w:sz w:val="24"/>
    </w:rPr>
  </w:style>
  <w:style w:type="paragraph" w:styleId="1282" w:customStyle="1">
    <w:name w:val="HTML 预设格式1"/>
    <w:basedOn w:val="1039"/>
    <w:link w:val="12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3" w:customStyle="1">
    <w:name w:val="HTML 预设格式 字符"/>
    <w:link w:val="1282"/>
    <w:uiPriority w:val="0"/>
    <w:qFormat/>
    <w:rPr>
      <w:rFonts w:ascii="宋体" w:hAnsi="宋体" w:cs="宋体"/>
      <w:sz w:val="24"/>
      <w:szCs w:val="24"/>
    </w:rPr>
  </w:style>
  <w:style w:type="paragraph" w:styleId="1284" w:customStyle="1">
    <w:name w:val="普通(网站)1"/>
    <w:basedOn w:val="1039"/>
    <w:uiPriority w:val="0"/>
    <w:unhideWhenUsed/>
    <w:qFormat/>
    <w:pPr>
      <w:jc w:val="left"/>
      <w:spacing w:before="100" w:beforeAutospacing="1" w:after="100" w:afterAutospacing="1"/>
      <w:widowControl/>
    </w:pPr>
    <w:rPr>
      <w:rFonts w:ascii="宋体" w:hAnsi="宋体" w:cs="宋体"/>
      <w:sz w:val="24"/>
    </w:rPr>
  </w:style>
  <w:style w:type="paragraph" w:styleId="1285" w:customStyle="1">
    <w:name w:val="索引 11"/>
    <w:basedOn w:val="1039"/>
    <w:next w:val="1039"/>
    <w:uiPriority w:val="0"/>
    <w:qFormat/>
    <w:rPr>
      <w:szCs w:val="20"/>
    </w:rPr>
  </w:style>
  <w:style w:type="paragraph" w:styleId="1286" w:customStyle="1">
    <w:name w:val="标题1"/>
    <w:basedOn w:val="1039"/>
    <w:link w:val="1287"/>
    <w:uiPriority w:val="0"/>
    <w:qFormat/>
    <w:pPr>
      <w:jc w:val="center"/>
      <w:outlineLvl w:val="0"/>
    </w:pPr>
    <w:rPr>
      <w:b/>
      <w:sz w:val="32"/>
      <w:szCs w:val="20"/>
    </w:rPr>
  </w:style>
  <w:style w:type="character" w:styleId="1287" w:customStyle="1">
    <w:name w:val="标题 字符"/>
    <w:link w:val="1286"/>
    <w:uiPriority w:val="0"/>
    <w:qFormat/>
    <w:rPr>
      <w:b/>
      <w:sz w:val="32"/>
    </w:rPr>
  </w:style>
  <w:style w:type="paragraph" w:styleId="1288" w:customStyle="1">
    <w:name w:val="批注主题1"/>
    <w:basedOn w:val="1257"/>
    <w:next w:val="1257"/>
    <w:link w:val="1289"/>
    <w:uiPriority w:val="0"/>
    <w:qFormat/>
    <w:rPr>
      <w:b/>
      <w:bCs/>
    </w:rPr>
  </w:style>
  <w:style w:type="character" w:styleId="1289" w:customStyle="1">
    <w:name w:val="批注主题 字符"/>
    <w:link w:val="1288"/>
    <w:uiPriority w:val="0"/>
    <w:qFormat/>
    <w:rPr>
      <w:rFonts w:ascii="Times New Roman" w:hAnsi="Times New Roman" w:eastAsia="宋体" w:cs="Times New Roman"/>
      <w:b/>
      <w:bCs/>
      <w:sz w:val="21"/>
      <w:szCs w:val="24"/>
      <w:lang w:val="en-US" w:eastAsia="zh-CN" w:bidi="ar-SA"/>
    </w:rPr>
  </w:style>
  <w:style w:type="paragraph" w:styleId="1290" w:customStyle="1">
    <w:name w:val="正文文本首行缩进 21"/>
    <w:basedOn w:val="1263"/>
    <w:link w:val="1291"/>
    <w:uiPriority w:val="99"/>
    <w:qFormat/>
    <w:pPr>
      <w:ind w:left="420" w:firstLine="420"/>
      <w:spacing w:after="120" w:line="480" w:lineRule="exact"/>
    </w:pPr>
    <w:rPr>
      <w:szCs w:val="20"/>
    </w:rPr>
  </w:style>
  <w:style w:type="character" w:styleId="1291" w:customStyle="1">
    <w:name w:val="正文文本首行缩进 2 字符"/>
    <w:link w:val="1290"/>
    <w:uiPriority w:val="99"/>
    <w:qFormat/>
    <w:rPr>
      <w:rFonts w:eastAsia="宋体"/>
      <w:sz w:val="24"/>
      <w:szCs w:val="24"/>
      <w:lang w:val="en-US" w:eastAsia="zh-CN" w:bidi="ar-SA"/>
    </w:rPr>
  </w:style>
  <w:style w:type="table" w:styleId="1292" w:customStyle="1">
    <w:name w:val="网格型1"/>
    <w:basedOn w:val="1243"/>
    <w:uiPriority w:val="39"/>
    <w:qFormat/>
    <w:tblPr>
      <w:tblCellMar>
        <w:left w:w="0" w:type="dxa"/>
        <w:top w:w="0" w:type="dxa"/>
        <w:right w:w="0" w:type="dxa"/>
        <w:bottom w:w="0" w:type="dxa"/>
      </w:tblCellMar>
    </w:tblPr>
  </w:style>
  <w:style w:type="table" w:styleId="1293" w:customStyle="1">
    <w:name w:val="中等深浅网格 1 - 着色 21"/>
    <w:basedOn w:val="1243"/>
    <w:uiPriority w:val="0"/>
    <w:qFormat/>
    <w:rPr>
      <w:sz w:val="21"/>
      <w:szCs w:val="24"/>
    </w:rPr>
    <w:tblPr>
      <w:tblCellMar>
        <w:left w:w="0" w:type="dxa"/>
        <w:top w:w="0" w:type="dxa"/>
        <w:right w:w="0" w:type="dxa"/>
        <w:bottom w:w="0" w:type="dxa"/>
      </w:tblCellMar>
    </w:tblPr>
  </w:style>
  <w:style w:type="character" w:styleId="1294" w:customStyle="1">
    <w:name w:val="要点1"/>
    <w:uiPriority w:val="0"/>
    <w:qFormat/>
    <w:rPr>
      <w:b/>
      <w:bCs/>
    </w:rPr>
  </w:style>
  <w:style w:type="character" w:styleId="1295" w:customStyle="1">
    <w:name w:val="页码1"/>
    <w:uiPriority w:val="0"/>
    <w:qFormat/>
  </w:style>
  <w:style w:type="character" w:styleId="1296" w:customStyle="1">
    <w:name w:val="访问过的超链接1"/>
    <w:uiPriority w:val="0"/>
    <w:qFormat/>
    <w:rPr>
      <w:color w:val="800080"/>
      <w:u w:val="single"/>
    </w:rPr>
  </w:style>
  <w:style w:type="character" w:styleId="1297" w:customStyle="1">
    <w:name w:val="强调1"/>
    <w:uiPriority w:val="0"/>
    <w:qFormat/>
    <w:rPr>
      <w:color w:val="cc0033"/>
    </w:rPr>
  </w:style>
  <w:style w:type="character" w:styleId="1298" w:customStyle="1">
    <w:name w:val="超链接1"/>
    <w:uiPriority w:val="99"/>
    <w:qFormat/>
    <w:rPr>
      <w:color w:val="0000ff"/>
      <w:u w:val="single"/>
    </w:rPr>
  </w:style>
  <w:style w:type="character" w:styleId="1299" w:customStyle="1">
    <w:name w:val="批注引用1"/>
    <w:uiPriority w:val="99"/>
    <w:qFormat/>
    <w:rPr>
      <w:sz w:val="21"/>
      <w:szCs w:val="21"/>
    </w:rPr>
  </w:style>
  <w:style w:type="character" w:styleId="1300" w:customStyle="1">
    <w:name w:val="HTML 引文1"/>
    <w:uiPriority w:val="0"/>
    <w:qFormat/>
    <w:rPr>
      <w:i/>
      <w:iCs/>
    </w:rPr>
  </w:style>
  <w:style w:type="paragraph" w:styleId="1301" w:customStyle="1">
    <w:name w:val="段"/>
    <w:next w:val="1039"/>
    <w:uiPriority w:val="0"/>
    <w:qFormat/>
    <w:pPr>
      <w:ind w:firstLine="200"/>
      <w:jc w:val="both"/>
    </w:pPr>
    <w:rPr>
      <w:rFonts w:ascii="宋体" w:hAnsi="Times New Roman" w:eastAsia="宋体" w:cs="Times New Roman"/>
      <w:sz w:val="21"/>
      <w:lang w:val="en-US" w:eastAsia="zh-CN" w:bidi="ar-SA"/>
    </w:rPr>
  </w:style>
  <w:style w:type="character" w:styleId="1302" w:customStyle="1">
    <w:name w:val="批注文字 字符"/>
    <w:uiPriority w:val="99"/>
    <w:qFormat/>
    <w:rPr>
      <w:rFonts w:ascii="Times New Roman" w:hAnsi="Times New Roman" w:eastAsia="宋体" w:cs="Times New Roman"/>
      <w:sz w:val="24"/>
      <w:lang w:val="en-US" w:eastAsia="zh-CN" w:bidi="ar-SA"/>
    </w:rPr>
  </w:style>
  <w:style w:type="character" w:styleId="1303" w:customStyle="1">
    <w:name w:val="c21"/>
    <w:uiPriority w:val="0"/>
    <w:qFormat/>
    <w:rPr>
      <w:rFonts w:ascii="ˎ̥" w:hAnsi="ˎ̥"/>
      <w:color w:val="000000"/>
      <w:sz w:val="20"/>
      <w:szCs w:val="20"/>
      <w:u w:val="none"/>
    </w:rPr>
  </w:style>
  <w:style w:type="character" w:styleId="1304" w:customStyle="1">
    <w:name w:val="title4"/>
    <w:uiPriority w:val="0"/>
    <w:qFormat/>
    <w:rPr>
      <w:b/>
      <w:bCs/>
      <w:color w:val="1d87b3"/>
      <w:sz w:val="15"/>
      <w:szCs w:val="15"/>
    </w:rPr>
  </w:style>
  <w:style w:type="character" w:styleId="1305" w:customStyle="1">
    <w:name w:val="标题 2 Char Char"/>
    <w:uiPriority w:val="0"/>
    <w:qFormat/>
    <w:rPr>
      <w:rFonts w:ascii="Arial" w:hAnsi="Arial" w:eastAsia="黑体"/>
      <w:b/>
      <w:bCs/>
      <w:sz w:val="32"/>
      <w:szCs w:val="32"/>
      <w:lang w:val="en-US" w:eastAsia="zh-CN" w:bidi="ar-SA"/>
    </w:rPr>
  </w:style>
  <w:style w:type="character" w:styleId="1306" w:customStyle="1">
    <w:name w:val="black1"/>
    <w:uiPriority w:val="0"/>
    <w:qFormat/>
    <w:rPr>
      <w:color w:val="000000"/>
    </w:rPr>
  </w:style>
  <w:style w:type="character" w:styleId="1307" w:customStyle="1">
    <w:name w:val="street-address"/>
    <w:uiPriority w:val="0"/>
    <w:qFormat/>
  </w:style>
  <w:style w:type="character" w:styleId="1308" w:customStyle="1">
    <w:name w:val="locality"/>
    <w:uiPriority w:val="0"/>
    <w:qFormat/>
  </w:style>
  <w:style w:type="character" w:styleId="1309" w:customStyle="1">
    <w:name w:val="正文文本缩进 Char1"/>
    <w:link w:val="1310"/>
    <w:uiPriority w:val="0"/>
    <w:qFormat/>
    <w:rPr>
      <w:rFonts w:ascii="宋体" w:hAnsi="宋体" w:eastAsia="宋体"/>
      <w:sz w:val="24"/>
      <w:szCs w:val="24"/>
      <w:lang w:bidi="ar-SA"/>
    </w:rPr>
  </w:style>
  <w:style w:type="paragraph" w:styleId="1310" w:customStyle="1">
    <w:name w:val="正文文本缩进1"/>
    <w:basedOn w:val="1039"/>
    <w:link w:val="1309"/>
    <w:uiPriority w:val="0"/>
    <w:qFormat/>
    <w:pPr>
      <w:ind w:firstLine="480"/>
      <w:spacing w:line="480" w:lineRule="exact"/>
    </w:pPr>
    <w:rPr>
      <w:rFonts w:ascii="宋体" w:hAnsi="宋体"/>
      <w:sz w:val="24"/>
    </w:rPr>
  </w:style>
  <w:style w:type="character" w:styleId="1311" w:customStyle="1">
    <w:name w:val="Char Char11"/>
    <w:uiPriority w:val="0"/>
    <w:qFormat/>
    <w:rPr>
      <w:rFonts w:ascii="宋体" w:eastAsia="宋体"/>
      <w:b/>
      <w:sz w:val="24"/>
      <w:u w:val="single"/>
      <w:lang w:val="en-US" w:eastAsia="zh-CN" w:bidi="ar-SA"/>
    </w:rPr>
  </w:style>
  <w:style w:type="character" w:styleId="1312" w:customStyle="1">
    <w:name w:val="txt"/>
    <w:uiPriority w:val="0"/>
    <w:qFormat/>
  </w:style>
  <w:style w:type="character" w:styleId="1313" w:customStyle="1">
    <w:name w:val="正文缩进 Char Char"/>
    <w:link w:val="1314"/>
    <w:uiPriority w:val="0"/>
    <w:qFormat/>
    <w:rPr>
      <w:rFonts w:ascii="宋体" w:eastAsia="宋体"/>
      <w:color w:val="000000"/>
      <w:sz w:val="28"/>
      <w:lang w:bidi="ar-SA"/>
    </w:rPr>
  </w:style>
  <w:style w:type="paragraph" w:styleId="1314" w:customStyle="1">
    <w:name w:val="正文缩进1"/>
    <w:basedOn w:val="1039"/>
    <w:link w:val="1313"/>
    <w:uiPriority w:val="0"/>
    <w:qFormat/>
    <w:pPr>
      <w:ind w:firstLine="567"/>
      <w:spacing w:line="480" w:lineRule="exact"/>
      <w:widowControl/>
    </w:pPr>
    <w:rPr>
      <w:rFonts w:ascii="宋体"/>
      <w:color w:val="000000"/>
      <w:sz w:val="28"/>
      <w:szCs w:val="20"/>
    </w:rPr>
  </w:style>
  <w:style w:type="character" w:styleId="1315" w:customStyle="1">
    <w:name w:val="普通文字1 Char1"/>
    <w:uiPriority w:val="0"/>
    <w:qFormat/>
    <w:rPr>
      <w:rFonts w:ascii="宋体" w:hAnsi="Courier New" w:eastAsia="宋体"/>
      <w:sz w:val="21"/>
      <w:lang w:val="en-US" w:eastAsia="zh-CN" w:bidi="ar-SA"/>
    </w:rPr>
  </w:style>
  <w:style w:type="character" w:styleId="1316" w:customStyle="1">
    <w:name w:val="chanpin1"/>
    <w:uiPriority w:val="0"/>
    <w:qFormat/>
    <w:rPr>
      <w:rFonts w:ascii="ˎ̥" w:hAnsi="ˎ̥"/>
      <w:color w:val="000000"/>
      <w:sz w:val="20"/>
      <w:szCs w:val="20"/>
      <w:u w:val="none"/>
    </w:rPr>
  </w:style>
  <w:style w:type="character" w:styleId="1317" w:customStyle="1">
    <w:name w:val="列表段落 字符"/>
    <w:link w:val="1318"/>
    <w:uiPriority w:val="34"/>
    <w:qFormat/>
    <w:rPr>
      <w:rFonts w:ascii="Calibri" w:hAnsi="Calibri" w:eastAsia="宋体"/>
      <w:sz w:val="21"/>
      <w:szCs w:val="22"/>
      <w:lang w:val="en-US" w:eastAsia="zh-CN" w:bidi="ar-SA"/>
    </w:rPr>
  </w:style>
  <w:style w:type="paragraph" w:styleId="1318" w:customStyle="1">
    <w:name w:val="列表段落1"/>
    <w:basedOn w:val="1039"/>
    <w:link w:val="1317"/>
    <w:uiPriority w:val="34"/>
    <w:qFormat/>
    <w:pPr>
      <w:ind w:firstLine="420"/>
    </w:pPr>
    <w:rPr>
      <w:rFonts w:ascii="Calibri" w:hAnsi="Calibri"/>
      <w:szCs w:val="22"/>
    </w:rPr>
  </w:style>
  <w:style w:type="character" w:styleId="1319" w:customStyle="1">
    <w:name w:val="标题 3 Char Char"/>
    <w:uiPriority w:val="0"/>
    <w:qFormat/>
    <w:rPr>
      <w:rFonts w:eastAsia="宋体"/>
      <w:b/>
      <w:bCs/>
      <w:sz w:val="32"/>
      <w:szCs w:val="32"/>
      <w:lang w:val="en-US" w:eastAsia="zh-CN" w:bidi="ar-SA"/>
    </w:rPr>
  </w:style>
  <w:style w:type="character" w:styleId="1320" w:customStyle="1">
    <w:name w:val="段1 Char"/>
    <w:uiPriority w:val="0"/>
    <w:qFormat/>
    <w:rPr>
      <w:rFonts w:ascii="宋体" w:eastAsia="宋体"/>
      <w:sz w:val="24"/>
      <w:lang w:val="en-US" w:eastAsia="zh-CN" w:bidi="ar-SA"/>
    </w:rPr>
  </w:style>
  <w:style w:type="character" w:styleId="1321" w:customStyle="1">
    <w:name w:val="chanpin拷贝"/>
    <w:uiPriority w:val="0"/>
    <w:qFormat/>
  </w:style>
  <w:style w:type="character" w:styleId="1322" w:customStyle="1">
    <w:name w:val="纯文本 Char1"/>
    <w:uiPriority w:val="0"/>
    <w:qFormat/>
    <w:rPr>
      <w:rFonts w:ascii="宋体" w:hAnsi="Courier New" w:eastAsia="宋体"/>
      <w:sz w:val="21"/>
      <w:lang w:val="en-US" w:eastAsia="zh-CN" w:bidi="ar-SA"/>
    </w:rPr>
  </w:style>
  <w:style w:type="character" w:styleId="1323" w:customStyle="1">
    <w:name w:val="apple-style-span"/>
    <w:uiPriority w:val="0"/>
    <w:qFormat/>
    <w:rPr>
      <w:rFonts w:cs="Times New Roman"/>
    </w:rPr>
  </w:style>
  <w:style w:type="paragraph" w:styleId="1324" w:customStyle="1">
    <w:name w:val="二级条标题"/>
    <w:basedOn w:val="1325"/>
    <w:next w:val="103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5" w:customStyle="1">
    <w:name w:val="一级条标题"/>
    <w:basedOn w:val="1326"/>
    <w:next w:val="1039"/>
    <w:uiPriority w:val="0"/>
    <w:qFormat/>
    <w:pPr>
      <w:numPr>
        <w:ilvl w:val="1"/>
      </w:numPr>
      <w:ind w:left="0" w:hanging="840"/>
      <w:tabs>
        <w:tab w:val="left" w:pos="360" w:leader="none"/>
        <w:tab w:val="left" w:pos="840" w:leader="none"/>
      </w:tabs>
      <w:outlineLvl w:val="1"/>
    </w:pPr>
  </w:style>
  <w:style w:type="paragraph" w:styleId="1326" w:customStyle="1">
    <w:name w:val="章标题"/>
    <w:next w:val="103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7" w:customStyle="1">
    <w:name w:val="font7"/>
    <w:basedOn w:val="1039"/>
    <w:uiPriority w:val="0"/>
    <w:qFormat/>
    <w:pPr>
      <w:jc w:val="left"/>
      <w:spacing w:before="100" w:beforeAutospacing="1" w:after="100" w:afterAutospacing="1"/>
      <w:widowControl/>
    </w:pPr>
    <w:rPr>
      <w:rFonts w:eastAsia="Arial Unicode MS"/>
      <w:b/>
      <w:bCs/>
      <w:color w:val="000000"/>
      <w:sz w:val="20"/>
      <w:szCs w:val="20"/>
    </w:rPr>
  </w:style>
  <w:style w:type="paragraph" w:styleId="1328" w:customStyle="1">
    <w:name w:val="字元 字元"/>
    <w:basedOn w:val="1039"/>
    <w:uiPriority w:val="0"/>
    <w:qFormat/>
    <w:rPr>
      <w:rFonts w:ascii="Tahoma" w:hAnsi="Tahoma"/>
      <w:sz w:val="24"/>
      <w:szCs w:val="20"/>
    </w:rPr>
  </w:style>
  <w:style w:type="paragraph" w:styleId="1329" w:customStyle="1">
    <w:name w:val="Char3 Char Char Char"/>
    <w:basedOn w:val="1039"/>
    <w:uiPriority w:val="0"/>
    <w:qFormat/>
    <w:rPr>
      <w:rFonts w:ascii="Tahoma" w:hAnsi="Tahoma"/>
      <w:sz w:val="24"/>
      <w:szCs w:val="20"/>
    </w:rPr>
  </w:style>
  <w:style w:type="paragraph" w:styleId="1330" w:customStyle="1">
    <w:name w:val="font6"/>
    <w:basedOn w:val="1039"/>
    <w:uiPriority w:val="0"/>
    <w:qFormat/>
    <w:pPr>
      <w:jc w:val="left"/>
      <w:spacing w:before="100" w:beforeAutospacing="1" w:after="100" w:afterAutospacing="1"/>
      <w:widowControl/>
    </w:pPr>
    <w:rPr>
      <w:rFonts w:ascii="宋体" w:hAnsi="宋体" w:cs="宋体"/>
      <w:sz w:val="20"/>
      <w:szCs w:val="20"/>
    </w:rPr>
  </w:style>
  <w:style w:type="paragraph" w:styleId="1331" w:customStyle="1">
    <w:name w:val="项目编号2"/>
    <w:basedOn w:val="1332"/>
    <w:uiPriority w:val="0"/>
    <w:qFormat/>
    <w:pPr>
      <w:numPr>
        <w:numId w:val="2"/>
      </w:numPr>
    </w:pPr>
  </w:style>
  <w:style w:type="paragraph" w:styleId="1332" w:customStyle="1">
    <w:name w:val="项目编号1"/>
    <w:basedOn w:val="1039"/>
    <w:uiPriority w:val="0"/>
    <w:qFormat/>
    <w:pPr>
      <w:numPr>
        <w:ilvl w:val="0"/>
        <w:numId w:val="3"/>
      </w:numPr>
      <w:spacing w:before="100" w:beforeAutospacing="1" w:after="100" w:afterAutospacing="1" w:line="360" w:lineRule="auto"/>
    </w:pPr>
    <w:rPr>
      <w:sz w:val="24"/>
    </w:rPr>
  </w:style>
  <w:style w:type="paragraph" w:styleId="1333" w:customStyle="1">
    <w:name w:val="图中文字"/>
    <w:basedOn w:val="1039"/>
    <w:uiPriority w:val="0"/>
    <w:qFormat/>
    <w:pPr>
      <w:jc w:val="center"/>
      <w:spacing w:line="0" w:lineRule="atLeast"/>
    </w:pPr>
    <w:rPr>
      <w:sz w:val="24"/>
      <w:szCs w:val="20"/>
    </w:rPr>
  </w:style>
  <w:style w:type="paragraph" w:styleId="1334" w:customStyle="1">
    <w:name w:val="xl46"/>
    <w:basedOn w:val="103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5" w:customStyle="1">
    <w:name w:val="xl25"/>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customStyle="1">
    <w:name w:val="Char2"/>
    <w:basedOn w:val="1039"/>
    <w:uiPriority w:val="0"/>
    <w:qFormat/>
    <w:rPr>
      <w:rFonts w:ascii="Tahoma" w:hAnsi="Tahoma"/>
      <w:sz w:val="24"/>
      <w:szCs w:val="20"/>
    </w:rPr>
  </w:style>
  <w:style w:type="paragraph" w:styleId="1337" w:customStyle="1">
    <w:name w:val="xl35"/>
    <w:basedOn w:val="103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customStyle="1">
    <w:name w:val="xl40"/>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customStyle="1">
    <w:name w:val="xl52"/>
    <w:basedOn w:val="10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0" w:customStyle="1">
    <w:name w:val="xl43"/>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1" w:customStyle="1">
    <w:name w:val="background1"/>
    <w:basedOn w:val="1039"/>
    <w:uiPriority w:val="0"/>
    <w:qFormat/>
    <w:pPr>
      <w:jc w:val="left"/>
      <w:spacing w:before="100" w:beforeAutospacing="1" w:after="100" w:afterAutospacing="1"/>
      <w:widowControl/>
    </w:pPr>
    <w:rPr>
      <w:rFonts w:ascii="宋体" w:hAnsi="宋体" w:cs="宋体"/>
      <w:sz w:val="24"/>
    </w:rPr>
  </w:style>
  <w:style w:type="paragraph" w:styleId="1342" w:customStyle="1">
    <w:name w:val="Char Char Char Char Char Char Char"/>
    <w:basedOn w:val="1039"/>
    <w:uiPriority w:val="0"/>
    <w:qFormat/>
    <w:pPr>
      <w:ind w:firstLine="200"/>
      <w:spacing w:line="360" w:lineRule="auto"/>
    </w:pPr>
    <w:rPr>
      <w:rFonts w:eastAsia="仿宋_GB2312"/>
      <w:sz w:val="24"/>
    </w:rPr>
  </w:style>
  <w:style w:type="paragraph" w:styleId="1343" w:customStyle="1">
    <w:name w:val="xl38"/>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4" w:customStyle="1">
    <w:name w:val="xl36"/>
    <w:basedOn w:val="103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5" w:customStyle="1">
    <w:name w:val="正文 + 宋体"/>
    <w:basedOn w:val="1039"/>
    <w:uiPriority w:val="0"/>
    <w:qFormat/>
    <w:pPr>
      <w:ind w:left="360" w:hanging="360"/>
      <w:jc w:val="left"/>
      <w:widowControl/>
    </w:pPr>
    <w:rPr>
      <w:rFonts w:ascii="宋体" w:hAnsi="宋体" w:cs="宋体"/>
      <w:b/>
      <w:bCs/>
      <w:color w:val="000000"/>
      <w:sz w:val="18"/>
      <w:szCs w:val="18"/>
    </w:rPr>
  </w:style>
  <w:style w:type="paragraph" w:styleId="1346" w:customStyle="1">
    <w:name w:val="正文列项_数字"/>
    <w:basedOn w:val="103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7" w:customStyle="1">
    <w:name w:val="xl39"/>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customStyle="1">
    <w:name w:val="xl37"/>
    <w:basedOn w:val="103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9" w:customStyle="1">
    <w:name w:val="xl32"/>
    <w:basedOn w:val="10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customStyle="1">
    <w:name w:val="font8"/>
    <w:basedOn w:val="1039"/>
    <w:uiPriority w:val="0"/>
    <w:qFormat/>
    <w:pPr>
      <w:jc w:val="left"/>
      <w:spacing w:before="100" w:beforeAutospacing="1" w:after="100" w:afterAutospacing="1"/>
      <w:widowControl/>
    </w:pPr>
    <w:rPr>
      <w:sz w:val="36"/>
      <w:szCs w:val="36"/>
    </w:rPr>
  </w:style>
  <w:style w:type="paragraph" w:styleId="1351" w:customStyle="1">
    <w:name w:val="Char"/>
    <w:basedOn w:val="1039"/>
    <w:uiPriority w:val="0"/>
    <w:qFormat/>
    <w:pPr>
      <w:tabs>
        <w:tab w:val="left" w:pos="360" w:leader="none"/>
      </w:tabs>
    </w:pPr>
    <w:rPr>
      <w:sz w:val="24"/>
    </w:rPr>
  </w:style>
  <w:style w:type="paragraph" w:styleId="1352" w:customStyle="1">
    <w:name w:val="Char Char Char Char Char Char Char Char Char Char Char Char Char Char Char Char"/>
    <w:basedOn w:val="1039"/>
    <w:uiPriority w:val="0"/>
    <w:qFormat/>
    <w:pPr>
      <w:jc w:val="center"/>
      <w:spacing w:after="160" w:line="240" w:lineRule="exact"/>
      <w:widowControl/>
    </w:pPr>
    <w:rPr>
      <w:rFonts w:ascii="宋体" w:hAnsi="宋体"/>
      <w:b/>
      <w:sz w:val="30"/>
      <w:szCs w:val="30"/>
      <w:lang w:eastAsia="en-US"/>
    </w:rPr>
  </w:style>
  <w:style w:type="paragraph" w:styleId="1353" w:customStyle="1">
    <w:name w:val="xl45"/>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4" w:customStyle="1">
    <w:name w:val="Char Char1 Char Char Char Char Char Char"/>
    <w:basedOn w:val="1039"/>
    <w:uiPriority w:val="0"/>
    <w:qFormat/>
    <w:pPr>
      <w:jc w:val="left"/>
      <w:spacing w:after="160" w:line="240" w:lineRule="exact"/>
      <w:widowControl/>
    </w:pPr>
    <w:rPr>
      <w:rFonts w:ascii="Verdana" w:hAnsi="Verdana" w:eastAsia="仿宋_GB2312"/>
      <w:sz w:val="24"/>
      <w:szCs w:val="20"/>
      <w:lang w:eastAsia="en-US"/>
    </w:rPr>
  </w:style>
  <w:style w:type="paragraph" w:styleId="1355" w:customStyle="1">
    <w:name w:val="Char Char1"/>
    <w:basedOn w:val="1255"/>
    <w:uiPriority w:val="0"/>
    <w:qFormat/>
    <w:rPr>
      <w:rFonts w:ascii="Tahoma" w:hAnsi="Tahoma"/>
      <w:sz w:val="24"/>
    </w:rPr>
  </w:style>
  <w:style w:type="paragraph" w:styleId="1356" w:customStyle="1">
    <w:name w:val="xl26"/>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7" w:customStyle="1">
    <w:name w:val="xl30"/>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customStyle="1">
    <w:name w:val="xl41"/>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9" w:customStyle="1">
    <w:name w:val="样式 宋体 五号 行距: 单倍行距"/>
    <w:basedOn w:val="1039"/>
    <w:uiPriority w:val="0"/>
    <w:qFormat/>
    <w:pPr>
      <w:jc w:val="left"/>
    </w:pPr>
    <w:rPr>
      <w:rFonts w:ascii="宋体" w:hAnsi="宋体"/>
      <w:szCs w:val="20"/>
    </w:rPr>
  </w:style>
  <w:style w:type="paragraph" w:styleId="1360" w:customStyle="1">
    <w:name w:val="Char1 Char Char Char1"/>
    <w:basedOn w:val="1039"/>
    <w:uiPriority w:val="0"/>
    <w:qFormat/>
    <w:rPr>
      <w:rFonts w:ascii="Tahoma" w:hAnsi="Tahoma" w:cs="仿宋_GB2312"/>
      <w:sz w:val="24"/>
      <w:szCs w:val="28"/>
    </w:rPr>
  </w:style>
  <w:style w:type="paragraph" w:styleId="1361" w:customStyle="1">
    <w:name w:val="四级条标题"/>
    <w:basedOn w:val="1362"/>
    <w:next w:val="1039"/>
    <w:uiPriority w:val="0"/>
    <w:qFormat/>
    <w:pPr>
      <w:numPr>
        <w:ilvl w:val="4"/>
      </w:numPr>
      <w:ind w:left="0" w:hanging="840"/>
      <w:tabs>
        <w:tab w:val="left" w:pos="360" w:leader="none"/>
        <w:tab w:val="left" w:pos="840" w:leader="none"/>
      </w:tabs>
      <w:outlineLvl w:val="4"/>
    </w:pPr>
  </w:style>
  <w:style w:type="paragraph" w:styleId="1362" w:customStyle="1">
    <w:name w:val="三级条标题"/>
    <w:basedOn w:val="1324"/>
    <w:next w:val="1039"/>
    <w:uiPriority w:val="0"/>
    <w:qFormat/>
    <w:pPr>
      <w:numPr>
        <w:ilvl w:val="3"/>
        <w:numId w:val="1"/>
      </w:numPr>
      <w:ind w:left="0" w:hanging="840"/>
      <w:outlineLvl w:val="3"/>
    </w:pPr>
  </w:style>
  <w:style w:type="paragraph" w:styleId="136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64" w:customStyle="1">
    <w:name w:val="样式 标题 2 + 宋体 五号 行距: 单倍行距"/>
    <w:basedOn w:val="1233"/>
    <w:uiPriority w:val="0"/>
    <w:qFormat/>
    <w:pPr>
      <w:numPr>
        <w:ilvl w:val="1"/>
        <w:numId w:val="4"/>
      </w:numPr>
      <w:jc w:val="left"/>
      <w:spacing w:before="260" w:after="260" w:line="240" w:lineRule="auto"/>
    </w:pPr>
    <w:rPr>
      <w:rFonts w:ascii="宋体" w:hAnsi="宋体" w:eastAsia="宋体"/>
      <w:bCs/>
      <w:sz w:val="21"/>
    </w:rPr>
  </w:style>
  <w:style w:type="paragraph" w:styleId="1365" w:customStyle="1">
    <w:name w:val="List Paragraph1"/>
    <w:basedOn w:val="1039"/>
    <w:uiPriority w:val="0"/>
    <w:qFormat/>
    <w:pPr>
      <w:ind w:firstLine="420"/>
    </w:pPr>
    <w:rPr>
      <w:rFonts w:ascii="Calibri" w:hAnsi="Calibri"/>
      <w:szCs w:val="22"/>
    </w:rPr>
  </w:style>
  <w:style w:type="paragraph" w:styleId="1366" w:customStyle="1">
    <w:name w:val="项目符号1"/>
    <w:basedOn w:val="1367"/>
    <w:uiPriority w:val="0"/>
    <w:qFormat/>
    <w:pPr>
      <w:ind w:left="-25" w:firstLine="0"/>
    </w:pPr>
  </w:style>
  <w:style w:type="paragraph" w:styleId="1367" w:customStyle="1">
    <w:name w:val="正文文本样式"/>
    <w:basedOn w:val="1039"/>
    <w:uiPriority w:val="0"/>
    <w:qFormat/>
    <w:pPr>
      <w:ind w:firstLine="482"/>
      <w:spacing w:line="360" w:lineRule="auto"/>
    </w:pPr>
    <w:rPr>
      <w:rFonts w:cs="宋体"/>
      <w:sz w:val="24"/>
      <w:szCs w:val="20"/>
    </w:rPr>
  </w:style>
  <w:style w:type="paragraph" w:styleId="1368" w:customStyle="1">
    <w:name w:val="xl27"/>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customStyle="1">
    <w:name w:val="font5"/>
    <w:basedOn w:val="1039"/>
    <w:uiPriority w:val="0"/>
    <w:qFormat/>
    <w:pPr>
      <w:jc w:val="left"/>
      <w:spacing w:before="100" w:beforeAutospacing="1" w:after="100" w:afterAutospacing="1"/>
      <w:widowControl/>
    </w:pPr>
    <w:rPr>
      <w:rFonts w:ascii="宋体" w:hAnsi="宋体" w:cs="宋体"/>
      <w:sz w:val="18"/>
      <w:szCs w:val="18"/>
    </w:rPr>
  </w:style>
  <w:style w:type="paragraph" w:styleId="1370" w:customStyle="1">
    <w:name w:val="五级条标题"/>
    <w:basedOn w:val="1361"/>
    <w:next w:val="1039"/>
    <w:uiPriority w:val="0"/>
    <w:qFormat/>
    <w:pPr>
      <w:numPr>
        <w:ilvl w:val="5"/>
      </w:numPr>
      <w:ind w:left="0" w:hanging="840"/>
      <w:outlineLvl w:val="5"/>
    </w:pPr>
  </w:style>
  <w:style w:type="paragraph" w:styleId="1371" w:customStyle="1">
    <w:name w:val="xl49"/>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2" w:customStyle="1">
    <w:name w:val="文档正文"/>
    <w:basedOn w:val="1039"/>
    <w:uiPriority w:val="0"/>
    <w:qFormat/>
    <w:pPr>
      <w:spacing w:before="120" w:after="120" w:line="180" w:lineRule="auto"/>
    </w:pPr>
    <w:rPr>
      <w:rFonts w:ascii="Arial" w:hAnsi="Arial"/>
      <w:szCs w:val="20"/>
    </w:rPr>
  </w:style>
  <w:style w:type="paragraph" w:styleId="1373" w:customStyle="1">
    <w:name w:val="xl33"/>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customStyle="1">
    <w:name w:val="xl42"/>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5" w:customStyle="1">
    <w:name w:val="Char Char Char1 Char"/>
    <w:basedOn w:val="1039"/>
    <w:uiPriority w:val="0"/>
    <w:qFormat/>
    <w:rPr>
      <w:rFonts w:ascii="Tahoma" w:hAnsi="Tahoma"/>
      <w:sz w:val="24"/>
      <w:szCs w:val="20"/>
    </w:rPr>
  </w:style>
  <w:style w:type="paragraph" w:styleId="1376" w:customStyle="1">
    <w:name w:val="xl44"/>
    <w:basedOn w:val="10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7" w:customStyle="1">
    <w:name w:val="1名"/>
    <w:basedOn w:val="1039"/>
    <w:uiPriority w:val="0"/>
    <w:qFormat/>
    <w:pPr>
      <w:numPr>
        <w:ilvl w:val="0"/>
        <w:numId w:val="5"/>
      </w:numPr>
      <w:spacing w:before="120"/>
    </w:pPr>
    <w:rPr>
      <w:rFonts w:ascii="宋体"/>
      <w:sz w:val="28"/>
      <w:szCs w:val="20"/>
    </w:rPr>
  </w:style>
  <w:style w:type="paragraph" w:styleId="1378" w:customStyle="1">
    <w:name w:val="font9"/>
    <w:basedOn w:val="103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79" w:customStyle="1">
    <w:name w:val="Char Char Char1 Char1"/>
    <w:basedOn w:val="1039"/>
    <w:uiPriority w:val="0"/>
    <w:qFormat/>
    <w:rPr>
      <w:rFonts w:ascii="Tahoma" w:hAnsi="Tahoma"/>
      <w:sz w:val="24"/>
      <w:szCs w:val="20"/>
    </w:rPr>
  </w:style>
  <w:style w:type="paragraph" w:styleId="1380" w:customStyle="1">
    <w:name w:val="Char Char Char Char Char Char Char Char Char Char"/>
    <w:basedOn w:val="1039"/>
    <w:uiPriority w:val="0"/>
    <w:qFormat/>
  </w:style>
  <w:style w:type="paragraph" w:styleId="1381" w:customStyle="1">
    <w:name w:val="Char Char1 Char Char Char Char Char Char Char Char"/>
    <w:basedOn w:val="1039"/>
    <w:uiPriority w:val="0"/>
    <w:qFormat/>
    <w:pPr>
      <w:jc w:val="left"/>
      <w:spacing w:after="160" w:line="240" w:lineRule="exact"/>
      <w:widowControl/>
    </w:pPr>
    <w:rPr>
      <w:rFonts w:ascii="Verdana" w:hAnsi="Verdana"/>
      <w:sz w:val="20"/>
      <w:szCs w:val="20"/>
      <w:lang w:eastAsia="en-US"/>
    </w:rPr>
  </w:style>
  <w:style w:type="paragraph" w:styleId="1382" w:customStyle="1">
    <w:name w:val="Char1"/>
    <w:basedOn w:val="1039"/>
    <w:uiPriority w:val="0"/>
    <w:qFormat/>
    <w:pPr>
      <w:tabs>
        <w:tab w:val="left" w:pos="360" w:leader="none"/>
      </w:tabs>
    </w:pPr>
    <w:rPr>
      <w:sz w:val="24"/>
    </w:rPr>
  </w:style>
  <w:style w:type="paragraph" w:styleId="1383" w:customStyle="1">
    <w:name w:val="正文列项_字母"/>
    <w:basedOn w:val="103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4" w:customStyle="1">
    <w:name w:val="xl28"/>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customStyle="1">
    <w:name w:val="xl47"/>
    <w:basedOn w:val="10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customStyle="1">
    <w:name w:val="默认段落字体 Para Char Char Char Char"/>
    <w:basedOn w:val="1039"/>
    <w:uiPriority w:val="0"/>
    <w:qFormat/>
    <w:rPr>
      <w:rFonts w:ascii="Arial" w:hAnsi="Arial" w:cs="Arial"/>
      <w:szCs w:val="21"/>
    </w:rPr>
  </w:style>
  <w:style w:type="paragraph" w:styleId="1387" w:customStyle="1">
    <w:name w:val="xl48"/>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8" w:customStyle="1">
    <w:name w:val="xl31"/>
    <w:basedOn w:val="10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9" w:customStyle="1">
    <w:name w:val="xl53"/>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customStyle="1">
    <w:name w:val="Char Char Char"/>
    <w:basedOn w:val="1039"/>
    <w:uiPriority w:val="0"/>
    <w:qFormat/>
    <w:rPr>
      <w:rFonts w:ascii="Tahoma" w:hAnsi="Tahoma"/>
      <w:sz w:val="24"/>
      <w:szCs w:val="20"/>
    </w:rPr>
  </w:style>
  <w:style w:type="paragraph" w:styleId="1391" w:customStyle="1">
    <w:name w:val="xl50"/>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2" w:customStyle="1">
    <w:name w:val="缺省文本"/>
    <w:basedOn w:val="1039"/>
    <w:uiPriority w:val="0"/>
    <w:qFormat/>
    <w:pPr>
      <w:jc w:val="left"/>
    </w:pPr>
    <w:rPr>
      <w:sz w:val="24"/>
    </w:rPr>
  </w:style>
  <w:style w:type="paragraph" w:styleId="1393" w:customStyle="1">
    <w:name w:val="Char Char Char1"/>
    <w:basedOn w:val="1039"/>
    <w:uiPriority w:val="0"/>
    <w:qFormat/>
    <w:rPr>
      <w:rFonts w:ascii="Tahoma" w:hAnsi="Tahoma"/>
      <w:sz w:val="24"/>
      <w:szCs w:val="20"/>
    </w:rPr>
  </w:style>
  <w:style w:type="paragraph" w:styleId="1394" w:customStyle="1">
    <w:name w:val="Char Char Char Char Char Char Char1"/>
    <w:basedOn w:val="1039"/>
    <w:uiPriority w:val="0"/>
    <w:qFormat/>
    <w:pPr>
      <w:ind w:firstLine="200"/>
      <w:spacing w:line="360" w:lineRule="auto"/>
    </w:pPr>
    <w:rPr>
      <w:rFonts w:eastAsia="仿宋_GB2312"/>
      <w:sz w:val="24"/>
    </w:rPr>
  </w:style>
  <w:style w:type="paragraph" w:styleId="1395" w:customStyle="1">
    <w:name w:val="xl51"/>
    <w:basedOn w:val="10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customStyle="1">
    <w:name w:val="样式2"/>
    <w:basedOn w:val="1285"/>
    <w:uiPriority w:val="0"/>
    <w:qFormat/>
    <w:pPr>
      <w:jc w:val="center"/>
      <w:spacing w:line="360" w:lineRule="auto"/>
    </w:pPr>
    <w:rPr>
      <w:sz w:val="24"/>
    </w:rPr>
  </w:style>
  <w:style w:type="paragraph" w:styleId="1397" w:customStyle="1">
    <w:name w:val="xl24"/>
    <w:basedOn w:val="10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8" w:customStyle="1">
    <w:name w:val="xl29"/>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9" w:customStyle="1">
    <w:name w:val="正文 + 楷体_GB2312"/>
    <w:basedOn w:val="1039"/>
    <w:uiPriority w:val="0"/>
    <w:qFormat/>
    <w:pPr>
      <w:jc w:val="left"/>
      <w:widowControl/>
    </w:pPr>
    <w:rPr>
      <w:rFonts w:ascii="楷体_GB2312" w:eastAsia="楷体_GB2312" w:cs="Arial"/>
      <w:sz w:val="24"/>
    </w:rPr>
  </w:style>
  <w:style w:type="paragraph" w:styleId="1400" w:customStyle="1">
    <w:name w:val="xl34"/>
    <w:basedOn w:val="10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1" w:customStyle="1">
    <w:name w:val="1 Char Char Char Char"/>
    <w:basedOn w:val="1039"/>
    <w:uiPriority w:val="0"/>
    <w:qFormat/>
    <w:rPr>
      <w:rFonts w:ascii="Tahoma" w:hAnsi="Tahoma"/>
      <w:sz w:val="24"/>
      <w:szCs w:val="20"/>
    </w:rPr>
  </w:style>
  <w:style w:type="paragraph" w:styleId="1402" w:customStyle="1">
    <w:name w:val="列出段落1"/>
    <w:basedOn w:val="1039"/>
    <w:uiPriority w:val="0"/>
    <w:qFormat/>
    <w:pPr>
      <w:ind w:firstLine="420"/>
    </w:pPr>
    <w:rPr>
      <w:rFonts w:ascii="Calibri" w:hAnsi="Calibri"/>
      <w:szCs w:val="22"/>
    </w:rPr>
  </w:style>
  <w:style w:type="paragraph" w:styleId="1403" w:customStyle="1">
    <w:name w:val="default"/>
    <w:basedOn w:val="1039"/>
    <w:uiPriority w:val="0"/>
    <w:qFormat/>
    <w:pPr>
      <w:jc w:val="left"/>
      <w:spacing w:before="100" w:beforeAutospacing="1" w:after="100" w:afterAutospacing="1"/>
      <w:widowControl/>
    </w:pPr>
    <w:rPr>
      <w:rFonts w:ascii="宋体" w:hAnsi="宋体" w:cs="宋体"/>
      <w:sz w:val="24"/>
    </w:rPr>
  </w:style>
  <w:style w:type="paragraph" w:styleId="1404" w:customStyle="1">
    <w:name w:val="字元 字元1"/>
    <w:basedOn w:val="1039"/>
    <w:uiPriority w:val="0"/>
    <w:qFormat/>
    <w:rPr>
      <w:rFonts w:ascii="Tahoma" w:hAnsi="Tahoma"/>
      <w:sz w:val="24"/>
      <w:szCs w:val="20"/>
    </w:rPr>
  </w:style>
  <w:style w:type="paragraph" w:styleId="1405" w:customStyle="1">
    <w:name w:val="_Style 160"/>
    <w:uiPriority w:val="0"/>
    <w:qFormat/>
    <w:rPr>
      <w:rFonts w:ascii="Times New Roman" w:hAnsi="Times New Roman" w:eastAsia="宋体" w:cs="Times New Roman"/>
      <w:sz w:val="21"/>
      <w:szCs w:val="24"/>
      <w:lang w:val="en-US" w:eastAsia="zh-CN" w:bidi="ar-SA"/>
    </w:rPr>
  </w:style>
  <w:style w:type="paragraph" w:styleId="1406" w:customStyle="1">
    <w:name w:val="项目编号3"/>
    <w:basedOn w:val="1367"/>
    <w:uiPriority w:val="0"/>
    <w:qFormat/>
    <w:pPr>
      <w:numPr>
        <w:ilvl w:val="0"/>
        <w:numId w:val="6"/>
      </w:numPr>
    </w:pPr>
  </w:style>
  <w:style w:type="paragraph" w:styleId="1407" w:customStyle="1">
    <w:name w:val="Char21"/>
    <w:basedOn w:val="1039"/>
    <w:uiPriority w:val="0"/>
    <w:qFormat/>
    <w:rPr>
      <w:rFonts w:ascii="Tahoma" w:hAnsi="Tahoma"/>
      <w:sz w:val="24"/>
      <w:szCs w:val="20"/>
    </w:rPr>
  </w:style>
  <w:style w:type="paragraph" w:styleId="1408" w:customStyle="1">
    <w:name w:val="表格文字"/>
    <w:basedOn w:val="1263"/>
    <w:uiPriority w:val="0"/>
    <w:qFormat/>
    <w:pPr>
      <w:ind w:firstLine="0"/>
      <w:spacing w:before="20" w:after="20" w:line="240" w:lineRule="auto"/>
    </w:pPr>
    <w:rPr>
      <w:rFonts w:ascii="Century Gothic" w:hAnsi="Century Gothic"/>
      <w:sz w:val="20"/>
      <w:szCs w:val="20"/>
    </w:rPr>
  </w:style>
  <w:style w:type="paragraph" w:styleId="1409" w:customStyle="1">
    <w:name w:val="Char Char Char Char Char Char Char Char Char Char1"/>
    <w:basedOn w:val="1039"/>
    <w:uiPriority w:val="0"/>
    <w:qFormat/>
    <w:rPr>
      <w:rFonts w:ascii="宋体" w:hAnsi="宋体" w:cs="Courier New"/>
      <w:sz w:val="32"/>
      <w:szCs w:val="32"/>
    </w:rPr>
  </w:style>
  <w:style w:type="paragraph" w:styleId="1410" w:customStyle="1">
    <w:name w:val="正文文本样式 加粗"/>
    <w:basedOn w:val="1367"/>
    <w:uiPriority w:val="0"/>
    <w:qFormat/>
    <w:rPr>
      <w:b/>
    </w:rPr>
  </w:style>
  <w:style w:type="paragraph" w:styleId="1411" w:customStyle="1">
    <w:name w:val="Char2 Char Char Char Char Char Char"/>
    <w:basedOn w:val="1039"/>
    <w:uiPriority w:val="0"/>
    <w:qFormat/>
    <w:pPr>
      <w:jc w:val="center"/>
      <w:spacing w:line="400" w:lineRule="exact"/>
      <w:widowControl/>
    </w:pPr>
  </w:style>
  <w:style w:type="paragraph" w:styleId="1412" w:customStyle="1">
    <w:name w:val="Char Char4"/>
    <w:basedOn w:val="1039"/>
    <w:uiPriority w:val="0"/>
    <w:qFormat/>
    <w:pPr>
      <w:jc w:val="center"/>
      <w:spacing w:line="400" w:lineRule="exact"/>
      <w:widowControl/>
    </w:pPr>
  </w:style>
  <w:style w:type="paragraph" w:styleId="1413" w:customStyle="1">
    <w:name w:val="Char3 Char Char Char1"/>
    <w:basedOn w:val="1039"/>
    <w:uiPriority w:val="0"/>
    <w:qFormat/>
    <w:rPr>
      <w:rFonts w:ascii="Tahoma" w:hAnsi="Tahoma"/>
      <w:sz w:val="24"/>
      <w:szCs w:val="20"/>
    </w:rPr>
  </w:style>
  <w:style w:type="paragraph" w:styleId="141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15" w:customStyle="1">
    <w:name w:val="22222222222222"/>
    <w:basedOn w:val="1039"/>
    <w:uiPriority w:val="0"/>
    <w:qFormat/>
    <w:pPr>
      <w:ind w:firstLine="480"/>
      <w:jc w:val="left"/>
      <w:spacing w:line="360" w:lineRule="auto"/>
      <w:widowControl/>
    </w:pPr>
    <w:rPr>
      <w:color w:val="ff0000"/>
      <w:sz w:val="24"/>
      <w:szCs w:val="20"/>
    </w:rPr>
  </w:style>
  <w:style w:type="character" w:styleId="1416" w:customStyle="1">
    <w:name w:val="中等深浅网格 1 - 强调文字颜色 2 Char"/>
    <w:link w:val="1417"/>
    <w:uiPriority w:val="0"/>
    <w:qFormat/>
    <w:rPr>
      <w:sz w:val="21"/>
      <w:szCs w:val="24"/>
      <w:lang w:val="zh-CN" w:eastAsia="zh-CN" w:bidi="ar-SA"/>
    </w:rPr>
  </w:style>
  <w:style w:type="paragraph" w:styleId="1417" w:customStyle="1">
    <w:name w:val="1"/>
    <w:link w:val="1416"/>
    <w:uiPriority w:val="0"/>
    <w:qFormat/>
    <w:rPr>
      <w:rFonts w:ascii="Times New Roman" w:hAnsi="Times New Roman" w:eastAsia="宋体" w:cs="Times New Roman"/>
      <w:sz w:val="21"/>
      <w:szCs w:val="24"/>
      <w:lang w:val="zh-CN" w:eastAsia="zh-CN" w:bidi="ar-SA"/>
    </w:rPr>
  </w:style>
  <w:style w:type="paragraph" w:styleId="1418" w:customStyle="1">
    <w:name w:val="图文"/>
    <w:basedOn w:val="1039"/>
    <w:uiPriority w:val="0"/>
    <w:qFormat/>
    <w:pPr>
      <w:spacing w:after="50" w:line="360" w:lineRule="auto"/>
    </w:pPr>
    <w:rPr>
      <w:sz w:val="24"/>
    </w:rPr>
  </w:style>
  <w:style w:type="paragraph" w:styleId="1419" w:customStyle="1">
    <w:name w:val="xl23"/>
    <w:basedOn w:val="1039"/>
    <w:uiPriority w:val="0"/>
    <w:qFormat/>
    <w:pPr>
      <w:spacing w:before="100" w:beforeAutospacing="1" w:after="100" w:afterAutospacing="1" w:line="360" w:lineRule="auto"/>
      <w:widowControl/>
    </w:pPr>
    <w:rPr>
      <w:sz w:val="24"/>
      <w:szCs w:val="20"/>
    </w:rPr>
  </w:style>
  <w:style w:type="paragraph" w:styleId="1420" w:customStyle="1">
    <w:name w:val="正文表格"/>
    <w:basedOn w:val="1039"/>
    <w:link w:val="1421"/>
    <w:uiPriority w:val="0"/>
    <w:qFormat/>
    <w:pPr>
      <w:jc w:val="left"/>
    </w:pPr>
    <w:rPr>
      <w:rFonts w:ascii="宋体" w:hAnsi="宋体"/>
      <w:color w:val="000000"/>
      <w:szCs w:val="21"/>
    </w:rPr>
  </w:style>
  <w:style w:type="character" w:styleId="1421" w:customStyle="1">
    <w:name w:val="正文表格 Char"/>
    <w:link w:val="1420"/>
    <w:uiPriority w:val="0"/>
    <w:qFormat/>
    <w:rPr>
      <w:rFonts w:ascii="宋体" w:hAnsi="宋体"/>
      <w:color w:val="000000"/>
      <w:sz w:val="21"/>
      <w:szCs w:val="21"/>
    </w:rPr>
  </w:style>
  <w:style w:type="paragraph" w:styleId="1422" w:customStyle="1">
    <w:name w:val="正文重点"/>
    <w:basedOn w:val="1039"/>
    <w:link w:val="1423"/>
    <w:uiPriority w:val="0"/>
    <w:qFormat/>
    <w:pPr>
      <w:ind w:firstLine="482"/>
      <w:jc w:val="left"/>
      <w:spacing w:line="360" w:lineRule="auto"/>
    </w:pPr>
    <w:rPr>
      <w:b/>
      <w:sz w:val="24"/>
      <w:szCs w:val="20"/>
    </w:rPr>
  </w:style>
  <w:style w:type="character" w:styleId="1423" w:customStyle="1">
    <w:name w:val="正文重点 Char"/>
    <w:link w:val="1422"/>
    <w:uiPriority w:val="0"/>
    <w:qFormat/>
    <w:rPr>
      <w:b/>
      <w:sz w:val="24"/>
    </w:rPr>
  </w:style>
  <w:style w:type="paragraph" w:styleId="1424" w:customStyle="1">
    <w:name w:val="标题1-附件"/>
    <w:basedOn w:val="1232"/>
    <w:uiPriority w:val="0"/>
    <w:qFormat/>
    <w:pPr>
      <w:jc w:val="left"/>
    </w:pPr>
    <w:rPr>
      <w:sz w:val="24"/>
      <w:szCs w:val="24"/>
    </w:rPr>
  </w:style>
  <w:style w:type="paragraph" w:styleId="1425" w:customStyle="1">
    <w:name w:val="正文小标题"/>
    <w:basedOn w:val="1039"/>
    <w:next w:val="1234"/>
    <w:link w:val="1426"/>
    <w:uiPriority w:val="0"/>
    <w:qFormat/>
    <w:pPr>
      <w:ind w:firstLine="482"/>
      <w:jc w:val="left"/>
      <w:spacing w:before="312" w:after="312"/>
    </w:pPr>
    <w:rPr>
      <w:rFonts w:ascii="宋体" w:hAnsi="宋体"/>
      <w:b/>
      <w:i/>
      <w:color w:val="ff0000"/>
      <w:sz w:val="24"/>
      <w:szCs w:val="20"/>
    </w:rPr>
  </w:style>
  <w:style w:type="character" w:styleId="1426" w:customStyle="1">
    <w:name w:val="正文小标题 Char"/>
    <w:link w:val="1425"/>
    <w:uiPriority w:val="0"/>
    <w:qFormat/>
    <w:rPr>
      <w:rFonts w:ascii="宋体" w:hAnsi="宋体"/>
      <w:b/>
      <w:i/>
      <w:color w:val="ff0000"/>
      <w:sz w:val="24"/>
    </w:rPr>
  </w:style>
  <w:style w:type="paragraph" w:styleId="1427" w:customStyle="1">
    <w:name w:val="正文大标题"/>
    <w:basedOn w:val="1425"/>
    <w:next w:val="1234"/>
    <w:link w:val="1428"/>
    <w:uiPriority w:val="0"/>
    <w:qFormat/>
    <w:pPr>
      <w:jc w:val="center"/>
    </w:pPr>
    <w:rPr>
      <w:i w:val="0"/>
      <w:color w:val="000000"/>
      <w:sz w:val="28"/>
      <w:szCs w:val="21"/>
    </w:rPr>
  </w:style>
  <w:style w:type="character" w:styleId="1428" w:customStyle="1">
    <w:name w:val="正文大标题 Char"/>
    <w:link w:val="1427"/>
    <w:uiPriority w:val="0"/>
    <w:qFormat/>
    <w:rPr>
      <w:rFonts w:ascii="宋体" w:hAnsi="宋体"/>
      <w:b/>
      <w:color w:val="000000"/>
      <w:sz w:val="28"/>
      <w:szCs w:val="21"/>
    </w:rPr>
  </w:style>
  <w:style w:type="paragraph" w:styleId="1429" w:customStyle="1">
    <w:name w:val="注释"/>
    <w:basedOn w:val="1039"/>
    <w:link w:val="1430"/>
    <w:uiPriority w:val="0"/>
    <w:qFormat/>
    <w:pPr>
      <w:ind w:left="420" w:hanging="420"/>
      <w:jc w:val="left"/>
    </w:pPr>
    <w:rPr>
      <w:rFonts w:ascii="宋体" w:hAnsi="宋体"/>
      <w:szCs w:val="21"/>
    </w:rPr>
  </w:style>
  <w:style w:type="character" w:styleId="1430" w:customStyle="1">
    <w:name w:val="注释 Char"/>
    <w:link w:val="1429"/>
    <w:uiPriority w:val="0"/>
    <w:qFormat/>
    <w:rPr>
      <w:rFonts w:ascii="宋体" w:hAnsi="宋体"/>
      <w:sz w:val="21"/>
      <w:szCs w:val="21"/>
    </w:rPr>
  </w:style>
  <w:style w:type="paragraph" w:styleId="1431" w:customStyle="1">
    <w:name w:val="正文须知-1级"/>
    <w:basedOn w:val="1039"/>
    <w:next w:val="1039"/>
    <w:uiPriority w:val="0"/>
    <w:qFormat/>
    <w:pPr>
      <w:numPr>
        <w:ilvl w:val="0"/>
        <w:numId w:val="7"/>
      </w:numPr>
      <w:spacing w:line="300" w:lineRule="auto"/>
    </w:pPr>
    <w:rPr>
      <w:rFonts w:ascii="宋体" w:hAnsi="Calibri"/>
      <w:sz w:val="24"/>
      <w:szCs w:val="21"/>
    </w:rPr>
  </w:style>
  <w:style w:type="paragraph" w:styleId="1432" w:customStyle="1">
    <w:name w:val="正文须知-2级"/>
    <w:basedOn w:val="1039"/>
    <w:uiPriority w:val="0"/>
    <w:qFormat/>
    <w:pPr>
      <w:numPr>
        <w:ilvl w:val="1"/>
        <w:numId w:val="7"/>
      </w:numPr>
      <w:spacing w:line="300" w:lineRule="auto"/>
    </w:pPr>
    <w:rPr>
      <w:rFonts w:ascii="宋体" w:hAnsi="Calibri"/>
      <w:sz w:val="24"/>
      <w:szCs w:val="21"/>
    </w:rPr>
  </w:style>
  <w:style w:type="paragraph" w:styleId="1433" w:customStyle="1">
    <w:name w:val="正文须知-3级"/>
    <w:basedOn w:val="1039"/>
    <w:uiPriority w:val="0"/>
    <w:qFormat/>
    <w:pPr>
      <w:numPr>
        <w:ilvl w:val="2"/>
        <w:numId w:val="7"/>
      </w:numPr>
      <w:ind w:hanging="355"/>
      <w:spacing w:line="300" w:lineRule="auto"/>
    </w:pPr>
    <w:rPr>
      <w:rFonts w:ascii="宋体" w:hAnsi="Calibri"/>
      <w:sz w:val="24"/>
      <w:szCs w:val="21"/>
    </w:rPr>
  </w:style>
  <w:style w:type="character" w:styleId="1434" w:customStyle="1">
    <w:name w:val="纯文本 字符"/>
    <w:uiPriority w:val="99"/>
    <w:qFormat/>
    <w:rPr>
      <w:rFonts w:ascii="宋体" w:hAnsi="Courier New" w:eastAsia="宋体" w:cs="Times New Roman"/>
      <w:sz w:val="21"/>
      <w:szCs w:val="21"/>
      <w:lang w:val="en-US" w:eastAsia="zh-CN" w:bidi="ar-SA"/>
    </w:rPr>
  </w:style>
  <w:style w:type="paragraph" w:styleId="1435" w:customStyle="1">
    <w:name w:val="表格1"/>
    <w:basedOn w:val="1039"/>
    <w:uiPriority w:val="0"/>
    <w:qFormat/>
    <w:pPr>
      <w:ind w:firstLine="480"/>
      <w:jc w:val="center"/>
    </w:pPr>
    <w:rPr>
      <w:sz w:val="24"/>
      <w:szCs w:val="20"/>
    </w:rPr>
  </w:style>
  <w:style w:type="character" w:styleId="1436" w:customStyle="1">
    <w:name w:val="纯文本 字符1"/>
    <w:uiPriority w:val="0"/>
    <w:qFormat/>
    <w:rPr>
      <w:rFonts w:ascii="宋体" w:hAnsi="Courier New"/>
    </w:rPr>
  </w:style>
  <w:style w:type="character" w:styleId="1437" w:customStyle="1">
    <w:name w:val="bjh-p"/>
    <w:uiPriority w:val="0"/>
    <w:qFormat/>
  </w:style>
  <w:style w:type="paragraph" w:styleId="1438" w:customStyle="1">
    <w:name w:val="无标题条"/>
    <w:next w:val="1039"/>
    <w:uiPriority w:val="0"/>
    <w:qFormat/>
    <w:pPr>
      <w:jc w:val="both"/>
    </w:pPr>
    <w:rPr>
      <w:rFonts w:ascii="Times New Roman" w:hAnsi="Times New Roman" w:eastAsia="宋体" w:cs="Times New Roman"/>
      <w:sz w:val="21"/>
      <w:lang w:val="en-US" w:eastAsia="zh-CN" w:bidi="ar-SA"/>
    </w:rPr>
  </w:style>
  <w:style w:type="character" w:styleId="1439" w:customStyle="1">
    <w:name w:val="正文格式 Char"/>
    <w:link w:val="1440"/>
    <w:uiPriority w:val="0"/>
    <w:qFormat/>
    <w:rPr>
      <w:rFonts w:ascii="宋体" w:hAnsi="宋体"/>
      <w:sz w:val="24"/>
      <w:szCs w:val="24"/>
      <w:lang w:val="en-GB"/>
    </w:rPr>
  </w:style>
  <w:style w:type="paragraph" w:styleId="1440" w:customStyle="1">
    <w:name w:val="正文格式"/>
    <w:basedOn w:val="1039"/>
    <w:link w:val="1439"/>
    <w:uiPriority w:val="0"/>
    <w:qFormat/>
    <w:pPr>
      <w:ind w:firstLine="480"/>
      <w:spacing w:line="360" w:lineRule="auto"/>
    </w:pPr>
    <w:rPr>
      <w:rFonts w:ascii="宋体" w:hAnsi="宋体"/>
      <w:sz w:val="24"/>
      <w:lang w:val="en-GB"/>
    </w:rPr>
  </w:style>
  <w:style w:type="character" w:styleId="1441" w:customStyle="1">
    <w:name w:val="标题 3 Char"/>
    <w:uiPriority w:val="0"/>
    <w:qFormat/>
    <w:rPr>
      <w:rFonts w:ascii="宋体" w:eastAsia="宋体"/>
      <w:b/>
      <w:sz w:val="24"/>
      <w:u w:val="single"/>
      <w:lang w:val="en-US" w:eastAsia="zh-CN" w:bidi="ar-SA"/>
    </w:rPr>
  </w:style>
  <w:style w:type="character" w:styleId="1442" w:customStyle="1">
    <w:name w:val="正文缩进 Char"/>
    <w:uiPriority w:val="0"/>
    <w:qFormat/>
    <w:rPr>
      <w:rFonts w:ascii="宋体" w:eastAsia="宋体"/>
      <w:sz w:val="24"/>
      <w:szCs w:val="24"/>
      <w:lang w:val="en-US" w:eastAsia="zh-CN" w:bidi="ar-SA"/>
    </w:rPr>
  </w:style>
  <w:style w:type="character" w:styleId="1443" w:customStyle="1">
    <w:name w:val="Char Char111"/>
    <w:uiPriority w:val="0"/>
    <w:qFormat/>
    <w:rPr>
      <w:rFonts w:ascii="宋体" w:eastAsia="宋体"/>
      <w:b/>
      <w:sz w:val="24"/>
      <w:u w:val="single"/>
      <w:lang w:val="en-US" w:eastAsia="zh-CN" w:bidi="ar-SA"/>
    </w:rPr>
  </w:style>
  <w:style w:type="character" w:styleId="1444" w:customStyle="1">
    <w:name w:val="正文文本缩进 Char"/>
    <w:uiPriority w:val="0"/>
    <w:qFormat/>
    <w:rPr>
      <w:rFonts w:eastAsia="宋体"/>
      <w:sz w:val="24"/>
      <w:szCs w:val="24"/>
      <w:lang w:val="en-US" w:eastAsia="zh-CN" w:bidi="ar-SA"/>
    </w:rPr>
  </w:style>
  <w:style w:type="character" w:styleId="1445" w:customStyle="1">
    <w:name w:val="列出段落 Char"/>
    <w:uiPriority w:val="0"/>
    <w:qFormat/>
    <w:rPr>
      <w:rFonts w:ascii="Calibri" w:hAnsi="Calibri" w:eastAsia="宋体"/>
      <w:sz w:val="21"/>
      <w:szCs w:val="22"/>
      <w:lang w:val="en-US" w:eastAsia="zh-CN" w:bidi="ar-SA"/>
    </w:rPr>
  </w:style>
  <w:style w:type="character" w:styleId="1446" w:customStyle="1">
    <w:name w:val="页眉 Char"/>
    <w:uiPriority w:val="0"/>
    <w:qFormat/>
    <w:rPr>
      <w:rFonts w:eastAsia="宋体"/>
      <w:sz w:val="18"/>
      <w:szCs w:val="18"/>
      <w:lang w:val="en-US" w:eastAsia="zh-CN" w:bidi="ar-SA"/>
    </w:rPr>
  </w:style>
  <w:style w:type="character" w:styleId="1447" w:customStyle="1">
    <w:name w:val="标题 2 Char"/>
    <w:uiPriority w:val="0"/>
    <w:qFormat/>
    <w:rPr>
      <w:rFonts w:ascii="Arial" w:hAnsi="Arial" w:eastAsia="黑体"/>
      <w:b/>
      <w:sz w:val="30"/>
      <w:lang w:val="en-US" w:eastAsia="zh-CN" w:bidi="ar-SA"/>
    </w:rPr>
  </w:style>
  <w:style w:type="paragraph" w:styleId="1448" w:customStyle="1">
    <w:name w:val="字元 字元2"/>
    <w:basedOn w:val="1039"/>
    <w:uiPriority w:val="0"/>
    <w:qFormat/>
    <w:rPr>
      <w:rFonts w:ascii="Tahoma" w:hAnsi="Tahoma"/>
      <w:sz w:val="24"/>
      <w:szCs w:val="20"/>
    </w:rPr>
  </w:style>
  <w:style w:type="paragraph" w:styleId="1449" w:customStyle="1">
    <w:name w:val="Char3 Char Char Char2"/>
    <w:basedOn w:val="1039"/>
    <w:uiPriority w:val="0"/>
    <w:qFormat/>
    <w:rPr>
      <w:rFonts w:ascii="Tahoma" w:hAnsi="Tahoma"/>
      <w:sz w:val="24"/>
      <w:szCs w:val="20"/>
    </w:rPr>
  </w:style>
  <w:style w:type="paragraph" w:styleId="1450" w:customStyle="1">
    <w:name w:val="正文文本缩进2"/>
    <w:basedOn w:val="1039"/>
    <w:uiPriority w:val="0"/>
    <w:qFormat/>
    <w:pPr>
      <w:ind w:firstLine="480"/>
      <w:spacing w:line="480" w:lineRule="exact"/>
    </w:pPr>
    <w:rPr>
      <w:rFonts w:ascii="宋体" w:hAnsi="宋体"/>
      <w:sz w:val="24"/>
      <w:lang w:val="zh-CN"/>
    </w:rPr>
  </w:style>
  <w:style w:type="paragraph" w:styleId="1451" w:customStyle="1">
    <w:name w:val="Char3"/>
    <w:basedOn w:val="1039"/>
    <w:uiPriority w:val="0"/>
    <w:qFormat/>
    <w:pPr>
      <w:tabs>
        <w:tab w:val="left" w:pos="360" w:leader="none"/>
      </w:tabs>
    </w:pPr>
    <w:rPr>
      <w:sz w:val="24"/>
    </w:rPr>
  </w:style>
  <w:style w:type="paragraph" w:styleId="1452" w:customStyle="1">
    <w:name w:val="Char Char Char Char Char Char Char Char Char Char Char Char Char Char Char Char1"/>
    <w:basedOn w:val="1039"/>
    <w:uiPriority w:val="0"/>
    <w:qFormat/>
    <w:pPr>
      <w:jc w:val="center"/>
      <w:spacing w:after="160" w:line="240" w:lineRule="exact"/>
      <w:widowControl/>
    </w:pPr>
    <w:rPr>
      <w:rFonts w:ascii="宋体" w:hAnsi="宋体"/>
      <w:b/>
      <w:sz w:val="30"/>
      <w:szCs w:val="30"/>
      <w:lang w:eastAsia="en-US"/>
    </w:rPr>
  </w:style>
  <w:style w:type="paragraph" w:styleId="1453" w:customStyle="1">
    <w:name w:val="Char Char1 Char Char Char Char Char Char1"/>
    <w:basedOn w:val="1039"/>
    <w:uiPriority w:val="0"/>
    <w:qFormat/>
    <w:pPr>
      <w:jc w:val="left"/>
      <w:spacing w:after="160" w:line="240" w:lineRule="exact"/>
      <w:widowControl/>
    </w:pPr>
    <w:rPr>
      <w:rFonts w:ascii="Verdana" w:hAnsi="Verdana" w:eastAsia="仿宋_GB2312"/>
      <w:sz w:val="24"/>
      <w:szCs w:val="20"/>
      <w:lang w:eastAsia="en-US"/>
    </w:rPr>
  </w:style>
  <w:style w:type="paragraph" w:styleId="1454" w:customStyle="1">
    <w:name w:val="列出段落2"/>
    <w:basedOn w:val="1039"/>
    <w:uiPriority w:val="0"/>
    <w:qFormat/>
    <w:pPr>
      <w:ind w:firstLine="420"/>
    </w:pPr>
    <w:rPr>
      <w:rFonts w:ascii="Calibri" w:hAnsi="Calibri"/>
      <w:szCs w:val="22"/>
    </w:rPr>
  </w:style>
  <w:style w:type="paragraph" w:styleId="1455" w:customStyle="1">
    <w:name w:val="Char Char Char1 Char2"/>
    <w:basedOn w:val="1039"/>
    <w:uiPriority w:val="0"/>
    <w:qFormat/>
    <w:rPr>
      <w:rFonts w:ascii="Tahoma" w:hAnsi="Tahoma"/>
      <w:sz w:val="24"/>
      <w:szCs w:val="20"/>
    </w:rPr>
  </w:style>
  <w:style w:type="paragraph" w:styleId="1456" w:customStyle="1">
    <w:name w:val="Char Char Char2"/>
    <w:basedOn w:val="1039"/>
    <w:uiPriority w:val="0"/>
    <w:qFormat/>
    <w:rPr>
      <w:rFonts w:ascii="Tahoma" w:hAnsi="Tahoma"/>
      <w:sz w:val="24"/>
      <w:szCs w:val="20"/>
    </w:rPr>
  </w:style>
  <w:style w:type="paragraph" w:styleId="1457" w:customStyle="1">
    <w:name w:val="Char Char Char Char Char Char Char2"/>
    <w:basedOn w:val="1039"/>
    <w:uiPriority w:val="0"/>
    <w:qFormat/>
    <w:pPr>
      <w:ind w:firstLine="200"/>
      <w:spacing w:line="360" w:lineRule="auto"/>
    </w:pPr>
    <w:rPr>
      <w:rFonts w:eastAsia="仿宋_GB2312"/>
      <w:sz w:val="24"/>
    </w:rPr>
  </w:style>
  <w:style w:type="paragraph" w:styleId="1458" w:customStyle="1">
    <w:name w:val="正文缩进2"/>
    <w:basedOn w:val="1039"/>
    <w:uiPriority w:val="0"/>
    <w:qFormat/>
    <w:pPr>
      <w:ind w:firstLine="567"/>
      <w:spacing w:line="480" w:lineRule="exact"/>
      <w:widowControl/>
    </w:pPr>
    <w:rPr>
      <w:rFonts w:ascii="宋体"/>
      <w:color w:val="000000"/>
      <w:sz w:val="28"/>
      <w:szCs w:val="20"/>
      <w:lang w:val="zh-CN"/>
    </w:rPr>
  </w:style>
  <w:style w:type="paragraph" w:styleId="1459" w:customStyle="1">
    <w:name w:val="修订1"/>
    <w:uiPriority w:val="0"/>
    <w:qFormat/>
    <w:rPr>
      <w:rFonts w:ascii="Times New Roman" w:hAnsi="Times New Roman" w:eastAsia="宋体" w:cs="Times New Roman"/>
      <w:sz w:val="21"/>
      <w:szCs w:val="24"/>
      <w:lang w:val="en-US" w:eastAsia="zh-CN" w:bidi="ar-SA"/>
    </w:rPr>
  </w:style>
  <w:style w:type="paragraph" w:styleId="1460" w:customStyle="1">
    <w:name w:val="Char22"/>
    <w:basedOn w:val="1039"/>
    <w:uiPriority w:val="0"/>
    <w:qFormat/>
    <w:rPr>
      <w:rFonts w:ascii="Tahoma" w:hAnsi="Tahoma"/>
      <w:sz w:val="24"/>
      <w:szCs w:val="20"/>
    </w:rPr>
  </w:style>
  <w:style w:type="paragraph" w:styleId="1461" w:customStyle="1">
    <w:name w:val="Char Char Char Char Char Char Char Char Char Char2"/>
    <w:basedOn w:val="1039"/>
    <w:uiPriority w:val="0"/>
    <w:qFormat/>
    <w:rPr>
      <w:rFonts w:ascii="宋体" w:hAnsi="宋体" w:cs="Courier New"/>
      <w:sz w:val="32"/>
      <w:szCs w:val="32"/>
    </w:rPr>
  </w:style>
  <w:style w:type="paragraph" w:styleId="1462" w:customStyle="1">
    <w:name w:val="Char2 Char Char Char Char Char Char1"/>
    <w:basedOn w:val="1039"/>
    <w:uiPriority w:val="0"/>
    <w:qFormat/>
    <w:pPr>
      <w:jc w:val="center"/>
      <w:spacing w:line="400" w:lineRule="exact"/>
      <w:widowControl/>
    </w:pPr>
  </w:style>
  <w:style w:type="character" w:styleId="1463" w:customStyle="1">
    <w:name w:val="页脚 Char"/>
    <w:uiPriority w:val="0"/>
    <w:qFormat/>
    <w:rPr>
      <w:rFonts w:ascii="宋体" w:eastAsia="宋体"/>
      <w:sz w:val="18"/>
      <w:lang w:val="en-US" w:eastAsia="zh-CN" w:bidi="ar-SA"/>
    </w:rPr>
  </w:style>
  <w:style w:type="paragraph" w:styleId="1464" w:customStyle="1">
    <w:name w:val="Char Char41"/>
    <w:basedOn w:val="1039"/>
    <w:uiPriority w:val="0"/>
    <w:qFormat/>
    <w:pPr>
      <w:jc w:val="center"/>
      <w:spacing w:line="400" w:lineRule="exact"/>
      <w:widowControl/>
    </w:pPr>
  </w:style>
  <w:style w:type="character" w:styleId="1465" w:customStyle="1">
    <w:name w:val="批注文字 Char"/>
    <w:uiPriority w:val="99"/>
    <w:qFormat/>
    <w:rPr>
      <w:sz w:val="21"/>
      <w:szCs w:val="24"/>
    </w:rPr>
  </w:style>
  <w:style w:type="character" w:styleId="1466" w:customStyle="1">
    <w:name w:val="标题 Char"/>
    <w:uiPriority w:val="0"/>
    <w:qFormat/>
    <w:rPr>
      <w:b/>
      <w:sz w:val="32"/>
    </w:rPr>
  </w:style>
  <w:style w:type="paragraph" w:styleId="1467" w:customStyle="1">
    <w:name w:val="图例"/>
    <w:basedOn w:val="1039"/>
    <w:uiPriority w:val="0"/>
    <w:qFormat/>
    <w:pPr>
      <w:jc w:val="center"/>
      <w:spacing w:before="120" w:after="120" w:line="360" w:lineRule="auto"/>
    </w:pPr>
    <w:rPr>
      <w:rFonts w:eastAsia="仿宋_GB2312"/>
      <w:b/>
      <w:sz w:val="24"/>
      <w:szCs w:val="20"/>
    </w:rPr>
  </w:style>
  <w:style w:type="paragraph" w:styleId="1468" w:customStyle="1">
    <w:name w:val="Table Paragraph"/>
    <w:basedOn w:val="1039"/>
    <w:uiPriority w:val="1"/>
    <w:qFormat/>
    <w:pPr>
      <w:jc w:val="left"/>
    </w:pPr>
    <w:rPr>
      <w:rFonts w:ascii="宋体" w:hAnsi="宋体" w:cs="宋体"/>
      <w:sz w:val="22"/>
      <w:szCs w:val="22"/>
      <w:lang w:eastAsia="en-US"/>
    </w:rPr>
  </w:style>
  <w:style w:type="table" w:styleId="146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0" w:customStyle="1">
    <w:name w:val="成文日期"/>
    <w:basedOn w:val="1039"/>
    <w:link w:val="1471"/>
    <w:uiPriority w:val="0"/>
    <w:qFormat/>
    <w:pPr>
      <w:ind w:right="400" w:firstLine="200"/>
      <w:jc w:val="right"/>
      <w:spacing w:line="570" w:lineRule="exact"/>
    </w:pPr>
    <w:rPr>
      <w:rFonts w:ascii="仿宋_GB2312" w:eastAsia="仿宋_GB2312"/>
      <w:sz w:val="32"/>
      <w:szCs w:val="20"/>
    </w:rPr>
  </w:style>
  <w:style w:type="character" w:styleId="1471" w:customStyle="1">
    <w:name w:val="成文日期 Char"/>
    <w:link w:val="1470"/>
    <w:uiPriority w:val="0"/>
    <w:qFormat/>
    <w:rPr>
      <w:rFonts w:ascii="仿宋_GB2312" w:eastAsia="仿宋_GB2312"/>
      <w:sz w:val="32"/>
    </w:rPr>
  </w:style>
  <w:style w:type="paragraph" w:styleId="1472" w:customStyle="1">
    <w:name w:val="_Style 15"/>
    <w:basedOn w:val="1039"/>
    <w:next w:val="1039"/>
    <w:uiPriority w:val="0"/>
    <w:qFormat/>
    <w:pPr>
      <w:ind w:left="420" w:firstLine="420"/>
      <w:spacing w:after="120"/>
    </w:pPr>
    <w:rPr>
      <w:szCs w:val="22"/>
    </w:rPr>
  </w:style>
  <w:style w:type="paragraph" w:styleId="1473" w:customStyle="1">
    <w:name w:val="修订2"/>
    <w:uiPriority w:val="99"/>
    <w:unhideWhenUsed/>
    <w:qFormat/>
    <w:rPr>
      <w:rFonts w:ascii="Times New Roman" w:hAnsi="Times New Roman" w:eastAsia="宋体" w:cs="Times New Roman"/>
      <w:sz w:val="21"/>
      <w:szCs w:val="24"/>
      <w:lang w:val="en-US" w:eastAsia="zh-CN" w:bidi="ar-SA"/>
    </w:rPr>
  </w:style>
  <w:style w:type="character" w:styleId="1474" w:customStyle="1">
    <w:name w:val="标题 2 Char1"/>
    <w:uiPriority w:val="0"/>
    <w:qFormat/>
    <w:rPr>
      <w:rFonts w:ascii="Arial" w:hAnsi="Arial" w:eastAsia="黑体"/>
      <w:b/>
      <w:sz w:val="30"/>
      <w:lang w:val="en-US" w:eastAsia="zh-CN" w:bidi="ar-SA"/>
    </w:rPr>
  </w:style>
  <w:style w:type="paragraph" w:styleId="1475" w:customStyle="1">
    <w:name w:val="Table Text"/>
    <w:basedOn w:val="1039"/>
    <w:uiPriority w:val="0"/>
    <w:semiHidden/>
    <w:qFormat/>
    <w:rPr>
      <w:rFonts w:ascii="宋体" w:hAnsi="宋体" w:cs="宋体"/>
      <w:sz w:val="24"/>
      <w:lang w:eastAsia="en-US"/>
    </w:rPr>
  </w:style>
  <w:style w:type="paragraph" w:styleId="1476" w:customStyle="1">
    <w:name w:val="Andy_正文"/>
    <w:basedOn w:val="1039"/>
    <w:uiPriority w:val="0"/>
    <w:qFormat/>
    <w:pPr>
      <w:ind w:firstLine="480"/>
      <w:spacing w:line="360" w:lineRule="auto"/>
    </w:pPr>
    <w:rPr>
      <w:sz w:val="24"/>
    </w:rPr>
  </w:style>
  <w:style w:type="paragraph" w:styleId="1477" w:customStyle="1">
    <w:name w:val="首行缩进"/>
    <w:basedOn w:val="1039"/>
    <w:uiPriority w:val="0"/>
    <w:qFormat/>
    <w:pPr>
      <w:ind w:firstLine="480"/>
    </w:pPr>
    <w:rPr>
      <w:rFonts w:ascii="Times New Roman" w:hAnsi="Times New Roman"/>
      <w:szCs w:val="20"/>
      <w:lang w:val="zh-CN"/>
    </w:rPr>
  </w:style>
  <w:style w:type="numbering" w:styleId="1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王女士</cp:lastModifiedBy>
  <cp:revision>4</cp:revision>
  <dcterms:created xsi:type="dcterms:W3CDTF">2024-08-26T10:04:00Z</dcterms:created>
  <dcterms:modified xsi:type="dcterms:W3CDTF">2026-05-26T06:27:59Z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35A6294BBADC49A98B60CF09DE3F659F_13</vt:lpwstr>
  </property>
  <property fmtid="{D5CDD505-2E9C-101B-9397-08002B2CF9AE}" pid="4" name="KSOTemplateDocerSaveRecord">
    <vt:lpwstr>eyJoZGlkIjoiOTAxYTBiNjkwYWQ4Njk5YzJkYmQxZWI3NjgwZDMwMjIiLCJ1c2VySWQiOiIyMTkyOTE1NDcifQ==</vt:lpwstr>
  </property>
</Properties>
</file>