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Arial" w:hAnsi="Arial" w:eastAsia="黑体" w:cs="Arial"/>
          <w:b/>
          <w:bCs/>
          <w:color w:val="auto"/>
          <w:sz w:val="48"/>
          <w:szCs w:val="48"/>
          <w:highlight w:val="none"/>
          <w:lang w:eastAsia="zh-CN"/>
        </w:rPr>
      </w:pPr>
      <w:r>
        <w:rPr>
          <w:rFonts w:hint="eastAsia" w:ascii="Arial" w:hAnsi="Arial" w:eastAsia="黑体" w:cs="Arial"/>
          <w:b/>
          <w:bCs/>
          <w:color w:val="auto"/>
          <w:sz w:val="48"/>
          <w:szCs w:val="48"/>
          <w:highlight w:val="none"/>
          <w:lang w:eastAsia="zh-CN"/>
        </w:rPr>
        <w:t xml:space="preserve">南京体育学院2026-2027运动饮料、营养品采购项目</w:t>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招标文件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rPr>
        <w:t xml:space="preserve">项目编号：</w:t>
      </w:r>
      <w:r>
        <w:rPr>
          <w:rFonts w:hint="eastAsia" w:ascii="Arial" w:hAnsi="宋体" w:cs="Arial"/>
          <w:b/>
          <w:color w:val="auto"/>
          <w:sz w:val="36"/>
          <w:szCs w:val="36"/>
          <w:highlight w:val="none"/>
          <w:lang w:eastAsia="zh-CN"/>
        </w:rPr>
        <w:t xml:space="preserve">JSZC-320000-JCEC-G2026-0140</w:t>
      </w:r>
      <w:r>
        <w:rPr>
          <w:rFonts w:hint="eastAsia" w:ascii="Arial" w:hAnsi="宋体" w:cs="Arial"/>
          <w:b/>
          <w:color w:val="auto"/>
          <w:sz w:val="36"/>
          <w:szCs w:val="36"/>
          <w:highlight w:val="none"/>
          <w:lang w:val="en-US" w:eastAsia="zh-CN"/>
        </w:rPr>
        <w:t xml:space="preserve"> </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lang w:eastAsia="zh-CN"/>
        </w:rPr>
        <w:t xml:space="preserve">202</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年</w:t>
      </w:r>
      <w:r>
        <w:rPr>
          <w:rFonts w:hint="eastAsia" w:ascii="Arial" w:hAnsi="宋体" w:cs="Arial"/>
          <w:b/>
          <w:color w:val="auto"/>
          <w:sz w:val="36"/>
          <w:szCs w:val="36"/>
          <w:highlight w:val="none"/>
          <w:lang w:val="en-US" w:eastAsia="zh-CN"/>
        </w:rPr>
        <w:t xml:space="preserve">5</w:t>
      </w:r>
      <w:r>
        <w:rPr>
          <w:rFonts w:hint="eastAsia" w:ascii="Arial" w:hAnsi="宋体" w:cs="Arial"/>
          <w:b/>
          <w:color w:val="auto"/>
          <w:sz w:val="36"/>
          <w:szCs w:val="36"/>
          <w:highlight w:val="none"/>
          <w:lang w:eastAsia="zh-CN"/>
        </w:rPr>
        <w:t xml:space="preserve">月</w:t>
      </w:r>
      <w:r/>
    </w:p>
    <w:p>
      <w:pPr>
        <w:pStyle w:val="1236"/>
        <w:jc w:val="center"/>
        <w:rPr>
          <w:rFonts w:ascii="Arial" w:hAnsi="宋体" w:cs="Arial"/>
          <w:color w:val="auto"/>
          <w:sz w:val="36"/>
          <w:szCs w:val="36"/>
          <w:highlight w:val="none"/>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auto"/>
          <w:sz w:val="36"/>
          <w:szCs w:val="36"/>
          <w:highlight w:val="none"/>
          <w:lang w:val="zh-CN"/>
        </w:rPr>
      </w:r>
      <w:r/>
    </w:p>
    <w:sdt>
      <w:sdtPr>
        <w15:appearance w15:val="boundingBox"/>
        <w15:color w:val="dbdbdb"/>
        <w:id w:val="147465980"/>
        <w:docPartObj>
          <w:docPartGallery w:val="Table of Contents"/>
          <w:docPartUnique w:val="true"/>
        </w:docPartObj>
        <w:rPr>
          <w:rFonts w:ascii="宋体" w:hAnsi="宋体" w:eastAsia="宋体" w:cs="Times New Roman"/>
          <w:sz w:val="21"/>
          <w:szCs w:val="24"/>
          <w:highlight w:val="none"/>
          <w:lang w:val="en-US" w:eastAsia="zh-CN" w:bidi="ar-SA"/>
        </w:rPr>
      </w:sdtPr>
      <w:sdtContent>
        <w:p>
          <w:pPr>
            <w:ind w:left="0" w:right="0" w:firstLine="0"/>
            <w:jc w:val="center"/>
            <w:spacing w:before="0" w:after="0" w:line="360" w:lineRule="auto"/>
            <w:rPr>
              <w:sz w:val="24"/>
              <w:szCs w:val="24"/>
              <w:highlight w:val="none"/>
            </w:rPr>
          </w:pPr>
          <w:r>
            <w:rPr>
              <w:rFonts w:ascii="宋体" w:hAnsi="宋体" w:eastAsia="宋体"/>
              <w:sz w:val="24"/>
              <w:szCs w:val="24"/>
              <w:highlight w:val="none"/>
            </w:rPr>
            <w:t xml:space="preserve">目录</w:t>
          </w:r>
          <w:r/>
        </w:p>
        <w:p>
          <w:pPr>
            <w:pStyle w:val="934"/>
            <w:tabs>
              <w:tab w:val="right" w:pos="8506" w:leader="dot"/>
            </w:tabs>
            <w:rPr>
              <w:highlight w:val="none"/>
            </w:rPr>
          </w:pPr>
          <w:r>
            <w:rPr>
              <w:rFonts w:ascii="Arial" w:hAnsi="Arial" w:cs="Arial"/>
              <w:b/>
              <w:color w:val="auto"/>
              <w:sz w:val="24"/>
              <w:szCs w:val="24"/>
              <w:highlight w:val="none"/>
            </w:rPr>
            <w:fldChar w:fldCharType="begin"/>
          </w:r>
          <w:r>
            <w:rPr>
              <w:rFonts w:ascii="Arial" w:hAnsi="Arial" w:cs="Arial"/>
              <w:b/>
              <w:color w:val="auto"/>
              <w:sz w:val="24"/>
              <w:szCs w:val="24"/>
              <w:highlight w:val="none"/>
            </w:rPr>
            <w:instrText xml:space="preserve">TOC \o "1-2" \h \u </w:instrText>
          </w:r>
          <w:r>
            <w:rPr>
              <w:rFonts w:ascii="Arial" w:hAnsi="Arial" w:cs="Arial"/>
              <w:b/>
              <w:color w:val="auto"/>
              <w:sz w:val="24"/>
              <w:szCs w:val="24"/>
              <w:highlight w:val="none"/>
            </w:rPr>
            <w:fldChar w:fldCharType="separate"/>
          </w:r>
          <w:r>
            <w:rPr>
              <w:rFonts w:ascii="Arial" w:hAnsi="Arial" w:cs="Arial"/>
              <w:color w:val="auto"/>
              <w:szCs w:val="24"/>
              <w:highlight w:val="none"/>
            </w:rPr>
            <w:fldChar w:fldCharType="begin"/>
          </w:r>
          <w:r>
            <w:rPr>
              <w:rFonts w:ascii="Arial" w:hAnsi="Arial" w:cs="Arial"/>
              <w:szCs w:val="24"/>
              <w:highlight w:val="none"/>
            </w:rPr>
            <w:instrText xml:space="preserve"> HYPERLINK \l _Toc10919 </w:instrText>
          </w:r>
          <w:r>
            <w:rPr>
              <w:rFonts w:ascii="Arial" w:hAnsi="Arial" w:cs="Arial"/>
              <w:szCs w:val="24"/>
              <w:highlight w:val="none"/>
            </w:rPr>
            <w:fldChar w:fldCharType="separate"/>
          </w:r>
          <w:r>
            <w:rPr>
              <w:rFonts w:hint="eastAsia" w:ascii="Arial" w:cs="Arial"/>
              <w:highlight w:val="none"/>
            </w:rPr>
            <w:t xml:space="preserve">第一章招标公告</w:t>
          </w:r>
          <w:r>
            <w:rPr>
              <w:highlight w:val="none"/>
            </w:rPr>
            <w:tab/>
          </w:r>
          <w:r>
            <w:rPr>
              <w:highlight w:val="none"/>
            </w:rPr>
            <w:fldChar w:fldCharType="begin"/>
          </w:r>
          <w:r>
            <w:rPr>
              <w:highlight w:val="none"/>
            </w:rPr>
            <w:instrText xml:space="preserve"> PAGEREF _Toc10919 \h </w:instrText>
          </w:r>
          <w:r>
            <w:rPr>
              <w:highlight w:val="none"/>
            </w:rPr>
            <w:fldChar w:fldCharType="separate"/>
          </w:r>
          <w:r>
            <w:rPr>
              <w:highlight w:val="none"/>
            </w:rPr>
            <w:t xml:space="preserve">1</w:t>
          </w:r>
          <w:r>
            <w:rPr>
              <w:highlight w:val="none"/>
            </w:rPr>
            <w:fldChar w:fldCharType="end"/>
          </w:r>
          <w:r>
            <w:rPr>
              <w:rFonts w:ascii="Arial" w:hAnsi="Arial" w:cs="Arial"/>
              <w:color w:val="auto"/>
              <w:szCs w:val="24"/>
              <w:highlight w:val="none"/>
            </w:rPr>
            <w:fldChar w:fldCharType="end"/>
          </w:r>
          <w:r/>
        </w:p>
        <w:p>
          <w:pPr>
            <w:pStyle w:val="934"/>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_Toc4854 </w:instrText>
          </w:r>
          <w:r>
            <w:rPr>
              <w:rFonts w:ascii="Arial" w:hAnsi="Arial" w:cs="Arial"/>
              <w:szCs w:val="24"/>
              <w:highlight w:val="none"/>
            </w:rPr>
            <w:fldChar w:fldCharType="separate"/>
          </w:r>
          <w:r>
            <w:rPr>
              <w:rFonts w:hint="eastAsia" w:ascii="Arial" w:cs="Arial"/>
              <w:bCs/>
              <w:szCs w:val="44"/>
              <w:highlight w:val="none"/>
            </w:rPr>
            <w:t xml:space="preserve">第二章投标人须知</w:t>
          </w:r>
          <w:r>
            <w:rPr>
              <w:highlight w:val="none"/>
            </w:rPr>
            <w:tab/>
          </w:r>
          <w:r>
            <w:rPr>
              <w:highlight w:val="none"/>
            </w:rPr>
            <w:fldChar w:fldCharType="begin"/>
          </w:r>
          <w:r>
            <w:rPr>
              <w:highlight w:val="none"/>
            </w:rPr>
            <w:instrText xml:space="preserve"> PAGEREF _Toc4854 \h </w:instrText>
          </w:r>
          <w:r>
            <w:rPr>
              <w:highlight w:val="none"/>
            </w:rPr>
            <w:fldChar w:fldCharType="separate"/>
          </w:r>
          <w:r>
            <w:rPr>
              <w:highlight w:val="none"/>
            </w:rPr>
            <w:t xml:space="preserve">4</w:t>
          </w:r>
          <w:r>
            <w:rPr>
              <w:highlight w:val="none"/>
            </w:rPr>
            <w:fldChar w:fldCharType="end"/>
          </w:r>
          <w:r>
            <w:rPr>
              <w:rFonts w:ascii="Arial" w:hAnsi="Arial" w:cs="Arial"/>
              <w:color w:val="auto"/>
              <w:szCs w:val="24"/>
              <w:highlight w:val="none"/>
            </w:rPr>
            <w:fldChar w:fldCharType="end"/>
          </w:r>
          <w:r/>
        </w:p>
        <w:p>
          <w:pPr>
            <w:pStyle w:val="934"/>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_Toc23781 </w:instrText>
          </w:r>
          <w:r>
            <w:rPr>
              <w:rFonts w:ascii="Arial" w:hAnsi="Arial" w:cs="Arial"/>
              <w:szCs w:val="24"/>
              <w:highlight w:val="none"/>
            </w:rPr>
            <w:fldChar w:fldCharType="separate"/>
          </w:r>
          <w:r>
            <w:rPr>
              <w:rFonts w:ascii="Arial" w:hAnsi="Arial" w:cs="Arial"/>
              <w:highlight w:val="none"/>
            </w:rPr>
            <w:t xml:space="preserve"> </w:t>
          </w:r>
          <w:r>
            <w:rPr>
              <w:rFonts w:hint="eastAsia" w:ascii="Arial" w:hAnsi="Arial" w:cs="Arial"/>
              <w:highlight w:val="none"/>
            </w:rPr>
            <w:t xml:space="preserve">第三章评标标准</w:t>
          </w:r>
          <w:r>
            <w:rPr>
              <w:highlight w:val="none"/>
            </w:rPr>
            <w:tab/>
          </w:r>
          <w:r>
            <w:rPr>
              <w:highlight w:val="none"/>
            </w:rPr>
            <w:fldChar w:fldCharType="begin"/>
          </w:r>
          <w:r>
            <w:rPr>
              <w:highlight w:val="none"/>
            </w:rPr>
            <w:instrText xml:space="preserve"> PAGEREF _Toc23781 \h </w:instrText>
          </w:r>
          <w:r>
            <w:rPr>
              <w:highlight w:val="none"/>
            </w:rPr>
            <w:fldChar w:fldCharType="separate"/>
          </w:r>
          <w:r>
            <w:rPr>
              <w:highlight w:val="none"/>
            </w:rPr>
            <w:t xml:space="preserve">17</w:t>
          </w:r>
          <w:r>
            <w:rPr>
              <w:highlight w:val="none"/>
            </w:rPr>
            <w:fldChar w:fldCharType="end"/>
          </w:r>
          <w:r>
            <w:rPr>
              <w:rFonts w:ascii="Arial" w:hAnsi="Arial" w:cs="Arial"/>
              <w:color w:val="auto"/>
              <w:szCs w:val="24"/>
              <w:highlight w:val="none"/>
            </w:rPr>
            <w:fldChar w:fldCharType="end"/>
          </w:r>
          <w:r/>
        </w:p>
        <w:p>
          <w:pPr>
            <w:pStyle w:val="934"/>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_Toc8882 </w:instrText>
          </w:r>
          <w:r>
            <w:rPr>
              <w:rFonts w:ascii="Arial" w:hAnsi="Arial" w:cs="Arial"/>
              <w:szCs w:val="24"/>
              <w:highlight w:val="none"/>
            </w:rPr>
            <w:fldChar w:fldCharType="separate"/>
          </w:r>
          <w:r>
            <w:rPr>
              <w:rFonts w:hint="eastAsia" w:ascii="Arial" w:hAnsi="Arial" w:cs="Arial"/>
              <w:highlight w:val="none"/>
            </w:rPr>
            <w:t xml:space="preserve">第四章采购需求</w:t>
          </w:r>
          <w:r>
            <w:rPr>
              <w:highlight w:val="none"/>
            </w:rPr>
            <w:tab/>
          </w:r>
          <w:r>
            <w:rPr>
              <w:highlight w:val="none"/>
            </w:rPr>
            <w:fldChar w:fldCharType="begin"/>
          </w:r>
          <w:r>
            <w:rPr>
              <w:highlight w:val="none"/>
            </w:rPr>
            <w:instrText xml:space="preserve"> PAGEREF _Toc8882 \h </w:instrText>
          </w:r>
          <w:r>
            <w:rPr>
              <w:highlight w:val="none"/>
            </w:rPr>
            <w:fldChar w:fldCharType="separate"/>
          </w:r>
          <w:r>
            <w:rPr>
              <w:highlight w:val="none"/>
            </w:rPr>
            <w:t xml:space="preserve">21</w:t>
          </w:r>
          <w:r>
            <w:rPr>
              <w:highlight w:val="none"/>
            </w:rPr>
            <w:fldChar w:fldCharType="end"/>
          </w:r>
          <w:r>
            <w:rPr>
              <w:rFonts w:ascii="Arial" w:hAnsi="Arial" w:cs="Arial"/>
              <w:color w:val="auto"/>
              <w:szCs w:val="24"/>
              <w:highlight w:val="none"/>
            </w:rPr>
            <w:fldChar w:fldCharType="end"/>
          </w:r>
          <w:r/>
        </w:p>
        <w:p>
          <w:pPr>
            <w:pStyle w:val="934"/>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_Toc8691 </w:instrText>
          </w:r>
          <w:r>
            <w:rPr>
              <w:rFonts w:ascii="Arial" w:hAnsi="Arial" w:cs="Arial"/>
              <w:szCs w:val="24"/>
              <w:highlight w:val="none"/>
            </w:rPr>
            <w:fldChar w:fldCharType="separate"/>
          </w:r>
          <w:r>
            <w:rPr>
              <w:rFonts w:hint="eastAsia"/>
              <w:highlight w:val="none"/>
            </w:rPr>
            <w:t xml:space="preserve">第五章</w:t>
          </w:r>
          <w:r>
            <w:rPr>
              <w:rFonts w:hint="eastAsia" w:ascii="宋体" w:hAnsi="宋体" w:cs="Arial"/>
              <w:highlight w:val="none"/>
            </w:rPr>
            <w:t xml:space="preserve">主要条款及格式</w:t>
          </w:r>
          <w:r>
            <w:rPr>
              <w:highlight w:val="none"/>
            </w:rPr>
            <w:tab/>
          </w:r>
          <w:r>
            <w:rPr>
              <w:highlight w:val="none"/>
            </w:rPr>
            <w:fldChar w:fldCharType="begin"/>
          </w:r>
          <w:r>
            <w:rPr>
              <w:highlight w:val="none"/>
            </w:rPr>
            <w:instrText xml:space="preserve"> PAGEREF _Toc8691 \h </w:instrText>
          </w:r>
          <w:r>
            <w:rPr>
              <w:highlight w:val="none"/>
            </w:rPr>
            <w:fldChar w:fldCharType="separate"/>
          </w:r>
          <w:r>
            <w:rPr>
              <w:highlight w:val="none"/>
            </w:rPr>
            <w:t xml:space="preserve">25</w:t>
          </w:r>
          <w:r>
            <w:rPr>
              <w:highlight w:val="none"/>
            </w:rPr>
            <w:fldChar w:fldCharType="end"/>
          </w:r>
          <w:r>
            <w:rPr>
              <w:rFonts w:ascii="Arial" w:hAnsi="Arial" w:cs="Arial"/>
              <w:color w:val="auto"/>
              <w:szCs w:val="24"/>
              <w:highlight w:val="none"/>
            </w:rPr>
            <w:fldChar w:fldCharType="end"/>
          </w:r>
          <w:r/>
        </w:p>
        <w:p>
          <w:pPr>
            <w:pStyle w:val="934"/>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_Toc16360 </w:instrText>
          </w:r>
          <w:r>
            <w:rPr>
              <w:rFonts w:ascii="Arial" w:hAnsi="Arial" w:cs="Arial"/>
              <w:szCs w:val="24"/>
              <w:highlight w:val="none"/>
            </w:rPr>
            <w:fldChar w:fldCharType="separate"/>
          </w:r>
          <w:r>
            <w:rPr>
              <w:rFonts w:hint="eastAsia" w:ascii="Arial" w:hAnsi="Arial" w:cs="Arial"/>
              <w:highlight w:val="none"/>
            </w:rPr>
            <w:t xml:space="preserve">第六章附件</w:t>
          </w:r>
          <w:r>
            <w:rPr>
              <w:highlight w:val="none"/>
            </w:rPr>
            <w:tab/>
          </w:r>
          <w:r>
            <w:rPr>
              <w:highlight w:val="none"/>
            </w:rPr>
            <w:fldChar w:fldCharType="begin"/>
          </w:r>
          <w:r>
            <w:rPr>
              <w:highlight w:val="none"/>
            </w:rPr>
            <w:instrText xml:space="preserve"> PAGEREF _Toc16360 \h </w:instrText>
          </w:r>
          <w:r>
            <w:rPr>
              <w:highlight w:val="none"/>
            </w:rPr>
            <w:fldChar w:fldCharType="separate"/>
          </w:r>
          <w:r>
            <w:rPr>
              <w:highlight w:val="none"/>
            </w:rPr>
            <w:t xml:space="preserve">32</w:t>
          </w:r>
          <w:r>
            <w:rPr>
              <w:highlight w:val="none"/>
            </w:rPr>
            <w:fldChar w:fldCharType="end"/>
          </w: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cs="Arial"/>
              <w:color w:val="auto"/>
              <w:szCs w:val="24"/>
              <w:highlight w:val="none"/>
            </w:rPr>
            <w:fldChar w:fldCharType="end"/>
          </w:r>
          <w:r/>
        </w:p>
      </w:sdtContent>
    </w:sdt>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eastAsia="宋体" w:cs="Arial"/>
          <w:color w:val="auto"/>
          <w:sz w:val="21"/>
          <w:szCs w:val="36"/>
          <w:highlight w:val="none"/>
          <w:lang w:val="en-US" w:eastAsia="zh-CN" w:bidi="ar-SA"/>
        </w:rPr>
      </w:r>
      <w:r/>
    </w:p>
    <w:p>
      <w:pPr>
        <w:jc w:val="left"/>
        <w:spacing w:line="576" w:lineRule="auto"/>
        <w:widowControl/>
        <w:rPr>
          <w:rFonts w:ascii="Arial" w:hAnsi="Arial" w:cs="Arial"/>
          <w:b/>
          <w:bCs/>
          <w:color w:val="auto"/>
          <w:sz w:val="32"/>
          <w:szCs w:val="21"/>
          <w:highlight w:val="none"/>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color w:val="auto"/>
          <w:sz w:val="32"/>
          <w:szCs w:val="21"/>
          <w:highlight w:val="none"/>
        </w:rPr>
      </w:r>
      <w:r/>
    </w:p>
    <w:p>
      <w:pPr>
        <w:pStyle w:val="901"/>
        <w:numPr>
          <w:ilvl w:val="0"/>
          <w:numId w:val="0"/>
        </w:numPr>
        <w:spacing w:line="578" w:lineRule="auto"/>
        <w:rPr>
          <w:rFonts w:ascii="Arial" w:hAnsi="Arial" w:cs="Arial"/>
          <w:color w:val="auto"/>
          <w:szCs w:val="21"/>
          <w:highlight w:val="none"/>
        </w:rPr>
      </w:pPr>
      <w:r/>
      <w:bookmarkStart w:id="0" w:name="_Toc17771"/>
      <w:r/>
      <w:bookmarkStart w:id="1" w:name="_Toc10919"/>
      <w:r/>
      <w:bookmarkStart w:id="2" w:name="_Toc481057143"/>
      <w:r>
        <w:rPr>
          <w:rFonts w:hint="eastAsia" w:ascii="Arial" w:cs="Arial"/>
          <w:color w:val="auto"/>
          <w:highlight w:val="none"/>
        </w:rPr>
        <w:t xml:space="preserve">第一章招标公告</w:t>
      </w:r>
      <w:bookmarkEnd w:id="0"/>
      <w:r/>
      <w:bookmarkEnd w:id="1"/>
      <w:r/>
      <w:bookmarkEnd w:id="2"/>
      <w:r/>
      <w:r/>
    </w:p>
    <w:p>
      <w:pPr>
        <w:ind w:firstLine="369"/>
        <w:spacing w:line="360" w:lineRule="auto"/>
        <w:shd w:val="clear" w:color="auto" w:fill="ffffff"/>
        <w:widowControl/>
        <w:rPr>
          <w:rFonts w:ascii="Arial" w:hAnsi="Arial" w:cs="Arial"/>
          <w:color w:val="auto"/>
          <w:spacing w:val="8"/>
          <w:szCs w:val="21"/>
          <w:highlight w:val="none"/>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auto"/>
          <w:spacing w:val="8"/>
          <w:szCs w:val="21"/>
          <w:highlight w:val="none"/>
          <w:lang w:eastAsia="zh-CN"/>
        </w:rPr>
        <w:t xml:space="preserve">南京体育学院2026-2027运动饮料、营养品采购项目</w:t>
      </w:r>
      <w:r>
        <w:rPr>
          <w:rFonts w:hint="eastAsia" w:ascii="Arial" w:hAnsi="Arial" w:cs="Arial"/>
          <w:color w:val="auto"/>
          <w:spacing w:val="8"/>
          <w:szCs w:val="21"/>
          <w:highlight w:val="none"/>
        </w:rPr>
        <w:t xml:space="preserve">的潜在投标人应在江苏政府采购网获取招标文件，并于</w:t>
      </w:r>
      <w:r>
        <w:rPr>
          <w:rFonts w:hint="eastAsia" w:ascii="Arial" w:hAnsi="Arial" w:cs="Arial"/>
          <w:color w:val="auto"/>
          <w:spacing w:val="8"/>
          <w:szCs w:val="21"/>
          <w:highlight w:val="none"/>
          <w:lang w:eastAsia="zh-CN"/>
        </w:rPr>
        <w:t xml:space="preserve">202</w:t>
      </w:r>
      <w:r>
        <w:rPr>
          <w:rFonts w:hint="eastAsia" w:ascii="Arial" w:hAnsi="Arial" w:cs="Arial"/>
          <w:color w:val="auto"/>
          <w:spacing w:val="8"/>
          <w:szCs w:val="21"/>
          <w:highlight w:val="none"/>
          <w:lang w:val="en-US" w:eastAsia="zh-CN"/>
        </w:rPr>
        <w:t xml:space="preserve">6</w:t>
      </w:r>
      <w:r>
        <w:rPr>
          <w:rFonts w:hint="eastAsia" w:ascii="Arial" w:hAnsi="Arial" w:cs="Arial"/>
          <w:color w:val="auto"/>
          <w:spacing w:val="8"/>
          <w:szCs w:val="21"/>
          <w:highlight w:val="none"/>
          <w:lang w:eastAsia="zh-CN"/>
        </w:rPr>
        <w:t xml:space="preserve">年</w:t>
      </w:r>
      <w:r>
        <w:rPr>
          <w:rFonts w:hint="eastAsia" w:ascii="Arial" w:hAnsi="Arial" w:cs="Arial"/>
          <w:color w:val="auto"/>
          <w:spacing w:val="8"/>
          <w:szCs w:val="21"/>
          <w:highlight w:val="none"/>
          <w:lang w:val="en-US" w:eastAsia="zh-CN"/>
        </w:rPr>
        <w:t xml:space="preserve">6月8日14</w:t>
      </w:r>
      <w:r>
        <w:rPr>
          <w:rFonts w:hint="eastAsia" w:ascii="Arial" w:hAnsi="Arial" w:cs="Arial"/>
          <w:color w:val="auto"/>
          <w:spacing w:val="8"/>
          <w:szCs w:val="21"/>
          <w:highlight w:val="none"/>
          <w:lang w:eastAsia="zh-CN"/>
        </w:rPr>
        <w:t xml:space="preserve">点</w:t>
      </w:r>
      <w:r>
        <w:rPr>
          <w:rFonts w:hint="eastAsia" w:ascii="Arial" w:hAnsi="Arial" w:cs="Arial"/>
          <w:color w:val="auto"/>
          <w:spacing w:val="8"/>
          <w:szCs w:val="21"/>
          <w:highlight w:val="none"/>
          <w:lang w:val="en-US" w:eastAsia="zh-CN"/>
        </w:rPr>
        <w:t xml:space="preserve">3</w:t>
      </w:r>
      <w:r>
        <w:rPr>
          <w:rFonts w:hint="eastAsia" w:ascii="Arial" w:hAnsi="Arial" w:cs="Arial"/>
          <w:color w:val="auto"/>
          <w:spacing w:val="8"/>
          <w:szCs w:val="21"/>
          <w:highlight w:val="none"/>
          <w:lang w:eastAsia="zh-CN"/>
        </w:rPr>
        <w:t xml:space="preserve">0分</w:t>
      </w:r>
      <w:r>
        <w:rPr>
          <w:rFonts w:hint="eastAsia" w:ascii="Arial" w:hAnsi="Arial" w:cs="Arial"/>
          <w:color w:val="auto"/>
          <w:spacing w:val="8"/>
          <w:szCs w:val="21"/>
          <w:highlight w:val="none"/>
        </w:rPr>
        <w:t xml:space="preserve">（北京时间）前递交投标文件。</w:t>
      </w:r>
      <w:r/>
    </w:p>
    <w:p>
      <w:pPr>
        <w:ind w:firstLine="369"/>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ind w:firstLine="512"/>
        <w:spacing w:line="360" w:lineRule="auto"/>
        <w:shd w:val="clear" w:color="auto" w:fill="ffffff"/>
        <w:widowControl/>
        <w:rPr>
          <w:rFonts w:ascii="Arial" w:hAnsi="Arial" w:cs="Arial"/>
          <w:b/>
          <w:color w:val="auto"/>
          <w:spacing w:val="8"/>
          <w:sz w:val="24"/>
          <w:highlight w:val="none"/>
        </w:rPr>
      </w:pPr>
      <w:r>
        <w:rPr>
          <w:rFonts w:ascii="Arial" w:hAnsi="Arial" w:cs="Arial"/>
          <w:color w:val="auto"/>
          <w:spacing w:val="8"/>
          <w:sz w:val="24"/>
          <w:highlight w:val="none"/>
        </w:rPr>
        <w:t xml:space="preserve"> </w:t>
      </w:r>
      <w:r>
        <w:rPr>
          <w:rFonts w:hint="eastAsia" w:ascii="Arial" w:hAnsi="Arial" w:cs="Arial"/>
          <w:b/>
          <w:color w:val="auto"/>
          <w:spacing w:val="8"/>
          <w:sz w:val="24"/>
          <w:highlight w:val="none"/>
        </w:rPr>
        <w:t xml:space="preserve">一、项目基本情况</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w:t>
      </w:r>
      <w:r>
        <w:rPr>
          <w:rFonts w:hint="eastAsia" w:ascii="Arial" w:hAnsi="Arial" w:cs="Arial"/>
          <w:color w:val="auto"/>
          <w:spacing w:val="8"/>
          <w:szCs w:val="21"/>
          <w:highlight w:val="none"/>
        </w:rPr>
        <w:t xml:space="preserve">项目编号：</w:t>
      </w:r>
      <w:r>
        <w:rPr>
          <w:rFonts w:hint="eastAsia" w:ascii="Arial" w:hAnsi="Arial" w:cs="Arial"/>
          <w:color w:val="auto"/>
          <w:spacing w:val="8"/>
          <w:szCs w:val="21"/>
          <w:highlight w:val="none"/>
          <w:lang w:eastAsia="zh-CN"/>
        </w:rPr>
        <w:t xml:space="preserve">JSZC-320000-JCEC-G2026-0140</w:t>
      </w:r>
      <w:r>
        <w:rPr>
          <w:rFonts w:hint="eastAsia" w:ascii="Arial" w:hAnsi="Arial" w:cs="Arial"/>
          <w:color w:val="auto"/>
          <w:spacing w:val="8"/>
          <w:szCs w:val="21"/>
          <w:highlight w:val="none"/>
          <w:lang w:val="en-US" w:eastAsia="zh-CN"/>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w:t>
      </w:r>
      <w:r>
        <w:rPr>
          <w:rFonts w:hint="eastAsia" w:ascii="Arial" w:hAnsi="Arial" w:cs="Arial"/>
          <w:color w:val="auto"/>
          <w:spacing w:val="8"/>
          <w:szCs w:val="21"/>
          <w:highlight w:val="none"/>
        </w:rPr>
        <w:t xml:space="preserve">项目名称：</w:t>
      </w:r>
      <w:r>
        <w:rPr>
          <w:rFonts w:hint="eastAsia" w:ascii="Arial" w:hAnsi="Arial" w:cs="Arial"/>
          <w:color w:val="auto"/>
          <w:spacing w:val="8"/>
          <w:szCs w:val="21"/>
          <w:highlight w:val="none"/>
          <w:lang w:eastAsia="zh-CN"/>
        </w:rPr>
        <w:t xml:space="preserve">南京体育学院2026-2027运动饮料、营养品采购项目</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1.3采购方式：公开招标</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4预算金额：</w:t>
      </w:r>
      <w:r>
        <w:rPr>
          <w:rFonts w:hint="eastAsia" w:ascii="Arial" w:hAnsi="Arial" w:cs="Arial"/>
          <w:color w:val="auto"/>
          <w:spacing w:val="8"/>
          <w:szCs w:val="21"/>
          <w:highlight w:val="none"/>
          <w:lang w:val="en-US" w:eastAsia="zh-CN"/>
        </w:rPr>
        <w:t xml:space="preserve">378万元</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5最高限价：</w:t>
      </w:r>
      <w:r>
        <w:rPr>
          <w:rFonts w:hint="eastAsia" w:ascii="Arial" w:hAnsi="Arial" w:cs="Arial"/>
          <w:color w:val="auto"/>
          <w:spacing w:val="8"/>
          <w:szCs w:val="21"/>
          <w:highlight w:val="none"/>
          <w:lang w:val="en-US" w:eastAsia="zh-CN"/>
        </w:rPr>
        <w:t xml:space="preserve">378万元</w:t>
      </w:r>
      <w:r>
        <w:rPr>
          <w:rFonts w:hint="eastAsia"/>
          <w:color w:val="auto"/>
          <w:highlight w:val="none"/>
        </w:rPr>
        <w:t xml:space="preserve">（两年合计）</w:t>
      </w:r>
      <w:r/>
    </w:p>
    <w:p>
      <w:pPr>
        <w:ind w:firstLine="452"/>
        <w:rPr>
          <w:rFonts w:hint="eastAsia" w:eastAsia="宋体"/>
          <w:color w:val="auto"/>
          <w:highlight w:val="none"/>
          <w:lang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hint="eastAsia" w:ascii="Arial" w:hAnsi="Arial" w:eastAsia="宋体" w:cs="Arial"/>
          <w:color w:val="auto"/>
          <w:spacing w:val="8"/>
          <w:szCs w:val="21"/>
          <w:highlight w:val="none"/>
        </w:rPr>
        <w:t xml:space="preserve">项目概况：南京体育学院为规范饮料和营养品采购，</w:t>
      </w:r>
      <w:r>
        <w:rPr>
          <w:rFonts w:hint="eastAsia" w:ascii="Arial" w:hAnsi="Arial" w:cs="Arial"/>
          <w:color w:val="auto"/>
          <w:spacing w:val="8"/>
          <w:szCs w:val="21"/>
          <w:highlight w:val="none"/>
          <w:lang w:val="en-US" w:eastAsia="zh-CN"/>
        </w:rPr>
        <w:t xml:space="preserve">鉴</w:t>
      </w:r>
      <w:r>
        <w:rPr>
          <w:rFonts w:hint="eastAsia" w:ascii="Arial" w:hAnsi="Arial" w:eastAsia="宋体" w:cs="Arial"/>
          <w:color w:val="auto"/>
          <w:spacing w:val="8"/>
          <w:szCs w:val="21"/>
          <w:highlight w:val="none"/>
        </w:rPr>
        <w:t xml:space="preserve">于运动员特殊群体，对原材料的要求较高，</w:t>
      </w:r>
      <w:r>
        <w:rPr>
          <w:rFonts w:hint="eastAsia" w:ascii="Arial" w:hAnsi="Arial" w:cs="Arial"/>
          <w:color w:val="auto"/>
          <w:spacing w:val="8"/>
          <w:szCs w:val="21"/>
          <w:highlight w:val="none"/>
          <w:lang w:val="en-US" w:eastAsia="zh-CN"/>
        </w:rPr>
        <w:t xml:space="preserve">须</w:t>
      </w:r>
      <w:r>
        <w:rPr>
          <w:rFonts w:hint="eastAsia" w:ascii="Arial" w:hAnsi="Arial" w:eastAsia="宋体" w:cs="Arial"/>
          <w:color w:val="auto"/>
          <w:spacing w:val="8"/>
          <w:szCs w:val="21"/>
          <w:highlight w:val="none"/>
        </w:rPr>
        <w:t xml:space="preserve">确保食品原材料采购公平、公正、公开及采购价格合理，质量符合食品卫生安全要求及反兴奋剂检测要求，</w:t>
      </w:r>
      <w:r>
        <w:rPr>
          <w:rFonts w:hint="eastAsia" w:ascii="Arial" w:hAnsi="Arial" w:cs="Arial"/>
          <w:color w:val="auto"/>
          <w:spacing w:val="8"/>
          <w:szCs w:val="21"/>
          <w:highlight w:val="none"/>
          <w:lang w:val="en-US" w:eastAsia="zh-CN"/>
        </w:rPr>
        <w:t xml:space="preserve">具体采购需求</w:t>
      </w:r>
      <w:r>
        <w:rPr>
          <w:rFonts w:hint="eastAsia" w:ascii="Arial" w:hAnsi="Arial" w:eastAsia="宋体" w:cs="Arial"/>
          <w:color w:val="auto"/>
          <w:spacing w:val="8"/>
          <w:szCs w:val="21"/>
          <w:highlight w:val="none"/>
        </w:rPr>
        <w:t xml:space="preserve">详见招标文件要求</w:t>
      </w:r>
      <w:r>
        <w:rPr>
          <w:rFonts w:hint="eastAsia" w:ascii="Arial" w:hAnsi="Arial" w:eastAsia="宋体" w:cs="Arial"/>
          <w:color w:val="auto"/>
          <w:spacing w:val="8"/>
          <w:szCs w:val="21"/>
          <w:highlight w:val="none"/>
          <w:lang w:eastAsia="zh-CN"/>
        </w:rPr>
        <w:t xml:space="preserve">。</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1.7合同履行期限：</w:t>
      </w:r>
      <w:r>
        <w:rPr>
          <w:rFonts w:hint="eastAsia"/>
          <w:color w:val="auto"/>
          <w:highlight w:val="none"/>
        </w:rPr>
        <w:t xml:space="preserve">2年</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1.8行业划分：</w:t>
      </w:r>
      <w:r>
        <w:rPr>
          <w:rFonts w:hint="eastAsia" w:ascii="宋体" w:hAnsi="宋体" w:cs="Arial"/>
          <w:color w:val="auto"/>
          <w:spacing w:val="8"/>
          <w:highlight w:val="none"/>
          <w:lang w:val="en-US" w:eastAsia="zh-CN"/>
        </w:rPr>
        <w:t xml:space="preserve">批发业</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w:t>
      </w:r>
      <w:r>
        <w:rPr>
          <w:rFonts w:hint="eastAsia" w:ascii="宋体" w:hAnsi="宋体" w:cs="Arial"/>
          <w:color w:val="auto"/>
          <w:spacing w:val="8"/>
          <w:highlight w:val="none"/>
        </w:rPr>
        <w:t xml:space="preserve">本项目为</w:t>
      </w:r>
      <w:r>
        <w:rPr>
          <w:rFonts w:hint="eastAsia" w:ascii="宋体" w:hAnsi="宋体" w:cs="Arial"/>
          <w:color w:val="auto"/>
          <w:spacing w:val="8"/>
          <w:highlight w:val="none"/>
          <w:lang w:val="en-US" w:eastAsia="zh-CN"/>
        </w:rPr>
        <w:t xml:space="preserve">非</w:t>
      </w:r>
      <w:r>
        <w:rPr>
          <w:rFonts w:hint="eastAsia" w:ascii="宋体" w:hAnsi="宋体" w:cs="Arial"/>
          <w:color w:val="auto"/>
          <w:spacing w:val="8"/>
          <w:highlight w:val="none"/>
        </w:rPr>
        <w:t xml:space="preserve">专门面向中小企业（或监狱企业或残疾人福利性单位）采购</w:t>
      </w:r>
      <w:r/>
    </w:p>
    <w:p>
      <w:pPr>
        <w:ind w:firstLine="452"/>
        <w:spacing w:line="360" w:lineRule="auto"/>
        <w:shd w:val="clear" w:color="auto" w:fill="ffffff"/>
        <w:widowControl/>
        <w:rPr>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10</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接受联合体投标</w:t>
      </w:r>
      <w:r/>
    </w:p>
    <w:p>
      <w:pPr>
        <w:ind w:firstLine="452"/>
        <w:spacing w:line="360" w:lineRule="auto"/>
        <w:shd w:val="clear" w:color="auto" w:fill="ffffff"/>
        <w:widowControl/>
        <w:rPr>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10</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w:t>
      </w:r>
      <w:r>
        <w:rPr>
          <w:rFonts w:hint="eastAsia" w:ascii="Arial" w:hAnsi="Arial" w:cs="Arial"/>
          <w:color w:val="auto"/>
          <w:spacing w:val="8"/>
          <w:szCs w:val="21"/>
          <w:highlight w:val="none"/>
          <w:lang w:val="en-US" w:eastAsia="zh-CN"/>
        </w:rPr>
        <w:t xml:space="preserve">进口产品</w:t>
      </w:r>
      <w:r>
        <w:rPr>
          <w:rFonts w:ascii="Arial" w:hAnsi="Arial" w:cs="Arial"/>
          <w:color w:val="auto"/>
          <w:spacing w:val="8"/>
          <w:szCs w:val="21"/>
          <w:highlight w:val="none"/>
        </w:rPr>
        <w:t xml:space="preserve">投标</w:t>
      </w:r>
      <w:r/>
    </w:p>
    <w:p>
      <w:pPr>
        <w:ind w:firstLine="514"/>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二、申请人的资格要求：</w:t>
      </w:r>
      <w:r/>
    </w:p>
    <w:p>
      <w:pPr>
        <w:ind w:firstLine="370"/>
        <w:keepLines w:val="0"/>
        <w:keepNext w:val="0"/>
        <w:pageBreakBefore w:val="0"/>
        <w:spacing w:line="460" w:lineRule="exact"/>
        <w:shd w:val="clear" w:color="auto" w:fill="ffffff"/>
        <w:widowControl/>
        <w:rPr>
          <w:rFonts w:ascii="Arial" w:hAnsi="Arial" w:cs="Arial"/>
          <w:b/>
          <w:color w:val="auto"/>
          <w:spacing w:val="8"/>
          <w:szCs w:val="21"/>
          <w:highlight w:val="none"/>
        </w:rPr>
      </w:pPr>
      <w:r>
        <w:rPr>
          <w:rFonts w:ascii="Arial" w:hAnsi="Arial" w:cs="Arial"/>
          <w:b/>
          <w:color w:val="auto"/>
          <w:spacing w:val="8"/>
          <w:szCs w:val="21"/>
          <w:highlight w:val="none"/>
        </w:rPr>
        <w:t xml:space="preserve">2.1满足《中华人民共和国政府采购法》第二十二条规定；</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（1）具有独立承担民事责任的能力（提供法人或者其他组织的营业执照；供应商为自然人的，提供其身份证）；</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（2）具有良好的商业信誉和健全的财务会计制度（提供2025年度财务报告，或投标截止时间前六个月内银行出具的资信证明）；</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（4）有依法缴纳税收和社会保障资金的良好记录（提供参加本次政府采购活动前半年内至少一个月：</w:t>
      </w:r>
      <w:r>
        <w:rPr>
          <w:rFonts w:hint="default" w:ascii="Calibri" w:hAnsi="Calibri" w:cs="Calibri"/>
          <w:bCs/>
          <w:color w:val="auto"/>
          <w:szCs w:val="21"/>
          <w:highlight w:val="none"/>
        </w:rPr>
        <w:t xml:space="preserve">①</w:t>
      </w:r>
      <w:r>
        <w:rPr>
          <w:rFonts w:hint="eastAsia" w:ascii="Arial" w:hAnsi="Arial" w:cs="Arial"/>
          <w:bCs/>
          <w:color w:val="auto"/>
          <w:szCs w:val="21"/>
          <w:highlight w:val="none"/>
        </w:rPr>
        <w:t xml:space="preserve">提供缴纳税收的凭证；</w:t>
      </w:r>
      <w:r>
        <w:rPr>
          <w:rFonts w:hint="default" w:ascii="Calibri" w:hAnsi="Calibri" w:cs="Calibri"/>
          <w:bCs/>
          <w:color w:val="auto"/>
          <w:szCs w:val="21"/>
          <w:highlight w:val="none"/>
        </w:rPr>
        <w:t xml:space="preserve">②</w:t>
      </w:r>
      <w:r>
        <w:rPr>
          <w:rFonts w:hint="eastAsia" w:ascii="Arial" w:hAnsi="Arial" w:cs="Arial"/>
          <w:bCs/>
          <w:color w:val="auto"/>
          <w:szCs w:val="21"/>
          <w:highlight w:val="none"/>
        </w:rPr>
        <w:t xml:space="preserve">提供缴纳社会保险的凭据，依法享受免缴、缓缴的，提供证明材料）；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（5）参加政府采购活动前三年内，在经营活动中没有重大违法记录（提供承诺书）；</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hint="eastAsia" w:ascii="Arial" w:hAnsi="Arial" w:cs="Arial"/>
          <w:bCs/>
          <w:color w:val="auto"/>
          <w:szCs w:val="21"/>
          <w:highlight w:val="none"/>
        </w:rPr>
        <w:t xml:space="preserve">（6）法律、行政法规规定的其他条件：无</w:t>
      </w:r>
      <w:r>
        <w:rPr>
          <w:rFonts w:ascii="SimSun" w:hAnsi="SimSun" w:eastAsia="SimSun" w:cs="SimSun"/>
          <w:b/>
          <w:color w:val="000000"/>
          <w:spacing w:val="8"/>
          <w:sz w:val="21"/>
        </w:rPr>
        <w:t xml:space="preserve">（本项目不专门面向中小企业采购，故本项不适用）。</w:t>
      </w:r>
      <w:r/>
      <w:r>
        <w:rPr>
          <w:rFonts w:hint="eastAsia" w:ascii="Arial" w:hAnsi="Arial" w:cs="Arial"/>
          <w:bCs/>
          <w:color w:val="auto"/>
          <w:szCs w:val="21"/>
          <w:highlight w:val="none"/>
        </w:rPr>
      </w:r>
      <w:r/>
      <w:r/>
      <w:r>
        <w:rPr>
          <w:sz w:val="21"/>
        </w:rPr>
      </w:r>
    </w:p>
    <w:p>
      <w:pPr>
        <w:ind w:firstLine="370"/>
        <w:keepLines w:val="0"/>
        <w:keepNext w:val="0"/>
        <w:pageBreakBefore w:val="0"/>
        <w:spacing w:line="460" w:lineRule="exact"/>
        <w:shd w:val="clear" w:color="auto" w:fill="ffffff"/>
        <w:widowControl/>
        <w:rPr>
          <w:rFonts w:hint="eastAsia" w:ascii="Arial" w:hAnsi="Arial" w:eastAsia="宋体" w:cs="Arial"/>
          <w:color w:val="auto"/>
          <w:spacing w:val="8"/>
          <w:szCs w:val="21"/>
          <w:highlight w:val="none"/>
          <w:u w:val="single"/>
          <w:lang w:val="en-US" w:eastAsia="zh-CN"/>
        </w:rPr>
      </w:pPr>
      <w:r>
        <w:rPr>
          <w:rFonts w:ascii="Arial" w:hAnsi="Arial" w:cs="Arial"/>
          <w:b/>
          <w:color w:val="auto"/>
          <w:spacing w:val="8"/>
          <w:szCs w:val="21"/>
          <w:highlight w:val="none"/>
        </w:rPr>
        <w:t xml:space="preserve">2.2落实政府采购政策需满足的资格要求：</w:t>
      </w:r>
      <w:r>
        <w:rPr>
          <w:rFonts w:hint="eastAsia" w:ascii="Arial" w:hAnsi="Arial" w:cs="Arial"/>
          <w:b/>
          <w:color w:val="auto"/>
          <w:spacing w:val="8"/>
          <w:szCs w:val="21"/>
          <w:highlight w:val="none"/>
          <w:lang w:val="en-US" w:eastAsia="zh-CN"/>
        </w:rPr>
        <w:t xml:space="preserve">无（本项目不专门面向中小企业采购，故本项不适用）。</w:t>
      </w:r>
      <w:r/>
    </w:p>
    <w:p>
      <w:pPr>
        <w:ind w:firstLine="370"/>
        <w:keepLines w:val="0"/>
        <w:keepNext w:val="0"/>
        <w:pageBreakBefore w:val="0"/>
        <w:spacing w:line="460" w:lineRule="exact"/>
        <w:shd w:val="clear" w:color="auto" w:fill="ffffff"/>
        <w:widowControl/>
        <w:rPr>
          <w:rFonts w:hint="eastAsia" w:ascii="Arial" w:hAnsi="Arial" w:cs="Arial"/>
          <w:b/>
          <w:color w:val="auto"/>
          <w:szCs w:val="21"/>
          <w:highlight w:val="none"/>
        </w:rPr>
      </w:pPr>
      <w:r>
        <w:rPr>
          <w:rFonts w:hint="eastAsia" w:ascii="Arial" w:hAnsi="Arial" w:cs="Arial"/>
          <w:b/>
          <w:color w:val="auto"/>
          <w:spacing w:val="8"/>
          <w:szCs w:val="21"/>
          <w:highlight w:val="none"/>
          <w:lang w:val="en-US" w:eastAsia="zh-CN"/>
        </w:rPr>
        <w:t xml:space="preserve">2.3</w:t>
      </w:r>
      <w:r>
        <w:rPr>
          <w:rFonts w:hint="eastAsia" w:ascii="Arial" w:hAnsi="Arial" w:cs="Arial"/>
          <w:b/>
          <w:color w:val="auto"/>
          <w:szCs w:val="21"/>
          <w:highlight w:val="none"/>
        </w:rPr>
        <w:t xml:space="preserve">采购人根据采购项目的特殊要求规定的特定条件，并提供符合特殊要求的证明材料或者情况说明：</w:t>
      </w:r>
      <w:r/>
    </w:p>
    <w:p>
      <w:pPr>
        <w:ind w:firstLine="422"/>
        <w:spacing w:line="360" w:lineRule="auto"/>
        <w:shd w:val="clear" w:color="auto" w:fill="ffffff"/>
        <w:widowControl/>
        <w:rPr>
          <w:rFonts w:ascii="Arial" w:hAnsi="Arial" w:cs="Arial"/>
          <w:b/>
          <w:color w:val="auto"/>
          <w:szCs w:val="21"/>
          <w:highlight w:val="none"/>
        </w:rPr>
      </w:pPr>
      <w:r>
        <w:rPr>
          <w:rFonts w:hint="eastAsia" w:ascii="Arial" w:hAnsi="Arial" w:cs="Arial"/>
          <w:b/>
          <w:color w:val="auto"/>
          <w:szCs w:val="21"/>
          <w:highlight w:val="none"/>
        </w:rPr>
        <w:t xml:space="preserve">供应商须具有食品生产许可证或食品经营许可证（若为仅销售预包装食品的食品经营者应依法进行食品经营备案）。（提供有效的证书复印件加盖公章）。</w:t>
      </w:r>
      <w:r/>
    </w:p>
    <w:p>
      <w:pPr>
        <w:ind w:firstLine="456"/>
        <w:keepLines w:val="0"/>
        <w:keepNext w:val="0"/>
        <w:pageBreakBefore w:val="0"/>
        <w:spacing w:line="460" w:lineRule="exact"/>
        <w:rPr>
          <w:rFonts w:ascii="Arial" w:hAnsi="Arial" w:cs="Arial"/>
          <w:bCs/>
          <w:color w:val="auto"/>
          <w:szCs w:val="21"/>
          <w:highlight w:val="none"/>
        </w:rPr>
      </w:pPr>
      <w:r>
        <w:rPr>
          <w:rFonts w:ascii="Arial" w:hAnsi="Arial" w:cs="Arial"/>
          <w:color w:val="auto"/>
          <w:spacing w:val="8"/>
          <w:szCs w:val="21"/>
          <w:highlight w:val="none"/>
        </w:rPr>
        <w:t xml:space="preserve">2.4</w:t>
      </w:r>
      <w:r>
        <w:rPr>
          <w:rFonts w:ascii="Arial" w:hAnsi="Arial" w:cs="Arial"/>
          <w:bCs/>
          <w:color w:val="auto"/>
          <w:szCs w:val="21"/>
          <w:highlight w:val="none"/>
        </w:rPr>
        <w:t xml:space="preserve">第2.1（5）条所称重大违法记录，是指供应商因违法经营受到刑事处罚或者责令停产停业、吊销许可证或者执照、较大数额罚款等行政处罚。</w:t>
      </w:r>
      <w:r/>
    </w:p>
    <w:p>
      <w:pPr>
        <w:ind w:firstLine="424"/>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2.5 供应商在参加政府采购活动前3年内因违法经营被禁止在一定期限内参加政府采购活动，期限届满的，可以参加政府采购活动。</w:t>
      </w:r>
      <w:r/>
    </w:p>
    <w:p>
      <w:pPr>
        <w:ind w:firstLine="456"/>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2.6单位负责人为同一人或者存在直接控股、管理关系的不同供应商，不得参加同一合同项下的政府采购活动。</w:t>
      </w:r>
      <w:r/>
    </w:p>
    <w:p>
      <w:pPr>
        <w:ind w:firstLine="456"/>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为采购项目提供整体设计、规范编制或者项目管理、监理、检测等服务的供应商，不得再参加该采购项目的其他采购活动。</w:t>
      </w:r>
      <w:r/>
    </w:p>
    <w:p>
      <w:pPr>
        <w:ind w:firstLine="456"/>
        <w:keepLines w:val="0"/>
        <w:keepNext w:val="0"/>
        <w:pageBreakBefore w:val="0"/>
        <w:spacing w:line="460" w:lineRule="exact"/>
        <w:rPr>
          <w:rFonts w:ascii="Arial" w:hAnsi="Arial" w:cs="Arial"/>
          <w:bCs/>
          <w:color w:val="auto"/>
          <w:szCs w:val="21"/>
          <w:highlight w:val="none"/>
        </w:rPr>
      </w:pPr>
      <w:r>
        <w:rPr>
          <w:rFonts w:ascii="Arial" w:hAnsi="Arial" w:cs="Arial"/>
          <w:bCs/>
          <w:color w:val="auto"/>
          <w:szCs w:val="21"/>
          <w:highlight w:val="none"/>
        </w:rPr>
        <w:t xml:space="preserve">2.7拒绝列入失信被执行人、重大税收违法失信主体、政府采购严重违法失信行为记录名单</w:t>
      </w:r>
      <w:r>
        <w:rPr>
          <w:rFonts w:hint="default" w:ascii="Arial" w:hAnsi="Arial" w:cs="Arial"/>
          <w:bCs/>
          <w:color w:val="auto"/>
          <w:szCs w:val="21"/>
          <w:highlight w:val="none"/>
        </w:rPr>
        <w:t xml:space="preserve">及其他不符合《中华人民共和国政府采购法》第二十二条规定条件的供应商</w:t>
      </w:r>
      <w:r>
        <w:rPr>
          <w:rFonts w:ascii="Arial" w:hAnsi="Arial" w:cs="Arial"/>
          <w:bCs/>
          <w:color w:val="auto"/>
          <w:szCs w:val="21"/>
          <w:highlight w:val="none"/>
        </w:rPr>
        <w:t xml:space="preserve">参与政府采购活动。采购人或者采购代理机构</w:t>
      </w:r>
      <w:r>
        <w:rPr>
          <w:rFonts w:hint="eastAsia" w:ascii="Arial" w:hAnsi="Arial" w:cs="Arial"/>
          <w:bCs/>
          <w:color w:val="auto"/>
          <w:szCs w:val="21"/>
          <w:highlight w:val="none"/>
          <w:lang w:val="en-US" w:eastAsia="zh-CN"/>
        </w:rPr>
        <w:t xml:space="preserve">在进行资格审查的同时</w:t>
      </w:r>
      <w:r>
        <w:rPr>
          <w:rFonts w:ascii="Arial" w:hAnsi="Arial" w:cs="Arial"/>
          <w:bCs/>
          <w:color w:val="auto"/>
          <w:szCs w:val="21"/>
          <w:highlight w:val="none"/>
        </w:rPr>
        <w:t xml:space="preserve">，</w:t>
      </w:r>
      <w:r>
        <w:rPr>
          <w:rFonts w:hint="eastAsia" w:ascii="Arial" w:hAnsi="Arial" w:cs="Arial"/>
          <w:bCs/>
          <w:color w:val="auto"/>
          <w:szCs w:val="21"/>
          <w:highlight w:val="none"/>
          <w:lang w:val="en-US" w:eastAsia="zh-CN"/>
        </w:rPr>
        <w:t xml:space="preserve">依法</w:t>
      </w:r>
      <w:r>
        <w:rPr>
          <w:rFonts w:ascii="Arial" w:hAnsi="Arial" w:cs="Arial"/>
          <w:bCs/>
          <w:color w:val="auto"/>
          <w:szCs w:val="21"/>
          <w:highlight w:val="none"/>
        </w:rPr>
        <w:t xml:space="preserve">通过</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中国政府采购网</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信用中国</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网站等渠道查询投标人信用记录并保存。</w:t>
      </w:r>
      <w:r/>
    </w:p>
    <w:p>
      <w:pPr>
        <w:ind w:firstLine="456"/>
        <w:keepLines w:val="0"/>
        <w:keepNext w:val="0"/>
        <w:pageBreakBefore w:val="0"/>
        <w:spacing w:line="240" w:lineRule="auto"/>
        <w:rPr>
          <w:rFonts w:ascii="Arial" w:hAnsi="Arial" w:cs="Arial"/>
          <w:bCs/>
          <w:color w:val="auto"/>
          <w:szCs w:val="21"/>
          <w:highlight w:val="none"/>
        </w:rPr>
      </w:pPr>
      <w:r>
        <w:rPr>
          <w:rFonts w:ascii="Arial" w:hAnsi="Arial" w:cs="Arial"/>
          <w:bCs/>
          <w:color w:val="auto"/>
          <w:szCs w:val="21"/>
          <w:highlight w:val="none"/>
        </w:rPr>
      </w:r>
      <w:r/>
    </w:p>
    <w:p>
      <w:pPr>
        <w:ind w:firstLine="514"/>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三、获取招标文件</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3.1</w:t>
      </w:r>
      <w:r>
        <w:rPr>
          <w:rFonts w:hint="eastAsia" w:ascii="宋体" w:hAnsi="宋体" w:cs="宋体"/>
          <w:bCs/>
          <w:color w:val="auto"/>
          <w:szCs w:val="21"/>
          <w:highlight w:val="none"/>
        </w:rPr>
        <w:t xml:space="preserve">时间：自招标文件公告发布之日起5个工作日。</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3.2</w:t>
      </w:r>
      <w:r>
        <w:rPr>
          <w:rFonts w:hint="eastAsia" w:ascii="宋体" w:hAnsi="宋体" w:cs="宋体"/>
          <w:bCs/>
          <w:color w:val="auto"/>
          <w:szCs w:val="21"/>
          <w:highlight w:val="none"/>
        </w:rPr>
        <w:t xml:space="preserve">地点：江苏政府采购网（http://www.ccgp-jiangsu.gov.cn/）。</w:t>
      </w:r>
      <w:r/>
    </w:p>
    <w:p>
      <w:pPr>
        <w:ind w:firstLine="452"/>
        <w:spacing w:line="360" w:lineRule="auto"/>
        <w:shd w:val="clear" w:color="auto" w:fill="ffffff"/>
        <w:widowControl/>
        <w:rPr>
          <w:rFonts w:hint="default" w:ascii="宋体" w:hAnsi="宋体" w:cs="宋体"/>
          <w:bCs/>
          <w:color w:val="auto"/>
          <w:szCs w:val="21"/>
          <w:highlight w:val="none"/>
          <w:lang w:val="en-US" w:eastAsia="zh-CN"/>
        </w:rPr>
      </w:pPr>
      <w:r>
        <w:rPr>
          <w:rFonts w:hint="eastAsia" w:ascii="Arial" w:hAnsi="Arial" w:cs="Arial"/>
          <w:color w:val="auto"/>
          <w:spacing w:val="8"/>
          <w:szCs w:val="21"/>
          <w:highlight w:val="none"/>
          <w:lang w:val="en-US" w:eastAsia="zh-CN"/>
        </w:rPr>
        <w:t xml:space="preserve">3.3</w:t>
      </w:r>
      <w:r>
        <w:rPr>
          <w:rFonts w:hint="eastAsia" w:ascii="宋体" w:hAnsi="宋体" w:cs="宋体"/>
          <w:bCs/>
          <w:color w:val="auto"/>
          <w:szCs w:val="21"/>
          <w:highlight w:val="none"/>
          <w:lang w:val="en-US" w:eastAsia="zh-CN"/>
        </w:rPr>
        <w:t xml:space="preserve">方式：网上下载</w:t>
      </w:r>
      <w:r/>
    </w:p>
    <w:p>
      <w:pPr>
        <w:ind w:firstLine="514"/>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四、提交投标文件截止时间、开标时间和地点</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4.1提交投标文件截止及开标时间：</w:t>
      </w:r>
      <w:r>
        <w:rPr>
          <w:rFonts w:hint="eastAsia" w:ascii="Arial" w:hAnsi="Arial" w:cs="Arial"/>
          <w:bCs/>
          <w:color w:val="auto"/>
          <w:szCs w:val="21"/>
          <w:highlight w:val="none"/>
          <w:lang w:eastAsia="zh-CN"/>
        </w:rPr>
        <w:t xml:space="preserve">202</w:t>
      </w:r>
      <w:r>
        <w:rPr>
          <w:rFonts w:hint="eastAsia" w:ascii="Arial" w:hAnsi="Arial" w:cs="Arial"/>
          <w:bCs/>
          <w:color w:val="auto"/>
          <w:szCs w:val="21"/>
          <w:highlight w:val="none"/>
          <w:lang w:val="en-US" w:eastAsia="zh-CN"/>
        </w:rPr>
        <w:t xml:space="preserve">6</w:t>
      </w:r>
      <w:r>
        <w:rPr>
          <w:rFonts w:hint="eastAsia" w:ascii="Arial" w:hAnsi="Arial" w:cs="Arial"/>
          <w:bCs/>
          <w:color w:val="auto"/>
          <w:szCs w:val="21"/>
          <w:highlight w:val="none"/>
          <w:lang w:eastAsia="zh-CN"/>
        </w:rPr>
        <w:t xml:space="preserve">年6</w:t>
      </w:r>
      <w:r>
        <w:rPr>
          <w:rFonts w:hint="eastAsia" w:ascii="Arial" w:hAnsi="Arial" w:cs="Arial"/>
          <w:bCs/>
          <w:color w:val="auto"/>
          <w:szCs w:val="21"/>
          <w:highlight w:val="none"/>
          <w:lang w:val="en-US" w:eastAsia="zh-CN"/>
        </w:rPr>
        <w:t xml:space="preserve">月8日14</w:t>
      </w:r>
      <w:r>
        <w:rPr>
          <w:rFonts w:hint="eastAsia" w:ascii="Arial" w:hAnsi="Arial" w:cs="Arial"/>
          <w:bCs/>
          <w:color w:val="auto"/>
          <w:szCs w:val="21"/>
          <w:highlight w:val="none"/>
          <w:lang w:eastAsia="zh-CN"/>
        </w:rPr>
        <w:t xml:space="preserve">点</w:t>
      </w:r>
      <w:r>
        <w:rPr>
          <w:rFonts w:hint="eastAsia" w:ascii="Arial" w:hAnsi="Arial" w:cs="Arial"/>
          <w:bCs/>
          <w:color w:val="auto"/>
          <w:szCs w:val="21"/>
          <w:highlight w:val="none"/>
          <w:lang w:val="en-US" w:eastAsia="zh-CN"/>
        </w:rPr>
        <w:t xml:space="preserve">3</w:t>
      </w:r>
      <w:r>
        <w:rPr>
          <w:rFonts w:hint="eastAsia" w:ascii="Arial" w:hAnsi="Arial" w:cs="Arial"/>
          <w:bCs/>
          <w:color w:val="auto"/>
          <w:szCs w:val="21"/>
          <w:highlight w:val="none"/>
          <w:lang w:eastAsia="zh-CN"/>
        </w:rPr>
        <w:t xml:space="preserve">0分</w:t>
      </w:r>
      <w:r>
        <w:rPr>
          <w:rFonts w:ascii="Arial" w:hAnsi="Arial" w:cs="Arial"/>
          <w:color w:val="auto"/>
          <w:spacing w:val="8"/>
          <w:szCs w:val="21"/>
          <w:highlight w:val="none"/>
        </w:rPr>
        <w:t xml:space="preserve">（北京时间）</w:t>
      </w:r>
      <w:r/>
    </w:p>
    <w:p>
      <w:pPr>
        <w:ind w:firstLine="452"/>
        <w:spacing w:line="360" w:lineRule="auto"/>
        <w:rPr>
          <w:rFonts w:ascii="Arial" w:hAnsi="Arial" w:cs="Arial"/>
          <w:color w:val="auto"/>
          <w:spacing w:val="8"/>
          <w:szCs w:val="21"/>
          <w:highlight w:val="none"/>
        </w:rPr>
      </w:pPr>
      <w:r>
        <w:rPr>
          <w:rFonts w:ascii="Arial" w:hAnsi="Arial" w:cs="Arial"/>
          <w:color w:val="auto"/>
          <w:spacing w:val="8"/>
          <w:szCs w:val="21"/>
          <w:highlight w:val="none"/>
        </w:rPr>
        <w:t xml:space="preserve">4.2提交投标文件地点：</w:t>
      </w:r>
      <w:r>
        <w:rPr>
          <w:rFonts w:ascii="Arial" w:hAnsi="Arial" w:cs="Arial"/>
          <w:color w:val="auto"/>
          <w:szCs w:val="21"/>
          <w:highlight w:val="none"/>
        </w:rPr>
        <w:t xml:space="preserve">江苏省政府采购管理交易系统</w:t>
      </w:r>
      <w:r>
        <w:rPr>
          <w:rFonts w:ascii="Arial" w:hAnsi="Arial" w:cs="Arial"/>
          <w:color w:val="auto"/>
          <w:spacing w:val="8"/>
          <w:szCs w:val="21"/>
          <w:highlight w:val="none"/>
        </w:rPr>
        <w:t xml:space="preserve">（苏采云）（网址：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55"/>
          <w:rFonts w:ascii="Arial" w:hAnsi="Arial" w:cs="Arial"/>
          <w:color w:val="auto"/>
          <w:spacing w:val="8"/>
          <w:szCs w:val="21"/>
          <w:highlight w:val="none"/>
        </w:rPr>
        <w:t xml:space="preserve">http://jszfcg.jsczt.cn/）</w:t>
      </w:r>
      <w:r>
        <w:rPr>
          <w:rStyle w:val="955"/>
          <w:rFonts w:ascii="Arial" w:hAnsi="Arial" w:cs="Arial"/>
          <w:color w:val="auto"/>
          <w:spacing w:val="8"/>
          <w:szCs w:val="21"/>
          <w:highlight w:val="none"/>
        </w:rPr>
        <w:fldChar w:fldCharType="end"/>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4.3开标地点：“苏采云”开标大厅</w:t>
      </w:r>
      <w:r/>
    </w:p>
    <w:p>
      <w:pPr>
        <w:ind w:firstLine="514"/>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五、公告期限</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自本公告发布之日起</w:t>
      </w:r>
      <w:r>
        <w:rPr>
          <w:rFonts w:ascii="Arial" w:hAnsi="Arial" w:cs="Arial"/>
          <w:color w:val="auto"/>
          <w:spacing w:val="8"/>
          <w:szCs w:val="21"/>
          <w:highlight w:val="none"/>
        </w:rPr>
        <w:t xml:space="preserve">5</w:t>
      </w:r>
      <w:r>
        <w:rPr>
          <w:rFonts w:hint="eastAsia" w:ascii="Arial" w:hAnsi="Arial" w:cs="Arial"/>
          <w:color w:val="auto"/>
          <w:spacing w:val="8"/>
          <w:szCs w:val="21"/>
          <w:highlight w:val="none"/>
        </w:rPr>
        <w:t xml:space="preserve">个工作日。</w:t>
      </w:r>
      <w:r/>
    </w:p>
    <w:p>
      <w:pPr>
        <w:ind w:firstLine="514"/>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六、其他补充事宜</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6.1本项目在江苏政府采购网、中国政府采购网网站发布公告。</w:t>
      </w:r>
      <w:r/>
    </w:p>
    <w:p>
      <w:pPr>
        <w:ind w:firstLine="420"/>
        <w:spacing w:line="360" w:lineRule="auto"/>
        <w:rPr>
          <w:rFonts w:ascii="Arial" w:hAnsi="Arial" w:cs="Arial"/>
          <w:bCs/>
          <w:color w:val="auto"/>
          <w:szCs w:val="21"/>
          <w:highlight w:val="none"/>
        </w:rPr>
      </w:pPr>
      <w:r>
        <w:rPr>
          <w:rFonts w:ascii="Arial" w:hAnsi="Arial" w:cs="Arial"/>
          <w:bCs/>
          <w:color w:val="auto"/>
          <w:szCs w:val="21"/>
          <w:highlight w:val="none"/>
          <w:lang w:val="zh-CN"/>
        </w:rPr>
        <w:t xml:space="preserve">6.</w:t>
      </w:r>
      <w:r>
        <w:rPr>
          <w:rFonts w:ascii="Arial" w:hAnsi="Arial" w:cs="Arial"/>
          <w:bCs/>
          <w:color w:val="auto"/>
          <w:szCs w:val="21"/>
          <w:highlight w:val="none"/>
        </w:rPr>
        <w:t xml:space="preserve">2投标人通过“苏采云”（网址：</w:t>
      </w:r>
      <w:r>
        <w:rPr>
          <w:rFonts w:ascii="Arial" w:hAnsi="Arial" w:cs="Arial"/>
          <w:bCs/>
          <w:color w:val="auto"/>
          <w:szCs w:val="21"/>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ascii="Arial" w:hAnsi="Arial" w:cs="Arial"/>
          <w:bCs/>
          <w:color w:val="auto"/>
          <w:szCs w:val="21"/>
          <w:highlight w:val="none"/>
        </w:rPr>
      </w:pPr>
      <w:r>
        <w:rPr>
          <w:rFonts w:ascii="Arial" w:hAnsi="Arial" w:cs="Arial"/>
          <w:bCs/>
          <w:color w:val="auto"/>
          <w:szCs w:val="21"/>
          <w:highlight w:val="none"/>
        </w:rPr>
        <w:t xml:space="preserve">操作手册下载地址：</w:t>
      </w:r>
      <w:r>
        <w:rPr>
          <w:rFonts w:ascii="Arial" w:hAnsi="Arial" w:cs="Arial"/>
          <w:bCs/>
          <w:color w:val="auto"/>
          <w:szCs w:val="21"/>
          <w:highlight w:val="none"/>
          <w:u w:val="none"/>
        </w:rPr>
        <w:t xml:space="preserve">http://www.ccgp-jiangsu.gov.cn/jiangsu/zlxz/ee/ee3a4bc5a3454aa2b0d9312230633ce9.html</w:t>
      </w:r>
      <w:r/>
    </w:p>
    <w:p>
      <w:pPr>
        <w:ind w:firstLine="420"/>
        <w:spacing w:line="360" w:lineRule="auto"/>
        <w:rPr>
          <w:rFonts w:ascii="Arial" w:hAnsi="Arial" w:cs="Arial"/>
          <w:bCs/>
          <w:color w:val="auto"/>
          <w:szCs w:val="21"/>
          <w:highlight w:val="none"/>
        </w:rPr>
      </w:pPr>
      <w:r>
        <w:rPr>
          <w:rFonts w:ascii="Arial" w:hAnsi="Arial" w:cs="Arial"/>
          <w:bCs/>
          <w:color w:val="auto"/>
          <w:szCs w:val="21"/>
          <w:highlight w:val="none"/>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color w:val="auto"/>
          <w:szCs w:val="21"/>
          <w:highlight w:val="none"/>
        </w:rPr>
      </w:pPr>
      <w:r>
        <w:rPr>
          <w:rFonts w:ascii="Arial" w:hAnsi="Arial" w:cs="Arial"/>
          <w:bCs/>
          <w:color w:val="auto"/>
          <w:szCs w:val="21"/>
          <w:highlight w:val="none"/>
        </w:rPr>
        <w:t xml:space="preserve">“苏采云”南京地区客服热线025-83633744、025-83633743。</w:t>
      </w:r>
      <w:r/>
    </w:p>
    <w:p>
      <w:pPr>
        <w:ind w:firstLine="420"/>
        <w:spacing w:line="360" w:lineRule="auto"/>
        <w:rPr>
          <w:rFonts w:ascii="Arial" w:hAnsi="Arial" w:cs="Arial"/>
          <w:bCs/>
          <w:color w:val="auto"/>
          <w:szCs w:val="21"/>
          <w:highlight w:val="none"/>
        </w:rPr>
      </w:pPr>
      <w:r>
        <w:rPr>
          <w:rFonts w:ascii="Arial" w:hAnsi="Arial" w:cs="Arial"/>
          <w:bCs/>
          <w:color w:val="auto"/>
          <w:szCs w:val="21"/>
          <w:highlight w:val="none"/>
        </w:rPr>
        <w:t xml:space="preserve"> 有关本次招标的事项若存在变动或修改，请及时关注“江苏政府采购网”（www.ccgp-jiangsu.gov.cn）更正公告。</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勘察现场：</w:t>
      </w:r>
      <w:r>
        <w:rPr>
          <w:rFonts w:hint="eastAsia" w:ascii="Arial" w:hAnsi="Arial" w:cs="Arial"/>
          <w:bCs/>
          <w:color w:val="auto"/>
          <w:szCs w:val="21"/>
          <w:highlight w:val="none"/>
        </w:rPr>
        <w:t xml:space="preserve">无</w:t>
      </w:r>
      <w:r/>
    </w:p>
    <w:p>
      <w:pPr>
        <w:ind w:firstLine="420"/>
        <w:spacing w:line="360" w:lineRule="auto"/>
        <w:shd w:val="clear" w:color="auto" w:fill="ffffff"/>
        <w:widowControl/>
        <w:rPr>
          <w:rFonts w:ascii="Arial" w:hAnsi="宋体" w:cs="Arial"/>
          <w:color w:val="auto"/>
          <w:szCs w:val="21"/>
          <w:highlight w:val="none"/>
        </w:rPr>
      </w:pPr>
      <w:r>
        <w:rPr>
          <w:rFonts w:ascii="Arial" w:hAnsi="宋体" w:cs="Arial"/>
          <w:color w:val="auto"/>
          <w:szCs w:val="21"/>
          <w:highlight w:val="none"/>
        </w:rPr>
      </w:r>
      <w:r/>
    </w:p>
    <w:p>
      <w:pPr>
        <w:ind w:firstLine="514"/>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七、对本次招标提出询问，请按以下方式联系</w:t>
      </w:r>
      <w:r/>
    </w:p>
    <w:p>
      <w:pPr>
        <w:ind w:firstLine="452"/>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7.1采购人信息</w:t>
      </w:r>
      <w:r/>
    </w:p>
    <w:p>
      <w:pPr>
        <w:ind w:firstLine="452"/>
        <w:spacing w:line="360" w:lineRule="auto"/>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名称：</w:t>
      </w:r>
      <w:r>
        <w:rPr>
          <w:rFonts w:hint="eastAsia" w:ascii="宋体" w:hAnsi="宋体" w:cs="宋体"/>
          <w:color w:val="auto"/>
          <w:spacing w:val="8"/>
          <w:szCs w:val="21"/>
          <w:highlight w:val="none"/>
          <w:lang w:eastAsia="zh-CN"/>
        </w:rPr>
        <w:t xml:space="preserve">南京体育学院</w:t>
      </w:r>
      <w:r/>
    </w:p>
    <w:p>
      <w:pPr>
        <w:ind w:firstLine="452"/>
        <w:spacing w:line="360" w:lineRule="auto"/>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地址：</w:t>
      </w:r>
      <w:r>
        <w:rPr>
          <w:rFonts w:hint="eastAsia" w:ascii="宋体" w:hAnsi="宋体" w:cs="宋体"/>
          <w:color w:val="auto"/>
          <w:spacing w:val="8"/>
          <w:szCs w:val="21"/>
          <w:highlight w:val="none"/>
          <w:lang w:eastAsia="zh-CN"/>
        </w:rPr>
        <w:t xml:space="preserve">江苏省南京市玄武区灵谷寺路8号</w:t>
      </w:r>
      <w:r/>
    </w:p>
    <w:p>
      <w:pPr>
        <w:ind w:firstLine="452"/>
        <w:spacing w:line="360" w:lineRule="auto"/>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联系人：</w:t>
      </w:r>
      <w:r>
        <w:rPr>
          <w:rFonts w:hint="eastAsia" w:ascii="宋体" w:hAnsi="宋体" w:cs="宋体"/>
          <w:color w:val="auto"/>
          <w:spacing w:val="8"/>
          <w:szCs w:val="21"/>
          <w:highlight w:val="none"/>
          <w:lang w:eastAsia="zh-CN"/>
        </w:rPr>
        <w:t xml:space="preserve">刘老师</w:t>
      </w:r>
      <w:r/>
    </w:p>
    <w:p>
      <w:pPr>
        <w:ind w:firstLine="452"/>
        <w:spacing w:line="360" w:lineRule="auto"/>
        <w:rPr>
          <w:rFonts w:hint="default" w:ascii="宋体" w:hAnsi="宋体" w:cs="宋体"/>
          <w:color w:val="auto"/>
          <w:spacing w:val="8"/>
          <w:szCs w:val="21"/>
          <w:highlight w:val="none"/>
          <w:lang w:val="en-US"/>
        </w:rPr>
      </w:pPr>
      <w:r>
        <w:rPr>
          <w:rFonts w:hint="eastAsia" w:ascii="宋体" w:hAnsi="宋体" w:cs="宋体"/>
          <w:color w:val="auto"/>
          <w:spacing w:val="8"/>
          <w:szCs w:val="21"/>
          <w:highlight w:val="none"/>
        </w:rPr>
        <w:t xml:space="preserve">联系方式</w:t>
      </w:r>
      <w:r>
        <w:rPr>
          <w:rFonts w:hint="eastAsia" w:ascii="宋体" w:hAnsi="宋体" w:cs="宋体"/>
          <w:color w:val="auto"/>
          <w:spacing w:val="8"/>
          <w:szCs w:val="21"/>
          <w:highlight w:val="none"/>
          <w:lang w:val="zh-CN"/>
        </w:rPr>
        <w:t xml:space="preserve">：</w:t>
      </w:r>
      <w:r>
        <w:rPr>
          <w:rFonts w:hint="eastAsia" w:ascii="宋体" w:hAnsi="宋体" w:cs="宋体"/>
          <w:color w:val="auto"/>
          <w:spacing w:val="8"/>
          <w:szCs w:val="21"/>
          <w:highlight w:val="none"/>
          <w:lang w:val="en-US" w:eastAsia="zh-CN"/>
        </w:rPr>
        <w:t xml:space="preserve">025-84755266</w:t>
      </w:r>
      <w:r/>
    </w:p>
    <w:p>
      <w:pPr>
        <w:ind w:firstLine="452"/>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7.2采购代理机构信息</w:t>
      </w:r>
      <w:r/>
    </w:p>
    <w:p>
      <w:pPr>
        <w:ind w:firstLine="452"/>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名 称：江苏省设备成套股份有限公司</w:t>
      </w:r>
      <w:r/>
    </w:p>
    <w:p>
      <w:pPr>
        <w:ind w:firstLine="226"/>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地址：南京市清江南路18号鼓楼创新广场D栋1006室</w:t>
      </w:r>
      <w:r/>
    </w:p>
    <w:p>
      <w:pPr>
        <w:ind w:firstLine="452"/>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7.3项目联系方式</w:t>
      </w:r>
      <w:r/>
    </w:p>
    <w:p>
      <w:pPr>
        <w:ind w:firstLine="452"/>
        <w:spacing w:line="360" w:lineRule="auto"/>
        <w:rPr>
          <w:rFonts w:hint="eastAsia" w:ascii="宋体" w:hAnsi="宋体" w:cs="宋体"/>
          <w:color w:val="auto"/>
          <w:spacing w:val="8"/>
          <w:szCs w:val="21"/>
          <w:highlight w:val="none"/>
          <w:lang w:eastAsia="zh-CN"/>
        </w:rPr>
      </w:pPr>
      <w:r>
        <w:rPr>
          <w:rFonts w:hint="eastAsia" w:ascii="宋体" w:hAnsi="宋体" w:cs="宋体"/>
          <w:color w:val="auto"/>
          <w:spacing w:val="8"/>
          <w:szCs w:val="21"/>
          <w:highlight w:val="none"/>
        </w:rPr>
        <w:t xml:space="preserve">项目联系人：</w:t>
      </w:r>
      <w:r>
        <w:rPr>
          <w:rFonts w:hint="eastAsia" w:ascii="宋体" w:hAnsi="宋体" w:cs="宋体"/>
          <w:color w:val="auto"/>
          <w:spacing w:val="8"/>
          <w:szCs w:val="21"/>
          <w:highlight w:val="none"/>
          <w:lang w:val="en-US" w:eastAsia="zh-CN"/>
        </w:rPr>
        <w:t xml:space="preserve">卢婉莹</w:t>
      </w:r>
      <w:r/>
    </w:p>
    <w:p>
      <w:pPr>
        <w:ind w:firstLine="452"/>
        <w:spacing w:line="360" w:lineRule="auto"/>
        <w:rPr>
          <w:rFonts w:hint="eastAsia" w:ascii="宋体" w:hAnsi="宋体" w:cs="宋体"/>
          <w:color w:val="auto"/>
          <w:spacing w:val="8"/>
          <w:szCs w:val="21"/>
          <w:highlight w:val="none"/>
          <w:lang w:val="en-US" w:eastAsia="zh-CN"/>
        </w:rPr>
      </w:pPr>
      <w:r>
        <w:rPr>
          <w:rFonts w:hint="eastAsia" w:ascii="宋体" w:hAnsi="宋体" w:cs="宋体"/>
          <w:color w:val="auto"/>
          <w:spacing w:val="8"/>
          <w:szCs w:val="21"/>
          <w:highlight w:val="none"/>
        </w:rPr>
        <w:t xml:space="preserve">电　话：025-</w:t>
      </w:r>
      <w:r>
        <w:rPr>
          <w:rFonts w:hint="eastAsia" w:ascii="宋体" w:hAnsi="宋体" w:cs="宋体"/>
          <w:color w:val="auto"/>
          <w:spacing w:val="8"/>
          <w:szCs w:val="21"/>
          <w:highlight w:val="none"/>
          <w:lang w:val="en-US" w:eastAsia="zh-CN"/>
        </w:rPr>
        <w:t xml:space="preserve">83325697</w:t>
      </w:r>
      <w:r>
        <w:rPr>
          <w:rFonts w:hint="eastAsia" w:ascii="宋体" w:hAnsi="宋体" w:cs="宋体"/>
          <w:color w:val="auto"/>
          <w:spacing w:val="8"/>
          <w:szCs w:val="21"/>
          <w:highlight w:val="none"/>
        </w:rPr>
        <w:t xml:space="preserve">   </w:t>
      </w:r>
      <w:r>
        <w:rPr>
          <w:rFonts w:hint="eastAsia" w:ascii="宋体" w:hAnsi="宋体" w:cs="宋体"/>
          <w:color w:val="auto"/>
          <w:spacing w:val="8"/>
          <w:szCs w:val="21"/>
          <w:highlight w:val="none"/>
          <w:lang w:val="en-US" w:eastAsia="zh-CN"/>
        </w:rPr>
        <w:t xml:space="preserve">13770969965</w:t>
      </w:r>
      <w:r/>
    </w:p>
    <w:p>
      <w:pPr>
        <w:ind w:firstLine="452"/>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电子邮箱：</w:t>
      </w:r>
      <w:r>
        <w:rPr>
          <w:rFonts w:hint="eastAsia" w:ascii="宋体" w:hAnsi="宋体" w:cs="宋体"/>
          <w:color w:val="auto"/>
          <w:spacing w:val="8"/>
          <w:szCs w:val="21"/>
          <w:highlight w:val="none"/>
          <w:lang w:val="en-US" w:eastAsia="zh-CN"/>
        </w:rPr>
        <w:t xml:space="preserve">luwy</w:t>
      </w:r>
      <w:r>
        <w:rPr>
          <w:rFonts w:hint="eastAsia" w:ascii="宋体" w:hAnsi="宋体" w:cs="宋体"/>
          <w:color w:val="auto"/>
          <w:spacing w:val="8"/>
          <w:szCs w:val="21"/>
          <w:highlight w:val="none"/>
        </w:rPr>
        <w:t xml:space="preserve">@jcec.cn</w:t>
      </w:r>
      <w:r/>
    </w:p>
    <w:p>
      <w:pPr>
        <w:rPr>
          <w:rFonts w:ascii="Arial" w:cs="Arial"/>
          <w:b/>
          <w:bCs/>
          <w:color w:val="auto"/>
          <w:sz w:val="32"/>
          <w:szCs w:val="44"/>
          <w:highlight w:val="none"/>
        </w:rPr>
      </w:pPr>
      <w:r>
        <w:rPr>
          <w:rFonts w:hint="eastAsia" w:ascii="Arial" w:cs="Arial"/>
          <w:b/>
          <w:bCs/>
          <w:color w:val="auto"/>
          <w:sz w:val="32"/>
          <w:szCs w:val="44"/>
          <w:highlight w:val="none"/>
        </w:rPr>
        <w:br w:type="page" w:clear="all"/>
      </w:r>
      <w:bookmarkEnd w:id="3"/>
      <w:r/>
      <w:r/>
    </w:p>
    <w:p>
      <w:pPr>
        <w:ind w:firstLine="643"/>
        <w:jc w:val="center"/>
        <w:spacing w:line="360" w:lineRule="auto"/>
        <w:rPr>
          <w:rFonts w:ascii="Arial" w:cs="Arial"/>
          <w:b/>
          <w:bCs/>
          <w:color w:val="auto"/>
          <w:sz w:val="32"/>
          <w:szCs w:val="44"/>
          <w:highlight w:val="none"/>
        </w:rPr>
        <w:outlineLvl w:val="0"/>
      </w:pPr>
      <w:r/>
      <w:bookmarkStart w:id="4" w:name="_Toc15050"/>
      <w:r/>
      <w:bookmarkStart w:id="5" w:name="_Toc4854"/>
      <w:r>
        <w:rPr>
          <w:rFonts w:hint="eastAsia" w:ascii="Arial" w:cs="Arial"/>
          <w:b/>
          <w:bCs/>
          <w:color w:val="auto"/>
          <w:sz w:val="32"/>
          <w:szCs w:val="44"/>
          <w:highlight w:val="none"/>
        </w:rPr>
        <w:t xml:space="preserve">第二章</w:t>
      </w:r>
      <w:bookmarkStart w:id="6" w:name="_Toc452625218"/>
      <w:r>
        <w:rPr>
          <w:rFonts w:hint="eastAsia" w:ascii="Arial" w:cs="Arial"/>
          <w:b/>
          <w:bCs/>
          <w:color w:val="auto"/>
          <w:sz w:val="32"/>
          <w:szCs w:val="44"/>
          <w:highlight w:val="none"/>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3.7未按要求提供相关材料的，不享受相关政策。</w:t>
      </w:r>
      <w:r/>
    </w:p>
    <w:p>
      <w:pPr>
        <w:ind w:firstLine="420"/>
        <w:spacing w:line="360" w:lineRule="auto"/>
        <w:shd w:val="clear" w:color="auto" w:fill="ffffff"/>
        <w:widowControl/>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3.8 本国产品支持政策</w:t>
      </w:r>
      <w:r/>
    </w:p>
    <w:p>
      <w:pPr>
        <w:ind w:firstLine="420"/>
        <w:spacing w:line="360" w:lineRule="auto"/>
        <w:shd w:val="clear" w:color="auto" w:fill="ffffff"/>
        <w:widowControl/>
        <w:rPr>
          <w:highlight w:val="none"/>
        </w:rPr>
      </w:pPr>
      <w:r>
        <w:rPr>
          <w:rFonts w:hint="eastAsia" w:ascii="Arial" w:hAnsi="Arial" w:cs="Arial"/>
          <w:color w:val="000000"/>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p>
    <w:p>
      <w:pPr>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p>
    <w:p>
      <w:pPr>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。招标货物数量及技术要求中未分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的，投标人对要求提供的货物和服务不得部分投标；招标货物数量及技术要求中已经分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5</w:t>
      </w:r>
      <w:r>
        <w:rPr>
          <w:rFonts w:ascii="Arial" w:hAnsi="宋体" w:cs="Arial"/>
          <w:color w:val="000000"/>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7</w:t>
      </w:r>
      <w:r>
        <w:rPr>
          <w:rFonts w:ascii="Arial" w:hAnsi="宋体" w:cs="Arial"/>
          <w:color w:val="000000"/>
          <w:szCs w:val="21"/>
          <w:highlight w:val="none"/>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8</w:t>
      </w:r>
      <w:r>
        <w:rPr>
          <w:rFonts w:ascii="Arial" w:hAnsi="宋体" w:cs="Arial"/>
          <w:color w:val="000000"/>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9</w:t>
      </w:r>
      <w:r>
        <w:rPr>
          <w:rFonts w:ascii="Arial" w:hAnsi="宋体" w:cs="Arial"/>
          <w:color w:val="000000"/>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11.2</w:t>
      </w:r>
      <w:r>
        <w:rPr>
          <w:rFonts w:ascii="Arial" w:hAnsi="宋体" w:cs="Arial"/>
          <w:color w:val="000000"/>
          <w:szCs w:val="21"/>
          <w:highlight w:val="none"/>
        </w:rPr>
        <w:t xml:space="preserve">报价应</w:t>
      </w:r>
      <w:r>
        <w:rPr>
          <w:rFonts w:hint="eastAsia" w:ascii="Arial" w:hAnsi="宋体" w:cs="Arial"/>
          <w:color w:val="000000"/>
          <w:szCs w:val="21"/>
          <w:highlight w:val="none"/>
        </w:rPr>
        <w:t xml:space="preserve">包含为履行本项目合同项下所有义务的全部含税</w:t>
      </w:r>
      <w:r>
        <w:rPr>
          <w:rFonts w:ascii="Arial" w:hAnsi="宋体" w:cs="Arial"/>
          <w:color w:val="000000"/>
          <w:szCs w:val="21"/>
          <w:highlight w:val="none"/>
        </w:rPr>
        <w:t xml:space="preserve">费用</w:t>
      </w:r>
      <w:r>
        <w:rPr>
          <w:rFonts w:hint="eastAsia" w:ascii="Arial" w:hAnsi="宋体" w:cs="Arial"/>
          <w:color w:val="000000"/>
          <w:szCs w:val="21"/>
          <w:highlight w:val="none"/>
        </w:rPr>
        <w:t xml:space="preserve">（包括但不限于</w:t>
      </w:r>
      <w:r>
        <w:rPr>
          <w:rFonts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highlight w:val="none"/>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及投标人认为需要的其他费用等</w:t>
      </w:r>
      <w:r>
        <w:rPr>
          <w:rFonts w:ascii="Arial" w:hAnsi="宋体" w:cs="Arial"/>
          <w:b/>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16.2 </w:t>
      </w:r>
      <w:r>
        <w:rPr>
          <w:rFonts w:hint="eastAsia" w:ascii="Arial" w:hAnsi="Arial" w:cs="Arial"/>
          <w:b/>
          <w:color w:val="auto"/>
          <w:szCs w:val="21"/>
          <w:highlight w:val="none"/>
        </w:rPr>
        <w:t xml:space="preserve">招标代理服务费：本次招标，招标代理服务费</w:t>
      </w:r>
      <w:r>
        <w:rPr>
          <w:rFonts w:hint="eastAsia" w:ascii="Arial" w:hAnsi="Arial" w:cs="Arial"/>
          <w:b/>
          <w:color w:val="auto"/>
          <w:szCs w:val="21"/>
          <w:highlight w:val="none"/>
          <w:lang w:val="en-US" w:eastAsia="zh-CN"/>
        </w:rPr>
        <w:t xml:space="preserve">已考虑在项目预算内，</w:t>
      </w:r>
      <w:r>
        <w:rPr>
          <w:rFonts w:hint="eastAsia" w:ascii="Arial" w:hAnsi="Arial" w:cs="Arial"/>
          <w:b/>
          <w:color w:val="auto"/>
          <w:szCs w:val="21"/>
          <w:highlight w:val="none"/>
        </w:rPr>
        <w:t xml:space="preserve">中标人参照《招标代理服务费管理暂行办法》（国家发展计划委员会计价格【2002】1980号）招标收费基准费率55%计算。中标人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p>
    <w:p>
      <w:pPr>
        <w:ind w:left="0" w:firstLine="2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p>
    <w:p>
      <w:pPr>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p>
    <w:p>
      <w:pPr>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p>
    <w:p>
      <w:pPr>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auto"/>
          <w:szCs w:val="21"/>
          <w:highlight w:val="none"/>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（1）投标人在</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苏采云</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系统规定的时间内未成功解密电子投标文件的</w:t>
      </w:r>
      <w:r>
        <w:rPr>
          <w:rFonts w:ascii="Arial" w:hAnsi="Arial"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5</w:t>
      </w:r>
      <w:r>
        <w:rPr>
          <w:rFonts w:ascii="Arial" w:hAnsi="Arial"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7</w:t>
      </w:r>
      <w:r>
        <w:rPr>
          <w:rFonts w:ascii="Arial" w:hAnsi="Arial" w:cs="Arial"/>
          <w:b/>
          <w:color w:val="auto"/>
          <w:szCs w:val="21"/>
          <w:highlight w:val="none"/>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8</w:t>
      </w:r>
      <w:r>
        <w:rPr>
          <w:rFonts w:ascii="Arial" w:hAnsi="Arial" w:cs="Arial"/>
          <w:b/>
          <w:color w:val="auto"/>
          <w:szCs w:val="21"/>
          <w:highlight w:val="none"/>
        </w:rPr>
        <w:t xml:space="preserve">）</w:t>
      </w:r>
      <w:bookmarkStart w:id="7" w:name="OLE_LINK3"/>
      <w:r/>
      <w:bookmarkStart w:id="8" w:name="OLE_LINK4"/>
      <w:r>
        <w:rPr>
          <w:rFonts w:ascii="Arial" w:hAnsi="Arial" w:cs="Arial"/>
          <w:b/>
          <w:color w:val="auto"/>
          <w:szCs w:val="21"/>
          <w:highlight w:val="none"/>
        </w:rPr>
        <w:t xml:space="preserve">现行法律、法规、规章和招标文件规定的其他无效情</w:t>
      </w:r>
      <w:r>
        <w:rPr>
          <w:rFonts w:ascii="Arial" w:hAnsi="Arial" w:cs="Arial"/>
          <w:b/>
          <w:color w:val="000000"/>
          <w:szCs w:val="21"/>
          <w:highlight w:val="none"/>
        </w:rPr>
        <w:t xml:space="preserve">形</w:t>
      </w:r>
      <w:bookmarkEnd w:id="7"/>
      <w:r>
        <w:rPr>
          <w:rFonts w:ascii="Arial" w:hAnsi="Arial" w:cs="Arial"/>
          <w:b/>
          <w:color w:val="000000"/>
          <w:szCs w:val="21"/>
          <w:highlight w:val="none"/>
        </w:rPr>
        <w:t xml:space="preserve">。</w:t>
      </w:r>
      <w:bookmarkEnd w:id="8"/>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p>
    <w:p>
      <w:pPr>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（4）评标委员会基于专业判断，认为投标人报价过低，有可能影响产品质量或者不能诚信履约的其他情形。</w:t>
      </w:r>
      <w:r/>
    </w:p>
    <w:p>
      <w:pPr>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jc w:val="left"/>
        <w:spacing w:line="360" w:lineRule="auto"/>
        <w:shd w:val="clear" w:color="auto" w:fill="ffffff"/>
        <w:widowControl/>
        <w:rPr>
          <w:rFonts w:ascii="Arial" w:hAnsi="Arial" w:cs="Arial"/>
          <w:b/>
          <w:bCs/>
          <w:szCs w:val="21"/>
          <w:highlight w:val="none"/>
        </w:rPr>
      </w:pPr>
      <w:r>
        <w:rPr>
          <w:rFonts w:hint="eastAsia" w:ascii="Arial" w:hAnsi="Arial" w:cs="Arial"/>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highlight w:val="none"/>
        </w:rPr>
        <w:t xml:space="preserve">投标人不能提供书面说明、证明材料，或者提供的书面说明、证明材料不能证明其报价合理性的，评审委员会应当将其作为无效投标处理。</w:t>
      </w:r>
      <w:r/>
    </w:p>
    <w:p>
      <w:pPr>
        <w:pStyle w:val="949"/>
        <w:rPr>
          <w:rFonts w:ascii="Arial" w:hAnsi="Arial" w:cs="Arial"/>
          <w:b/>
          <w:bCs/>
          <w:color w:val="000000"/>
          <w:szCs w:val="21"/>
          <w:highlight w:val="none"/>
        </w:rPr>
      </w:pPr>
      <w:r>
        <w:rPr>
          <w:rFonts w:hint="eastAsia" w:ascii="Arial" w:hAnsi="Arial" w:cs="Arial"/>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highlight w:val="none"/>
          <w:lang w:val="en-US" w:eastAsia="zh-CN"/>
        </w:rPr>
        <w:t xml:space="preserve">以书面形式向</w:t>
      </w:r>
      <w:r>
        <w:rPr>
          <w:rFonts w:ascii="Arial" w:hAnsi="Arial" w:cs="Arial"/>
          <w:color w:val="000000"/>
          <w:szCs w:val="21"/>
          <w:highlight w:val="none"/>
        </w:rPr>
        <w:t xml:space="preserve">采购人或采购代理机构</w:t>
      </w:r>
      <w:r>
        <w:rPr>
          <w:rFonts w:hint="eastAsia" w:ascii="Arial" w:hAnsi="Arial" w:cs="Arial"/>
          <w:color w:val="000000"/>
          <w:szCs w:val="21"/>
          <w:highlight w:val="none"/>
          <w:lang w:val="en-US" w:eastAsia="zh-CN"/>
        </w:rPr>
        <w:t xml:space="preserve">提出质疑</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highlight w:val="none"/>
          <w:lang w:val="en-US" w:eastAsia="zh-CN"/>
        </w:rPr>
        <w:t xml:space="preserve">财政部门将依法予以处罚</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w:t>
      </w:r>
      <w:bookmarkStart w:id="84" w:name="_GoBack"/>
      <w:r/>
      <w:bookmarkEnd w:id="84"/>
      <w:r>
        <w:rPr>
          <w:rFonts w:ascii="Arial" w:hAnsi="Arial" w:cs="Arial"/>
          <w:color w:val="000000"/>
          <w:highlight w:val="none"/>
        </w:rPr>
        <w:t xml:space="preserve">作出答复的，可以在答复期满后十五个工作日内向同级政府采购监督管理部门投诉。</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p>
    <w:p>
      <w:pPr>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p>
    <w:p>
      <w:pPr>
        <w:pStyle w:val="959"/>
        <w:ind w:firstLine="0"/>
        <w:spacing w:line="360" w:lineRule="auto"/>
        <w:rPr>
          <w:color w:val="auto"/>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highlight w:val="none"/>
        </w:rPr>
      </w:pPr>
      <w:r>
        <w:rPr>
          <w:rFonts w:ascii="Arial" w:hAnsi="Arial" w:cs="Arial"/>
          <w:color w:val="auto"/>
          <w:highlight w:val="none"/>
        </w:rPr>
        <w:br w:type="page" w:clear="all"/>
      </w:r>
      <w:r/>
    </w:p>
    <w:p>
      <w:pPr>
        <w:pStyle w:val="901"/>
        <w:numPr>
          <w:ilvl w:val="0"/>
          <w:numId w:val="0"/>
        </w:numPr>
        <w:spacing w:before="0" w:after="0" w:line="240" w:lineRule="auto"/>
        <w:rPr>
          <w:rFonts w:hint="eastAsia" w:ascii="Arial" w:hAnsi="Arial" w:cs="Arial"/>
          <w:color w:val="auto"/>
          <w:highlight w:val="none"/>
        </w:rPr>
      </w:pPr>
      <w:r/>
      <w:bookmarkStart w:id="9" w:name="_Toc24664"/>
      <w:r/>
      <w:bookmarkStart w:id="10" w:name="_Toc23781"/>
      <w:r>
        <w:rPr>
          <w:rFonts w:ascii="Arial" w:hAnsi="Arial" w:cs="Arial"/>
          <w:color w:val="auto"/>
          <w:highlight w:val="none"/>
        </w:rPr>
        <w:t xml:space="preserve"> </w:t>
      </w:r>
      <w:bookmarkStart w:id="11" w:name="_Toc481057145"/>
      <w:r>
        <w:rPr>
          <w:rFonts w:hint="eastAsia" w:ascii="Arial" w:hAnsi="Arial" w:cs="Arial"/>
          <w:color w:val="auto"/>
          <w:highlight w:val="none"/>
        </w:rPr>
        <w:t xml:space="preserve">第三章评标标准</w:t>
      </w:r>
      <w:bookmarkEnd w:id="9"/>
      <w:r/>
      <w:bookmarkEnd w:id="10"/>
      <w:r/>
      <w:bookmarkEnd w:id="11"/>
      <w:r/>
      <w:r/>
    </w:p>
    <w:p>
      <w:pPr>
        <w:rPr>
          <w:highlight w:val="none"/>
        </w:rPr>
      </w:pPr>
      <w:r>
        <w:rPr>
          <w:highlight w:val="none"/>
        </w:rPr>
      </w:r>
      <w:r/>
    </w:p>
    <w:p>
      <w:pPr>
        <w:pStyle w:val="923"/>
        <w:rPr>
          <w:highlight w:val="none"/>
        </w:rPr>
      </w:pPr>
      <w:r>
        <w:rPr>
          <w:rFonts w:hint="eastAsia" w:ascii="Arial" w:hAnsi="Arial" w:cs="Arial"/>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w:t>
      </w:r>
      <w:r>
        <w:rPr>
          <w:rFonts w:hint="eastAsia" w:ascii="Arial" w:hAnsi="Arial" w:cs="Arial"/>
          <w:color w:val="auto"/>
          <w:highlight w:val="none"/>
          <w:lang w:val="en-US" w:eastAsia="zh-CN"/>
        </w:rPr>
        <w:t xml:space="preserve">推荐综合得分前三名为中标候选人</w:t>
      </w:r>
      <w:r>
        <w:rPr>
          <w:rFonts w:hint="eastAsia" w:ascii="Arial" w:hAnsi="Arial" w:cs="Arial"/>
          <w:color w:val="auto"/>
          <w:highlight w:val="none"/>
        </w:rPr>
        <w:t xml:space="preserve">。</w:t>
      </w:r>
      <w:r/>
    </w:p>
    <w:tbl>
      <w:tblPr>
        <w:tblStyle w:val="911"/>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145"/>
        <w:gridCol w:w="7258"/>
        <w:gridCol w:w="675"/>
      </w:tblGrid>
      <w:tr>
        <w:trPr>
          <w:jc w:val="center"/>
        </w:trPr>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rPr>
                <w:rFonts w:hint="eastAsia" w:eastAsia="宋体"/>
                <w:color w:val="auto"/>
                <w:highlight w:val="none"/>
              </w:rPr>
            </w:pPr>
            <w:r>
              <w:rPr>
                <w:rFonts w:hint="eastAsia"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eastAsia="宋体"/>
                <w:color w:val="auto"/>
                <w:highlight w:val="none"/>
              </w:rPr>
              <w:t xml:space="preserve">价格分</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tcPr>
          <w:p>
            <w:pPr>
              <w:rPr>
                <w:rFonts w:hint="eastAsia" w:eastAsia="宋体"/>
                <w:color w:val="auto"/>
                <w:highlight w:val="none"/>
              </w:rPr>
            </w:pPr>
            <w:r>
              <w:rPr>
                <w:rFonts w:hint="eastAsia" w:ascii="宋体" w:hAnsi="宋体" w:eastAsia="宋体" w:cs="宋体"/>
                <w:color w:val="auto"/>
                <w:highlight w:val="none"/>
              </w:rPr>
              <w:t xml:space="preserve">采用低价优先法计算，满足招标文件且投标报价（1-</w:t>
            </w:r>
            <w:r>
              <w:rPr>
                <w:rFonts w:hint="eastAsia" w:ascii="宋体" w:hAnsi="宋体" w:eastAsia="宋体" w:cs="宋体"/>
                <w:color w:val="auto"/>
                <w:highlight w:val="none"/>
                <w:lang w:eastAsia="zh-CN"/>
              </w:rPr>
              <w:t xml:space="preserve">投标优惠率</w:t>
            </w:r>
            <w:r>
              <w:rPr>
                <w:rFonts w:hint="eastAsia" w:ascii="宋体" w:hAnsi="宋体" w:eastAsia="宋体" w:cs="宋体"/>
                <w:color w:val="auto"/>
                <w:highlight w:val="none"/>
              </w:rPr>
              <w:t xml:space="preserve">）最低为评标基准价，其价格分为满分。其他投标价格分按照下列公式计算：投标报价得分=【评标基准价/（1-</w:t>
            </w:r>
            <w:r>
              <w:rPr>
                <w:rFonts w:hint="eastAsia" w:ascii="宋体" w:hAnsi="宋体" w:eastAsia="宋体" w:cs="宋体"/>
                <w:color w:val="auto"/>
                <w:highlight w:val="none"/>
                <w:lang w:eastAsia="zh-CN"/>
              </w:rPr>
              <w:t xml:space="preserve">投标优惠率</w:t>
            </w:r>
            <w:r>
              <w:rPr>
                <w:rFonts w:hint="eastAsia" w:ascii="宋体" w:hAnsi="宋体" w:eastAsia="宋体" w:cs="宋体"/>
                <w:color w:val="auto"/>
                <w:highlight w:val="none"/>
              </w:rPr>
              <w:t xml:space="preserve">）】×30（小数点四舍五入保留两位</w:t>
            </w:r>
            <w:r>
              <w:rPr>
                <w:rFonts w:hint="eastAsia" w:ascii="宋体" w:hAnsi="宋体" w:eastAsia="宋体" w:cs="宋体"/>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eastAsia="宋体"/>
                <w:color w:val="auto"/>
                <w:highlight w:val="none"/>
                <w:lang w:val="en-US" w:eastAsia="zh-CN"/>
              </w:rPr>
            </w:pPr>
            <w:r>
              <w:rPr>
                <w:rFonts w:hint="eastAsia" w:eastAsia="宋体"/>
                <w:color w:val="auto"/>
                <w:highlight w:val="none"/>
                <w:lang w:val="en-US" w:eastAsia="zh-CN"/>
              </w:rPr>
              <w:t xml:space="preserve">3</w:t>
            </w:r>
            <w:r>
              <w:rPr>
                <w:rFonts w:hint="eastAsia" w:eastAsia="宋体"/>
                <w:color w:val="auto"/>
                <w:highlight w:val="none"/>
              </w:rPr>
              <w:t xml:space="preserve">0</w:t>
            </w:r>
            <w:r/>
          </w:p>
        </w:tc>
      </w:tr>
      <w:tr>
        <w:trPr>
          <w:jc w:val="center"/>
          <w:trHeight w:val="90"/>
        </w:trPr>
        <w:tc>
          <w:tcPr>
            <w:tcBorders>
              <w:left w:val="single" w:color="auto" w:sz="4" w:space="0"/>
              <w:right w:val="single" w:color="auto" w:sz="4" w:space="0"/>
            </w:tcBorders>
            <w:tcW w:w="605" w:type="dxa"/>
            <w:vAlign w:val="center"/>
            <w:textDirection w:val="lrTb"/>
            <w:noWrap/>
          </w:tcPr>
          <w:p>
            <w:pPr>
              <w:rPr>
                <w:rFonts w:hint="eastAsia" w:eastAsia="宋体"/>
                <w:color w:val="auto"/>
                <w:highlight w:val="none"/>
              </w:rPr>
            </w:pPr>
            <w:r>
              <w:rPr>
                <w:rFonts w:hint="eastAsia" w:eastAsia="宋体"/>
                <w:color w:val="auto"/>
                <w:highlight w:val="none"/>
              </w:rPr>
              <w:t xml:space="preserve">2</w:t>
            </w:r>
            <w:r/>
          </w:p>
        </w:tc>
        <w:tc>
          <w:tcPr>
            <w:shd w:val="clear" w:color="auto" w:fill="auto"/>
            <w:tcBorders>
              <w:left w:val="single" w:color="auto" w:sz="4" w:space="0"/>
              <w:right w:val="single" w:color="auto" w:sz="4" w:space="0"/>
            </w:tcBorders>
            <w:tcW w:w="1145" w:type="dxa"/>
            <w:vAlign w:val="center"/>
            <w:textDirection w:val="lrTb"/>
            <w:noWrap/>
          </w:tcPr>
          <w:p>
            <w:pPr>
              <w:rPr>
                <w:rFonts w:hint="eastAsia" w:eastAsia="宋体"/>
                <w:color w:val="auto"/>
                <w:highlight w:val="none"/>
                <w:lang w:val="en-US" w:eastAsia="zh-CN"/>
              </w:rPr>
            </w:pPr>
            <w:r>
              <w:rPr>
                <w:rFonts w:hint="eastAsia" w:eastAsia="宋体"/>
                <w:color w:val="auto"/>
                <w:highlight w:val="none"/>
              </w:rPr>
              <w:t xml:space="preserve">采购渠道</w:t>
            </w:r>
            <w:r/>
          </w:p>
        </w:tc>
        <w:tc>
          <w:tcPr>
            <w:tcBorders>
              <w:top w:val="single" w:color="auto" w:sz="4" w:space="0"/>
              <w:left w:val="single" w:color="auto" w:sz="4" w:space="0"/>
              <w:right w:val="single" w:color="auto" w:sz="4" w:space="0"/>
            </w:tcBorders>
            <w:tcW w:w="7258" w:type="dxa"/>
            <w:vAlign w:val="center"/>
            <w:textDirection w:val="lrTb"/>
            <w:noWrap/>
          </w:tcPr>
          <w:p>
            <w:pPr>
              <w:spacing w:line="400" w:lineRule="exact"/>
              <w:rPr>
                <w:rFonts w:hint="eastAsia" w:eastAsia="宋体"/>
                <w:color w:val="auto"/>
                <w:highlight w:val="none"/>
              </w:rPr>
            </w:pPr>
            <w:r>
              <w:rPr>
                <w:rFonts w:hint="eastAsia" w:eastAsia="宋体"/>
                <w:color w:val="auto"/>
                <w:highlight w:val="none"/>
              </w:rPr>
              <w:t xml:space="preserve">采购渠道：招标种类包含：①饮料</w:t>
            </w:r>
            <w:r>
              <w:rPr>
                <w:rFonts w:hint="eastAsia"/>
                <w:color w:val="auto"/>
                <w:highlight w:val="none"/>
                <w:lang w:eastAsia="zh-CN"/>
              </w:rPr>
              <w:t xml:space="preserve">：</w:t>
            </w:r>
            <w:r>
              <w:rPr>
                <w:rFonts w:hint="eastAsia"/>
                <w:color w:val="auto"/>
                <w:highlight w:val="none"/>
                <w:lang w:val="en-US" w:eastAsia="zh-CN"/>
              </w:rPr>
              <w:t xml:space="preserve">须包含瓶装水、功能饮料</w:t>
            </w:r>
            <w:r>
              <w:rPr>
                <w:rFonts w:hint="eastAsia" w:eastAsia="宋体"/>
                <w:color w:val="auto"/>
                <w:highlight w:val="none"/>
              </w:rPr>
              <w:t xml:space="preserve">；</w:t>
            </w:r>
            <w:r>
              <w:rPr>
                <w:rFonts w:hint="eastAsia"/>
                <w:color w:val="auto"/>
                <w:highlight w:val="none"/>
                <w:lang w:eastAsia="zh-CN"/>
              </w:rPr>
              <w:t xml:space="preserve">（</w:t>
            </w:r>
            <w:r>
              <w:rPr>
                <w:rFonts w:hint="eastAsia" w:ascii="宋体" w:hAnsi="宋体" w:cs="宋体"/>
                <w:b w:val="0"/>
                <w:bCs w:val="0"/>
                <w:color w:val="auto"/>
                <w:highlight w:val="none"/>
                <w:lang w:val="en-US" w:eastAsia="zh-CN"/>
              </w:rPr>
              <w:t xml:space="preserve">合同</w:t>
            </w:r>
            <w:r>
              <w:rPr>
                <w:rFonts w:hint="eastAsia" w:eastAsia="宋体"/>
                <w:color w:val="auto"/>
                <w:highlight w:val="none"/>
              </w:rPr>
              <w:t xml:space="preserve">或证明材料</w:t>
            </w:r>
            <w:r>
              <w:rPr>
                <w:rFonts w:hint="eastAsia" w:ascii="宋体" w:hAnsi="宋体" w:cs="宋体"/>
                <w:b w:val="0"/>
                <w:bCs w:val="0"/>
                <w:color w:val="auto"/>
                <w:highlight w:val="none"/>
                <w:lang w:val="en-US" w:eastAsia="zh-CN"/>
              </w:rPr>
              <w:t xml:space="preserve">必须包含</w:t>
            </w:r>
            <w:r>
              <w:rPr>
                <w:rFonts w:hint="eastAsia"/>
                <w:color w:val="auto"/>
                <w:highlight w:val="none"/>
                <w:lang w:val="en-US" w:eastAsia="zh-CN"/>
              </w:rPr>
              <w:t xml:space="preserve">瓶装水、功能饮料</w:t>
            </w:r>
            <w:r>
              <w:rPr>
                <w:rFonts w:hint="eastAsia"/>
                <w:color w:val="auto"/>
                <w:highlight w:val="none"/>
                <w:lang w:eastAsia="zh-CN"/>
              </w:rPr>
              <w:t xml:space="preserve">）</w:t>
            </w:r>
            <w:r>
              <w:rPr>
                <w:rFonts w:hint="eastAsia" w:eastAsia="宋体"/>
                <w:color w:val="auto"/>
                <w:highlight w:val="none"/>
              </w:rPr>
              <w:t xml:space="preserve">②预包装食品</w:t>
            </w:r>
            <w:r>
              <w:rPr>
                <w:rFonts w:hint="eastAsia"/>
                <w:color w:val="auto"/>
                <w:highlight w:val="none"/>
                <w:lang w:eastAsia="zh-CN"/>
              </w:rPr>
              <w:t xml:space="preserve">：</w:t>
            </w:r>
            <w:r>
              <w:rPr>
                <w:rFonts w:hint="eastAsia"/>
                <w:color w:val="auto"/>
                <w:highlight w:val="none"/>
                <w:lang w:val="en-US" w:eastAsia="zh-CN"/>
              </w:rPr>
              <w:t xml:space="preserve">须包含纯牛奶、酸奶、坚果等</w:t>
            </w:r>
            <w:r>
              <w:rPr>
                <w:rFonts w:hint="eastAsia" w:ascii="宋体" w:hAnsi="宋体" w:cs="宋体"/>
                <w:b w:val="0"/>
                <w:bCs w:val="0"/>
                <w:color w:val="auto"/>
                <w:highlight w:val="none"/>
                <w:lang w:val="en-US" w:eastAsia="zh-CN"/>
              </w:rPr>
              <w:t xml:space="preserve">（合同</w:t>
            </w:r>
            <w:r>
              <w:rPr>
                <w:rFonts w:hint="eastAsia" w:eastAsia="宋体"/>
                <w:color w:val="auto"/>
                <w:highlight w:val="none"/>
              </w:rPr>
              <w:t xml:space="preserve">或证明材料</w:t>
            </w:r>
            <w:r>
              <w:rPr>
                <w:rFonts w:hint="eastAsia" w:ascii="宋体" w:hAnsi="宋体" w:cs="宋体"/>
                <w:b w:val="0"/>
                <w:bCs w:val="0"/>
                <w:color w:val="auto"/>
                <w:highlight w:val="none"/>
                <w:lang w:val="en-US" w:eastAsia="zh-CN"/>
              </w:rPr>
              <w:t xml:space="preserve">必须包含</w:t>
            </w:r>
            <w:r>
              <w:rPr>
                <w:rFonts w:hint="eastAsia"/>
                <w:color w:val="auto"/>
                <w:highlight w:val="none"/>
                <w:lang w:val="en-US" w:eastAsia="zh-CN"/>
              </w:rPr>
              <w:t xml:space="preserve">纯牛奶、酸奶、坚果</w:t>
            </w:r>
            <w:r>
              <w:rPr>
                <w:rFonts w:hint="eastAsia"/>
                <w:color w:val="auto"/>
                <w:highlight w:val="none"/>
                <w:lang w:eastAsia="zh-CN"/>
              </w:rPr>
              <w:t xml:space="preserve">）</w:t>
            </w:r>
            <w:r>
              <w:rPr>
                <w:rFonts w:hint="eastAsia" w:eastAsia="宋体"/>
                <w:color w:val="auto"/>
                <w:highlight w:val="none"/>
              </w:rPr>
              <w:t xml:space="preserve">；③水</w:t>
            </w:r>
            <w:r>
              <w:rPr>
                <w:rFonts w:hint="eastAsia"/>
                <w:color w:val="auto"/>
                <w:highlight w:val="none"/>
                <w:lang w:val="en-US" w:eastAsia="zh-CN"/>
              </w:rPr>
              <w:t xml:space="preserve">果</w:t>
            </w:r>
            <w:r>
              <w:rPr>
                <w:rFonts w:hint="eastAsia"/>
                <w:color w:val="auto"/>
                <w:highlight w:val="none"/>
                <w:lang w:eastAsia="zh-CN"/>
              </w:rPr>
              <w:t xml:space="preserve">：</w:t>
            </w:r>
            <w:r>
              <w:rPr>
                <w:rFonts w:hint="eastAsia"/>
                <w:color w:val="auto"/>
                <w:highlight w:val="none"/>
                <w:lang w:val="en-US" w:eastAsia="zh-CN"/>
              </w:rPr>
              <w:t xml:space="preserve">须包含砂糖橘、玉露香梨、车厘子、橙子等</w:t>
            </w:r>
            <w:r>
              <w:rPr>
                <w:rFonts w:hint="eastAsia" w:eastAsia="宋体"/>
                <w:color w:val="auto"/>
                <w:highlight w:val="none"/>
              </w:rPr>
              <w:t xml:space="preserve">；</w:t>
            </w:r>
            <w:r>
              <w:rPr>
                <w:rFonts w:hint="eastAsia"/>
                <w:color w:val="auto"/>
                <w:highlight w:val="none"/>
                <w:lang w:eastAsia="zh-CN"/>
              </w:rPr>
              <w:t xml:space="preserve">（</w:t>
            </w:r>
            <w:r>
              <w:rPr>
                <w:rFonts w:hint="eastAsia" w:ascii="宋体" w:hAnsi="宋体" w:cs="宋体"/>
                <w:b w:val="0"/>
                <w:bCs w:val="0"/>
                <w:color w:val="auto"/>
                <w:highlight w:val="none"/>
                <w:lang w:val="en-US" w:eastAsia="zh-CN"/>
              </w:rPr>
              <w:t xml:space="preserve">合同</w:t>
            </w:r>
            <w:r>
              <w:rPr>
                <w:rFonts w:hint="eastAsia" w:eastAsia="宋体"/>
                <w:color w:val="auto"/>
                <w:highlight w:val="none"/>
              </w:rPr>
              <w:t xml:space="preserve">或证明材料</w:t>
            </w:r>
            <w:r>
              <w:rPr>
                <w:rFonts w:hint="eastAsia" w:ascii="宋体" w:hAnsi="宋体" w:cs="宋体"/>
                <w:b w:val="0"/>
                <w:bCs w:val="0"/>
                <w:color w:val="auto"/>
                <w:highlight w:val="none"/>
                <w:lang w:val="en-US" w:eastAsia="zh-CN"/>
              </w:rPr>
              <w:t xml:space="preserve">必须包含</w:t>
            </w:r>
            <w:r>
              <w:rPr>
                <w:rFonts w:hint="eastAsia"/>
                <w:color w:val="auto"/>
                <w:highlight w:val="none"/>
                <w:lang w:val="en-US" w:eastAsia="zh-CN"/>
              </w:rPr>
              <w:t xml:space="preserve">砂糖橘、玉露香梨、车厘子、橙子</w:t>
            </w:r>
            <w:r>
              <w:rPr>
                <w:rFonts w:hint="eastAsia"/>
                <w:color w:val="auto"/>
                <w:highlight w:val="none"/>
                <w:lang w:eastAsia="zh-CN"/>
              </w:rPr>
              <w:t xml:space="preserve">）</w:t>
            </w:r>
            <w:r>
              <w:rPr>
                <w:rFonts w:hint="eastAsia" w:eastAsia="宋体"/>
                <w:color w:val="auto"/>
                <w:highlight w:val="none"/>
              </w:rPr>
              <w:t xml:space="preserve">④水</w:t>
            </w:r>
            <w:r>
              <w:rPr>
                <w:rFonts w:hint="eastAsia"/>
                <w:color w:val="auto"/>
                <w:highlight w:val="none"/>
                <w:lang w:val="en-US" w:eastAsia="zh-CN"/>
              </w:rPr>
              <w:t xml:space="preserve">产</w:t>
            </w:r>
            <w:r>
              <w:rPr>
                <w:rFonts w:hint="eastAsia"/>
                <w:color w:val="auto"/>
                <w:highlight w:val="none"/>
                <w:lang w:eastAsia="zh-CN"/>
              </w:rPr>
              <w:t xml:space="preserve">：</w:t>
            </w:r>
            <w:r>
              <w:rPr>
                <w:rFonts w:hint="eastAsia"/>
                <w:color w:val="auto"/>
                <w:highlight w:val="none"/>
                <w:lang w:val="en-US" w:eastAsia="zh-CN"/>
              </w:rPr>
              <w:t xml:space="preserve">须包含鲍鱼、大黄鱼、带鱼、虾仁、辽参、虾等冻品</w:t>
            </w:r>
            <w:r>
              <w:rPr>
                <w:rFonts w:hint="eastAsia"/>
                <w:color w:val="auto"/>
                <w:highlight w:val="none"/>
                <w:lang w:eastAsia="zh-CN"/>
              </w:rPr>
              <w:t xml:space="preserve">（</w:t>
            </w:r>
            <w:r>
              <w:rPr>
                <w:rFonts w:hint="eastAsia" w:ascii="宋体" w:hAnsi="宋体" w:cs="宋体"/>
                <w:b w:val="0"/>
                <w:bCs w:val="0"/>
                <w:color w:val="auto"/>
                <w:highlight w:val="none"/>
                <w:lang w:val="en-US" w:eastAsia="zh-CN"/>
              </w:rPr>
              <w:t xml:space="preserve">合同</w:t>
            </w:r>
            <w:r>
              <w:rPr>
                <w:rFonts w:hint="eastAsia" w:eastAsia="宋体"/>
                <w:color w:val="auto"/>
                <w:highlight w:val="none"/>
              </w:rPr>
              <w:t xml:space="preserve">或证明材料</w:t>
            </w:r>
            <w:r>
              <w:rPr>
                <w:rFonts w:hint="eastAsia" w:ascii="宋体" w:hAnsi="宋体" w:cs="宋体"/>
                <w:b w:val="0"/>
                <w:bCs w:val="0"/>
                <w:color w:val="auto"/>
                <w:highlight w:val="none"/>
                <w:lang w:val="en-US" w:eastAsia="zh-CN"/>
              </w:rPr>
              <w:t xml:space="preserve">必须包含</w:t>
            </w:r>
            <w:r>
              <w:rPr>
                <w:rFonts w:hint="eastAsia"/>
                <w:color w:val="auto"/>
                <w:highlight w:val="none"/>
                <w:lang w:val="en-US" w:eastAsia="zh-CN"/>
              </w:rPr>
              <w:t xml:space="preserve">鲍鱼、大黄鱼、带鱼、虾仁、辽参、虾冻品</w:t>
            </w:r>
            <w:r>
              <w:rPr>
                <w:rFonts w:hint="eastAsia"/>
                <w:color w:val="auto"/>
                <w:highlight w:val="none"/>
                <w:lang w:eastAsia="zh-CN"/>
              </w:rPr>
              <w:t xml:space="preserve">）</w:t>
            </w:r>
            <w:r>
              <w:rPr>
                <w:rFonts w:hint="eastAsia" w:eastAsia="宋体"/>
                <w:color w:val="auto"/>
                <w:highlight w:val="none"/>
              </w:rPr>
              <w:t xml:space="preserve">；</w:t>
            </w:r>
            <w:r>
              <w:rPr>
                <w:rFonts w:hint="eastAsia"/>
                <w:color w:val="auto"/>
                <w:highlight w:val="none"/>
                <w:lang w:val="en-US" w:eastAsia="zh-CN"/>
              </w:rPr>
              <w:t xml:space="preserve">提供的</w:t>
            </w:r>
            <w:r>
              <w:rPr>
                <w:rFonts w:hint="eastAsia" w:ascii="宋体" w:hAnsi="宋体" w:eastAsia="宋体" w:cs="宋体"/>
                <w:color w:val="auto"/>
                <w:highlight w:val="none"/>
              </w:rPr>
              <w:t xml:space="preserve">合同</w:t>
            </w:r>
            <w:r>
              <w:rPr>
                <w:rFonts w:hint="eastAsia" w:ascii="宋体" w:hAnsi="宋体" w:eastAsia="宋体" w:cs="宋体"/>
                <w:color w:val="auto"/>
                <w:highlight w:val="none"/>
                <w:lang w:val="en-US" w:eastAsia="zh-CN"/>
              </w:rPr>
              <w:t xml:space="preserve">或证明材料的</w:t>
            </w:r>
            <w:r>
              <w:rPr>
                <w:rFonts w:hint="eastAsia" w:ascii="宋体" w:hAnsi="宋体" w:eastAsia="宋体" w:cs="宋体"/>
                <w:color w:val="auto"/>
                <w:highlight w:val="none"/>
              </w:rPr>
              <w:t xml:space="preserve">有效期</w:t>
            </w:r>
            <w:r>
              <w:rPr>
                <w:rFonts w:hint="eastAsia" w:ascii="宋体" w:hAnsi="宋体" w:eastAsia="宋体" w:cs="宋体"/>
                <w:color w:val="auto"/>
                <w:highlight w:val="none"/>
                <w:lang w:val="en-US" w:eastAsia="zh-CN"/>
              </w:rPr>
              <w:t xml:space="preserve">需涵盖本项目服务期限；如不能涵盖本项目服务期限，除提供合同外，还需提供承诺书（格式自拟）承诺中标后满足本项目服务期要求并</w:t>
            </w:r>
            <w:r>
              <w:rPr>
                <w:rFonts w:hint="eastAsia" w:ascii="宋体" w:hAnsi="宋体" w:eastAsia="宋体" w:cs="宋体"/>
                <w:color w:val="auto"/>
                <w:highlight w:val="none"/>
              </w:rPr>
              <w:t xml:space="preserve">加盖公章。</w:t>
            </w:r>
            <w:r>
              <w:rPr>
                <w:rFonts w:hint="eastAsia" w:eastAsia="宋体"/>
                <w:color w:val="auto"/>
                <w:highlight w:val="none"/>
                <w:lang w:val="en-US" w:eastAsia="zh-CN"/>
              </w:rPr>
              <w:t xml:space="preserve">并同时</w:t>
            </w:r>
            <w:r>
              <w:rPr>
                <w:rFonts w:hint="eastAsia" w:eastAsia="宋体"/>
                <w:color w:val="auto"/>
                <w:highlight w:val="none"/>
              </w:rPr>
              <w:t xml:space="preserve">提供与合同供货单位</w:t>
            </w:r>
            <w:r>
              <w:rPr>
                <w:rFonts w:hint="eastAsia" w:eastAsia="宋体"/>
                <w:color w:val="auto"/>
                <w:highlight w:val="none"/>
                <w:lang w:val="en-US" w:eastAsia="zh-CN"/>
              </w:rPr>
              <w:t xml:space="preserve">及种类</w:t>
            </w:r>
            <w:r>
              <w:rPr>
                <w:rFonts w:hint="eastAsia" w:eastAsia="宋体"/>
                <w:color w:val="auto"/>
                <w:highlight w:val="none"/>
              </w:rPr>
              <w:t xml:space="preserve">一致的进项发票，两者不对应不得分</w:t>
            </w:r>
            <w:r>
              <w:rPr>
                <w:rFonts w:hint="eastAsia" w:eastAsia="宋体"/>
                <w:color w:val="auto"/>
                <w:highlight w:val="none"/>
                <w:lang w:eastAsia="zh-CN"/>
              </w:rPr>
              <w:t xml:space="preserve">。</w:t>
            </w:r>
            <w:r>
              <w:rPr>
                <w:rFonts w:hint="eastAsia" w:eastAsia="宋体"/>
                <w:color w:val="auto"/>
                <w:highlight w:val="none"/>
              </w:rPr>
              <w:t xml:space="preserve">提供</w:t>
            </w:r>
            <w:r>
              <w:rPr>
                <w:rFonts w:hint="eastAsia"/>
                <w:color w:val="auto"/>
                <w:highlight w:val="none"/>
                <w:lang w:val="en-US" w:eastAsia="zh-CN"/>
              </w:rPr>
              <w:t xml:space="preserve">每</w:t>
            </w:r>
            <w:r>
              <w:rPr>
                <w:rFonts w:hint="eastAsia" w:eastAsia="宋体"/>
                <w:color w:val="auto"/>
                <w:highlight w:val="none"/>
              </w:rPr>
              <w:t xml:space="preserve">一</w:t>
            </w:r>
            <w:r>
              <w:rPr>
                <w:rFonts w:hint="eastAsia"/>
                <w:color w:val="auto"/>
                <w:highlight w:val="none"/>
                <w:lang w:val="en-US" w:eastAsia="zh-CN"/>
              </w:rPr>
              <w:t xml:space="preserve">类</w:t>
            </w:r>
            <w:r>
              <w:rPr>
                <w:rFonts w:hint="eastAsia" w:eastAsia="宋体"/>
                <w:color w:val="auto"/>
                <w:highlight w:val="none"/>
              </w:rPr>
              <w:t xml:space="preserve">合同或证明材料得</w:t>
            </w:r>
            <w:r>
              <w:rPr>
                <w:rFonts w:hint="eastAsia"/>
                <w:color w:val="auto"/>
                <w:highlight w:val="none"/>
                <w:lang w:val="en-US" w:eastAsia="zh-CN"/>
              </w:rPr>
              <w:t xml:space="preserve">2</w:t>
            </w:r>
            <w:r>
              <w:rPr>
                <w:rFonts w:hint="eastAsia" w:eastAsia="宋体"/>
                <w:color w:val="auto"/>
                <w:highlight w:val="none"/>
              </w:rPr>
              <w:t xml:space="preserve">分，</w:t>
            </w:r>
            <w:r>
              <w:rPr>
                <w:rFonts w:hint="eastAsia" w:ascii="宋体" w:hAnsi="宋体" w:cs="宋体"/>
                <w:b w:val="0"/>
                <w:bCs w:val="0"/>
                <w:color w:val="auto"/>
                <w:highlight w:val="none"/>
                <w:lang w:val="en-US" w:eastAsia="zh-CN"/>
              </w:rPr>
              <w:t xml:space="preserve">一份合同或</w:t>
            </w:r>
            <w:r>
              <w:rPr>
                <w:rFonts w:hint="eastAsia" w:eastAsia="宋体"/>
                <w:color w:val="auto"/>
                <w:highlight w:val="none"/>
              </w:rPr>
              <w:t xml:space="preserve">证明材料</w:t>
            </w:r>
            <w:r>
              <w:rPr>
                <w:rFonts w:hint="eastAsia" w:ascii="宋体" w:hAnsi="宋体" w:cs="宋体"/>
                <w:b w:val="0"/>
                <w:bCs w:val="0"/>
                <w:color w:val="auto"/>
                <w:highlight w:val="none"/>
                <w:lang w:val="en-US" w:eastAsia="zh-CN"/>
              </w:rPr>
              <w:t xml:space="preserve">同时包含多种种类的，可按多个种类计分，</w:t>
            </w:r>
            <w:r>
              <w:rPr>
                <w:rFonts w:hint="eastAsia"/>
                <w:color w:val="auto"/>
                <w:highlight w:val="none"/>
                <w:lang w:val="en-US" w:eastAsia="zh-CN"/>
              </w:rPr>
              <w:t xml:space="preserve">本项满分8</w:t>
            </w:r>
            <w:r>
              <w:rPr>
                <w:rFonts w:hint="eastAsia" w:eastAsia="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eastAsia" w:eastAsia="宋体"/>
                <w:color w:val="auto"/>
                <w:highlight w:val="none"/>
                <w:lang w:eastAsia="zh-CN"/>
              </w:rPr>
            </w:pPr>
            <w:r>
              <w:rPr>
                <w:rFonts w:hint="eastAsia"/>
                <w:color w:val="auto"/>
                <w:highlight w:val="none"/>
                <w:lang w:val="en-US" w:eastAsia="zh-CN"/>
              </w:rPr>
              <w:t xml:space="preserve">8</w:t>
            </w:r>
            <w:r/>
          </w:p>
        </w:tc>
      </w:tr>
      <w:tr>
        <w:trPr>
          <w:jc w:val="center"/>
          <w:trHeight w:val="1274"/>
        </w:trPr>
        <w:tc>
          <w:tcPr>
            <w:tcBorders>
              <w:left w:val="single" w:color="auto" w:sz="4" w:space="0"/>
              <w:right w:val="single" w:color="auto" w:sz="4" w:space="0"/>
            </w:tcBorders>
            <w:tcW w:w="605" w:type="dxa"/>
            <w:vAlign w:val="center"/>
            <w:textDirection w:val="lrTb"/>
            <w:noWrap/>
          </w:tcPr>
          <w:p>
            <w:pPr>
              <w:rPr>
                <w:rFonts w:hint="eastAsia" w:eastAsia="宋体"/>
                <w:color w:val="auto"/>
                <w:highlight w:val="none"/>
                <w:lang w:val="en-US" w:eastAsia="zh-CN"/>
              </w:rPr>
            </w:pPr>
            <w:r>
              <w:rPr>
                <w:rFonts w:hint="eastAsia" w:eastAsia="宋体"/>
                <w:color w:val="auto"/>
                <w:highlight w:val="none"/>
                <w:lang w:val="en-US" w:eastAsia="zh-CN"/>
              </w:rPr>
              <w:t xml:space="preserve">3</w:t>
            </w:r>
            <w:r/>
          </w:p>
        </w:tc>
        <w:tc>
          <w:tcPr>
            <w:tcBorders>
              <w:left w:val="single" w:color="auto" w:sz="4" w:space="0"/>
              <w:right w:val="single" w:color="auto" w:sz="4" w:space="0"/>
            </w:tcBorders>
            <w:tcW w:w="1145" w:type="dxa"/>
            <w:vAlign w:val="center"/>
            <w:textDirection w:val="lrTb"/>
            <w:noWrap/>
          </w:tcPr>
          <w:p>
            <w:pPr>
              <w:spacing w:line="400" w:lineRule="exact"/>
              <w:rPr>
                <w:rFonts w:hint="eastAsia" w:eastAsia="宋体"/>
                <w:color w:val="auto"/>
                <w:highlight w:val="none"/>
              </w:rPr>
            </w:pPr>
            <w:r>
              <w:rPr>
                <w:rFonts w:hint="eastAsia" w:ascii="Times New Roman" w:hAnsi="Times New Roman" w:eastAsia="宋体" w:cs="Times New Roman"/>
                <w:color w:val="auto"/>
                <w:highlight w:val="none"/>
              </w:rPr>
              <w:t xml:space="preserve">产品质量保证</w:t>
            </w:r>
            <w:r/>
          </w:p>
        </w:tc>
        <w:tc>
          <w:tcPr>
            <w:tcBorders>
              <w:top w:val="single" w:color="auto" w:sz="4" w:space="0"/>
              <w:left w:val="single" w:color="auto" w:sz="4" w:space="0"/>
              <w:right w:val="single" w:color="auto" w:sz="4" w:space="0"/>
            </w:tcBorders>
            <w:tcW w:w="7258" w:type="dxa"/>
            <w:vAlign w:val="center"/>
            <w:textDirection w:val="lrTb"/>
            <w:noWrap/>
          </w:tcPr>
          <w:p>
            <w:pPr>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提供为此次服务所配备产品在202</w:t>
            </w:r>
            <w:r>
              <w:rPr>
                <w:rFonts w:hint="eastAsia"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年1月1日以来</w:t>
            </w:r>
            <w:r>
              <w:rPr>
                <w:rFonts w:hint="eastAsia" w:ascii="Times New Roman" w:hAnsi="Times New Roman" w:eastAsia="宋体" w:cs="Times New Roman"/>
                <w:i w:val="0"/>
                <w:iCs w:val="0"/>
                <w:caps w:val="0"/>
                <w:color w:val="auto"/>
                <w:spacing w:val="0"/>
                <w:sz w:val="21"/>
                <w:szCs w:val="24"/>
                <w:highlight w:val="none"/>
              </w:rPr>
              <w:t xml:space="preserve">有效的产品检（验）测报告或证明（第三方检（验）测机构出具的），检（验）测报告或证明品项必须与本项目采购标的物相符合且检（验）测结果合格，</w:t>
            </w:r>
            <w:r>
              <w:rPr>
                <w:rFonts w:hint="eastAsia"/>
                <w:color w:val="auto"/>
                <w:highlight w:val="none"/>
              </w:rPr>
              <w:t xml:space="preserve">做到产品可追溯源头</w:t>
            </w:r>
            <w:r>
              <w:rPr>
                <w:rFonts w:hint="eastAsia" w:ascii="Times New Roman" w:hAnsi="Times New Roman" w:eastAsia="宋体" w:cs="Times New Roman"/>
                <w:i w:val="0"/>
                <w:iCs w:val="0"/>
                <w:caps w:val="0"/>
                <w:color w:val="auto"/>
                <w:spacing w:val="0"/>
                <w:sz w:val="21"/>
                <w:szCs w:val="24"/>
                <w:highlight w:val="none"/>
              </w:rPr>
              <w:t xml:space="preserve">。</w:t>
            </w:r>
            <w:r>
              <w:rPr>
                <w:rFonts w:hint="eastAsia" w:eastAsia="宋体"/>
                <w:color w:val="auto"/>
                <w:highlight w:val="none"/>
              </w:rPr>
              <w:t xml:space="preserve">招标种类包含：①饮料；②预包装食品；③水产；④水果；</w:t>
            </w:r>
            <w:r>
              <w:rPr>
                <w:rFonts w:hint="eastAsia"/>
                <w:color w:val="auto"/>
                <w:highlight w:val="none"/>
                <w:lang w:val="en-US" w:eastAsia="zh-CN"/>
              </w:rPr>
              <w:t xml:space="preserve">每个种类至少提供一份检测报告，</w:t>
            </w:r>
            <w:r>
              <w:rPr>
                <w:rFonts w:hint="eastAsia" w:eastAsia="宋体"/>
                <w:color w:val="auto"/>
                <w:highlight w:val="none"/>
              </w:rPr>
              <w:t xml:space="preserve">每</w:t>
            </w:r>
            <w:r>
              <w:rPr>
                <w:rFonts w:hint="eastAsia"/>
                <w:color w:val="auto"/>
                <w:highlight w:val="none"/>
                <w:lang w:val="en-US" w:eastAsia="zh-CN"/>
              </w:rPr>
              <w:t xml:space="preserve">个</w:t>
            </w:r>
            <w:r>
              <w:rPr>
                <w:rFonts w:hint="eastAsia" w:eastAsia="宋体"/>
                <w:color w:val="auto"/>
                <w:highlight w:val="none"/>
              </w:rPr>
              <w:t xml:space="preserve">种类最多</w:t>
            </w:r>
            <w:r>
              <w:rPr>
                <w:rFonts w:hint="eastAsia"/>
                <w:color w:val="auto"/>
                <w:highlight w:val="none"/>
                <w:lang w:val="en-US" w:eastAsia="zh-CN"/>
              </w:rPr>
              <w:t xml:space="preserve">得1</w:t>
            </w:r>
            <w:r>
              <w:rPr>
                <w:rFonts w:hint="eastAsia" w:eastAsia="宋体"/>
                <w:color w:val="auto"/>
                <w:highlight w:val="none"/>
              </w:rPr>
              <w:t xml:space="preserve">分</w:t>
            </w:r>
            <w:r>
              <w:rPr>
                <w:rFonts w:hint="eastAsia"/>
                <w:color w:val="auto"/>
                <w:highlight w:val="none"/>
                <w:lang w:eastAsia="zh-CN"/>
              </w:rPr>
              <w:t xml:space="preserve">，</w:t>
            </w:r>
            <w:r>
              <w:rPr>
                <w:rFonts w:hint="eastAsia" w:cs="Times New Roman"/>
                <w:i w:val="0"/>
                <w:iCs w:val="0"/>
                <w:caps w:val="0"/>
                <w:color w:val="auto"/>
                <w:spacing w:val="0"/>
                <w:sz w:val="21"/>
                <w:szCs w:val="24"/>
                <w:highlight w:val="none"/>
                <w:lang w:val="en-US" w:eastAsia="zh-CN"/>
              </w:rPr>
              <w:t xml:space="preserve">本项满分4</w:t>
            </w:r>
            <w:r>
              <w:rPr>
                <w:rFonts w:hint="eastAsia" w:ascii="Times New Roman" w:hAnsi="Times New Roman" w:eastAsia="宋体" w:cs="Times New Roman"/>
                <w:i w:val="0"/>
                <w:iCs w:val="0"/>
                <w:caps w:val="0"/>
                <w:color w:val="auto"/>
                <w:spacing w:val="0"/>
                <w:sz w:val="21"/>
                <w:szCs w:val="24"/>
                <w:highlight w:val="none"/>
              </w:rPr>
              <w:t xml:space="preserve">分。（提供有效检（验）测报告或证明加盖供应商单位公章</w:t>
            </w:r>
            <w:r>
              <w:rPr>
                <w:rFonts w:hint="eastAsia" w:cs="Times New Roman"/>
                <w:i w:val="0"/>
                <w:iCs w:val="0"/>
                <w:caps w:val="0"/>
                <w:color w:val="auto"/>
                <w:spacing w:val="0"/>
                <w:sz w:val="21"/>
                <w:szCs w:val="24"/>
                <w:highlight w:val="none"/>
                <w:lang w:eastAsia="zh-CN"/>
              </w:rPr>
              <w:t xml:space="preserve">，</w:t>
            </w:r>
            <w:r>
              <w:rPr>
                <w:rFonts w:hint="eastAsia" w:ascii="Times New Roman" w:hAnsi="Times New Roman" w:eastAsia="宋体" w:cs="Times New Roman"/>
                <w:color w:val="auto"/>
                <w:highlight w:val="none"/>
              </w:rPr>
              <w:t xml:space="preserve">第三方检测报告</w:t>
            </w:r>
            <w:r>
              <w:rPr>
                <w:rFonts w:hint="eastAsia" w:cs="Times New Roman"/>
                <w:color w:val="auto"/>
                <w:highlight w:val="none"/>
                <w:lang w:val="en-US" w:eastAsia="zh-CN"/>
              </w:rPr>
              <w:t xml:space="preserve">需</w:t>
            </w:r>
            <w:r>
              <w:rPr>
                <w:rFonts w:hint="eastAsia" w:ascii="Times New Roman" w:hAnsi="Times New Roman" w:eastAsia="宋体" w:cs="Times New Roman"/>
                <w:color w:val="auto"/>
                <w:highlight w:val="none"/>
              </w:rPr>
              <w:t xml:space="preserve">符合有中国合格评定国家认可委员会（CNAS）或中国计量认证（CMA）或同等的国家认可、认证资质的第三方检测机构检测的标准）</w:t>
            </w:r>
            <w:r>
              <w:rPr>
                <w:rFonts w:hint="eastAsia"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4</w:t>
            </w:r>
            <w:r/>
          </w:p>
        </w:tc>
      </w:tr>
      <w:tr>
        <w:trPr>
          <w:jc w:val="center"/>
          <w:trHeight w:val="1274"/>
        </w:trPr>
        <w:tc>
          <w:tcPr>
            <w:tcBorders>
              <w:left w:val="single" w:color="auto" w:sz="4" w:space="0"/>
              <w:right w:val="single" w:color="auto" w:sz="4" w:space="0"/>
            </w:tcBorders>
            <w:tcW w:w="605" w:type="dxa"/>
            <w:vAlign w:val="center"/>
            <w:textDirection w:val="lrTb"/>
            <w:noWrap/>
          </w:tcPr>
          <w:p>
            <w:pPr>
              <w:rPr>
                <w:rFonts w:hint="eastAsia" w:eastAsia="宋体"/>
                <w:color w:val="auto"/>
                <w:highlight w:val="none"/>
                <w:lang w:val="en-US" w:eastAsia="zh-CN"/>
              </w:rPr>
            </w:pPr>
            <w:r>
              <w:rPr>
                <w:rFonts w:hint="eastAsia"/>
                <w:color w:val="auto"/>
                <w:highlight w:val="none"/>
                <w:lang w:val="en-US" w:eastAsia="zh-CN"/>
              </w:rPr>
              <w:t xml:space="preserve">4</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eastAsia="宋体"/>
                <w:color w:val="auto"/>
                <w:highlight w:val="none"/>
              </w:rPr>
              <w:t xml:space="preserve">人员配置</w:t>
            </w:r>
            <w:r/>
          </w:p>
        </w:tc>
        <w:tc>
          <w:tcPr>
            <w:tcBorders>
              <w:top w:val="single" w:color="auto" w:sz="4" w:space="0"/>
              <w:left w:val="single" w:color="auto" w:sz="4" w:space="0"/>
              <w:right w:val="single" w:color="auto" w:sz="4" w:space="0"/>
            </w:tcBorders>
            <w:tcW w:w="7258" w:type="dxa"/>
            <w:vAlign w:val="center"/>
            <w:textDirection w:val="lrTb"/>
            <w:noWrap/>
          </w:tcPr>
          <w:p>
            <w:pPr>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人员配置要求：投标人需提供本企业满足本次招标配送服务人员，有一人得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分，最多</w:t>
            </w:r>
            <w:r>
              <w:rPr>
                <w:rFonts w:hint="default"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分；（需提供社保机构出具的202</w:t>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年</w:t>
            </w:r>
            <w:r>
              <w:rPr>
                <w:rFonts w:hint="eastAsia" w:cs="Times New Roman"/>
                <w:color w:val="auto"/>
                <w:highlight w:val="none"/>
                <w:lang w:val="en-US" w:eastAsia="zh-CN"/>
              </w:rPr>
              <w:t xml:space="preserve">11</w:t>
            </w:r>
            <w:r>
              <w:rPr>
                <w:rFonts w:hint="eastAsia" w:ascii="Times New Roman" w:hAnsi="Times New Roman" w:eastAsia="宋体" w:cs="Times New Roman"/>
                <w:color w:val="auto"/>
                <w:highlight w:val="none"/>
              </w:rPr>
              <w:t xml:space="preserve">月-202</w:t>
            </w: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年</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月任意一个月投标人为其缴纳的养老保险缴费证明材料并加盖社保中心章或社保中心参保缴费证明电子专用章以及有效期内的人员健康证</w:t>
            </w:r>
            <w:r>
              <w:rPr>
                <w:rFonts w:hint="eastAsia" w:cs="Times New Roman"/>
                <w:color w:val="auto"/>
                <w:highlight w:val="none"/>
                <w:lang w:val="en-US" w:eastAsia="zh-CN"/>
              </w:rPr>
              <w:t xml:space="preserve">明</w:t>
            </w:r>
            <w:r>
              <w:rPr>
                <w:rFonts w:hint="eastAsia" w:ascii="Times New Roman" w:hAnsi="Times New Roman" w:eastAsia="宋体" w:cs="Times New Roman"/>
                <w:color w:val="auto"/>
                <w:highlight w:val="none"/>
              </w:rPr>
              <w:t xml:space="preserve">，否则不得分）。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5</w:t>
            </w:r>
            <w:r/>
          </w:p>
        </w:tc>
      </w:tr>
      <w:tr>
        <w:trPr>
          <w:jc w:val="center"/>
          <w:trHeight w:val="1274"/>
        </w:trPr>
        <w:tc>
          <w:tcPr>
            <w:tcBorders>
              <w:left w:val="single" w:color="auto" w:sz="4" w:space="0"/>
              <w:right w:val="single" w:color="auto" w:sz="4" w:space="0"/>
            </w:tcBorders>
            <w:tcW w:w="605" w:type="dxa"/>
            <w:vAlign w:val="center"/>
            <w:textDirection w:val="lrTb"/>
            <w:noWrap/>
          </w:tcPr>
          <w:p>
            <w:pPr>
              <w:rPr>
                <w:rFonts w:hint="default" w:eastAsia="宋体"/>
                <w:color w:val="auto"/>
                <w:highlight w:val="none"/>
                <w:lang w:val="en-US" w:eastAsia="zh-CN"/>
              </w:rPr>
            </w:pPr>
            <w:r>
              <w:rPr>
                <w:rFonts w:hint="eastAsia"/>
                <w:color w:val="auto"/>
                <w:highlight w:val="none"/>
                <w:lang w:val="en-US" w:eastAsia="zh-CN"/>
              </w:rPr>
              <w:t xml:space="preserve">5</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lang w:val="en-US" w:eastAsia="zh-CN"/>
              </w:rPr>
            </w:pPr>
            <w:r>
              <w:rPr>
                <w:rFonts w:hint="eastAsia" w:ascii="Times New Roman" w:hAnsi="Times New Roman" w:eastAsia="宋体" w:cs="Times New Roman"/>
                <w:color w:val="auto"/>
                <w:highlight w:val="none"/>
              </w:rPr>
              <w:t xml:space="preserve">配送</w:t>
            </w:r>
            <w:r>
              <w:rPr>
                <w:rFonts w:hint="eastAsia" w:cs="Times New Roman"/>
                <w:color w:val="auto"/>
                <w:highlight w:val="none"/>
                <w:lang w:val="en-US" w:eastAsia="zh-CN"/>
              </w:rPr>
              <w:t xml:space="preserve">能力</w:t>
            </w:r>
            <w:r/>
          </w:p>
        </w:tc>
        <w:tc>
          <w:tcPr>
            <w:tcBorders>
              <w:top w:val="single" w:color="auto" w:sz="4" w:space="0"/>
              <w:left w:val="single" w:color="auto" w:sz="4" w:space="0"/>
              <w:right w:val="single" w:color="auto" w:sz="4" w:space="0"/>
            </w:tcBorders>
            <w:tcW w:w="7258" w:type="dxa"/>
            <w:vAlign w:val="center"/>
            <w:textDirection w:val="lrTb"/>
            <w:noWrap/>
          </w:tcPr>
          <w:p>
            <w:pPr>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供应商具有配送服务车辆，</w:t>
            </w:r>
            <w:r>
              <w:rPr>
                <w:rFonts w:hint="eastAsia" w:cs="Times New Roman"/>
                <w:color w:val="auto"/>
                <w:highlight w:val="none"/>
                <w:lang w:val="en-US" w:eastAsia="zh-CN"/>
              </w:rPr>
              <w:t xml:space="preserve">提供2辆及以上</w:t>
            </w:r>
            <w:r>
              <w:rPr>
                <w:rFonts w:hint="eastAsia" w:ascii="Times New Roman" w:hAnsi="Times New Roman" w:eastAsia="宋体" w:cs="Times New Roman"/>
                <w:color w:val="auto"/>
                <w:highlight w:val="none"/>
              </w:rPr>
              <w:t xml:space="preserve">配送服务车辆</w:t>
            </w:r>
            <w:r>
              <w:rPr>
                <w:rFonts w:hint="eastAsia" w:cs="Times New Roman"/>
                <w:color w:val="auto"/>
                <w:highlight w:val="none"/>
                <w:lang w:val="en-US" w:eastAsia="zh-CN"/>
              </w:rPr>
              <w:t xml:space="preserve">得2分</w:t>
            </w:r>
            <w:r>
              <w:rPr>
                <w:rFonts w:hint="eastAsia" w:ascii="Times New Roman" w:hAnsi="Times New Roman" w:eastAsia="宋体" w:cs="Times New Roman"/>
                <w:color w:val="auto"/>
                <w:highlight w:val="none"/>
              </w:rPr>
              <w:t xml:space="preserve">，</w:t>
            </w:r>
            <w:r>
              <w:rPr>
                <w:rFonts w:hint="eastAsia" w:cs="Times New Roman"/>
                <w:color w:val="auto"/>
                <w:highlight w:val="none"/>
                <w:lang w:val="en-US" w:eastAsia="zh-CN"/>
              </w:rPr>
              <w:t xml:space="preserve">其中一辆为冷藏车的，加2分，本项满分4</w:t>
            </w:r>
            <w:r>
              <w:rPr>
                <w:rFonts w:hint="eastAsia" w:ascii="Times New Roman" w:hAnsi="Times New Roman" w:eastAsia="宋体" w:cs="Times New Roman"/>
                <w:color w:val="auto"/>
                <w:highlight w:val="none"/>
              </w:rPr>
              <w:t xml:space="preserve">分。</w:t>
            </w:r>
            <w:r/>
          </w:p>
          <w:p>
            <w:pPr>
              <w:numPr>
                <w:ilvl w:val="0"/>
                <w:numId w:val="5"/>
              </w:numPr>
              <w:ind w:left="105" w:firstLine="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如为自有车辆，须提供有效期内的车辆行驶证复印件（行驶证登记的所有人须为供应商单位或法人代表）或购车发票复印件（购买方须为供应商）及车辆整体、车牌信息完整清晰照片加盖供应商单位公章； </w:t>
            </w:r>
            <w:r/>
          </w:p>
          <w:p>
            <w:pPr>
              <w:numPr>
                <w:ilvl w:val="0"/>
                <w:numId w:val="0"/>
              </w:numPr>
              <w:ind w:left="105"/>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 如为租赁车辆须提供租赁合同复印件（须包含租赁车辆车牌号，承租方须为供应商）、租赁期内任意一次付款发票，加盖供应商单位公章，合同需在有效期内，租赁期限不得短于本项目合同期，如无法覆盖本项目周期的，还须提供到期续签的承诺书加盖供应商单位公章，格式自拟，未提供或未按要求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4</w:t>
            </w:r>
            <w:r/>
          </w:p>
        </w:tc>
      </w:tr>
      <w:tr>
        <w:trPr>
          <w:jc w:val="center"/>
          <w:trHeight w:val="501"/>
        </w:trPr>
        <w:tc>
          <w:tcPr>
            <w:tcBorders>
              <w:left w:val="single" w:color="auto" w:sz="4" w:space="0"/>
              <w:right w:val="single" w:color="auto" w:sz="4" w:space="0"/>
            </w:tcBorders>
            <w:tcW w:w="605" w:type="dxa"/>
            <w:vAlign w:val="center"/>
            <w:textDirection w:val="lrTb"/>
            <w:noWrap/>
          </w:tcPr>
          <w:p>
            <w:pPr>
              <w:rPr>
                <w:rFonts w:hint="default" w:eastAsia="宋体"/>
                <w:color w:val="auto"/>
                <w:highlight w:val="none"/>
                <w:lang w:val="en-US" w:eastAsia="zh-CN"/>
              </w:rPr>
            </w:pPr>
            <w:r>
              <w:rPr>
                <w:rFonts w:hint="eastAsia"/>
                <w:color w:val="auto"/>
                <w:highlight w:val="none"/>
                <w:lang w:val="en-US" w:eastAsia="zh-CN"/>
              </w:rPr>
              <w:t xml:space="preserve">6</w:t>
            </w:r>
            <w:r/>
          </w:p>
        </w:tc>
        <w:tc>
          <w:tcPr>
            <w:tcBorders>
              <w:left w:val="single" w:color="auto" w:sz="4" w:space="0"/>
              <w:right w:val="single" w:color="auto" w:sz="4" w:space="0"/>
            </w:tcBorders>
            <w:tcW w:w="1145" w:type="dxa"/>
            <w:vAlign w:val="center"/>
            <w:textDirection w:val="lrTb"/>
            <w:noWrap/>
          </w:tcPr>
          <w:p>
            <w:pPr>
              <w:rPr>
                <w:rFonts w:hint="eastAsia" w:ascii="Times New Roman" w:hAnsi="Times New Roman" w:eastAsia="宋体" w:cs="Times New Roman"/>
                <w:color w:val="auto"/>
                <w:highlight w:val="none"/>
              </w:rPr>
            </w:pPr>
            <w:r>
              <w:rPr>
                <w:rFonts w:hint="eastAsia" w:ascii="宋体" w:hAnsi="宋体" w:eastAsia="宋体" w:cs="宋体"/>
                <w:color w:val="auto"/>
                <w:highlight w:val="none"/>
              </w:rPr>
              <w:t xml:space="preserve">仓储服务</w:t>
            </w:r>
            <w:r/>
          </w:p>
        </w:tc>
        <w:tc>
          <w:tcPr>
            <w:tcBorders>
              <w:top w:val="single" w:color="auto" w:sz="4" w:space="0"/>
              <w:left w:val="single" w:color="auto" w:sz="4" w:space="0"/>
              <w:right w:val="single" w:color="auto" w:sz="4" w:space="0"/>
            </w:tcBorders>
            <w:tcW w:w="7258" w:type="dxa"/>
            <w:vAlign w:val="center"/>
            <w:textDirection w:val="lrTb"/>
            <w:noWrap/>
          </w:tcPr>
          <w:p>
            <w:pPr>
              <w:numPr>
                <w:ilvl w:val="0"/>
                <w:numId w:val="0"/>
              </w:numPr>
              <w:ind w:left="105"/>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供应商有固定的仓储场所，能够满足食材存放、分拣等工作需要的，得</w:t>
            </w:r>
            <w:r>
              <w:rPr>
                <w:rFonts w:hint="default"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w:t>
            </w:r>
            <w:r>
              <w:rPr>
                <w:rFonts w:hint="eastAsia" w:cs="Times New Roman"/>
                <w:color w:val="auto"/>
                <w:highlight w:val="none"/>
                <w:lang w:eastAsia="zh-CN"/>
              </w:rPr>
              <w:t xml:space="preserve">。</w:t>
            </w:r>
            <w:r>
              <w:rPr>
                <w:rFonts w:hint="eastAsia" w:ascii="Times New Roman" w:hAnsi="Times New Roman" w:eastAsia="宋体" w:cs="Times New Roman"/>
                <w:color w:val="auto"/>
                <w:highlight w:val="none"/>
              </w:rPr>
              <w:t xml:space="preserve">须提供以下任意一条的证明材料：</w:t>
            </w:r>
            <w:r/>
          </w:p>
          <w:p>
            <w:pPr>
              <w:numPr>
                <w:ilvl w:val="0"/>
                <w:numId w:val="0"/>
              </w:numPr>
              <w:ind w:left="105"/>
              <w:spacing w:line="400" w:lineRule="exact"/>
              <w:rPr>
                <w:rFonts w:hint="eastAsia" w:ascii="Times New Roman" w:hAnsi="Times New Roman" w:eastAsia="宋体" w:cs="Times New Roman"/>
                <w:color w:val="auto"/>
                <w:highlight w:val="none"/>
              </w:rPr>
            </w:pP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如为自有产权的须提供自有产权证明复印件及仓储场所现场照片加盖供应商单位公章；</w:t>
            </w:r>
            <w:r/>
          </w:p>
          <w:p>
            <w:pPr>
              <w:numPr>
                <w:ilvl w:val="0"/>
                <w:numId w:val="0"/>
              </w:numPr>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如为租赁的，须提供租赁合同证明复印件及租赁期内任意一次租赁发票或汇款凭证，仓储场所现场照片加盖投标单位公章；合同须在有效期内，租赁期限不得短于本项目合同期，如无法覆盖本项目周期的，还须提供到期续签的承诺书加盖投标单位公章，格式自拟。未提供或未按要求提供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default"/>
                <w:color w:val="auto"/>
                <w:highlight w:val="none"/>
                <w:lang w:val="en-US" w:eastAsia="zh-CN"/>
              </w:rPr>
              <w:t xml:space="preserve">2</w:t>
            </w:r>
            <w:r/>
          </w:p>
        </w:tc>
      </w:tr>
      <w:tr>
        <w:trPr>
          <w:jc w:val="center"/>
          <w:trHeight w:val="501"/>
        </w:trPr>
        <w:tc>
          <w:tcPr>
            <w:tcBorders>
              <w:left w:val="single" w:color="auto" w:sz="4" w:space="0"/>
              <w:right w:val="single" w:color="auto" w:sz="4" w:space="0"/>
            </w:tcBorders>
            <w:tcW w:w="60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7</w:t>
            </w:r>
            <w:r/>
          </w:p>
        </w:tc>
        <w:tc>
          <w:tcPr>
            <w:tcBorders>
              <w:left w:val="single" w:color="auto" w:sz="4" w:space="0"/>
              <w:right w:val="single" w:color="auto" w:sz="4" w:space="0"/>
            </w:tcBorders>
            <w:tcW w:w="1145"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保鲜冷冻库</w:t>
            </w:r>
            <w:r/>
          </w:p>
        </w:tc>
        <w:tc>
          <w:tcPr>
            <w:tcBorders>
              <w:top w:val="single" w:color="auto" w:sz="4" w:space="0"/>
              <w:left w:val="single" w:color="auto" w:sz="4" w:space="0"/>
              <w:right w:val="single" w:color="auto" w:sz="4" w:space="0"/>
            </w:tcBorders>
            <w:tcW w:w="7258" w:type="dxa"/>
            <w:vAlign w:val="center"/>
            <w:textDirection w:val="lrTb"/>
            <w:noWrap/>
          </w:tcPr>
          <w:p>
            <w:pPr>
              <w:numPr>
                <w:ilvl w:val="0"/>
                <w:numId w:val="0"/>
              </w:numPr>
              <w:ind w:left="105"/>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w:t>
            </w:r>
            <w:r>
              <w:rPr>
                <w:rFonts w:hint="eastAsia" w:ascii="宋体" w:hAnsi="宋体" w:eastAsia="宋体" w:cs="宋体"/>
                <w:color w:val="auto"/>
                <w:highlight w:val="none"/>
              </w:rPr>
              <w:t xml:space="preserve">自有或租有专用保鲜/冷冻库且面积满</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00平方米及以上的得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面积100平方米(不含)-200平方米(</w:t>
            </w:r>
            <w:r>
              <w:rPr>
                <w:rFonts w:hint="eastAsia" w:ascii="宋体" w:hAnsi="宋体" w:cs="宋体"/>
                <w:color w:val="auto"/>
                <w:highlight w:val="none"/>
                <w:lang w:val="en-US" w:eastAsia="zh-CN"/>
              </w:rPr>
              <w:t xml:space="preserve">不</w:t>
            </w:r>
            <w:r>
              <w:rPr>
                <w:rFonts w:hint="eastAsia" w:ascii="宋体" w:hAnsi="宋体" w:eastAsia="宋体" w:cs="宋体"/>
                <w:color w:val="auto"/>
                <w:highlight w:val="none"/>
              </w:rPr>
              <w:t xml:space="preserve">含) 的得</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100平方米及以下的得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Times New Roman" w:hAnsi="Times New Roman" w:eastAsia="宋体" w:cs="Times New Roman"/>
                <w:color w:val="auto"/>
                <w:highlight w:val="none"/>
              </w:rPr>
              <w:t xml:space="preserve">须提供以下任意一条的证明材料：</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如为自有产权的须提供自有产权证明复印件及仓储场所现场照片加盖供应商单位公章；</w:t>
            </w:r>
            <w:r/>
          </w:p>
          <w:p>
            <w:pPr>
              <w:numPr>
                <w:ilvl w:val="0"/>
                <w:numId w:val="0"/>
              </w:numPr>
              <w:spacing w:line="400" w:lineRule="exact"/>
              <w:rPr>
                <w:rFonts w:hint="eastAsia" w:ascii="宋体" w:hAnsi="宋体" w:eastAsia="宋体" w:cs="宋体"/>
                <w:color w:val="auto"/>
                <w:highlight w:val="none"/>
              </w:rPr>
            </w:pPr>
            <w:r>
              <w:rPr>
                <w:rFonts w:hint="eastAsia" w:ascii="Times New Roman" w:hAnsi="Times New Roman" w:eastAsia="宋体" w:cs="Times New Roman"/>
                <w:color w:val="auto"/>
                <w:highlight w:val="none"/>
              </w:rPr>
              <w:t xml:space="preserve">2.如为租赁的，须提供租赁合同证明复印件及租赁期内任意一次租赁发票或汇款凭证，仓储场所现场照片加盖投标单位公章；合同须在有效期内，租赁期限不得短于本项目合同期，如无法覆盖本项目周期的，还须提供到期续签的承诺书加盖投标单位公章，格式自拟。未提供或未按要求提供不得分。</w:t>
            </w:r>
            <w:r/>
          </w:p>
          <w:p>
            <w:pPr>
              <w:pStyle w:val="923"/>
              <w:ind w:left="0"/>
              <w:rPr>
                <w:rFonts w:hint="eastAsia"/>
                <w:highlight w:val="none"/>
                <w:lang w:eastAsia="zh-CN"/>
              </w:rPr>
            </w:pPr>
            <w:r>
              <w:rPr>
                <w:rFonts w:hint="eastAsia" w:ascii="宋体" w:hAnsi="宋体" w:eastAsia="宋体" w:cs="宋体"/>
                <w:b/>
                <w:bCs/>
                <w:color w:val="auto"/>
                <w:highlight w:val="none"/>
              </w:rPr>
              <w:t xml:space="preserve">注：仓储场所和保鲜冷冻库</w:t>
            </w:r>
            <w:r>
              <w:rPr>
                <w:rFonts w:hint="eastAsia" w:ascii="宋体" w:hAnsi="宋体" w:eastAsia="宋体" w:cs="宋体"/>
                <w:b/>
                <w:bCs/>
                <w:color w:val="auto"/>
                <w:highlight w:val="none"/>
                <w:lang w:val="en-US" w:eastAsia="zh-CN"/>
              </w:rPr>
              <w:t xml:space="preserve">为同一间</w:t>
            </w:r>
            <w:r>
              <w:rPr>
                <w:rFonts w:hint="eastAsia" w:ascii="宋体" w:hAnsi="宋体" w:eastAsia="宋体" w:cs="宋体"/>
                <w:b/>
                <w:bCs/>
                <w:color w:val="auto"/>
                <w:highlight w:val="none"/>
              </w:rPr>
              <w:t xml:space="preserve">不重复计分。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2</w:t>
            </w:r>
            <w:r/>
          </w:p>
        </w:tc>
      </w:tr>
      <w:tr>
        <w:trPr>
          <w:jc w:val="center"/>
          <w:trHeight w:val="1024"/>
        </w:trPr>
        <w:tc>
          <w:tcPr>
            <w:tcBorders>
              <w:left w:val="single" w:color="auto" w:sz="4" w:space="0"/>
              <w:right w:val="single" w:color="auto" w:sz="4" w:space="0"/>
            </w:tcBorders>
            <w:tcW w:w="605" w:type="dxa"/>
            <w:vAlign w:val="center"/>
            <w:textDirection w:val="lrTb"/>
            <w:noWrap/>
          </w:tcPr>
          <w:p>
            <w:pPr>
              <w:rPr>
                <w:rFonts w:hint="eastAsia" w:eastAsia="宋体"/>
                <w:color w:val="auto"/>
                <w:highlight w:val="none"/>
                <w:lang w:val="en-US" w:eastAsia="zh-CN"/>
              </w:rPr>
            </w:pPr>
            <w:r>
              <w:rPr>
                <w:rFonts w:hint="eastAsia"/>
                <w:color w:val="auto"/>
                <w:highlight w:val="none"/>
                <w:lang w:val="en-US" w:eastAsia="zh-CN"/>
              </w:rPr>
              <w:t xml:space="preserve">8</w:t>
            </w:r>
            <w:r/>
          </w:p>
        </w:tc>
        <w:tc>
          <w:tcPr>
            <w:tcBorders>
              <w:left w:val="single" w:color="auto" w:sz="4" w:space="0"/>
              <w:right w:val="single" w:color="auto" w:sz="4" w:space="0"/>
            </w:tcBorders>
            <w:tcW w:w="1145" w:type="dxa"/>
            <w:vAlign w:val="center"/>
            <w:textDirection w:val="lrTb"/>
            <w:noWrap/>
          </w:tcPr>
          <w:p>
            <w:pPr>
              <w:spacing w:line="400" w:lineRule="exac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保险</w:t>
            </w:r>
            <w:r/>
          </w:p>
        </w:tc>
        <w:tc>
          <w:tcPr>
            <w:tcBorders>
              <w:top w:val="single" w:color="auto" w:sz="4" w:space="0"/>
              <w:left w:val="single" w:color="auto" w:sz="4" w:space="0"/>
              <w:right w:val="single" w:color="auto" w:sz="4" w:space="0"/>
            </w:tcBorders>
            <w:tcW w:w="7258" w:type="dxa"/>
            <w:vAlign w:val="center"/>
            <w:textDirection w:val="lrTb"/>
            <w:noWrap/>
          </w:tcPr>
          <w:p>
            <w:pPr>
              <w:ind w:left="42"/>
              <w:shd w:val="clear" w:color="auto"/>
              <w:tabs>
                <w:tab w:val="left" w:pos="0" w:leader="none"/>
              </w:tabs>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cs="宋体"/>
                <w:color w:val="000000" w:themeColor="text1"/>
                <w:szCs w:val="21"/>
                <w:highlight w:val="none"/>
                <w:lang w:val="en-US" w:eastAsia="zh-CN"/>
                <w14:textFill>
                  <w14:solidFill>
                    <w14:schemeClr w14:val="tx1"/>
                  </w14:solidFill>
                </w14:textFill>
              </w:rPr>
              <w:t xml:space="preserve">已购买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食品安全责任保险或承诺中标后为本</w:t>
            </w:r>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 xml:space="preserve">项目</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投保</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投保800万元</w:t>
            </w:r>
            <w:r>
              <w:rPr>
                <w:rFonts w:hint="eastAsia" w:ascii="宋体" w:hAnsi="宋体" w:cs="宋体"/>
                <w:color w:val="000000" w:themeColor="text1"/>
                <w:szCs w:val="21"/>
                <w:highlight w:val="none"/>
                <w:lang w:val="en-US" w:eastAsia="zh-CN"/>
                <w14:textFill>
                  <w14:solidFill>
                    <w14:schemeClr w14:val="tx1"/>
                  </w14:solidFill>
                </w14:textFill>
              </w:rPr>
              <w:t xml:space="preserve">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以上的得2分；投保800万元以</w:t>
            </w:r>
            <w:r>
              <w:rPr>
                <w:rFonts w:hint="eastAsia" w:ascii="宋体" w:hAnsi="宋体" w:cs="宋体"/>
                <w:color w:val="000000" w:themeColor="text1"/>
                <w:szCs w:val="21"/>
                <w:highlight w:val="none"/>
                <w:lang w:val="en-US" w:eastAsia="zh-CN"/>
                <w14:textFill>
                  <w14:solidFill>
                    <w14:schemeClr w14:val="tx1"/>
                  </w14:solidFill>
                </w14:textFill>
              </w:rPr>
              <w:t xml:space="preserve">下</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 xml:space="preserve">提供购置保单及发票复印件</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 xml:space="preserve">或</w:t>
            </w:r>
            <w:r>
              <w:rPr>
                <w:rFonts w:hint="eastAsia" w:ascii="Times New Roman" w:hAnsi="Times New Roman" w:eastAsia="宋体" w:cs="Times New Roman"/>
                <w:color w:val="auto"/>
                <w:highlight w:val="none"/>
              </w:rPr>
              <w:t xml:space="preserve">承诺书</w:t>
            </w:r>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 xml:space="preserve">加盖公章</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left="42"/>
              <w:spacing w:line="240" w:lineRule="auto"/>
              <w:shd w:val="clear" w:color="auto"/>
              <w:tabs>
                <w:tab w:val="left" w:pos="0" w:leader="none"/>
              </w:tabs>
              <w:rPr>
                <w:rFonts w:hint="eastAsia" w:ascii="Times New Roman" w:hAnsi="Times New Roman" w:eastAsia="宋体" w:cs="Times New Roman"/>
                <w:color w:val="auto"/>
                <w:highlight w:val="none"/>
                <w:lang w:eastAsia="zh-CN"/>
              </w:rPr>
            </w:pPr>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 xml:space="preserve">注：如供应商已购买的食品安全责任险不能覆盖本项目的合同履约期限则需提供续保承诺函</w:t>
            </w:r>
            <w:r>
              <w:rPr>
                <w:rFonts w:hint="eastAsia" w:ascii="宋体" w:hAnsi="宋体" w:cs="宋体"/>
                <w:i w:val="0"/>
                <w:iCs w:val="0"/>
                <w:caps w:val="0"/>
                <w:color w:val="000000" w:themeColor="text1"/>
                <w:spacing w:val="0"/>
                <w:sz w:val="21"/>
                <w:szCs w:val="21"/>
                <w:highlight w:val="none"/>
                <w:lang w:eastAsia="zh-CN"/>
                <w14:textFill>
                  <w14:solidFill>
                    <w14:schemeClr w14:val="tx1"/>
                  </w14:solidFill>
                </w14:textFill>
              </w:rPr>
              <w:t xml:space="preserve">（</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 xml:space="preserve">格式自拟</w:t>
            </w:r>
            <w:r>
              <w:rPr>
                <w:rFonts w:hint="eastAsia" w:ascii="宋体" w:hAnsi="宋体" w:cs="宋体"/>
                <w:i w:val="0"/>
                <w:iCs w:val="0"/>
                <w:caps w:val="0"/>
                <w:color w:val="000000" w:themeColor="text1"/>
                <w:spacing w:val="0"/>
                <w:sz w:val="21"/>
                <w:szCs w:val="21"/>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 xml:space="preserve">，未提供续保承诺函的，本项不得分</w:t>
            </w:r>
            <w:r>
              <w:rPr>
                <w:rFonts w:hint="eastAsia" w:ascii="宋体" w:hAnsi="宋体" w:cs="宋体"/>
                <w:i w:val="0"/>
                <w:iCs w:val="0"/>
                <w:caps w:val="0"/>
                <w:color w:val="000000" w:themeColor="text1"/>
                <w:spacing w:val="0"/>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2</w:t>
            </w:r>
            <w:r/>
          </w:p>
        </w:tc>
      </w:tr>
      <w:tr>
        <w:trPr>
          <w:jc w:val="center"/>
          <w:trHeight w:val="1438"/>
        </w:trPr>
        <w:tc>
          <w:tcPr>
            <w:tcBorders>
              <w:left w:val="single" w:color="auto" w:sz="4" w:space="0"/>
              <w:right w:val="single" w:color="auto" w:sz="4" w:space="0"/>
            </w:tcBorders>
            <w:tcW w:w="605" w:type="dxa"/>
            <w:vAlign w:val="center"/>
            <w:textDirection w:val="lrTb"/>
            <w:noWrap/>
          </w:tcPr>
          <w:p>
            <w:pPr>
              <w:rPr>
                <w:rFonts w:hint="eastAsia" w:eastAsia="宋体"/>
                <w:color w:val="auto"/>
                <w:highlight w:val="none"/>
                <w:lang w:eastAsia="zh-CN"/>
              </w:rPr>
            </w:pPr>
            <w:r>
              <w:rPr>
                <w:rFonts w:hint="eastAsia"/>
                <w:color w:val="auto"/>
                <w:highlight w:val="none"/>
                <w:lang w:val="en-US" w:eastAsia="zh-CN"/>
              </w:rPr>
              <w:t xml:space="preserve">9</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eastAsia="宋体"/>
                <w:color w:val="auto"/>
                <w:highlight w:val="none"/>
              </w:rPr>
              <w:t xml:space="preserve">类似业绩</w:t>
            </w:r>
            <w:r/>
          </w:p>
        </w:tc>
        <w:tc>
          <w:tcPr>
            <w:tcBorders>
              <w:top w:val="single" w:color="auto" w:sz="4" w:space="0"/>
              <w:left w:val="single" w:color="auto" w:sz="4" w:space="0"/>
              <w:right w:val="single" w:color="auto" w:sz="4" w:space="0"/>
            </w:tcBorders>
            <w:tcW w:w="7258" w:type="dxa"/>
            <w:vAlign w:val="center"/>
            <w:textDirection w:val="lrTb"/>
            <w:noWrap/>
          </w:tcPr>
          <w:p>
            <w:pPr>
              <w:rPr>
                <w:rFonts w:hint="eastAsia" w:ascii="宋体" w:hAnsi="宋体" w:eastAsia="宋体" w:cs="宋体"/>
                <w:bCs/>
                <w:color w:val="auto"/>
                <w:szCs w:val="21"/>
                <w:highlight w:val="none"/>
                <w:lang w:eastAsia="zh-CN"/>
              </w:rPr>
            </w:pPr>
            <w:r>
              <w:rPr>
                <w:rFonts w:hint="eastAsia"/>
                <w:color w:val="auto"/>
                <w:highlight w:val="none"/>
              </w:rPr>
              <w:t xml:space="preserve">投标供应商</w:t>
            </w:r>
            <w:r>
              <w:rPr>
                <w:rFonts w:hint="eastAsia" w:ascii="Times New Roman" w:hAnsi="Times New Roman" w:eastAsia="宋体" w:cs="Times New Roman"/>
                <w:color w:val="auto"/>
                <w:highlight w:val="none"/>
              </w:rPr>
              <w:t xml:space="preserve">202</w:t>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年1月1日</w:t>
            </w:r>
            <w:r>
              <w:rPr>
                <w:rFonts w:hint="eastAsia"/>
                <w:color w:val="auto"/>
                <w:highlight w:val="none"/>
              </w:rPr>
              <w:t xml:space="preserve">以来</w:t>
            </w:r>
            <w:r>
              <w:rPr>
                <w:rFonts w:hint="eastAsia"/>
                <w:color w:val="auto"/>
                <w:highlight w:val="none"/>
                <w:lang w:val="en-US" w:eastAsia="zh-CN"/>
              </w:rPr>
              <w:t xml:space="preserve">招标文件要求4个种类</w:t>
            </w:r>
            <w:r>
              <w:rPr>
                <w:rFonts w:hint="eastAsia"/>
                <w:color w:val="auto"/>
                <w:highlight w:val="none"/>
              </w:rPr>
              <w:t xml:space="preserve">的</w:t>
            </w:r>
            <w:r>
              <w:rPr>
                <w:rFonts w:hint="eastAsia"/>
                <w:color w:val="auto"/>
                <w:highlight w:val="none"/>
                <w:lang w:val="en-US" w:eastAsia="zh-CN"/>
              </w:rPr>
              <w:t xml:space="preserve">长期</w:t>
            </w:r>
            <w:r>
              <w:rPr>
                <w:rFonts w:hint="eastAsia"/>
                <w:color w:val="auto"/>
                <w:highlight w:val="none"/>
              </w:rPr>
              <w:t xml:space="preserve">（一年及以上）</w:t>
            </w:r>
            <w:r>
              <w:rPr>
                <w:rFonts w:hint="eastAsia"/>
                <w:color w:val="auto"/>
                <w:highlight w:val="none"/>
                <w:lang w:val="en-US" w:eastAsia="zh-CN"/>
              </w:rPr>
              <w:t xml:space="preserve">类似</w:t>
            </w:r>
            <w:r>
              <w:rPr>
                <w:rFonts w:hint="eastAsia"/>
                <w:color w:val="auto"/>
                <w:highlight w:val="none"/>
              </w:rPr>
              <w:t xml:space="preserve">配送业绩，</w:t>
            </w:r>
            <w:r>
              <w:rPr>
                <w:rFonts w:hint="eastAsia"/>
                <w:color w:val="auto"/>
                <w:highlight w:val="none"/>
                <w:lang w:val="en-US" w:eastAsia="zh-CN"/>
              </w:rPr>
              <w:t xml:space="preserve">每个种类</w:t>
            </w:r>
            <w:r>
              <w:rPr>
                <w:rFonts w:hint="eastAsia"/>
                <w:color w:val="auto"/>
                <w:highlight w:val="none"/>
              </w:rPr>
              <w:t xml:space="preserve">得</w:t>
            </w:r>
            <w:r>
              <w:rPr>
                <w:rFonts w:hint="eastAsia"/>
                <w:color w:val="auto"/>
                <w:highlight w:val="none"/>
                <w:lang w:val="en-US" w:eastAsia="zh-CN"/>
              </w:rPr>
              <w:t xml:space="preserve">2</w:t>
            </w:r>
            <w:r>
              <w:rPr>
                <w:rFonts w:hint="eastAsia"/>
                <w:color w:val="auto"/>
                <w:highlight w:val="none"/>
              </w:rPr>
              <w:t xml:space="preserve">分，最多得</w:t>
            </w:r>
            <w:r>
              <w:rPr>
                <w:rFonts w:hint="eastAsia"/>
                <w:color w:val="auto"/>
                <w:highlight w:val="none"/>
                <w:lang w:val="en-US" w:eastAsia="zh-CN"/>
              </w:rPr>
              <w:t xml:space="preserve">8</w:t>
            </w:r>
            <w:r>
              <w:rPr>
                <w:rFonts w:hint="eastAsia"/>
                <w:color w:val="auto"/>
                <w:highlight w:val="none"/>
              </w:rPr>
              <w:t xml:space="preserve">分</w:t>
            </w:r>
            <w:r>
              <w:rPr>
                <w:rFonts w:hint="eastAsia" w:ascii="Times New Roman" w:hAnsi="Times New Roman" w:eastAsia="宋体" w:cs="Times New Roman"/>
                <w:color w:val="auto"/>
                <w:highlight w:val="none"/>
              </w:rPr>
              <w:t xml:space="preserve">。 (</w:t>
            </w:r>
            <w:r>
              <w:rPr>
                <w:rFonts w:hint="eastAsia" w:cs="Times New Roman"/>
                <w:color w:val="auto"/>
                <w:highlight w:val="none"/>
                <w:lang w:val="en-US" w:eastAsia="zh-CN"/>
              </w:rPr>
              <w:t xml:space="preserve">以合同签订时间为准，</w:t>
            </w:r>
            <w:r>
              <w:rPr>
                <w:rFonts w:hint="eastAsia" w:ascii="Times New Roman" w:hAnsi="Times New Roman" w:eastAsia="宋体" w:cs="Times New Roman"/>
                <w:color w:val="auto"/>
                <w:highlight w:val="none"/>
              </w:rPr>
              <w:t xml:space="preserve">每项业绩应提供相应合同复印件加盖公章，包括合同签订首页、签字页盖章，且提供与合同对应的发票</w:t>
            </w:r>
            <w:r>
              <w:rPr>
                <w:rFonts w:hint="eastAsia" w:cs="Times New Roman"/>
                <w:color w:val="auto"/>
                <w:highlight w:val="none"/>
                <w:lang w:eastAsia="zh-CN"/>
              </w:rPr>
              <w:t xml:space="preserve">，</w:t>
            </w:r>
            <w:r>
              <w:rPr>
                <w:rFonts w:hint="eastAsia" w:ascii="Times New Roman" w:hAnsi="Times New Roman" w:eastAsia="宋体" w:cs="Times New Roman"/>
                <w:color w:val="auto"/>
                <w:highlight w:val="none"/>
              </w:rPr>
              <w:t xml:space="preserve">否则不得分) </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8</w:t>
            </w:r>
            <w:r/>
          </w:p>
        </w:tc>
      </w:tr>
      <w:tr>
        <w:trPr>
          <w:jc w:val="center"/>
          <w:trHeight w:val="1438"/>
        </w:trPr>
        <w:tc>
          <w:tcPr>
            <w:tcBorders>
              <w:left w:val="single" w:color="auto" w:sz="4" w:space="0"/>
              <w:right w:val="single" w:color="auto" w:sz="4" w:space="0"/>
            </w:tcBorders>
            <w:tcW w:w="60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10</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color w:val="auto"/>
                <w:highlight w:val="none"/>
              </w:rPr>
              <w:t xml:space="preserve">用户满意度评价</w:t>
            </w:r>
            <w:r/>
          </w:p>
        </w:tc>
        <w:tc>
          <w:tcPr>
            <w:tcBorders>
              <w:top w:val="single" w:color="auto" w:sz="4" w:space="0"/>
              <w:left w:val="single" w:color="auto" w:sz="4" w:space="0"/>
              <w:right w:val="single" w:color="auto" w:sz="4" w:space="0"/>
            </w:tcBorders>
            <w:tcW w:w="7258" w:type="dxa"/>
            <w:vAlign w:val="center"/>
            <w:textDirection w:val="lrTb"/>
            <w:noWrap/>
          </w:tcPr>
          <w:p>
            <w:pPr>
              <w:rPr>
                <w:rFonts w:hint="eastAsia"/>
                <w:color w:val="auto"/>
                <w:highlight w:val="none"/>
              </w:rPr>
            </w:pPr>
            <w:r>
              <w:rPr>
                <w:rFonts w:hint="eastAsia" w:ascii="Times New Roman" w:hAnsi="Times New Roman" w:cs="Times New Roman"/>
                <w:color w:val="auto"/>
                <w:sz w:val="21"/>
                <w:szCs w:val="24"/>
                <w:highlight w:val="none"/>
              </w:rPr>
              <w:t xml:space="preserve">供应商</w:t>
            </w:r>
            <w:r>
              <w:rPr>
                <w:rFonts w:hint="eastAsia" w:cs="Times New Roman"/>
                <w:color w:val="auto"/>
                <w:sz w:val="21"/>
                <w:szCs w:val="24"/>
                <w:highlight w:val="none"/>
                <w:lang w:val="en-US" w:eastAsia="zh-CN"/>
              </w:rPr>
              <w:t xml:space="preserve">需</w:t>
            </w:r>
            <w:r>
              <w:rPr>
                <w:rFonts w:hint="eastAsia" w:ascii="Times New Roman" w:hAnsi="Times New Roman" w:cs="Times New Roman"/>
                <w:color w:val="auto"/>
                <w:sz w:val="21"/>
                <w:szCs w:val="24"/>
                <w:highlight w:val="none"/>
              </w:rPr>
              <w:t xml:space="preserve">提供</w:t>
            </w:r>
            <w:r>
              <w:rPr>
                <w:rFonts w:hint="eastAsia" w:cs="Times New Roman"/>
                <w:color w:val="auto"/>
                <w:sz w:val="21"/>
                <w:szCs w:val="24"/>
                <w:highlight w:val="none"/>
                <w:lang w:val="en-US" w:eastAsia="zh-CN"/>
              </w:rPr>
              <w:t xml:space="preserve">与类似业绩一致的</w:t>
            </w:r>
            <w:r>
              <w:rPr>
                <w:rFonts w:hint="eastAsia" w:ascii="Times New Roman" w:hAnsi="Times New Roman" w:cs="Times New Roman"/>
                <w:color w:val="auto"/>
                <w:sz w:val="21"/>
                <w:szCs w:val="24"/>
                <w:highlight w:val="none"/>
              </w:rPr>
              <w:t xml:space="preserve">业主</w:t>
            </w:r>
            <w:r>
              <w:rPr>
                <w:rFonts w:hint="eastAsia" w:cs="Times New Roman"/>
                <w:color w:val="auto"/>
                <w:sz w:val="21"/>
                <w:szCs w:val="24"/>
                <w:highlight w:val="none"/>
                <w:lang w:val="en-US" w:eastAsia="zh-CN"/>
              </w:rPr>
              <w:t xml:space="preserve">满意度评价</w:t>
            </w:r>
            <w:r>
              <w:rPr>
                <w:rFonts w:hint="eastAsia" w:ascii="Times New Roman" w:hAnsi="Times New Roman" w:cs="Times New Roman"/>
                <w:color w:val="auto"/>
                <w:sz w:val="21"/>
                <w:szCs w:val="24"/>
                <w:highlight w:val="none"/>
              </w:rPr>
              <w:t xml:space="preserve">（优秀、满意或相当于类似评价）</w:t>
            </w:r>
            <w:r>
              <w:rPr>
                <w:rFonts w:hint="eastAsia" w:cs="Times New Roman"/>
                <w:color w:val="auto"/>
                <w:sz w:val="21"/>
                <w:szCs w:val="24"/>
                <w:highlight w:val="none"/>
                <w:lang w:val="en-US" w:eastAsia="zh-CN"/>
              </w:rPr>
              <w:t xml:space="preserve">材料</w:t>
            </w:r>
            <w:r>
              <w:rPr>
                <w:rFonts w:hint="eastAsia" w:ascii="Times New Roman" w:hAnsi="Times New Roman" w:cs="Times New Roman"/>
                <w:color w:val="auto"/>
                <w:sz w:val="21"/>
                <w:szCs w:val="24"/>
                <w:highlight w:val="none"/>
              </w:rPr>
              <w:t xml:space="preserve">，须由业主单位盖章证明</w:t>
            </w:r>
            <w:r>
              <w:rPr>
                <w:rFonts w:hint="eastAsia" w:cs="Times New Roman"/>
                <w:color w:val="auto"/>
                <w:sz w:val="21"/>
                <w:szCs w:val="24"/>
                <w:highlight w:val="none"/>
                <w:lang w:eastAsia="zh-CN"/>
              </w:rPr>
              <w:t xml:space="preserve">，</w:t>
            </w:r>
            <w:r>
              <w:rPr>
                <w:rFonts w:hint="eastAsia" w:ascii="Times New Roman" w:hAnsi="Times New Roman" w:cs="Times New Roman"/>
                <w:color w:val="auto"/>
                <w:sz w:val="21"/>
                <w:szCs w:val="24"/>
                <w:highlight w:val="none"/>
              </w:rPr>
              <w:t xml:space="preserve">每提供一</w:t>
            </w:r>
            <w:r>
              <w:rPr>
                <w:rFonts w:hint="eastAsia" w:cs="Times New Roman"/>
                <w:color w:val="auto"/>
                <w:sz w:val="21"/>
                <w:szCs w:val="24"/>
                <w:highlight w:val="none"/>
                <w:lang w:val="en-US" w:eastAsia="zh-CN"/>
              </w:rPr>
              <w:t xml:space="preserve">份满意度评价材料</w:t>
            </w:r>
            <w:r>
              <w:rPr>
                <w:rFonts w:hint="eastAsia" w:ascii="Times New Roman" w:hAnsi="Times New Roman" w:cs="Times New Roman"/>
                <w:color w:val="auto"/>
                <w:sz w:val="21"/>
                <w:szCs w:val="24"/>
                <w:highlight w:val="none"/>
              </w:rPr>
              <w:t xml:space="preserve">得1分，本项满分</w:t>
            </w:r>
            <w:r>
              <w:rPr>
                <w:rFonts w:hint="default" w:cs="Times New Roman"/>
                <w:color w:val="auto"/>
                <w:sz w:val="21"/>
                <w:szCs w:val="24"/>
                <w:highlight w:val="none"/>
                <w:lang w:val="en-US" w:eastAsia="zh-CN"/>
              </w:rPr>
              <w:t xml:space="preserve">3</w:t>
            </w:r>
            <w:r>
              <w:rPr>
                <w:rFonts w:hint="eastAsia" w:ascii="Times New Roman" w:hAnsi="Times New Roman" w:cs="Times New Roman"/>
                <w:color w:val="auto"/>
                <w:sz w:val="21"/>
                <w:szCs w:val="24"/>
                <w:highlight w:val="none"/>
              </w:rPr>
              <w:t xml:space="preserve">分。（同一业主单位</w:t>
            </w:r>
            <w:r>
              <w:rPr>
                <w:rFonts w:hint="eastAsia" w:cs="Times New Roman"/>
                <w:color w:val="auto"/>
                <w:sz w:val="21"/>
                <w:szCs w:val="24"/>
                <w:highlight w:val="none"/>
                <w:lang w:val="en-US" w:eastAsia="zh-CN"/>
              </w:rPr>
              <w:t xml:space="preserve">材料</w:t>
            </w:r>
            <w:r>
              <w:rPr>
                <w:rFonts w:hint="eastAsia" w:ascii="Times New Roman" w:hAnsi="Times New Roman" w:cs="Times New Roman"/>
                <w:color w:val="auto"/>
                <w:sz w:val="21"/>
                <w:szCs w:val="24"/>
                <w:highlight w:val="none"/>
              </w:rPr>
              <w:t xml:space="preserve">只计取一次，不累计得分）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default"/>
                <w:color w:val="auto"/>
                <w:highlight w:val="none"/>
                <w:lang w:val="en-US" w:eastAsia="zh-CN"/>
              </w:rPr>
              <w:t xml:space="preserve">3</w:t>
            </w:r>
            <w:r/>
          </w:p>
        </w:tc>
      </w:tr>
      <w:tr>
        <w:trPr>
          <w:jc w:val="center"/>
          <w:trHeight w:val="1461"/>
        </w:trPr>
        <w:tc>
          <w:tcPr>
            <w:tcBorders>
              <w:left w:val="single" w:color="auto" w:sz="4" w:space="0"/>
              <w:right w:val="single" w:color="auto" w:sz="4" w:space="0"/>
            </w:tcBorders>
            <w:tcW w:w="605" w:type="dxa"/>
            <w:vAlign w:val="center"/>
            <w:textDirection w:val="lrTb"/>
            <w:noWrap/>
          </w:tcPr>
          <w:p>
            <w:pPr>
              <w:rPr>
                <w:rFonts w:hint="default" w:eastAsia="宋体"/>
                <w:color w:val="auto"/>
                <w:highlight w:val="none"/>
                <w:lang w:val="en-US" w:eastAsia="zh-CN"/>
              </w:rPr>
            </w:pPr>
            <w:r>
              <w:rPr>
                <w:rFonts w:hint="eastAsia"/>
                <w:color w:val="auto"/>
                <w:highlight w:val="none"/>
                <w:lang w:val="en-US" w:eastAsia="zh-CN"/>
              </w:rPr>
              <w:t xml:space="preserve">11</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eastAsia="宋体"/>
                <w:color w:val="auto"/>
                <w:highlight w:val="none"/>
              </w:rPr>
              <w:t xml:space="preserve">配送服务方案</w:t>
            </w:r>
            <w:r/>
          </w:p>
        </w:tc>
        <w:tc>
          <w:tcPr>
            <w:tcBorders>
              <w:top w:val="single" w:color="auto" w:sz="4" w:space="0"/>
              <w:left w:val="single" w:color="auto" w:sz="4" w:space="0"/>
              <w:right w:val="single" w:color="auto" w:sz="4" w:space="0"/>
            </w:tcBorders>
            <w:tcW w:w="7258" w:type="dxa"/>
            <w:vAlign w:val="center"/>
            <w:textDirection w:val="lrTb"/>
            <w:noWrap/>
          </w:tcPr>
          <w:p>
            <w:pPr>
              <w:rPr>
                <w:color w:val="auto"/>
                <w:highlight w:val="none"/>
              </w:rPr>
            </w:pPr>
            <w:r>
              <w:rPr>
                <w:rFonts w:hint="eastAsia"/>
                <w:color w:val="auto"/>
                <w:highlight w:val="none"/>
              </w:rPr>
              <w:t xml:space="preserve">根据供应商提供的配送服务方案，配送能力，服务机构所在地，售后服务人员（团队）水平等进行评价：</w:t>
            </w:r>
            <w:r/>
          </w:p>
          <w:p>
            <w:pPr>
              <w:rPr>
                <w:color w:val="auto"/>
                <w:highlight w:val="none"/>
              </w:rPr>
            </w:pPr>
            <w:r>
              <w:rPr>
                <w:rFonts w:hint="eastAsia"/>
                <w:color w:val="auto"/>
                <w:highlight w:val="none"/>
              </w:rPr>
              <w:t xml:space="preserve">服务响应机制健全、响应时间及时、售后服务支持方式完整得</w:t>
            </w:r>
            <w:r>
              <w:rPr>
                <w:rFonts w:hint="eastAsia"/>
                <w:color w:val="auto"/>
                <w:highlight w:val="none"/>
                <w:lang w:val="en-US" w:eastAsia="zh-CN"/>
              </w:rPr>
              <w:t xml:space="preserve">8</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服务响应机制</w:t>
            </w:r>
            <w:r>
              <w:rPr>
                <w:rFonts w:hint="eastAsia"/>
                <w:color w:val="auto"/>
                <w:highlight w:val="none"/>
                <w:lang w:val="en-US" w:eastAsia="zh-CN"/>
              </w:rPr>
              <w:t xml:space="preserve">较合理</w:t>
            </w:r>
            <w:r>
              <w:rPr>
                <w:rFonts w:hint="eastAsia"/>
                <w:color w:val="auto"/>
                <w:highlight w:val="none"/>
              </w:rPr>
              <w:t xml:space="preserve">、响应时间较</w:t>
            </w:r>
            <w:r>
              <w:rPr>
                <w:rFonts w:hint="eastAsia"/>
                <w:color w:val="auto"/>
                <w:highlight w:val="none"/>
                <w:lang w:val="en-US" w:eastAsia="zh-CN"/>
              </w:rPr>
              <w:t xml:space="preserve">合理</w:t>
            </w:r>
            <w:r>
              <w:rPr>
                <w:rFonts w:hint="eastAsia"/>
                <w:color w:val="auto"/>
                <w:highlight w:val="none"/>
              </w:rPr>
              <w:t xml:space="preserve">、售后服务支持方式较为完整得</w:t>
            </w:r>
            <w:r>
              <w:rPr>
                <w:rFonts w:hint="eastAsia"/>
                <w:color w:val="auto"/>
                <w:highlight w:val="none"/>
                <w:lang w:val="en-US" w:eastAsia="zh-CN"/>
              </w:rPr>
              <w:t xml:space="preserve">5</w:t>
            </w:r>
            <w:r>
              <w:rPr>
                <w:rFonts w:hint="eastAsia"/>
                <w:color w:val="auto"/>
                <w:highlight w:val="none"/>
              </w:rPr>
              <w:t xml:space="preserve">分；</w:t>
            </w:r>
            <w:r/>
          </w:p>
          <w:p>
            <w:pPr>
              <w:pStyle w:val="923"/>
              <w:ind w:left="0" w:firstLine="0"/>
              <w:rPr>
                <w:rFonts w:hint="eastAsia"/>
                <w:color w:val="auto"/>
                <w:highlight w:val="none"/>
              </w:rPr>
            </w:pPr>
            <w:r>
              <w:rPr>
                <w:rFonts w:hint="eastAsia"/>
                <w:color w:val="auto"/>
                <w:highlight w:val="none"/>
              </w:rPr>
              <w:t xml:space="preserve">服务响应机制较为一般、响应时间较为一般、售后服务支持方式一般得</w:t>
            </w:r>
            <w:r>
              <w:rPr>
                <w:rFonts w:hint="eastAsia"/>
                <w:color w:val="auto"/>
                <w:highlight w:val="none"/>
                <w:lang w:val="en-US" w:eastAsia="zh-CN"/>
              </w:rPr>
              <w:t xml:space="preserve">2</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不提供者不得分。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8</w:t>
            </w:r>
            <w:r/>
          </w:p>
        </w:tc>
      </w:tr>
      <w:tr>
        <w:trPr>
          <w:jc w:val="center"/>
          <w:trHeight w:val="1461"/>
        </w:trPr>
        <w:tc>
          <w:tcPr>
            <w:tcBorders>
              <w:left w:val="single" w:color="auto" w:sz="4" w:space="0"/>
              <w:right w:val="single" w:color="auto" w:sz="4" w:space="0"/>
            </w:tcBorders>
            <w:tcW w:w="605" w:type="dxa"/>
            <w:vAlign w:val="center"/>
            <w:textDirection w:val="lrTb"/>
            <w:noWrap/>
          </w:tcPr>
          <w:p>
            <w:pPr>
              <w:rPr>
                <w:rFonts w:hint="default" w:eastAsia="宋体"/>
                <w:color w:val="auto"/>
                <w:highlight w:val="none"/>
                <w:lang w:val="en-US" w:eastAsia="zh-CN"/>
              </w:rPr>
            </w:pPr>
            <w:r>
              <w:rPr>
                <w:rFonts w:hint="eastAsia" w:eastAsia="宋体"/>
                <w:color w:val="auto"/>
                <w:highlight w:val="none"/>
                <w:lang w:val="en-US" w:eastAsia="zh-CN"/>
              </w:rPr>
              <w:t xml:space="preserve">1</w:t>
            </w:r>
            <w:r>
              <w:rPr>
                <w:rFonts w:hint="eastAsia"/>
                <w:color w:val="auto"/>
                <w:highlight w:val="none"/>
                <w:lang w:val="en-US" w:eastAsia="zh-CN"/>
              </w:rPr>
              <w:t xml:space="preserve">2</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eastAsia="宋体"/>
                <w:color w:val="auto"/>
                <w:highlight w:val="none"/>
              </w:rPr>
              <w:t xml:space="preserve">食品安全的制度及措施办法</w:t>
            </w:r>
            <w:r/>
          </w:p>
        </w:tc>
        <w:tc>
          <w:tcPr>
            <w:tcBorders>
              <w:top w:val="single" w:color="auto" w:sz="4" w:space="0"/>
              <w:left w:val="single" w:color="auto" w:sz="4" w:space="0"/>
              <w:right w:val="single" w:color="auto" w:sz="4" w:space="0"/>
            </w:tcBorders>
            <w:tcW w:w="7258" w:type="dxa"/>
            <w:vAlign w:val="center"/>
            <w:textDirection w:val="lrTb"/>
            <w:noWrap/>
          </w:tcPr>
          <w:p>
            <w:pPr>
              <w:rPr>
                <w:color w:val="auto"/>
                <w:highlight w:val="none"/>
              </w:rPr>
            </w:pPr>
            <w:r>
              <w:rPr>
                <w:rFonts w:hint="eastAsia"/>
                <w:color w:val="auto"/>
                <w:highlight w:val="none"/>
              </w:rPr>
              <w:t xml:space="preserve">投标人根据《中华人民共和国食品安全法》</w:t>
            </w:r>
            <w:r>
              <w:rPr>
                <w:rFonts w:hint="eastAsia"/>
                <w:color w:val="auto"/>
                <w:highlight w:val="none"/>
                <w:lang w:eastAsia="zh-CN"/>
              </w:rPr>
              <w:t xml:space="preserve">，在</w:t>
            </w:r>
            <w:r>
              <w:rPr>
                <w:rFonts w:hint="eastAsia"/>
                <w:color w:val="auto"/>
                <w:highlight w:val="none"/>
              </w:rPr>
              <w:t xml:space="preserve">生产经营过程控制方面保证食品安全的制度及措施办法：</w:t>
            </w:r>
            <w:r/>
          </w:p>
          <w:p>
            <w:pPr>
              <w:rPr>
                <w:color w:val="auto"/>
                <w:highlight w:val="none"/>
              </w:rPr>
            </w:pPr>
            <w:r>
              <w:rPr>
                <w:rFonts w:hint="eastAsia"/>
                <w:color w:val="auto"/>
                <w:highlight w:val="none"/>
              </w:rPr>
              <w:t xml:space="preserve">制度全面、针对性强得</w:t>
            </w:r>
            <w:r>
              <w:rPr>
                <w:rFonts w:hint="eastAsia"/>
                <w:color w:val="auto"/>
                <w:highlight w:val="none"/>
                <w:lang w:val="en-US" w:eastAsia="zh-CN"/>
              </w:rPr>
              <w:t xml:space="preserve">8</w:t>
            </w:r>
            <w:r>
              <w:rPr>
                <w:rFonts w:hint="eastAsia"/>
                <w:color w:val="auto"/>
                <w:highlight w:val="none"/>
              </w:rPr>
              <w:t xml:space="preserve">分；</w:t>
            </w:r>
            <w:r/>
          </w:p>
          <w:p>
            <w:pPr>
              <w:rPr>
                <w:color w:val="auto"/>
                <w:highlight w:val="none"/>
              </w:rPr>
            </w:pPr>
            <w:r>
              <w:rPr>
                <w:rFonts w:hint="eastAsia"/>
                <w:color w:val="auto"/>
                <w:highlight w:val="none"/>
              </w:rPr>
              <w:t xml:space="preserve">制度基本全面、针对性</w:t>
            </w:r>
            <w:r>
              <w:rPr>
                <w:rFonts w:hint="eastAsia"/>
                <w:color w:val="auto"/>
                <w:highlight w:val="none"/>
                <w:lang w:val="en-US" w:eastAsia="zh-CN"/>
              </w:rPr>
              <w:t xml:space="preserve">较合理</w:t>
            </w:r>
            <w:r>
              <w:rPr>
                <w:rFonts w:hint="eastAsia"/>
                <w:color w:val="auto"/>
                <w:highlight w:val="none"/>
              </w:rPr>
              <w:t xml:space="preserve">得</w:t>
            </w:r>
            <w:r>
              <w:rPr>
                <w:rFonts w:hint="eastAsia"/>
                <w:color w:val="auto"/>
                <w:highlight w:val="none"/>
                <w:lang w:val="en-US" w:eastAsia="zh-CN"/>
              </w:rPr>
              <w:t xml:space="preserve">5</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制度描述较少、针对性一般得</w:t>
            </w:r>
            <w:r>
              <w:rPr>
                <w:rFonts w:hint="eastAsia"/>
                <w:color w:val="auto"/>
                <w:highlight w:val="none"/>
                <w:lang w:val="en-US" w:eastAsia="zh-CN"/>
              </w:rPr>
              <w:t xml:space="preserve">2</w:t>
            </w:r>
            <w:r>
              <w:rPr>
                <w:rFonts w:hint="eastAsia"/>
                <w:color w:val="auto"/>
                <w:highlight w:val="none"/>
              </w:rPr>
              <w:t xml:space="preserve">分； 未提供不得分</w:t>
            </w:r>
            <w:r>
              <w:rPr>
                <w:rFonts w:hint="eastAsia"/>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8</w:t>
            </w:r>
            <w:r/>
          </w:p>
        </w:tc>
      </w:tr>
      <w:tr>
        <w:trPr>
          <w:jc w:val="center"/>
          <w:trHeight w:val="1461"/>
        </w:trPr>
        <w:tc>
          <w:tcPr>
            <w:tcBorders>
              <w:left w:val="single" w:color="auto" w:sz="4" w:space="0"/>
              <w:right w:val="single" w:color="auto" w:sz="4" w:space="0"/>
            </w:tcBorders>
            <w:tcW w:w="605" w:type="dxa"/>
            <w:vAlign w:val="center"/>
            <w:textDirection w:val="lrTb"/>
            <w:noWrap/>
          </w:tcPr>
          <w:p>
            <w:pPr>
              <w:rPr>
                <w:rFonts w:hint="default" w:eastAsia="宋体"/>
                <w:color w:val="auto"/>
                <w:highlight w:val="none"/>
                <w:lang w:val="en-US" w:eastAsia="zh-CN"/>
              </w:rPr>
            </w:pPr>
            <w:r>
              <w:rPr>
                <w:rFonts w:hint="eastAsia" w:eastAsia="宋体"/>
                <w:color w:val="auto"/>
                <w:highlight w:val="none"/>
                <w:lang w:val="en-US" w:eastAsia="zh-CN"/>
              </w:rPr>
              <w:t xml:space="preserve">1</w:t>
            </w:r>
            <w:r>
              <w:rPr>
                <w:rFonts w:hint="eastAsia"/>
                <w:color w:val="auto"/>
                <w:highlight w:val="none"/>
                <w:lang w:val="en-US" w:eastAsia="zh-CN"/>
              </w:rPr>
              <w:t xml:space="preserve">3</w:t>
            </w:r>
            <w:r/>
          </w:p>
        </w:tc>
        <w:tc>
          <w:tcPr>
            <w:tcBorders>
              <w:left w:val="single" w:color="auto" w:sz="4" w:space="0"/>
              <w:right w:val="single" w:color="auto" w:sz="4" w:space="0"/>
            </w:tcBorders>
            <w:tcW w:w="1145" w:type="dxa"/>
            <w:vAlign w:val="center"/>
            <w:textDirection w:val="lrTb"/>
            <w:noWrap/>
          </w:tcPr>
          <w:p>
            <w:pPr>
              <w:rPr>
                <w:rFonts w:hint="eastAsia"/>
                <w:color w:val="auto"/>
                <w:highlight w:val="none"/>
              </w:rPr>
            </w:pPr>
            <w:r>
              <w:rPr>
                <w:rFonts w:hint="eastAsia"/>
                <w:color w:val="auto"/>
                <w:highlight w:val="none"/>
              </w:rPr>
              <w:t xml:space="preserve">食材退换 方案</w:t>
            </w:r>
            <w:r/>
          </w:p>
        </w:tc>
        <w:tc>
          <w:tcPr>
            <w:tcBorders>
              <w:top w:val="single" w:color="auto" w:sz="4" w:space="0"/>
              <w:left w:val="single" w:color="auto" w:sz="4" w:space="0"/>
              <w:right w:val="single" w:color="auto" w:sz="4" w:space="0"/>
            </w:tcBorders>
            <w:tcW w:w="7258" w:type="dxa"/>
            <w:vAlign w:val="center"/>
            <w:textDirection w:val="lrTb"/>
            <w:noWrap/>
          </w:tcPr>
          <w:p>
            <w:pPr>
              <w:rPr>
                <w:rFonts w:hint="eastAsia"/>
                <w:color w:val="auto"/>
                <w:highlight w:val="none"/>
              </w:rPr>
            </w:pPr>
            <w:r>
              <w:rPr>
                <w:rFonts w:hint="eastAsia"/>
                <w:color w:val="auto"/>
                <w:highlight w:val="none"/>
              </w:rPr>
              <w:t xml:space="preserve">根据供应商提供的食材退换方案进行评价：</w:t>
            </w:r>
            <w:r/>
          </w:p>
          <w:p>
            <w:pPr>
              <w:rPr>
                <w:rFonts w:hint="eastAsia"/>
                <w:color w:val="auto"/>
                <w:highlight w:val="none"/>
              </w:rPr>
            </w:pPr>
            <w:r>
              <w:rPr>
                <w:rFonts w:hint="eastAsia"/>
                <w:color w:val="auto"/>
                <w:highlight w:val="none"/>
              </w:rPr>
              <w:t xml:space="preserve">方案描述清晰、详细、保障措施健全、有针对性得</w:t>
            </w:r>
            <w:r>
              <w:rPr>
                <w:rFonts w:hint="eastAsia"/>
                <w:color w:val="auto"/>
                <w:highlight w:val="none"/>
                <w:lang w:val="en-US" w:eastAsia="zh-CN"/>
              </w:rPr>
              <w:t xml:space="preserve">8</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方案描述</w:t>
            </w:r>
            <w:r>
              <w:rPr>
                <w:rFonts w:hint="eastAsia"/>
                <w:color w:val="auto"/>
                <w:highlight w:val="none"/>
                <w:lang w:val="en-US" w:eastAsia="zh-CN"/>
              </w:rPr>
              <w:t xml:space="preserve">较合理</w:t>
            </w:r>
            <w:r>
              <w:rPr>
                <w:rFonts w:hint="eastAsia"/>
                <w:color w:val="auto"/>
                <w:highlight w:val="none"/>
              </w:rPr>
              <w:t xml:space="preserve">、保障措施</w:t>
            </w:r>
            <w:r>
              <w:rPr>
                <w:rFonts w:hint="eastAsia"/>
                <w:color w:val="auto"/>
                <w:highlight w:val="none"/>
                <w:lang w:val="en-US" w:eastAsia="zh-CN"/>
              </w:rPr>
              <w:t xml:space="preserve">较合理</w:t>
            </w:r>
            <w:r>
              <w:rPr>
                <w:rFonts w:hint="eastAsia"/>
                <w:color w:val="auto"/>
                <w:highlight w:val="none"/>
              </w:rPr>
              <w:t xml:space="preserve">得</w:t>
            </w:r>
            <w:r>
              <w:rPr>
                <w:rFonts w:hint="eastAsia"/>
                <w:color w:val="auto"/>
                <w:highlight w:val="none"/>
                <w:lang w:val="en-US" w:eastAsia="zh-CN"/>
              </w:rPr>
              <w:t xml:space="preserve">5</w:t>
            </w:r>
            <w:r>
              <w:rPr>
                <w:rFonts w:hint="eastAsia"/>
                <w:color w:val="auto"/>
                <w:highlight w:val="none"/>
              </w:rPr>
              <w:t xml:space="preserve">分；</w:t>
            </w:r>
            <w:r/>
          </w:p>
          <w:p>
            <w:pPr>
              <w:rPr>
                <w:rFonts w:hint="eastAsia" w:eastAsia="宋体"/>
                <w:color w:val="auto"/>
                <w:highlight w:val="none"/>
                <w:lang w:eastAsia="zh-CN"/>
              </w:rPr>
            </w:pPr>
            <w:r>
              <w:rPr>
                <w:rFonts w:hint="eastAsia"/>
                <w:color w:val="auto"/>
                <w:highlight w:val="none"/>
              </w:rPr>
              <w:t xml:space="preserve">方案描述一般、保障措施一般得</w:t>
            </w:r>
            <w:r>
              <w:rPr>
                <w:rFonts w:hint="eastAsia"/>
                <w:color w:val="auto"/>
                <w:highlight w:val="none"/>
                <w:lang w:val="en-US" w:eastAsia="zh-CN"/>
              </w:rPr>
              <w:t xml:space="preserve">2</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未提供不得分</w:t>
            </w:r>
            <w:r>
              <w:rPr>
                <w:rFonts w:hint="eastAsia"/>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default"/>
                <w:color w:val="auto"/>
                <w:highlight w:val="none"/>
                <w:lang w:val="en-US" w:eastAsia="zh-CN"/>
              </w:rPr>
            </w:pPr>
            <w:r>
              <w:rPr>
                <w:rFonts w:hint="eastAsia"/>
                <w:color w:val="auto"/>
                <w:highlight w:val="none"/>
                <w:lang w:val="en-US" w:eastAsia="zh-CN"/>
              </w:rPr>
              <w:t xml:space="preserve">8</w:t>
            </w:r>
            <w:r/>
          </w:p>
        </w:tc>
      </w:tr>
      <w:tr>
        <w:trPr>
          <w:jc w:val="center"/>
          <w:trHeight w:val="1461"/>
        </w:trPr>
        <w:tc>
          <w:tcPr>
            <w:tcBorders>
              <w:left w:val="single" w:color="auto" w:sz="4" w:space="0"/>
              <w:right w:val="single" w:color="auto" w:sz="4" w:space="0"/>
            </w:tcBorders>
            <w:tcW w:w="605" w:type="dxa"/>
            <w:vAlign w:val="center"/>
            <w:textDirection w:val="lrTb"/>
            <w:noWrap/>
          </w:tcPr>
          <w:p>
            <w:pPr>
              <w:rPr>
                <w:rFonts w:hint="default" w:eastAsia="宋体"/>
                <w:color w:val="auto"/>
                <w:highlight w:val="none"/>
                <w:lang w:val="en-US" w:eastAsia="zh-CN"/>
              </w:rPr>
            </w:pPr>
            <w:r>
              <w:rPr>
                <w:rFonts w:hint="eastAsia"/>
                <w:color w:val="auto"/>
                <w:highlight w:val="none"/>
                <w:lang w:val="en-US" w:eastAsia="zh-CN"/>
              </w:rPr>
              <w:t xml:space="preserve">14</w:t>
            </w:r>
            <w:r/>
          </w:p>
        </w:tc>
        <w:tc>
          <w:tcPr>
            <w:tcBorders>
              <w:left w:val="single" w:color="auto" w:sz="4" w:space="0"/>
              <w:right w:val="single" w:color="auto" w:sz="4" w:space="0"/>
            </w:tcBorders>
            <w:tcW w:w="1145" w:type="dxa"/>
            <w:vAlign w:val="center"/>
            <w:textDirection w:val="lrTb"/>
            <w:noWrap/>
          </w:tcPr>
          <w:p>
            <w:pPr>
              <w:rPr>
                <w:rFonts w:hint="eastAsia" w:eastAsia="宋体"/>
                <w:color w:val="auto"/>
                <w:highlight w:val="none"/>
              </w:rPr>
            </w:pPr>
            <w:r>
              <w:rPr>
                <w:rFonts w:hint="eastAsia" w:eastAsia="宋体"/>
                <w:color w:val="auto"/>
                <w:highlight w:val="none"/>
              </w:rPr>
              <w:t xml:space="preserve">应急服务方案</w:t>
            </w:r>
            <w:r/>
          </w:p>
        </w:tc>
        <w:tc>
          <w:tcPr>
            <w:tcBorders>
              <w:top w:val="single" w:color="auto" w:sz="4" w:space="0"/>
              <w:left w:val="single" w:color="auto" w:sz="4" w:space="0"/>
              <w:right w:val="single" w:color="auto" w:sz="4" w:space="0"/>
            </w:tcBorders>
            <w:tcW w:w="7258" w:type="dxa"/>
            <w:vAlign w:val="center"/>
            <w:textDirection w:val="lrTb"/>
            <w:noWrap/>
          </w:tcPr>
          <w:p>
            <w:pPr>
              <w:rPr>
                <w:rFonts w:hint="eastAsia"/>
                <w:color w:val="auto"/>
                <w:highlight w:val="none"/>
              </w:rPr>
            </w:pPr>
            <w:r>
              <w:rPr>
                <w:rFonts w:hint="eastAsia"/>
                <w:color w:val="auto"/>
                <w:highlight w:val="none"/>
              </w:rPr>
              <w:t xml:space="preserve">根据供应商提供的应急服务方案</w:t>
            </w:r>
            <w:r>
              <w:rPr>
                <w:rFonts w:hint="eastAsia"/>
                <w:color w:val="auto"/>
                <w:highlight w:val="none"/>
                <w:lang w:eastAsia="zh-CN"/>
              </w:rPr>
              <w:t xml:space="preserve">，</w:t>
            </w:r>
            <w:r>
              <w:rPr>
                <w:rFonts w:hint="eastAsia"/>
                <w:color w:val="auto"/>
                <w:highlight w:val="none"/>
              </w:rPr>
              <w:t xml:space="preserve">突发食品安全处理</w:t>
            </w:r>
            <w:r>
              <w:rPr>
                <w:rFonts w:hint="eastAsia"/>
                <w:color w:val="auto"/>
                <w:highlight w:val="none"/>
                <w:lang w:val="en-US" w:eastAsia="zh-CN"/>
              </w:rPr>
              <w:t xml:space="preserve">方案</w:t>
            </w:r>
            <w:r>
              <w:rPr>
                <w:rFonts w:hint="eastAsia"/>
                <w:color w:val="auto"/>
                <w:highlight w:val="none"/>
                <w:lang w:eastAsia="zh-CN"/>
              </w:rPr>
              <w:t xml:space="preserve">，</w:t>
            </w:r>
            <w:r>
              <w:rPr>
                <w:rFonts w:hint="eastAsia"/>
                <w:color w:val="auto"/>
                <w:highlight w:val="none"/>
              </w:rPr>
              <w:t xml:space="preserve">食品配送应急保障方案等进行评价：</w:t>
            </w:r>
            <w:r/>
          </w:p>
          <w:p>
            <w:pPr>
              <w:rPr>
                <w:color w:val="auto"/>
                <w:highlight w:val="none"/>
              </w:rPr>
            </w:pPr>
            <w:r>
              <w:rPr>
                <w:rFonts w:hint="eastAsia"/>
                <w:color w:val="auto"/>
                <w:highlight w:val="none"/>
              </w:rPr>
              <w:t xml:space="preserve">服务方案全面、针对性强得</w:t>
            </w:r>
            <w:r>
              <w:rPr>
                <w:rFonts w:hint="eastAsia"/>
                <w:color w:val="auto"/>
                <w:highlight w:val="none"/>
                <w:lang w:val="en-US" w:eastAsia="zh-CN"/>
              </w:rPr>
              <w:t xml:space="preserve">8</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服务方案</w:t>
            </w:r>
            <w:r>
              <w:rPr>
                <w:rFonts w:hint="eastAsia"/>
                <w:color w:val="auto"/>
                <w:highlight w:val="none"/>
                <w:lang w:val="en-US" w:eastAsia="zh-CN"/>
              </w:rPr>
              <w:t xml:space="preserve">较合理</w:t>
            </w:r>
            <w:r>
              <w:rPr>
                <w:rFonts w:hint="eastAsia"/>
                <w:color w:val="auto"/>
                <w:highlight w:val="none"/>
              </w:rPr>
              <w:t xml:space="preserve">、针对性</w:t>
            </w:r>
            <w:r>
              <w:rPr>
                <w:rFonts w:hint="eastAsia"/>
                <w:color w:val="auto"/>
                <w:highlight w:val="none"/>
                <w:lang w:val="en-US" w:eastAsia="zh-CN"/>
              </w:rPr>
              <w:t xml:space="preserve">较合理</w:t>
            </w:r>
            <w:r>
              <w:rPr>
                <w:rFonts w:hint="eastAsia"/>
                <w:color w:val="auto"/>
                <w:highlight w:val="none"/>
              </w:rPr>
              <w:t xml:space="preserve">得</w:t>
            </w:r>
            <w:r>
              <w:rPr>
                <w:rFonts w:hint="eastAsia"/>
                <w:color w:val="auto"/>
                <w:highlight w:val="none"/>
                <w:lang w:val="en-US" w:eastAsia="zh-CN"/>
              </w:rPr>
              <w:t xml:space="preserve">5</w:t>
            </w:r>
            <w:r>
              <w:rPr>
                <w:rFonts w:hint="eastAsia"/>
                <w:color w:val="auto"/>
                <w:highlight w:val="none"/>
              </w:rPr>
              <w:t xml:space="preserve">分；</w:t>
            </w:r>
            <w:r/>
          </w:p>
          <w:p>
            <w:pPr>
              <w:pStyle w:val="923"/>
              <w:ind w:left="0" w:firstLine="0"/>
              <w:rPr>
                <w:rFonts w:hint="eastAsia"/>
                <w:color w:val="auto"/>
                <w:highlight w:val="none"/>
              </w:rPr>
            </w:pPr>
            <w:r>
              <w:rPr>
                <w:rFonts w:hint="eastAsia"/>
                <w:color w:val="auto"/>
                <w:highlight w:val="none"/>
              </w:rPr>
              <w:t xml:space="preserve">服务方案描述一般、针对性一般得</w:t>
            </w:r>
            <w:r>
              <w:rPr>
                <w:rFonts w:hint="eastAsia"/>
                <w:color w:val="auto"/>
                <w:highlight w:val="none"/>
                <w:lang w:val="en-US" w:eastAsia="zh-CN"/>
              </w:rPr>
              <w:t xml:space="preserve">2</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未提供不得分</w:t>
            </w:r>
            <w:r>
              <w:rPr>
                <w:rFonts w:hint="eastAsia"/>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8</w:t>
            </w:r>
            <w:r/>
          </w:p>
        </w:tc>
      </w:tr>
      <w:tr>
        <w:trPr>
          <w:jc w:val="center"/>
          <w:trHeight w:val="90"/>
        </w:trPr>
        <w:tc>
          <w:tcPr>
            <w:gridSpan w:val="3"/>
            <w:tcBorders>
              <w:left w:val="single" w:color="auto" w:sz="4" w:space="0"/>
              <w:right w:val="single" w:color="auto" w:sz="4" w:space="0"/>
            </w:tcBorders>
            <w:tcW w:w="9008" w:type="dxa"/>
            <w:vAlign w:val="center"/>
            <w:textDirection w:val="lrTb"/>
            <w:noWrap/>
          </w:tcPr>
          <w:p>
            <w:pPr>
              <w:ind w:firstLine="630"/>
              <w:jc w:val="center"/>
              <w:spacing w:line="400" w:lineRule="exact"/>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合    计</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100</w:t>
            </w:r>
            <w:r/>
          </w:p>
        </w:tc>
      </w:tr>
    </w:tbl>
    <w:p>
      <w:pPr>
        <w:pStyle w:val="970"/>
        <w:ind w:left="0" w:firstLine="0"/>
        <w:rPr>
          <w:rFonts w:ascii="宋体" w:hAnsi="宋体" w:cs="宋体"/>
          <w:color w:val="auto"/>
          <w:spacing w:val="8"/>
          <w:szCs w:val="21"/>
          <w:highlight w:val="none"/>
        </w:rPr>
      </w:pPr>
      <w:r>
        <w:rPr>
          <w:rFonts w:ascii="宋体" w:hAnsi="宋体" w:cs="宋体"/>
          <w:color w:val="auto"/>
          <w:spacing w:val="8"/>
          <w:szCs w:val="21"/>
          <w:highlight w:val="none"/>
        </w:rPr>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说明：</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1.所有认证、证明和业绩均以有效清晰的证明文件的复印件为依据，原件备查。</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5.监狱企业、残疾人福利性单位属于小型、微型企业的，不重复享受政策。</w:t>
      </w:r>
      <w:r/>
    </w:p>
    <w:p>
      <w:pPr>
        <w:ind w:left="420" w:firstLine="0"/>
        <w:keepLines w:val="0"/>
        <w:keepNext w:val="0"/>
        <w:pageBreakBefore w:val="0"/>
        <w:spacing w:line="360" w:lineRule="auto"/>
        <w:widowControl w:val="off"/>
        <w:rPr>
          <w:rFonts w:hint="eastAsia" w:ascii="Arial" w:hAnsi="Arial" w:cs="Arial"/>
          <w:bCs/>
          <w:color w:val="auto"/>
          <w:highlight w:val="none"/>
        </w:rPr>
      </w:pPr>
      <w:r>
        <w:rPr>
          <w:rFonts w:hint="eastAsia" w:ascii="Arial" w:hAnsi="Arial" w:cs="Arial"/>
          <w:bCs/>
          <w:color w:val="auto"/>
          <w:highlight w:val="none"/>
        </w:rPr>
        <w:t xml:space="preserve">6.本国产品的价格扣除</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color w:val="auto"/>
          <w:sz w:val="32"/>
          <w:szCs w:val="44"/>
          <w:highlight w:val="none"/>
        </w:rPr>
      </w:pPr>
      <w:r>
        <w:rPr>
          <w:rFonts w:hint="eastAsia" w:ascii="Arial" w:hAnsi="Arial" w:cs="Arial"/>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color w:val="auto"/>
          <w:highlight w:val="none"/>
        </w:rPr>
        <w:br w:type="page" w:clear="all"/>
      </w:r>
      <w:r/>
    </w:p>
    <w:p>
      <w:pPr>
        <w:pStyle w:val="901"/>
        <w:numPr>
          <w:ilvl w:val="0"/>
          <w:numId w:val="0"/>
        </w:numPr>
        <w:spacing w:before="0" w:after="0"/>
        <w:rPr>
          <w:rFonts w:ascii="宋体" w:hAnsi="宋体" w:cs="宋体"/>
          <w:color w:val="auto"/>
          <w:highlight w:val="none"/>
        </w:rPr>
      </w:pPr>
      <w:r/>
      <w:bookmarkStart w:id="12" w:name="_Toc15774"/>
      <w:r/>
      <w:bookmarkStart w:id="13" w:name="_Toc8882"/>
      <w:r>
        <w:rPr>
          <w:rFonts w:hint="eastAsia" w:ascii="Arial" w:hAnsi="Arial" w:cs="Arial"/>
          <w:color w:val="auto"/>
          <w:highlight w:val="none"/>
        </w:rPr>
        <w:t xml:space="preserve">第四章采购需求</w:t>
      </w:r>
      <w:bookmarkEnd w:id="12"/>
      <w:r/>
      <w:bookmarkEnd w:id="13"/>
      <w:r/>
      <w:bookmarkStart w:id="14" w:name="_Toc481057147"/>
      <w:r/>
      <w:bookmarkEnd w:id="14"/>
      <w:r/>
      <w:r/>
    </w:p>
    <w:p>
      <w:pPr>
        <w:spacing w:line="360" w:lineRule="auto"/>
        <w:rPr>
          <w:color w:val="auto"/>
          <w:highlight w:val="none"/>
        </w:rPr>
      </w:pPr>
      <w:r/>
      <w:bookmarkStart w:id="15" w:name="_Toc17844_WPSOffice_Level2"/>
      <w:r/>
      <w:bookmarkStart w:id="16" w:name="_Toc21672_WPSOffice_Level2"/>
      <w:r/>
      <w:bookmarkStart w:id="17" w:name="_Toc9411"/>
      <w:r>
        <w:rPr>
          <w:rFonts w:hint="eastAsia"/>
          <w:color w:val="auto"/>
          <w:highlight w:val="none"/>
        </w:rPr>
        <w:t xml:space="preserve">一、项目简介：</w:t>
      </w:r>
      <w:bookmarkEnd w:id="15"/>
      <w:r/>
      <w:bookmarkEnd w:id="16"/>
      <w:r/>
      <w:r/>
    </w:p>
    <w:p>
      <w:pPr>
        <w:ind w:firstLine="420"/>
        <w:spacing w:line="360" w:lineRule="auto"/>
        <w:rPr>
          <w:color w:val="auto"/>
          <w:highlight w:val="none"/>
        </w:rPr>
      </w:pPr>
      <w:r>
        <w:rPr>
          <w:rFonts w:hint="eastAsia"/>
          <w:color w:val="auto"/>
          <w:highlight w:val="none"/>
        </w:rPr>
        <w:t xml:space="preserve">南京体育学院为规范饮料和营养品采购，</w:t>
      </w:r>
      <w:r>
        <w:rPr>
          <w:rFonts w:hint="eastAsia"/>
          <w:color w:val="auto"/>
          <w:highlight w:val="none"/>
          <w:lang w:val="en-US" w:eastAsia="zh-CN"/>
        </w:rPr>
        <w:t xml:space="preserve">鉴</w:t>
      </w:r>
      <w:r>
        <w:rPr>
          <w:rFonts w:hint="eastAsia"/>
          <w:color w:val="auto"/>
          <w:highlight w:val="none"/>
        </w:rPr>
        <w:t xml:space="preserve">于运动员特殊群体，对原材料的要求较高，为确保食品原材料采购公平、公正、公开及采购价格合理，质量符合食品卫生安全要求及反兴奋剂检测要求，现拟通过公开招标的方式确定</w:t>
      </w:r>
      <w:r>
        <w:rPr>
          <w:rFonts w:hint="eastAsia"/>
          <w:color w:val="auto"/>
          <w:highlight w:val="none"/>
          <w:lang w:val="en-US" w:eastAsia="zh-CN"/>
        </w:rPr>
        <w:t xml:space="preserve">一家</w:t>
      </w:r>
      <w:r>
        <w:rPr>
          <w:rFonts w:hint="eastAsia"/>
          <w:color w:val="auto"/>
          <w:highlight w:val="none"/>
        </w:rPr>
        <w:t xml:space="preserve">供应及配送下列食材的供应商。供应期限为</w:t>
      </w:r>
      <w:r>
        <w:rPr>
          <w:color w:val="auto"/>
          <w:highlight w:val="none"/>
        </w:rPr>
        <w:t xml:space="preserve">2年</w:t>
      </w:r>
      <w:r>
        <w:rPr>
          <w:rFonts w:hint="eastAsia"/>
          <w:color w:val="auto"/>
          <w:highlight w:val="none"/>
        </w:rPr>
        <w:t xml:space="preserve">。</w:t>
      </w:r>
      <w:r/>
    </w:p>
    <w:p>
      <w:pPr>
        <w:spacing w:line="360" w:lineRule="auto"/>
        <w:rPr>
          <w:color w:val="auto"/>
          <w:highlight w:val="none"/>
        </w:rPr>
      </w:pPr>
      <w:r/>
      <w:bookmarkStart w:id="18" w:name="_Toc181_WPSOffice_Level2"/>
      <w:r/>
      <w:bookmarkStart w:id="19" w:name="_Toc14422_WPSOffice_Level2"/>
      <w:r>
        <w:rPr>
          <w:rFonts w:hint="eastAsia"/>
          <w:color w:val="auto"/>
          <w:highlight w:val="none"/>
        </w:rPr>
        <w:t xml:space="preserve">二、需求清单及质量标准：</w:t>
      </w:r>
      <w:bookmarkEnd w:id="18"/>
      <w:r/>
      <w:bookmarkEnd w:id="19"/>
      <w:r/>
      <w:r/>
    </w:p>
    <w:tbl>
      <w:tblPr>
        <w:tblStyle w:val="911"/>
        <w:tblW w:w="8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5625"/>
        <w:gridCol w:w="1708"/>
      </w:tblGrid>
      <w:tr>
        <w:trPr>
          <w:jc w:val="center"/>
          <w:trHeight w:val="397"/>
        </w:trPr>
        <w:tc>
          <w:tcPr>
            <w:tcW w:w="795" w:type="dxa"/>
            <w:vAlign w:val="center"/>
            <w:textDirection w:val="lrTb"/>
            <w:noWrap w:val="false"/>
          </w:tcPr>
          <w:p>
            <w:pPr>
              <w:spacing w:line="360" w:lineRule="auto"/>
              <w:rPr>
                <w:color w:val="auto"/>
                <w:highlight w:val="none"/>
                <w:lang w:val="zh-CN"/>
              </w:rPr>
            </w:pPr>
            <w:r>
              <w:rPr>
                <w:rFonts w:hint="eastAsia"/>
                <w:color w:val="auto"/>
                <w:highlight w:val="none"/>
                <w:lang w:val="zh-CN"/>
              </w:rPr>
              <w:t xml:space="preserve">序号</w:t>
            </w:r>
            <w:r/>
          </w:p>
        </w:tc>
        <w:tc>
          <w:tcPr>
            <w:tcW w:w="5625"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lang w:val="zh-CN"/>
              </w:rPr>
              <w:t xml:space="preserve">品种</w:t>
            </w:r>
            <w:r/>
          </w:p>
        </w:tc>
        <w:tc>
          <w:tcPr>
            <w:tcW w:w="1708"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lang w:val="en-US" w:eastAsia="zh-CN"/>
              </w:rPr>
              <w:t xml:space="preserve">预算 </w:t>
            </w:r>
            <w:r/>
          </w:p>
        </w:tc>
      </w:tr>
      <w:tr>
        <w:trPr>
          <w:jc w:val="center"/>
          <w:trHeight w:val="764"/>
        </w:trPr>
        <w:tc>
          <w:tcPr>
            <w:tcW w:w="795" w:type="dxa"/>
            <w:vAlign w:val="center"/>
            <w:textDirection w:val="lrTb"/>
            <w:noWrap w:val="false"/>
          </w:tcPr>
          <w:p>
            <w:pPr>
              <w:jc w:val="center"/>
              <w:spacing w:line="360" w:lineRule="auto"/>
              <w:rPr>
                <w:color w:val="auto"/>
                <w:highlight w:val="none"/>
                <w:lang w:val="zh-CN"/>
              </w:rPr>
            </w:pPr>
            <w:r>
              <w:rPr>
                <w:rFonts w:hint="eastAsia"/>
                <w:color w:val="auto"/>
                <w:highlight w:val="none"/>
              </w:rPr>
              <w:t xml:space="preserve">1</w:t>
            </w:r>
            <w:r/>
          </w:p>
        </w:tc>
        <w:tc>
          <w:tcPr>
            <w:tcW w:w="5625" w:type="dxa"/>
            <w:vAlign w:val="center"/>
            <w:textDirection w:val="lrTb"/>
            <w:noWrap w:val="false"/>
          </w:tcPr>
          <w:p>
            <w:pPr>
              <w:spacing w:line="360" w:lineRule="auto"/>
              <w:rPr>
                <w:rFonts w:hint="eastAsia" w:eastAsia="宋体"/>
                <w:color w:val="auto"/>
                <w:highlight w:val="none"/>
                <w:lang w:val="en-US" w:eastAsia="zh-CN"/>
              </w:rPr>
            </w:pPr>
            <w:r>
              <w:rPr>
                <w:rFonts w:hint="eastAsia"/>
                <w:color w:val="auto"/>
                <w:highlight w:val="none"/>
              </w:rPr>
              <w:t xml:space="preserve">饮料</w:t>
            </w:r>
            <w:r>
              <w:rPr>
                <w:rFonts w:hint="eastAsia"/>
                <w:color w:val="auto"/>
                <w:highlight w:val="none"/>
                <w:lang w:eastAsia="zh-CN"/>
              </w:rPr>
              <w:t xml:space="preserve">：</w:t>
            </w:r>
            <w:r>
              <w:rPr>
                <w:rFonts w:hint="eastAsia"/>
                <w:color w:val="auto"/>
                <w:highlight w:val="none"/>
                <w:lang w:val="en-US" w:eastAsia="zh-CN"/>
              </w:rPr>
              <w:t xml:space="preserve">瓶装水、功能饮料（运动饮料、苏打水等）</w:t>
            </w:r>
            <w:r/>
          </w:p>
        </w:tc>
        <w:tc>
          <w:tcPr>
            <w:tcW w:w="1708"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lang w:val="en-US" w:eastAsia="zh-CN"/>
              </w:rPr>
              <w:t xml:space="preserve">约75万元/年</w:t>
            </w:r>
            <w:r/>
          </w:p>
        </w:tc>
      </w:tr>
      <w:tr>
        <w:trPr>
          <w:jc w:val="center"/>
          <w:trHeight w:val="688"/>
        </w:trPr>
        <w:tc>
          <w:tcPr>
            <w:tcW w:w="795" w:type="dxa"/>
            <w:vAlign w:val="center"/>
            <w:textDirection w:val="lrTb"/>
            <w:noWrap w:val="false"/>
          </w:tcPr>
          <w:p>
            <w:pPr>
              <w:jc w:val="center"/>
              <w:spacing w:line="360" w:lineRule="auto"/>
              <w:rPr>
                <w:color w:val="auto"/>
                <w:highlight w:val="none"/>
              </w:rPr>
            </w:pPr>
            <w:r>
              <w:rPr>
                <w:rFonts w:hint="eastAsia"/>
                <w:color w:val="auto"/>
                <w:highlight w:val="none"/>
                <w:lang w:val="en-US" w:eastAsia="zh-CN"/>
              </w:rPr>
              <w:t xml:space="preserve">2</w:t>
            </w:r>
            <w:r/>
          </w:p>
        </w:tc>
        <w:tc>
          <w:tcPr>
            <w:tcW w:w="5625" w:type="dxa"/>
            <w:vAlign w:val="center"/>
            <w:textDirection w:val="lrTb"/>
            <w:noWrap w:val="false"/>
          </w:tcPr>
          <w:p>
            <w:pPr>
              <w:spacing w:line="360" w:lineRule="auto"/>
              <w:rPr>
                <w:rFonts w:hint="default" w:eastAsia="宋体"/>
                <w:color w:val="auto"/>
                <w:highlight w:val="none"/>
                <w:lang w:val="en-US" w:eastAsia="zh-CN"/>
              </w:rPr>
            </w:pPr>
            <w:r>
              <w:rPr>
                <w:rFonts w:hint="eastAsia"/>
                <w:color w:val="auto"/>
                <w:highlight w:val="none"/>
              </w:rPr>
              <w:t xml:space="preserve">预包装食品</w:t>
            </w:r>
            <w:r>
              <w:rPr>
                <w:rFonts w:hint="eastAsia"/>
                <w:color w:val="auto"/>
                <w:highlight w:val="none"/>
                <w:lang w:eastAsia="zh-CN"/>
              </w:rPr>
              <w:t xml:space="preserve">（</w:t>
            </w:r>
            <w:r>
              <w:rPr>
                <w:rFonts w:hint="eastAsia"/>
                <w:color w:val="auto"/>
                <w:highlight w:val="none"/>
                <w:lang w:val="en-US" w:eastAsia="zh-CN"/>
              </w:rPr>
              <w:t xml:space="preserve">纯牛奶、酸奶、坚果等</w:t>
            </w:r>
            <w:r>
              <w:rPr>
                <w:rFonts w:hint="eastAsia"/>
                <w:color w:val="auto"/>
                <w:highlight w:val="none"/>
                <w:lang w:eastAsia="zh-CN"/>
              </w:rPr>
              <w:t xml:space="preserve">）</w:t>
            </w:r>
            <w:r>
              <w:rPr>
                <w:rFonts w:hint="eastAsia"/>
                <w:color w:val="auto"/>
                <w:highlight w:val="none"/>
                <w:lang w:val="en-US" w:eastAsia="zh-CN"/>
              </w:rPr>
              <w:t xml:space="preserve"> </w:t>
            </w:r>
            <w:r/>
          </w:p>
        </w:tc>
        <w:tc>
          <w:tcPr>
            <w:tcW w:w="1708"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lang w:val="en-US" w:eastAsia="zh-CN"/>
              </w:rPr>
              <w:t xml:space="preserve">约70万元/年</w:t>
            </w:r>
            <w:r/>
          </w:p>
        </w:tc>
      </w:tr>
      <w:tr>
        <w:trPr>
          <w:jc w:val="center"/>
          <w:trHeight w:val="397"/>
        </w:trPr>
        <w:tc>
          <w:tcPr>
            <w:tcW w:w="795" w:type="dxa"/>
            <w:vAlign w:val="center"/>
            <w:textDirection w:val="lrTb"/>
            <w:noWrap w:val="false"/>
          </w:tcPr>
          <w:p>
            <w:pPr>
              <w:jc w:val="center"/>
              <w:spacing w:line="360" w:lineRule="auto"/>
              <w:rPr>
                <w:rFonts w:hint="eastAsia" w:eastAsia="宋体"/>
                <w:color w:val="auto"/>
                <w:highlight w:val="none"/>
                <w:lang w:val="zh-CN" w:eastAsia="zh-CN"/>
              </w:rPr>
            </w:pPr>
            <w:r>
              <w:rPr>
                <w:rFonts w:hint="eastAsia"/>
                <w:color w:val="auto"/>
                <w:highlight w:val="none"/>
                <w:lang w:val="en-US" w:eastAsia="zh-CN"/>
              </w:rPr>
              <w:t xml:space="preserve">3</w:t>
            </w:r>
            <w:r/>
          </w:p>
        </w:tc>
        <w:tc>
          <w:tcPr>
            <w:tcW w:w="5625" w:type="dxa"/>
            <w:vAlign w:val="center"/>
            <w:textDirection w:val="lrTb"/>
            <w:noWrap w:val="false"/>
          </w:tcPr>
          <w:p>
            <w:pPr>
              <w:spacing w:line="360" w:lineRule="auto"/>
              <w:rPr>
                <w:rFonts w:hint="eastAsia" w:eastAsia="宋体"/>
                <w:color w:val="auto"/>
                <w:highlight w:val="none"/>
                <w:lang w:val="zh-CN" w:eastAsia="zh-CN"/>
              </w:rPr>
            </w:pPr>
            <w:r>
              <w:rPr>
                <w:rFonts w:hint="eastAsia"/>
                <w:color w:val="auto"/>
                <w:highlight w:val="none"/>
              </w:rPr>
              <w:t xml:space="preserve">水果</w:t>
            </w:r>
            <w:r>
              <w:rPr>
                <w:rFonts w:hint="eastAsia"/>
                <w:color w:val="auto"/>
                <w:highlight w:val="none"/>
                <w:lang w:val="en-US" w:eastAsia="zh-CN"/>
              </w:rPr>
              <w:t xml:space="preserve"> （砂糖橘、玉露香梨、车厘子、橙子等）</w:t>
            </w:r>
            <w:r/>
          </w:p>
        </w:tc>
        <w:tc>
          <w:tcPr>
            <w:tcW w:w="1708" w:type="dxa"/>
            <w:vAlign w:val="center"/>
            <w:vMerge w:val="continue"/>
            <w:textDirection w:val="lrTb"/>
            <w:noWrap w:val="false"/>
          </w:tcPr>
          <w:p>
            <w:pPr>
              <w:jc w:val="center"/>
              <w:spacing w:line="360" w:lineRule="auto"/>
              <w:rPr>
                <w:rFonts w:hint="eastAsia"/>
                <w:color w:val="auto"/>
                <w:highlight w:val="none"/>
              </w:rPr>
            </w:pPr>
            <w:r>
              <w:rPr>
                <w:rFonts w:hint="eastAsia"/>
                <w:color w:val="auto"/>
                <w:highlight w:val="none"/>
              </w:rPr>
            </w:r>
            <w:r/>
          </w:p>
        </w:tc>
      </w:tr>
      <w:tr>
        <w:trPr>
          <w:jc w:val="center"/>
          <w:trHeight w:val="405"/>
        </w:trPr>
        <w:tc>
          <w:tcPr>
            <w:tcW w:w="795" w:type="dxa"/>
            <w:vAlign w:val="center"/>
            <w:textDirection w:val="lrTb"/>
            <w:noWrap w:val="false"/>
          </w:tcPr>
          <w:p>
            <w:pPr>
              <w:jc w:val="center"/>
              <w:spacing w:line="360" w:lineRule="auto"/>
              <w:rPr>
                <w:rFonts w:hint="eastAsia" w:eastAsia="宋体"/>
                <w:color w:val="auto"/>
                <w:highlight w:val="none"/>
                <w:lang w:val="zh-CN" w:eastAsia="zh-CN"/>
              </w:rPr>
            </w:pPr>
            <w:r>
              <w:rPr>
                <w:rFonts w:hint="eastAsia"/>
                <w:color w:val="auto"/>
                <w:highlight w:val="none"/>
                <w:lang w:val="en-US" w:eastAsia="zh-CN"/>
              </w:rPr>
              <w:t xml:space="preserve">4</w:t>
            </w:r>
            <w:r/>
          </w:p>
        </w:tc>
        <w:tc>
          <w:tcPr>
            <w:tcW w:w="5625" w:type="dxa"/>
            <w:vAlign w:val="center"/>
            <w:textDirection w:val="lrTb"/>
            <w:noWrap w:val="false"/>
          </w:tcPr>
          <w:p>
            <w:pPr>
              <w:spacing w:line="360" w:lineRule="auto"/>
              <w:rPr>
                <w:rFonts w:hint="eastAsia" w:eastAsia="宋体"/>
                <w:color w:val="auto"/>
                <w:highlight w:val="none"/>
                <w:lang w:val="zh-CN" w:eastAsia="zh-CN"/>
              </w:rPr>
            </w:pPr>
            <w:r>
              <w:rPr>
                <w:rFonts w:hint="eastAsia"/>
                <w:color w:val="auto"/>
                <w:highlight w:val="none"/>
              </w:rPr>
              <w:t xml:space="preserve">水产</w:t>
            </w:r>
            <w:r>
              <w:rPr>
                <w:rFonts w:hint="eastAsia"/>
                <w:color w:val="auto"/>
                <w:highlight w:val="none"/>
                <w:lang w:val="en-US" w:eastAsia="zh-CN"/>
              </w:rPr>
              <w:t xml:space="preserve"> （鲍鱼、大黄鱼、带鱼、虾仁、辽参、虾等冻品）</w:t>
            </w:r>
            <w:r/>
          </w:p>
        </w:tc>
        <w:tc>
          <w:tcPr>
            <w:tcW w:w="1708"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color w:val="auto"/>
                <w:highlight w:val="none"/>
                <w:lang w:val="en-US" w:eastAsia="zh-CN"/>
              </w:rPr>
              <w:t xml:space="preserve">约44万元/年</w:t>
            </w:r>
            <w:r/>
          </w:p>
        </w:tc>
      </w:tr>
    </w:tbl>
    <w:p>
      <w:pPr>
        <w:ind w:firstLine="420"/>
        <w:spacing w:line="360" w:lineRule="auto"/>
        <w:rPr>
          <w:rFonts w:hint="eastAsia" w:ascii="宋体" w:hAnsi="宋体" w:cs="宋体"/>
          <w:color w:val="000000"/>
          <w:szCs w:val="21"/>
          <w:highlight w:val="none"/>
        </w:rPr>
      </w:pPr>
      <w:r>
        <w:rPr>
          <w:rFonts w:hint="eastAsia" w:ascii="宋体" w:hAnsi="宋体" w:eastAsia="宋体" w:cs="宋体"/>
          <w:bCs w:val="0"/>
          <w:sz w:val="21"/>
          <w:szCs w:val="21"/>
          <w:highlight w:val="none"/>
        </w:rPr>
        <w:t xml:space="preserve">采购人有权根据项目实际情况，调整本表的</w:t>
      </w:r>
      <w:r>
        <w:rPr>
          <w:rFonts w:hint="eastAsia" w:ascii="宋体" w:hAnsi="宋体" w:eastAsia="宋体" w:cs="宋体"/>
          <w:bCs w:val="0"/>
          <w:sz w:val="21"/>
          <w:szCs w:val="21"/>
          <w:highlight w:val="none"/>
          <w:lang w:val="en-US" w:eastAsia="zh-CN"/>
        </w:rPr>
        <w:t xml:space="preserve">品种</w:t>
      </w:r>
      <w:r>
        <w:rPr>
          <w:rFonts w:hint="eastAsia" w:ascii="宋体" w:hAnsi="宋体" w:eastAsia="宋体" w:cs="宋体"/>
          <w:bCs w:val="0"/>
          <w:sz w:val="21"/>
          <w:szCs w:val="21"/>
          <w:highlight w:val="none"/>
        </w:rPr>
        <w:t xml:space="preserve">及</w:t>
      </w:r>
      <w:r>
        <w:rPr>
          <w:rFonts w:hint="eastAsia" w:ascii="宋体" w:hAnsi="宋体" w:eastAsia="宋体" w:cs="宋体"/>
          <w:bCs w:val="0"/>
          <w:sz w:val="21"/>
          <w:szCs w:val="21"/>
          <w:highlight w:val="none"/>
          <w:lang w:val="en-US" w:eastAsia="zh-CN"/>
        </w:rPr>
        <w:t xml:space="preserve">预算</w:t>
      </w:r>
      <w:r>
        <w:rPr>
          <w:rFonts w:hint="eastAsia" w:ascii="宋体" w:hAnsi="宋体" w:eastAsia="宋体" w:cs="宋体"/>
          <w:bCs w:val="0"/>
          <w:sz w:val="21"/>
          <w:szCs w:val="21"/>
          <w:highlight w:val="none"/>
        </w:rPr>
        <w:t xml:space="preserve">。</w:t>
      </w:r>
      <w:r>
        <w:rPr>
          <w:rFonts w:hint="eastAsia" w:ascii="宋体" w:hAnsi="宋体" w:eastAsia="宋体" w:cs="宋体"/>
          <w:bCs w:val="0"/>
          <w:sz w:val="21"/>
          <w:szCs w:val="21"/>
          <w:highlight w:val="none"/>
          <w:lang w:val="en-US" w:eastAsia="zh-CN"/>
        </w:rPr>
        <w:t xml:space="preserve">实际供货以采购人要求或联系单为准</w:t>
      </w:r>
      <w:r>
        <w:rPr>
          <w:rFonts w:hint="eastAsia"/>
          <w:highlight w:val="none"/>
        </w:rPr>
        <w:t xml:space="preserve">，</w:t>
      </w:r>
      <w:r>
        <w:rPr>
          <w:rFonts w:hint="eastAsia"/>
          <w:highlight w:val="none"/>
          <w:lang w:val="en-US" w:eastAsia="zh-CN"/>
        </w:rPr>
        <w:t xml:space="preserve">优惠率</w:t>
      </w:r>
      <w:r>
        <w:rPr>
          <w:rFonts w:hint="eastAsia"/>
          <w:highlight w:val="none"/>
        </w:rPr>
        <w:t xml:space="preserve">不得调整。</w:t>
      </w:r>
      <w:r/>
    </w:p>
    <w:p>
      <w:pPr>
        <w:ind w:firstLine="420"/>
        <w:spacing w:line="360" w:lineRule="auto"/>
        <w:rPr>
          <w:rFonts w:hint="eastAsia" w:eastAsia="宋体"/>
          <w:color w:val="auto"/>
          <w:highlight w:val="none"/>
          <w:lang w:eastAsia="zh-CN"/>
        </w:rPr>
      </w:pPr>
      <w:r>
        <w:rPr>
          <w:rFonts w:hint="eastAsia" w:ascii="宋体" w:hAnsi="宋体" w:cs="宋体"/>
          <w:color w:val="000000"/>
          <w:szCs w:val="21"/>
          <w:highlight w:val="none"/>
        </w:rPr>
        <w:t xml:space="preserve">★</w:t>
      </w:r>
      <w:r>
        <w:rPr>
          <w:rFonts w:hint="eastAsia"/>
          <w:color w:val="auto"/>
          <w:highlight w:val="none"/>
        </w:rPr>
        <w:t xml:space="preserve">标的所有品种均要求</w:t>
      </w:r>
      <w:r>
        <w:rPr>
          <w:rFonts w:hint="eastAsia"/>
          <w:color w:val="auto"/>
          <w:highlight w:val="none"/>
          <w:lang w:val="en-US" w:eastAsia="zh-CN"/>
        </w:rPr>
        <w:t xml:space="preserve">符合国家</w:t>
      </w:r>
      <w:r>
        <w:rPr>
          <w:rFonts w:hint="eastAsia"/>
          <w:color w:val="auto"/>
          <w:highlight w:val="none"/>
        </w:rPr>
        <w:t xml:space="preserve">食品质量安全</w:t>
      </w:r>
      <w:r>
        <w:rPr>
          <w:rFonts w:hint="eastAsia"/>
          <w:color w:val="auto"/>
          <w:highlight w:val="none"/>
          <w:lang w:val="en-US" w:eastAsia="zh-CN"/>
        </w:rPr>
        <w:t xml:space="preserve">标准，以及食源性兴奋剂防控的相关管理规定，确保产品零兴奋剂风险</w:t>
      </w:r>
      <w:r>
        <w:rPr>
          <w:rFonts w:hint="eastAsia"/>
          <w:color w:val="auto"/>
          <w:highlight w:val="none"/>
        </w:rPr>
        <w:t xml:space="preserve">。本次招标标的特点为供货量品种较多且日供货量较小。未列明质量标准的货物，采购渠道应为正规途径采购，来源均必须可追溯。</w:t>
      </w:r>
      <w:r>
        <w:rPr>
          <w:rFonts w:hint="eastAsia"/>
          <w:color w:val="auto"/>
          <w:highlight w:val="none"/>
          <w:lang w:eastAsia="zh-CN"/>
        </w:rPr>
        <w:t xml:space="preserve">（</w:t>
      </w:r>
      <w:r>
        <w:rPr>
          <w:rFonts w:hint="eastAsia"/>
          <w:color w:val="auto"/>
          <w:highlight w:val="none"/>
          <w:lang w:val="en-US" w:eastAsia="zh-CN"/>
        </w:rPr>
        <w:t xml:space="preserve">供应商需提供承诺函，格式自拟</w:t>
      </w:r>
      <w:r>
        <w:rPr>
          <w:rFonts w:hint="eastAsia"/>
          <w:color w:val="auto"/>
          <w:highlight w:val="none"/>
          <w:lang w:eastAsia="zh-CN"/>
        </w:rPr>
        <w:t xml:space="preserve">）</w:t>
      </w:r>
      <w:r/>
    </w:p>
    <w:p>
      <w:pPr>
        <w:spacing w:line="360" w:lineRule="auto"/>
        <w:rPr>
          <w:color w:val="auto"/>
          <w:highlight w:val="none"/>
        </w:rPr>
      </w:pPr>
      <w:r/>
      <w:bookmarkStart w:id="20" w:name="_Toc22810_WPSOffice_Level2"/>
      <w:r/>
      <w:bookmarkStart w:id="21" w:name="_Toc21706_WPSOffice_Level2"/>
      <w:r>
        <w:rPr>
          <w:rFonts w:hint="eastAsia"/>
          <w:color w:val="auto"/>
          <w:highlight w:val="none"/>
        </w:rPr>
        <w:t xml:space="preserve">三、质量</w:t>
      </w:r>
      <w:r>
        <w:rPr>
          <w:rFonts w:hint="eastAsia"/>
          <w:color w:val="auto"/>
          <w:highlight w:val="none"/>
          <w:lang w:val="en-US" w:eastAsia="zh-CN"/>
        </w:rPr>
        <w:t xml:space="preserve">和运输要求</w:t>
      </w:r>
      <w:r>
        <w:rPr>
          <w:rFonts w:hint="eastAsia"/>
          <w:color w:val="auto"/>
          <w:highlight w:val="none"/>
        </w:rPr>
        <w:t xml:space="preserve">：</w:t>
      </w:r>
      <w:bookmarkEnd w:id="20"/>
      <w:r/>
      <w:bookmarkEnd w:id="21"/>
      <w:r/>
      <w:r/>
    </w:p>
    <w:p>
      <w:pPr>
        <w:spacing w:line="360" w:lineRule="auto"/>
        <w:rPr>
          <w:color w:val="auto"/>
          <w:highlight w:val="none"/>
        </w:rPr>
      </w:pPr>
      <w:r>
        <w:rPr>
          <w:rFonts w:hint="eastAsia"/>
          <w:color w:val="auto"/>
          <w:highlight w:val="none"/>
        </w:rPr>
        <w:t xml:space="preserve">（一）为保证运动员用餐食品安全，供应商所供食材应为同类产品中的综合质量优良产品，同等条件下，通过认证的绿色食品、有机食品优先。</w:t>
      </w:r>
      <w:r/>
    </w:p>
    <w:p>
      <w:pPr>
        <w:ind w:firstLine="420"/>
        <w:spacing w:line="360" w:lineRule="auto"/>
        <w:rPr>
          <w:color w:val="auto"/>
          <w:highlight w:val="none"/>
        </w:rPr>
      </w:pPr>
      <w:r>
        <w:rPr>
          <w:rFonts w:hint="eastAsia" w:ascii="宋体" w:hAnsi="宋体" w:cs="宋体"/>
          <w:color w:val="000000"/>
          <w:szCs w:val="21"/>
          <w:highlight w:val="none"/>
        </w:rPr>
        <w:t xml:space="preserve">★</w:t>
      </w:r>
      <w:r>
        <w:rPr>
          <w:rFonts w:hint="eastAsia"/>
          <w:color w:val="auto"/>
          <w:highlight w:val="none"/>
        </w:rPr>
        <w:t xml:space="preserve">（二）供应商应严格遵守《食品安全法》和《动物检疫法》、《大型赛事食源性兴奋剂防控工作指南》等相关规定，严格保证食品质量符合国家相关产品质量标准，符合国家各级强制性规范的要求。如因提供的食品导致发生兴奋剂违规事件,供应商应对此承担一切法律责任。在食材供应期间如出现因食用其提供的食品导致食物中毒的事故发生，供应商应对此承担一切法律责任。</w:t>
      </w:r>
      <w:r>
        <w:rPr>
          <w:rFonts w:hint="eastAsia"/>
          <w:color w:val="auto"/>
          <w:highlight w:val="none"/>
          <w:lang w:eastAsia="zh-CN"/>
        </w:rPr>
        <w:t xml:space="preserve">（</w:t>
      </w:r>
      <w:r>
        <w:rPr>
          <w:rFonts w:hint="eastAsia"/>
          <w:color w:val="auto"/>
          <w:highlight w:val="none"/>
          <w:lang w:val="en-US" w:eastAsia="zh-CN"/>
        </w:rPr>
        <w:t xml:space="preserve">供应商需提供承诺函，格式自拟</w:t>
      </w:r>
      <w:r>
        <w:rPr>
          <w:rFonts w:hint="eastAsia"/>
          <w:color w:val="auto"/>
          <w:highlight w:val="none"/>
          <w:lang w:eastAsia="zh-CN"/>
        </w:rPr>
        <w:t xml:space="preserve">）</w:t>
      </w:r>
      <w:r/>
    </w:p>
    <w:p>
      <w:pPr>
        <w:spacing w:line="360" w:lineRule="auto"/>
        <w:rPr>
          <w:color w:val="auto"/>
          <w:highlight w:val="none"/>
        </w:rPr>
      </w:pPr>
      <w:r>
        <w:rPr>
          <w:rFonts w:hint="eastAsia"/>
          <w:color w:val="auto"/>
          <w:highlight w:val="none"/>
        </w:rPr>
        <w:t xml:space="preserve">（三）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spacing w:line="360" w:lineRule="auto"/>
        <w:rPr>
          <w:color w:val="auto"/>
          <w:highlight w:val="none"/>
        </w:rPr>
      </w:pPr>
      <w:r>
        <w:rPr>
          <w:rFonts w:hint="eastAsia" w:ascii="宋体" w:hAnsi="宋体" w:cs="宋体"/>
          <w:color w:val="000000"/>
          <w:szCs w:val="21"/>
          <w:highlight w:val="none"/>
        </w:rPr>
        <w:t xml:space="preserve">★</w:t>
      </w:r>
      <w:r>
        <w:rPr>
          <w:rFonts w:hint="eastAsia"/>
          <w:color w:val="auto"/>
          <w:highlight w:val="none"/>
        </w:rPr>
        <w:t xml:space="preserve">（四）供应商提供的预包装食品中，肉制品需提供质检报告（检测内容至少包括克伦特罗、沙丁胺醇、莱克多巴胺三项；检测机构要求，有中国合格评定国家认可委员会CNAS、中国计量认证CMA或同等的国家认可认证资质的第三方检测机构）</w:t>
      </w:r>
      <w:r>
        <w:rPr>
          <w:rFonts w:hint="eastAsia"/>
          <w:color w:val="auto"/>
          <w:highlight w:val="none"/>
          <w:lang w:eastAsia="zh-CN"/>
        </w:rPr>
        <w:t xml:space="preserve">。提供的水产品每个批次都要有</w:t>
      </w:r>
      <w:r>
        <w:rPr>
          <w:rFonts w:hint="eastAsia"/>
          <w:color w:val="auto"/>
          <w:highlight w:val="none"/>
        </w:rPr>
        <w:t xml:space="preserve">中国合格评定国家认可委员会CNAS、中国计量认证CMA或同等的国家认可认证资质的第三方检测机构</w:t>
      </w:r>
      <w:r>
        <w:rPr>
          <w:rFonts w:hint="eastAsia"/>
          <w:color w:val="auto"/>
          <w:highlight w:val="none"/>
          <w:lang w:val="en-US" w:eastAsia="zh-CN"/>
        </w:rPr>
        <w:t xml:space="preserve">的检测报告</w:t>
      </w:r>
      <w:r>
        <w:rPr>
          <w:rFonts w:hint="eastAsia"/>
          <w:color w:val="auto"/>
          <w:highlight w:val="none"/>
          <w:lang w:eastAsia="zh-CN"/>
        </w:rPr>
        <w:t xml:space="preserve">。（</w:t>
      </w:r>
      <w:r>
        <w:rPr>
          <w:rFonts w:hint="eastAsia"/>
          <w:color w:val="auto"/>
          <w:highlight w:val="none"/>
          <w:lang w:val="en-US" w:eastAsia="zh-CN"/>
        </w:rPr>
        <w:t xml:space="preserve">供应商需提供承诺函，格式自拟</w:t>
      </w:r>
      <w:r>
        <w:rPr>
          <w:rFonts w:hint="eastAsia"/>
          <w:color w:val="auto"/>
          <w:highlight w:val="none"/>
          <w:lang w:eastAsia="zh-CN"/>
        </w:rPr>
        <w:t xml:space="preserve">）</w:t>
      </w:r>
      <w:r/>
    </w:p>
    <w:p>
      <w:pPr>
        <w:spacing w:line="360" w:lineRule="auto"/>
        <w:rPr>
          <w:color w:val="auto"/>
          <w:highlight w:val="none"/>
        </w:rPr>
      </w:pPr>
      <w:r>
        <w:rPr>
          <w:rFonts w:hint="eastAsia"/>
          <w:color w:val="auto"/>
          <w:highlight w:val="none"/>
        </w:rPr>
        <w:t xml:space="preserve">（五）一经发现供应以下食品，供应商除全部退货外并没收全部履约保证金，同时还应承担由此造成的经济责任和法律责任：</w:t>
      </w:r>
      <w:r/>
    </w:p>
    <w:p>
      <w:pPr>
        <w:spacing w:line="360" w:lineRule="auto"/>
        <w:rPr>
          <w:color w:val="auto"/>
          <w:highlight w:val="none"/>
        </w:rPr>
      </w:pPr>
      <w:r>
        <w:rPr>
          <w:rFonts w:hint="eastAsia"/>
          <w:color w:val="auto"/>
          <w:highlight w:val="none"/>
        </w:rPr>
        <w:t xml:space="preserve">1、腐败变质、油脂酸败、霉变、生虫、污秽不洁、混有异物或者其他感官性状异常，对人体健康有害的；</w:t>
      </w:r>
      <w:r/>
    </w:p>
    <w:p>
      <w:pPr>
        <w:spacing w:line="360" w:lineRule="auto"/>
        <w:rPr>
          <w:color w:val="auto"/>
          <w:highlight w:val="none"/>
        </w:rPr>
      </w:pPr>
      <w:r>
        <w:rPr>
          <w:rFonts w:hint="eastAsia"/>
          <w:color w:val="auto"/>
          <w:highlight w:val="none"/>
        </w:rPr>
        <w:t xml:space="preserve">2、含有毒、有害物质或者被有害物质污染，对人体健康有害的；含有严重超出标准限量的农药残留、兽药残留、重金属、污染物质以及其他危害人体健康的；</w:t>
      </w:r>
      <w:r/>
    </w:p>
    <w:p>
      <w:pPr>
        <w:spacing w:line="360" w:lineRule="auto"/>
        <w:rPr>
          <w:color w:val="auto"/>
          <w:highlight w:val="none"/>
        </w:rPr>
      </w:pPr>
      <w:r>
        <w:rPr>
          <w:rFonts w:hint="eastAsia"/>
          <w:color w:val="auto"/>
          <w:highlight w:val="none"/>
        </w:rPr>
        <w:t xml:space="preserve">3、含有致病性寄生虫、微生物或者微生物含量超过国家限定标准的；</w:t>
      </w:r>
      <w:r/>
    </w:p>
    <w:p>
      <w:pPr>
        <w:spacing w:line="360" w:lineRule="auto"/>
        <w:rPr>
          <w:color w:val="auto"/>
          <w:highlight w:val="none"/>
        </w:rPr>
      </w:pPr>
      <w:r>
        <w:rPr>
          <w:rFonts w:hint="eastAsia"/>
          <w:color w:val="auto"/>
          <w:highlight w:val="none"/>
        </w:rPr>
        <w:t xml:space="preserve">4、未经动物检疫部门检疫、检验或者检疫、检验不合格的肉类及其制品；</w:t>
      </w:r>
      <w:r/>
    </w:p>
    <w:p>
      <w:pPr>
        <w:spacing w:line="360" w:lineRule="auto"/>
        <w:rPr>
          <w:color w:val="auto"/>
          <w:highlight w:val="none"/>
        </w:rPr>
      </w:pPr>
      <w:r>
        <w:rPr>
          <w:rFonts w:hint="eastAsia"/>
          <w:color w:val="auto"/>
          <w:highlight w:val="none"/>
        </w:rPr>
        <w:t xml:space="preserve">5、病死、毒死或者死因不明的禽、</w:t>
      </w:r>
      <w:r>
        <w:rPr>
          <w:rFonts w:hint="eastAsia"/>
          <w:color w:val="auto"/>
          <w:highlight w:val="none"/>
          <w:lang w:val="en-US" w:eastAsia="zh-CN"/>
        </w:rPr>
        <w:t xml:space="preserve">畜</w:t>
      </w:r>
      <w:r>
        <w:rPr>
          <w:rFonts w:hint="eastAsia"/>
          <w:color w:val="auto"/>
          <w:highlight w:val="none"/>
        </w:rPr>
        <w:t xml:space="preserve">、兽、水产动物等及其制品；</w:t>
      </w:r>
      <w:r/>
    </w:p>
    <w:p>
      <w:pPr>
        <w:spacing w:line="360" w:lineRule="auto"/>
        <w:rPr>
          <w:color w:val="auto"/>
          <w:highlight w:val="none"/>
        </w:rPr>
      </w:pPr>
      <w:r>
        <w:rPr>
          <w:rFonts w:hint="eastAsia"/>
          <w:color w:val="auto"/>
          <w:highlight w:val="none"/>
        </w:rPr>
        <w:t xml:space="preserve">6、掺假、掺杂、伪造、影响营养、卫生的；</w:t>
      </w:r>
      <w:r/>
    </w:p>
    <w:p>
      <w:pPr>
        <w:spacing w:line="360" w:lineRule="auto"/>
        <w:rPr>
          <w:color w:val="auto"/>
          <w:highlight w:val="none"/>
        </w:rPr>
      </w:pPr>
      <w:r>
        <w:rPr>
          <w:rFonts w:hint="eastAsia"/>
          <w:color w:val="auto"/>
          <w:highlight w:val="none"/>
        </w:rPr>
        <w:t xml:space="preserve">7、用非食品原料加工的，加入非食品用化学物质或者将非食品当作食品的；</w:t>
      </w:r>
      <w:r/>
    </w:p>
    <w:p>
      <w:pPr>
        <w:spacing w:line="360" w:lineRule="auto"/>
        <w:rPr>
          <w:color w:val="auto"/>
          <w:highlight w:val="none"/>
        </w:rPr>
      </w:pPr>
      <w:r>
        <w:rPr>
          <w:rFonts w:hint="eastAsia"/>
          <w:color w:val="auto"/>
          <w:highlight w:val="none"/>
        </w:rPr>
        <w:t xml:space="preserve">8、保质期在质保期限半数以下的；</w:t>
      </w:r>
      <w:r/>
    </w:p>
    <w:p>
      <w:pPr>
        <w:spacing w:line="360" w:lineRule="auto"/>
        <w:rPr>
          <w:color w:val="auto"/>
          <w:highlight w:val="none"/>
        </w:rPr>
      </w:pPr>
      <w:r>
        <w:rPr>
          <w:rFonts w:hint="eastAsia"/>
          <w:color w:val="auto"/>
          <w:highlight w:val="none"/>
        </w:rPr>
        <w:t xml:space="preserve">9、非正规厂家生产的；</w:t>
      </w:r>
      <w:r/>
    </w:p>
    <w:p>
      <w:pPr>
        <w:spacing w:line="360" w:lineRule="auto"/>
        <w:rPr>
          <w:color w:val="auto"/>
          <w:highlight w:val="none"/>
        </w:rPr>
      </w:pPr>
      <w:r>
        <w:rPr>
          <w:rFonts w:hint="eastAsia"/>
          <w:color w:val="auto"/>
          <w:highlight w:val="none"/>
        </w:rPr>
        <w:t xml:space="preserve">10、无商标产品；</w:t>
      </w:r>
      <w:r/>
    </w:p>
    <w:p>
      <w:pPr>
        <w:pStyle w:val="923"/>
        <w:ind w:left="0"/>
        <w:spacing w:line="360" w:lineRule="auto"/>
        <w:rPr>
          <w:color w:val="auto"/>
          <w:highlight w:val="none"/>
        </w:rPr>
      </w:pPr>
      <w:r>
        <w:rPr>
          <w:rFonts w:hint="eastAsia" w:ascii="Times New Roman" w:hAnsi="Times New Roman"/>
          <w:color w:val="auto"/>
          <w:highlight w:val="none"/>
        </w:rPr>
        <w:t xml:space="preserve">11、含有兴奋剂等成分的。</w:t>
      </w:r>
      <w:r/>
    </w:p>
    <w:p>
      <w:pPr>
        <w:spacing w:line="360" w:lineRule="auto"/>
        <w:rPr>
          <w:rFonts w:hint="default" w:eastAsia="宋体"/>
          <w:color w:val="auto"/>
          <w:highlight w:val="none"/>
          <w:lang w:val="en-US" w:eastAsia="zh-CN"/>
        </w:rPr>
      </w:pPr>
      <w:r/>
      <w:bookmarkStart w:id="22" w:name="_Toc26001_WPSOffice_Level2"/>
      <w:r/>
      <w:bookmarkStart w:id="23" w:name="_Toc15921_WPSOffice_Level2"/>
      <w:r>
        <w:rPr>
          <w:rFonts w:hint="eastAsia"/>
          <w:color w:val="auto"/>
          <w:highlight w:val="none"/>
          <w:lang w:eastAsia="zh-CN"/>
        </w:rPr>
        <w:t xml:space="preserve">（</w:t>
      </w:r>
      <w:r>
        <w:rPr>
          <w:rFonts w:hint="eastAsia"/>
          <w:color w:val="auto"/>
          <w:highlight w:val="none"/>
          <w:lang w:val="en-US" w:eastAsia="zh-CN"/>
        </w:rPr>
        <w:t xml:space="preserve">六</w:t>
      </w:r>
      <w:r>
        <w:rPr>
          <w:rFonts w:hint="eastAsia"/>
          <w:color w:val="auto"/>
          <w:highlight w:val="none"/>
          <w:lang w:eastAsia="zh-CN"/>
        </w:rPr>
        <w:t xml:space="preserve">）</w:t>
      </w:r>
      <w:r>
        <w:rPr>
          <w:rFonts w:hint="eastAsia"/>
          <w:color w:val="auto"/>
          <w:highlight w:val="none"/>
          <w:lang w:val="en-US" w:eastAsia="zh-CN"/>
        </w:rPr>
        <w:t xml:space="preserve">供应商须建立覆盖食品运输、仓储、配送全流程的卫生安全管控体系：运输车辆须定期清洁消毒，符合食品运输安全标准；仓储环境及保鲜冷冻库须满足不同产品的温湿度、通风等存放要求；需低温储存的产品使用合规冷藏车运输，全程温湿度实时监控；配送环节实行专人负责制，避免无关人员接触货品。</w:t>
      </w:r>
      <w:r/>
    </w:p>
    <w:p>
      <w:pPr>
        <w:spacing w:line="360" w:lineRule="auto"/>
        <w:rPr>
          <w:color w:val="auto"/>
          <w:highlight w:val="none"/>
        </w:rPr>
      </w:pPr>
      <w:r>
        <w:rPr>
          <w:rFonts w:hint="eastAsia"/>
          <w:color w:val="auto"/>
          <w:highlight w:val="none"/>
        </w:rPr>
        <w:t xml:space="preserve">四、付款方式</w:t>
      </w:r>
      <w:bookmarkEnd w:id="22"/>
      <w:r/>
      <w:bookmarkEnd w:id="23"/>
      <w:r/>
      <w:r/>
    </w:p>
    <w:p>
      <w:pPr>
        <w:jc w:val="left"/>
        <w:spacing w:line="240" w:lineRule="auto"/>
        <w:shd w:val="clear" w:color="auto" w:fill="ffffff"/>
        <w:widowControl/>
        <w:rPr>
          <w:rFonts w:hint="eastAsia"/>
          <w:color w:val="auto"/>
          <w:highlight w:val="none"/>
        </w:rPr>
        <w:pBdr>
          <w:top w:val="none" w:color="E5E5E5" w:sz="0" w:space="0"/>
          <w:left w:val="none" w:color="E5E5E5" w:sz="0" w:space="0"/>
          <w:bottom w:val="none" w:color="E5E5E5" w:sz="0" w:space="0"/>
          <w:right w:val="none" w:color="E5E5E5" w:sz="0" w:space="0"/>
        </w:pBdr>
      </w:pPr>
      <w:r>
        <w:rPr>
          <w:rFonts w:hint="eastAsia"/>
          <w:color w:val="auto"/>
          <w:highlight w:val="none"/>
        </w:rPr>
        <w:t xml:space="preserve">1本合同以人民币付款</w:t>
      </w:r>
      <w:r/>
    </w:p>
    <w:p>
      <w:pPr>
        <w:spacing w:line="360" w:lineRule="auto"/>
        <w:shd w:val="clear" w:color="auto" w:fill="auto"/>
        <w:rPr>
          <w:rFonts w:hint="eastAsia" w:ascii="Times New Roman" w:hAnsi="Times New Roman" w:eastAsia="宋体" w:cs="Times New Roman"/>
          <w:color w:val="auto"/>
          <w:sz w:val="21"/>
          <w:szCs w:val="24"/>
          <w:highlight w:val="none"/>
        </w:rPr>
      </w:pPr>
      <w:r>
        <w:rPr>
          <w:rFonts w:hint="eastAsia" w:ascii="Times New Roman" w:hAnsi="Times New Roman" w:cs="Times New Roman"/>
          <w:color w:val="auto"/>
          <w:sz w:val="21"/>
          <w:szCs w:val="24"/>
          <w:highlight w:val="none"/>
          <w:lang w:val="en-US" w:eastAsia="zh-CN"/>
        </w:rPr>
        <w:t xml:space="preserve">（1）</w:t>
      </w:r>
      <w:r>
        <w:rPr>
          <w:rFonts w:hint="eastAsia" w:ascii="Times New Roman" w:hAnsi="Times New Roman" w:eastAsia="宋体" w:cs="Times New Roman"/>
          <w:color w:val="auto"/>
          <w:sz w:val="21"/>
          <w:szCs w:val="24"/>
          <w:highlight w:val="none"/>
        </w:rPr>
        <w:t xml:space="preserve">履约保证金</w:t>
      </w:r>
      <w:r>
        <w:rPr>
          <w:rFonts w:hint="eastAsia" w:ascii="Times New Roman" w:hAnsi="Times New Roman" w:eastAsia="宋体" w:cs="Times New Roman"/>
          <w:color w:val="auto"/>
          <w:sz w:val="21"/>
          <w:szCs w:val="24"/>
          <w:highlight w:val="none"/>
          <w:lang w:eastAsia="zh-CN"/>
        </w:rPr>
        <w:t xml:space="preserve">：供应商</w:t>
      </w:r>
      <w:r>
        <w:rPr>
          <w:rFonts w:hint="eastAsia" w:ascii="Times New Roman" w:hAnsi="Times New Roman" w:eastAsia="宋体" w:cs="Times New Roman"/>
          <w:color w:val="auto"/>
          <w:sz w:val="21"/>
          <w:szCs w:val="24"/>
          <w:highlight w:val="none"/>
        </w:rPr>
        <w:t xml:space="preserve">应在</w:t>
      </w:r>
      <w:r>
        <w:rPr>
          <w:rFonts w:hint="eastAsia" w:cs="Times New Roman"/>
          <w:color w:val="auto"/>
          <w:sz w:val="21"/>
          <w:szCs w:val="24"/>
          <w:highlight w:val="none"/>
          <w:lang w:val="en-US" w:eastAsia="zh-CN"/>
        </w:rPr>
        <w:t xml:space="preserve">签订合同前</w:t>
      </w:r>
      <w:r>
        <w:rPr>
          <w:rFonts w:hint="eastAsia" w:ascii="Times New Roman" w:hAnsi="Times New Roman" w:eastAsia="宋体" w:cs="Times New Roman"/>
          <w:color w:val="auto"/>
          <w:sz w:val="21"/>
          <w:szCs w:val="24"/>
          <w:highlight w:val="none"/>
        </w:rPr>
        <w:t xml:space="preserve">，交纳项目预算5%的履约保证金给</w:t>
      </w:r>
      <w:r>
        <w:rPr>
          <w:rFonts w:hint="eastAsia" w:ascii="Times New Roman" w:hAnsi="Times New Roman" w:eastAsia="宋体" w:cs="Times New Roman"/>
          <w:color w:val="auto"/>
          <w:sz w:val="21"/>
          <w:szCs w:val="24"/>
          <w:highlight w:val="none"/>
          <w:lang w:eastAsia="zh-CN"/>
        </w:rPr>
        <w:t xml:space="preserve">采购人</w:t>
      </w:r>
      <w:r>
        <w:rPr>
          <w:rFonts w:hint="eastAsia" w:ascii="Times New Roman" w:hAnsi="Times New Roman" w:eastAsia="宋体" w:cs="Times New Roman"/>
          <w:color w:val="auto"/>
          <w:sz w:val="21"/>
          <w:szCs w:val="24"/>
          <w:highlight w:val="none"/>
        </w:rPr>
        <w:t xml:space="preserve">或者汇入</w:t>
      </w:r>
      <w:r>
        <w:rPr>
          <w:rFonts w:hint="eastAsia" w:ascii="Times New Roman" w:hAnsi="Times New Roman" w:eastAsia="宋体" w:cs="Times New Roman"/>
          <w:color w:val="auto"/>
          <w:sz w:val="21"/>
          <w:szCs w:val="24"/>
          <w:highlight w:val="none"/>
          <w:lang w:eastAsia="zh-CN"/>
        </w:rPr>
        <w:t xml:space="preserve">采购人</w:t>
      </w:r>
      <w:r>
        <w:rPr>
          <w:rFonts w:hint="eastAsia" w:ascii="Times New Roman" w:hAnsi="Times New Roman" w:eastAsia="宋体" w:cs="Times New Roman"/>
          <w:color w:val="auto"/>
          <w:sz w:val="21"/>
          <w:szCs w:val="24"/>
          <w:highlight w:val="none"/>
          <w:lang w:val="en-US" w:eastAsia="zh-CN"/>
        </w:rPr>
        <w:t xml:space="preserve">账</w:t>
      </w:r>
      <w:r>
        <w:rPr>
          <w:rFonts w:hint="eastAsia" w:ascii="Times New Roman" w:hAnsi="Times New Roman" w:eastAsia="宋体" w:cs="Times New Roman"/>
          <w:color w:val="auto"/>
          <w:sz w:val="21"/>
          <w:szCs w:val="24"/>
          <w:highlight w:val="none"/>
        </w:rPr>
        <w:t xml:space="preserve">户。</w:t>
      </w:r>
      <w:r/>
    </w:p>
    <w:p>
      <w:pPr>
        <w:spacing w:line="360" w:lineRule="auto"/>
        <w:shd w:val="clear" w:color="auto" w:fill="auto"/>
        <w:rPr>
          <w:rFonts w:hint="eastAsia" w:ascii="Times New Roman" w:hAnsi="Times New Roman" w:eastAsia="宋体" w:cs="Times New Roman"/>
          <w:color w:val="auto"/>
          <w:sz w:val="21"/>
          <w:szCs w:val="24"/>
          <w:highlight w:val="none"/>
        </w:rPr>
      </w:pPr>
      <w:r>
        <w:rPr>
          <w:rFonts w:hint="eastAsia" w:ascii="Times New Roman" w:hAnsi="Times New Roman" w:cs="Times New Roman"/>
          <w:color w:val="auto"/>
          <w:sz w:val="21"/>
          <w:szCs w:val="24"/>
          <w:highlight w:val="none"/>
          <w:lang w:eastAsia="zh-CN"/>
        </w:rPr>
        <w:t xml:space="preserve">（</w:t>
      </w:r>
      <w:r>
        <w:rPr>
          <w:rFonts w:hint="eastAsia" w:ascii="Times New Roman" w:hAnsi="Times New Roman" w:cs="Times New Roman"/>
          <w:color w:val="auto"/>
          <w:sz w:val="21"/>
          <w:szCs w:val="24"/>
          <w:highlight w:val="none"/>
          <w:lang w:val="en-US" w:eastAsia="zh-CN"/>
        </w:rPr>
        <w:t xml:space="preserve">2</w:t>
      </w:r>
      <w:r>
        <w:rPr>
          <w:rFonts w:hint="eastAsia" w:ascii="Times New Roman" w:hAnsi="Times New Roman" w:cs="Times New Roman"/>
          <w:color w:val="auto"/>
          <w:sz w:val="21"/>
          <w:szCs w:val="24"/>
          <w:highlight w:val="none"/>
          <w:lang w:eastAsia="zh-CN"/>
        </w:rPr>
        <w:t xml:space="preserve">）</w:t>
      </w:r>
      <w:r>
        <w:rPr>
          <w:rFonts w:hint="eastAsia" w:ascii="Times New Roman" w:hAnsi="Times New Roman" w:eastAsia="宋体" w:cs="Times New Roman"/>
          <w:color w:val="auto"/>
          <w:sz w:val="21"/>
          <w:szCs w:val="24"/>
          <w:highlight w:val="none"/>
        </w:rPr>
        <w:t xml:space="preserve">履约保证金的形式：银行保函、转账支票、本票、汇票、电汇</w:t>
      </w:r>
      <w:r>
        <w:rPr>
          <w:rFonts w:hint="eastAsia" w:cs="Times New Roman"/>
          <w:color w:val="auto"/>
          <w:sz w:val="21"/>
          <w:szCs w:val="24"/>
          <w:highlight w:val="none"/>
          <w:lang w:val="en-US" w:eastAsia="zh-CN"/>
        </w:rPr>
        <w:t xml:space="preserve">等</w:t>
      </w:r>
      <w:r/>
    </w:p>
    <w:p>
      <w:pPr>
        <w:spacing w:line="360" w:lineRule="auto"/>
        <w:rPr>
          <w:rFonts w:hint="eastAsia" w:ascii="Times New Roman" w:hAnsi="Times New Roman" w:eastAsia="宋体" w:cs="Times New Roman"/>
          <w:color w:val="auto"/>
          <w:sz w:val="21"/>
          <w:szCs w:val="24"/>
          <w:highlight w:val="none"/>
        </w:rPr>
      </w:pPr>
      <w:r>
        <w:rPr>
          <w:rFonts w:hint="eastAsia" w:ascii="Times New Roman" w:hAnsi="Times New Roman" w:cs="Times New Roman"/>
          <w:color w:val="auto"/>
          <w:sz w:val="21"/>
          <w:szCs w:val="24"/>
          <w:highlight w:val="none"/>
          <w:lang w:eastAsia="zh-CN"/>
        </w:rPr>
        <w:t xml:space="preserve">（</w:t>
      </w:r>
      <w:r>
        <w:rPr>
          <w:rFonts w:hint="eastAsia" w:ascii="Times New Roman" w:hAnsi="Times New Roman" w:cs="Times New Roman"/>
          <w:color w:val="auto"/>
          <w:sz w:val="21"/>
          <w:szCs w:val="24"/>
          <w:highlight w:val="none"/>
          <w:lang w:val="en-US" w:eastAsia="zh-CN"/>
        </w:rPr>
        <w:t xml:space="preserve">3</w:t>
      </w:r>
      <w:r>
        <w:rPr>
          <w:rFonts w:hint="eastAsia" w:ascii="Times New Roman" w:hAnsi="Times New Roman" w:cs="Times New Roman"/>
          <w:color w:val="auto"/>
          <w:sz w:val="21"/>
          <w:szCs w:val="24"/>
          <w:highlight w:val="none"/>
          <w:lang w:eastAsia="zh-CN"/>
        </w:rPr>
        <w:t xml:space="preserve">）</w:t>
      </w:r>
      <w:r>
        <w:rPr>
          <w:rFonts w:hint="eastAsia" w:ascii="Times New Roman" w:hAnsi="Times New Roman" w:eastAsia="宋体" w:cs="Times New Roman"/>
          <w:color w:val="auto"/>
          <w:sz w:val="21"/>
          <w:szCs w:val="24"/>
          <w:highlight w:val="none"/>
        </w:rPr>
        <w:t xml:space="preserve">履约保证金的提交时间：</w:t>
      </w:r>
      <w:r>
        <w:rPr>
          <w:rFonts w:hint="eastAsia" w:ascii="Times New Roman" w:hAnsi="Times New Roman" w:eastAsia="宋体" w:cs="Times New Roman"/>
          <w:color w:val="auto"/>
          <w:sz w:val="21"/>
          <w:szCs w:val="24"/>
          <w:highlight w:val="none"/>
          <w:lang w:eastAsia="zh-CN"/>
        </w:rPr>
        <w:t xml:space="preserve">供应商</w:t>
      </w:r>
      <w:r>
        <w:rPr>
          <w:rFonts w:hint="eastAsia" w:ascii="Times New Roman" w:hAnsi="Times New Roman" w:eastAsia="宋体" w:cs="Times New Roman"/>
          <w:color w:val="auto"/>
          <w:sz w:val="21"/>
          <w:szCs w:val="24"/>
          <w:highlight w:val="none"/>
        </w:rPr>
        <w:t xml:space="preserve">应当在合同签订前向</w:t>
      </w:r>
      <w:r>
        <w:rPr>
          <w:rFonts w:hint="eastAsia" w:ascii="Times New Roman" w:hAnsi="Times New Roman" w:eastAsia="宋体" w:cs="Times New Roman"/>
          <w:color w:val="auto"/>
          <w:sz w:val="21"/>
          <w:szCs w:val="24"/>
          <w:highlight w:val="none"/>
          <w:lang w:eastAsia="zh-CN"/>
        </w:rPr>
        <w:t xml:space="preserve">采购人</w:t>
      </w:r>
      <w:r>
        <w:rPr>
          <w:rFonts w:hint="eastAsia" w:ascii="Times New Roman" w:hAnsi="Times New Roman" w:eastAsia="宋体" w:cs="Times New Roman"/>
          <w:color w:val="auto"/>
          <w:sz w:val="21"/>
          <w:szCs w:val="24"/>
          <w:highlight w:val="none"/>
        </w:rPr>
        <w:t xml:space="preserve">足额提交履约保证金，否则</w:t>
      </w:r>
      <w:r>
        <w:rPr>
          <w:rFonts w:hint="eastAsia" w:ascii="Times New Roman" w:hAnsi="Times New Roman" w:eastAsia="宋体" w:cs="Times New Roman"/>
          <w:color w:val="auto"/>
          <w:sz w:val="21"/>
          <w:szCs w:val="24"/>
          <w:highlight w:val="none"/>
          <w:lang w:eastAsia="zh-CN"/>
        </w:rPr>
        <w:t xml:space="preserve">采购人</w:t>
      </w:r>
      <w:r>
        <w:rPr>
          <w:rFonts w:hint="eastAsia" w:ascii="Times New Roman" w:hAnsi="Times New Roman" w:eastAsia="宋体" w:cs="Times New Roman"/>
          <w:color w:val="auto"/>
          <w:sz w:val="21"/>
          <w:szCs w:val="24"/>
          <w:highlight w:val="none"/>
        </w:rPr>
        <w:t xml:space="preserve">可以取消其中标资格。</w:t>
      </w:r>
      <w:r/>
    </w:p>
    <w:p>
      <w:pPr>
        <w:ind w:firstLine="0"/>
        <w:spacing w:line="360" w:lineRule="auto"/>
        <w:rPr>
          <w:rFonts w:hint="eastAsia" w:ascii="Times New Roman" w:hAnsi="Times New Roman" w:eastAsia="宋体" w:cs="Times New Roman"/>
          <w:color w:val="auto"/>
          <w:highlight w:val="none"/>
        </w:rPr>
      </w:pPr>
      <w:r>
        <w:rPr>
          <w:rFonts w:hint="eastAsia" w:cs="Times New Roman"/>
          <w:color w:val="auto"/>
          <w:sz w:val="21"/>
          <w:szCs w:val="24"/>
          <w:highlight w:val="none"/>
          <w:lang w:eastAsia="zh-CN"/>
        </w:rPr>
        <w:t xml:space="preserve">（</w:t>
      </w:r>
      <w:r>
        <w:rPr>
          <w:rFonts w:hint="eastAsia" w:cs="Times New Roman"/>
          <w:color w:val="auto"/>
          <w:sz w:val="21"/>
          <w:szCs w:val="24"/>
          <w:highlight w:val="none"/>
          <w:lang w:val="en-US" w:eastAsia="zh-CN"/>
        </w:rPr>
        <w:t xml:space="preserve">4</w:t>
      </w:r>
      <w:r>
        <w:rPr>
          <w:rFonts w:hint="eastAsia" w:cs="Times New Roman"/>
          <w:color w:val="auto"/>
          <w:sz w:val="21"/>
          <w:szCs w:val="24"/>
          <w:highlight w:val="none"/>
          <w:lang w:eastAsia="zh-CN"/>
        </w:rPr>
        <w:t xml:space="preserve">）</w:t>
      </w:r>
      <w:r>
        <w:rPr>
          <w:rFonts w:hint="eastAsia" w:ascii="Times New Roman" w:hAnsi="Times New Roman" w:eastAsia="宋体" w:cs="Times New Roman"/>
          <w:color w:val="auto"/>
          <w:highlight w:val="none"/>
        </w:rPr>
        <w:t xml:space="preserve">履约保证金在合同履行完毕，</w:t>
      </w:r>
      <w:r>
        <w:rPr>
          <w:rFonts w:hint="eastAsia" w:ascii="宋体" w:hAnsi="宋体" w:cs="宋体"/>
          <w:highlight w:val="none"/>
          <w:lang w:val="en-US" w:eastAsia="zh-CN"/>
        </w:rPr>
        <w:t xml:space="preserve">验收合格</w:t>
      </w:r>
      <w:r>
        <w:rPr>
          <w:rFonts w:hint="eastAsia" w:ascii="宋体" w:hAnsi="宋体" w:cs="宋体"/>
          <w:highlight w:val="none"/>
        </w:rPr>
        <w:t xml:space="preserve">，无遗留问题后，在</w:t>
      </w:r>
      <w:r>
        <w:rPr>
          <w:rFonts w:hint="eastAsia" w:ascii="宋体" w:hAnsi="宋体" w:cs="宋体"/>
          <w:highlight w:val="none"/>
          <w:lang w:val="en-US" w:eastAsia="zh-CN"/>
        </w:rPr>
        <w:t xml:space="preserve">供应商</w:t>
      </w:r>
      <w:r>
        <w:rPr>
          <w:rFonts w:hint="eastAsia" w:ascii="宋体" w:hAnsi="宋体" w:cs="宋体"/>
          <w:highlight w:val="none"/>
        </w:rPr>
        <w:t xml:space="preserve">提交书面申请后，退还剩余的履约保证金。履约保证金不计利息。</w:t>
      </w:r>
      <w:r/>
    </w:p>
    <w:p>
      <w:pPr>
        <w:pStyle w:val="923"/>
        <w:ind w:left="0"/>
        <w:rPr>
          <w:rFonts w:hint="eastAsia" w:ascii="Times New Roman" w:hAnsi="Times New Roman" w:eastAsia="宋体" w:cs="Times New Roman"/>
          <w:color w:val="auto"/>
          <w:sz w:val="21"/>
          <w:szCs w:val="24"/>
          <w:highlight w:val="none"/>
          <w:lang w:eastAsia="zh-CN"/>
        </w:rPr>
      </w:pPr>
      <w:r>
        <w:rPr>
          <w:rFonts w:hint="eastAsia" w:ascii="Times New Roman" w:hAnsi="Times New Roman" w:eastAsia="宋体" w:cs="Times New Roman"/>
          <w:color w:val="auto"/>
          <w:sz w:val="21"/>
          <w:szCs w:val="24"/>
          <w:highlight w:val="none"/>
          <w:lang w:eastAsia="zh-CN"/>
        </w:rPr>
      </w:r>
      <w:r/>
    </w:p>
    <w:p>
      <w:pPr>
        <w:spacing w:line="360" w:lineRule="auto"/>
        <w:rPr>
          <w:color w:val="auto"/>
          <w:highlight w:val="none"/>
        </w:rPr>
      </w:pPr>
      <w:r>
        <w:rPr>
          <w:rFonts w:hint="eastAsia"/>
          <w:color w:val="auto"/>
          <w:highlight w:val="none"/>
        </w:rPr>
        <w:t xml:space="preserve">2 采购货款按送货批次结算，结算时供应商需提供全部结算清单与供货发票，不得延误，因延误导致的结算延期后果自负。</w:t>
      </w:r>
      <w:r/>
    </w:p>
    <w:p>
      <w:pPr>
        <w:spacing w:line="360" w:lineRule="auto"/>
        <w:rPr>
          <w:color w:val="auto"/>
          <w:highlight w:val="none"/>
        </w:rPr>
      </w:pPr>
      <w:r>
        <w:rPr>
          <w:rFonts w:hint="eastAsia"/>
          <w:color w:val="auto"/>
          <w:highlight w:val="none"/>
        </w:rPr>
        <w:t xml:space="preserve">3采购人根据实际需要下达采购计划，据实结算。</w:t>
      </w:r>
      <w:r/>
    </w:p>
    <w:p>
      <w:pPr>
        <w:spacing w:line="360" w:lineRule="auto"/>
        <w:rPr>
          <w:color w:val="auto"/>
          <w:highlight w:val="none"/>
        </w:rPr>
      </w:pPr>
      <w:r>
        <w:rPr>
          <w:rFonts w:hint="eastAsia"/>
          <w:color w:val="auto"/>
          <w:highlight w:val="none"/>
        </w:rPr>
        <w:t xml:space="preserve">4供应商应按照与</w:t>
      </w:r>
      <w:r>
        <w:rPr>
          <w:rFonts w:hint="eastAsia"/>
          <w:color w:val="auto"/>
          <w:highlight w:val="none"/>
          <w:lang w:eastAsia="zh-CN"/>
        </w:rPr>
        <w:t xml:space="preserve">采购人</w:t>
      </w:r>
      <w:r>
        <w:rPr>
          <w:rFonts w:hint="eastAsia"/>
          <w:color w:val="auto"/>
          <w:highlight w:val="none"/>
        </w:rPr>
        <w:t xml:space="preserve">签订的合同规定交货。交货结算时供应商应向</w:t>
      </w:r>
      <w:r>
        <w:rPr>
          <w:rFonts w:hint="eastAsia"/>
          <w:color w:val="auto"/>
          <w:highlight w:val="none"/>
          <w:lang w:eastAsia="zh-CN"/>
        </w:rPr>
        <w:t xml:space="preserve">采购人</w:t>
      </w:r>
      <w:r>
        <w:rPr>
          <w:rFonts w:hint="eastAsia"/>
          <w:color w:val="auto"/>
          <w:highlight w:val="none"/>
        </w:rPr>
        <w:t xml:space="preserve">提供下列单据：</w:t>
      </w:r>
      <w:r/>
    </w:p>
    <w:p>
      <w:pPr>
        <w:spacing w:line="360" w:lineRule="auto"/>
        <w:rPr>
          <w:rFonts w:hint="default" w:eastAsia="宋体"/>
          <w:color w:val="auto"/>
          <w:highlight w:val="none"/>
          <w:lang w:val="en-US" w:eastAsia="zh-CN"/>
        </w:rPr>
      </w:pPr>
      <w:r>
        <w:rPr>
          <w:rFonts w:hint="eastAsia"/>
          <w:color w:val="auto"/>
          <w:highlight w:val="none"/>
        </w:rPr>
        <w:t xml:space="preserve">①供应商的送货清单</w:t>
      </w:r>
      <w:r>
        <w:rPr>
          <w:rFonts w:hint="eastAsia"/>
          <w:color w:val="auto"/>
          <w:highlight w:val="none"/>
          <w:lang w:eastAsia="zh-CN"/>
        </w:rPr>
        <w:t xml:space="preserve">：</w:t>
      </w:r>
      <w:r>
        <w:rPr>
          <w:rFonts w:hint="eastAsia"/>
          <w:color w:val="auto"/>
          <w:highlight w:val="none"/>
        </w:rPr>
        <w:t xml:space="preserve">保证数量的准确性，以</w:t>
      </w:r>
      <w:r>
        <w:rPr>
          <w:rFonts w:hint="eastAsia"/>
          <w:color w:val="auto"/>
          <w:highlight w:val="none"/>
          <w:lang w:eastAsia="zh-CN"/>
        </w:rPr>
        <w:t xml:space="preserve">采购人</w:t>
      </w:r>
      <w:r>
        <w:rPr>
          <w:rFonts w:hint="eastAsia"/>
          <w:color w:val="auto"/>
          <w:highlight w:val="none"/>
        </w:rPr>
        <w:t xml:space="preserve">的验货数量为准，供应商每次随货送上一式三份的送货清单，</w:t>
      </w:r>
      <w:r>
        <w:rPr>
          <w:rFonts w:hint="eastAsia"/>
          <w:color w:val="auto"/>
          <w:highlight w:val="none"/>
          <w:lang w:eastAsia="zh-CN"/>
        </w:rPr>
        <w:t xml:space="preserve">采购人</w:t>
      </w:r>
      <w:r>
        <w:rPr>
          <w:rFonts w:hint="eastAsia"/>
          <w:color w:val="auto"/>
          <w:highlight w:val="none"/>
        </w:rPr>
        <w:t xml:space="preserve">验货后签字确认，作为结算的凭据。</w:t>
      </w:r>
      <w:r/>
    </w:p>
    <w:p>
      <w:pPr>
        <w:pStyle w:val="923"/>
        <w:ind w:left="0" w:firstLine="0"/>
        <w:spacing w:line="360" w:lineRule="auto"/>
        <w:rPr>
          <w:rFonts w:hint="default" w:eastAsia="宋体"/>
          <w:highlight w:val="none"/>
          <w:lang w:val="en-US" w:eastAsia="zh-CN"/>
        </w:rPr>
      </w:pPr>
      <w:r>
        <w:rPr>
          <w:rFonts w:hint="eastAsia"/>
          <w:color w:val="auto"/>
          <w:highlight w:val="none"/>
        </w:rPr>
        <w:t xml:space="preserve">②</w:t>
      </w:r>
      <w:r>
        <w:rPr>
          <w:rFonts w:hint="eastAsia"/>
          <w:color w:val="auto"/>
          <w:highlight w:val="none"/>
          <w:lang w:val="en-US" w:eastAsia="zh-CN"/>
        </w:rPr>
        <w:t xml:space="preserve">供应商同步提供完整的货品信息核验材料，包括但不限于产品外包装完整度证明、品牌资质、产品名称、净含量，规格参数，生产厂商名称及地址、批次检验合格报告等，所以信息须与投标文件承诺内容一致。</w:t>
      </w:r>
      <w:r/>
    </w:p>
    <w:p>
      <w:pPr>
        <w:spacing w:line="360" w:lineRule="auto"/>
        <w:rPr>
          <w:color w:val="auto"/>
          <w:highlight w:val="none"/>
        </w:rPr>
      </w:pPr>
      <w:r>
        <w:rPr>
          <w:rFonts w:hint="eastAsia"/>
          <w:color w:val="auto"/>
          <w:highlight w:val="none"/>
        </w:rPr>
        <w:t xml:space="preserve">③</w:t>
      </w:r>
      <w:r>
        <w:rPr>
          <w:rFonts w:hint="eastAsia"/>
          <w:color w:val="auto"/>
          <w:highlight w:val="none"/>
          <w:lang w:eastAsia="zh-CN"/>
        </w:rPr>
        <w:t xml:space="preserve">采购人</w:t>
      </w:r>
      <w:r>
        <w:rPr>
          <w:rFonts w:hint="eastAsia"/>
          <w:color w:val="auto"/>
          <w:highlight w:val="none"/>
        </w:rPr>
        <w:t xml:space="preserve">或其委托的第三方验货人员签字的验收单；</w:t>
      </w:r>
      <w:r/>
    </w:p>
    <w:p>
      <w:pPr>
        <w:spacing w:line="360" w:lineRule="auto"/>
        <w:rPr>
          <w:rFonts w:hint="eastAsia"/>
          <w:color w:val="auto"/>
          <w:highlight w:val="none"/>
        </w:rPr>
      </w:pPr>
      <w:r>
        <w:rPr>
          <w:rFonts w:hint="eastAsia"/>
          <w:color w:val="auto"/>
          <w:highlight w:val="none"/>
        </w:rPr>
        <w:t xml:space="preserve">④加盖供应商公章的报价表；</w:t>
      </w:r>
      <w:r/>
    </w:p>
    <w:p>
      <w:pPr>
        <w:spacing w:line="360" w:lineRule="auto"/>
        <w:rPr>
          <w:color w:val="auto"/>
          <w:highlight w:val="none"/>
        </w:rPr>
      </w:pPr>
      <w:r>
        <w:rPr>
          <w:rFonts w:hint="eastAsia" w:ascii="宋体" w:hAnsi="宋体" w:eastAsia="宋体" w:cs="宋体"/>
          <w:color w:val="auto"/>
          <w:highlight w:val="none"/>
        </w:rPr>
        <w:t xml:space="preserve">⑤</w:t>
      </w:r>
      <w:r>
        <w:rPr>
          <w:rFonts w:hint="eastAsia" w:eastAsia="宋体"/>
          <w:color w:val="auto"/>
          <w:highlight w:val="none"/>
          <w:lang w:eastAsia="zh-CN"/>
        </w:rPr>
        <w:t xml:space="preserve">采购人</w:t>
      </w:r>
      <w:r>
        <w:rPr>
          <w:rFonts w:hint="eastAsia"/>
          <w:color w:val="auto"/>
          <w:highlight w:val="none"/>
        </w:rPr>
        <w:t xml:space="preserve">认可的合规发票。</w:t>
      </w:r>
      <w:r/>
    </w:p>
    <w:p>
      <w:pPr>
        <w:spacing w:line="360" w:lineRule="auto"/>
        <w:rPr>
          <w:color w:val="auto"/>
          <w:highlight w:val="none"/>
        </w:rPr>
      </w:pPr>
      <w:r>
        <w:rPr>
          <w:rFonts w:hint="eastAsia"/>
          <w:color w:val="auto"/>
          <w:highlight w:val="none"/>
        </w:rPr>
        <w:t xml:space="preserve">5投标报价应包括供应商将货物运送至采购人指定交货地点的所有费用，包括但不限于货物成本、利润、税金、运输费、保险费等及相关服务费用。投标报价要求明折明扣，即各项优惠均应在报价中体现，不接受实物或非实物性的反馈折让。</w:t>
      </w:r>
      <w:r/>
    </w:p>
    <w:p>
      <w:pPr>
        <w:ind w:firstLine="420"/>
        <w:spacing w:line="360" w:lineRule="auto"/>
        <w:rPr>
          <w:color w:val="auto"/>
          <w:highlight w:val="none"/>
        </w:rPr>
      </w:pPr>
      <w:r>
        <w:rPr>
          <w:rFonts w:hint="eastAsia"/>
          <w:color w:val="auto"/>
          <w:highlight w:val="none"/>
        </w:rPr>
        <w:t xml:space="preserve">6采购价格：</w:t>
      </w:r>
      <w:r>
        <w:rPr>
          <w:rFonts w:hint="eastAsia"/>
          <w:color w:val="auto"/>
          <w:highlight w:val="none"/>
          <w:lang w:eastAsia="zh-CN"/>
        </w:rPr>
        <w:t xml:space="preserve">采购人</w:t>
      </w:r>
      <w:r>
        <w:rPr>
          <w:rFonts w:hint="eastAsia"/>
          <w:color w:val="auto"/>
          <w:highlight w:val="none"/>
        </w:rPr>
        <w:t xml:space="preserve">以京东网上自营商品价格为基准。京东网上自营商品未公布的食材价格，以大型仓储超市商品价格为基准。如上述商品价格都没有，可以参照天猫、每日优鲜等网站同等品质及规格的商品价格为依据，采购价格为正常零售价格×（1-</w:t>
      </w:r>
      <w:r>
        <w:rPr>
          <w:rFonts w:hint="eastAsia"/>
          <w:color w:val="auto"/>
          <w:highlight w:val="none"/>
          <w:lang w:val="en-US" w:eastAsia="zh-CN"/>
        </w:rPr>
        <w:t xml:space="preserve">优惠率</w:t>
      </w:r>
      <w:r>
        <w:rPr>
          <w:rFonts w:hint="eastAsia"/>
          <w:color w:val="auto"/>
          <w:highlight w:val="none"/>
        </w:rPr>
        <w:t xml:space="preserve">）。</w:t>
      </w:r>
      <w:r>
        <w:rPr>
          <w:rFonts w:hint="eastAsia"/>
          <w:color w:val="auto"/>
          <w:highlight w:val="none"/>
          <w:lang w:eastAsia="zh-CN"/>
        </w:rPr>
        <w:t xml:space="preserve">采购人</w:t>
      </w:r>
      <w:r>
        <w:rPr>
          <w:rFonts w:hint="eastAsia"/>
          <w:color w:val="auto"/>
          <w:highlight w:val="none"/>
        </w:rPr>
        <w:t xml:space="preserve">在采购计划下达前3天要求供应商进行一次供货报价，报价表加盖供应商公章。如三次及三次以上不能响应</w:t>
      </w:r>
      <w:r>
        <w:rPr>
          <w:rFonts w:hint="eastAsia"/>
          <w:color w:val="auto"/>
          <w:highlight w:val="none"/>
          <w:lang w:eastAsia="zh-CN"/>
        </w:rPr>
        <w:t xml:space="preserve">采购人</w:t>
      </w:r>
      <w:r>
        <w:rPr>
          <w:rFonts w:hint="eastAsia"/>
          <w:color w:val="auto"/>
          <w:highlight w:val="none"/>
        </w:rPr>
        <w:t xml:space="preserve">要求，则视为供应商达不到供货响应能力，</w:t>
      </w:r>
      <w:r>
        <w:rPr>
          <w:rFonts w:hint="eastAsia"/>
          <w:color w:val="auto"/>
          <w:highlight w:val="none"/>
          <w:lang w:eastAsia="zh-CN"/>
        </w:rPr>
        <w:t xml:space="preserve">采购人</w:t>
      </w:r>
      <w:r>
        <w:rPr>
          <w:rFonts w:hint="eastAsia"/>
          <w:color w:val="auto"/>
          <w:highlight w:val="none"/>
        </w:rPr>
        <w:t xml:space="preserve">有权解除合同。供应商与</w:t>
      </w:r>
      <w:r>
        <w:rPr>
          <w:rFonts w:hint="eastAsia"/>
          <w:color w:val="auto"/>
          <w:highlight w:val="none"/>
          <w:lang w:eastAsia="zh-CN"/>
        </w:rPr>
        <w:t xml:space="preserve">采购人</w:t>
      </w:r>
      <w:r>
        <w:rPr>
          <w:rFonts w:hint="eastAsia"/>
          <w:color w:val="auto"/>
          <w:highlight w:val="none"/>
        </w:rPr>
        <w:t xml:space="preserve">核对送货清单（如遇假期等特殊情况，以</w:t>
      </w:r>
      <w:r>
        <w:rPr>
          <w:rFonts w:hint="eastAsia"/>
          <w:color w:val="auto"/>
          <w:highlight w:val="none"/>
          <w:lang w:eastAsia="zh-CN"/>
        </w:rPr>
        <w:t xml:space="preserve">采购人</w:t>
      </w:r>
      <w:r>
        <w:rPr>
          <w:rFonts w:hint="eastAsia"/>
          <w:color w:val="auto"/>
          <w:highlight w:val="none"/>
        </w:rPr>
        <w:t xml:space="preserve">电话、微信通知为准），经确认无误后开具完税开票，供应商对发票的真实性负全部责任。所称价格均为含税价。</w:t>
      </w:r>
      <w:r>
        <w:rPr>
          <w:rFonts w:hint="eastAsia" w:ascii="Times New Roman" w:hAnsi="Times New Roman" w:eastAsia="宋体" w:cs="Times New Roman"/>
          <w:color w:val="auto"/>
          <w:highlight w:val="none"/>
        </w:rPr>
        <w:t xml:space="preserve">首次发现</w:t>
      </w:r>
      <w:r>
        <w:rPr>
          <w:rFonts w:hint="eastAsia"/>
          <w:color w:val="auto"/>
          <w:highlight w:val="none"/>
        </w:rPr>
        <w:t xml:space="preserve">供应商</w:t>
      </w:r>
      <w:r>
        <w:rPr>
          <w:rFonts w:hint="eastAsia" w:ascii="Times New Roman" w:hAnsi="Times New Roman" w:eastAsia="宋体" w:cs="Times New Roman"/>
          <w:color w:val="auto"/>
          <w:highlight w:val="none"/>
        </w:rPr>
        <w:t xml:space="preserve">存在供货报价虚报情形的，采购人将向</w:t>
      </w:r>
      <w:r>
        <w:rPr>
          <w:rFonts w:hint="eastAsia"/>
          <w:color w:val="auto"/>
          <w:highlight w:val="none"/>
        </w:rPr>
        <w:t xml:space="preserve">供应商</w:t>
      </w:r>
      <w:r>
        <w:rPr>
          <w:rFonts w:hint="eastAsia" w:ascii="Times New Roman" w:hAnsi="Times New Roman" w:eastAsia="宋体" w:cs="Times New Roman"/>
          <w:color w:val="auto"/>
          <w:highlight w:val="none"/>
        </w:rPr>
        <w:t xml:space="preserve">出具书面警告及价格纠正整改通知。</w:t>
      </w:r>
      <w:r>
        <w:rPr>
          <w:rFonts w:hint="eastAsia"/>
          <w:color w:val="auto"/>
          <w:highlight w:val="none"/>
          <w:lang w:val="en-US" w:eastAsia="zh-CN"/>
        </w:rPr>
        <w:t xml:space="preserve">第二次</w:t>
      </w:r>
      <w:r>
        <w:rPr>
          <w:rFonts w:hint="eastAsia" w:ascii="Times New Roman" w:hAnsi="Times New Roman" w:eastAsia="宋体" w:cs="Times New Roman"/>
          <w:color w:val="auto"/>
          <w:highlight w:val="none"/>
        </w:rPr>
        <w:t xml:space="preserve">发现供货报价虚报情形的，采购人</w:t>
      </w:r>
      <w:r>
        <w:rPr>
          <w:rFonts w:hint="eastAsia" w:cs="Times New Roman"/>
          <w:color w:val="auto"/>
          <w:highlight w:val="none"/>
          <w:lang w:val="en-US" w:eastAsia="zh-CN"/>
        </w:rPr>
        <w:t xml:space="preserve">除</w:t>
      </w:r>
      <w:r>
        <w:rPr>
          <w:rFonts w:hint="eastAsia" w:ascii="Times New Roman" w:hAnsi="Times New Roman" w:eastAsia="宋体" w:cs="Times New Roman"/>
          <w:color w:val="auto"/>
          <w:highlight w:val="none"/>
        </w:rPr>
        <w:t xml:space="preserve">出具书面警告及价格纠正整改通知</w:t>
      </w:r>
      <w:r>
        <w:rPr>
          <w:rFonts w:hint="eastAsia" w:cs="Times New Roman"/>
          <w:color w:val="auto"/>
          <w:highlight w:val="none"/>
          <w:lang w:val="en-US" w:eastAsia="zh-CN"/>
        </w:rPr>
        <w:t xml:space="preserve">外，</w:t>
      </w:r>
      <w:r>
        <w:rPr>
          <w:rFonts w:hint="eastAsia" w:ascii="Times New Roman" w:hAnsi="Times New Roman" w:eastAsia="宋体" w:cs="Times New Roman"/>
          <w:color w:val="auto"/>
          <w:highlight w:val="none"/>
        </w:rPr>
        <w:t xml:space="preserve">有权对</w:t>
      </w:r>
      <w:r>
        <w:rPr>
          <w:rFonts w:hint="eastAsia"/>
          <w:color w:val="auto"/>
          <w:highlight w:val="none"/>
        </w:rPr>
        <w:t xml:space="preserve">供应商</w:t>
      </w:r>
      <w:r>
        <w:rPr>
          <w:rFonts w:hint="eastAsia" w:ascii="Times New Roman" w:hAnsi="Times New Roman" w:eastAsia="宋体" w:cs="Times New Roman"/>
          <w:color w:val="auto"/>
          <w:highlight w:val="none"/>
        </w:rPr>
        <w:t xml:space="preserve">当次供货总货款的10%予以扣罚，扣罚金额将从当次应付货款中直接抵扣。第三次发现供货报价虚报情形，视为</w:t>
      </w:r>
      <w:r>
        <w:rPr>
          <w:rFonts w:hint="eastAsia"/>
          <w:color w:val="auto"/>
          <w:highlight w:val="none"/>
        </w:rPr>
        <w:t xml:space="preserve">供应商</w:t>
      </w:r>
      <w:r>
        <w:rPr>
          <w:rFonts w:hint="eastAsia" w:ascii="Times New Roman" w:hAnsi="Times New Roman" w:eastAsia="宋体" w:cs="Times New Roman"/>
          <w:color w:val="auto"/>
          <w:highlight w:val="none"/>
        </w:rPr>
        <w:t xml:space="preserve">严重违约，采购人有权立即解除双方签订的采购合同，同时追究</w:t>
      </w:r>
      <w:r>
        <w:rPr>
          <w:rFonts w:hint="eastAsia"/>
          <w:color w:val="auto"/>
          <w:highlight w:val="none"/>
        </w:rPr>
        <w:t xml:space="preserve">供应商</w:t>
      </w:r>
      <w:r>
        <w:rPr>
          <w:rFonts w:hint="eastAsia" w:ascii="Times New Roman" w:hAnsi="Times New Roman" w:eastAsia="宋体" w:cs="Times New Roman"/>
          <w:color w:val="auto"/>
          <w:highlight w:val="none"/>
        </w:rPr>
        <w:t xml:space="preserve">的违约责任，由此给采购人造成的损失，由</w:t>
      </w:r>
      <w:r>
        <w:rPr>
          <w:rFonts w:hint="eastAsia"/>
          <w:color w:val="auto"/>
          <w:highlight w:val="none"/>
        </w:rPr>
        <w:t xml:space="preserve">供应商</w:t>
      </w:r>
      <w:r>
        <w:rPr>
          <w:rFonts w:hint="eastAsia" w:ascii="Times New Roman" w:hAnsi="Times New Roman" w:eastAsia="宋体" w:cs="Times New Roman"/>
          <w:color w:val="auto"/>
          <w:highlight w:val="none"/>
        </w:rPr>
        <w:t xml:space="preserve">全额承担。</w:t>
      </w:r>
      <w:r/>
    </w:p>
    <w:p>
      <w:pPr>
        <w:ind w:left="1260" w:firstLine="420"/>
        <w:rPr>
          <w:color w:val="auto"/>
          <w:highlight w:val="none"/>
        </w:rPr>
      </w:pPr>
      <w:r>
        <w:rPr>
          <w:color w:val="auto"/>
          <w:highlight w:val="none"/>
        </w:rPr>
      </w:r>
      <w:r/>
    </w:p>
    <w:p>
      <w:pPr>
        <w:pStyle w:val="923"/>
        <w:numPr>
          <w:ilvl w:val="0"/>
          <w:numId w:val="6"/>
        </w:numPr>
        <w:ind w:left="0" w:firstLine="0"/>
        <w:spacing w:line="360" w:lineRule="auto"/>
        <w:rPr>
          <w:color w:val="auto"/>
          <w:highlight w:val="none"/>
        </w:rPr>
      </w:pPr>
      <w:r/>
      <w:bookmarkStart w:id="24" w:name="_Toc15698_WPSOffice_Level2"/>
      <w:r/>
      <w:bookmarkStart w:id="25" w:name="_Toc12857_WPSOffice_Level2"/>
      <w:r>
        <w:rPr>
          <w:rFonts w:hint="eastAsia"/>
          <w:color w:val="auto"/>
          <w:highlight w:val="none"/>
        </w:rPr>
        <w:t xml:space="preserve">交货期和服务期</w:t>
      </w:r>
      <w:bookmarkEnd w:id="24"/>
      <w:r/>
      <w:bookmarkEnd w:id="25"/>
      <w:r/>
      <w:r/>
    </w:p>
    <w:p>
      <w:pPr>
        <w:spacing w:line="360" w:lineRule="auto"/>
        <w:rPr>
          <w:color w:val="auto"/>
          <w:highlight w:val="none"/>
        </w:rPr>
      </w:pPr>
      <w:r>
        <w:rPr>
          <w:rFonts w:hint="eastAsia"/>
          <w:color w:val="auto"/>
          <w:highlight w:val="none"/>
        </w:rPr>
        <w:t xml:space="preserve">1</w:t>
      </w:r>
      <w:r>
        <w:rPr>
          <w:rFonts w:hint="eastAsia"/>
          <w:color w:val="auto"/>
          <w:highlight w:val="none"/>
          <w:lang w:eastAsia="zh-CN"/>
        </w:rPr>
        <w:t xml:space="preserve">采购人</w:t>
      </w:r>
      <w:r>
        <w:rPr>
          <w:rFonts w:hint="eastAsia"/>
          <w:color w:val="auto"/>
          <w:highlight w:val="none"/>
        </w:rPr>
        <w:t xml:space="preserve">提早20天下达采购计划，以书面方式（含电子邮件、微信、短信）通知供应商送货，供应商根据采购计划及配送时间将货物送至</w:t>
      </w:r>
      <w:r>
        <w:rPr>
          <w:rFonts w:hint="eastAsia"/>
          <w:color w:val="auto"/>
          <w:highlight w:val="none"/>
          <w:lang w:eastAsia="zh-CN"/>
        </w:rPr>
        <w:t xml:space="preserve">采购人</w:t>
      </w:r>
      <w:r>
        <w:rPr>
          <w:rFonts w:hint="eastAsia"/>
          <w:color w:val="auto"/>
          <w:highlight w:val="none"/>
        </w:rPr>
        <w:t xml:space="preserve">指定地点。供应商如送货迟到超过60分钟，可扣罚当天总货款的30%。若超过时间120分钟，可扣罚当天总货款的50%，</w:t>
      </w:r>
      <w:r>
        <w:rPr>
          <w:rFonts w:hint="eastAsia"/>
          <w:color w:val="auto"/>
          <w:highlight w:val="none"/>
          <w:lang w:eastAsia="zh-CN"/>
        </w:rPr>
        <w:t xml:space="preserve">采购人</w:t>
      </w:r>
      <w:r>
        <w:rPr>
          <w:rFonts w:hint="eastAsia"/>
          <w:color w:val="auto"/>
          <w:highlight w:val="none"/>
        </w:rPr>
        <w:t xml:space="preserve">有权立即解除合同。</w:t>
      </w:r>
      <w:r/>
    </w:p>
    <w:p>
      <w:pPr>
        <w:spacing w:line="360" w:lineRule="auto"/>
        <w:rPr>
          <w:color w:val="auto"/>
          <w:highlight w:val="none"/>
        </w:rPr>
      </w:pPr>
      <w:r>
        <w:rPr>
          <w:rFonts w:hint="eastAsia"/>
          <w:color w:val="auto"/>
          <w:highlight w:val="none"/>
        </w:rPr>
        <w:t xml:space="preserve">2原则上，每次</w:t>
      </w:r>
      <w:r>
        <w:rPr>
          <w:rFonts w:hint="eastAsia"/>
          <w:color w:val="auto"/>
          <w:highlight w:val="none"/>
          <w:lang w:eastAsia="zh-CN"/>
        </w:rPr>
        <w:t xml:space="preserve">采购人</w:t>
      </w:r>
      <w:r>
        <w:rPr>
          <w:rFonts w:hint="eastAsia"/>
          <w:color w:val="auto"/>
          <w:highlight w:val="none"/>
        </w:rPr>
        <w:t xml:space="preserve">在规定的时间内集中收货、验收一次，供应商不允许分包给多家供应商及多次送货，否则视为供应商违约，</w:t>
      </w:r>
      <w:r>
        <w:rPr>
          <w:rFonts w:hint="eastAsia"/>
          <w:color w:val="auto"/>
          <w:highlight w:val="none"/>
          <w:lang w:eastAsia="zh-CN"/>
        </w:rPr>
        <w:t xml:space="preserve">采购人</w:t>
      </w:r>
      <w:r>
        <w:rPr>
          <w:rFonts w:hint="eastAsia"/>
          <w:color w:val="auto"/>
          <w:highlight w:val="none"/>
        </w:rPr>
        <w:t xml:space="preserve">有权解除合同。</w:t>
      </w:r>
      <w:r/>
    </w:p>
    <w:p>
      <w:pPr>
        <w:spacing w:line="360" w:lineRule="auto"/>
        <w:rPr>
          <w:color w:val="auto"/>
          <w:highlight w:val="none"/>
        </w:rPr>
      </w:pPr>
      <w:r>
        <w:rPr>
          <w:rFonts w:hint="eastAsia"/>
          <w:color w:val="auto"/>
          <w:highlight w:val="none"/>
        </w:rPr>
        <w:t xml:space="preserve">3中标供应商根据采购人计划要求，将货物送达训练场馆及公寓，所有人员必须服从管理，按规定时间内下货完毕、将货物堆放整齐； 如在规定时间内未完成，超过2小时以上，采购人有权立即终止合同。</w:t>
      </w:r>
      <w:r/>
    </w:p>
    <w:p>
      <w:pPr>
        <w:spacing w:line="360" w:lineRule="auto"/>
        <w:rPr>
          <w:color w:val="auto"/>
          <w:highlight w:val="none"/>
        </w:rPr>
      </w:pPr>
      <w:r>
        <w:rPr>
          <w:rFonts w:hint="eastAsia"/>
          <w:color w:val="auto"/>
          <w:highlight w:val="none"/>
        </w:rPr>
        <w:t xml:space="preserve">4供应商应具有良好的本地仓储能力、应急能力，不得以法定节假日等理由，不满足采购人下达的采购计划，否则采购人有权立即终止合同并没收履约保证金。</w:t>
      </w:r>
      <w:r/>
    </w:p>
    <w:p>
      <w:pPr>
        <w:spacing w:line="360" w:lineRule="auto"/>
        <w:rPr>
          <w:color w:val="auto"/>
          <w:highlight w:val="none"/>
        </w:rPr>
      </w:pPr>
      <w:r>
        <w:rPr>
          <w:rFonts w:hint="eastAsia"/>
          <w:color w:val="auto"/>
          <w:highlight w:val="none"/>
        </w:rPr>
        <w:t xml:space="preserve">5本项目合同履行期限为2年。</w:t>
      </w:r>
      <w:r/>
    </w:p>
    <w:p>
      <w:pPr>
        <w:pStyle w:val="923"/>
        <w:ind w:left="1260"/>
        <w:rPr>
          <w:color w:val="auto"/>
          <w:highlight w:val="none"/>
        </w:rPr>
      </w:pPr>
      <w:r>
        <w:rPr>
          <w:color w:val="auto"/>
          <w:highlight w:val="none"/>
        </w:rPr>
      </w:r>
      <w:r/>
    </w:p>
    <w:p>
      <w:pPr>
        <w:pStyle w:val="959"/>
        <w:numPr>
          <w:ilvl w:val="0"/>
          <w:numId w:val="6"/>
        </w:numPr>
        <w:ind w:left="0" w:firstLine="0"/>
        <w:spacing w:line="360" w:lineRule="auto"/>
        <w:rPr>
          <w:rFonts w:hint="eastAsia" w:ascii="Times New Roman" w:hAnsi="Times New Roman" w:eastAsia="宋体" w:cs="Times New Roman"/>
          <w:color w:val="auto"/>
          <w:sz w:val="21"/>
          <w:szCs w:val="24"/>
          <w:highlight w:val="none"/>
          <w:lang w:val="en-US" w:eastAsia="zh-CN" w:bidi="ar-SA"/>
        </w:rPr>
      </w:pPr>
      <w:r/>
      <w:bookmarkStart w:id="26" w:name="_Toc25052_WPSOffice_Level2"/>
      <w:r>
        <w:rPr>
          <w:rFonts w:hint="eastAsia" w:ascii="Times New Roman" w:hAnsi="Times New Roman" w:eastAsia="宋体" w:cs="Times New Roman"/>
          <w:color w:val="auto"/>
          <w:sz w:val="21"/>
          <w:szCs w:val="24"/>
          <w:highlight w:val="none"/>
          <w:lang w:val="en-US" w:eastAsia="zh-CN" w:bidi="ar-SA"/>
        </w:rPr>
        <w:t xml:space="preserve">质保要求</w:t>
      </w:r>
      <w:bookmarkEnd w:id="26"/>
      <w:r/>
      <w:r/>
    </w:p>
    <w:p>
      <w:pPr>
        <w:ind w:firstLine="420"/>
        <w:spacing w:line="360" w:lineRule="auto"/>
        <w:rPr>
          <w:highlight w:val="none"/>
        </w:rPr>
      </w:pPr>
      <w:r>
        <w:rPr>
          <w:rFonts w:hint="eastAsia"/>
          <w:color w:val="auto"/>
          <w:highlight w:val="none"/>
        </w:rPr>
        <w:t xml:space="preserve">供应商应保证所提供的标的物是全新的、未使用过的，完全符合合同规定的质量、规格和性能的要求，并且是非长期积压的库存商品，供方所供产品，到货当日剩余质保时长应不低于产品全程质保周期的2/3，不满足该质保年限比例要求的，采购人有权拒收。供应商应保证其提供的标的物在正确安装、正常使用和保养条件下，在其标称的使用寿命期内应具有满意的性能</w:t>
      </w:r>
      <w:r>
        <w:rPr>
          <w:rFonts w:hint="eastAsia"/>
          <w:color w:val="auto"/>
          <w:highlight w:val="none"/>
          <w:lang w:eastAsia="zh-CN"/>
        </w:rPr>
        <w:t xml:space="preserve">，生鲜水果、冰鲜及冷冻水产到货验收：剩余保质/保鲜期须在总周期三分之二以上，外观品质完好、无腐烂、无异味、无变质，不达标准予以拒收退货</w:t>
      </w:r>
      <w:r>
        <w:rPr>
          <w:rFonts w:hint="eastAsia"/>
          <w:color w:val="auto"/>
          <w:highlight w:val="none"/>
        </w:rPr>
        <w:t xml:space="preserve">。在供应商承诺的质量保证期限内，供应商应对由于设计、工艺或材料的缺陷及伴随服务而造成的任何不足或故障负责。标的物质量出现问题，供应商应负责包修、包退、包换，费用由供应商承担。</w:t>
      </w:r>
      <w:r/>
    </w:p>
    <w:p>
      <w:pPr>
        <w:rPr>
          <w:highlight w:val="none"/>
        </w:rPr>
      </w:pPr>
      <w:r>
        <w:rPr>
          <w:highlight w:val="none"/>
        </w:rPr>
      </w:r>
      <w:r/>
    </w:p>
    <w:p>
      <w:pPr>
        <w:rPr>
          <w:rFonts w:hint="eastAsia"/>
          <w:color w:val="auto"/>
          <w:highlight w:val="none"/>
        </w:rPr>
      </w:pPr>
      <w:r/>
      <w:bookmarkStart w:id="27" w:name="_Toc24367"/>
      <w:r/>
      <w:bookmarkStart w:id="28" w:name="_Toc15765"/>
      <w:r>
        <w:rPr>
          <w:rFonts w:hint="eastAsia"/>
          <w:color w:val="auto"/>
          <w:highlight w:val="none"/>
        </w:rPr>
        <w:br w:type="page" w:clear="all"/>
      </w:r>
      <w:r/>
    </w:p>
    <w:p>
      <w:pPr>
        <w:pStyle w:val="901"/>
        <w:numPr>
          <w:ilvl w:val="0"/>
          <w:numId w:val="0"/>
        </w:numPr>
        <w:rPr>
          <w:rFonts w:ascii="宋体" w:hAnsi="宋体" w:cs="Arial"/>
          <w:color w:val="auto"/>
          <w:highlight w:val="none"/>
        </w:rPr>
      </w:pPr>
      <w:r/>
      <w:bookmarkStart w:id="29" w:name="_Toc8691"/>
      <w:r>
        <w:rPr>
          <w:rFonts w:hint="eastAsia"/>
          <w:color w:val="auto"/>
          <w:highlight w:val="none"/>
        </w:rPr>
        <w:t xml:space="preserve">第五章</w:t>
      </w:r>
      <w:bookmarkEnd w:id="27"/>
      <w:r>
        <w:rPr>
          <w:rFonts w:hint="eastAsia" w:ascii="宋体" w:hAnsi="宋体" w:cs="Arial"/>
          <w:color w:val="auto"/>
          <w:highlight w:val="none"/>
        </w:rPr>
        <w:t xml:space="preserve">主要条款及格式</w:t>
      </w:r>
      <w:bookmarkEnd w:id="28"/>
      <w:r/>
      <w:bookmarkEnd w:id="29"/>
      <w:r/>
      <w:r/>
    </w:p>
    <w:p>
      <w:pPr>
        <w:pStyle w:val="919"/>
        <w:ind w:firstLine="420"/>
        <w:jc w:val="left"/>
        <w:spacing w:before="1" w:line="360" w:lineRule="auto"/>
        <w:shd w:val="clear" w:color="auto" w:fill="auto"/>
        <w:widowControl w:val="off"/>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合同编号：</w:t>
      </w:r>
      <w:r/>
    </w:p>
    <w:p>
      <w:pPr>
        <w:pStyle w:val="919"/>
        <w:ind w:firstLine="420"/>
        <w:jc w:val="left"/>
        <w:spacing w:before="1" w:line="360" w:lineRule="auto"/>
        <w:shd w:val="clear" w:color="auto" w:fill="auto"/>
        <w:widowControl w:val="off"/>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签订地点： </w:t>
      </w:r>
      <w:r/>
    </w:p>
    <w:p>
      <w:pPr>
        <w:pStyle w:val="919"/>
        <w:ind w:firstLine="420"/>
        <w:jc w:val="left"/>
        <w:spacing w:before="1" w:line="360" w:lineRule="auto"/>
        <w:shd w:val="clear" w:color="auto" w:fill="auto"/>
        <w:widowControl w:val="off"/>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签订时间：</w:t>
      </w:r>
      <w:r/>
    </w:p>
    <w:p>
      <w:pPr>
        <w:pStyle w:val="919"/>
        <w:ind w:firstLine="420"/>
        <w:jc w:val="left"/>
        <w:spacing w:before="1" w:line="360" w:lineRule="auto"/>
        <w:shd w:val="clear" w:color="auto" w:fill="auto"/>
        <w:widowControl w:val="off"/>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采购人（甲方）： </w:t>
      </w:r>
      <w:r/>
    </w:p>
    <w:p>
      <w:pPr>
        <w:pStyle w:val="919"/>
        <w:ind w:firstLine="420"/>
        <w:jc w:val="left"/>
        <w:spacing w:before="1" w:line="360" w:lineRule="auto"/>
        <w:shd w:val="clear" w:color="auto" w:fill="auto"/>
        <w:widowControl w:val="off"/>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供应商（乙方）：</w:t>
      </w:r>
      <w:r/>
    </w:p>
    <w:p>
      <w:pPr>
        <w:ind w:firstLine="420"/>
        <w:jc w:val="left"/>
        <w:spacing w:line="360" w:lineRule="auto"/>
        <w:rPr>
          <w:bCs/>
          <w:color w:val="auto"/>
          <w:sz w:val="21"/>
          <w:szCs w:val="24"/>
          <w:highlight w:val="none"/>
        </w:rPr>
      </w:pPr>
      <w:r>
        <w:rPr>
          <w:rFonts w:hint="eastAsia"/>
          <w:color w:val="auto"/>
          <w:highlight w:val="none"/>
        </w:rPr>
        <w:t xml:space="preserve">经公开招标，甲乙双方就</w:t>
      </w:r>
      <w:r>
        <w:rPr>
          <w:rFonts w:hint="eastAsia" w:ascii="Arial" w:hAnsi="Arial" w:cs="Arial"/>
          <w:color w:val="auto"/>
          <w:spacing w:val="8"/>
          <w:szCs w:val="21"/>
          <w:highlight w:val="none"/>
          <w:lang w:eastAsia="zh-CN"/>
        </w:rPr>
        <w:t xml:space="preserve">南京体育学院2026-2027运动饮料、营养品采购项目</w:t>
      </w:r>
      <w:r>
        <w:rPr>
          <w:rFonts w:hint="eastAsia"/>
          <w:color w:val="auto"/>
          <w:highlight w:val="none"/>
        </w:rPr>
        <w:t xml:space="preserve">，同意按下述条款和条件签订本合同（以下简称“合同”）。</w:t>
      </w:r>
      <w:r/>
    </w:p>
    <w:p>
      <w:pPr>
        <w:pStyle w:val="914"/>
        <w:ind w:firstLine="0"/>
        <w:spacing w:line="360" w:lineRule="auto"/>
        <w:rPr>
          <w:bCs/>
          <w:color w:val="auto"/>
          <w:sz w:val="21"/>
          <w:szCs w:val="24"/>
          <w:highlight w:val="none"/>
        </w:rPr>
      </w:pPr>
      <w:r>
        <w:rPr>
          <w:rFonts w:hint="eastAsia"/>
          <w:bCs/>
          <w:color w:val="auto"/>
          <w:sz w:val="21"/>
          <w:szCs w:val="24"/>
          <w:highlight w:val="none"/>
        </w:rPr>
        <w:t xml:space="preserve">第一条 合同标的</w:t>
      </w:r>
      <w:r/>
    </w:p>
    <w:tbl>
      <w:tblPr>
        <w:tblStyle w:val="911"/>
        <w:tblW w:w="7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5275"/>
        <w:gridCol w:w="1708"/>
      </w:tblGrid>
      <w:tr>
        <w:trPr>
          <w:jc w:val="center"/>
          <w:trHeight w:val="382"/>
        </w:trPr>
        <w:tc>
          <w:tcPr>
            <w:tcW w:w="969" w:type="dxa"/>
            <w:vAlign w:val="center"/>
            <w:textDirection w:val="lrTb"/>
            <w:noWrap w:val="false"/>
          </w:tcPr>
          <w:p>
            <w:pPr>
              <w:jc w:val="left"/>
              <w:spacing w:line="360" w:lineRule="auto"/>
              <w:rPr>
                <w:color w:val="auto"/>
                <w:highlight w:val="none"/>
                <w:lang w:val="zh-CN"/>
              </w:rPr>
            </w:pPr>
            <w:r>
              <w:rPr>
                <w:rFonts w:hint="eastAsia"/>
                <w:color w:val="auto"/>
                <w:highlight w:val="none"/>
                <w:lang w:val="zh-CN"/>
              </w:rPr>
              <w:t xml:space="preserve">序号</w:t>
            </w:r>
            <w:r/>
          </w:p>
        </w:tc>
        <w:tc>
          <w:tcPr>
            <w:tcW w:w="5275" w:type="dxa"/>
            <w:vAlign w:val="center"/>
            <w:textDirection w:val="lrTb"/>
            <w:noWrap w:val="false"/>
          </w:tcPr>
          <w:p>
            <w:pPr>
              <w:jc w:val="left"/>
              <w:spacing w:line="360" w:lineRule="auto"/>
              <w:rPr>
                <w:color w:val="auto"/>
                <w:highlight w:val="none"/>
                <w:lang w:val="zh-CN"/>
              </w:rPr>
            </w:pPr>
            <w:r>
              <w:rPr>
                <w:rFonts w:hint="eastAsia"/>
                <w:color w:val="auto"/>
                <w:highlight w:val="none"/>
                <w:lang w:val="zh-CN"/>
              </w:rPr>
              <w:t xml:space="preserve">品种</w:t>
            </w:r>
            <w:r/>
          </w:p>
        </w:tc>
        <w:tc>
          <w:tcPr>
            <w:shd w:val="clear" w:color="auto" w:fill="auto"/>
            <w:tcW w:w="1708" w:type="dxa"/>
            <w:vAlign w:val="center"/>
            <w:textDirection w:val="lrTb"/>
            <w:noWrap w:val="false"/>
          </w:tcPr>
          <w:p>
            <w:pPr>
              <w:jc w:val="center"/>
              <w:spacing w:line="360" w:lineRule="auto"/>
              <w:rPr>
                <w:rFonts w:hint="eastAsia" w:ascii="Times New Roman" w:hAnsi="Times New Roman" w:eastAsia="宋体" w:cs="Times New Roman"/>
                <w:color w:val="auto"/>
                <w:sz w:val="21"/>
                <w:szCs w:val="24"/>
                <w:highlight w:val="none"/>
                <w:lang w:val="zh-CN" w:eastAsia="zh-CN" w:bidi="ar-SA"/>
              </w:rPr>
            </w:pPr>
            <w:r>
              <w:rPr>
                <w:rFonts w:hint="eastAsia"/>
                <w:color w:val="auto"/>
                <w:highlight w:val="none"/>
                <w:lang w:val="en-US" w:eastAsia="zh-CN"/>
              </w:rPr>
              <w:t xml:space="preserve">预算 </w:t>
            </w:r>
            <w:r/>
          </w:p>
        </w:tc>
      </w:tr>
      <w:tr>
        <w:trPr>
          <w:jc w:val="center"/>
          <w:trHeight w:val="504"/>
        </w:trPr>
        <w:tc>
          <w:tcPr>
            <w:tcW w:w="969" w:type="dxa"/>
            <w:vAlign w:val="center"/>
            <w:textDirection w:val="lrTb"/>
            <w:noWrap w:val="false"/>
          </w:tcPr>
          <w:p>
            <w:pPr>
              <w:jc w:val="left"/>
              <w:spacing w:line="360" w:lineRule="auto"/>
              <w:rPr>
                <w:color w:val="auto"/>
                <w:highlight w:val="none"/>
                <w:lang w:val="zh-CN"/>
              </w:rPr>
            </w:pPr>
            <w:r>
              <w:rPr>
                <w:rFonts w:hint="eastAsia"/>
                <w:color w:val="auto"/>
                <w:highlight w:val="none"/>
              </w:rPr>
              <w:t xml:space="preserve">1</w:t>
            </w:r>
            <w:r/>
          </w:p>
        </w:tc>
        <w:tc>
          <w:tcPr>
            <w:tcW w:w="5275" w:type="dxa"/>
            <w:vAlign w:val="center"/>
            <w:textDirection w:val="lrTb"/>
            <w:noWrap w:val="false"/>
          </w:tcPr>
          <w:p>
            <w:pPr>
              <w:spacing w:line="360" w:lineRule="auto"/>
              <w:rPr>
                <w:color w:val="auto"/>
                <w:highlight w:val="none"/>
                <w:lang w:val="zh-CN"/>
              </w:rPr>
            </w:pPr>
            <w:r>
              <w:rPr>
                <w:rFonts w:hint="eastAsia"/>
                <w:color w:val="auto"/>
                <w:highlight w:val="none"/>
              </w:rPr>
              <w:t xml:space="preserve">饮料</w:t>
            </w:r>
            <w:r>
              <w:rPr>
                <w:rFonts w:hint="eastAsia"/>
                <w:color w:val="auto"/>
                <w:highlight w:val="none"/>
                <w:lang w:eastAsia="zh-CN"/>
              </w:rPr>
              <w:t xml:space="preserve">：</w:t>
            </w:r>
            <w:r>
              <w:rPr>
                <w:rFonts w:hint="eastAsia"/>
                <w:color w:val="auto"/>
                <w:highlight w:val="none"/>
                <w:lang w:val="en-US" w:eastAsia="zh-CN"/>
              </w:rPr>
              <w:t xml:space="preserve">瓶装水、功能饮料（运动饮料、苏打水等）</w:t>
            </w:r>
            <w:r/>
          </w:p>
        </w:tc>
        <w:tc>
          <w:tcPr>
            <w:shd w:val="clear" w:color="auto" w:fill="auto"/>
            <w:tcW w:w="1708" w:type="dxa"/>
            <w:vAlign w:val="center"/>
            <w:textDirection w:val="lrTb"/>
            <w:noWrap w:val="false"/>
          </w:tcPr>
          <w:p>
            <w:pPr>
              <w:jc w:val="center"/>
              <w:spacing w:line="360" w:lineRule="auto"/>
              <w:rPr>
                <w:rFonts w:hint="eastAsia" w:ascii="Times New Roman" w:hAnsi="Times New Roman" w:eastAsia="宋体" w:cs="Times New Roman"/>
                <w:color w:val="auto"/>
                <w:sz w:val="21"/>
                <w:szCs w:val="24"/>
                <w:highlight w:val="none"/>
                <w:lang w:val="en-US" w:eastAsia="zh-CN" w:bidi="ar-SA"/>
              </w:rPr>
            </w:pPr>
            <w:r>
              <w:rPr>
                <w:rFonts w:hint="eastAsia"/>
                <w:color w:val="auto"/>
                <w:highlight w:val="none"/>
                <w:lang w:val="en-US" w:eastAsia="zh-CN"/>
              </w:rPr>
              <w:t xml:space="preserve">约75万元/年</w:t>
            </w:r>
            <w:r/>
          </w:p>
        </w:tc>
      </w:tr>
      <w:tr>
        <w:trPr>
          <w:jc w:val="center"/>
          <w:trHeight w:val="382"/>
        </w:trPr>
        <w:tc>
          <w:tcPr>
            <w:tcW w:w="969" w:type="dxa"/>
            <w:vAlign w:val="center"/>
            <w:textDirection w:val="lrTb"/>
            <w:noWrap w:val="false"/>
          </w:tcPr>
          <w:p>
            <w:pPr>
              <w:jc w:val="left"/>
              <w:spacing w:line="360" w:lineRule="auto"/>
              <w:rPr>
                <w:rFonts w:hint="eastAsia" w:eastAsia="宋体"/>
                <w:color w:val="auto"/>
                <w:highlight w:val="none"/>
                <w:lang w:val="zh-CN" w:eastAsia="zh-CN"/>
              </w:rPr>
            </w:pPr>
            <w:r>
              <w:rPr>
                <w:rFonts w:hint="eastAsia"/>
                <w:color w:val="auto"/>
                <w:highlight w:val="none"/>
                <w:lang w:val="en-US" w:eastAsia="zh-CN"/>
              </w:rPr>
              <w:t xml:space="preserve">2</w:t>
            </w:r>
            <w:r/>
          </w:p>
        </w:tc>
        <w:tc>
          <w:tcPr>
            <w:tcW w:w="5275" w:type="dxa"/>
            <w:vAlign w:val="center"/>
            <w:textDirection w:val="lrTb"/>
            <w:noWrap w:val="false"/>
          </w:tcPr>
          <w:p>
            <w:pPr>
              <w:spacing w:line="360" w:lineRule="auto"/>
              <w:rPr>
                <w:rFonts w:hint="eastAsia" w:eastAsia="宋体"/>
                <w:color w:val="auto"/>
                <w:highlight w:val="none"/>
                <w:lang w:val="zh-CN" w:eastAsia="zh-CN"/>
              </w:rPr>
            </w:pPr>
            <w:r>
              <w:rPr>
                <w:rFonts w:hint="eastAsia"/>
                <w:color w:val="auto"/>
                <w:highlight w:val="none"/>
              </w:rPr>
              <w:t xml:space="preserve">预包装食品</w:t>
            </w:r>
            <w:r>
              <w:rPr>
                <w:rFonts w:hint="eastAsia"/>
                <w:color w:val="auto"/>
                <w:highlight w:val="none"/>
                <w:lang w:eastAsia="zh-CN"/>
              </w:rPr>
              <w:t xml:space="preserve">（</w:t>
            </w:r>
            <w:r>
              <w:rPr>
                <w:rFonts w:hint="eastAsia"/>
                <w:color w:val="auto"/>
                <w:highlight w:val="none"/>
                <w:lang w:val="en-US" w:eastAsia="zh-CN"/>
              </w:rPr>
              <w:t xml:space="preserve">纯牛奶、酸奶、坚果等</w:t>
            </w:r>
            <w:r>
              <w:rPr>
                <w:rFonts w:hint="eastAsia"/>
                <w:color w:val="auto"/>
                <w:highlight w:val="none"/>
                <w:lang w:eastAsia="zh-CN"/>
              </w:rPr>
              <w:t xml:space="preserve">）</w:t>
            </w:r>
            <w:r>
              <w:rPr>
                <w:rFonts w:hint="eastAsia"/>
                <w:color w:val="auto"/>
                <w:highlight w:val="none"/>
                <w:lang w:val="en-US" w:eastAsia="zh-CN"/>
              </w:rPr>
              <w:t xml:space="preserve"> </w:t>
            </w:r>
            <w:r/>
          </w:p>
        </w:tc>
        <w:tc>
          <w:tcPr>
            <w:shd w:val="clear" w:color="auto" w:fill="auto"/>
            <w:tcW w:w="1708" w:type="dxa"/>
            <w:vAlign w:val="center"/>
            <w:vMerge w:val="restart"/>
            <w:textDirection w:val="lrTb"/>
            <w:noWrap w:val="false"/>
          </w:tcPr>
          <w:p>
            <w:pPr>
              <w:jc w:val="center"/>
              <w:spacing w:line="360" w:lineRule="auto"/>
              <w:rPr>
                <w:rFonts w:hint="eastAsia" w:ascii="Times New Roman" w:hAnsi="Times New Roman" w:eastAsia="宋体" w:cs="Times New Roman"/>
                <w:color w:val="auto"/>
                <w:sz w:val="21"/>
                <w:szCs w:val="24"/>
                <w:highlight w:val="none"/>
                <w:lang w:val="en-US" w:eastAsia="zh-CN" w:bidi="ar-SA"/>
              </w:rPr>
            </w:pPr>
            <w:r>
              <w:rPr>
                <w:rFonts w:hint="eastAsia"/>
                <w:color w:val="auto"/>
                <w:highlight w:val="none"/>
                <w:lang w:val="en-US" w:eastAsia="zh-CN"/>
              </w:rPr>
              <w:t xml:space="preserve">约70万元/年</w:t>
            </w:r>
            <w:r/>
          </w:p>
        </w:tc>
      </w:tr>
      <w:tr>
        <w:trPr>
          <w:jc w:val="center"/>
          <w:trHeight w:val="382"/>
        </w:trPr>
        <w:tc>
          <w:tcPr>
            <w:tcW w:w="969" w:type="dxa"/>
            <w:vAlign w:val="center"/>
            <w:textDirection w:val="lrTb"/>
            <w:noWrap w:val="false"/>
          </w:tcPr>
          <w:p>
            <w:pPr>
              <w:jc w:val="left"/>
              <w:spacing w:line="360" w:lineRule="auto"/>
              <w:rPr>
                <w:rFonts w:hint="eastAsia" w:eastAsia="宋体"/>
                <w:color w:val="auto"/>
                <w:highlight w:val="none"/>
                <w:lang w:eastAsia="zh-CN"/>
              </w:rPr>
            </w:pPr>
            <w:r>
              <w:rPr>
                <w:rFonts w:hint="eastAsia"/>
                <w:color w:val="auto"/>
                <w:highlight w:val="none"/>
                <w:lang w:val="en-US" w:eastAsia="zh-CN"/>
              </w:rPr>
              <w:t xml:space="preserve">3</w:t>
            </w:r>
            <w:r/>
          </w:p>
        </w:tc>
        <w:tc>
          <w:tcPr>
            <w:tcW w:w="5275" w:type="dxa"/>
            <w:vAlign w:val="center"/>
            <w:textDirection w:val="lrTb"/>
            <w:noWrap w:val="false"/>
          </w:tcPr>
          <w:p>
            <w:pPr>
              <w:spacing w:line="360" w:lineRule="auto"/>
              <w:rPr>
                <w:color w:val="auto"/>
                <w:highlight w:val="none"/>
                <w:lang w:val="zh-CN"/>
              </w:rPr>
            </w:pPr>
            <w:r>
              <w:rPr>
                <w:rFonts w:hint="eastAsia"/>
                <w:color w:val="auto"/>
                <w:highlight w:val="none"/>
              </w:rPr>
              <w:t xml:space="preserve">水果</w:t>
            </w:r>
            <w:r>
              <w:rPr>
                <w:rFonts w:hint="eastAsia"/>
                <w:color w:val="auto"/>
                <w:highlight w:val="none"/>
                <w:lang w:val="en-US" w:eastAsia="zh-CN"/>
              </w:rPr>
              <w:t xml:space="preserve"> （砂糖橘、玉露香梨、车厘子、橙子等）</w:t>
            </w:r>
            <w:r/>
          </w:p>
        </w:tc>
        <w:tc>
          <w:tcPr>
            <w:shd w:val="clear" w:color="auto" w:fill="auto"/>
            <w:tcW w:w="1708" w:type="dxa"/>
            <w:vAlign w:val="center"/>
            <w:vMerge w:val="continue"/>
            <w:textDirection w:val="lrTb"/>
            <w:noWrap w:val="false"/>
          </w:tcPr>
          <w:p>
            <w:pPr>
              <w:jc w:val="center"/>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r>
      <w:tr>
        <w:trPr>
          <w:jc w:val="center"/>
          <w:trHeight w:val="391"/>
        </w:trPr>
        <w:tc>
          <w:tcPr>
            <w:tcW w:w="969" w:type="dxa"/>
            <w:vAlign w:val="center"/>
            <w:textDirection w:val="lrTb"/>
            <w:noWrap w:val="false"/>
          </w:tcPr>
          <w:p>
            <w:pPr>
              <w:jc w:val="left"/>
              <w:spacing w:line="360" w:lineRule="auto"/>
              <w:rPr>
                <w:rFonts w:hint="eastAsia" w:eastAsia="宋体"/>
                <w:color w:val="auto"/>
                <w:highlight w:val="none"/>
                <w:lang w:val="zh-CN" w:eastAsia="zh-CN"/>
              </w:rPr>
            </w:pPr>
            <w:r>
              <w:rPr>
                <w:rFonts w:hint="eastAsia"/>
                <w:color w:val="auto"/>
                <w:highlight w:val="none"/>
                <w:lang w:val="en-US" w:eastAsia="zh-CN"/>
              </w:rPr>
              <w:t xml:space="preserve">4</w:t>
            </w:r>
            <w:r/>
          </w:p>
        </w:tc>
        <w:tc>
          <w:tcPr>
            <w:tcW w:w="5275" w:type="dxa"/>
            <w:vAlign w:val="center"/>
            <w:textDirection w:val="lrTb"/>
            <w:noWrap w:val="false"/>
          </w:tcPr>
          <w:p>
            <w:pPr>
              <w:spacing w:line="360" w:lineRule="auto"/>
              <w:rPr>
                <w:color w:val="auto"/>
                <w:highlight w:val="none"/>
                <w:lang w:val="zh-CN"/>
              </w:rPr>
            </w:pPr>
            <w:r>
              <w:rPr>
                <w:rFonts w:hint="eastAsia"/>
                <w:color w:val="auto"/>
                <w:highlight w:val="none"/>
              </w:rPr>
              <w:t xml:space="preserve">水产</w:t>
            </w:r>
            <w:r>
              <w:rPr>
                <w:rFonts w:hint="eastAsia"/>
                <w:color w:val="auto"/>
                <w:highlight w:val="none"/>
                <w:lang w:val="en-US" w:eastAsia="zh-CN"/>
              </w:rPr>
              <w:t xml:space="preserve"> （鲍鱼、大黄鱼、带鱼、虾仁、辽参、虾等冻品）</w:t>
            </w:r>
            <w:r/>
          </w:p>
        </w:tc>
        <w:tc>
          <w:tcPr>
            <w:shd w:val="clear" w:color="auto" w:fill="auto"/>
            <w:tcW w:w="1708" w:type="dxa"/>
            <w:vAlign w:val="center"/>
            <w:textDirection w:val="lrTb"/>
            <w:noWrap w:val="false"/>
          </w:tcPr>
          <w:p>
            <w:pPr>
              <w:jc w:val="center"/>
              <w:spacing w:line="360" w:lineRule="auto"/>
              <w:rPr>
                <w:rFonts w:hint="eastAsia" w:ascii="Times New Roman" w:hAnsi="Times New Roman" w:eastAsia="宋体" w:cs="Times New Roman"/>
                <w:color w:val="auto"/>
                <w:sz w:val="21"/>
                <w:szCs w:val="24"/>
                <w:highlight w:val="none"/>
                <w:lang w:val="en-US" w:eastAsia="zh-CN" w:bidi="ar-SA"/>
              </w:rPr>
            </w:pPr>
            <w:r>
              <w:rPr>
                <w:rFonts w:hint="eastAsia"/>
                <w:color w:val="auto"/>
                <w:highlight w:val="none"/>
                <w:lang w:val="en-US" w:eastAsia="zh-CN"/>
              </w:rPr>
              <w:t xml:space="preserve">约44万元/年</w:t>
            </w:r>
            <w:r/>
          </w:p>
        </w:tc>
      </w:tr>
    </w:tbl>
    <w:p>
      <w:pPr>
        <w:ind w:firstLine="420"/>
        <w:spacing w:line="360" w:lineRule="auto"/>
        <w:rPr>
          <w:rFonts w:hint="eastAsia" w:ascii="Times New Roman" w:hAnsi="Times New Roman" w:eastAsia="宋体" w:cs="Times New Roman"/>
          <w:color w:val="auto"/>
          <w:highlight w:val="none"/>
        </w:rPr>
      </w:pPr>
      <w:r>
        <w:rPr>
          <w:rFonts w:hint="eastAsia" w:ascii="宋体" w:hAnsi="宋体" w:eastAsia="宋体" w:cs="宋体"/>
          <w:bCs w:val="0"/>
          <w:sz w:val="21"/>
          <w:szCs w:val="21"/>
          <w:highlight w:val="none"/>
        </w:rPr>
        <w:t xml:space="preserve">采购人有权根据项目实际情况，调整本表的</w:t>
      </w:r>
      <w:r>
        <w:rPr>
          <w:rFonts w:hint="eastAsia" w:ascii="宋体" w:hAnsi="宋体" w:eastAsia="宋体" w:cs="宋体"/>
          <w:bCs w:val="0"/>
          <w:sz w:val="21"/>
          <w:szCs w:val="21"/>
          <w:highlight w:val="none"/>
          <w:lang w:val="en-US" w:eastAsia="zh-CN"/>
        </w:rPr>
        <w:t xml:space="preserve">品种</w:t>
      </w:r>
      <w:r>
        <w:rPr>
          <w:rFonts w:hint="eastAsia" w:ascii="宋体" w:hAnsi="宋体" w:eastAsia="宋体" w:cs="宋体"/>
          <w:bCs w:val="0"/>
          <w:sz w:val="21"/>
          <w:szCs w:val="21"/>
          <w:highlight w:val="none"/>
        </w:rPr>
        <w:t xml:space="preserve">及</w:t>
      </w:r>
      <w:r>
        <w:rPr>
          <w:rFonts w:hint="eastAsia" w:ascii="宋体" w:hAnsi="宋体" w:eastAsia="宋体" w:cs="宋体"/>
          <w:bCs w:val="0"/>
          <w:sz w:val="21"/>
          <w:szCs w:val="21"/>
          <w:highlight w:val="none"/>
          <w:lang w:val="en-US" w:eastAsia="zh-CN"/>
        </w:rPr>
        <w:t xml:space="preserve">预算</w:t>
      </w:r>
      <w:r>
        <w:rPr>
          <w:rFonts w:hint="eastAsia" w:ascii="宋体" w:hAnsi="宋体" w:eastAsia="宋体" w:cs="宋体"/>
          <w:bCs w:val="0"/>
          <w:sz w:val="21"/>
          <w:szCs w:val="21"/>
          <w:highlight w:val="none"/>
        </w:rPr>
        <w:t xml:space="preserve">。</w:t>
      </w:r>
      <w:r>
        <w:rPr>
          <w:rFonts w:hint="eastAsia" w:ascii="宋体" w:hAnsi="宋体" w:eastAsia="宋体" w:cs="宋体"/>
          <w:bCs w:val="0"/>
          <w:sz w:val="21"/>
          <w:szCs w:val="21"/>
          <w:highlight w:val="none"/>
          <w:lang w:val="en-US" w:eastAsia="zh-CN"/>
        </w:rPr>
        <w:t xml:space="preserve">实际供货以采购人要求或联系单为准</w:t>
      </w:r>
      <w:r>
        <w:rPr>
          <w:rFonts w:hint="eastAsia" w:ascii="宋体" w:hAnsi="宋体" w:cs="宋体"/>
          <w:bCs w:val="0"/>
          <w:sz w:val="21"/>
          <w:szCs w:val="21"/>
          <w:highlight w:val="none"/>
          <w:lang w:val="en-US" w:eastAsia="zh-CN"/>
        </w:rPr>
        <w:t xml:space="preserve">，</w:t>
      </w:r>
      <w:r>
        <w:rPr>
          <w:rFonts w:hint="eastAsia"/>
          <w:highlight w:val="none"/>
          <w:lang w:val="en-US" w:eastAsia="zh-CN"/>
        </w:rPr>
        <w:t xml:space="preserve">优惠率</w:t>
      </w:r>
      <w:r>
        <w:rPr>
          <w:rFonts w:hint="eastAsia"/>
          <w:highlight w:val="none"/>
        </w:rPr>
        <w:t xml:space="preserve">不得调整。</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标的所有品种均要求</w:t>
      </w:r>
      <w:r>
        <w:rPr>
          <w:rFonts w:hint="eastAsia" w:ascii="Times New Roman" w:hAnsi="Times New Roman" w:eastAsia="宋体" w:cs="Times New Roman"/>
          <w:color w:val="auto"/>
          <w:highlight w:val="none"/>
          <w:lang w:val="en-US" w:eastAsia="zh-CN"/>
        </w:rPr>
        <w:t xml:space="preserve">符合国家</w:t>
      </w:r>
      <w:r>
        <w:rPr>
          <w:rFonts w:hint="eastAsia" w:ascii="Times New Roman" w:hAnsi="Times New Roman" w:eastAsia="宋体" w:cs="Times New Roman"/>
          <w:color w:val="auto"/>
          <w:highlight w:val="none"/>
        </w:rPr>
        <w:t xml:space="preserve">食品质量安全</w:t>
      </w:r>
      <w:r>
        <w:rPr>
          <w:rFonts w:hint="eastAsia" w:ascii="Times New Roman" w:hAnsi="Times New Roman" w:eastAsia="宋体" w:cs="Times New Roman"/>
          <w:color w:val="auto"/>
          <w:highlight w:val="none"/>
          <w:lang w:val="en-US" w:eastAsia="zh-CN"/>
        </w:rPr>
        <w:t xml:space="preserve">标准，以及食源性兴奋剂防控的相关管理规定，确保产品零兴奋剂风险</w:t>
      </w:r>
      <w:r>
        <w:rPr>
          <w:rFonts w:hint="eastAsia" w:ascii="Times New Roman" w:hAnsi="Times New Roman" w:eastAsia="宋体" w:cs="Times New Roman"/>
          <w:color w:val="auto"/>
          <w:highlight w:val="none"/>
        </w:rPr>
        <w:t xml:space="preserve">。本次招标标的特点为供货量品种较多且日供货量较小。未列明质量标准的货物，采购渠道应为正规途径采购，来源均必须可追溯。</w:t>
      </w:r>
      <w:r/>
    </w:p>
    <w:p>
      <w:pPr>
        <w:pStyle w:val="914"/>
        <w:numPr>
          <w:ilvl w:val="0"/>
          <w:numId w:val="7"/>
        </w:numPr>
        <w:ind w:firstLine="0"/>
        <w:spacing w:line="360" w:lineRule="auto"/>
        <w:rPr>
          <w:rFonts w:hint="eastAsia"/>
          <w:bCs/>
          <w:color w:val="auto"/>
          <w:sz w:val="21"/>
          <w:szCs w:val="24"/>
          <w:highlight w:val="none"/>
        </w:rPr>
      </w:pPr>
      <w:r>
        <w:rPr>
          <w:rFonts w:hint="eastAsia"/>
          <w:bCs/>
          <w:color w:val="auto"/>
          <w:sz w:val="21"/>
          <w:szCs w:val="24"/>
          <w:highlight w:val="none"/>
        </w:rPr>
        <w:t xml:space="preserve">投标总价</w:t>
      </w:r>
      <w:r/>
    </w:p>
    <w:p>
      <w:pPr>
        <w:pStyle w:val="914"/>
        <w:numPr>
          <w:ilvl w:val="0"/>
          <w:numId w:val="0"/>
        </w:numPr>
        <w:ind w:firstLine="420"/>
        <w:spacing w:line="360" w:lineRule="auto"/>
        <w:rPr>
          <w:rFonts w:hint="eastAsia" w:ascii="Times New Roman" w:hAnsi="Times New Roman" w:eastAsia="宋体" w:cs="Times New Roman"/>
          <w:b w:val="0"/>
          <w:color w:val="auto"/>
          <w:sz w:val="21"/>
          <w:szCs w:val="24"/>
          <w:highlight w:val="none"/>
          <w:lang w:val="en-US" w:eastAsia="zh-CN" w:bidi="ar-SA"/>
        </w:rPr>
      </w:pPr>
      <w:r>
        <w:rPr>
          <w:rFonts w:hint="eastAsia" w:ascii="Times New Roman" w:hAnsi="Times New Roman" w:eastAsia="宋体" w:cs="Times New Roman"/>
          <w:b w:val="0"/>
          <w:color w:val="auto"/>
          <w:sz w:val="21"/>
          <w:szCs w:val="24"/>
          <w:highlight w:val="none"/>
          <w:lang w:val="en-US" w:eastAsia="zh-CN" w:bidi="ar-SA"/>
        </w:rPr>
        <w:t xml:space="preserve">以京东网上自营商品价格为基准。京东网上自营商品未公布的食材价格，以大型仓储超市商品价格为基准。如上述商品价格都没有，可以参照天猫、每日优鲜等网站同等品质及规格的商品价格为依据，采购价格为：基准价格×（1-</w:t>
      </w:r>
      <w:r>
        <w:rPr>
          <w:rFonts w:hint="eastAsia"/>
          <w:b w:val="0"/>
          <w:color w:val="auto"/>
          <w:sz w:val="21"/>
          <w:szCs w:val="24"/>
          <w:highlight w:val="none"/>
          <w:lang w:val="en-US" w:eastAsia="zh-CN"/>
        </w:rPr>
        <w:t xml:space="preserve">优惠率</w:t>
      </w:r>
      <w:r>
        <w:rPr>
          <w:rFonts w:hint="eastAsia" w:ascii="Times New Roman" w:hAnsi="Times New Roman" w:eastAsia="宋体" w:cs="Times New Roman"/>
          <w:b w:val="0"/>
          <w:color w:val="auto"/>
          <w:sz w:val="21"/>
          <w:szCs w:val="24"/>
          <w:highlight w:val="none"/>
          <w:lang w:val="en-US" w:eastAsia="zh-CN" w:bidi="ar-SA"/>
        </w:rPr>
        <w:t xml:space="preserve">）。</w:t>
      </w:r>
      <w:r/>
    </w:p>
    <w:p>
      <w:pPr>
        <w:pStyle w:val="919"/>
        <w:jc w:val="both"/>
        <w:spacing w:line="360" w:lineRule="auto"/>
        <w:rPr>
          <w:rFonts w:eastAsia="宋体"/>
          <w:b w:val="0"/>
          <w:color w:val="auto"/>
          <w:sz w:val="21"/>
          <w:highlight w:val="none"/>
          <w:u w:val="single"/>
        </w:rPr>
      </w:pPr>
      <w:r>
        <w:rPr>
          <w:rFonts w:hint="eastAsia" w:eastAsia="宋体"/>
          <w:b w:val="0"/>
          <w:bCs w:val="0"/>
          <w:color w:val="auto"/>
          <w:sz w:val="21"/>
          <w:highlight w:val="none"/>
        </w:rPr>
        <w:t xml:space="preserve">投标</w:t>
      </w:r>
      <w:r>
        <w:rPr>
          <w:rFonts w:hint="eastAsia" w:eastAsia="宋体"/>
          <w:b w:val="0"/>
          <w:bCs w:val="0"/>
          <w:color w:val="auto"/>
          <w:sz w:val="21"/>
          <w:highlight w:val="none"/>
          <w:lang w:val="en-US" w:eastAsia="zh-CN"/>
        </w:rPr>
        <w:t xml:space="preserve">优惠率</w:t>
      </w:r>
      <w:r>
        <w:rPr>
          <w:rFonts w:hint="eastAsia" w:eastAsia="宋体"/>
          <w:b w:val="0"/>
          <w:color w:val="auto"/>
          <w:sz w:val="21"/>
          <w:highlight w:val="none"/>
        </w:rPr>
        <w:t xml:space="preserve">为：</w:t>
      </w:r>
      <w:r>
        <w:rPr>
          <w:rFonts w:hint="eastAsia" w:eastAsia="宋体"/>
          <w:b w:val="0"/>
          <w:color w:val="auto"/>
          <w:sz w:val="21"/>
          <w:highlight w:val="none"/>
          <w:u w:val="single"/>
        </w:rPr>
        <w:t xml:space="preserve">    %</w:t>
      </w:r>
      <w:r/>
    </w:p>
    <w:p>
      <w:pPr>
        <w:spacing w:line="360" w:lineRule="auto"/>
        <w:rPr>
          <w:b/>
          <w:bCs/>
          <w:color w:val="auto"/>
          <w:highlight w:val="none"/>
        </w:rPr>
      </w:pPr>
      <w:r>
        <w:rPr>
          <w:b/>
          <w:bCs/>
          <w:color w:val="auto"/>
          <w:highlight w:val="none"/>
        </w:rPr>
      </w:r>
      <w:r/>
    </w:p>
    <w:p>
      <w:pPr>
        <w:numPr>
          <w:ilvl w:val="0"/>
          <w:numId w:val="8"/>
        </w:numPr>
        <w:spacing w:line="360" w:lineRule="auto"/>
        <w:rPr>
          <w:rFonts w:hint="eastAsia"/>
          <w:b/>
          <w:bCs/>
          <w:color w:val="auto"/>
          <w:highlight w:val="none"/>
        </w:rPr>
      </w:pPr>
      <w:r>
        <w:rPr>
          <w:rFonts w:hint="eastAsia" w:ascii="Times New Roman" w:hAnsi="Times New Roman" w:eastAsia="宋体" w:cs="Times New Roman"/>
          <w:b/>
          <w:bCs/>
          <w:color w:val="auto"/>
          <w:sz w:val="21"/>
          <w:szCs w:val="24"/>
          <w:highlight w:val="none"/>
          <w:lang w:val="en-US" w:eastAsia="zh-CN" w:bidi="ar-SA"/>
        </w:rPr>
        <w:t xml:space="preserve">服务范围及要</w:t>
      </w:r>
      <w:r>
        <w:rPr>
          <w:rFonts w:hint="eastAsia"/>
          <w:b/>
          <w:bCs/>
          <w:color w:val="auto"/>
          <w:highlight w:val="none"/>
        </w:rPr>
        <w:t xml:space="preserve">求</w:t>
      </w:r>
      <w:r/>
    </w:p>
    <w:p>
      <w:pPr>
        <w:numPr>
          <w:ilvl w:val="0"/>
          <w:numId w:val="0"/>
        </w:num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甲方为规范饮料和营养品采购，</w:t>
      </w:r>
      <w:r>
        <w:rPr>
          <w:rFonts w:hint="eastAsia" w:cs="Times New Roman"/>
          <w:color w:val="auto"/>
          <w:highlight w:val="none"/>
          <w:lang w:val="en-US" w:eastAsia="zh-CN"/>
        </w:rPr>
        <w:t xml:space="preserve">鉴</w:t>
      </w:r>
      <w:r>
        <w:rPr>
          <w:rFonts w:hint="eastAsia" w:ascii="Times New Roman" w:hAnsi="Times New Roman" w:eastAsia="宋体" w:cs="Times New Roman"/>
          <w:color w:val="auto"/>
          <w:highlight w:val="none"/>
        </w:rPr>
        <w:t xml:space="preserve">于运动员特殊群体，对原材料的要求较高，确保食品原材料采购公平、公正、公开及采购价格合理，质量符合食品卫生安全要求及反兴奋剂检测要求，具体要求详见招标文件第四章采购需求。乙方提供的饮料和营养品符合甲方的各项采购需求。</w:t>
      </w:r>
      <w:bookmarkStart w:id="30" w:name="_Toc8784_WPSOffice_Level2"/>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3.1</w:t>
      </w:r>
      <w:r>
        <w:rPr>
          <w:rFonts w:hint="eastAsia" w:ascii="Times New Roman" w:hAnsi="Times New Roman" w:eastAsia="宋体" w:cs="Times New Roman"/>
          <w:color w:val="auto"/>
          <w:highlight w:val="none"/>
        </w:rPr>
        <w:t xml:space="preserve">为保证运动员用餐食品安全，</w:t>
      </w:r>
      <w:r>
        <w:rPr>
          <w:rFonts w:hint="eastAsia" w:ascii="Times New Roman" w:hAnsi="Times New Roman" w:eastAsia="宋体" w:cs="Times New Roman"/>
          <w:color w:val="auto"/>
          <w:highlight w:val="none"/>
          <w:lang w:eastAsia="zh-CN"/>
        </w:rPr>
        <w:t xml:space="preserve">乙方</w:t>
      </w:r>
      <w:r>
        <w:rPr>
          <w:rFonts w:hint="eastAsia" w:ascii="Times New Roman" w:hAnsi="Times New Roman" w:eastAsia="宋体" w:cs="Times New Roman"/>
          <w:color w:val="auto"/>
          <w:highlight w:val="none"/>
        </w:rPr>
        <w:t xml:space="preserve">所供食材应为同类产品中的综合质量优良产品，同等条件下，通过认证的绿色食品、有机食品优先。</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3.2</w:t>
      </w:r>
      <w:r>
        <w:rPr>
          <w:rFonts w:hint="eastAsia" w:ascii="Times New Roman" w:hAnsi="Times New Roman" w:eastAsia="宋体" w:cs="Times New Roman"/>
          <w:color w:val="auto"/>
          <w:highlight w:val="none"/>
          <w:lang w:eastAsia="zh-CN"/>
        </w:rPr>
        <w:t xml:space="preserve">乙方</w:t>
      </w:r>
      <w:r>
        <w:rPr>
          <w:rFonts w:hint="eastAsia" w:ascii="Times New Roman" w:hAnsi="Times New Roman" w:eastAsia="宋体" w:cs="Times New Roman"/>
          <w:color w:val="auto"/>
          <w:highlight w:val="none"/>
        </w:rPr>
        <w:t xml:space="preserve">应严格遵守《食品安全法》和《动物检疫法》、《大型赛事食源性兴奋剂防控工作指南》等相关规定，严格保证食品质量符合国家相关产品质量标准，符合国家各级强制性规范的要求。如因提供的食品导致发生兴奋剂违规事件,</w:t>
      </w:r>
      <w:r>
        <w:rPr>
          <w:rFonts w:hint="eastAsia" w:ascii="Times New Roman" w:hAnsi="Times New Roman" w:eastAsia="宋体" w:cs="Times New Roman"/>
          <w:color w:val="auto"/>
          <w:highlight w:val="none"/>
          <w:lang w:eastAsia="zh-CN"/>
        </w:rPr>
        <w:t xml:space="preserve">乙方</w:t>
      </w:r>
      <w:r>
        <w:rPr>
          <w:rFonts w:hint="eastAsia" w:ascii="Times New Roman" w:hAnsi="Times New Roman" w:eastAsia="宋体" w:cs="Times New Roman"/>
          <w:color w:val="auto"/>
          <w:highlight w:val="none"/>
        </w:rPr>
        <w:t xml:space="preserve">应对此承担一切法律责任。在食材供应期间如出现因食用其提供的食品导致食物中毒的事故发生，</w:t>
      </w:r>
      <w:r>
        <w:rPr>
          <w:rFonts w:hint="eastAsia" w:ascii="Times New Roman" w:hAnsi="Times New Roman" w:eastAsia="宋体" w:cs="Times New Roman"/>
          <w:color w:val="auto"/>
          <w:highlight w:val="none"/>
          <w:lang w:eastAsia="zh-CN"/>
        </w:rPr>
        <w:t xml:space="preserve">乙方</w:t>
      </w:r>
      <w:r>
        <w:rPr>
          <w:rFonts w:hint="eastAsia" w:ascii="Times New Roman" w:hAnsi="Times New Roman" w:eastAsia="宋体" w:cs="Times New Roman"/>
          <w:color w:val="auto"/>
          <w:highlight w:val="none"/>
        </w:rPr>
        <w:t xml:space="preserve">应对此承担一切法律责任。</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3.3</w:t>
      </w:r>
      <w:r>
        <w:rPr>
          <w:rFonts w:hint="eastAsia" w:ascii="Times New Roman" w:hAnsi="Times New Roman" w:eastAsia="宋体" w:cs="Times New Roman"/>
          <w:color w:val="auto"/>
          <w:highlight w:val="none"/>
          <w:lang w:eastAsia="zh-CN"/>
        </w:rPr>
        <w:t xml:space="preserve">乙方</w:t>
      </w:r>
      <w:r>
        <w:rPr>
          <w:rFonts w:hint="eastAsia" w:ascii="Times New Roman" w:hAnsi="Times New Roman" w:eastAsia="宋体" w:cs="Times New Roman"/>
          <w:color w:val="auto"/>
          <w:highlight w:val="none"/>
        </w:rPr>
        <w:t xml:space="preserve">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spacing w:line="360" w:lineRule="auto"/>
        <w:rPr>
          <w:color w:val="auto"/>
          <w:highlight w:val="none"/>
        </w:rPr>
      </w:pPr>
      <w:r>
        <w:rPr>
          <w:rFonts w:hint="eastAsia" w:ascii="Times New Roman" w:hAnsi="Times New Roman" w:eastAsia="宋体" w:cs="Times New Roman"/>
          <w:color w:val="auto"/>
          <w:highlight w:val="none"/>
          <w:lang w:val="en-US" w:eastAsia="zh-CN"/>
        </w:rPr>
        <w:t xml:space="preserve">3.4</w:t>
      </w:r>
      <w:r>
        <w:rPr>
          <w:rFonts w:hint="eastAsia"/>
          <w:color w:val="auto"/>
          <w:highlight w:val="none"/>
        </w:rPr>
        <w:t xml:space="preserve">供应商提供的预包装食品中，肉制品需提供质检报告（检测内容至少包括克伦特罗、沙丁胺醇、莱克多巴胺三项；检测机构要求，有中国合格评定国家认可委员会CNAS、中国计量认证CMA或同等的国家认可认证资质的第三方检测机构</w:t>
      </w:r>
      <w:r>
        <w:rPr>
          <w:rFonts w:hint="eastAsia"/>
          <w:color w:val="auto"/>
          <w:highlight w:val="none"/>
          <w:lang w:eastAsia="zh-CN"/>
        </w:rPr>
        <w:t xml:space="preserve">。提供的水产品每个批次都要有</w:t>
      </w:r>
      <w:r>
        <w:rPr>
          <w:rFonts w:hint="eastAsia"/>
          <w:color w:val="auto"/>
          <w:highlight w:val="none"/>
        </w:rPr>
        <w:t xml:space="preserve">中国合格评定国家认可委员会CNAS、中国计量认证CMA或同等的国家认可认证资质的第三方检测机构</w:t>
      </w:r>
      <w:r>
        <w:rPr>
          <w:rFonts w:hint="eastAsia"/>
          <w:color w:val="auto"/>
          <w:highlight w:val="none"/>
          <w:lang w:val="en-US" w:eastAsia="zh-CN"/>
        </w:rPr>
        <w:t xml:space="preserve">的检测报告</w:t>
      </w:r>
      <w:r>
        <w:rPr>
          <w:rFonts w:hint="eastAsia"/>
          <w:color w:val="auto"/>
          <w:highlight w:val="none"/>
          <w:lang w:eastAsia="zh-CN"/>
        </w:rPr>
        <w:t xml:space="preserve">。</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3.5</w:t>
      </w:r>
      <w:r>
        <w:rPr>
          <w:rFonts w:hint="eastAsia" w:ascii="Times New Roman" w:hAnsi="Times New Roman" w:eastAsia="宋体" w:cs="Times New Roman"/>
          <w:color w:val="auto"/>
          <w:highlight w:val="none"/>
        </w:rPr>
        <w:t xml:space="preserve">一经发现供应以下食品，</w:t>
      </w:r>
      <w:r>
        <w:rPr>
          <w:rFonts w:hint="eastAsia" w:ascii="Times New Roman" w:hAnsi="Times New Roman" w:eastAsia="宋体" w:cs="Times New Roman"/>
          <w:color w:val="auto"/>
          <w:highlight w:val="none"/>
          <w:lang w:eastAsia="zh-CN"/>
        </w:rPr>
        <w:t xml:space="preserve">乙方</w:t>
      </w:r>
      <w:r>
        <w:rPr>
          <w:rFonts w:hint="eastAsia" w:ascii="Times New Roman" w:hAnsi="Times New Roman" w:eastAsia="宋体" w:cs="Times New Roman"/>
          <w:color w:val="auto"/>
          <w:highlight w:val="none"/>
        </w:rPr>
        <w:t xml:space="preserve">除全部退货外并没收全部履约保证金，同时还应承担由此造成的经济责任和法律责任：</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腐败变质、油脂酸败、霉变、生虫、污秽不洁、混有异物或者其他感官性状异常，对人体健康有害的；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含有毒、有害物质或者被有害物质污染，对人体健康有害的；含有严重超出标准限量的农药残留、兽药残留、重金属、污染物质以及其他危害人体健康的；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含有致病性寄生虫、微生物或者微生物含量超过国家限定标准的；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未经动物检疫部门检疫、检验或者检疫、检验不合格的肉类及其制品；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病死、毒死或者死因不明的禽、</w:t>
      </w:r>
      <w:r>
        <w:rPr>
          <w:rFonts w:hint="eastAsia" w:cs="Times New Roman"/>
          <w:color w:val="auto"/>
          <w:highlight w:val="none"/>
          <w:lang w:val="en-US" w:eastAsia="zh-CN"/>
        </w:rPr>
        <w:t xml:space="preserve">畜</w:t>
      </w:r>
      <w:r>
        <w:rPr>
          <w:rFonts w:hint="eastAsia" w:ascii="Times New Roman" w:hAnsi="Times New Roman" w:eastAsia="宋体" w:cs="Times New Roman"/>
          <w:color w:val="auto"/>
          <w:highlight w:val="none"/>
        </w:rPr>
        <w:t xml:space="preserve">、兽、水产动物等及其制品；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掺假、掺杂、伪造、影响营养、卫生的；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7</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用非食品原料加工的，加入非食品用化学物质或者将非食品当作食品的；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8</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保质期在质保期限半数以下的；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9</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非正规厂家生产的；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10</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无商标产品；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11</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含有兴奋剂等成分的。</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3.6乙方须建立覆盖食品运输、仓储、配送全流程的卫生安全管控体系：运输车辆须定期清洁消</w:t>
      </w:r>
      <w:r>
        <w:rPr>
          <w:rFonts w:hint="eastAsia" w:cs="Times New Roman"/>
          <w:color w:val="auto"/>
          <w:highlight w:val="none"/>
          <w:lang w:val="en-US" w:eastAsia="zh-CN"/>
        </w:rPr>
        <w:t xml:space="preserve">毒</w:t>
      </w:r>
      <w:r>
        <w:rPr>
          <w:rFonts w:hint="eastAsia" w:ascii="Times New Roman" w:hAnsi="Times New Roman" w:eastAsia="宋体" w:cs="Times New Roman"/>
          <w:color w:val="auto"/>
          <w:highlight w:val="none"/>
          <w:lang w:val="en-US" w:eastAsia="zh-CN"/>
        </w:rPr>
        <w:t xml:space="preserve">，符合食品运输安全标准；仓储环境</w:t>
      </w:r>
      <w:r>
        <w:rPr>
          <w:rFonts w:hint="eastAsia"/>
          <w:color w:val="auto"/>
          <w:highlight w:val="none"/>
          <w:lang w:val="en-US" w:eastAsia="zh-CN"/>
        </w:rPr>
        <w:t xml:space="preserve">及保鲜冷冻库</w:t>
      </w:r>
      <w:r>
        <w:rPr>
          <w:rFonts w:hint="eastAsia" w:ascii="Times New Roman" w:hAnsi="Times New Roman" w:eastAsia="宋体" w:cs="Times New Roman"/>
          <w:color w:val="auto"/>
          <w:highlight w:val="none"/>
          <w:lang w:val="en-US" w:eastAsia="zh-CN"/>
        </w:rPr>
        <w:t xml:space="preserve">须满足不同产品的温湿度、通风等存放要求；需低温储存的产品使用合规冷藏车运输，全程温湿度实时监控；配送环节实行专人负责制，避免无关人员接触货品。</w:t>
      </w:r>
      <w:r/>
    </w:p>
    <w:p>
      <w:pPr>
        <w:pStyle w:val="903"/>
        <w:jc w:val="left"/>
        <w:spacing w:before="3" w:line="360" w:lineRule="auto"/>
        <w:shd w:val="clear" w:color="auto" w:fill="auto"/>
        <w:widowControl w:val="off"/>
        <w:tabs>
          <w:tab w:val="left" w:pos="2961" w:leader="none"/>
        </w:tabs>
        <w:rPr>
          <w:rFonts w:asciiTheme="minorEastAsia" w:hAnsiTheme="minorEastAsia" w:eastAsiaTheme="minorEastAsia" w:cstheme="minorEastAsia"/>
          <w:color w:val="auto"/>
          <w:sz w:val="21"/>
          <w:szCs w:val="21"/>
          <w:highlight w:val="none"/>
        </w:rPr>
      </w:pPr>
      <w:r>
        <w:rPr>
          <w:rFonts w:hint="eastAsia"/>
          <w:color w:val="auto"/>
          <w:sz w:val="21"/>
          <w:szCs w:val="24"/>
          <w:highlight w:val="none"/>
        </w:rPr>
        <w:t xml:space="preserve">第四条 合同</w:t>
      </w:r>
      <w:bookmarkEnd w:id="30"/>
      <w:r>
        <w:rPr>
          <w:rFonts w:hint="eastAsia"/>
          <w:color w:val="auto"/>
          <w:sz w:val="21"/>
          <w:szCs w:val="24"/>
          <w:highlight w:val="none"/>
        </w:rPr>
        <w:t xml:space="preserve">有效</w:t>
      </w:r>
      <w:r>
        <w:rPr>
          <w:rFonts w:hint="eastAsia" w:asciiTheme="minorEastAsia" w:hAnsiTheme="minorEastAsia" w:eastAsiaTheme="minorEastAsia" w:cstheme="minorEastAsia"/>
          <w:color w:val="auto"/>
          <w:sz w:val="21"/>
          <w:szCs w:val="21"/>
          <w:highlight w:val="none"/>
        </w:rPr>
        <w:t xml:space="preserve">期</w:t>
      </w:r>
      <w:r/>
    </w:p>
    <w:p>
      <w:pPr>
        <w:pStyle w:val="919"/>
        <w:ind w:firstLine="420"/>
        <w:jc w:val="left"/>
        <w:spacing w:line="360" w:lineRule="auto"/>
        <w:rPr>
          <w:rFonts w:hint="eastAsia" w:ascii="Times New Roman" w:hAnsi="Times New Roman" w:eastAsia="宋体" w:cs="Times New Roman"/>
          <w:b w:val="0"/>
          <w:bCs w:val="0"/>
          <w:color w:val="auto"/>
          <w:sz w:val="21"/>
          <w:szCs w:val="24"/>
          <w:highlight w:val="none"/>
          <w:lang w:val="en-US" w:eastAsia="zh-CN" w:bidi="ar-SA"/>
        </w:rPr>
      </w:pPr>
      <w:r>
        <w:rPr>
          <w:rFonts w:hint="eastAsia" w:ascii="Times New Roman" w:hAnsi="Times New Roman" w:eastAsia="宋体" w:cs="Times New Roman"/>
          <w:b w:val="0"/>
          <w:bCs w:val="0"/>
          <w:color w:val="auto"/>
          <w:sz w:val="21"/>
          <w:szCs w:val="24"/>
          <w:highlight w:val="none"/>
          <w:lang w:val="en-US" w:eastAsia="zh-CN" w:bidi="ar-SA"/>
        </w:rPr>
        <w:t xml:space="preserve">乙方应当自中标通知书发出之日起三十日内，按照招标文件和乙方投标文件的约定与甲方签订采购合同，合同有效期为24个月 ，自  年  月  日至  年  月  日。框架合同金额执行完毕</w:t>
      </w:r>
      <w:r>
        <w:rPr>
          <w:rFonts w:hint="eastAsia" w:eastAsia="宋体" w:cs="Times New Roman"/>
          <w:b w:val="0"/>
          <w:bCs w:val="0"/>
          <w:color w:val="auto"/>
          <w:sz w:val="21"/>
          <w:szCs w:val="24"/>
          <w:highlight w:val="none"/>
          <w:lang w:val="en-US" w:eastAsia="zh-CN" w:bidi="ar-SA"/>
        </w:rPr>
        <w:t xml:space="preserve">或</w:t>
      </w:r>
      <w:r>
        <w:rPr>
          <w:rFonts w:hint="eastAsia" w:ascii="Times New Roman" w:hAnsi="Times New Roman" w:eastAsia="宋体" w:cs="Times New Roman"/>
          <w:b w:val="0"/>
          <w:bCs w:val="0"/>
          <w:color w:val="auto"/>
          <w:sz w:val="21"/>
          <w:szCs w:val="24"/>
          <w:highlight w:val="none"/>
          <w:lang w:val="en-US" w:eastAsia="zh-CN" w:bidi="ar-SA"/>
        </w:rPr>
        <w:t xml:space="preserve">合同期到期，合同即终止。所签订的合同不得对招标文件和乙方投标文件作实质性修改。</w:t>
      </w:r>
      <w:bookmarkStart w:id="31" w:name="_Toc17284_WPSOffice_Level2"/>
      <w:r/>
      <w:r/>
    </w:p>
    <w:p>
      <w:pPr>
        <w:pStyle w:val="903"/>
        <w:jc w:val="left"/>
        <w:spacing w:before="3" w:line="360" w:lineRule="auto"/>
        <w:widowControl w:val="off"/>
        <w:tabs>
          <w:tab w:val="left" w:pos="2961"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第五条 供货时间与要求</w:t>
      </w:r>
      <w:bookmarkEnd w:id="31"/>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5.1甲方提早20天下达采购计划，以书面方式（含电子邮件、微信、短信）通知乙方送货，乙方根据采购计划及配送时间将货物送至甲方指定地点。乙方如送货迟到超过60分钟，可扣罚当天总货款的30%。若超过时间120分钟，可扣罚当天总货款的50%，且甲方有权立即解除合同。</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5.2原则上，每次甲方在规定的时间内集中收货、验收一次，乙方不允许分包给多家供应商及多次送货，否则视为乙方违约，甲方有权解除合同。</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5.3乙方根据甲方计划要求，将货物送达训练场馆及公寓，所有人员必须服从管理，按规定时间内下货完毕、将货物堆放整齐； 如在规定时间内未完成，超过2小时以上，甲方有权立即终止合同。</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5.4乙方应具有良好的本地仓储能力、应急能力，不得以法定节假日等理由，不满足甲方下达的采购计划，否则甲方有权立即终止合同并没收履约保证金。</w:t>
      </w:r>
      <w:r/>
    </w:p>
    <w:p>
      <w:pPr>
        <w:pStyle w:val="903"/>
        <w:jc w:val="left"/>
        <w:spacing w:before="3" w:line="360" w:lineRule="auto"/>
        <w:widowControl w:val="off"/>
        <w:tabs>
          <w:tab w:val="left" w:pos="2961" w:leader="none"/>
        </w:tabs>
        <w:rPr>
          <w:rFonts w:asciiTheme="minorEastAsia" w:hAnsiTheme="minorEastAsia" w:eastAsiaTheme="minorEastAsia" w:cstheme="minorEastAsia"/>
          <w:color w:val="auto"/>
          <w:sz w:val="21"/>
          <w:szCs w:val="21"/>
          <w:highlight w:val="none"/>
        </w:rPr>
      </w:pPr>
      <w:r/>
      <w:bookmarkStart w:id="32" w:name="_Toc28813_WPSOffice_Level2"/>
      <w:r>
        <w:rPr>
          <w:rFonts w:hint="eastAsia" w:asciiTheme="minorEastAsia" w:hAnsiTheme="minorEastAsia" w:eastAsiaTheme="minorEastAsia" w:cstheme="minorEastAsia"/>
          <w:color w:val="auto"/>
          <w:sz w:val="21"/>
          <w:szCs w:val="21"/>
          <w:highlight w:val="none"/>
        </w:rPr>
        <w:t xml:space="preserve">第六条 质量要求</w:t>
      </w:r>
      <w:bookmarkEnd w:id="32"/>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6.1 乙方</w:t>
      </w:r>
      <w:r>
        <w:rPr>
          <w:rFonts w:hint="eastAsia"/>
          <w:color w:val="auto"/>
          <w:highlight w:val="none"/>
        </w:rPr>
        <w:t xml:space="preserve">应保证所提供的标的物是全新的、未使用过的，完全符合合同规定的质量、规格和性能的要求，并且是非长期积压的库存商品，</w:t>
      </w:r>
      <w:r>
        <w:rPr>
          <w:rFonts w:hint="eastAsia" w:ascii="Times New Roman" w:hAnsi="Times New Roman" w:eastAsia="宋体" w:cs="Times New Roman"/>
          <w:color w:val="auto"/>
          <w:highlight w:val="none"/>
        </w:rPr>
        <w:t xml:space="preserve">乙方</w:t>
      </w:r>
      <w:r>
        <w:rPr>
          <w:rFonts w:hint="eastAsia"/>
          <w:color w:val="auto"/>
          <w:highlight w:val="none"/>
        </w:rPr>
        <w:t xml:space="preserve">所供产品，到货当日剩余质保时长应不低于产品全程质保周期的2/3，不满足该质保年限比例要求的，</w:t>
      </w:r>
      <w:r>
        <w:rPr>
          <w:rFonts w:hint="eastAsia" w:ascii="Times New Roman" w:hAnsi="Times New Roman" w:eastAsia="宋体" w:cs="Times New Roman"/>
          <w:color w:val="auto"/>
          <w:highlight w:val="none"/>
        </w:rPr>
        <w:t xml:space="preserve">甲方</w:t>
      </w:r>
      <w:r>
        <w:rPr>
          <w:rFonts w:hint="eastAsia"/>
          <w:color w:val="auto"/>
          <w:highlight w:val="none"/>
        </w:rPr>
        <w:t xml:space="preserve">有权拒收。</w:t>
      </w:r>
      <w:r>
        <w:rPr>
          <w:rFonts w:hint="eastAsia" w:ascii="Times New Roman" w:hAnsi="Times New Roman" w:eastAsia="宋体" w:cs="Times New Roman"/>
          <w:color w:val="auto"/>
          <w:highlight w:val="none"/>
        </w:rPr>
        <w:t xml:space="preserve">乙方</w:t>
      </w:r>
      <w:r>
        <w:rPr>
          <w:rFonts w:hint="eastAsia"/>
          <w:color w:val="auto"/>
          <w:highlight w:val="none"/>
        </w:rPr>
        <w:t xml:space="preserve">应保证其提供的标的物在正确安装、正常使用和保养条件下，在其标称的使用寿命期内应具有满意的性能</w:t>
      </w:r>
      <w:r>
        <w:rPr>
          <w:rFonts w:hint="eastAsia"/>
          <w:color w:val="auto"/>
          <w:highlight w:val="none"/>
          <w:lang w:eastAsia="zh-CN"/>
        </w:rPr>
        <w:t xml:space="preserve">，生鲜水果、冰鲜及冷冻水产到货验收：剩余保质/保鲜期须在总周期三分之二以上，外观品质完好、无腐烂、无异味、无变质，不达标准予以拒收退货</w:t>
      </w:r>
      <w:r>
        <w:rPr>
          <w:rFonts w:hint="eastAsia"/>
          <w:color w:val="auto"/>
          <w:highlight w:val="none"/>
        </w:rPr>
        <w:t xml:space="preserve">。在</w:t>
      </w:r>
      <w:r>
        <w:rPr>
          <w:rFonts w:hint="eastAsia" w:ascii="Times New Roman" w:hAnsi="Times New Roman" w:eastAsia="宋体" w:cs="Times New Roman"/>
          <w:color w:val="auto"/>
          <w:highlight w:val="none"/>
        </w:rPr>
        <w:t xml:space="preserve">乙方</w:t>
      </w:r>
      <w:r>
        <w:rPr>
          <w:rFonts w:hint="eastAsia"/>
          <w:color w:val="auto"/>
          <w:highlight w:val="none"/>
        </w:rPr>
        <w:t xml:space="preserve">承诺的质量保证期限内，</w:t>
      </w:r>
      <w:r>
        <w:rPr>
          <w:rFonts w:hint="eastAsia" w:ascii="Times New Roman" w:hAnsi="Times New Roman" w:eastAsia="宋体" w:cs="Times New Roman"/>
          <w:color w:val="auto"/>
          <w:highlight w:val="none"/>
        </w:rPr>
        <w:t xml:space="preserve">乙方</w:t>
      </w:r>
      <w:r>
        <w:rPr>
          <w:rFonts w:hint="eastAsia"/>
          <w:color w:val="auto"/>
          <w:highlight w:val="none"/>
        </w:rPr>
        <w:t xml:space="preserve">应对由于设计、工艺或材料的缺陷及伴随服务而造成的任何不足或故障负责。标的物质量出现问题，</w:t>
      </w:r>
      <w:r>
        <w:rPr>
          <w:rFonts w:hint="eastAsia" w:ascii="Times New Roman" w:hAnsi="Times New Roman" w:eastAsia="宋体" w:cs="Times New Roman"/>
          <w:color w:val="auto"/>
          <w:highlight w:val="none"/>
        </w:rPr>
        <w:t xml:space="preserve">乙方</w:t>
      </w:r>
      <w:r>
        <w:rPr>
          <w:rFonts w:hint="eastAsia"/>
          <w:color w:val="auto"/>
          <w:highlight w:val="none"/>
        </w:rPr>
        <w:t xml:space="preserve">应负责包修、包退、包换，费用由</w:t>
      </w:r>
      <w:r>
        <w:rPr>
          <w:rFonts w:hint="eastAsia" w:ascii="Times New Roman" w:hAnsi="Times New Roman" w:eastAsia="宋体" w:cs="Times New Roman"/>
          <w:color w:val="auto"/>
          <w:highlight w:val="none"/>
        </w:rPr>
        <w:t xml:space="preserve">乙方</w:t>
      </w:r>
      <w:r>
        <w:rPr>
          <w:rFonts w:hint="eastAsia"/>
          <w:color w:val="auto"/>
          <w:highlight w:val="none"/>
        </w:rPr>
        <w:t xml:space="preserve">承担。</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firstLine="218"/>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6.3除特别约定外，合同条款成交的物的质量保证期均自标的物通过最终验收之日起计算。</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6.4乙方所提供货物必须符合国家卫生安全标准，有正规质检报告或检疫证明。所有食品必须符合食品卫生安全法要求。</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6.5乙方对其所提供商品和服务，做到有源可溯，如发生食品安全事故、兴奋剂事故，所产生的所有损失和费用由乙方承担并没收履约保证金。</w:t>
      </w:r>
      <w:r/>
    </w:p>
    <w:p>
      <w:pPr>
        <w:pStyle w:val="903"/>
        <w:jc w:val="left"/>
        <w:spacing w:before="3" w:line="360" w:lineRule="auto"/>
        <w:widowControl w:val="off"/>
        <w:tabs>
          <w:tab w:val="left" w:pos="2961" w:leader="none"/>
        </w:tabs>
        <w:rPr>
          <w:rFonts w:asciiTheme="minorEastAsia" w:hAnsiTheme="minorEastAsia" w:eastAsiaTheme="minorEastAsia" w:cstheme="minorEastAsia"/>
          <w:color w:val="auto"/>
          <w:sz w:val="21"/>
          <w:szCs w:val="21"/>
          <w:highlight w:val="none"/>
        </w:rPr>
      </w:pPr>
      <w:r/>
      <w:bookmarkStart w:id="33" w:name="_Toc29685_WPSOffice_Level2"/>
      <w:r>
        <w:rPr>
          <w:rFonts w:hint="eastAsia" w:asciiTheme="minorEastAsia" w:hAnsiTheme="minorEastAsia" w:eastAsiaTheme="minorEastAsia" w:cstheme="minorEastAsia"/>
          <w:color w:val="auto"/>
          <w:sz w:val="21"/>
          <w:szCs w:val="21"/>
          <w:highlight w:val="none"/>
        </w:rPr>
        <w:t xml:space="preserve">第七条 包装方式</w:t>
      </w:r>
      <w:bookmarkEnd w:id="33"/>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r/>
    </w:p>
    <w:p>
      <w:pPr>
        <w:pStyle w:val="903"/>
        <w:jc w:val="left"/>
        <w:spacing w:before="3" w:line="360" w:lineRule="auto"/>
        <w:widowControl w:val="off"/>
        <w:tabs>
          <w:tab w:val="left" w:pos="2961" w:leader="none"/>
        </w:tabs>
        <w:rPr>
          <w:rFonts w:asciiTheme="minorEastAsia" w:hAnsiTheme="minorEastAsia" w:eastAsiaTheme="minorEastAsia" w:cstheme="minorEastAsia"/>
          <w:color w:val="auto"/>
          <w:sz w:val="21"/>
          <w:szCs w:val="21"/>
          <w:highlight w:val="none"/>
        </w:rPr>
      </w:pPr>
      <w:r/>
      <w:bookmarkStart w:id="34" w:name="_Toc21733_WPSOffice_Level2"/>
      <w:r>
        <w:rPr>
          <w:rFonts w:hint="eastAsia" w:asciiTheme="minorEastAsia" w:hAnsiTheme="minorEastAsia" w:eastAsiaTheme="minorEastAsia" w:cstheme="minorEastAsia"/>
          <w:color w:val="auto"/>
          <w:sz w:val="21"/>
          <w:szCs w:val="21"/>
          <w:highlight w:val="none"/>
        </w:rPr>
        <w:t xml:space="preserve">第八条 支付方式</w:t>
      </w:r>
      <w:bookmarkEnd w:id="34"/>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8.1本合同以人民币付款。</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8.2 采购货款按送货批次结算，结算时乙方需提供全部结算清单与供货发票，不得延误，因延误导致的结算延期后果自负。</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8.3甲方根据实际需要下达采购计划，据实结算。</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8.4乙方应按照与甲方签订的合同规定交货。交货结算时乙方应向甲方提供下列单据：</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①乙方的送货清单；保证数量的准确性，以甲方的验货数量为准，乙方每次随货送上一式三份的送货清单，甲方验货后签字确认，作为结算的凭据。 </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②甲方或其委托的第三方验货人员签字的验收单；</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③加盖乙方公章的报价表；</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④甲方认可的合规发票。</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8.5投标报价应包括</w:t>
      </w:r>
      <w:r>
        <w:rPr>
          <w:rFonts w:hint="eastAsia" w:ascii="Times New Roman" w:hAnsi="Times New Roman" w:eastAsia="宋体" w:cs="Times New Roman"/>
          <w:color w:val="auto"/>
          <w:highlight w:val="none"/>
          <w:lang w:val="en-US" w:eastAsia="zh-CN"/>
        </w:rPr>
        <w:t xml:space="preserve">乙方</w:t>
      </w:r>
      <w:r>
        <w:rPr>
          <w:rFonts w:hint="eastAsia" w:ascii="Times New Roman" w:hAnsi="Times New Roman" w:eastAsia="宋体" w:cs="Times New Roman"/>
          <w:color w:val="auto"/>
          <w:highlight w:val="none"/>
        </w:rPr>
        <w:t xml:space="preserve">将货物运送至</w:t>
      </w:r>
      <w:r>
        <w:rPr>
          <w:rFonts w:hint="eastAsia" w:ascii="Times New Roman" w:hAnsi="Times New Roman" w:eastAsia="宋体" w:cs="Times New Roman"/>
          <w:color w:val="auto"/>
          <w:highlight w:val="none"/>
          <w:lang w:val="en-US" w:eastAsia="zh-CN"/>
        </w:rPr>
        <w:t xml:space="preserve">甲方</w:t>
      </w:r>
      <w:r>
        <w:rPr>
          <w:rFonts w:hint="eastAsia" w:ascii="Times New Roman" w:hAnsi="Times New Roman" w:eastAsia="宋体" w:cs="Times New Roman"/>
          <w:color w:val="auto"/>
          <w:highlight w:val="none"/>
        </w:rPr>
        <w:t xml:space="preserve">指定交货地点的所有费用，包括但不限于货物成本、利润、税金、运输费、保险费等及相关服务费用。投标报价要求明折明扣，即各项优惠均应在报价中体现，不接受实物或非实物性的反馈折让。</w:t>
      </w:r>
      <w:r/>
    </w:p>
    <w:p>
      <w:pPr>
        <w:ind w:firstLine="420"/>
        <w:spacing w:line="360"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 xml:space="preserve">8.6采购价格：甲方以京东网上自营商品价格为基准。京东网上自营商品未公布的食材价格，以大型仓储超市商品价格为基准。如上述商品价格都没有，可以参照天猫、每日优鲜等网站同等品质及规格的商品价格为依据，采购价格为基准价格×（1-</w:t>
      </w:r>
      <w:r>
        <w:rPr>
          <w:rFonts w:hint="eastAsia" w:cs="Times New Roman"/>
          <w:color w:val="auto"/>
          <w:highlight w:val="none"/>
          <w:lang w:eastAsia="zh-CN"/>
        </w:rPr>
        <w:t xml:space="preserve">优惠率</w:t>
      </w:r>
      <w:r>
        <w:rPr>
          <w:rFonts w:hint="eastAsia" w:ascii="Times New Roman" w:hAnsi="Times New Roman" w:eastAsia="宋体" w:cs="Times New Roman"/>
          <w:color w:val="auto"/>
          <w:highlight w:val="none"/>
        </w:rPr>
        <w:t xml:space="preserve">）。甲方在采购计划下达前3天要求乙方进行一次供货报价，报价表加盖乙方公章。如三次及三次以上不能响应甲方要求，则视为乙方达不到供货响应能力，甲方有权解除合同。乙方与甲方核对送货清单（如遇假期等特殊情况，以甲方电话、微信通知为准），经确认无误后开具完税开票，乙方对发票的真实性负全部责任。所称价格均为含税价。首次发现</w:t>
      </w:r>
      <w:r>
        <w:rPr>
          <w:rFonts w:hint="eastAsia"/>
          <w:color w:val="auto"/>
          <w:highlight w:val="none"/>
          <w:lang w:eastAsia="zh-CN"/>
        </w:rPr>
        <w:t xml:space="preserve">乙方</w:t>
      </w:r>
      <w:r>
        <w:rPr>
          <w:rFonts w:hint="eastAsia" w:ascii="Times New Roman" w:hAnsi="Times New Roman" w:eastAsia="宋体" w:cs="Times New Roman"/>
          <w:color w:val="auto"/>
          <w:highlight w:val="none"/>
        </w:rPr>
        <w:t xml:space="preserve">存在供货报价虚报情形的，</w:t>
      </w:r>
      <w:r>
        <w:rPr>
          <w:rFonts w:hint="eastAsia" w:cs="Times New Roman"/>
          <w:color w:val="auto"/>
          <w:highlight w:val="none"/>
          <w:lang w:eastAsia="zh-CN"/>
        </w:rPr>
        <w:t xml:space="preserve">甲方</w:t>
      </w:r>
      <w:r>
        <w:rPr>
          <w:rFonts w:hint="eastAsia" w:ascii="Times New Roman" w:hAnsi="Times New Roman" w:eastAsia="宋体" w:cs="Times New Roman"/>
          <w:color w:val="auto"/>
          <w:highlight w:val="none"/>
        </w:rPr>
        <w:t xml:space="preserve">将向</w:t>
      </w:r>
      <w:r>
        <w:rPr>
          <w:rFonts w:hint="eastAsia"/>
          <w:color w:val="auto"/>
          <w:highlight w:val="none"/>
          <w:lang w:eastAsia="zh-CN"/>
        </w:rPr>
        <w:t xml:space="preserve">乙方</w:t>
      </w:r>
      <w:r>
        <w:rPr>
          <w:rFonts w:hint="eastAsia" w:ascii="Times New Roman" w:hAnsi="Times New Roman" w:eastAsia="宋体" w:cs="Times New Roman"/>
          <w:color w:val="auto"/>
          <w:highlight w:val="none"/>
        </w:rPr>
        <w:t xml:space="preserve">出具书面警告及价格纠正整改通知。</w:t>
      </w:r>
      <w:r>
        <w:rPr>
          <w:rFonts w:hint="eastAsia"/>
          <w:color w:val="auto"/>
          <w:highlight w:val="none"/>
          <w:lang w:val="en-US" w:eastAsia="zh-CN"/>
        </w:rPr>
        <w:t xml:space="preserve">第二次</w:t>
      </w:r>
      <w:r>
        <w:rPr>
          <w:rFonts w:hint="eastAsia" w:ascii="Times New Roman" w:hAnsi="Times New Roman" w:eastAsia="宋体" w:cs="Times New Roman"/>
          <w:color w:val="auto"/>
          <w:highlight w:val="none"/>
        </w:rPr>
        <w:t xml:space="preserve">发现供货报价虚报情形的，</w:t>
      </w:r>
      <w:r>
        <w:rPr>
          <w:rFonts w:hint="eastAsia" w:cs="Times New Roman"/>
          <w:color w:val="auto"/>
          <w:highlight w:val="none"/>
          <w:lang w:eastAsia="zh-CN"/>
        </w:rPr>
        <w:t xml:space="preserve">甲方</w:t>
      </w:r>
      <w:r>
        <w:rPr>
          <w:rFonts w:hint="eastAsia" w:cs="Times New Roman"/>
          <w:color w:val="auto"/>
          <w:highlight w:val="none"/>
          <w:lang w:val="en-US" w:eastAsia="zh-CN"/>
        </w:rPr>
        <w:t xml:space="preserve">除</w:t>
      </w:r>
      <w:r>
        <w:rPr>
          <w:rFonts w:hint="eastAsia" w:ascii="Times New Roman" w:hAnsi="Times New Roman" w:eastAsia="宋体" w:cs="Times New Roman"/>
          <w:color w:val="auto"/>
          <w:highlight w:val="none"/>
        </w:rPr>
        <w:t xml:space="preserve">出具书面警告及价格纠正整改通知</w:t>
      </w:r>
      <w:r>
        <w:rPr>
          <w:rFonts w:hint="eastAsia" w:cs="Times New Roman"/>
          <w:color w:val="auto"/>
          <w:highlight w:val="none"/>
          <w:lang w:val="en-US" w:eastAsia="zh-CN"/>
        </w:rPr>
        <w:t xml:space="preserve">外，</w:t>
      </w:r>
      <w:r>
        <w:rPr>
          <w:rFonts w:hint="eastAsia" w:ascii="Times New Roman" w:hAnsi="Times New Roman" w:eastAsia="宋体" w:cs="Times New Roman"/>
          <w:color w:val="auto"/>
          <w:highlight w:val="none"/>
        </w:rPr>
        <w:t xml:space="preserve">有权对</w:t>
      </w:r>
      <w:r>
        <w:rPr>
          <w:rFonts w:hint="eastAsia"/>
          <w:color w:val="auto"/>
          <w:highlight w:val="none"/>
          <w:lang w:eastAsia="zh-CN"/>
        </w:rPr>
        <w:t xml:space="preserve">乙方</w:t>
      </w:r>
      <w:r>
        <w:rPr>
          <w:rFonts w:hint="eastAsia" w:ascii="Times New Roman" w:hAnsi="Times New Roman" w:eastAsia="宋体" w:cs="Times New Roman"/>
          <w:color w:val="auto"/>
          <w:highlight w:val="none"/>
        </w:rPr>
        <w:t xml:space="preserve">当次供货总货款的10%予以扣罚，扣罚金额将从当次应付货款中直接抵扣。第三次发现供货报价虚报情形，视为</w:t>
      </w:r>
      <w:r>
        <w:rPr>
          <w:rFonts w:hint="eastAsia"/>
          <w:color w:val="auto"/>
          <w:highlight w:val="none"/>
          <w:lang w:eastAsia="zh-CN"/>
        </w:rPr>
        <w:t xml:space="preserve">乙方</w:t>
      </w:r>
      <w:r>
        <w:rPr>
          <w:rFonts w:hint="eastAsia" w:ascii="Times New Roman" w:hAnsi="Times New Roman" w:eastAsia="宋体" w:cs="Times New Roman"/>
          <w:color w:val="auto"/>
          <w:highlight w:val="none"/>
        </w:rPr>
        <w:t xml:space="preserve">严重违约，</w:t>
      </w:r>
      <w:r>
        <w:rPr>
          <w:rFonts w:hint="eastAsia" w:cs="Times New Roman"/>
          <w:color w:val="auto"/>
          <w:highlight w:val="none"/>
          <w:lang w:eastAsia="zh-CN"/>
        </w:rPr>
        <w:t xml:space="preserve">甲方</w:t>
      </w:r>
      <w:r>
        <w:rPr>
          <w:rFonts w:hint="eastAsia" w:ascii="Times New Roman" w:hAnsi="Times New Roman" w:eastAsia="宋体" w:cs="Times New Roman"/>
          <w:color w:val="auto"/>
          <w:highlight w:val="none"/>
        </w:rPr>
        <w:t xml:space="preserve">有权立即解除双方签订的采购合同，同时追究</w:t>
      </w:r>
      <w:r>
        <w:rPr>
          <w:rFonts w:hint="eastAsia"/>
          <w:color w:val="auto"/>
          <w:highlight w:val="none"/>
          <w:lang w:eastAsia="zh-CN"/>
        </w:rPr>
        <w:t xml:space="preserve">乙方</w:t>
      </w:r>
      <w:r>
        <w:rPr>
          <w:rFonts w:hint="eastAsia" w:ascii="Times New Roman" w:hAnsi="Times New Roman" w:eastAsia="宋体" w:cs="Times New Roman"/>
          <w:color w:val="auto"/>
          <w:highlight w:val="none"/>
        </w:rPr>
        <w:t xml:space="preserve">的违约责任，由此给</w:t>
      </w:r>
      <w:r>
        <w:rPr>
          <w:rFonts w:hint="eastAsia" w:cs="Times New Roman"/>
          <w:color w:val="auto"/>
          <w:highlight w:val="none"/>
          <w:lang w:eastAsia="zh-CN"/>
        </w:rPr>
        <w:t xml:space="preserve">甲方</w:t>
      </w:r>
      <w:r>
        <w:rPr>
          <w:rFonts w:hint="eastAsia" w:ascii="Times New Roman" w:hAnsi="Times New Roman" w:eastAsia="宋体" w:cs="Times New Roman"/>
          <w:color w:val="auto"/>
          <w:highlight w:val="none"/>
        </w:rPr>
        <w:t xml:space="preserve">造成的损失，由</w:t>
      </w:r>
      <w:r>
        <w:rPr>
          <w:rFonts w:hint="eastAsia"/>
          <w:color w:val="auto"/>
          <w:highlight w:val="none"/>
          <w:lang w:eastAsia="zh-CN"/>
        </w:rPr>
        <w:t xml:space="preserve">乙方</w:t>
      </w:r>
      <w:r>
        <w:rPr>
          <w:rFonts w:hint="eastAsia" w:ascii="Times New Roman" w:hAnsi="Times New Roman" w:eastAsia="宋体" w:cs="Times New Roman"/>
          <w:color w:val="auto"/>
          <w:highlight w:val="none"/>
        </w:rPr>
        <w:t xml:space="preserve">全额承担。</w:t>
      </w:r>
      <w:r/>
    </w:p>
    <w:p>
      <w:pPr>
        <w:pStyle w:val="903"/>
        <w:numPr>
          <w:ilvl w:val="2"/>
          <w:numId w:val="0"/>
        </w:numPr>
        <w:jc w:val="left"/>
        <w:spacing w:before="3" w:line="360" w:lineRule="auto"/>
        <w:widowControl w:val="off"/>
        <w:tabs>
          <w:tab w:val="left" w:pos="2961" w:leader="none"/>
        </w:tabs>
        <w:rPr>
          <w:rFonts w:asciiTheme="minorEastAsia" w:hAnsiTheme="minorEastAsia" w:eastAsiaTheme="minorEastAsia" w:cstheme="minorEastAsia"/>
          <w:color w:val="auto"/>
          <w:sz w:val="21"/>
          <w:szCs w:val="21"/>
          <w:highlight w:val="none"/>
        </w:rPr>
      </w:pPr>
      <w:r/>
      <w:bookmarkStart w:id="35" w:name="_Toc4239_WPSOffice_Level2"/>
      <w:r>
        <w:rPr>
          <w:rFonts w:hint="eastAsia" w:asciiTheme="minorEastAsia" w:hAnsiTheme="minorEastAsia" w:eastAsiaTheme="minorEastAsia" w:cstheme="minorEastAsia"/>
          <w:color w:val="auto"/>
          <w:sz w:val="21"/>
          <w:szCs w:val="21"/>
          <w:highlight w:val="none"/>
        </w:rPr>
        <w:t xml:space="preserve">第九条 伴随服务</w:t>
      </w:r>
      <w:bookmarkEnd w:id="35"/>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9.1 乙方应按照国家有关规定和合同中所附的服务承诺提供服务。</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9.2乙方货品不符合甲方要求时，乙方负责主动上门调换或收回退回的货品。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9.3 伴随服务的费用应含在合同价中，不单独进行支付。</w:t>
      </w:r>
      <w:r/>
    </w:p>
    <w:p>
      <w:pPr>
        <w:pStyle w:val="903"/>
        <w:numPr>
          <w:ilvl w:val="2"/>
          <w:numId w:val="0"/>
        </w:numPr>
        <w:jc w:val="left"/>
        <w:spacing w:before="3" w:line="360" w:lineRule="auto"/>
        <w:widowControl w:val="off"/>
        <w:tabs>
          <w:tab w:val="left" w:pos="2961" w:leader="none"/>
        </w:tabs>
        <w:rPr>
          <w:rFonts w:asciiTheme="minorEastAsia" w:hAnsiTheme="minorEastAsia" w:eastAsiaTheme="minorEastAsia" w:cstheme="minorEastAsia"/>
          <w:color w:val="auto"/>
          <w:sz w:val="21"/>
          <w:szCs w:val="21"/>
          <w:highlight w:val="none"/>
        </w:rPr>
      </w:pPr>
      <w:r/>
      <w:bookmarkStart w:id="36" w:name="_Toc8785_WPSOffice_Level2"/>
      <w:r>
        <w:rPr>
          <w:rFonts w:hint="eastAsia" w:asciiTheme="minorEastAsia" w:hAnsiTheme="minorEastAsia" w:eastAsiaTheme="minorEastAsia" w:cstheme="minorEastAsia"/>
          <w:color w:val="auto"/>
          <w:sz w:val="21"/>
          <w:szCs w:val="21"/>
          <w:highlight w:val="none"/>
        </w:rPr>
        <w:t xml:space="preserve">第十条 反兴奋剂义务</w:t>
      </w:r>
      <w:bookmarkEnd w:id="36"/>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10.1乙方须严格遵守《反兴奋剂条例》的有关规定。</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10.2乙方严格执行采购协议和供货合同所规定的有关反兴奋剂工作的条款。</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10.3乙方接受甲方指定的国家兴奋剂检测研究中心为营养食品禁用物质成分的检测单位，世界反兴奋剂机构当年公布的《禁用药物清单》为检测标准。</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10.4向甲方提供与“不含违禁物质成分的兴奋剂检测报告”相同批号中标产品。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10.5乙方不向甲方提供、试用或免费食用非中标产品。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10.6在合同有效期内不变更中标产品的名称、规格、物理形态、配方、加工工艺、主要营养（功效）成分含量等。</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10.7变更中标产品的生产批号（保质期）时，重新送检违禁成分，并向甲方提供与“不含违禁物质成分的兴奋剂检测报告”相同批号中标产品。</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10.8提供的中标产品的相关检测报告或证件（书）有效期失效前30天，重新办理相应检测手续并提供相应的检测报告等。遇国家政策、法律法规及国家标准变更等情形，成交人应在规定时间内修订、变更其证书或检测报告。逾期不办理的，按照相关规定取消该中标产品的入围资格。</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10.9上述条款中所涉及的相关检测费用由乙方负担。</w:t>
      </w:r>
      <w:r/>
    </w:p>
    <w:p>
      <w:pPr>
        <w:pStyle w:val="970"/>
        <w:ind w:firstLine="0"/>
        <w:spacing w:line="360" w:lineRule="auto"/>
        <w:rPr>
          <w:rFonts w:asciiTheme="minorEastAsia" w:hAnsiTheme="minorEastAsia" w:eastAsiaTheme="minorEastAsia" w:cstheme="minorEastAsia"/>
          <w:b/>
          <w:bCs/>
          <w:color w:val="auto"/>
          <w:szCs w:val="21"/>
          <w:highlight w:val="none"/>
        </w:rPr>
      </w:pPr>
      <w:r/>
      <w:bookmarkStart w:id="37" w:name="_Toc15930_WPSOffice_Level2"/>
      <w:r>
        <w:rPr>
          <w:rFonts w:hint="eastAsia" w:asciiTheme="minorEastAsia" w:hAnsiTheme="minorEastAsia" w:eastAsiaTheme="minorEastAsia" w:cstheme="minorEastAsia"/>
          <w:b/>
          <w:bCs/>
          <w:color w:val="auto"/>
          <w:szCs w:val="21"/>
          <w:highlight w:val="none"/>
        </w:rPr>
        <w:t xml:space="preserve">第十一条 检验</w:t>
      </w:r>
      <w:bookmarkEnd w:id="37"/>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11.1 在发货前，乙方应对货物的质量、规格、数量和重量等进行准确而全面的检验，并出具一份证明货物符合合同规定的检疫或质检合格证明。该证明将作为提交付款单据的一部分，但有关质量、规格、性能、数量或重量的检验不应视为最终检验。乙方检验的结果和细节应附在检验证书后面。</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11.2 甲方将在乙方货物到货后立即组织验收，如果货物的质量和规格与甲方要求不符，或在质量保证期内发现货物是有缺陷的，包括潜在缺陷或使用不符合要求的材料，同时所提供产品的保质期应符合第6.1款的约定，否则甲方有权立即终止合同，乙方损失自行承担。</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11.3检测机构要求：乙方提供第三方检测报告必须符合有中国合格评定国家认可委员会（CNAS）或中国计量认证（CMA）或同等的国家认可、认证资质的第三方检测机构检测的标准。</w:t>
      </w:r>
      <w:r/>
    </w:p>
    <w:p>
      <w:pPr>
        <w:pStyle w:val="970"/>
        <w:ind w:firstLine="0"/>
        <w:spacing w:line="360" w:lineRule="auto"/>
        <w:rPr>
          <w:rFonts w:asciiTheme="minorEastAsia" w:hAnsiTheme="minorEastAsia" w:eastAsiaTheme="minorEastAsia" w:cstheme="minorEastAsia"/>
          <w:b/>
          <w:bCs/>
          <w:color w:val="auto"/>
          <w:szCs w:val="21"/>
          <w:highlight w:val="none"/>
        </w:rPr>
      </w:pPr>
      <w:r/>
      <w:bookmarkStart w:id="38" w:name="_Toc22696_WPSOffice_Level2"/>
      <w:r>
        <w:rPr>
          <w:rFonts w:hint="eastAsia" w:asciiTheme="minorEastAsia" w:hAnsiTheme="minorEastAsia" w:eastAsiaTheme="minorEastAsia" w:cstheme="minorEastAsia"/>
          <w:b/>
          <w:bCs/>
          <w:color w:val="auto"/>
          <w:szCs w:val="21"/>
          <w:highlight w:val="none"/>
        </w:rPr>
        <w:t xml:space="preserve">第十二条 履约保证金</w:t>
      </w:r>
      <w:bookmarkEnd w:id="38"/>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12.1</w:t>
      </w:r>
      <w:r>
        <w:rPr>
          <w:rFonts w:hint="eastAsia" w:cs="Times New Roman"/>
          <w:color w:val="auto"/>
          <w:sz w:val="21"/>
          <w:szCs w:val="24"/>
          <w:highlight w:val="none"/>
          <w:lang w:val="en-US" w:eastAsia="zh-CN"/>
        </w:rPr>
        <w:t xml:space="preserve">乙方</w:t>
      </w:r>
      <w:r>
        <w:rPr>
          <w:rFonts w:hint="eastAsia" w:ascii="Times New Roman" w:hAnsi="Times New Roman" w:eastAsia="宋体" w:cs="Times New Roman"/>
          <w:color w:val="auto"/>
          <w:sz w:val="21"/>
          <w:szCs w:val="24"/>
          <w:highlight w:val="none"/>
        </w:rPr>
        <w:t xml:space="preserve">应在</w:t>
      </w:r>
      <w:r>
        <w:rPr>
          <w:rFonts w:hint="eastAsia" w:cs="Times New Roman"/>
          <w:color w:val="auto"/>
          <w:sz w:val="21"/>
          <w:szCs w:val="24"/>
          <w:highlight w:val="none"/>
          <w:lang w:val="en-US" w:eastAsia="zh-CN"/>
        </w:rPr>
        <w:t xml:space="preserve">签订合同前</w:t>
      </w:r>
      <w:r>
        <w:rPr>
          <w:rFonts w:hint="eastAsia" w:ascii="Times New Roman" w:hAnsi="Times New Roman" w:eastAsia="宋体" w:cs="Times New Roman"/>
          <w:color w:val="auto"/>
          <w:sz w:val="21"/>
          <w:szCs w:val="24"/>
          <w:highlight w:val="none"/>
        </w:rPr>
        <w:t xml:space="preserve">，交纳项目预算5%的履约保证金给</w:t>
      </w:r>
      <w:r>
        <w:rPr>
          <w:rFonts w:hint="eastAsia" w:cs="Times New Roman"/>
          <w:color w:val="auto"/>
          <w:sz w:val="21"/>
          <w:szCs w:val="24"/>
          <w:highlight w:val="none"/>
          <w:lang w:val="en-US" w:eastAsia="zh-CN"/>
        </w:rPr>
        <w:t xml:space="preserve">甲方</w:t>
      </w:r>
      <w:r>
        <w:rPr>
          <w:rFonts w:hint="eastAsia" w:ascii="Times New Roman" w:hAnsi="Times New Roman" w:eastAsia="宋体" w:cs="Times New Roman"/>
          <w:color w:val="auto"/>
          <w:sz w:val="21"/>
          <w:szCs w:val="24"/>
          <w:highlight w:val="none"/>
        </w:rPr>
        <w:t xml:space="preserve">或者汇入</w:t>
      </w:r>
      <w:r>
        <w:rPr>
          <w:rFonts w:hint="eastAsia" w:cs="Times New Roman"/>
          <w:color w:val="auto"/>
          <w:sz w:val="21"/>
          <w:szCs w:val="24"/>
          <w:highlight w:val="none"/>
          <w:lang w:val="en-US" w:eastAsia="zh-CN"/>
        </w:rPr>
        <w:t xml:space="preserve">甲方</w:t>
      </w:r>
      <w:r>
        <w:rPr>
          <w:rFonts w:hint="eastAsia" w:ascii="Times New Roman" w:hAnsi="Times New Roman" w:eastAsia="宋体" w:cs="Times New Roman"/>
          <w:color w:val="auto"/>
          <w:sz w:val="21"/>
          <w:szCs w:val="24"/>
          <w:highlight w:val="none"/>
          <w:lang w:val="en-US" w:eastAsia="zh-CN"/>
        </w:rPr>
        <w:t xml:space="preserve">账</w:t>
      </w:r>
      <w:r>
        <w:rPr>
          <w:rFonts w:hint="eastAsia" w:ascii="Times New Roman" w:hAnsi="Times New Roman" w:eastAsia="宋体" w:cs="Times New Roman"/>
          <w:color w:val="auto"/>
          <w:sz w:val="21"/>
          <w:szCs w:val="24"/>
          <w:highlight w:val="none"/>
        </w:rPr>
        <w:t xml:space="preserve">户</w:t>
      </w:r>
      <w:r>
        <w:rPr>
          <w:rFonts w:hint="eastAsia" w:cs="Times New Roman"/>
          <w:color w:val="auto"/>
          <w:sz w:val="21"/>
          <w:szCs w:val="24"/>
          <w:highlight w:val="none"/>
          <w:lang w:eastAsia="zh-CN"/>
        </w:rPr>
        <w:t xml:space="preserve">。</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履约保证金的形式：银行保函、转账支票、本票、汇票、电汇</w:t>
      </w:r>
      <w:r>
        <w:rPr>
          <w:rFonts w:hint="eastAsia" w:cs="Times New Roman"/>
          <w:color w:val="auto"/>
          <w:highlight w:val="none"/>
          <w:lang w:val="en-US" w:eastAsia="zh-CN"/>
        </w:rPr>
        <w:t xml:space="preserve">等</w:t>
      </w:r>
      <w:r>
        <w:rPr>
          <w:rFonts w:hint="eastAsia" w:ascii="Times New Roman" w:hAnsi="Times New Roman" w:eastAsia="宋体" w:cs="Times New Roman"/>
          <w:color w:val="auto"/>
          <w:highlight w:val="none"/>
        </w:rPr>
        <w:t xml:space="preserve"> </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履约保证金的提交时间：乙方应当在合同签订前向甲方足额提交履约保证金，否则甲方可以取消其中标资格。</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履约保证金在合同履行完毕，</w:t>
      </w:r>
      <w:r>
        <w:rPr>
          <w:rFonts w:hint="eastAsia" w:ascii="宋体" w:hAnsi="宋体" w:cs="宋体"/>
          <w:highlight w:val="none"/>
          <w:lang w:val="en-US" w:eastAsia="zh-CN"/>
        </w:rPr>
        <w:t xml:space="preserve">验收合格</w:t>
      </w:r>
      <w:r>
        <w:rPr>
          <w:rFonts w:hint="eastAsia" w:ascii="宋体" w:hAnsi="宋体" w:cs="宋体"/>
          <w:highlight w:val="none"/>
        </w:rPr>
        <w:t xml:space="preserve">，无遗留问题后，在乙方提交书面申请后，退还剩余的履约保证金。履约保证金不计利息。</w:t>
      </w:r>
      <w:r/>
    </w:p>
    <w:p>
      <w:pPr>
        <w:pStyle w:val="923"/>
        <w:rPr>
          <w:rFonts w:hint="eastAsia"/>
          <w:highlight w:val="none"/>
        </w:rPr>
      </w:pPr>
      <w:r>
        <w:rPr>
          <w:rFonts w:hint="eastAsia"/>
          <w:highlight w:val="none"/>
        </w:rPr>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12.2 如乙方未能履行合同规定的义务，甲方有权从履约保证金中取得补偿。</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（1）若因乙方配送不及时导致供应延误，即使通过补救措施未造成甲方不良影响的，第一次扣除履约保证金的 30%，扣除后须补足履约保证金；第二次扣除履约保证金的50%，扣除后须补足履约保证金并解除合同。</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（2）凡乙方向甲方提供的产品发生质量问题，影响食用，甲方有权立即解除合同并没收履约保证金。</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spacing w:line="360" w:lineRule="auto"/>
        <w:rPr>
          <w:rFonts w:asciiTheme="minorEastAsia" w:hAnsiTheme="minorEastAsia" w:eastAsiaTheme="minorEastAsia" w:cstheme="minorEastAsia"/>
          <w:b/>
          <w:bCs/>
          <w:color w:val="auto"/>
          <w:szCs w:val="21"/>
          <w:highlight w:val="none"/>
        </w:rPr>
      </w:pPr>
      <w:r/>
      <w:bookmarkStart w:id="39" w:name="_Toc22991_WPSOffice_Level2"/>
      <w:r>
        <w:rPr>
          <w:rFonts w:hint="eastAsia" w:asciiTheme="minorEastAsia" w:hAnsiTheme="minorEastAsia" w:eastAsiaTheme="minorEastAsia" w:cstheme="minorEastAsia"/>
          <w:b/>
          <w:bCs/>
          <w:color w:val="auto"/>
          <w:szCs w:val="21"/>
          <w:highlight w:val="none"/>
        </w:rPr>
        <w:t xml:space="preserve">第十三条 索赔</w:t>
      </w:r>
      <w:bookmarkEnd w:id="39"/>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13.1 甲方有权根据当地质检部门相关检验报告或检验结果，向乙方提出索赔。</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13.2 根据合同规定的检验期和质量保证期内，如果乙方对甲方提出的索赔和差异负有责任，乙方应按照甲方同意的下列一种或多种方式解决索赔事宜：</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乙方同意退货，并用合同中规定的货币将货款退还给甲方，并承担由此发生的一切损失和费用，包括但不限于利息、银行手续费、运费、保险费、检验费、仓储费、装卸费以及为保护退回货物所需的其它必要费用。</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(2)根据货物的低劣程度、损坏程度以及甲方所遭受损失的数额，乙方必须降低货物的价格，直至合同期满。</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13.3 如果在甲方发出索赔通知后3天内，乙方未作答复，上述索赔应视为已被乙方接受，如乙方未能在甲方提出索赔通知后3天内或甲方同意的更长时间内，按照本合同规定的任何一种方法解决索赔事宜，甲方将从乙方开具的履约保证金中扣回索赔金额，或采用法律手段解决索赔事宜。</w:t>
      </w:r>
      <w:r/>
    </w:p>
    <w:p>
      <w:pPr>
        <w:spacing w:line="360" w:lineRule="auto"/>
        <w:rPr>
          <w:rFonts w:asciiTheme="minorEastAsia" w:hAnsiTheme="minorEastAsia" w:eastAsiaTheme="minorEastAsia" w:cstheme="minorEastAsia"/>
          <w:b/>
          <w:bCs/>
          <w:color w:val="auto"/>
          <w:szCs w:val="21"/>
          <w:highlight w:val="none"/>
        </w:rPr>
      </w:pPr>
      <w:r/>
      <w:bookmarkStart w:id="40" w:name="_Toc21557_WPSOffice_Level2"/>
      <w:r>
        <w:rPr>
          <w:rFonts w:hint="eastAsia" w:asciiTheme="minorEastAsia" w:hAnsiTheme="minorEastAsia" w:eastAsiaTheme="minorEastAsia" w:cstheme="minorEastAsia"/>
          <w:b/>
          <w:bCs/>
          <w:color w:val="auto"/>
          <w:szCs w:val="21"/>
          <w:highlight w:val="none"/>
        </w:rPr>
        <w:t xml:space="preserve">第十四条 违约责任</w:t>
      </w:r>
      <w:bookmarkEnd w:id="40"/>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14.1甲方存在以下情形的，甲方可向乙方发出终止部分或全部合同的书面通知书：</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（1）如果乙方未能按合同规定的期限或甲方同意延长的限期内提供部分或全部货物;</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（2）乙方在收到甲方发出的违约通知后3天内，或经甲方书面认可延长的时间内未能纠正其过失；</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（3）乙方提供的货物和服务发生食品安全事故、兴奋剂事故的；</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（4）如果乙方未能履行合同规定的其他义务。</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（5）乙方不按甲方采购计划采购货品的。</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14.2 在甲方根据上述规定，终止了全部或部分合同后，甲方可以依其认为适当的条件和方法购买与未交货物类似的货物，乙方应对甲方购买类似货物所超出的那部分费用负责，并继续执行合同中未终止的部分。</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14.3甲方将定期或不定期地组织专人对乙方所供货物的质量报送江苏省体育局指定的专业质检部门抽检，检测费由乙方承担。若发现货物质量检测结果与招标文件或投标文件质量标准不符，甲方有权酌情予以罚款、没收履约保证金或解除合同等。</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14.4凡经相关部门认定，如因乙方所提供的原料原因造成甲方运动员岀现食物中毒等安全卫生事故的，乙方除必须承担全部的法律责任外，还要全额承担因食物中毒事件造成后果的一切费用，并立即停止乙方供货，并暂扣当月所有供应原料的货款作为乙方的赔偿预付款。</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14.5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供货款项的5%向甲方支付违约金并赔偿因此给甲方造成的一切损失。</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14.6乙方支付的履约保证金不足以弥补甲方损失的，还应按甲方损失尚未弥补的部分，支付赔偿金给甲方。</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14.7、变更、中止或者终止合同，有过错的一方应当承担赔偿责任，双方都有过错的，各自承担相应的责任。</w:t>
      </w:r>
      <w:r/>
    </w:p>
    <w:p>
      <w:pPr>
        <w:pStyle w:val="970"/>
        <w:ind w:firstLine="0"/>
        <w:jc w:val="left"/>
        <w:spacing w:line="360" w:lineRule="auto"/>
        <w:rPr>
          <w:rFonts w:asciiTheme="minorEastAsia" w:hAnsiTheme="minorEastAsia" w:eastAsiaTheme="minorEastAsia" w:cstheme="minorEastAsia"/>
          <w:b/>
          <w:bCs/>
          <w:color w:val="auto"/>
          <w:szCs w:val="21"/>
          <w:highlight w:val="none"/>
        </w:rPr>
      </w:pPr>
      <w:r/>
      <w:bookmarkStart w:id="41" w:name="_Toc24037_WPSOffice_Level2"/>
      <w:r>
        <w:rPr>
          <w:rFonts w:hint="eastAsia" w:asciiTheme="minorEastAsia" w:hAnsiTheme="minorEastAsia" w:eastAsiaTheme="minorEastAsia" w:cstheme="minorEastAsia"/>
          <w:b/>
          <w:bCs/>
          <w:color w:val="auto"/>
          <w:szCs w:val="21"/>
          <w:highlight w:val="none"/>
        </w:rPr>
        <w:t xml:space="preserve">第十五条 保密条款</w:t>
      </w:r>
      <w:bookmarkEnd w:id="41"/>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15.1、买卖双方应遵守本保密条款，履行保密的责任和义务；</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15.2、一方向另一方提供的以文字、图像、音像、硬盘等为载体的文件、数据、资料以及双方在谈判中所涉及到此项目一切言行包括在保密范围之内；</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15.3、保密期限自本合同生效之日起，至双方秘密信息被合法公开时止；</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15.4、保密条款适用于双方所涉及到此项目的人员及双方由于其他原因了解或知道此项目信息的一切人员；</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15.5、如第三方确因项目进程而需向一方了解本协议的保密内容，则该方应在第三方透露保密信息之前，征得另一方以书面形式的同意，且有责任确保第三方遵守保密条款；</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15.6、若双方在此项目运作过程中一致同意终止该项目，则双方应协商将对方提供的一切关于该项目的资料及复制品还给对方，接受方关于这些资料所做的记录等文件也应立即销毁。</w:t>
      </w:r>
      <w:r/>
    </w:p>
    <w:p>
      <w:pPr>
        <w:pStyle w:val="970"/>
        <w:ind w:firstLine="0"/>
        <w:jc w:val="left"/>
        <w:spacing w:line="360" w:lineRule="auto"/>
        <w:rPr>
          <w:rFonts w:asciiTheme="minorEastAsia" w:hAnsiTheme="minorEastAsia" w:eastAsiaTheme="minorEastAsia" w:cstheme="minorEastAsia"/>
          <w:b/>
          <w:bCs/>
          <w:color w:val="auto"/>
          <w:szCs w:val="21"/>
          <w:highlight w:val="none"/>
        </w:rPr>
      </w:pPr>
      <w:r/>
      <w:bookmarkStart w:id="42" w:name="_Toc16093_WPSOffice_Level2"/>
      <w:r>
        <w:rPr>
          <w:rFonts w:hint="eastAsia" w:asciiTheme="minorEastAsia" w:hAnsiTheme="minorEastAsia" w:eastAsiaTheme="minorEastAsia" w:cstheme="minorEastAsia"/>
          <w:b/>
          <w:bCs/>
          <w:color w:val="auto"/>
          <w:szCs w:val="21"/>
          <w:highlight w:val="none"/>
        </w:rPr>
        <w:t xml:space="preserve">第十六条 争议解决办法</w:t>
      </w:r>
      <w:bookmarkEnd w:id="42"/>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16.1、因货物的质量问题发生争议，由质量技术监督部门或其指定的质量鉴定机构进行质量鉴定。鉴定费由乙方承担。</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16.2、合同履行期间,若双方发生争议，可协商解决，协商不成的，任一方可向甲方所在地法院提起诉讼。</w:t>
      </w:r>
      <w:r/>
    </w:p>
    <w:p>
      <w:pPr>
        <w:pStyle w:val="970"/>
        <w:ind w:firstLine="0"/>
        <w:jc w:val="left"/>
        <w:spacing w:line="360" w:lineRule="auto"/>
        <w:rPr>
          <w:rFonts w:asciiTheme="minorEastAsia" w:hAnsiTheme="minorEastAsia" w:eastAsiaTheme="minorEastAsia" w:cstheme="minorEastAsia"/>
          <w:b/>
          <w:bCs/>
          <w:color w:val="auto"/>
          <w:szCs w:val="21"/>
          <w:highlight w:val="none"/>
        </w:rPr>
      </w:pPr>
      <w:r/>
      <w:bookmarkStart w:id="43" w:name="_Toc10186_WPSOffice_Level2"/>
      <w:r>
        <w:rPr>
          <w:rFonts w:hint="eastAsia" w:asciiTheme="minorEastAsia" w:hAnsiTheme="minorEastAsia" w:eastAsiaTheme="minorEastAsia" w:cstheme="minorEastAsia"/>
          <w:b/>
          <w:bCs/>
          <w:color w:val="auto"/>
          <w:szCs w:val="21"/>
          <w:highlight w:val="none"/>
        </w:rPr>
        <w:t xml:space="preserve">第十七条 其他</w:t>
      </w:r>
      <w:bookmarkEnd w:id="43"/>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17.1、如有未尽事宜，由双方依法订立补充合同。</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17.2、本合同双方应加盖骑缝章。</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17.3、本合同一式 </w:t>
      </w:r>
      <w:r>
        <w:rPr>
          <w:rFonts w:hint="eastAsia" w:ascii="Times New Roman" w:hAnsi="Times New Roman" w:eastAsia="宋体" w:cs="Times New Roman"/>
          <w:color w:val="auto"/>
          <w:highlight w:val="none"/>
        </w:rPr>
        <w:tab/>
      </w:r>
      <w:r>
        <w:rPr>
          <w:rFonts w:hint="eastAsia" w:ascii="Times New Roman" w:hAnsi="Times New Roman" w:eastAsia="宋体" w:cs="Times New Roman"/>
          <w:color w:val="auto"/>
          <w:highlight w:val="none"/>
        </w:rPr>
        <w:t xml:space="preserve">份，其中甲方 </w:t>
      </w:r>
      <w:r>
        <w:rPr>
          <w:rFonts w:hint="eastAsia" w:ascii="Times New Roman" w:hAnsi="Times New Roman" w:eastAsia="宋体" w:cs="Times New Roman"/>
          <w:color w:val="auto"/>
          <w:highlight w:val="none"/>
        </w:rPr>
        <w:tab/>
      </w:r>
      <w:r>
        <w:rPr>
          <w:rFonts w:hint="eastAsia" w:ascii="Times New Roman" w:hAnsi="Times New Roman" w:eastAsia="宋体" w:cs="Times New Roman"/>
          <w:color w:val="auto"/>
          <w:highlight w:val="none"/>
        </w:rPr>
        <w:t xml:space="preserve">份，乙方 </w:t>
      </w:r>
      <w:r>
        <w:rPr>
          <w:rFonts w:hint="eastAsia" w:ascii="Times New Roman" w:hAnsi="Times New Roman" w:eastAsia="宋体" w:cs="Times New Roman"/>
          <w:color w:val="auto"/>
          <w:highlight w:val="none"/>
        </w:rPr>
        <w:tab/>
      </w:r>
      <w:r>
        <w:rPr>
          <w:rFonts w:hint="eastAsia" w:ascii="Times New Roman" w:hAnsi="Times New Roman" w:eastAsia="宋体" w:cs="Times New Roman"/>
          <w:color w:val="auto"/>
          <w:highlight w:val="none"/>
        </w:rPr>
        <w:t xml:space="preserve">份， 每份均具有同等法律效力。</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17.4、本合同自甲乙双方签字并盖章之日起生效。</w:t>
      </w:r>
      <w:r/>
    </w:p>
    <w:p>
      <w:pPr>
        <w:pStyle w:val="919"/>
        <w:spacing w:line="360" w:lineRule="auto"/>
        <w:rPr>
          <w:color w:val="auto"/>
          <w:highlight w:val="none"/>
        </w:rPr>
      </w:pPr>
      <w:r>
        <w:rPr>
          <w:color w:val="auto"/>
          <w:highlight w:val="none"/>
        </w:rPr>
      </w:r>
      <w:r/>
    </w:p>
    <w:p>
      <w:pPr>
        <w:pStyle w:val="970"/>
        <w:spacing w:line="360" w:lineRule="auto"/>
        <w:rPr>
          <w:color w:val="auto"/>
          <w:highlight w:val="none"/>
        </w:rPr>
      </w:pPr>
      <w:r>
        <w:rPr>
          <w:rFonts w:hint="eastAsia"/>
          <w:color w:val="auto"/>
          <w:highlight w:val="none"/>
        </w:rPr>
        <w:t xml:space="preserve">甲方：       （盖章）</w:t>
      </w:r>
      <w:r>
        <w:rPr>
          <w:rFonts w:hint="eastAsia"/>
          <w:color w:val="auto"/>
          <w:highlight w:val="none"/>
        </w:rPr>
        <w:tab/>
      </w:r>
      <w:r>
        <w:rPr>
          <w:rFonts w:hint="eastAsia"/>
          <w:color w:val="auto"/>
          <w:highlight w:val="none"/>
        </w:rPr>
        <w:t xml:space="preserve">                            乙方：</w:t>
      </w:r>
      <w:r>
        <w:rPr>
          <w:rFonts w:hint="eastAsia"/>
          <w:color w:val="auto"/>
          <w:highlight w:val="none"/>
        </w:rPr>
        <w:tab/>
      </w:r>
      <w:r>
        <w:rPr>
          <w:rFonts w:hint="eastAsia"/>
          <w:color w:val="auto"/>
          <w:highlight w:val="none"/>
        </w:rPr>
        <w:t xml:space="preserve">  （盖章）</w:t>
      </w:r>
      <w:r/>
    </w:p>
    <w:p>
      <w:pPr>
        <w:pStyle w:val="970"/>
        <w:spacing w:line="360" w:lineRule="auto"/>
        <w:rPr>
          <w:color w:val="auto"/>
          <w:highlight w:val="none"/>
        </w:rPr>
      </w:pPr>
      <w:r>
        <w:rPr>
          <w:rFonts w:hint="eastAsia"/>
          <w:color w:val="auto"/>
          <w:highlight w:val="none"/>
        </w:rPr>
        <w:t xml:space="preserve">法定代表人（授权代表）：</w:t>
      </w:r>
      <w:r>
        <w:rPr>
          <w:rFonts w:hint="eastAsia"/>
          <w:color w:val="auto"/>
          <w:highlight w:val="none"/>
        </w:rPr>
        <w:tab/>
      </w:r>
      <w:r>
        <w:rPr>
          <w:rFonts w:hint="eastAsia"/>
          <w:color w:val="auto"/>
          <w:highlight w:val="none"/>
        </w:rPr>
        <w:t xml:space="preserve">                        法定代表人（授权代表）： </w:t>
      </w:r>
      <w:r/>
    </w:p>
    <w:p>
      <w:pPr>
        <w:pStyle w:val="970"/>
        <w:spacing w:line="360" w:lineRule="auto"/>
        <w:rPr>
          <w:color w:val="auto"/>
          <w:highlight w:val="none"/>
        </w:rPr>
      </w:pPr>
      <w:r>
        <w:rPr>
          <w:rFonts w:hint="eastAsia"/>
          <w:color w:val="auto"/>
          <w:highlight w:val="none"/>
        </w:rPr>
        <w:t xml:space="preserve">地    址：</w:t>
      </w:r>
      <w:r>
        <w:rPr>
          <w:rFonts w:hint="eastAsia"/>
          <w:color w:val="auto"/>
          <w:highlight w:val="none"/>
        </w:rPr>
        <w:tab/>
      </w:r>
      <w:r>
        <w:rPr>
          <w:rFonts w:hint="eastAsia"/>
          <w:color w:val="auto"/>
          <w:highlight w:val="none"/>
        </w:rPr>
        <w:t xml:space="preserve">                                        地  </w:t>
      </w:r>
      <w:r>
        <w:rPr>
          <w:rFonts w:hint="eastAsia"/>
          <w:color w:val="auto"/>
          <w:highlight w:val="none"/>
        </w:rPr>
        <w:tab/>
      </w:r>
      <w:r>
        <w:rPr>
          <w:rFonts w:hint="eastAsia"/>
          <w:color w:val="auto"/>
          <w:highlight w:val="none"/>
        </w:rPr>
        <w:t xml:space="preserve">址：</w:t>
      </w:r>
      <w:r/>
    </w:p>
    <w:p>
      <w:pPr>
        <w:pStyle w:val="970"/>
        <w:spacing w:line="360" w:lineRule="auto"/>
        <w:rPr>
          <w:color w:val="auto"/>
          <w:highlight w:val="none"/>
        </w:rPr>
      </w:pPr>
      <w:r>
        <w:rPr>
          <w:rFonts w:hint="eastAsia"/>
          <w:color w:val="auto"/>
          <w:highlight w:val="none"/>
        </w:rPr>
        <w:t xml:space="preserve">开户银行：                                          开户银行：</w:t>
      </w:r>
      <w:r/>
    </w:p>
    <w:p>
      <w:pPr>
        <w:pStyle w:val="970"/>
        <w:spacing w:line="360" w:lineRule="auto"/>
        <w:rPr>
          <w:color w:val="auto"/>
          <w:highlight w:val="none"/>
        </w:rPr>
      </w:pPr>
      <w:r>
        <w:rPr>
          <w:rFonts w:hint="eastAsia"/>
          <w:color w:val="auto"/>
          <w:highlight w:val="none"/>
        </w:rPr>
        <w:t xml:space="preserve">账  号：                                            账  号：</w:t>
      </w:r>
      <w:r/>
    </w:p>
    <w:p>
      <w:pPr>
        <w:pStyle w:val="923"/>
        <w:rPr>
          <w:rFonts w:hint="eastAsia"/>
          <w:highlight w:val="none"/>
        </w:rPr>
        <w:sectPr>
          <w:headerReference w:type="default" r:id="rId10"/>
          <w:footerReference w:type="default" r:id="rId12"/>
          <w:footerReference w:type="first" r:id="rId13"/>
          <w:footnotePr/>
          <w:endnotePr/>
          <w:type w:val="nextPage"/>
          <w:pgSz w:w="11906" w:h="16838" w:orient="portrait"/>
          <w:pgMar w:top="1440" w:right="1803" w:bottom="1440" w:left="1399" w:header="851" w:footer="992" w:gutter="0"/>
          <w:pgNumType w:start="1"/>
          <w:cols w:num="1" w:sep="0" w:space="0" w:equalWidth="1"/>
          <w:docGrid w:linePitch="360"/>
        </w:sectPr>
      </w:pPr>
      <w:r>
        <w:rPr>
          <w:rFonts w:hint="eastAsia"/>
          <w:color w:val="auto"/>
          <w:highlight w:val="none"/>
        </w:rPr>
        <w:t xml:space="preserve">电  话：</w:t>
      </w:r>
      <w:r>
        <w:rPr>
          <w:rFonts w:hint="eastAsia"/>
          <w:color w:val="auto"/>
          <w:highlight w:val="none"/>
        </w:rPr>
        <w:tab/>
      </w:r>
      <w:r>
        <w:rPr>
          <w:rFonts w:hint="eastAsia"/>
          <w:color w:val="auto"/>
          <w:highlight w:val="none"/>
        </w:rPr>
        <w:t xml:space="preserve">                                        电</w:t>
      </w:r>
      <w:r>
        <w:rPr>
          <w:rFonts w:hint="eastAsia"/>
          <w:color w:val="auto"/>
          <w:highlight w:val="none"/>
        </w:rPr>
        <w:tab/>
      </w:r>
      <w:r>
        <w:rPr>
          <w:rFonts w:hint="eastAsia"/>
          <w:color w:val="auto"/>
          <w:highlight w:val="none"/>
        </w:rPr>
        <w:t xml:space="preserve"> 话：</w:t>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pStyle w:val="901"/>
        <w:numPr>
          <w:ilvl w:val="0"/>
          <w:numId w:val="0"/>
        </w:numPr>
        <w:spacing w:line="578" w:lineRule="auto"/>
        <w:rPr>
          <w:rFonts w:ascii="Arial" w:hAnsi="Arial" w:cs="Arial"/>
          <w:color w:val="auto"/>
          <w:highlight w:val="none"/>
        </w:rPr>
      </w:pPr>
      <w:r/>
      <w:bookmarkStart w:id="44" w:name="_Toc16360"/>
      <w:r>
        <w:rPr>
          <w:rFonts w:hint="eastAsia" w:ascii="Arial" w:hAnsi="Arial" w:cs="Arial"/>
          <w:color w:val="auto"/>
          <w:highlight w:val="none"/>
        </w:rPr>
        <w:t xml:space="preserve">第六章附件</w:t>
      </w:r>
      <w:bookmarkEnd w:id="17"/>
      <w:r/>
      <w:bookmarkEnd w:id="44"/>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bookmarkStart w:id="45" w:name="_Toc14955_WPSOffice_Level1"/>
      <w:r>
        <w:rPr>
          <w:rFonts w:hint="eastAsia" w:ascii="Arial" w:hAnsi="Arial" w:eastAsia="黑体" w:cs="Arial"/>
          <w:color w:val="auto"/>
          <w:sz w:val="44"/>
          <w:szCs w:val="44"/>
          <w:highlight w:val="none"/>
        </w:rPr>
        <w:t xml:space="preserve">投标文件</w:t>
      </w:r>
      <w:bookmarkEnd w:id="45"/>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ind w:firstLine="723"/>
        <w:rPr>
          <w:rFonts w:ascii="宋体" w:hAnsi="宋体" w:cs="宋体"/>
          <w:b/>
          <w:bCs/>
          <w:color w:val="auto"/>
          <w:sz w:val="36"/>
          <w:szCs w:val="36"/>
          <w:highlight w:val="none"/>
        </w:rPr>
      </w:pPr>
      <w:r/>
      <w:bookmarkStart w:id="46" w:name="_Toc29864_WPSOffice_Level1"/>
      <w:r>
        <w:rPr>
          <w:rFonts w:hint="eastAsia" w:ascii="宋体" w:hAnsi="宋体" w:cs="宋体"/>
          <w:b/>
          <w:bCs/>
          <w:color w:val="auto"/>
          <w:sz w:val="36"/>
          <w:szCs w:val="36"/>
          <w:highlight w:val="none"/>
        </w:rPr>
        <w:t xml:space="preserve">项目名称：</w:t>
      </w:r>
      <w:bookmarkEnd w:id="46"/>
      <w:r/>
      <w:r/>
    </w:p>
    <w:p>
      <w:pPr>
        <w:pStyle w:val="959"/>
        <w:rPr>
          <w:rFonts w:ascii="宋体" w:hAnsi="宋体" w:cs="宋体"/>
          <w:b/>
          <w:bCs/>
          <w:color w:val="auto"/>
          <w:sz w:val="36"/>
          <w:szCs w:val="36"/>
          <w:highlight w:val="none"/>
        </w:rPr>
      </w:pPr>
      <w:r/>
      <w:bookmarkStart w:id="47" w:name="_Toc7236_WPSOffice_Level1"/>
      <w:r>
        <w:rPr>
          <w:rFonts w:hint="eastAsia" w:ascii="宋体" w:hAnsi="宋体" w:cs="宋体"/>
          <w:b/>
          <w:bCs/>
          <w:color w:val="auto"/>
          <w:sz w:val="36"/>
          <w:szCs w:val="36"/>
          <w:highlight w:val="none"/>
        </w:rPr>
        <w:t xml:space="preserve">招标编号：</w:t>
      </w:r>
      <w:bookmarkEnd w:id="47"/>
      <w:r/>
      <w:r/>
    </w:p>
    <w:p>
      <w:pPr>
        <w:pStyle w:val="959"/>
        <w:rPr>
          <w:rFonts w:ascii="宋体" w:hAnsi="宋体" w:cs="宋体"/>
          <w:b/>
          <w:bCs/>
          <w:color w:val="auto"/>
          <w:sz w:val="36"/>
          <w:szCs w:val="36"/>
          <w:highlight w:val="none"/>
          <w:u w:val="single"/>
        </w:rPr>
      </w:pPr>
      <w:r/>
      <w:bookmarkStart w:id="48" w:name="_Toc12525_WPSOffice_Level1"/>
      <w:r>
        <w:rPr>
          <w:rFonts w:ascii="宋体" w:hAnsi="宋体" w:cs="宋体"/>
          <w:b/>
          <w:bCs/>
          <w:color w:val="auto"/>
          <w:sz w:val="36"/>
          <w:szCs w:val="36"/>
          <w:highlight w:val="none"/>
        </w:rPr>
        <w:t xml:space="preserve">投标人名称 ：</w:t>
      </w:r>
      <w:r>
        <w:rPr>
          <w:rFonts w:ascii="宋体" w:hAnsi="宋体" w:cs="宋体"/>
          <w:b/>
          <w:bCs/>
          <w:color w:val="auto"/>
          <w:sz w:val="36"/>
          <w:szCs w:val="36"/>
          <w:highlight w:val="none"/>
          <w:u w:val="single"/>
        </w:rPr>
        <w:t xml:space="preserve">（加盖CA电子公章）</w:t>
      </w:r>
      <w:bookmarkEnd w:id="48"/>
      <w:r/>
      <w:r/>
    </w:p>
    <w:p>
      <w:pPr>
        <w:pStyle w:val="959"/>
        <w:rPr>
          <w:rFonts w:ascii="宋体" w:hAnsi="宋体" w:cs="宋体"/>
          <w:b/>
          <w:bCs/>
          <w:color w:val="auto"/>
          <w:sz w:val="36"/>
          <w:szCs w:val="36"/>
          <w:highlight w:val="none"/>
          <w:u w:val="single"/>
        </w:rPr>
      </w:pPr>
      <w:r/>
      <w:bookmarkStart w:id="49" w:name="_Toc25897_WPSOffice_Level1"/>
      <w:r>
        <w:rPr>
          <w:rFonts w:hint="eastAsia" w:ascii="宋体" w:hAnsi="宋体" w:cs="宋体"/>
          <w:b/>
          <w:bCs/>
          <w:color w:val="auto"/>
          <w:sz w:val="36"/>
          <w:szCs w:val="36"/>
          <w:highlight w:val="none"/>
        </w:rPr>
        <w:t xml:space="preserve">日</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bookmarkEnd w:id="49"/>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spacing w:line="440" w:lineRule="exact"/>
        <w:rPr>
          <w:rFonts w:ascii="Arial" w:hAnsi="Arial" w:cs="Arial"/>
          <w:color w:val="auto"/>
          <w:szCs w:val="21"/>
          <w:highlight w:val="none"/>
        </w:rPr>
      </w:pPr>
      <w:r>
        <w:rPr>
          <w:rFonts w:ascii="Arial" w:hAnsi="Arial" w:eastAsia="黑体" w:cs="Arial"/>
          <w:color w:val="auto"/>
          <w:sz w:val="28"/>
          <w:szCs w:val="28"/>
          <w:highlight w:val="none"/>
        </w:rPr>
        <w:br w:type="page" w:clear="all"/>
      </w:r>
      <w:bookmarkStart w:id="50" w:name="_Toc29630_WPSOffice_Level1"/>
      <w:r>
        <w:rPr>
          <w:rFonts w:ascii="Arial" w:hAnsi="Arial" w:cs="Arial"/>
          <w:b/>
          <w:bCs/>
          <w:color w:val="auto"/>
          <w:szCs w:val="21"/>
          <w:highlight w:val="none"/>
        </w:rPr>
        <w:t xml:space="preserve">附件一、投标申请及声明格式</w:t>
      </w:r>
      <w:bookmarkEnd w:id="50"/>
      <w:r/>
      <w:r/>
    </w:p>
    <w:p>
      <w:pPr>
        <w:jc w:val="center"/>
        <w:spacing w:line="360" w:lineRule="auto"/>
        <w:shd w:val="clear" w:color="auto" w:fill="ffffff"/>
        <w:widowControl/>
        <w:rPr>
          <w:rFonts w:ascii="Arial" w:hAnsi="Arial" w:cs="Arial"/>
          <w:b/>
          <w:color w:val="auto"/>
          <w:szCs w:val="21"/>
          <w:highlight w:val="none"/>
        </w:rPr>
      </w:pPr>
      <w:r/>
      <w:bookmarkStart w:id="51" w:name="_Toc32156_WPSOffice_Level2"/>
      <w:r>
        <w:rPr>
          <w:rFonts w:ascii="Arial" w:hAnsi="Arial" w:cs="Arial"/>
          <w:b/>
          <w:color w:val="auto"/>
          <w:sz w:val="36"/>
          <w:szCs w:val="36"/>
          <w:highlight w:val="none"/>
        </w:rPr>
        <w:t xml:space="preserve">投标申请及声明</w:t>
      </w:r>
      <w:bookmarkEnd w:id="51"/>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(姓名和职务)代表投标人</w:t>
      </w:r>
      <w:r>
        <w:rPr>
          <w:rFonts w:ascii="Arial" w:hAnsi="Arial" w:cs="Arial"/>
          <w:color w:val="auto"/>
          <w:szCs w:val="21"/>
          <w:highlight w:val="none"/>
          <w:u w:val="single"/>
        </w:rPr>
        <w:t xml:space="preserve">     </w:t>
      </w:r>
      <w:r>
        <w:rPr>
          <w:rFonts w:ascii="Arial" w:hAnsi="Arial" w:cs="Arial"/>
          <w:color w:val="auto"/>
          <w:szCs w:val="21"/>
          <w:highlight w:val="none"/>
        </w:rPr>
        <w:t xml:space="preserve">（投标人名称），提交投标文件。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2、按招标要求，我们的投标价</w:t>
      </w:r>
      <w:r>
        <w:rPr>
          <w:rFonts w:hint="eastAsia" w:ascii="Arial" w:hAnsi="Arial" w:cs="Arial"/>
          <w:color w:val="auto"/>
          <w:szCs w:val="21"/>
          <w:highlight w:val="none"/>
        </w:rPr>
        <w:t xml:space="preserve">详见开标一览表</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3、本项目交付时间为：</w:t>
      </w:r>
      <w:r>
        <w:rPr>
          <w:rFonts w:ascii="Arial" w:hAnsi="Arial" w:cs="Arial"/>
          <w:color w:val="auto"/>
          <w:szCs w:val="21"/>
          <w:highlight w:val="none"/>
          <w:u w:val="single"/>
        </w:rPr>
        <w:t xml:space="preserve">  满足招标文件要求  </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6</w:t>
      </w:r>
      <w:r>
        <w:rPr>
          <w:rFonts w:ascii="Arial" w:hAnsi="Arial" w:cs="Arial"/>
          <w:color w:val="auto"/>
          <w:szCs w:val="21"/>
          <w:highlight w:val="none"/>
        </w:rPr>
        <w:t xml:space="preserve">、一旦我方中标，我方将根据招标文件的规定</w:t>
      </w:r>
      <w:r>
        <w:rPr>
          <w:rFonts w:hint="eastAsia" w:ascii="Arial" w:hAnsi="Arial" w:cs="Arial"/>
          <w:color w:val="auto"/>
          <w:szCs w:val="21"/>
          <w:highlight w:val="none"/>
        </w:rPr>
        <w:t xml:space="preserve">及我方投标承诺</w:t>
      </w:r>
      <w:r>
        <w:rPr>
          <w:rFonts w:ascii="Arial" w:hAnsi="Arial" w:cs="Arial"/>
          <w:color w:val="auto"/>
          <w:szCs w:val="21"/>
          <w:highlight w:val="none"/>
        </w:rPr>
        <w:t xml:space="preserve">严格履行合同。</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w:t>
      </w:r>
      <w:r>
        <w:rPr>
          <w:rFonts w:ascii="Arial" w:hAnsi="Arial" w:cs="Arial"/>
          <w:color w:val="auto"/>
          <w:szCs w:val="21"/>
          <w:highlight w:val="none"/>
        </w:rPr>
        <w:t xml:space="preserve">、与本投标有关的正式联系方式为：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52" w:name="_Toc83_WPSOffice_Level1"/>
      <w:r>
        <w:rPr>
          <w:rFonts w:ascii="Arial" w:hAnsi="Arial" w:cs="Arial"/>
          <w:b/>
          <w:bCs/>
          <w:color w:val="auto"/>
          <w:szCs w:val="21"/>
          <w:highlight w:val="none"/>
        </w:rPr>
        <w:t xml:space="preserve">附件二、</w:t>
      </w:r>
      <w:r>
        <w:rPr>
          <w:rFonts w:hint="eastAsia" w:ascii="Arial" w:hAnsi="Arial" w:cs="Arial"/>
          <w:b/>
          <w:bCs/>
          <w:color w:val="auto"/>
          <w:szCs w:val="21"/>
          <w:highlight w:val="none"/>
        </w:rPr>
        <w:t xml:space="preserve">法定代表人授权书</w:t>
      </w:r>
      <w:r>
        <w:rPr>
          <w:rFonts w:ascii="Arial" w:hAnsi="Arial" w:cs="Arial"/>
          <w:b/>
          <w:bCs/>
          <w:color w:val="auto"/>
          <w:szCs w:val="21"/>
          <w:highlight w:val="none"/>
        </w:rPr>
        <w:t xml:space="preserve">格式</w:t>
      </w:r>
      <w:bookmarkEnd w:id="52"/>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jc w:val="center"/>
        <w:spacing w:line="360" w:lineRule="auto"/>
        <w:shd w:val="clear" w:color="auto" w:fill="ffffff"/>
        <w:widowControl/>
        <w:rPr>
          <w:rFonts w:ascii="Arial" w:hAnsi="Arial" w:cs="Arial"/>
          <w:b/>
          <w:bCs/>
          <w:color w:val="auto"/>
          <w:szCs w:val="21"/>
          <w:highlight w:val="none"/>
        </w:rPr>
      </w:pPr>
      <w:r/>
      <w:bookmarkStart w:id="53" w:name="_Toc17494_WPSOffice_Level2"/>
      <w:r/>
      <w:bookmarkStart w:id="54" w:name="_Toc26810"/>
      <w:r>
        <w:rPr>
          <w:rFonts w:hint="eastAsia" w:ascii="Arial" w:hAnsi="Arial" w:cs="Arial"/>
          <w:b/>
          <w:bCs/>
          <w:color w:val="auto"/>
          <w:szCs w:val="21"/>
          <w:highlight w:val="none"/>
        </w:rPr>
        <w:t xml:space="preserve">法人授权书</w:t>
      </w:r>
      <w:bookmarkEnd w:id="53"/>
      <w:r/>
      <w:r/>
    </w:p>
    <w:p>
      <w:pPr>
        <w:pStyle w:val="1254"/>
        <w:ind w:firstLine="480"/>
        <w:spacing w:line="420" w:lineRule="exact"/>
        <w:tabs>
          <w:tab w:val="left" w:pos="360" w:leader="none"/>
        </w:tabs>
        <w:rPr>
          <w:color w:val="auto"/>
          <w:sz w:val="24"/>
          <w:szCs w:val="24"/>
          <w:highlight w:val="none"/>
          <w:lang w:eastAsia="zh-CN"/>
        </w:rPr>
      </w:pPr>
      <w:r>
        <w:rPr>
          <w:color w:val="auto"/>
          <w:sz w:val="24"/>
          <w:szCs w:val="24"/>
          <w:highlight w:val="none"/>
          <w:lang w:eastAsia="zh-CN"/>
        </w:rPr>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本授权书声明：（投标人名称）授权（被授权人姓名）作为我方参加编号为项目采购活动的合法代理人，以本单位名义全权处理一切与该项目采购有关的事务。</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本授权书自______年____月____日起生效，特此声明。</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被授权人身份证号码：</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被授权人联系电话：（手机）</w:t>
      </w:r>
      <w:r/>
    </w:p>
    <w:p>
      <w:pPr>
        <w:pStyle w:val="1254"/>
        <w:ind w:firstLine="468"/>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单位名称：</w:t>
      </w:r>
      <w:r>
        <w:rPr>
          <w:rFonts w:hint="eastAsia" w:ascii="宋体" w:hAnsi="宋体" w:cs="宋体"/>
          <w:color w:val="auto"/>
          <w:sz w:val="24"/>
          <w:szCs w:val="24"/>
          <w:highlight w:val="none"/>
          <w:lang w:eastAsia="zh-CN"/>
        </w:rPr>
        <w:t xml:space="preserve">（加盖电子公章）</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单位地址：</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日    期：</w:t>
      </w:r>
      <w:bookmarkStart w:id="55" w:name="_格式3__银行出具的资信证明"/>
      <w:r/>
      <w:bookmarkEnd w:id="55"/>
      <w:r/>
      <w:bookmarkStart w:id="56" w:name="_Hlt26955070"/>
      <w:r/>
      <w:bookmarkEnd w:id="56"/>
      <w:r/>
      <w:bookmarkStart w:id="57" w:name="_Hlt26671380"/>
      <w:r/>
      <w:bookmarkEnd w:id="57"/>
      <w:r/>
      <w:r/>
    </w:p>
    <w:p>
      <w:pPr>
        <w:rPr>
          <w:rFonts w:ascii="Arial" w:hAnsi="Arial" w:cs="Arial"/>
          <w:b/>
          <w:bCs/>
          <w:color w:val="auto"/>
          <w:highlight w:val="none"/>
          <w:lang w:val="zh-CN"/>
        </w:rPr>
      </w:pPr>
      <w:r>
        <w:rPr>
          <w:rFonts w:ascii="Arial" w:hAnsi="Arial" w:cs="Arial"/>
          <w:b/>
          <w:bCs/>
          <w:color w:val="auto"/>
          <w:szCs w:val="21"/>
          <w:highlight w:val="none"/>
          <w:lang w:val="zh-CN"/>
        </w:rPr>
        <w:br w:type="page" w:clear="all"/>
      </w:r>
      <w:bookmarkEnd w:id="54"/>
      <w:r/>
      <w:bookmarkStart w:id="58" w:name="_Toc12264"/>
      <w:r/>
      <w:r/>
    </w:p>
    <w:p>
      <w:pPr>
        <w:jc w:val="center"/>
        <w:rPr>
          <w:rFonts w:ascii="Arial" w:hAnsi="Arial" w:cs="Arial"/>
          <w:b/>
          <w:color w:val="auto"/>
          <w:sz w:val="36"/>
          <w:szCs w:val="36"/>
          <w:highlight w:val="none"/>
        </w:rPr>
      </w:pPr>
      <w:r/>
      <w:bookmarkStart w:id="59" w:name="_Toc30324_WPSOffice_Level2"/>
      <w:r>
        <w:rPr>
          <w:rFonts w:ascii="Arial" w:hAnsi="Arial" w:cs="Arial"/>
          <w:b/>
          <w:color w:val="auto"/>
          <w:sz w:val="36"/>
          <w:szCs w:val="36"/>
          <w:highlight w:val="none"/>
        </w:rPr>
        <w:t xml:space="preserve">开标一览表</w:t>
      </w:r>
      <w:bookmarkEnd w:id="59"/>
      <w:r/>
      <w:r/>
    </w:p>
    <w:p>
      <w:pPr>
        <w:spacing w:line="360" w:lineRule="auto"/>
        <w:shd w:val="clear" w:color="auto" w:fill="ffffff"/>
        <w:widowControl/>
        <w:rPr>
          <w:rFonts w:ascii="Arial" w:hAnsi="Arial" w:cs="Arial"/>
          <w:color w:val="auto"/>
          <w:highlight w:val="none"/>
          <w:lang w:val="zh-CN"/>
        </w:rPr>
      </w:pPr>
      <w:r>
        <w:rPr>
          <w:rFonts w:hint="eastAsia" w:ascii="Arial" w:hAnsi="Arial" w:cs="Arial"/>
          <w:color w:val="auto"/>
          <w:highlight w:val="none"/>
          <w:lang w:val="zh-CN"/>
        </w:rPr>
        <w:t xml:space="preserve">投标人全称（CA公章）：供应商名称 </w:t>
      </w:r>
      <w:r/>
    </w:p>
    <w:p>
      <w:pPr>
        <w:spacing w:line="360" w:lineRule="auto"/>
        <w:shd w:val="clear" w:color="auto" w:fill="ffffff"/>
        <w:widowControl/>
        <w:rPr>
          <w:rFonts w:ascii="Arial" w:hAnsi="Arial" w:cs="Arial"/>
          <w:color w:val="auto"/>
          <w:highlight w:val="none"/>
          <w:lang w:val="zh-CN"/>
        </w:rPr>
      </w:pPr>
      <w:r>
        <w:rPr>
          <w:rFonts w:hint="eastAsia" w:ascii="Arial" w:hAnsi="Arial" w:cs="Arial"/>
          <w:color w:val="auto"/>
          <w:highlight w:val="none"/>
          <w:lang w:val="zh-CN"/>
        </w:rPr>
        <w:t xml:space="preserve">项目名称： </w:t>
      </w:r>
      <w:r/>
    </w:p>
    <w:p>
      <w:pPr>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项目编号：</w:t>
      </w:r>
      <w:r/>
    </w:p>
    <w:p>
      <w:pPr>
        <w:pStyle w:val="959"/>
        <w:ind w:firstLine="0"/>
        <w:rPr>
          <w:color w:val="auto"/>
          <w:highlight w:val="none"/>
        </w:rPr>
      </w:pPr>
      <w:r>
        <w:rPr>
          <w:rFonts w:ascii="宋体" w:hAnsi="宋体" w:cs="宋体"/>
          <w:color w:val="auto"/>
          <w:sz w:val="24"/>
          <w:szCs w:val="24"/>
          <w:highlight w:val="none"/>
        </w:rPr>
        <w:t xml:space="preserve">分包号：</w:t>
      </w:r>
      <w:r>
        <w:rPr>
          <w:rFonts w:hint="eastAsia" w:ascii="宋体" w:hAnsi="宋体" w:cs="宋体"/>
          <w:color w:val="auto"/>
          <w:sz w:val="24"/>
          <w:szCs w:val="24"/>
          <w:highlight w:val="none"/>
        </w:rPr>
        <w:t xml:space="preserve">/</w:t>
      </w:r>
      <w:r/>
    </w:p>
    <w:p>
      <w:pPr>
        <w:pStyle w:val="959"/>
        <w:ind w:firstLine="0"/>
        <w:rPr>
          <w:rFonts w:ascii="Arial" w:hAnsi="Arial" w:cs="Arial"/>
          <w:color w:val="auto"/>
          <w:highlight w:val="none"/>
          <w:lang w:val="zh-CN"/>
        </w:rPr>
      </w:pPr>
      <w:r>
        <w:rPr>
          <w:rFonts w:ascii="Arial" w:hAnsi="Arial" w:cs="Arial"/>
          <w:color w:val="auto"/>
          <w:highlight w:val="none"/>
          <w:lang w:val="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c>
          <w:tcPr>
            <w:tcW w:w="4361" w:type="dxa"/>
            <w:textDirection w:val="lrTb"/>
            <w:noWrap w:val="false"/>
          </w:tcPr>
          <w:p>
            <w:pPr>
              <w:pStyle w:val="959"/>
              <w:rPr>
                <w:rFonts w:ascii="Arial" w:hAnsi="Arial" w:cs="Arial"/>
                <w:color w:val="auto"/>
                <w:highlight w:val="none"/>
                <w:lang w:val="zh-CN"/>
              </w:rPr>
            </w:pPr>
            <w:r>
              <w:rPr>
                <w:rFonts w:ascii="宋体" w:hAnsi="宋体" w:cs="宋体"/>
                <w:color w:val="auto"/>
                <w:sz w:val="24"/>
                <w:szCs w:val="24"/>
                <w:highlight w:val="none"/>
              </w:rPr>
              <w:t xml:space="preserve">投标项目名称</w:t>
            </w:r>
            <w:r/>
          </w:p>
        </w:tc>
        <w:tc>
          <w:tcPr>
            <w:tcW w:w="4361" w:type="dxa"/>
            <w:textDirection w:val="lrTb"/>
            <w:noWrap w:val="false"/>
          </w:tcPr>
          <w:p>
            <w:pPr>
              <w:pStyle w:val="959"/>
              <w:rPr>
                <w:rFonts w:hint="eastAsia" w:ascii="Arial" w:hAnsi="Arial" w:eastAsia="Noto Sans SC" w:cs="Arial"/>
                <w:color w:val="auto"/>
                <w:highlight w:val="none"/>
                <w:lang w:val="en-US" w:eastAsia="zh-CN"/>
              </w:rPr>
            </w:pPr>
            <w:r>
              <w:rPr>
                <w:rFonts w:ascii="宋体" w:hAnsi="宋体" w:eastAsia="宋体" w:cs="宋体"/>
                <w:color w:val="auto"/>
                <w:sz w:val="24"/>
                <w:szCs w:val="24"/>
                <w:highlight w:val="none"/>
              </w:rPr>
              <w:t xml:space="preserve">优惠</w:t>
            </w:r>
            <w:r>
              <w:rPr>
                <w:rFonts w:hint="eastAsia" w:ascii="宋体" w:hAnsi="宋体" w:eastAsia="宋体" w:cs="宋体"/>
                <w:color w:val="auto"/>
                <w:sz w:val="24"/>
                <w:szCs w:val="24"/>
                <w:highlight w:val="none"/>
                <w:lang w:val="en-US" w:eastAsia="zh-CN"/>
              </w:rPr>
              <w:t xml:space="preserve">率</w:t>
            </w:r>
            <w:r/>
          </w:p>
        </w:tc>
      </w:tr>
      <w:tr>
        <w:trPr/>
        <w:tc>
          <w:tcPr>
            <w:tcW w:w="4361" w:type="dxa"/>
            <w:textDirection w:val="lrTb"/>
            <w:noWrap w:val="false"/>
          </w:tcPr>
          <w:p>
            <w:pPr>
              <w:pStyle w:val="959"/>
              <w:rPr>
                <w:rFonts w:ascii="Arial" w:hAnsi="Arial" w:cs="Arial"/>
                <w:color w:val="auto"/>
                <w:highlight w:val="none"/>
                <w:lang w:val="zh-CN"/>
              </w:rPr>
            </w:pPr>
            <w:r>
              <w:rPr>
                <w:rFonts w:ascii="宋体" w:hAnsi="宋体" w:cs="宋体"/>
                <w:color w:val="auto"/>
                <w:sz w:val="24"/>
                <w:szCs w:val="24"/>
                <w:highlight w:val="none"/>
              </w:rPr>
              <w:t xml:space="preserve">投标项目名称</w:t>
            </w:r>
            <w:r/>
          </w:p>
        </w:tc>
        <w:tc>
          <w:tcPr>
            <w:tcW w:w="4361" w:type="dxa"/>
            <w:textDirection w:val="lrTb"/>
            <w:noWrap w:val="false"/>
          </w:tcPr>
          <w:p>
            <w:pPr>
              <w:pStyle w:val="959"/>
              <w:rPr>
                <w:rFonts w:ascii="Arial" w:hAnsi="Arial" w:cs="Arial"/>
                <w:color w:val="auto"/>
                <w:highlight w:val="none"/>
                <w:lang w:val="zh-CN"/>
              </w:rPr>
            </w:pPr>
            <w:r>
              <w:rPr>
                <w:rFonts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1828800" cy="1828800"/>
                      <wp:effectExtent l="0" t="0" r="0" b="0"/>
                      <wp:wrapNone/>
                      <wp:docPr id="7" name="任意多边形: 形状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bodyPr rot="0">
                              <a:prstTxWarp prst="textNoShape">
                                <a:avLst/>
                              </a:prstTxWarp>
                              <a:noAutofit/>
                            </wps:bodyPr>
                          </wps:wsp>
                        </a:graphicData>
                      </a:graphic>
                    </wp:anchor>
                  </w:drawing>
                </mc:Choice>
                <mc:Fallback>
                  <w:pict>
                    <v:shape id="shape 6" o:spid="_x0000_s6" o:spt="1" type="#_x0000_t1" style="position:absolute;z-index:251662336;o:allowoverlap:true;o:allowincell:false;mso-position-horizontal-relative:text;margin-left:0.0pt;mso-position-horizontal:absolute;mso-position-vertical-relative:text;margin-top:0.0pt;mso-position-vertical:absolute;width:144.0pt;height:144.0pt;mso-wrap-distance-left:9.0pt;mso-wrap-distance-top:0.0pt;mso-wrap-distance-right:9.0pt;mso-wrap-distance-bottom:0.0pt;visibility:visible;" filled="f" stroked="f"/>
                  </w:pict>
                </mc:Fallback>
              </mc:AlternateContent>
            </w:r>
            <w:r>
              <w:rPr>
                <w:rFonts w:ascii="宋体" w:hAnsi="宋体" w:eastAsia="宋体" w:cs="宋体"/>
                <w:color w:val="auto"/>
                <w:sz w:val="24"/>
                <w:szCs w:val="24"/>
                <w:highlight w:val="none"/>
              </w:rPr>
              <w:t xml:space="preserve"> 优惠率： %</w:t>
            </w:r>
            <w:r/>
          </w:p>
        </w:tc>
      </w:tr>
    </w:tbl>
    <w:p>
      <w:pPr>
        <w:pStyle w:val="959"/>
        <w:ind w:firstLine="0"/>
        <w:rPr>
          <w:rFonts w:ascii="Arial" w:hAnsi="Arial" w:cs="Arial"/>
          <w:color w:val="auto"/>
          <w:highlight w:val="none"/>
          <w:lang w:val="zh-CN"/>
        </w:rPr>
      </w:pPr>
      <w:r>
        <w:rPr>
          <w:rFonts w:ascii="Arial" w:hAnsi="Arial" w:cs="Arial"/>
          <w:color w:val="auto"/>
          <w:highlight w:val="none"/>
          <w:lang w:val="zh-CN"/>
        </w:rPr>
      </w:r>
      <w:r/>
    </w:p>
    <w:p>
      <w:pPr>
        <w:ind w:firstLine="2100"/>
        <w:jc w:val="righ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年月日</w:t>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outlineLvl w:val="1"/>
      </w:pPr>
      <w:r/>
      <w:bookmarkStart w:id="60" w:name="_Toc10701"/>
      <w:r/>
      <w:bookmarkStart w:id="61" w:name="_Toc2695"/>
      <w:r>
        <w:rPr>
          <w:rFonts w:ascii="Arial" w:hAnsi="Arial" w:cs="Arial"/>
          <w:b/>
          <w:bCs/>
          <w:color w:val="auto"/>
          <w:szCs w:val="21"/>
          <w:highlight w:val="none"/>
          <w:lang w:val="zh-CN"/>
        </w:rPr>
        <w:t xml:space="preserve">附件</w:t>
      </w:r>
      <w:r>
        <w:rPr>
          <w:rFonts w:hint="eastAsia" w:ascii="Arial" w:hAnsi="Arial" w:cs="Arial"/>
          <w:b/>
          <w:bCs/>
          <w:color w:val="auto"/>
          <w:szCs w:val="21"/>
          <w:highlight w:val="none"/>
          <w:lang w:val="en-US" w:eastAsia="zh-CN"/>
        </w:rPr>
        <w:t xml:space="preserve">四</w:t>
      </w:r>
      <w:r>
        <w:rPr>
          <w:rFonts w:ascii="Arial" w:hAnsi="Arial" w:cs="Arial"/>
          <w:b/>
          <w:bCs/>
          <w:color w:val="auto"/>
          <w:szCs w:val="21"/>
          <w:highlight w:val="none"/>
          <w:lang w:val="zh-CN"/>
        </w:rPr>
        <w:t xml:space="preserve">、分项报价表格式</w:t>
      </w:r>
      <w:bookmarkEnd w:id="60"/>
      <w:r/>
      <w:bookmarkEnd w:id="61"/>
      <w:r/>
      <w:r/>
    </w:p>
    <w:p>
      <w:pPr>
        <w:jc w:val="center"/>
        <w:spacing w:line="360" w:lineRule="auto"/>
        <w:shd w:val="clear" w:color="auto" w:fill="ffffff"/>
        <w:widowControl/>
        <w:rPr>
          <w:rFonts w:ascii="Arial" w:hAnsi="Arial" w:cs="Arial"/>
          <w:b/>
          <w:color w:val="auto"/>
          <w:sz w:val="36"/>
          <w:szCs w:val="36"/>
          <w:highlight w:val="none"/>
        </w:rPr>
        <w:outlineLvl w:val="9"/>
      </w:pPr>
      <w:r/>
      <w:bookmarkStart w:id="62" w:name="_Toc1959_WPSOffice_Level2"/>
      <w:r>
        <w:rPr>
          <w:rFonts w:ascii="Arial" w:hAnsi="Arial" w:cs="Arial"/>
          <w:b/>
          <w:color w:val="auto"/>
          <w:sz w:val="36"/>
          <w:szCs w:val="36"/>
          <w:highlight w:val="none"/>
        </w:rPr>
        <w:t xml:space="preserve">分项报价表</w:t>
      </w:r>
      <w:bookmarkEnd w:id="62"/>
      <w:r/>
      <w:r/>
    </w:p>
    <w:p>
      <w:pPr>
        <w:pStyle w:val="970"/>
        <w:ind w:left="0" w:firstLine="0"/>
        <w:rPr>
          <w:rFonts w:hint="eastAsia" w:ascii="Arial" w:hAnsi="Arial" w:cs="Arial"/>
          <w:color w:val="auto"/>
          <w:highlight w:val="none"/>
          <w:lang w:val="en-US" w:eastAsia="zh-CN"/>
        </w:rPr>
      </w:pPr>
      <w:r>
        <w:rPr>
          <w:rFonts w:hint="eastAsia" w:ascii="Arial" w:hAnsi="Arial" w:cs="Arial"/>
          <w:color w:val="auto"/>
          <w:highlight w:val="none"/>
          <w:lang w:val="en-US" w:eastAsia="zh-CN"/>
        </w:rPr>
      </w:r>
      <w:r/>
    </w:p>
    <w:tbl>
      <w:tblPr>
        <w:tblStyle w:val="9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8"/>
        <w:gridCol w:w="6722"/>
      </w:tblGrid>
      <w:tr>
        <w:trPr>
          <w:trHeight w:val="1855"/>
        </w:trPr>
        <w:tc>
          <w:tcPr>
            <w:tcW w:w="1998" w:type="dxa"/>
            <w:textDirection w:val="lrTb"/>
            <w:noWrap w:val="false"/>
          </w:tcPr>
          <w:p>
            <w:pPr>
              <w:jc w:val="left"/>
              <w:spacing w:line="360" w:lineRule="auto"/>
              <w:widowControl/>
              <w:rPr>
                <w:rFonts w:hint="default" w:ascii="Arial" w:hAnsi="Arial" w:eastAsia="宋体" w:cs="Arial"/>
                <w:color w:val="auto"/>
                <w:szCs w:val="21"/>
                <w:highlight w:val="none"/>
                <w:vertAlign w:val="baseline"/>
                <w:lang w:val="en-US" w:eastAsia="zh-CN"/>
              </w:rPr>
            </w:pPr>
            <w:r>
              <w:rPr>
                <w:rFonts w:hint="eastAsia" w:ascii="Arial" w:hAnsi="Arial" w:cs="Arial"/>
                <w:color w:val="auto"/>
                <w:szCs w:val="21"/>
                <w:highlight w:val="none"/>
                <w:vertAlign w:val="baseline"/>
                <w:lang w:val="en-US" w:eastAsia="zh-CN"/>
              </w:rPr>
              <w:t xml:space="preserve">报价说明</w:t>
            </w:r>
            <w:r/>
          </w:p>
        </w:tc>
        <w:tc>
          <w:tcPr>
            <w:tcW w:w="6724" w:type="dxa"/>
            <w:textDirection w:val="lrTb"/>
            <w:noWrap w:val="false"/>
          </w:tcPr>
          <w:p>
            <w:pPr>
              <w:jc w:val="left"/>
              <w:spacing w:line="360" w:lineRule="auto"/>
              <w:widowControl/>
              <w:rPr>
                <w:rFonts w:ascii="Arial" w:hAnsi="Arial" w:cs="Arial"/>
                <w:color w:val="auto"/>
                <w:szCs w:val="21"/>
                <w:highlight w:val="none"/>
                <w:vertAlign w:val="baseline"/>
              </w:rPr>
            </w:pPr>
            <w:r>
              <w:rPr>
                <w:rFonts w:hint="eastAsia"/>
                <w:color w:val="auto"/>
                <w:highlight w:val="none"/>
              </w:rPr>
              <w:t xml:space="preserve">以京东网上自营商品价格为基准。京东网上自营商品未公布的食材价格，以大型仓储超市商品价格为基准。如上述商品价格都没有，可以参照天猫、每日优鲜等网站同等品质及规格的商品价格为依据，采购价格为正常零售价格×（1-</w:t>
            </w:r>
            <w:r>
              <w:rPr>
                <w:rFonts w:hint="eastAsia"/>
                <w:color w:val="auto"/>
                <w:highlight w:val="none"/>
                <w:lang w:val="en-US" w:eastAsia="zh-CN"/>
              </w:rPr>
              <w:t xml:space="preserve">优惠率</w:t>
            </w:r>
            <w:r>
              <w:rPr>
                <w:rFonts w:hint="eastAsia"/>
                <w:color w:val="auto"/>
                <w:highlight w:val="none"/>
              </w:rPr>
              <w:t xml:space="preserve">）。</w:t>
            </w:r>
            <w:r/>
          </w:p>
        </w:tc>
      </w:tr>
      <w:tr>
        <w:trPr>
          <w:trHeight w:val="697"/>
        </w:trPr>
        <w:tc>
          <w:tcPr>
            <w:tcW w:w="1998" w:type="dxa"/>
            <w:textDirection w:val="lrTb"/>
            <w:noWrap w:val="false"/>
          </w:tcPr>
          <w:p>
            <w:pPr>
              <w:jc w:val="left"/>
              <w:spacing w:line="360" w:lineRule="auto"/>
              <w:widowControl/>
              <w:rPr>
                <w:rFonts w:hint="eastAsia" w:ascii="Arial" w:hAnsi="Arial" w:eastAsia="宋体" w:cs="Arial"/>
                <w:color w:val="auto"/>
                <w:szCs w:val="21"/>
                <w:highlight w:val="none"/>
                <w:vertAlign w:val="baseline"/>
                <w:lang w:eastAsia="zh-CN"/>
              </w:rPr>
            </w:pPr>
            <w:r>
              <w:rPr>
                <w:rFonts w:hint="eastAsia"/>
                <w:color w:val="auto"/>
                <w:highlight w:val="none"/>
                <w:lang w:val="en-US" w:eastAsia="zh-CN"/>
              </w:rPr>
              <w:t xml:space="preserve">优惠率</w:t>
            </w:r>
            <w:r/>
          </w:p>
        </w:tc>
        <w:tc>
          <w:tcPr>
            <w:tcW w:w="6724" w:type="dxa"/>
            <w:textDirection w:val="lrTb"/>
            <w:noWrap w:val="false"/>
          </w:tcPr>
          <w:p>
            <w:pPr>
              <w:jc w:val="left"/>
              <w:spacing w:line="360" w:lineRule="auto"/>
              <w:widowControl/>
              <w:rPr>
                <w:rFonts w:hint="default" w:ascii="Arial" w:hAnsi="Arial" w:eastAsia="宋体" w:cs="Arial"/>
                <w:color w:val="auto"/>
                <w:szCs w:val="21"/>
                <w:highlight w:val="none"/>
                <w:vertAlign w:val="baseline"/>
                <w:lang w:val="en-US" w:eastAsia="zh-CN"/>
              </w:rPr>
            </w:pPr>
            <w:r>
              <w:rPr>
                <w:rFonts w:hint="eastAsia" w:ascii="Arial" w:hAnsi="Arial" w:cs="Arial"/>
                <w:color w:val="auto"/>
                <w:szCs w:val="21"/>
                <w:highlight w:val="none"/>
                <w:vertAlign w:val="baseline"/>
                <w:lang w:val="en-US" w:eastAsia="zh-CN"/>
              </w:rPr>
              <w:t xml:space="preserve">     %</w:t>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pStyle w:val="970"/>
        <w:jc w:val="right"/>
        <w:rPr>
          <w:rFonts w:hint="eastAsia" w:ascii="Arial" w:hAnsi="Arial" w:cs="Arial"/>
          <w:color w:val="auto"/>
          <w:highlight w:val="none"/>
        </w:rPr>
        <w:sectPr>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Arial" w:hAnsi="Arial" w:cs="Arial"/>
          <w:color w:val="auto"/>
          <w:highlight w:val="none"/>
        </w:rPr>
      </w:r>
      <w:bookmarkEnd w:id="58"/>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四</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采购需求偏离表</w:t>
      </w:r>
      <w:r>
        <w:rPr>
          <w:rFonts w:ascii="Arial" w:hAnsi="Arial" w:cs="Arial"/>
          <w:b/>
          <w:bCs/>
          <w:color w:val="auto"/>
          <w:szCs w:val="21"/>
          <w:highlight w:val="none"/>
        </w:rPr>
        <w:t xml:space="preserve">格式</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63" w:name="_Toc31381_WPSOffice_Level2"/>
      <w:r>
        <w:rPr>
          <w:rFonts w:hint="eastAsia" w:ascii="Arial" w:hAnsi="Arial" w:cs="Arial"/>
          <w:b/>
          <w:color w:val="auto"/>
          <w:sz w:val="36"/>
          <w:szCs w:val="36"/>
          <w:highlight w:val="none"/>
        </w:rPr>
        <w:t xml:space="preserve">采购需求偏离表</w:t>
      </w:r>
      <w:bookmarkEnd w:id="63"/>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84"/>
        <w:jc w:val="left"/>
        <w:spacing w:line="360" w:lineRule="auto"/>
        <w:widowControl/>
        <w:tabs>
          <w:tab w:val="left" w:pos="5397"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投标文件采购需求部分内容响应存在正偏离或负偏离的，请在本表中逐条列出。未列出的，视为响应招标文件要求。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64" w:name="_Toc19798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五</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商务</w:t>
      </w:r>
      <w:r>
        <w:rPr>
          <w:rFonts w:ascii="Arial" w:hAnsi="Arial" w:cs="Arial"/>
          <w:b/>
          <w:bCs/>
          <w:color w:val="auto"/>
          <w:szCs w:val="21"/>
          <w:highlight w:val="none"/>
        </w:rPr>
        <w:t xml:space="preserve">条款偏离表格式</w:t>
      </w:r>
      <w:bookmarkEnd w:id="64"/>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65" w:name="_Toc11233_WPSOffice_Level2"/>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bookmarkEnd w:id="65"/>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投标文件商务部分内容响应存在正偏离或负偏离的，请在本表中逐条列出。未列出的，视为响应招标文件要求。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bCs/>
          <w:color w:val="auto"/>
          <w:szCs w:val="21"/>
          <w:highlight w:val="none"/>
        </w:rPr>
        <w:br w:type="page" w:clear="all"/>
      </w:r>
      <w:bookmarkStart w:id="66" w:name="_Toc21542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六</w:t>
      </w:r>
      <w:r>
        <w:rPr>
          <w:rFonts w:ascii="Arial" w:hAnsi="Arial" w:cs="Arial"/>
          <w:b/>
          <w:bCs/>
          <w:color w:val="auto"/>
          <w:szCs w:val="21"/>
          <w:highlight w:val="none"/>
        </w:rPr>
        <w:t xml:space="preserve">、</w:t>
      </w:r>
      <w:bookmarkEnd w:id="66"/>
      <w:r>
        <w:rPr>
          <w:rFonts w:ascii="Arial" w:hAnsi="Arial" w:eastAsia="宋体" w:cs="Arial"/>
          <w:b/>
          <w:bCs/>
          <w:color w:val="auto"/>
          <w:szCs w:val="21"/>
          <w:highlight w:val="none"/>
        </w:rPr>
        <w:t xml:space="preserve">投标人自行编写的技术文件</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229"/>
        <w:ind w:firstLine="420"/>
        <w:spacing w:before="0" w:after="0"/>
        <w:rPr>
          <w:rFonts w:hint="default" w:cs="Arial"/>
          <w:color w:val="auto"/>
          <w:sz w:val="21"/>
          <w:szCs w:val="21"/>
          <w:highlight w:val="none"/>
          <w:lang w:val="en-US" w:eastAsia="zh-CN"/>
        </w:rPr>
      </w:pPr>
      <w:r>
        <w:rPr>
          <w:rFonts w:hint="default" w:cs="Arial"/>
          <w:color w:val="auto"/>
          <w:sz w:val="21"/>
          <w:szCs w:val="21"/>
          <w:highlight w:val="none"/>
          <w:lang w:val="en-US" w:eastAsia="zh-CN"/>
        </w:rPr>
      </w:r>
      <w:r/>
    </w:p>
    <w:p>
      <w:pPr>
        <w:pStyle w:val="919"/>
        <w:rPr>
          <w:highlight w:val="none"/>
        </w:rPr>
      </w:pPr>
      <w:r>
        <w:rPr>
          <w:highlight w:val="none"/>
        </w:rPr>
      </w:r>
      <w:r/>
    </w:p>
    <w:p>
      <w:pPr>
        <w:pStyle w:val="959"/>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bookmarkStart w:id="67" w:name="_Toc14221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七</w:t>
      </w:r>
      <w:r>
        <w:rPr>
          <w:rFonts w:ascii="Arial" w:hAnsi="Arial" w:cs="Arial"/>
          <w:b/>
          <w:bCs/>
          <w:color w:val="auto"/>
          <w:sz w:val="24"/>
          <w:highlight w:val="none"/>
        </w:rPr>
        <w:t xml:space="preserve">、拟参与本项目服务人员一览表</w:t>
      </w:r>
      <w:bookmarkEnd w:id="67"/>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bookmarkStart w:id="68" w:name="_Toc4394_WPSOffice_Level2"/>
      <w:r>
        <w:rPr>
          <w:rFonts w:ascii="Arial" w:hAnsi="Arial" w:cs="Arial"/>
          <w:b/>
          <w:bCs/>
          <w:color w:val="auto"/>
          <w:sz w:val="24"/>
          <w:highlight w:val="none"/>
        </w:rPr>
        <w:t xml:space="preserve">拟参与本项目服务人员一览表</w:t>
      </w:r>
      <w:bookmarkEnd w:id="68"/>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91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bookmarkStart w:id="69" w:name="_Toc10822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八</w:t>
      </w:r>
      <w:r>
        <w:rPr>
          <w:rFonts w:ascii="Arial" w:hAnsi="Arial" w:cs="Arial"/>
          <w:b/>
          <w:bCs/>
          <w:color w:val="auto"/>
          <w:sz w:val="24"/>
          <w:highlight w:val="none"/>
        </w:rPr>
        <w:t xml:space="preserve">、 投标人类似业绩情况表</w:t>
      </w:r>
      <w:bookmarkEnd w:id="69"/>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bookmarkStart w:id="70" w:name="_Toc15731_WPSOffice_Level2"/>
      <w:r>
        <w:rPr>
          <w:rFonts w:ascii="Arial" w:hAnsi="Arial" w:cs="Arial"/>
          <w:b/>
          <w:bCs/>
          <w:color w:val="auto"/>
          <w:sz w:val="24"/>
          <w:highlight w:val="none"/>
        </w:rPr>
        <w:t xml:space="preserve">投标人类似业绩情况表</w:t>
      </w:r>
      <w:bookmarkEnd w:id="70"/>
      <w:r/>
      <w:r/>
    </w:p>
    <w:tbl>
      <w:tblPr>
        <w:tblStyle w:val="911"/>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b/>
          <w:bCs/>
          <w:color w:val="auto"/>
          <w:highlight w:val="none"/>
        </w:rPr>
      </w:pPr>
      <w:r>
        <w:rPr>
          <w:rFonts w:ascii="Arial" w:hAnsi="Arial" w:cs="Arial"/>
          <w:b/>
          <w:color w:val="auto"/>
          <w:highlight w:val="none"/>
        </w:rPr>
        <w:br w:type="page" w:clear="all"/>
      </w:r>
      <w:bookmarkStart w:id="71" w:name="_Toc11780_WPSOffice_Level1"/>
      <w:r>
        <w:rPr>
          <w:rFonts w:ascii="Arial" w:hAnsi="Arial" w:cs="Arial"/>
          <w:b/>
          <w:color w:val="auto"/>
          <w:highlight w:val="none"/>
        </w:rPr>
        <w:t xml:space="preserve">附件</w:t>
      </w:r>
      <w:r>
        <w:rPr>
          <w:rFonts w:hint="eastAsia" w:ascii="Arial" w:hAnsi="Arial" w:cs="Arial"/>
          <w:b/>
          <w:color w:val="auto"/>
          <w:highlight w:val="none"/>
        </w:rPr>
        <w:t xml:space="preserve">九</w:t>
      </w:r>
      <w:r>
        <w:rPr>
          <w:rFonts w:ascii="Arial" w:hAnsi="Arial" w:cs="Arial"/>
          <w:b/>
          <w:bCs/>
          <w:color w:val="auto"/>
          <w:highlight w:val="none"/>
        </w:rPr>
        <w:t xml:space="preserve">：企业声明函格式</w:t>
      </w:r>
      <w:bookmarkEnd w:id="71"/>
      <w:r/>
      <w:r/>
    </w:p>
    <w:p>
      <w:pPr>
        <w:jc w:val="center"/>
        <w:spacing w:line="360" w:lineRule="auto"/>
        <w:rPr>
          <w:rFonts w:ascii="Arial" w:hAnsi="Arial" w:cs="Arial"/>
          <w:b/>
          <w:bCs/>
          <w:color w:val="auto"/>
          <w:sz w:val="28"/>
          <w:highlight w:val="none"/>
        </w:rPr>
      </w:pPr>
      <w:r/>
      <w:bookmarkStart w:id="72" w:name="OLE_LINK13"/>
      <w:r/>
      <w:bookmarkStart w:id="73" w:name="OLE_LINK14"/>
      <w:r/>
      <w:r/>
    </w:p>
    <w:p>
      <w:pPr>
        <w:jc w:val="center"/>
        <w:keepLines w:val="0"/>
        <w:keepNext w:val="0"/>
        <w:pageBreakBefore w:val="0"/>
        <w:spacing w:before="313" w:line="480" w:lineRule="auto"/>
        <w:widowControl w:val="off"/>
        <w:rPr>
          <w:rFonts w:ascii="Arial" w:hAnsi="Arial" w:cs="Arial"/>
          <w:b/>
          <w:bCs/>
          <w:sz w:val="28"/>
          <w:szCs w:val="28"/>
          <w:highlight w:val="none"/>
        </w:rPr>
      </w:pPr>
      <w:r/>
      <w:bookmarkStart w:id="74" w:name="OLE_LINK2"/>
      <w:r>
        <w:rPr>
          <w:rFonts w:hint="eastAsia" w:ascii="宋体" w:hAnsi="宋体" w:cs="Arial"/>
          <w:b/>
          <w:bCs/>
          <w:sz w:val="28"/>
          <w:szCs w:val="28"/>
          <w:highlight w:val="none"/>
        </w:rPr>
        <w:t xml:space="preserve">中小企业声明函（货物）</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highlight w:val="none"/>
        </w:rPr>
        <w:t xml:space="preserve">〕</w:t>
      </w:r>
      <w:r>
        <w:rPr>
          <w:rFonts w:hint="eastAsia" w:ascii="宋体" w:hAnsi="宋体" w:cs="Arial"/>
          <w:highlight w:val="none"/>
        </w:rPr>
        <w:t xml:space="preserve">） </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w:t>
      </w:r>
      <w:r>
        <w:rPr>
          <w:rFonts w:hint="eastAsia" w:ascii="Arial" w:hAnsi="Arial" w:cs="Arial"/>
          <w:highlight w:val="none"/>
        </w:rPr>
        <w:t xml:space="preserve">,</w:t>
      </w:r>
      <w:r>
        <w:rPr>
          <w:rFonts w:hint="eastAsia" w:ascii="宋体" w:hAnsi="宋体" w:cs="Arial"/>
          <w:highlight w:val="none"/>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1.</w:t>
      </w: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w:t>
      </w:r>
      <w:r>
        <w:rPr>
          <w:rFonts w:hint="eastAsia" w:ascii="Arial" w:hAnsi="Arial" w:cs="Arial"/>
          <w:highlight w:val="none"/>
        </w:rPr>
        <w:t xml:space="preserve">;</w:t>
      </w:r>
      <w:r>
        <w:rPr>
          <w:rFonts w:hint="eastAsia" w:ascii="宋体" w:hAnsi="宋体" w:cs="Arial"/>
          <w:highlight w:val="none"/>
        </w:rPr>
        <w:t xml:space="preserve">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rPr>
        <w:t xml:space="preserve">—万元，资产总额为</w:t>
      </w:r>
      <w:r>
        <w:rPr>
          <w:rFonts w:hint="eastAsia" w:ascii="Arial" w:hAnsi="Arial" w:cs="Arial"/>
          <w:highlight w:val="none"/>
          <w:u w:val="single"/>
        </w:rPr>
        <w:tab/>
      </w:r>
      <w:r>
        <w:rPr>
          <w:rFonts w:hint="eastAsia" w:ascii="宋体" w:hAnsi="宋体" w:cs="Arial"/>
          <w:highlight w:val="none"/>
          <w:u w:val="single"/>
        </w:rPr>
        <w:t xml:space="preserve">万</w:t>
      </w:r>
      <w:r>
        <w:rPr>
          <w:rFonts w:hint="eastAsia" w:ascii="宋体" w:hAnsi="宋体" w:cs="Arial"/>
          <w:highlight w:val="none"/>
        </w:rPr>
        <w:t xml:space="preserve">元</w:t>
      </w:r>
      <w:r>
        <w:rPr>
          <w:rFonts w:hint="eastAsia" w:ascii="Arial" w:hAnsi="Arial" w:cs="Arial"/>
          <w:highlight w:val="none"/>
        </w:rPr>
        <w:t xml:space="preserve">，</w:t>
      </w:r>
      <w:r>
        <w:rPr>
          <w:rFonts w:hint="eastAsia" w:ascii="宋体" w:hAnsi="宋体" w:cs="Arial"/>
          <w:highlight w:val="none"/>
        </w:rPr>
        <w:t xml:space="preserve">属于（中型企业、小型企业、微型企业）；</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2.</w:t>
      </w: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p>
    <w:p>
      <w:pPr>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highlight w:val="none"/>
        </w:rPr>
      </w:pPr>
      <w:r>
        <w:rPr>
          <w:rFonts w:hint="eastAsia" w:ascii="宋体" w:hAnsi="宋体" w:cs="Arial"/>
          <w:highlight w:val="none"/>
        </w:rPr>
        <w:t xml:space="preserve">本企业对上述声明内容的真实性负责。如有虚假，将依法承担相应责任。</w:t>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420"/>
        <w:jc w:val="right"/>
        <w:spacing w:line="440" w:lineRule="exact"/>
        <w:widowControl/>
        <w:rPr>
          <w:rFonts w:ascii="Arial" w:hAnsi="Arial" w:cs="Arial"/>
          <w:color w:val="auto"/>
          <w:highlight w:val="none"/>
        </w:rPr>
      </w:pPr>
      <w:r>
        <w:rPr>
          <w:rFonts w:ascii="Arial" w:hAnsi="Arial" w:cs="Arial"/>
          <w:color w:val="auto"/>
          <w:highlight w:val="none"/>
        </w:rPr>
      </w:r>
      <w:r/>
    </w:p>
    <w:p>
      <w:pPr>
        <w:jc w:val="center"/>
        <w:spacing w:line="360" w:lineRule="auto"/>
        <w:rPr>
          <w:rFonts w:ascii="Arial" w:hAnsi="Arial" w:cs="Arial"/>
          <w:b/>
          <w:bCs/>
          <w:color w:val="auto"/>
          <w:sz w:val="28"/>
          <w:highlight w:val="none"/>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color w:val="auto"/>
          <w:highlight w:val="none"/>
        </w:rPr>
        <w:t xml:space="preserve">                                                   日期：</w:t>
      </w:r>
      <w:r/>
    </w:p>
    <w:p>
      <w:pPr>
        <w:jc w:val="center"/>
        <w:spacing w:line="360" w:lineRule="auto"/>
        <w:rPr>
          <w:rFonts w:ascii="Arial" w:hAnsi="Arial" w:cs="Arial"/>
          <w:b/>
          <w:bCs/>
          <w:color w:val="auto"/>
          <w:sz w:val="28"/>
          <w:highlight w:val="none"/>
        </w:rPr>
      </w:pPr>
      <w:r/>
      <w:bookmarkStart w:id="75" w:name="_Toc9692_WPSOffice_Level2"/>
      <w:r>
        <w:rPr>
          <w:rFonts w:ascii="Arial" w:hAnsi="Arial" w:cs="Arial"/>
          <w:b/>
          <w:bCs/>
          <w:color w:val="auto"/>
          <w:sz w:val="28"/>
          <w:highlight w:val="none"/>
        </w:rPr>
        <w:t xml:space="preserve">残疾人福利性单位声明函</w:t>
      </w:r>
      <w:bookmarkEnd w:id="75"/>
      <w:r/>
      <w:bookmarkEnd w:id="72"/>
      <w:r/>
      <w:bookmarkEnd w:id="73"/>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日  期：</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sz w:val="28"/>
          <w:highlight w:val="none"/>
        </w:rPr>
      </w:pPr>
      <w:r/>
      <w:bookmarkStart w:id="76" w:name="_Toc29930_WPSOffice_Level2"/>
      <w:r>
        <w:rPr>
          <w:rFonts w:ascii="Arial" w:hAnsi="Arial" w:cs="Arial"/>
          <w:b/>
          <w:bCs/>
          <w:color w:val="auto"/>
          <w:sz w:val="28"/>
          <w:highlight w:val="none"/>
        </w:rPr>
        <w:t xml:space="preserve">属于监狱企业的证明文件</w:t>
      </w:r>
      <w:bookmarkEnd w:id="76"/>
      <w:r/>
      <w:r/>
    </w:p>
    <w:p>
      <w:pPr>
        <w:spacing w:line="360" w:lineRule="auto"/>
        <w:rPr>
          <w:rFonts w:ascii="Arial" w:hAnsi="Arial" w:cs="Arial"/>
          <w:color w:val="auto"/>
          <w:highlight w:val="none"/>
        </w:rPr>
      </w:pPr>
      <w:r>
        <w:rPr>
          <w:rFonts w:ascii="Arial" w:hAnsi="Arial" w:cs="Arial"/>
          <w:color w:val="auto"/>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77" w:name="_Toc27230_WPSOffice_Level2"/>
      <w:r>
        <w:rPr>
          <w:rFonts w:ascii="Arial" w:hAnsi="Arial" w:cs="Arial"/>
          <w:b/>
          <w:bCs/>
          <w:color w:val="auto"/>
          <w:sz w:val="28"/>
          <w:highlight w:val="none"/>
        </w:rPr>
        <w:t xml:space="preserve">节能产品认证证书</w:t>
      </w:r>
      <w:bookmarkEnd w:id="77"/>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78" w:name="_Toc5659_WPSOffice_Level2"/>
      <w:r>
        <w:rPr>
          <w:rFonts w:ascii="Arial" w:hAnsi="Arial" w:cs="Arial"/>
          <w:b/>
          <w:bCs/>
          <w:color w:val="auto"/>
          <w:sz w:val="28"/>
          <w:highlight w:val="none"/>
        </w:rPr>
        <w:t xml:space="preserve">环境标志产品认证证书</w:t>
      </w:r>
      <w:bookmarkEnd w:id="78"/>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jc w:val="center"/>
        <w:spacing w:line="360" w:lineRule="auto"/>
        <w:rPr>
          <w:rFonts w:ascii="Arial" w:hAnsi="Arial" w:cs="Arial"/>
          <w:b/>
          <w:bCs/>
          <w:color w:val="auto"/>
          <w:sz w:val="28"/>
          <w:highlight w:val="none"/>
        </w:rPr>
      </w:pPr>
      <w:r/>
      <w:bookmarkStart w:id="79" w:name="_Toc4803_WPSOffice_Level2"/>
      <w:r>
        <w:rPr>
          <w:rFonts w:ascii="Arial" w:hAnsi="Arial" w:cs="Arial"/>
          <w:b/>
          <w:bCs/>
          <w:color w:val="auto"/>
          <w:sz w:val="28"/>
          <w:highlight w:val="none"/>
        </w:rPr>
        <w:t xml:space="preserve">进口产品转让技术、消化吸收再创新方案</w:t>
      </w:r>
      <w:bookmarkEnd w:id="79"/>
      <w:r/>
      <w:r/>
    </w:p>
    <w:p>
      <w:pPr>
        <w:spacing w:line="360" w:lineRule="auto"/>
        <w:rPr>
          <w:rFonts w:ascii="Arial" w:hAnsi="Arial" w:cs="Arial"/>
          <w:bCs/>
          <w:color w:val="auto"/>
          <w:highlight w:val="none"/>
        </w:rPr>
      </w:pPr>
      <w:r>
        <w:rPr>
          <w:rFonts w:ascii="Arial" w:hAnsi="Arial" w:cs="Arial"/>
          <w:bCs/>
          <w:color w:val="auto"/>
          <w:highlight w:val="none"/>
        </w:rPr>
        <w:t xml:space="preserve">（对于允许进口产品参加的项目）</w:t>
      </w:r>
      <w:bookmarkEnd w:id="74"/>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bookmarkStart w:id="80" w:name="_Toc14078_WPSOffice_Level1"/>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pStyle w:val="945"/>
        <w:jc w:val="center"/>
        <w:spacing w:before="24" w:beforeAutospacing="0" w:after="24" w:afterAutospacing="0" w:line="360" w:lineRule="auto"/>
        <w:shd w:val="clear" w:color="auto" w:fill="ffffff"/>
        <w:widowControl/>
        <w:rPr>
          <w:rFonts w:hint="eastAsia" w:ascii="Arial" w:hAnsi="Arial" w:eastAsia="宋体" w:cs="Arial"/>
          <w:b/>
          <w:bCs/>
          <w:color w:val="auto"/>
          <w:sz w:val="28"/>
          <w:szCs w:val="24"/>
          <w:highlight w:val="none"/>
          <w:lang w:val="en-US" w:eastAsia="zh-CN" w:bidi="ar-SA"/>
        </w:rPr>
      </w:pPr>
      <w:r>
        <w:rPr>
          <w:rFonts w:hint="eastAsia" w:ascii="Arial" w:hAnsi="Arial" w:eastAsia="宋体" w:cs="Arial"/>
          <w:b/>
          <w:bCs/>
          <w:color w:val="auto"/>
          <w:sz w:val="28"/>
          <w:szCs w:val="24"/>
          <w:highlight w:val="none"/>
          <w:lang w:val="en-US" w:eastAsia="zh-CN" w:bidi="ar-SA"/>
        </w:rPr>
        <w:t xml:space="preserve">关于符合本国产品标准的声明函</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1.</w:t>
      </w:r>
      <w:r>
        <w:rPr>
          <w:rStyle w:val="954"/>
          <w:rFonts w:hint="eastAsia" w:ascii="宋体" w:hAnsi="宋体" w:eastAsia="宋体" w:cs="宋体"/>
          <w:i w:val="0"/>
          <w:color w:val="333333"/>
          <w:sz w:val="21"/>
          <w:szCs w:val="21"/>
          <w:highlight w:val="none"/>
          <w:shd w:val="clear" w:color="auto" w:fill="ffffff"/>
        </w:rPr>
        <w:t xml:space="preserve">（产品名称1）</w:t>
      </w:r>
      <w:r>
        <w:rPr>
          <w:rStyle w:val="954"/>
          <w:rFonts w:hint="eastAsia" w:ascii="宋体" w:hAnsi="宋体" w:eastAsia="宋体" w:cs="宋体"/>
          <w:i w:val="0"/>
          <w:color w:val="333333"/>
          <w:sz w:val="21"/>
          <w:szCs w:val="21"/>
          <w:highlight w:val="none"/>
          <w:shd w:val="clear" w:color="auto" w:fill="ffffff"/>
          <w:vertAlign w:val="superscript"/>
        </w:rPr>
        <w:t xml:space="preserve">1</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Style w:val="954"/>
          <w:rFonts w:hint="eastAsia" w:ascii="宋体" w:hAnsi="宋体" w:eastAsia="宋体" w:cs="宋体"/>
          <w:i w:val="0"/>
          <w:color w:val="333333"/>
          <w:sz w:val="21"/>
          <w:szCs w:val="21"/>
          <w:highlight w:val="none"/>
          <w:shd w:val="clear" w:color="auto" w:fill="ffffff"/>
          <w:vertAlign w:val="superscript"/>
        </w:rPr>
        <w:t xml:space="preserve">2</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Style w:val="954"/>
          <w:rFonts w:hint="eastAsia" w:ascii="宋体" w:hAnsi="宋体" w:eastAsia="宋体" w:cs="宋体"/>
          <w:i w:val="0"/>
          <w:color w:val="333333"/>
          <w:sz w:val="21"/>
          <w:szCs w:val="21"/>
          <w:highlight w:val="none"/>
          <w:shd w:val="clear" w:color="auto" w:fill="ffffff"/>
          <w:vertAlign w:val="superscript"/>
        </w:rPr>
        <w:t xml:space="preserve">3</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Style w:val="954"/>
          <w:rFonts w:hint="eastAsia" w:ascii="宋体" w:hAnsi="宋体" w:eastAsia="宋体" w:cs="宋体"/>
          <w:i w:val="0"/>
          <w:color w:val="333333"/>
          <w:sz w:val="21"/>
          <w:szCs w:val="21"/>
          <w:highlight w:val="none"/>
          <w:shd w:val="clear" w:color="auto" w:fill="ffffff"/>
          <w:vertAlign w:val="superscript"/>
        </w:rPr>
        <w:t xml:space="preserve">4</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Style w:val="954"/>
          <w:rFonts w:hint="eastAsia" w:ascii="宋体" w:hAnsi="宋体" w:eastAsia="宋体" w:cs="宋体"/>
          <w:i w:val="0"/>
          <w:color w:val="333333"/>
          <w:sz w:val="21"/>
          <w:szCs w:val="21"/>
          <w:highlight w:val="none"/>
          <w:shd w:val="clear" w:color="auto" w:fill="ffffff"/>
          <w:vertAlign w:val="superscript"/>
        </w:rPr>
        <w:t xml:space="preserve">5</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2.</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本公司（单位）对上述声明内容的真实性负责。如有虚假，愿承担相应法律责任。</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公司（单位）名称（盖章）：      </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日期：　　　　　年　　月　日    </w:t>
      </w:r>
      <w:r/>
    </w:p>
    <w:p>
      <w:pPr>
        <w:pStyle w:val="945"/>
        <w:spacing w:beforeAutospacing="0" w:afterAutospacing="0" w:line="240" w:lineRule="auto"/>
        <w:shd w:val="clear" w:color="auto" w:fill="ffffff"/>
        <w:widowControl/>
        <w:rPr>
          <w:rFonts w:hint="eastAsia" w:ascii="宋体" w:hAnsi="宋体" w:eastAsia="宋体" w:cs="宋体"/>
          <w:color w:val="333333"/>
          <w:sz w:val="28"/>
          <w:szCs w:val="28"/>
          <w:highlight w:val="none"/>
        </w:rPr>
      </w:pPr>
      <w:r>
        <w:rPr>
          <w:rFonts w:hint="eastAsia" w:ascii="宋体" w:hAnsi="宋体" w:eastAsia="宋体" w:cs="宋体"/>
          <w:color w:val="333333"/>
          <w:sz w:val="28"/>
          <w:szCs w:val="28"/>
          <w:highlight w:val="none"/>
          <w:shd w:val="clear" w:color="auto" w:fill="ffffff"/>
        </w:rPr>
        <w:t xml:space="preserve">_____________________________</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附件十、无重大违法记录声明格式</w:t>
      </w:r>
      <w:bookmarkEnd w:id="80"/>
      <w:r/>
      <w:r/>
    </w:p>
    <w:p>
      <w:pPr>
        <w:rPr>
          <w:rFonts w:ascii="Arial" w:hAnsi="Arial" w:eastAsia="黑体" w:cs="Arial"/>
          <w:color w:val="auto"/>
          <w:sz w:val="28"/>
          <w:szCs w:val="36"/>
          <w:highlight w:val="none"/>
        </w:rPr>
      </w:pPr>
      <w:r/>
      <w:bookmarkStart w:id="81" w:name="_Toc28833_WPSOffice_Level2"/>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bookmarkEnd w:id="81"/>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103"/>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szCs w:val="21"/>
          <w:highlight w:val="none"/>
          <w:lang w:val="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auto"/>
          <w:szCs w:val="21"/>
          <w:highlight w:val="none"/>
          <w:lang w:val="zh-CN"/>
        </w:rPr>
        <w:t xml:space="preserve">日期：年月</w:t>
      </w:r>
      <w:r/>
    </w:p>
    <w:p>
      <w:pPr>
        <w:spacing w:line="360" w:lineRule="auto"/>
        <w:rPr>
          <w:rFonts w:ascii="Arial" w:hAnsi="Arial" w:cs="Arial"/>
          <w:b/>
          <w:color w:val="auto"/>
          <w:highlight w:val="none"/>
        </w:rPr>
      </w:pPr>
      <w:r/>
      <w:bookmarkStart w:id="82" w:name="_Toc10146_WPSOffice_Level1"/>
      <w:r>
        <w:rPr>
          <w:rFonts w:ascii="Arial" w:hAnsi="Arial" w:cs="Arial"/>
          <w:b/>
          <w:color w:val="auto"/>
          <w:highlight w:val="none"/>
        </w:rPr>
        <w:t xml:space="preserve">附件十</w:t>
      </w:r>
      <w:r>
        <w:rPr>
          <w:rFonts w:hint="eastAsia" w:ascii="Arial" w:hAnsi="Arial" w:cs="Arial"/>
          <w:b/>
          <w:color w:val="auto"/>
          <w:highlight w:val="none"/>
        </w:rPr>
        <w:t xml:space="preserve">一</w:t>
      </w:r>
      <w:r>
        <w:rPr>
          <w:rFonts w:ascii="Arial" w:hAnsi="Arial" w:cs="Arial"/>
          <w:b/>
          <w:color w:val="auto"/>
          <w:highlight w:val="none"/>
        </w:rPr>
        <w:t xml:space="preserve">、 资格资信证明文件</w:t>
      </w:r>
      <w:bookmarkEnd w:id="82"/>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bookmarkStart w:id="83" w:name="_Toc32156_WPSOffice_Level1"/>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、其他</w:t>
      </w:r>
      <w:bookmarkEnd w:id="83"/>
      <w:r/>
      <w:r/>
    </w:p>
    <w:p>
      <w:pPr>
        <w:spacing w:line="360" w:lineRule="auto"/>
        <w:rPr>
          <w:rFonts w:ascii="Arial" w:hAnsi="Arial" w:cs="Arial"/>
          <w:b/>
          <w:color w:val="auto"/>
          <w:highlight w:val="none"/>
        </w:rPr>
      </w:pPr>
      <w:r>
        <w:rPr>
          <w:rFonts w:ascii="Arial" w:hAnsi="Arial" w:cs="Arial"/>
          <w:b/>
          <w:color w:val="auto"/>
          <w:highlight w:val="none"/>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Noto Sans SC">
    <w:panose1 w:val="020B0503020202020204"/>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framePr w:wrap="around"/>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35"/>
      <w:isLgl w:val="false"/>
      <w:suff w:val="tab"/>
      <w:lvlText w:val="%1.%2"/>
      <w:lvlJc w:val="left"/>
      <w:pPr>
        <w:ind w:left="425" w:hanging="425"/>
      </w:pPr>
      <w:rPr>
        <w:rFonts w:hint="eastAsia" w:ascii="Arial Unicode MS" w:hAnsi="Arial Unicode MS" w:eastAsia="微软雅黑"/>
        <w:b/>
        <w:i w:val="0"/>
      </w:rPr>
    </w:lvl>
    <w:lvl w:ilvl="2">
      <w:start w:val="1"/>
      <w:numFmt w:val="decimal"/>
      <w:pStyle w:val="1234"/>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7">
    <w:multiLevelType w:val="hybridMultilevel"/>
    <w:lvl w:ilvl="0">
      <w:start w:val="1"/>
      <w:numFmt w:val="chineseCountingThousand"/>
      <w:pStyle w:val="901"/>
      <w:isLgl w:val="false"/>
      <w:suff w:val="nothing"/>
      <w:lvlText w:val="第%1章"/>
      <w:lvlJc w:val="left"/>
      <w:pPr>
        <w:ind w:left="0" w:firstLine="0"/>
      </w:pPr>
    </w:lvl>
    <w:lvl w:ilvl="1">
      <w:start w:val="1"/>
      <w:numFmt w:val="decimal"/>
      <w:pStyle w:val="902"/>
      <w:isLgl w:val="false"/>
      <w:suff w:val="nothing"/>
      <w:lvlText w:val=""/>
      <w:lvlJc w:val="left"/>
      <w:pPr>
        <w:ind w:left="0" w:firstLine="0"/>
      </w:pPr>
    </w:lvl>
    <w:lvl w:ilvl="2">
      <w:start w:val="1"/>
      <w:numFmt w:val="decimal"/>
      <w:pStyle w:val="903"/>
      <w:isLgl w:val="false"/>
      <w:suff w:val="nothing"/>
      <w:lvlText w:val=""/>
      <w:lvlJc w:val="left"/>
      <w:pPr>
        <w:ind w:left="0" w:firstLine="0"/>
      </w:pPr>
    </w:lvl>
    <w:lvl w:ilvl="3">
      <w:start w:val="1"/>
      <w:numFmt w:val="decimal"/>
      <w:pStyle w:val="904"/>
      <w:isLgl w:val="false"/>
      <w:suff w:val="nothing"/>
      <w:lvlText w:val=""/>
      <w:lvlJc w:val="left"/>
      <w:pPr>
        <w:ind w:left="0" w:firstLine="0"/>
      </w:pPr>
    </w:lvl>
    <w:lvl w:ilvl="4">
      <w:start w:val="1"/>
      <w:numFmt w:val="decimal"/>
      <w:pStyle w:val="905"/>
      <w:isLgl w:val="false"/>
      <w:suff w:val="nothing"/>
      <w:lvlText w:val=""/>
      <w:lvlJc w:val="left"/>
      <w:pPr>
        <w:ind w:left="0" w:firstLine="0"/>
      </w:pPr>
    </w:lvl>
    <w:lvl w:ilvl="5">
      <w:start w:val="1"/>
      <w:numFmt w:val="decimal"/>
      <w:pStyle w:val="906"/>
      <w:isLgl w:val="false"/>
      <w:suff w:val="nothing"/>
      <w:lvlText w:val=""/>
      <w:lvlJc w:val="left"/>
      <w:pPr>
        <w:ind w:left="0" w:firstLine="0"/>
      </w:pPr>
    </w:lvl>
    <w:lvl w:ilvl="6">
      <w:start w:val="1"/>
      <w:numFmt w:val="decimal"/>
      <w:pStyle w:val="907"/>
      <w:isLgl w:val="false"/>
      <w:suff w:val="nothing"/>
      <w:lvlText w:val=""/>
      <w:lvlJc w:val="left"/>
      <w:pPr>
        <w:ind w:left="0" w:firstLine="0"/>
      </w:pPr>
    </w:lvl>
    <w:lvl w:ilvl="7">
      <w:start w:val="1"/>
      <w:numFmt w:val="decimal"/>
      <w:pStyle w:val="908"/>
      <w:isLgl w:val="false"/>
      <w:suff w:val="nothing"/>
      <w:lvlText w:val=""/>
      <w:lvlJc w:val="left"/>
      <w:pPr>
        <w:ind w:left="0" w:firstLine="0"/>
      </w:pPr>
    </w:lvl>
    <w:lvl w:ilvl="8">
      <w:start w:val="1"/>
      <w:numFmt w:val="decimal"/>
      <w:pStyle w:val="909"/>
      <w:isLgl w:val="false"/>
      <w:suff w:val="nothing"/>
      <w:lvlText w:val=""/>
      <w:lvlJc w:val="left"/>
      <w:pPr>
        <w:ind w:left="0" w:firstLine="0"/>
      </w:pPr>
    </w:lvl>
  </w:abstractNum>
  <w:num w:numId="1">
    <w:abstractNumId w:val="7"/>
  </w:num>
  <w:num w:numId="2">
    <w:abstractNumId w:val="6"/>
  </w:num>
  <w:num w:numId="3">
    <w:abstractNumId w:val="4"/>
  </w:num>
  <w:num w:numId="4">
    <w:abstractNumId w:val="3"/>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Quote Char"/>
    <w:link w:val="974"/>
    <w:uiPriority w:val="29"/>
    <w:rPr>
      <w:i/>
    </w:rPr>
  </w:style>
  <w:style w:type="character" w:styleId="897">
    <w:name w:val="Intense Quote Char"/>
    <w:link w:val="976"/>
    <w:uiPriority w:val="30"/>
    <w:rPr>
      <w:i/>
    </w:rPr>
  </w:style>
  <w:style w:type="character" w:styleId="898">
    <w:name w:val="Endnote Text Char"/>
    <w:link w:val="930"/>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1">
    <w:name w:val="Heading 1"/>
    <w:basedOn w:val="900"/>
    <w:next w:val="900"/>
    <w:link w:val="1109"/>
    <w:uiPriority w:val="0"/>
    <w:qFormat/>
    <w:pPr>
      <w:numPr>
        <w:ilvl w:val="0"/>
        <w:numId w:val="1"/>
      </w:numPr>
      <w:jc w:val="center"/>
      <w:keepLines/>
      <w:keepNext/>
      <w:spacing w:before="340" w:after="330" w:line="576" w:lineRule="auto"/>
      <w:outlineLvl w:val="0"/>
    </w:pPr>
    <w:rPr>
      <w:b/>
      <w:bCs/>
      <w:sz w:val="32"/>
      <w:szCs w:val="44"/>
    </w:rPr>
  </w:style>
  <w:style w:type="paragraph" w:styleId="902">
    <w:name w:val="Heading 2"/>
    <w:basedOn w:val="900"/>
    <w:next w:val="900"/>
    <w:link w:val="111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03">
    <w:name w:val="Heading 3"/>
    <w:basedOn w:val="900"/>
    <w:next w:val="900"/>
    <w:link w:val="1111"/>
    <w:uiPriority w:val="0"/>
    <w:qFormat/>
    <w:pPr>
      <w:numPr>
        <w:ilvl w:val="2"/>
        <w:numId w:val="1"/>
      </w:numPr>
      <w:keepLines/>
      <w:keepNext/>
      <w:spacing w:before="260" w:after="260" w:line="415" w:lineRule="auto"/>
      <w:outlineLvl w:val="2"/>
    </w:pPr>
    <w:rPr>
      <w:b/>
      <w:bCs/>
      <w:sz w:val="32"/>
      <w:szCs w:val="32"/>
    </w:rPr>
  </w:style>
  <w:style w:type="paragraph" w:styleId="904">
    <w:name w:val="Heading 4"/>
    <w:basedOn w:val="900"/>
    <w:next w:val="900"/>
    <w:link w:val="111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05">
    <w:name w:val="Heading 5"/>
    <w:basedOn w:val="900"/>
    <w:next w:val="900"/>
    <w:link w:val="1113"/>
    <w:uiPriority w:val="0"/>
    <w:qFormat/>
    <w:pPr>
      <w:numPr>
        <w:ilvl w:val="4"/>
        <w:numId w:val="1"/>
      </w:numPr>
      <w:keepLines/>
      <w:keepNext/>
      <w:spacing w:before="280" w:after="290" w:line="374" w:lineRule="auto"/>
      <w:outlineLvl w:val="4"/>
    </w:pPr>
    <w:rPr>
      <w:b/>
      <w:bCs/>
      <w:sz w:val="28"/>
      <w:szCs w:val="28"/>
    </w:rPr>
  </w:style>
  <w:style w:type="paragraph" w:styleId="906">
    <w:name w:val="Heading 6"/>
    <w:basedOn w:val="900"/>
    <w:next w:val="900"/>
    <w:link w:val="1114"/>
    <w:uiPriority w:val="0"/>
    <w:qFormat/>
    <w:pPr>
      <w:numPr>
        <w:ilvl w:val="5"/>
        <w:numId w:val="1"/>
      </w:numPr>
      <w:keepLines/>
      <w:keepNext/>
      <w:spacing w:before="240" w:after="64" w:line="319" w:lineRule="auto"/>
      <w:outlineLvl w:val="5"/>
    </w:pPr>
    <w:rPr>
      <w:rFonts w:ascii="Cambria" w:hAnsi="Cambria"/>
      <w:b/>
      <w:bCs/>
      <w:sz w:val="24"/>
    </w:rPr>
  </w:style>
  <w:style w:type="paragraph" w:styleId="907">
    <w:name w:val="Heading 7"/>
    <w:basedOn w:val="900"/>
    <w:next w:val="900"/>
    <w:link w:val="1115"/>
    <w:uiPriority w:val="99"/>
    <w:qFormat/>
    <w:pPr>
      <w:numPr>
        <w:ilvl w:val="6"/>
        <w:numId w:val="1"/>
      </w:numPr>
      <w:keepLines/>
      <w:keepNext/>
      <w:spacing w:before="240" w:after="64" w:line="319" w:lineRule="auto"/>
      <w:outlineLvl w:val="6"/>
    </w:pPr>
    <w:rPr>
      <w:b/>
      <w:bCs/>
      <w:sz w:val="24"/>
    </w:rPr>
  </w:style>
  <w:style w:type="paragraph" w:styleId="908">
    <w:name w:val="Heading 8"/>
    <w:basedOn w:val="900"/>
    <w:next w:val="900"/>
    <w:link w:val="1116"/>
    <w:uiPriority w:val="99"/>
    <w:qFormat/>
    <w:pPr>
      <w:numPr>
        <w:ilvl w:val="7"/>
        <w:numId w:val="1"/>
      </w:numPr>
      <w:keepLines/>
      <w:keepNext/>
      <w:spacing w:before="240" w:after="64" w:line="319" w:lineRule="auto"/>
      <w:outlineLvl w:val="7"/>
    </w:pPr>
    <w:rPr>
      <w:rFonts w:ascii="Cambria" w:hAnsi="Cambria"/>
      <w:sz w:val="24"/>
    </w:rPr>
  </w:style>
  <w:style w:type="paragraph" w:styleId="909">
    <w:name w:val="Heading 9"/>
    <w:basedOn w:val="900"/>
    <w:next w:val="900"/>
    <w:link w:val="1117"/>
    <w:uiPriority w:val="99"/>
    <w:qFormat/>
    <w:pPr>
      <w:numPr>
        <w:ilvl w:val="8"/>
        <w:numId w:val="1"/>
      </w:numPr>
      <w:keepLines/>
      <w:keepNext/>
      <w:spacing w:before="240" w:after="64" w:line="319" w:lineRule="auto"/>
      <w:outlineLvl w:val="8"/>
    </w:pPr>
    <w:rPr>
      <w:rFonts w:ascii="Cambria" w:hAnsi="Cambria"/>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List 3"/>
    <w:basedOn w:val="900"/>
    <w:uiPriority w:val="99"/>
    <w:unhideWhenUsed/>
    <w:qFormat/>
    <w:pPr>
      <w:ind w:left="1260" w:hanging="420"/>
      <w:spacing w:before="100" w:beforeAutospacing="1" w:after="100" w:afterAutospacing="1"/>
    </w:pPr>
    <w:rPr>
      <w:szCs w:val="21"/>
    </w:rPr>
  </w:style>
  <w:style w:type="paragraph" w:styleId="913">
    <w:name w:val="toc 7"/>
    <w:basedOn w:val="900"/>
    <w:next w:val="900"/>
    <w:uiPriority w:val="39"/>
    <w:unhideWhenUsed/>
    <w:qFormat/>
    <w:pPr>
      <w:ind w:left="1701"/>
      <w:spacing w:after="57"/>
    </w:pPr>
  </w:style>
  <w:style w:type="paragraph" w:styleId="914">
    <w:name w:val="Normal Indent"/>
    <w:basedOn w:val="900"/>
    <w:uiPriority w:val="99"/>
    <w:unhideWhenUsed/>
    <w:qFormat/>
    <w:pPr>
      <w:ind w:firstLine="420"/>
    </w:pPr>
    <w:rPr>
      <w:b/>
      <w:sz w:val="24"/>
      <w:szCs w:val="20"/>
    </w:rPr>
  </w:style>
  <w:style w:type="paragraph" w:styleId="915">
    <w:name w:val="Caption"/>
    <w:basedOn w:val="900"/>
    <w:next w:val="900"/>
    <w:uiPriority w:val="99"/>
    <w:qFormat/>
    <w:rPr>
      <w:rFonts w:ascii="Cambria" w:hAnsi="Cambria" w:eastAsia="黑体"/>
      <w:sz w:val="20"/>
      <w:szCs w:val="22"/>
    </w:rPr>
  </w:style>
  <w:style w:type="paragraph" w:styleId="916">
    <w:name w:val="Document Map"/>
    <w:basedOn w:val="900"/>
    <w:link w:val="1119"/>
    <w:uiPriority w:val="99"/>
    <w:unhideWhenUsed/>
    <w:qFormat/>
    <w:rPr>
      <w:rFonts w:ascii="宋体"/>
      <w:sz w:val="18"/>
      <w:szCs w:val="18"/>
    </w:rPr>
  </w:style>
  <w:style w:type="paragraph" w:styleId="917">
    <w:name w:val="annotation text"/>
    <w:basedOn w:val="900"/>
    <w:link w:val="1120"/>
    <w:uiPriority w:val="99"/>
    <w:unhideWhenUsed/>
    <w:qFormat/>
    <w:pPr>
      <w:jc w:val="left"/>
    </w:pPr>
  </w:style>
  <w:style w:type="paragraph" w:styleId="918">
    <w:name w:val="Body Text 3"/>
    <w:basedOn w:val="900"/>
    <w:link w:val="1121"/>
    <w:uiPriority w:val="99"/>
    <w:unhideWhenUsed/>
    <w:qFormat/>
    <w:rPr>
      <w:rFonts w:ascii="宋体"/>
      <w:sz w:val="24"/>
      <w:szCs w:val="20"/>
    </w:rPr>
  </w:style>
  <w:style w:type="paragraph" w:styleId="919">
    <w:name w:val="Body Text"/>
    <w:basedOn w:val="900"/>
    <w:next w:val="900"/>
    <w:link w:val="1122"/>
    <w:uiPriority w:val="99"/>
    <w:unhideWhenUsed/>
    <w:qFormat/>
    <w:pPr>
      <w:jc w:val="center"/>
    </w:pPr>
    <w:rPr>
      <w:rFonts w:eastAsia="幼圆"/>
      <w:b/>
      <w:bCs/>
      <w:sz w:val="44"/>
    </w:rPr>
  </w:style>
  <w:style w:type="paragraph" w:styleId="920">
    <w:name w:val="Body Text Indent"/>
    <w:basedOn w:val="900"/>
    <w:next w:val="921"/>
    <w:link w:val="1123"/>
    <w:uiPriority w:val="99"/>
    <w:unhideWhenUsed/>
    <w:qFormat/>
    <w:pPr>
      <w:ind w:left="420"/>
      <w:spacing w:after="120"/>
    </w:pPr>
  </w:style>
  <w:style w:type="paragraph" w:styleId="921">
    <w:name w:val="envelope return"/>
    <w:basedOn w:val="900"/>
    <w:uiPriority w:val="0"/>
    <w:qFormat/>
    <w:rPr>
      <w:rFonts w:ascii="Arial" w:hAnsi="Arial"/>
    </w:rPr>
  </w:style>
  <w:style w:type="paragraph" w:styleId="922">
    <w:name w:val="Block Text"/>
    <w:basedOn w:val="900"/>
    <w:next w:val="900"/>
    <w:uiPriority w:val="0"/>
    <w:unhideWhenUsed/>
    <w:qFormat/>
    <w:pPr>
      <w:ind w:left="1440" w:right="1440"/>
      <w:spacing w:after="120"/>
    </w:pPr>
  </w:style>
  <w:style w:type="paragraph" w:styleId="923">
    <w:name w:val="index 4"/>
    <w:basedOn w:val="900"/>
    <w:next w:val="900"/>
    <w:uiPriority w:val="99"/>
    <w:unhideWhenUsed/>
    <w:qFormat/>
    <w:pPr>
      <w:ind w:left="600"/>
    </w:pPr>
  </w:style>
  <w:style w:type="paragraph" w:styleId="924">
    <w:name w:val="toc 5"/>
    <w:basedOn w:val="900"/>
    <w:next w:val="900"/>
    <w:uiPriority w:val="39"/>
    <w:unhideWhenUsed/>
    <w:qFormat/>
    <w:pPr>
      <w:ind w:left="1134"/>
      <w:spacing w:after="57"/>
    </w:pPr>
  </w:style>
  <w:style w:type="paragraph" w:styleId="925">
    <w:name w:val="toc 3"/>
    <w:basedOn w:val="900"/>
    <w:next w:val="900"/>
    <w:uiPriority w:val="39"/>
    <w:unhideWhenUsed/>
    <w:qFormat/>
    <w:pPr>
      <w:ind w:left="567"/>
      <w:spacing w:after="57"/>
    </w:pPr>
  </w:style>
  <w:style w:type="paragraph" w:styleId="926">
    <w:name w:val="Plain Text"/>
    <w:basedOn w:val="900"/>
    <w:next w:val="914"/>
    <w:link w:val="1126"/>
    <w:uiPriority w:val="99"/>
    <w:unhideWhenUsed/>
    <w:qFormat/>
    <w:rPr>
      <w:rFonts w:ascii="Ari"/>
    </w:rPr>
  </w:style>
  <w:style w:type="paragraph" w:styleId="927">
    <w:name w:val="toc 8"/>
    <w:basedOn w:val="900"/>
    <w:next w:val="900"/>
    <w:uiPriority w:val="39"/>
    <w:unhideWhenUsed/>
    <w:qFormat/>
    <w:pPr>
      <w:ind w:left="1984"/>
      <w:spacing w:after="57"/>
    </w:pPr>
  </w:style>
  <w:style w:type="paragraph" w:styleId="928">
    <w:name w:val="Date"/>
    <w:basedOn w:val="900"/>
    <w:next w:val="900"/>
    <w:link w:val="1128"/>
    <w:uiPriority w:val="99"/>
    <w:unhideWhenUsed/>
    <w:qFormat/>
  </w:style>
  <w:style w:type="paragraph" w:styleId="929">
    <w:name w:val="Body Text Indent 2"/>
    <w:basedOn w:val="900"/>
    <w:link w:val="1129"/>
    <w:uiPriority w:val="99"/>
    <w:unhideWhenUsed/>
    <w:qFormat/>
    <w:pPr>
      <w:ind w:firstLine="525"/>
      <w:spacing w:line="420" w:lineRule="exact"/>
    </w:pPr>
    <w:rPr>
      <w:rFonts w:ascii="宋体"/>
      <w:sz w:val="20"/>
      <w:szCs w:val="20"/>
    </w:rPr>
  </w:style>
  <w:style w:type="paragraph" w:styleId="930">
    <w:name w:val="endnote text"/>
    <w:basedOn w:val="900"/>
    <w:link w:val="1107"/>
    <w:uiPriority w:val="99"/>
    <w:semiHidden/>
    <w:unhideWhenUsed/>
    <w:qFormat/>
    <w:rPr>
      <w:sz w:val="20"/>
    </w:rPr>
  </w:style>
  <w:style w:type="paragraph" w:styleId="931">
    <w:name w:val="Balloon Text"/>
    <w:basedOn w:val="900"/>
    <w:link w:val="1130"/>
    <w:uiPriority w:val="99"/>
    <w:unhideWhenUsed/>
    <w:qFormat/>
    <w:rPr>
      <w:sz w:val="18"/>
      <w:szCs w:val="18"/>
    </w:rPr>
  </w:style>
  <w:style w:type="paragraph" w:styleId="932">
    <w:name w:val="Footer"/>
    <w:basedOn w:val="900"/>
    <w:link w:val="1131"/>
    <w:uiPriority w:val="99"/>
    <w:unhideWhenUsed/>
    <w:qFormat/>
    <w:pPr>
      <w:jc w:val="left"/>
      <w:tabs>
        <w:tab w:val="center" w:pos="4153" w:leader="none"/>
        <w:tab w:val="right" w:pos="8306" w:leader="none"/>
      </w:tabs>
    </w:pPr>
    <w:rPr>
      <w:sz w:val="18"/>
      <w:szCs w:val="18"/>
    </w:rPr>
  </w:style>
  <w:style w:type="paragraph" w:styleId="933">
    <w:name w:val="Header"/>
    <w:basedOn w:val="900"/>
    <w:link w:val="11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4">
    <w:name w:val="toc 1"/>
    <w:basedOn w:val="900"/>
    <w:next w:val="900"/>
    <w:uiPriority w:val="39"/>
    <w:unhideWhenUsed/>
    <w:qFormat/>
    <w:pPr>
      <w:spacing w:after="57"/>
    </w:pPr>
  </w:style>
  <w:style w:type="paragraph" w:styleId="935">
    <w:name w:val="toc 4"/>
    <w:basedOn w:val="900"/>
    <w:next w:val="900"/>
    <w:uiPriority w:val="39"/>
    <w:unhideWhenUsed/>
    <w:qFormat/>
    <w:pPr>
      <w:ind w:left="850"/>
      <w:spacing w:after="57"/>
    </w:pPr>
  </w:style>
  <w:style w:type="paragraph" w:styleId="936">
    <w:name w:val="Subtitle"/>
    <w:basedOn w:val="900"/>
    <w:next w:val="900"/>
    <w:link w:val="1135"/>
    <w:uiPriority w:val="99"/>
    <w:qFormat/>
    <w:pPr>
      <w:jc w:val="center"/>
      <w:spacing w:before="240" w:after="60" w:line="312" w:lineRule="auto"/>
      <w:outlineLvl w:val="1"/>
    </w:pPr>
    <w:rPr>
      <w:rFonts w:ascii="Cambria" w:hAnsi="Cambria"/>
      <w:b/>
      <w:bCs/>
      <w:sz w:val="32"/>
      <w:szCs w:val="32"/>
    </w:rPr>
  </w:style>
  <w:style w:type="paragraph" w:styleId="937">
    <w:name w:val="footnote text"/>
    <w:basedOn w:val="900"/>
    <w:link w:val="1136"/>
    <w:uiPriority w:val="99"/>
    <w:unhideWhenUsed/>
    <w:qFormat/>
    <w:pPr>
      <w:jc w:val="left"/>
    </w:pPr>
    <w:rPr>
      <w:sz w:val="18"/>
      <w:szCs w:val="18"/>
    </w:rPr>
  </w:style>
  <w:style w:type="paragraph" w:styleId="938">
    <w:name w:val="toc 6"/>
    <w:basedOn w:val="900"/>
    <w:next w:val="900"/>
    <w:uiPriority w:val="39"/>
    <w:unhideWhenUsed/>
    <w:qFormat/>
    <w:pPr>
      <w:ind w:left="1417"/>
      <w:spacing w:after="57"/>
    </w:pPr>
  </w:style>
  <w:style w:type="paragraph" w:styleId="939">
    <w:name w:val="Body Text Indent 3"/>
    <w:basedOn w:val="900"/>
    <w:link w:val="1138"/>
    <w:uiPriority w:val="99"/>
    <w:unhideWhenUsed/>
    <w:qFormat/>
    <w:pPr>
      <w:ind w:left="420"/>
      <w:spacing w:after="120"/>
    </w:pPr>
    <w:rPr>
      <w:sz w:val="16"/>
      <w:szCs w:val="20"/>
    </w:rPr>
  </w:style>
  <w:style w:type="paragraph" w:styleId="940">
    <w:name w:val="table of figures"/>
    <w:basedOn w:val="900"/>
    <w:next w:val="900"/>
    <w:uiPriority w:val="99"/>
    <w:unhideWhenUsed/>
    <w:qFormat/>
  </w:style>
  <w:style w:type="paragraph" w:styleId="941">
    <w:name w:val="toc 2"/>
    <w:basedOn w:val="900"/>
    <w:next w:val="900"/>
    <w:uiPriority w:val="39"/>
    <w:unhideWhenUsed/>
    <w:qFormat/>
    <w:pPr>
      <w:ind w:left="283"/>
      <w:spacing w:after="57"/>
    </w:pPr>
  </w:style>
  <w:style w:type="paragraph" w:styleId="942">
    <w:name w:val="toc 9"/>
    <w:basedOn w:val="900"/>
    <w:next w:val="900"/>
    <w:uiPriority w:val="39"/>
    <w:unhideWhenUsed/>
    <w:qFormat/>
    <w:pPr>
      <w:ind w:left="2268"/>
      <w:spacing w:after="57"/>
    </w:pPr>
  </w:style>
  <w:style w:type="paragraph" w:styleId="943">
    <w:name w:val="Body Text 2"/>
    <w:basedOn w:val="900"/>
    <w:link w:val="1141"/>
    <w:uiPriority w:val="99"/>
    <w:unhideWhenUsed/>
    <w:qFormat/>
    <w:rPr>
      <w:rFonts w:ascii="华文细黑" w:hAnsi="华文细黑" w:eastAsia="华文细黑"/>
      <w:b/>
      <w:bCs/>
      <w:sz w:val="24"/>
    </w:rPr>
  </w:style>
  <w:style w:type="paragraph" w:styleId="944">
    <w:name w:val="HTML Preformatted"/>
    <w:basedOn w:val="900"/>
    <w:link w:val="11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5">
    <w:name w:val="Normal (Web)"/>
    <w:basedOn w:val="900"/>
    <w:uiPriority w:val="99"/>
    <w:unhideWhenUsed/>
    <w:qFormat/>
    <w:pPr>
      <w:jc w:val="left"/>
      <w:spacing w:before="100" w:beforeAutospacing="1" w:after="100" w:afterAutospacing="1"/>
      <w:widowControl/>
    </w:pPr>
    <w:rPr>
      <w:rFonts w:ascii="宋体" w:hAnsi="宋体" w:cs="宋体"/>
      <w:sz w:val="24"/>
    </w:rPr>
  </w:style>
  <w:style w:type="paragraph" w:styleId="946">
    <w:name w:val="index 1"/>
    <w:basedOn w:val="900"/>
    <w:next w:val="900"/>
    <w:uiPriority w:val="99"/>
    <w:unhideWhenUsed/>
    <w:qFormat/>
    <w:pPr>
      <w:jc w:val="center"/>
      <w:spacing w:line="220" w:lineRule="exact"/>
    </w:pPr>
    <w:rPr>
      <w:rFonts w:ascii="仿宋_GB2312" w:hAnsi="Calibri" w:eastAsia="仿宋_GB2312"/>
      <w:szCs w:val="22"/>
    </w:rPr>
  </w:style>
  <w:style w:type="paragraph" w:styleId="947">
    <w:name w:val="Title"/>
    <w:basedOn w:val="900"/>
    <w:next w:val="900"/>
    <w:link w:val="1143"/>
    <w:uiPriority w:val="99"/>
    <w:qFormat/>
    <w:pPr>
      <w:jc w:val="center"/>
      <w:spacing w:before="240" w:after="60" w:line="420" w:lineRule="atLeast"/>
      <w:outlineLvl w:val="0"/>
    </w:pPr>
    <w:rPr>
      <w:rFonts w:ascii="Arial" w:hAnsi="Arial"/>
      <w:b/>
      <w:sz w:val="32"/>
      <w:szCs w:val="20"/>
    </w:rPr>
  </w:style>
  <w:style w:type="paragraph" w:styleId="948">
    <w:name w:val="annotation subject"/>
    <w:basedOn w:val="917"/>
    <w:next w:val="917"/>
    <w:link w:val="1144"/>
    <w:uiPriority w:val="99"/>
    <w:unhideWhenUsed/>
    <w:qFormat/>
    <w:rPr>
      <w:b/>
      <w:bCs/>
    </w:rPr>
  </w:style>
  <w:style w:type="paragraph" w:styleId="949">
    <w:name w:val="Body Text First Indent 2"/>
    <w:basedOn w:val="920"/>
    <w:next w:val="900"/>
    <w:uiPriority w:val="0"/>
    <w:qFormat/>
    <w:pPr>
      <w:ind w:firstLine="420"/>
      <w:spacing w:line="360" w:lineRule="auto"/>
    </w:pPr>
    <w:rPr>
      <w:rFonts w:ascii="宋体" w:hAnsi="宋体"/>
    </w:rPr>
  </w:style>
  <w:style w:type="table" w:styleId="950">
    <w:name w:val="Table Grid"/>
    <w:basedOn w:val="91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uiPriority w:val="0"/>
    <w:qFormat/>
    <w:rPr>
      <w:rFonts w:ascii="Times New Roman" w:hAnsi="Times New Roman" w:cs="Times New Roman"/>
      <w:b/>
    </w:rPr>
  </w:style>
  <w:style w:type="character" w:styleId="952">
    <w:name w:val="endnote reference"/>
    <w:uiPriority w:val="99"/>
    <w:semiHidden/>
    <w:unhideWhenUsed/>
    <w:qFormat/>
    <w:rPr>
      <w:vertAlign w:val="superscript"/>
    </w:rPr>
  </w:style>
  <w:style w:type="character" w:styleId="953">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54">
    <w:name w:val="Emphasis"/>
    <w:uiPriority w:val="0"/>
    <w:qFormat/>
    <w:rPr>
      <w:color w:val="cc0000"/>
    </w:rPr>
  </w:style>
  <w:style w:type="character" w:styleId="955">
    <w:name w:val="Hyperlink"/>
    <w:basedOn w:val="910"/>
    <w:uiPriority w:val="99"/>
    <w:unhideWhenUsed/>
    <w:qFormat/>
    <w:rPr>
      <w:color w:val="0000ff"/>
      <w:u w:val="single"/>
    </w:rPr>
  </w:style>
  <w:style w:type="character" w:styleId="956">
    <w:name w:val="annotation reference"/>
    <w:uiPriority w:val="99"/>
    <w:unhideWhenUsed/>
    <w:qFormat/>
    <w:rPr>
      <w:sz w:val="21"/>
      <w:szCs w:val="21"/>
    </w:rPr>
  </w:style>
  <w:style w:type="character" w:styleId="957">
    <w:name w:val="HTML Cite"/>
    <w:uiPriority w:val="0"/>
    <w:unhideWhenUsed/>
    <w:qFormat/>
    <w:rPr>
      <w:color w:val="008000"/>
    </w:rPr>
  </w:style>
  <w:style w:type="character" w:styleId="958">
    <w:name w:val="footnote reference"/>
    <w:uiPriority w:val="99"/>
    <w:unhideWhenUsed/>
    <w:qFormat/>
    <w:rPr>
      <w:vertAlign w:val="superscript"/>
    </w:rPr>
  </w:style>
  <w:style w:type="paragraph" w:styleId="959" w:customStyle="1">
    <w:name w:val="列表段落1"/>
    <w:basedOn w:val="900"/>
    <w:uiPriority w:val="99"/>
    <w:qFormat/>
    <w:pPr>
      <w:ind w:firstLine="420"/>
    </w:pPr>
    <w:rPr>
      <w:szCs w:val="20"/>
    </w:rPr>
  </w:style>
  <w:style w:type="paragraph" w:styleId="960" w:customStyle="1">
    <w:name w:val="样式1"/>
    <w:basedOn w:val="900"/>
    <w:uiPriority w:val="0"/>
    <w:qFormat/>
    <w:pPr>
      <w:jc w:val="center"/>
    </w:pPr>
  </w:style>
  <w:style w:type="character" w:styleId="961" w:customStyle="1">
    <w:name w:val="Heading 1 Char"/>
    <w:uiPriority w:val="9"/>
    <w:qFormat/>
    <w:rPr>
      <w:rFonts w:ascii="Arial" w:hAnsi="Arial" w:eastAsia="Arial" w:cs="Arial"/>
      <w:sz w:val="40"/>
      <w:szCs w:val="40"/>
    </w:rPr>
  </w:style>
  <w:style w:type="character" w:styleId="962" w:customStyle="1">
    <w:name w:val="Heading 2 Char"/>
    <w:uiPriority w:val="9"/>
    <w:qFormat/>
    <w:rPr>
      <w:rFonts w:ascii="Arial" w:hAnsi="Arial" w:eastAsia="Arial" w:cs="Arial"/>
      <w:sz w:val="34"/>
    </w:rPr>
  </w:style>
  <w:style w:type="character" w:styleId="963" w:customStyle="1">
    <w:name w:val="Heading 3 Char"/>
    <w:uiPriority w:val="9"/>
    <w:qFormat/>
    <w:rPr>
      <w:rFonts w:ascii="Arial" w:hAnsi="Arial" w:eastAsia="Arial" w:cs="Arial"/>
      <w:sz w:val="30"/>
      <w:szCs w:val="30"/>
    </w:rPr>
  </w:style>
  <w:style w:type="character" w:styleId="964" w:customStyle="1">
    <w:name w:val="Heading 4 Char"/>
    <w:uiPriority w:val="9"/>
    <w:qFormat/>
    <w:rPr>
      <w:rFonts w:ascii="Arial" w:hAnsi="Arial" w:eastAsia="Arial" w:cs="Arial"/>
      <w:b/>
      <w:bCs/>
      <w:sz w:val="26"/>
      <w:szCs w:val="26"/>
    </w:rPr>
  </w:style>
  <w:style w:type="character" w:styleId="965" w:customStyle="1">
    <w:name w:val="Heading 5 Char"/>
    <w:uiPriority w:val="9"/>
    <w:qFormat/>
    <w:rPr>
      <w:rFonts w:ascii="Arial" w:hAnsi="Arial" w:eastAsia="Arial" w:cs="Arial"/>
      <w:b/>
      <w:bCs/>
      <w:sz w:val="24"/>
      <w:szCs w:val="24"/>
    </w:rPr>
  </w:style>
  <w:style w:type="character" w:styleId="966" w:customStyle="1">
    <w:name w:val="Heading 6 Char"/>
    <w:uiPriority w:val="9"/>
    <w:qFormat/>
    <w:rPr>
      <w:rFonts w:ascii="Arial" w:hAnsi="Arial" w:eastAsia="Arial" w:cs="Arial"/>
      <w:b/>
      <w:bCs/>
      <w:sz w:val="22"/>
      <w:szCs w:val="22"/>
    </w:rPr>
  </w:style>
  <w:style w:type="character" w:styleId="967" w:customStyle="1">
    <w:name w:val="Heading 7 Char"/>
    <w:uiPriority w:val="9"/>
    <w:qFormat/>
    <w:rPr>
      <w:rFonts w:ascii="Arial" w:hAnsi="Arial" w:eastAsia="Arial" w:cs="Arial"/>
      <w:b/>
      <w:bCs/>
      <w:i/>
      <w:iCs/>
      <w:sz w:val="22"/>
      <w:szCs w:val="22"/>
    </w:rPr>
  </w:style>
  <w:style w:type="character" w:styleId="968" w:customStyle="1">
    <w:name w:val="Heading 8 Char"/>
    <w:uiPriority w:val="9"/>
    <w:qFormat/>
    <w:rPr>
      <w:rFonts w:ascii="Arial" w:hAnsi="Arial" w:eastAsia="Arial" w:cs="Arial"/>
      <w:i/>
      <w:iCs/>
      <w:sz w:val="22"/>
      <w:szCs w:val="22"/>
    </w:rPr>
  </w:style>
  <w:style w:type="character" w:styleId="969" w:customStyle="1">
    <w:name w:val="Heading 9 Char"/>
    <w:uiPriority w:val="9"/>
    <w:qFormat/>
    <w:rPr>
      <w:rFonts w:ascii="Arial" w:hAnsi="Arial" w:eastAsia="Arial" w:cs="Arial"/>
      <w:i/>
      <w:iCs/>
      <w:sz w:val="21"/>
      <w:szCs w:val="21"/>
    </w:rPr>
  </w:style>
  <w:style w:type="paragraph" w:styleId="970">
    <w:name w:val="List Paragraph"/>
    <w:basedOn w:val="900"/>
    <w:uiPriority w:val="34"/>
    <w:qFormat/>
    <w:pPr>
      <w:ind w:firstLine="420"/>
    </w:pPr>
  </w:style>
  <w:style w:type="paragraph" w:styleId="971">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Title Char"/>
    <w:uiPriority w:val="10"/>
    <w:qFormat/>
    <w:rPr>
      <w:sz w:val="48"/>
      <w:szCs w:val="48"/>
    </w:rPr>
  </w:style>
  <w:style w:type="character" w:styleId="973" w:customStyle="1">
    <w:name w:val="Subtitle Char"/>
    <w:uiPriority w:val="11"/>
    <w:qFormat/>
    <w:rPr>
      <w:sz w:val="24"/>
      <w:szCs w:val="24"/>
    </w:rPr>
  </w:style>
  <w:style w:type="paragraph" w:styleId="974">
    <w:name w:val="Quote"/>
    <w:basedOn w:val="900"/>
    <w:next w:val="900"/>
    <w:link w:val="975"/>
    <w:uiPriority w:val="29"/>
    <w:qFormat/>
    <w:pPr>
      <w:ind w:left="720" w:right="720"/>
    </w:pPr>
    <w:rPr>
      <w:i/>
    </w:rPr>
  </w:style>
  <w:style w:type="character" w:styleId="975" w:customStyle="1">
    <w:name w:val="引用 Char3"/>
    <w:link w:val="974"/>
    <w:uiPriority w:val="29"/>
    <w:qFormat/>
    <w:rPr>
      <w:i/>
    </w:rPr>
  </w:style>
  <w:style w:type="paragraph" w:styleId="976">
    <w:name w:val="Intense Quote"/>
    <w:basedOn w:val="900"/>
    <w:next w:val="900"/>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3"/>
    <w:link w:val="976"/>
    <w:uiPriority w:val="30"/>
    <w:qFormat/>
    <w:rPr>
      <w:i/>
    </w:rPr>
  </w:style>
  <w:style w:type="character" w:styleId="978" w:customStyle="1">
    <w:name w:val="Header Char"/>
    <w:uiPriority w:val="99"/>
    <w:qFormat/>
  </w:style>
  <w:style w:type="character" w:styleId="979" w:customStyle="1">
    <w:name w:val="Footer Char"/>
    <w:uiPriority w:val="99"/>
    <w:qFormat/>
  </w:style>
  <w:style w:type="character" w:styleId="980" w:customStyle="1">
    <w:name w:val="Caption Char"/>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uiPriority w:val="99"/>
    <w:qFormat/>
    <w:rPr>
      <w:sz w:val="18"/>
    </w:rPr>
  </w:style>
  <w:style w:type="character" w:styleId="1107" w:customStyle="1">
    <w:name w:val="尾注文本 Char"/>
    <w:link w:val="930"/>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character" w:styleId="1109" w:customStyle="1">
    <w:name w:val="标题 1 Char1"/>
    <w:link w:val="901"/>
    <w:uiPriority w:val="0"/>
    <w:qFormat/>
    <w:rPr>
      <w:rFonts w:ascii="Times New Roman" w:hAnsi="Times New Roman" w:eastAsia="宋体" w:cs="Times New Roman"/>
      <w:b/>
      <w:bCs/>
      <w:sz w:val="32"/>
      <w:szCs w:val="44"/>
    </w:rPr>
  </w:style>
  <w:style w:type="character" w:styleId="1110" w:customStyle="1">
    <w:name w:val="标题 2 Char"/>
    <w:link w:val="902"/>
    <w:uiPriority w:val="0"/>
    <w:semiHidden/>
    <w:qFormat/>
    <w:rPr>
      <w:rFonts w:ascii="Cambria" w:hAnsi="Cambria" w:eastAsia="宋体" w:cs="Times New Roman"/>
      <w:b/>
      <w:bCs/>
      <w:sz w:val="32"/>
      <w:szCs w:val="32"/>
    </w:rPr>
  </w:style>
  <w:style w:type="character" w:styleId="1111" w:customStyle="1">
    <w:name w:val="标题 3 Char"/>
    <w:link w:val="903"/>
    <w:uiPriority w:val="0"/>
    <w:semiHidden/>
    <w:qFormat/>
    <w:rPr>
      <w:rFonts w:ascii="Times New Roman" w:hAnsi="Times New Roman" w:eastAsia="宋体" w:cs="Times New Roman"/>
      <w:b/>
      <w:bCs/>
      <w:sz w:val="32"/>
      <w:szCs w:val="32"/>
    </w:rPr>
  </w:style>
  <w:style w:type="character" w:styleId="1112" w:customStyle="1">
    <w:name w:val="标题 4 Char"/>
    <w:link w:val="904"/>
    <w:uiPriority w:val="0"/>
    <w:semiHidden/>
    <w:qFormat/>
    <w:rPr>
      <w:rFonts w:ascii="Cambria" w:hAnsi="Cambria" w:eastAsia="宋体" w:cs="Times New Roman"/>
      <w:b/>
      <w:bCs/>
      <w:sz w:val="28"/>
      <w:szCs w:val="28"/>
    </w:rPr>
  </w:style>
  <w:style w:type="character" w:styleId="1113" w:customStyle="1">
    <w:name w:val="标题 5 Char"/>
    <w:link w:val="905"/>
    <w:uiPriority w:val="0"/>
    <w:semiHidden/>
    <w:qFormat/>
    <w:rPr>
      <w:rFonts w:ascii="Times New Roman" w:hAnsi="Times New Roman" w:eastAsia="宋体" w:cs="Times New Roman"/>
      <w:b/>
      <w:bCs/>
      <w:sz w:val="28"/>
      <w:szCs w:val="28"/>
    </w:rPr>
  </w:style>
  <w:style w:type="character" w:styleId="1114" w:customStyle="1">
    <w:name w:val="标题 6 Char"/>
    <w:link w:val="906"/>
    <w:uiPriority w:val="0"/>
    <w:semiHidden/>
    <w:qFormat/>
    <w:rPr>
      <w:rFonts w:ascii="Cambria" w:hAnsi="Cambria" w:eastAsia="宋体" w:cs="Times New Roman"/>
      <w:b/>
      <w:bCs/>
      <w:sz w:val="24"/>
      <w:szCs w:val="24"/>
    </w:rPr>
  </w:style>
  <w:style w:type="character" w:styleId="1115" w:customStyle="1">
    <w:name w:val="标题 7 Char"/>
    <w:link w:val="907"/>
    <w:uiPriority w:val="99"/>
    <w:semiHidden/>
    <w:qFormat/>
    <w:rPr>
      <w:rFonts w:ascii="Times New Roman" w:hAnsi="Times New Roman" w:eastAsia="宋体" w:cs="Times New Roman"/>
      <w:b/>
      <w:bCs/>
      <w:sz w:val="24"/>
      <w:szCs w:val="24"/>
    </w:rPr>
  </w:style>
  <w:style w:type="character" w:styleId="1116" w:customStyle="1">
    <w:name w:val="标题 8 Char"/>
    <w:link w:val="908"/>
    <w:uiPriority w:val="99"/>
    <w:semiHidden/>
    <w:qFormat/>
    <w:rPr>
      <w:rFonts w:ascii="Cambria" w:hAnsi="Cambria" w:eastAsia="宋体" w:cs="Times New Roman"/>
      <w:sz w:val="24"/>
      <w:szCs w:val="24"/>
    </w:rPr>
  </w:style>
  <w:style w:type="character" w:styleId="1117" w:customStyle="1">
    <w:name w:val="标题 9 Char"/>
    <w:link w:val="909"/>
    <w:uiPriority w:val="99"/>
    <w:semiHidden/>
    <w:qFormat/>
    <w:rPr>
      <w:rFonts w:ascii="Cambria" w:hAnsi="Cambria" w:eastAsia="宋体" w:cs="Times New Roman"/>
      <w:szCs w:val="21"/>
    </w:rPr>
  </w:style>
  <w:style w:type="paragraph" w:styleId="1118" w:customStyle="1">
    <w:name w:val="目录 71"/>
    <w:basedOn w:val="900"/>
    <w:next w:val="900"/>
    <w:uiPriority w:val="39"/>
    <w:unhideWhenUsed/>
    <w:qFormat/>
    <w:pPr>
      <w:ind w:left="2520"/>
    </w:pPr>
    <w:rPr>
      <w:rFonts w:ascii="Calibri" w:hAnsi="Calibri"/>
      <w:szCs w:val="22"/>
    </w:rPr>
  </w:style>
  <w:style w:type="character" w:styleId="1119" w:customStyle="1">
    <w:name w:val="文档结构图 Char"/>
    <w:link w:val="916"/>
    <w:uiPriority w:val="99"/>
    <w:semiHidden/>
    <w:qFormat/>
    <w:rPr>
      <w:rFonts w:ascii="宋体" w:hAnsi="Times New Roman" w:eastAsia="宋体" w:cs="Times New Roman"/>
      <w:sz w:val="18"/>
      <w:szCs w:val="18"/>
    </w:rPr>
  </w:style>
  <w:style w:type="character" w:styleId="1120" w:customStyle="1">
    <w:name w:val="批注文字 Char"/>
    <w:link w:val="917"/>
    <w:uiPriority w:val="99"/>
    <w:qFormat/>
    <w:rPr>
      <w:rFonts w:ascii="Times New Roman" w:hAnsi="Times New Roman" w:eastAsia="宋体" w:cs="Times New Roman"/>
      <w:szCs w:val="24"/>
    </w:rPr>
  </w:style>
  <w:style w:type="character" w:styleId="1121" w:customStyle="1">
    <w:name w:val="正文文本 3 Char"/>
    <w:link w:val="918"/>
    <w:uiPriority w:val="99"/>
    <w:semiHidden/>
    <w:qFormat/>
    <w:rPr>
      <w:rFonts w:ascii="宋体" w:hAnsi="Times New Roman" w:eastAsia="宋体" w:cs="Times New Roman"/>
      <w:sz w:val="24"/>
      <w:szCs w:val="20"/>
    </w:rPr>
  </w:style>
  <w:style w:type="character" w:styleId="1122" w:customStyle="1">
    <w:name w:val="正文文本 Char"/>
    <w:link w:val="919"/>
    <w:uiPriority w:val="99"/>
    <w:semiHidden/>
    <w:qFormat/>
    <w:rPr>
      <w:rFonts w:ascii="Times New Roman" w:hAnsi="Times New Roman" w:eastAsia="幼圆" w:cs="Times New Roman"/>
      <w:b/>
      <w:bCs/>
      <w:sz w:val="44"/>
      <w:szCs w:val="24"/>
    </w:rPr>
  </w:style>
  <w:style w:type="character" w:styleId="1123" w:customStyle="1">
    <w:name w:val="正文文本缩进 Char"/>
    <w:link w:val="920"/>
    <w:uiPriority w:val="99"/>
    <w:semiHidden/>
    <w:qFormat/>
    <w:rPr>
      <w:rFonts w:ascii="Times New Roman" w:hAnsi="Times New Roman" w:eastAsia="宋体" w:cs="Times New Roman"/>
      <w:szCs w:val="24"/>
    </w:rPr>
  </w:style>
  <w:style w:type="paragraph" w:styleId="1124" w:customStyle="1">
    <w:name w:val="目录 51"/>
    <w:basedOn w:val="900"/>
    <w:next w:val="900"/>
    <w:uiPriority w:val="39"/>
    <w:unhideWhenUsed/>
    <w:qFormat/>
    <w:pPr>
      <w:ind w:left="1680"/>
    </w:pPr>
    <w:rPr>
      <w:rFonts w:ascii="Calibri" w:hAnsi="Calibri"/>
      <w:szCs w:val="22"/>
    </w:rPr>
  </w:style>
  <w:style w:type="paragraph" w:styleId="1125" w:customStyle="1">
    <w:name w:val="目录 31"/>
    <w:basedOn w:val="900"/>
    <w:next w:val="900"/>
    <w:uiPriority w:val="39"/>
    <w:unhideWhenUsed/>
    <w:qFormat/>
    <w:pPr>
      <w:ind w:left="840"/>
    </w:pPr>
    <w:rPr>
      <w:rFonts w:ascii="Calibri" w:hAnsi="Calibri"/>
      <w:szCs w:val="22"/>
    </w:rPr>
  </w:style>
  <w:style w:type="character" w:styleId="1126" w:customStyle="1">
    <w:name w:val="纯文本 Char"/>
    <w:link w:val="926"/>
    <w:uiPriority w:val="99"/>
    <w:semiHidden/>
    <w:qFormat/>
    <w:rPr>
      <w:rFonts w:ascii="Ari" w:hAnsi="Times New Roman" w:eastAsia="宋体" w:cs="Times New Roman"/>
      <w:szCs w:val="24"/>
    </w:rPr>
  </w:style>
  <w:style w:type="paragraph" w:styleId="1127" w:customStyle="1">
    <w:name w:val="目录 81"/>
    <w:basedOn w:val="900"/>
    <w:next w:val="900"/>
    <w:uiPriority w:val="39"/>
    <w:unhideWhenUsed/>
    <w:qFormat/>
    <w:pPr>
      <w:ind w:left="2940"/>
    </w:pPr>
    <w:rPr>
      <w:rFonts w:ascii="Calibri" w:hAnsi="Calibri"/>
      <w:szCs w:val="22"/>
    </w:rPr>
  </w:style>
  <w:style w:type="character" w:styleId="1128" w:customStyle="1">
    <w:name w:val="日期 Char"/>
    <w:link w:val="928"/>
    <w:uiPriority w:val="99"/>
    <w:semiHidden/>
    <w:qFormat/>
    <w:rPr>
      <w:rFonts w:ascii="Times New Roman" w:hAnsi="Times New Roman" w:eastAsia="宋体" w:cs="Times New Roman"/>
      <w:szCs w:val="24"/>
    </w:rPr>
  </w:style>
  <w:style w:type="character" w:styleId="1129" w:customStyle="1">
    <w:name w:val="正文文本缩进 2 Char"/>
    <w:link w:val="929"/>
    <w:uiPriority w:val="99"/>
    <w:semiHidden/>
    <w:qFormat/>
    <w:rPr>
      <w:rFonts w:ascii="宋体" w:hAnsi="Times New Roman" w:eastAsia="宋体" w:cs="Times New Roman"/>
      <w:sz w:val="20"/>
      <w:szCs w:val="20"/>
    </w:rPr>
  </w:style>
  <w:style w:type="character" w:styleId="1130" w:customStyle="1">
    <w:name w:val="批注框文本 Char"/>
    <w:link w:val="931"/>
    <w:uiPriority w:val="99"/>
    <w:semiHidden/>
    <w:qFormat/>
    <w:rPr>
      <w:rFonts w:ascii="Times New Roman" w:hAnsi="Times New Roman" w:eastAsia="宋体" w:cs="Times New Roman"/>
      <w:sz w:val="18"/>
      <w:szCs w:val="18"/>
    </w:rPr>
  </w:style>
  <w:style w:type="character" w:styleId="1131" w:customStyle="1">
    <w:name w:val="页脚 Char"/>
    <w:link w:val="932"/>
    <w:uiPriority w:val="99"/>
    <w:qFormat/>
    <w:rPr>
      <w:sz w:val="18"/>
      <w:szCs w:val="18"/>
    </w:rPr>
  </w:style>
  <w:style w:type="character" w:styleId="1132" w:customStyle="1">
    <w:name w:val="页眉 Char"/>
    <w:link w:val="933"/>
    <w:uiPriority w:val="99"/>
    <w:qFormat/>
    <w:rPr>
      <w:sz w:val="18"/>
      <w:szCs w:val="18"/>
    </w:rPr>
  </w:style>
  <w:style w:type="paragraph" w:styleId="1133" w:customStyle="1">
    <w:name w:val="目录 11"/>
    <w:basedOn w:val="900"/>
    <w:next w:val="900"/>
    <w:uiPriority w:val="39"/>
    <w:unhideWhenUsed/>
    <w:qFormat/>
  </w:style>
  <w:style w:type="paragraph" w:styleId="1134" w:customStyle="1">
    <w:name w:val="目录 41"/>
    <w:basedOn w:val="900"/>
    <w:next w:val="900"/>
    <w:uiPriority w:val="39"/>
    <w:unhideWhenUsed/>
    <w:qFormat/>
    <w:pPr>
      <w:ind w:left="1260"/>
    </w:pPr>
    <w:rPr>
      <w:rFonts w:ascii="Calibri" w:hAnsi="Calibri"/>
      <w:szCs w:val="22"/>
    </w:rPr>
  </w:style>
  <w:style w:type="character" w:styleId="1135" w:customStyle="1">
    <w:name w:val="副标题 Char"/>
    <w:link w:val="936"/>
    <w:uiPriority w:val="99"/>
    <w:qFormat/>
    <w:rPr>
      <w:rFonts w:ascii="Cambria" w:hAnsi="Cambria" w:eastAsia="宋体" w:cs="Times New Roman"/>
      <w:b/>
      <w:bCs/>
      <w:sz w:val="32"/>
      <w:szCs w:val="32"/>
    </w:rPr>
  </w:style>
  <w:style w:type="character" w:styleId="1136" w:customStyle="1">
    <w:name w:val="脚注文本 Char"/>
    <w:link w:val="937"/>
    <w:uiPriority w:val="99"/>
    <w:semiHidden/>
    <w:qFormat/>
    <w:rPr>
      <w:rFonts w:ascii="Times New Roman" w:hAnsi="Times New Roman" w:eastAsia="宋体" w:cs="Times New Roman"/>
      <w:sz w:val="18"/>
      <w:szCs w:val="18"/>
    </w:rPr>
  </w:style>
  <w:style w:type="paragraph" w:styleId="1137" w:customStyle="1">
    <w:name w:val="目录 61"/>
    <w:basedOn w:val="900"/>
    <w:next w:val="900"/>
    <w:uiPriority w:val="39"/>
    <w:unhideWhenUsed/>
    <w:qFormat/>
    <w:pPr>
      <w:ind w:left="2100"/>
    </w:pPr>
    <w:rPr>
      <w:rFonts w:ascii="Calibri" w:hAnsi="Calibri"/>
      <w:szCs w:val="22"/>
    </w:rPr>
  </w:style>
  <w:style w:type="character" w:styleId="1138" w:customStyle="1">
    <w:name w:val="正文文本缩进 3 Char"/>
    <w:link w:val="939"/>
    <w:uiPriority w:val="99"/>
    <w:semiHidden/>
    <w:qFormat/>
    <w:rPr>
      <w:rFonts w:ascii="Times New Roman" w:hAnsi="Times New Roman" w:eastAsia="宋体" w:cs="Times New Roman"/>
      <w:sz w:val="16"/>
      <w:szCs w:val="20"/>
    </w:rPr>
  </w:style>
  <w:style w:type="paragraph" w:styleId="1139" w:customStyle="1">
    <w:name w:val="目录 21"/>
    <w:basedOn w:val="900"/>
    <w:next w:val="900"/>
    <w:uiPriority w:val="39"/>
    <w:unhideWhenUsed/>
    <w:qFormat/>
    <w:pPr>
      <w:ind w:left="420"/>
    </w:pPr>
    <w:rPr>
      <w:rFonts w:ascii="Calibri" w:hAnsi="Calibri"/>
      <w:szCs w:val="22"/>
    </w:rPr>
  </w:style>
  <w:style w:type="paragraph" w:styleId="1140" w:customStyle="1">
    <w:name w:val="目录 91"/>
    <w:basedOn w:val="900"/>
    <w:next w:val="900"/>
    <w:uiPriority w:val="39"/>
    <w:unhideWhenUsed/>
    <w:qFormat/>
    <w:pPr>
      <w:ind w:left="3360"/>
    </w:pPr>
    <w:rPr>
      <w:rFonts w:ascii="Calibri" w:hAnsi="Calibri"/>
      <w:szCs w:val="22"/>
    </w:rPr>
  </w:style>
  <w:style w:type="character" w:styleId="1141" w:customStyle="1">
    <w:name w:val="正文文本 2 Char"/>
    <w:link w:val="943"/>
    <w:uiPriority w:val="99"/>
    <w:semiHidden/>
    <w:qFormat/>
    <w:rPr>
      <w:rFonts w:ascii="华文细黑" w:hAnsi="华文细黑" w:eastAsia="华文细黑" w:cs="Times New Roman"/>
      <w:b/>
      <w:bCs/>
      <w:sz w:val="24"/>
      <w:szCs w:val="24"/>
    </w:rPr>
  </w:style>
  <w:style w:type="character" w:styleId="1142" w:customStyle="1">
    <w:name w:val="HTML 预设格式 Char"/>
    <w:link w:val="944"/>
    <w:uiPriority w:val="99"/>
    <w:semiHidden/>
    <w:qFormat/>
    <w:rPr>
      <w:rFonts w:ascii="宋体" w:hAnsi="宋体" w:eastAsia="宋体" w:cs="Times New Roman"/>
      <w:sz w:val="24"/>
      <w:szCs w:val="24"/>
    </w:rPr>
  </w:style>
  <w:style w:type="character" w:styleId="1143" w:customStyle="1">
    <w:name w:val="标题 Char"/>
    <w:link w:val="947"/>
    <w:uiPriority w:val="99"/>
    <w:qFormat/>
    <w:rPr>
      <w:rFonts w:ascii="Arial" w:hAnsi="Arial" w:eastAsia="宋体" w:cs="Times New Roman"/>
      <w:b/>
      <w:sz w:val="32"/>
      <w:szCs w:val="20"/>
    </w:rPr>
  </w:style>
  <w:style w:type="character" w:styleId="1144" w:customStyle="1">
    <w:name w:val="批注主题 Char"/>
    <w:link w:val="948"/>
    <w:uiPriority w:val="99"/>
    <w:semiHidden/>
    <w:qFormat/>
    <w:rPr>
      <w:rFonts w:ascii="Times New Roman" w:hAnsi="Times New Roman" w:eastAsia="宋体" w:cs="Times New Roman"/>
      <w:b/>
      <w:bCs/>
      <w:szCs w:val="24"/>
    </w:rPr>
  </w:style>
  <w:style w:type="character" w:styleId="1145" w:customStyle="1">
    <w:name w:val="已访问的超链接1"/>
    <w:uiPriority w:val="0"/>
    <w:unhideWhenUsed/>
    <w:qFormat/>
    <w:rPr>
      <w:color w:val="800080"/>
      <w:u w:val="single"/>
    </w:rPr>
  </w:style>
  <w:style w:type="character" w:styleId="1146" w:customStyle="1">
    <w:name w:val="页眉 Char1"/>
    <w:uiPriority w:val="99"/>
    <w:semiHidden/>
    <w:qFormat/>
    <w:rPr>
      <w:rFonts w:ascii="Calibri" w:hAnsi="Calibri" w:eastAsia="宋体" w:cs="Times New Roman"/>
      <w:sz w:val="18"/>
      <w:szCs w:val="18"/>
    </w:rPr>
  </w:style>
  <w:style w:type="character" w:styleId="1147" w:customStyle="1">
    <w:name w:val="font61"/>
    <w:uiPriority w:val="0"/>
    <w:qFormat/>
    <w:rPr>
      <w:rFonts w:ascii="Times New Roman" w:hAnsi="Times New Roman" w:cs="Times New Roman"/>
      <w:color w:val="000000"/>
      <w:sz w:val="24"/>
      <w:szCs w:val="24"/>
      <w:u w:val="none"/>
    </w:rPr>
  </w:style>
  <w:style w:type="character" w:styleId="1148" w:customStyle="1">
    <w:name w:val="标题 1 Char"/>
    <w:uiPriority w:val="0"/>
    <w:qFormat/>
    <w:rPr>
      <w:rFonts w:ascii="Times New Roman" w:hAnsi="Times New Roman" w:eastAsia="宋体" w:cs="Times New Roman"/>
      <w:b/>
      <w:bCs/>
      <w:sz w:val="44"/>
      <w:szCs w:val="44"/>
    </w:rPr>
  </w:style>
  <w:style w:type="character" w:styleId="1149" w:customStyle="1">
    <w:name w:val="日期 Char1"/>
    <w:uiPriority w:val="0"/>
    <w:qFormat/>
    <w:rPr>
      <w:rFonts w:ascii="Calibri" w:hAnsi="Calibri" w:eastAsia="宋体" w:cs="Times New Roman"/>
    </w:rPr>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表格文字 字符"/>
    <w:link w:val="1152"/>
    <w:uiPriority w:val="0"/>
    <w:qFormat/>
  </w:style>
  <w:style w:type="paragraph" w:styleId="1152" w:customStyle="1">
    <w:name w:val="表格文字"/>
    <w:basedOn w:val="900"/>
    <w:link w:val="1151"/>
    <w:uiPriority w:val="0"/>
    <w:qFormat/>
    <w:pPr>
      <w:jc w:val="left"/>
      <w:spacing w:line="420" w:lineRule="atLeast"/>
    </w:pPr>
    <w:rPr>
      <w:rFonts w:ascii="Calibri" w:hAnsi="Calibri"/>
      <w:szCs w:val="22"/>
    </w:rPr>
  </w:style>
  <w:style w:type="character" w:styleId="1153" w:customStyle="1">
    <w:name w:val="文档结构图 Char1"/>
    <w:uiPriority w:val="0"/>
    <w:qFormat/>
    <w:rPr>
      <w:rFonts w:hint="eastAsia" w:ascii="宋体" w:hAnsi="Calibri" w:eastAsia="宋体" w:cs="Times New Roman"/>
      <w:sz w:val="18"/>
      <w:szCs w:val="18"/>
    </w:rPr>
  </w:style>
  <w:style w:type="character" w:styleId="1154" w:customStyle="1">
    <w:name w:val="标题 3 Char_0"/>
    <w:link w:val="1155"/>
    <w:uiPriority w:val="0"/>
    <w:qFormat/>
    <w:rPr>
      <w:rFonts w:ascii="Times New Roman" w:hAnsi="Times New Roman" w:eastAsia="宋体" w:cs="Times New Roman"/>
      <w:szCs w:val="24"/>
    </w:rPr>
  </w:style>
  <w:style w:type="paragraph" w:styleId="1155" w:customStyle="1">
    <w:name w:val="标题 3_0"/>
    <w:basedOn w:val="900"/>
    <w:link w:val="1154"/>
    <w:uiPriority w:val="0"/>
    <w:qFormat/>
  </w:style>
  <w:style w:type="character" w:styleId="1156" w:customStyle="1">
    <w:name w:val="引用 Char2"/>
    <w:uiPriority w:val="99"/>
    <w:qFormat/>
    <w:rPr>
      <w:i/>
      <w:iCs/>
      <w:color w:val="000000"/>
      <w:sz w:val="21"/>
      <w:szCs w:val="24"/>
    </w:rPr>
  </w:style>
  <w:style w:type="character" w:styleId="1157" w:customStyle="1">
    <w:name w:val="标题 4 Char_0"/>
    <w:link w:val="1158"/>
    <w:uiPriority w:val="0"/>
    <w:qFormat/>
    <w:rPr>
      <w:rFonts w:ascii="Arial" w:hAnsi="Arial" w:eastAsia="黑体" w:cs="Arial"/>
      <w:b/>
      <w:bCs/>
      <w:sz w:val="28"/>
      <w:szCs w:val="28"/>
    </w:rPr>
  </w:style>
  <w:style w:type="paragraph" w:styleId="1158" w:customStyle="1">
    <w:name w:val="标题 4_0"/>
    <w:basedOn w:val="1159"/>
    <w:next w:val="1159"/>
    <w:link w:val="1157"/>
    <w:uiPriority w:val="0"/>
    <w:qFormat/>
    <w:pPr>
      <w:keepLines/>
      <w:keepNext/>
      <w:spacing w:before="280" w:after="290" w:line="374" w:lineRule="auto"/>
      <w:outlineLvl w:val="3"/>
    </w:pPr>
    <w:rPr>
      <w:rFonts w:ascii="Arial" w:hAnsi="Arial" w:eastAsia="黑体" w:cs="Arial"/>
      <w:b/>
      <w:bCs/>
      <w:sz w:val="28"/>
      <w:szCs w:val="28"/>
    </w:rPr>
  </w:style>
  <w:style w:type="paragraph" w:styleId="115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60" w:customStyle="1">
    <w:name w:val="明显引用 Char"/>
    <w:link w:val="1161"/>
    <w:uiPriority w:val="0"/>
    <w:qFormat/>
    <w:rPr>
      <w:b/>
      <w:bCs/>
      <w:i/>
      <w:iCs/>
      <w:color w:val="4f81bd"/>
    </w:rPr>
  </w:style>
  <w:style w:type="paragraph" w:styleId="1161" w:customStyle="1">
    <w:name w:val="明显引用1"/>
    <w:basedOn w:val="900"/>
    <w:next w:val="900"/>
    <w:link w:val="1160"/>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62" w:customStyle="1">
    <w:name w:val="批注主题 Char2"/>
    <w:uiPriority w:val="0"/>
    <w:qFormat/>
    <w:rPr>
      <w:b/>
      <w:bCs/>
      <w:sz w:val="21"/>
    </w:rPr>
  </w:style>
  <w:style w:type="character" w:styleId="1163" w:customStyle="1">
    <w:name w:val="列出段落 Char"/>
    <w:link w:val="1164"/>
    <w:uiPriority w:val="99"/>
    <w:qFormat/>
    <w:rPr>
      <w:szCs w:val="24"/>
    </w:rPr>
  </w:style>
  <w:style w:type="paragraph" w:styleId="1164" w:customStyle="1">
    <w:name w:val="List Paragraph1"/>
    <w:basedOn w:val="900"/>
    <w:link w:val="1163"/>
    <w:uiPriority w:val="99"/>
    <w:qFormat/>
    <w:pPr>
      <w:ind w:firstLine="420"/>
    </w:pPr>
    <w:rPr>
      <w:rFonts w:ascii="Calibri" w:hAnsi="Calibri"/>
    </w:rPr>
  </w:style>
  <w:style w:type="character" w:styleId="1165" w:customStyle="1">
    <w:name w:val="标题 5 Char_0"/>
    <w:link w:val="1166"/>
    <w:uiPriority w:val="0"/>
    <w:qFormat/>
    <w:rPr>
      <w:b/>
      <w:bCs/>
      <w:sz w:val="28"/>
      <w:szCs w:val="28"/>
    </w:rPr>
  </w:style>
  <w:style w:type="paragraph" w:styleId="1166" w:customStyle="1">
    <w:name w:val="标题 5_0"/>
    <w:basedOn w:val="1159"/>
    <w:next w:val="1159"/>
    <w:link w:val="1165"/>
    <w:uiPriority w:val="0"/>
    <w:qFormat/>
    <w:pPr>
      <w:keepLines/>
      <w:keepNext/>
      <w:spacing w:before="280" w:after="290" w:line="372" w:lineRule="auto"/>
      <w:outlineLvl w:val="4"/>
    </w:pPr>
    <w:rPr>
      <w:rFonts w:ascii="Calibri" w:hAnsi="Calibri"/>
      <w:b/>
      <w:bCs/>
      <w:sz w:val="28"/>
      <w:szCs w:val="28"/>
    </w:rPr>
  </w:style>
  <w:style w:type="character" w:styleId="1167" w:customStyle="1">
    <w:name w:val="标题5 Char Char"/>
    <w:link w:val="1168"/>
    <w:uiPriority w:val="0"/>
    <w:qFormat/>
    <w:rPr>
      <w:rFonts w:ascii="Arial" w:hAnsi="Arial" w:cs="Arial"/>
      <w:b/>
      <w:bCs/>
      <w:sz w:val="24"/>
      <w:szCs w:val="32"/>
    </w:rPr>
  </w:style>
  <w:style w:type="paragraph" w:styleId="1168" w:customStyle="1">
    <w:name w:val="标题5"/>
    <w:basedOn w:val="903"/>
    <w:link w:val="1167"/>
    <w:uiPriority w:val="0"/>
    <w:qFormat/>
    <w:pPr>
      <w:numPr>
        <w:ilvl w:val="0"/>
        <w:numId w:val="0"/>
      </w:numPr>
      <w:spacing w:line="412" w:lineRule="auto"/>
    </w:pPr>
    <w:rPr>
      <w:rFonts w:ascii="Arial" w:hAnsi="Arial" w:cs="Arial"/>
      <w:sz w:val="24"/>
    </w:rPr>
  </w:style>
  <w:style w:type="character" w:styleId="1169" w:customStyle="1">
    <w:name w:val="不明显强调1"/>
    <w:uiPriority w:val="0"/>
    <w:qFormat/>
    <w:rPr>
      <w:i/>
      <w:iCs/>
      <w:color w:val="808080"/>
    </w:rPr>
  </w:style>
  <w:style w:type="character" w:styleId="1170" w:customStyle="1">
    <w:name w:val="页脚 Char1"/>
    <w:uiPriority w:val="99"/>
    <w:semiHidden/>
    <w:qFormat/>
    <w:rPr>
      <w:rFonts w:ascii="Calibri" w:hAnsi="Calibri" w:eastAsia="宋体" w:cs="Times New Roman"/>
      <w:sz w:val="18"/>
      <w:szCs w:val="18"/>
    </w:rPr>
  </w:style>
  <w:style w:type="character" w:styleId="1171" w:customStyle="1">
    <w:name w:val="引用 Char"/>
    <w:link w:val="1172"/>
    <w:uiPriority w:val="0"/>
    <w:qFormat/>
    <w:rPr>
      <w:i/>
      <w:iCs/>
      <w:color w:val="000000"/>
    </w:rPr>
  </w:style>
  <w:style w:type="paragraph" w:styleId="1172" w:customStyle="1">
    <w:name w:val="引用1"/>
    <w:basedOn w:val="900"/>
    <w:next w:val="900"/>
    <w:link w:val="1171"/>
    <w:uiPriority w:val="0"/>
    <w:qFormat/>
    <w:rPr>
      <w:rFonts w:ascii="Calibri" w:hAnsi="Calibri"/>
      <w:i/>
      <w:iCs/>
      <w:color w:val="000000"/>
      <w:szCs w:val="22"/>
    </w:rPr>
  </w:style>
  <w:style w:type="character" w:styleId="1173" w:customStyle="1">
    <w:name w:val="批注框文本 Char1"/>
    <w:uiPriority w:val="0"/>
    <w:qFormat/>
    <w:rPr>
      <w:sz w:val="18"/>
      <w:szCs w:val="18"/>
    </w:rPr>
  </w:style>
  <w:style w:type="character" w:styleId="1174" w:customStyle="1">
    <w:name w:val="标题 Char2"/>
    <w:uiPriority w:val="10"/>
    <w:qFormat/>
    <w:rPr>
      <w:rFonts w:ascii="Cambria" w:hAnsi="Cambria" w:cs="Times New Roman"/>
      <w:b/>
      <w:bCs/>
      <w:sz w:val="32"/>
      <w:szCs w:val="32"/>
    </w:rPr>
  </w:style>
  <w:style w:type="character" w:styleId="1175" w:customStyle="1">
    <w:name w:val="文档结构图 Char2"/>
    <w:uiPriority w:val="99"/>
    <w:semiHidden/>
    <w:qFormat/>
    <w:rPr>
      <w:rFonts w:hint="eastAsia" w:ascii="宋体" w:hAnsi="Calibri" w:eastAsia="宋体" w:cs="Times New Roman"/>
      <w:sz w:val="18"/>
      <w:szCs w:val="18"/>
    </w:rPr>
  </w:style>
  <w:style w:type="character" w:styleId="1176" w:customStyle="1">
    <w:name w:val="font31"/>
    <w:uiPriority w:val="0"/>
    <w:qFormat/>
    <w:rPr>
      <w:rFonts w:hint="eastAsia" w:ascii="宋体" w:hAnsi="宋体" w:eastAsia="宋体" w:cs="宋体"/>
      <w:color w:val="000000"/>
      <w:sz w:val="20"/>
      <w:szCs w:val="20"/>
      <w:u w:val="none"/>
    </w:rPr>
  </w:style>
  <w:style w:type="character" w:styleId="1177" w:customStyle="1">
    <w:name w:val="rvts11"/>
    <w:uiPriority w:val="0"/>
    <w:qFormat/>
    <w:rPr>
      <w:rFonts w:ascii="KNLe" w:hAnsi="KNLe"/>
      <w:sz w:val="24"/>
      <w:szCs w:val="24"/>
      <w:u w:val="single"/>
    </w:rPr>
  </w:style>
  <w:style w:type="character" w:styleId="1178" w:customStyle="1">
    <w:name w:val="日期 Char2"/>
    <w:uiPriority w:val="99"/>
    <w:semiHidden/>
    <w:qFormat/>
    <w:rPr>
      <w:rFonts w:ascii="Calibri" w:hAnsi="Calibri" w:eastAsia="宋体" w:cs="Times New Roman"/>
    </w:rPr>
  </w:style>
  <w:style w:type="character" w:styleId="1179" w:customStyle="1">
    <w:name w:val="引用 Char1"/>
    <w:uiPriority w:val="29"/>
    <w:qFormat/>
    <w:rPr>
      <w:i/>
      <w:iCs/>
      <w:color w:val="000000"/>
      <w:sz w:val="21"/>
    </w:rPr>
  </w:style>
  <w:style w:type="character" w:styleId="1180" w:customStyle="1">
    <w:name w:val="批注主题 Char1"/>
    <w:uiPriority w:val="0"/>
    <w:qFormat/>
    <w:rPr>
      <w:b/>
      <w:bCs/>
      <w:sz w:val="21"/>
      <w:szCs w:val="22"/>
    </w:rPr>
  </w:style>
  <w:style w:type="character" w:styleId="1181" w:customStyle="1">
    <w:name w:val="副标题 Char1"/>
    <w:uiPriority w:val="11"/>
    <w:qFormat/>
    <w:rPr>
      <w:rFonts w:ascii="Cambria" w:hAnsi="Cambria" w:cs="Times New Roman"/>
      <w:b/>
      <w:bCs/>
      <w:sz w:val="32"/>
      <w:szCs w:val="32"/>
    </w:rPr>
  </w:style>
  <w:style w:type="character" w:styleId="1182" w:customStyle="1">
    <w:name w:val="font11"/>
    <w:uiPriority w:val="0"/>
    <w:qFormat/>
    <w:rPr>
      <w:rFonts w:hint="eastAsia" w:ascii="宋体" w:hAnsi="宋体" w:eastAsia="宋体" w:cs="宋体"/>
      <w:color w:val="000000"/>
      <w:sz w:val="20"/>
      <w:szCs w:val="20"/>
      <w:u w:val="none"/>
    </w:rPr>
  </w:style>
  <w:style w:type="character" w:styleId="1183" w:customStyle="1">
    <w:name w:val="批注文字 Char2"/>
    <w:uiPriority w:val="0"/>
    <w:qFormat/>
    <w:rPr>
      <w:sz w:val="21"/>
    </w:rPr>
  </w:style>
  <w:style w:type="character" w:styleId="1184" w:customStyle="1">
    <w:name w:val="明显强调1"/>
    <w:uiPriority w:val="0"/>
    <w:qFormat/>
    <w:rPr>
      <w:b/>
      <w:bCs/>
      <w:i/>
      <w:iCs/>
      <w:color w:val="4f81bd"/>
    </w:rPr>
  </w:style>
  <w:style w:type="character" w:styleId="1185" w:customStyle="1">
    <w:name w:val="标题 1 Char_0"/>
    <w:link w:val="1186"/>
    <w:uiPriority w:val="0"/>
    <w:qFormat/>
    <w:rPr>
      <w:b/>
      <w:bCs/>
      <w:sz w:val="44"/>
      <w:szCs w:val="44"/>
    </w:rPr>
  </w:style>
  <w:style w:type="paragraph" w:styleId="1186" w:customStyle="1">
    <w:name w:val="标题 1_0"/>
    <w:basedOn w:val="1159"/>
    <w:next w:val="1159"/>
    <w:link w:val="1185"/>
    <w:uiPriority w:val="0"/>
    <w:qFormat/>
    <w:pPr>
      <w:keepLines/>
      <w:keepNext/>
      <w:spacing w:before="340" w:after="330" w:line="576" w:lineRule="auto"/>
      <w:outlineLvl w:val="0"/>
    </w:pPr>
    <w:rPr>
      <w:rFonts w:ascii="Calibri" w:hAnsi="Calibri"/>
      <w:b/>
      <w:bCs/>
      <w:sz w:val="44"/>
      <w:szCs w:val="44"/>
    </w:rPr>
  </w:style>
  <w:style w:type="character" w:styleId="1187" w:customStyle="1">
    <w:name w:val="明显引用 Char1"/>
    <w:uiPriority w:val="30"/>
    <w:qFormat/>
    <w:rPr>
      <w:b/>
      <w:bCs/>
      <w:i/>
      <w:iCs/>
      <w:color w:val="4f81bd"/>
      <w:sz w:val="21"/>
    </w:rPr>
  </w:style>
  <w:style w:type="character" w:styleId="1188" w:customStyle="1">
    <w:name w:val="font71"/>
    <w:uiPriority w:val="0"/>
    <w:qFormat/>
    <w:rPr>
      <w:rFonts w:hint="eastAsia" w:ascii="宋体" w:hAnsi="宋体" w:eastAsia="宋体" w:cs="宋体"/>
      <w:color w:val="000000"/>
      <w:sz w:val="24"/>
      <w:szCs w:val="24"/>
      <w:u w:val="none"/>
    </w:rPr>
  </w:style>
  <w:style w:type="character" w:styleId="1189" w:customStyle="1">
    <w:name w:val="正文文本 Char_0"/>
    <w:link w:val="1190"/>
    <w:uiPriority w:val="0"/>
    <w:qFormat/>
    <w:rPr>
      <w:szCs w:val="24"/>
    </w:rPr>
  </w:style>
  <w:style w:type="paragraph" w:styleId="1190" w:customStyle="1">
    <w:name w:val="正文文本_0"/>
    <w:basedOn w:val="1159"/>
    <w:link w:val="1189"/>
    <w:uiPriority w:val="0"/>
    <w:qFormat/>
    <w:pPr>
      <w:spacing w:after="120"/>
    </w:pPr>
    <w:rPr>
      <w:rFonts w:ascii="Calibri" w:hAnsi="Calibri"/>
    </w:rPr>
  </w:style>
  <w:style w:type="character" w:styleId="1191" w:customStyle="1">
    <w:name w:val="批注框文本 Char2"/>
    <w:uiPriority w:val="99"/>
    <w:semiHidden/>
    <w:qFormat/>
    <w:rPr>
      <w:rFonts w:ascii="Calibri" w:hAnsi="Calibri" w:eastAsia="宋体" w:cs="Times New Roman"/>
      <w:sz w:val="18"/>
      <w:szCs w:val="18"/>
    </w:rPr>
  </w:style>
  <w:style w:type="character" w:styleId="1192" w:customStyle="1">
    <w:name w:val="正文文本缩进 3 Char1"/>
    <w:uiPriority w:val="99"/>
    <w:semiHidden/>
    <w:qFormat/>
    <w:rPr>
      <w:sz w:val="16"/>
      <w:szCs w:val="16"/>
    </w:rPr>
  </w:style>
  <w:style w:type="character" w:styleId="1193" w:customStyle="1">
    <w:name w:val="不明显参考1"/>
    <w:uiPriority w:val="0"/>
    <w:qFormat/>
    <w:rPr>
      <w:smallCaps/>
      <w:color w:val="c0504d"/>
      <w:u w:val="single"/>
    </w:rPr>
  </w:style>
  <w:style w:type="character" w:styleId="1194" w:customStyle="1">
    <w:name w:val="bookmark"/>
    <w:basedOn w:val="910"/>
    <w:uiPriority w:val="0"/>
    <w:qFormat/>
  </w:style>
  <w:style w:type="character" w:styleId="1195" w:customStyle="1">
    <w:name w:val="超链接_0"/>
    <w:uiPriority w:val="99"/>
    <w:qFormat/>
    <w:rPr>
      <w:rFonts w:ascii="Calibri" w:hAnsi="Calibri" w:cs="Calibri"/>
      <w:color w:val="0000ff"/>
      <w:u w:val="single"/>
    </w:rPr>
  </w:style>
  <w:style w:type="character" w:styleId="1196" w:customStyle="1">
    <w:name w:val="副标题 Char2"/>
    <w:uiPriority w:val="11"/>
    <w:qFormat/>
    <w:rPr>
      <w:rFonts w:ascii="Cambria" w:hAnsi="Cambria" w:cs="Times New Roman"/>
      <w:b/>
      <w:bCs/>
      <w:sz w:val="32"/>
      <w:szCs w:val="32"/>
    </w:rPr>
  </w:style>
  <w:style w:type="character" w:styleId="1197" w:customStyle="1">
    <w:name w:val="明显参考1"/>
    <w:uiPriority w:val="0"/>
    <w:qFormat/>
    <w:rPr>
      <w:b/>
      <w:bCs/>
      <w:smallCaps/>
      <w:color w:val="c0504d"/>
      <w:spacing w:val="5"/>
      <w:u w:val="single"/>
    </w:rPr>
  </w:style>
  <w:style w:type="character" w:styleId="1198" w:customStyle="1">
    <w:name w:val="书籍标题1"/>
    <w:uiPriority w:val="0"/>
    <w:qFormat/>
    <w:rPr>
      <w:b/>
      <w:bCs/>
      <w:smallCaps/>
      <w:spacing w:val="5"/>
    </w:rPr>
  </w:style>
  <w:style w:type="character" w:styleId="1199" w:customStyle="1">
    <w:name w:val="正文文本 3 Char1"/>
    <w:uiPriority w:val="99"/>
    <w:semiHidden/>
    <w:qFormat/>
    <w:rPr>
      <w:sz w:val="16"/>
      <w:szCs w:val="16"/>
    </w:rPr>
  </w:style>
  <w:style w:type="character" w:styleId="1200" w:customStyle="1">
    <w:name w:val="标题4 Char Char"/>
    <w:link w:val="1201"/>
    <w:uiPriority w:val="0"/>
    <w:qFormat/>
    <w:rPr>
      <w:rFonts w:ascii="Arial" w:hAnsi="Arial" w:cs="Arial"/>
      <w:b/>
      <w:bCs/>
      <w:sz w:val="24"/>
      <w:szCs w:val="32"/>
    </w:rPr>
  </w:style>
  <w:style w:type="paragraph" w:styleId="1201" w:customStyle="1">
    <w:name w:val="标题4"/>
    <w:basedOn w:val="902"/>
    <w:next w:val="923"/>
    <w:link w:val="1200"/>
    <w:uiPriority w:val="0"/>
    <w:qFormat/>
    <w:pPr>
      <w:numPr>
        <w:ilvl w:val="0"/>
        <w:numId w:val="0"/>
      </w:numPr>
      <w:spacing w:line="412" w:lineRule="auto"/>
    </w:pPr>
    <w:rPr>
      <w:rFonts w:ascii="Arial" w:hAnsi="Arial" w:cs="Arial"/>
      <w:sz w:val="24"/>
    </w:rPr>
  </w:style>
  <w:style w:type="character" w:styleId="1202" w:customStyle="1">
    <w:name w:val="明显引用 Char2"/>
    <w:uiPriority w:val="99"/>
    <w:qFormat/>
    <w:rPr>
      <w:b/>
      <w:bCs/>
      <w:i/>
      <w:iCs/>
      <w:color w:val="4f81bd"/>
      <w:sz w:val="21"/>
      <w:szCs w:val="24"/>
    </w:rPr>
  </w:style>
  <w:style w:type="character" w:styleId="1203" w:customStyle="1">
    <w:name w:val="正文文本 Char2"/>
    <w:uiPriority w:val="99"/>
    <w:semiHidden/>
    <w:qFormat/>
    <w:rPr>
      <w:rFonts w:ascii="Calibri" w:hAnsi="Calibri" w:eastAsia="宋体" w:cs="Times New Roman"/>
    </w:rPr>
  </w:style>
  <w:style w:type="character" w:styleId="1204" w:customStyle="1">
    <w:name w:val="font161"/>
    <w:uiPriority w:val="0"/>
    <w:qFormat/>
    <w:rPr>
      <w:b/>
      <w:sz w:val="32"/>
    </w:rPr>
  </w:style>
  <w:style w:type="character" w:styleId="1205" w:customStyle="1">
    <w:name w:val="标题 2 Char_0"/>
    <w:link w:val="1206"/>
    <w:uiPriority w:val="0"/>
    <w:qFormat/>
    <w:rPr>
      <w:rFonts w:ascii="Cambria" w:hAnsi="Cambria"/>
      <w:b/>
      <w:bCs/>
      <w:sz w:val="32"/>
      <w:szCs w:val="32"/>
    </w:rPr>
  </w:style>
  <w:style w:type="paragraph" w:styleId="1206" w:customStyle="1">
    <w:name w:val="标题 2_0"/>
    <w:basedOn w:val="1159"/>
    <w:next w:val="1159"/>
    <w:link w:val="1205"/>
    <w:uiPriority w:val="0"/>
    <w:qFormat/>
    <w:pPr>
      <w:keepLines/>
      <w:keepNext/>
      <w:spacing w:before="260" w:after="260" w:line="415" w:lineRule="auto"/>
      <w:outlineLvl w:val="1"/>
    </w:pPr>
    <w:rPr>
      <w:rFonts w:ascii="Cambria" w:hAnsi="Cambria"/>
      <w:b/>
      <w:bCs/>
      <w:sz w:val="32"/>
      <w:szCs w:val="32"/>
    </w:rPr>
  </w:style>
  <w:style w:type="character" w:styleId="1207" w:customStyle="1">
    <w:name w:val="正文文本 Char1"/>
    <w:uiPriority w:val="0"/>
    <w:qFormat/>
    <w:rPr>
      <w:rFonts w:ascii="Calibri" w:hAnsi="Calibri" w:eastAsia="宋体" w:cs="Times New Roman"/>
    </w:rPr>
  </w:style>
  <w:style w:type="character" w:styleId="1208" w:customStyle="1">
    <w:name w:val="批注文字 Char1"/>
    <w:uiPriority w:val="0"/>
    <w:qFormat/>
    <w:rPr>
      <w:rFonts w:ascii="Calibri" w:hAnsi="Calibri" w:eastAsia="宋体" w:cs="Times New Roman"/>
    </w:rPr>
  </w:style>
  <w:style w:type="character" w:styleId="1209" w:customStyle="1">
    <w:name w:val="textcontents"/>
    <w:uiPriority w:val="0"/>
    <w:qFormat/>
    <w:rPr>
      <w:rFonts w:ascii="Times New Roman" w:hAnsi="Times New Roman" w:cs="Times New Roman"/>
    </w:rPr>
  </w:style>
  <w:style w:type="character" w:styleId="1210" w:customStyle="1">
    <w:name w:val="标题 Char1"/>
    <w:uiPriority w:val="10"/>
    <w:qFormat/>
    <w:rPr>
      <w:rFonts w:ascii="Cambria" w:hAnsi="Cambria" w:eastAsia="宋体" w:cs="Times New Roman"/>
      <w:b/>
      <w:bCs/>
      <w:sz w:val="32"/>
      <w:szCs w:val="32"/>
    </w:rPr>
  </w:style>
  <w:style w:type="paragraph" w:styleId="1211" w:customStyle="1">
    <w:name w:val="table_lines"/>
    <w:basedOn w:val="900"/>
    <w:uiPriority w:val="99"/>
    <w:qFormat/>
    <w:pPr>
      <w:jc w:val="left"/>
      <w:widowControl/>
    </w:pPr>
    <w:rPr>
      <w:rFonts w:eastAsia="MS Mincho"/>
      <w:sz w:val="20"/>
      <w:szCs w:val="20"/>
      <w:lang w:val="de-DE" w:eastAsia="de-DE"/>
    </w:rPr>
  </w:style>
  <w:style w:type="paragraph" w:styleId="1212" w:customStyle="1">
    <w:name w:val="p0"/>
    <w:basedOn w:val="900"/>
    <w:uiPriority w:val="99"/>
    <w:qFormat/>
    <w:pPr>
      <w:widowControl/>
    </w:pPr>
    <w:rPr>
      <w:b/>
      <w:bCs/>
      <w:sz w:val="24"/>
    </w:rPr>
  </w:style>
  <w:style w:type="paragraph" w:styleId="1213" w:customStyle="1">
    <w:name w:val="trs_editor"/>
    <w:basedOn w:val="900"/>
    <w:uiPriority w:val="99"/>
    <w:qFormat/>
    <w:pPr>
      <w:jc w:val="left"/>
      <w:spacing w:before="100" w:beforeAutospacing="1" w:after="100" w:afterAutospacing="1"/>
      <w:widowControl/>
    </w:pPr>
    <w:rPr>
      <w:rFonts w:ascii="宋体" w:hAnsi="宋体" w:cs="宋体"/>
      <w:sz w:val="24"/>
    </w:rPr>
  </w:style>
  <w:style w:type="paragraph" w:styleId="1214" w:customStyle="1">
    <w:name w:val="_Style 7"/>
    <w:basedOn w:val="900"/>
    <w:next w:val="970"/>
    <w:uiPriority w:val="34"/>
    <w:qFormat/>
    <w:pPr>
      <w:ind w:firstLine="420"/>
    </w:pPr>
  </w:style>
  <w:style w:type="paragraph" w:styleId="1215" w:customStyle="1">
    <w:name w:val="_Style 34"/>
    <w:next w:val="900"/>
    <w:uiPriority w:val="99"/>
    <w:qFormat/>
    <w:pPr>
      <w:jc w:val="both"/>
      <w:widowControl w:val="off"/>
    </w:pPr>
    <w:rPr>
      <w:rFonts w:ascii="Times New Roman" w:hAnsi="Times New Roman" w:eastAsia="宋体" w:cs="Times New Roman"/>
      <w:sz w:val="21"/>
      <w:lang w:val="en-US" w:eastAsia="zh-CN" w:bidi="ar-SA"/>
    </w:rPr>
  </w:style>
  <w:style w:type="paragraph" w:styleId="1216" w:customStyle="1">
    <w:name w:val="6'"/>
    <w:basedOn w:val="900"/>
    <w:uiPriority w:val="99"/>
    <w:qFormat/>
    <w:pPr>
      <w:jc w:val="center"/>
      <w:spacing w:line="320" w:lineRule="exact"/>
    </w:pPr>
    <w:rPr>
      <w:rFonts w:ascii="Calibri" w:hAnsi="Calibri"/>
      <w:spacing w:val="20"/>
      <w:szCs w:val="22"/>
    </w:rPr>
  </w:style>
  <w:style w:type="paragraph" w:styleId="1217" w:customStyle="1">
    <w:name w:val="1"/>
    <w:basedOn w:val="900"/>
    <w:next w:val="900"/>
    <w:uiPriority w:val="99"/>
    <w:qFormat/>
    <w:rPr>
      <w:rFonts w:ascii="Calibri" w:hAnsi="Calibri"/>
      <w:szCs w:val="22"/>
    </w:rPr>
  </w:style>
  <w:style w:type="paragraph" w:styleId="1218" w:customStyle="1">
    <w:name w:val="样式 标题 2 + Times New Roman 四号 非加粗 段前: 5 磅 段后: 0 磅 行距: 固定值 20..._0"/>
    <w:basedOn w:val="900"/>
    <w:uiPriority w:val="99"/>
    <w:qFormat/>
    <w:pPr>
      <w:keepLines/>
      <w:keepNext/>
      <w:spacing w:before="100" w:line="360" w:lineRule="auto"/>
      <w:outlineLvl w:val="1"/>
    </w:pPr>
    <w:rPr>
      <w:rFonts w:eastAsia="Times New Roman" w:cs="宋体"/>
      <w:sz w:val="28"/>
      <w:szCs w:val="20"/>
    </w:rPr>
  </w:style>
  <w:style w:type="paragraph" w:styleId="1219" w:customStyle="1">
    <w:name w:val="1方案格式1"/>
    <w:basedOn w:val="901"/>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20" w:customStyle="1">
    <w:name w:val="yiv1658056056msonormal"/>
    <w:basedOn w:val="900"/>
    <w:uiPriority w:val="99"/>
    <w:qFormat/>
    <w:pPr>
      <w:jc w:val="left"/>
      <w:spacing w:before="100" w:beforeAutospacing="1" w:after="100" w:afterAutospacing="1"/>
      <w:widowControl/>
    </w:pPr>
    <w:rPr>
      <w:rFonts w:ascii="宋体" w:hAnsi="宋体" w:cs="宋体"/>
      <w:sz w:val="24"/>
    </w:rPr>
  </w:style>
  <w:style w:type="paragraph" w:styleId="1221"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22"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23" w:customStyle="1">
    <w:name w:val="正文文本缩进11"/>
    <w:basedOn w:val="900"/>
    <w:next w:val="1224"/>
    <w:uiPriority w:val="0"/>
    <w:qFormat/>
    <w:pPr>
      <w:ind w:firstLine="435"/>
      <w:spacing w:line="480" w:lineRule="exact"/>
    </w:pPr>
    <w:rPr>
      <w:sz w:val="24"/>
    </w:rPr>
  </w:style>
  <w:style w:type="paragraph" w:styleId="1224" w:customStyle="1">
    <w:name w:val="寄信人地址1"/>
    <w:basedOn w:val="900"/>
    <w:uiPriority w:val="0"/>
    <w:qFormat/>
    <w:rPr>
      <w:rFonts w:ascii="Arial" w:hAnsi="Arial" w:eastAsia="楷体_GB2312"/>
      <w:sz w:val="26"/>
      <w:szCs w:val="20"/>
    </w:rPr>
  </w:style>
  <w:style w:type="paragraph" w:styleId="1225" w:customStyle="1">
    <w:name w:val="标题2"/>
    <w:basedOn w:val="902"/>
    <w:next w:val="919"/>
    <w:uiPriority w:val="99"/>
    <w:qFormat/>
    <w:pPr>
      <w:spacing w:before="156" w:after="156" w:line="360" w:lineRule="auto"/>
    </w:pPr>
    <w:rPr>
      <w:bCs w:val="0"/>
      <w:sz w:val="24"/>
    </w:rPr>
  </w:style>
  <w:style w:type="paragraph" w:styleId="1226" w:customStyle="1">
    <w:name w:val="表格正文"/>
    <w:basedOn w:val="900"/>
    <w:next w:val="900"/>
    <w:uiPriority w:val="0"/>
    <w:qFormat/>
    <w:pPr>
      <w:contextualSpacing/>
      <w:jc w:val="left"/>
      <w:spacing w:before="20" w:after="20" w:line="300" w:lineRule="exact"/>
    </w:pPr>
    <w:rPr>
      <w:szCs w:val="20"/>
    </w:rPr>
  </w:style>
  <w:style w:type="paragraph" w:styleId="1227" w:customStyle="1">
    <w:name w:val="目录 3_0"/>
    <w:basedOn w:val="1159"/>
    <w:next w:val="1159"/>
    <w:uiPriority w:val="39"/>
    <w:qFormat/>
    <w:pPr>
      <w:ind w:left="840"/>
    </w:pPr>
    <w:rPr>
      <w:rFonts w:ascii="Calibri" w:hAnsi="Calibri"/>
    </w:rPr>
  </w:style>
  <w:style w:type="paragraph" w:styleId="1228" w:customStyle="1">
    <w:name w:val="正文11"/>
    <w:uiPriority w:val="99"/>
    <w:qFormat/>
    <w:rPr>
      <w:rFonts w:ascii="Calibri" w:hAnsi="Calibri" w:eastAsia="宋体" w:cs="Calibri"/>
      <w:sz w:val="24"/>
      <w:szCs w:val="24"/>
      <w:lang w:val="en-US" w:eastAsia="zh-CN" w:bidi="ar-SA"/>
    </w:rPr>
  </w:style>
  <w:style w:type="paragraph" w:styleId="1229" w:customStyle="1">
    <w:name w:val="普通正文"/>
    <w:basedOn w:val="900"/>
    <w:uiPriority w:val="99"/>
    <w:qFormat/>
    <w:pPr>
      <w:ind w:firstLine="480"/>
      <w:jc w:val="left"/>
      <w:spacing w:before="120" w:after="120" w:line="360" w:lineRule="auto"/>
    </w:pPr>
    <w:rPr>
      <w:rFonts w:ascii="Arial" w:hAnsi="Arial"/>
      <w:sz w:val="24"/>
    </w:rPr>
  </w:style>
  <w:style w:type="paragraph" w:styleId="1230" w:customStyle="1">
    <w:name w:val="Table Text"/>
    <w:basedOn w:val="900"/>
    <w:uiPriority w:val="0"/>
    <w:semiHidden/>
    <w:qFormat/>
    <w:rPr>
      <w:rFonts w:ascii="宋体" w:hAnsi="宋体" w:cs="宋体"/>
      <w:sz w:val="24"/>
      <w:lang w:eastAsia="en-US"/>
    </w:rPr>
  </w:style>
  <w:style w:type="paragraph" w:styleId="1231" w:customStyle="1">
    <w:name w:val="纯文本2"/>
    <w:basedOn w:val="900"/>
    <w:uiPriority w:val="99"/>
    <w:qFormat/>
    <w:pPr>
      <w:jc w:val="left"/>
    </w:pPr>
    <w:rPr>
      <w:rFonts w:ascii="宋体" w:hAnsi="宋体" w:cs="Courier New"/>
      <w:sz w:val="24"/>
      <w:szCs w:val="20"/>
      <w:lang w:bidi="hi-IN"/>
    </w:rPr>
  </w:style>
  <w:style w:type="paragraph" w:styleId="1232" w:customStyle="1">
    <w:name w:val="Char Char Char Char Char Char Char"/>
    <w:basedOn w:val="900"/>
    <w:uiPriority w:val="99"/>
    <w:qFormat/>
    <w:pPr>
      <w:spacing w:line="360" w:lineRule="auto"/>
    </w:pPr>
    <w:rPr>
      <w:sz w:val="24"/>
      <w:szCs w:val="20"/>
    </w:rPr>
  </w:style>
  <w:style w:type="paragraph" w:styleId="1233" w:customStyle="1">
    <w:name w:val="Table Paragraph"/>
    <w:basedOn w:val="900"/>
    <w:uiPriority w:val="1"/>
    <w:qFormat/>
    <w:pPr>
      <w:jc w:val="left"/>
      <w:widowControl/>
    </w:pPr>
    <w:rPr>
      <w:rFonts w:ascii="Arial" w:hAnsi="Arial" w:eastAsia="Arial" w:cs="Arial"/>
      <w:color w:val="000000"/>
    </w:rPr>
  </w:style>
  <w:style w:type="paragraph" w:styleId="1234" w:customStyle="1">
    <w:name w:val="3方案格式3"/>
    <w:basedOn w:val="1235"/>
    <w:uiPriority w:val="99"/>
    <w:qFormat/>
    <w:pPr>
      <w:numPr>
        <w:ilvl w:val="2"/>
      </w:numPr>
      <w:tabs>
        <w:tab w:val="left" w:pos="360" w:leader="none"/>
      </w:tabs>
      <w:outlineLvl w:val="2"/>
    </w:pPr>
    <w:rPr>
      <w:sz w:val="32"/>
    </w:rPr>
  </w:style>
  <w:style w:type="paragraph" w:styleId="1235" w:customStyle="1">
    <w:name w:val="2方案格式2"/>
    <w:basedOn w:val="1219"/>
    <w:uiPriority w:val="99"/>
    <w:qFormat/>
    <w:pPr>
      <w:numPr>
        <w:ilvl w:val="1"/>
      </w:numPr>
      <w:spacing w:line="240" w:lineRule="auto"/>
      <w:outlineLvl w:val="1"/>
    </w:pPr>
    <w:rPr>
      <w:sz w:val="44"/>
    </w:rPr>
  </w:style>
  <w:style w:type="paragraph" w:styleId="1236" w:customStyle="1">
    <w:name w:val="TOC 标题11"/>
    <w:basedOn w:val="901"/>
    <w:next w:val="900"/>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37"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38" w:customStyle="1">
    <w:name w:val="正文空2字"/>
    <w:basedOn w:val="900"/>
    <w:uiPriority w:val="99"/>
    <w:qFormat/>
    <w:pPr>
      <w:ind w:firstLine="200"/>
      <w:spacing w:line="360" w:lineRule="auto"/>
    </w:pPr>
    <w:rPr>
      <w:sz w:val="24"/>
      <w:lang w:bidi="en-US"/>
    </w:rPr>
  </w:style>
  <w:style w:type="paragraph" w:styleId="1239" w:customStyle="1">
    <w:name w:val="flNote"/>
    <w:basedOn w:val="900"/>
    <w:uiPriority w:val="99"/>
    <w:qFormat/>
    <w:pPr>
      <w:jc w:val="center"/>
      <w:spacing w:before="320" w:after="160" w:line="360" w:lineRule="atLeast"/>
    </w:pPr>
    <w:rPr>
      <w:rFonts w:ascii="Arial" w:hAnsi="Calibri" w:eastAsia="黑体"/>
      <w:sz w:val="30"/>
      <w:szCs w:val="22"/>
    </w:rPr>
  </w:style>
  <w:style w:type="paragraph" w:styleId="1240" w:customStyle="1">
    <w:name w:val="目录 4_0"/>
    <w:basedOn w:val="1159"/>
    <w:next w:val="1159"/>
    <w:uiPriority w:val="39"/>
    <w:qFormat/>
    <w:pPr>
      <w:ind w:left="1260"/>
    </w:pPr>
    <w:rPr>
      <w:rFonts w:ascii="Calibri" w:hAnsi="Calibri"/>
    </w:rPr>
  </w:style>
  <w:style w:type="paragraph" w:styleId="1241" w:customStyle="1">
    <w:name w:val="列出段落11"/>
    <w:basedOn w:val="900"/>
    <w:uiPriority w:val="99"/>
    <w:qFormat/>
    <w:pPr>
      <w:contextualSpacing/>
      <w:ind w:left="720"/>
      <w:jc w:val="left"/>
      <w:widowControl/>
    </w:pPr>
    <w:rPr>
      <w:rFonts w:ascii="Arial" w:hAnsi="Arial" w:eastAsia="黑体"/>
      <w:sz w:val="24"/>
      <w:lang w:eastAsia="en-US"/>
    </w:rPr>
  </w:style>
  <w:style w:type="paragraph" w:styleId="1242" w:customStyle="1">
    <w:name w:val="列出段落41"/>
    <w:basedOn w:val="900"/>
    <w:uiPriority w:val="99"/>
    <w:qFormat/>
    <w:pPr>
      <w:ind w:firstLine="420"/>
    </w:pPr>
  </w:style>
  <w:style w:type="paragraph" w:styleId="1243" w:customStyle="1">
    <w:name w:val="_Style 28"/>
    <w:basedOn w:val="900"/>
    <w:next w:val="970"/>
    <w:uiPriority w:val="34"/>
    <w:qFormat/>
    <w:pPr>
      <w:ind w:firstLine="420"/>
    </w:pPr>
  </w:style>
  <w:style w:type="paragraph" w:styleId="1244" w:customStyle="1">
    <w:name w:val="正文 + 行距: 固定值 20 磅"/>
    <w:basedOn w:val="900"/>
    <w:uiPriority w:val="99"/>
    <w:qFormat/>
    <w:pPr>
      <w:ind w:firstLine="716"/>
      <w:spacing w:line="400" w:lineRule="exact"/>
    </w:pPr>
    <w:rPr>
      <w:rFonts w:ascii="Calibri" w:hAnsi="Calibri"/>
      <w:szCs w:val="22"/>
    </w:rPr>
  </w:style>
  <w:style w:type="paragraph" w:styleId="1245" w:customStyle="1">
    <w:name w:val="文章正文"/>
    <w:basedOn w:val="900"/>
    <w:uiPriority w:val="99"/>
    <w:qFormat/>
    <w:pPr>
      <w:ind w:firstLine="480"/>
      <w:spacing w:line="360" w:lineRule="auto"/>
    </w:pPr>
    <w:rPr>
      <w:rFonts w:ascii="仿宋_GB2312" w:hAnsi="宋体" w:eastAsia="仿宋_GB2312"/>
      <w:color w:val="ff0000"/>
      <w:sz w:val="24"/>
    </w:rPr>
  </w:style>
  <w:style w:type="paragraph" w:styleId="1246" w:customStyle="1">
    <w:name w:val="样式 标题 1 + 黑体 三号 非加粗 居中 段前: 6 磅 段后: 6 磅 行距: 固定值 20 磅"/>
    <w:basedOn w:val="901"/>
    <w:uiPriority w:val="99"/>
    <w:qFormat/>
    <w:pPr>
      <w:numPr>
        <w:numId w:val="0"/>
      </w:numPr>
      <w:spacing w:before="120" w:after="120" w:line="400" w:lineRule="exact"/>
    </w:pPr>
    <w:rPr>
      <w:rFonts w:ascii="黑体" w:hAnsi="黑体" w:eastAsia="黑体"/>
      <w:b w:val="0"/>
      <w:bCs w:val="0"/>
      <w:szCs w:val="20"/>
    </w:rPr>
  </w:style>
  <w:style w:type="paragraph" w:styleId="1247" w:customStyle="1">
    <w:name w:val="表格"/>
    <w:basedOn w:val="900"/>
    <w:uiPriority w:val="99"/>
    <w:qFormat/>
    <w:pPr>
      <w:jc w:val="center"/>
    </w:pPr>
    <w:rPr>
      <w:rFonts w:ascii="华文细黑" w:hAnsi="华文细黑"/>
      <w:szCs w:val="22"/>
    </w:rPr>
  </w:style>
  <w:style w:type="paragraph" w:styleId="1248" w:customStyle="1">
    <w:name w:val="*正文"/>
    <w:basedOn w:val="900"/>
    <w:uiPriority w:val="0"/>
    <w:qFormat/>
    <w:rPr>
      <w:rFonts w:ascii="宋体" w:hAnsi="宋体"/>
      <w:sz w:val="24"/>
      <w:lang w:val="zh-CN"/>
    </w:rPr>
  </w:style>
  <w:style w:type="paragraph" w:styleId="1249"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50" w:customStyle="1">
    <w:name w:val="四级标题"/>
    <w:basedOn w:val="928"/>
    <w:uiPriority w:val="0"/>
    <w:qFormat/>
    <w:pPr>
      <w:spacing w:line="360" w:lineRule="auto"/>
    </w:pPr>
    <w:rPr>
      <w:rFonts w:hint="eastAsia" w:ascii="宋体" w:hAnsi="Courier New" w:eastAsia="黑体" w:cs="Courier New"/>
      <w:sz w:val="24"/>
      <w:szCs w:val="21"/>
    </w:rPr>
  </w:style>
  <w:style w:type="paragraph" w:styleId="1251" w:customStyle="1">
    <w:name w:val="标题 11"/>
    <w:basedOn w:val="1252"/>
    <w:next w:val="1252"/>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52" w:customStyle="1">
    <w:name w:val="正文1"/>
    <w:uiPriority w:val="99"/>
    <w:qFormat/>
    <w:pPr>
      <w:jc w:val="both"/>
      <w:widowControl w:val="off"/>
    </w:pPr>
    <w:rPr>
      <w:rFonts w:ascii="Calibri" w:hAnsi="Calibri" w:eastAsia="宋体" w:cs="Times New Roman"/>
      <w:lang w:val="en-US" w:eastAsia="zh-CN" w:bidi="ar-SA"/>
    </w:rPr>
  </w:style>
  <w:style w:type="paragraph" w:styleId="1253" w:customStyle="1">
    <w:name w:val="样式 标题 2 + Times New Roman 四号 非加粗 段前: 5 磅 段后: 0 磅 行距: 固定值 20..."/>
    <w:basedOn w:val="902"/>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54" w:customStyle="1">
    <w:name w:val="Char"/>
    <w:basedOn w:val="900"/>
    <w:uiPriority w:val="99"/>
    <w:qFormat/>
    <w:pPr>
      <w:jc w:val="left"/>
      <w:spacing w:after="160" w:line="240" w:lineRule="exact"/>
      <w:widowControl/>
    </w:pPr>
    <w:rPr>
      <w:rFonts w:ascii="Verdana" w:hAnsi="Verdana"/>
      <w:sz w:val="20"/>
      <w:szCs w:val="20"/>
      <w:lang w:eastAsia="en-US"/>
    </w:rPr>
  </w:style>
  <w:style w:type="paragraph" w:styleId="1255" w:customStyle="1">
    <w:name w:val="Blockquote_0"/>
    <w:basedOn w:val="1159"/>
    <w:uiPriority w:val="99"/>
    <w:qFormat/>
    <w:pPr>
      <w:ind w:left="360" w:right="360"/>
      <w:jc w:val="left"/>
      <w:spacing w:before="100" w:after="100"/>
    </w:pPr>
    <w:rPr>
      <w:rFonts w:ascii="Calibri" w:hAnsi="Calibri" w:eastAsia="Times New Roman"/>
      <w:sz w:val="24"/>
      <w:szCs w:val="20"/>
    </w:rPr>
  </w:style>
  <w:style w:type="paragraph" w:styleId="1256" w:customStyle="1">
    <w:name w:val="修订1"/>
    <w:uiPriority w:val="99"/>
    <w:qFormat/>
    <w:rPr>
      <w:rFonts w:ascii="Times New Roman" w:hAnsi="Times New Roman" w:eastAsia="宋体" w:cs="Times New Roman"/>
      <w:sz w:val="21"/>
      <w:szCs w:val="24"/>
      <w:lang w:val="en-US" w:eastAsia="zh-CN" w:bidi="ar-SA"/>
    </w:rPr>
  </w:style>
  <w:style w:type="paragraph" w:styleId="1257" w:customStyle="1">
    <w:name w:val="表格标题"/>
    <w:basedOn w:val="1226"/>
    <w:uiPriority w:val="0"/>
    <w:qFormat/>
    <w:pPr>
      <w:jc w:val="center"/>
    </w:pPr>
    <w:rPr>
      <w:b/>
    </w:rPr>
  </w:style>
  <w:style w:type="paragraph" w:styleId="1258"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op_mapdots_left"/>
    <w:basedOn w:val="900"/>
    <w:uiPriority w:val="99"/>
    <w:qFormat/>
    <w:pPr>
      <w:jc w:val="left"/>
      <w:spacing w:before="100" w:beforeAutospacing="1" w:after="100" w:afterAutospacing="1"/>
      <w:widowControl/>
    </w:pPr>
    <w:rPr>
      <w:rFonts w:ascii="宋体" w:hAnsi="宋体" w:cs="宋体"/>
      <w:sz w:val="24"/>
    </w:rPr>
  </w:style>
  <w:style w:type="paragraph" w:styleId="1260" w:customStyle="1">
    <w:name w:val="空半行"/>
    <w:basedOn w:val="900"/>
    <w:uiPriority w:val="99"/>
    <w:qFormat/>
    <w:pPr>
      <w:spacing w:line="120" w:lineRule="exact"/>
    </w:pPr>
    <w:rPr>
      <w:rFonts w:ascii="Calibri" w:hAnsi="Calibri" w:eastAsia="仿宋_GB2312"/>
      <w:color w:val="ffffff"/>
      <w:sz w:val="30"/>
      <w:szCs w:val="22"/>
    </w:rPr>
  </w:style>
  <w:style w:type="paragraph" w:styleId="1261" w:customStyle="1">
    <w:name w:val="_Style 36"/>
    <w:next w:val="970"/>
    <w:uiPriority w:val="99"/>
    <w:qFormat/>
    <w:pPr>
      <w:jc w:val="both"/>
      <w:widowControl w:val="off"/>
    </w:pPr>
    <w:rPr>
      <w:rFonts w:ascii="Times New Roman" w:hAnsi="Times New Roman" w:eastAsia="宋体" w:cs="Times New Roman"/>
      <w:sz w:val="21"/>
      <w:lang w:val="en-US" w:eastAsia="zh-CN" w:bidi="ar-SA"/>
    </w:rPr>
  </w:style>
  <w:style w:type="paragraph" w:styleId="1262" w:customStyle="1">
    <w:name w:val="table_1stline"/>
    <w:basedOn w:val="900"/>
    <w:uiPriority w:val="99"/>
    <w:qFormat/>
    <w:pPr>
      <w:jc w:val="left"/>
      <w:spacing w:before="120"/>
      <w:widowControl/>
    </w:pPr>
    <w:rPr>
      <w:bCs/>
      <w:sz w:val="20"/>
      <w:lang w:val="de-DE" w:eastAsia="de-DE"/>
    </w:rPr>
  </w:style>
  <w:style w:type="paragraph" w:styleId="1263" w:customStyle="1">
    <w:name w:val="txt"/>
    <w:basedOn w:val="900"/>
    <w:uiPriority w:val="99"/>
    <w:qFormat/>
    <w:pPr>
      <w:jc w:val="left"/>
      <w:spacing w:before="100" w:beforeAutospacing="1" w:after="100" w:afterAutospacing="1"/>
      <w:widowControl/>
    </w:pPr>
    <w:rPr>
      <w:rFonts w:ascii="宋体" w:hAnsi="宋体" w:cs="宋体"/>
      <w:sz w:val="24"/>
    </w:rPr>
  </w:style>
  <w:style w:type="paragraph" w:styleId="1264" w:customStyle="1">
    <w:name w:val="文档正文"/>
    <w:basedOn w:val="900"/>
    <w:uiPriority w:val="99"/>
    <w:qFormat/>
    <w:pPr>
      <w:ind w:firstLine="567"/>
      <w:spacing w:line="480" w:lineRule="atLeast"/>
    </w:pPr>
    <w:rPr>
      <w:rFonts w:ascii="Ari" w:eastAsia="Ari"/>
      <w:sz w:val="28"/>
      <w:szCs w:val="20"/>
    </w:rPr>
  </w:style>
  <w:style w:type="paragraph" w:styleId="1265" w:customStyle="1">
    <w:name w:val="Blockquote"/>
    <w:basedOn w:val="900"/>
    <w:uiPriority w:val="99"/>
    <w:qFormat/>
    <w:pPr>
      <w:ind w:left="360" w:right="360"/>
      <w:jc w:val="left"/>
      <w:spacing w:before="100" w:after="100"/>
    </w:pPr>
    <w:rPr>
      <w:rFonts w:ascii="Calibri" w:hAnsi="Calibri"/>
      <w:sz w:val="24"/>
      <w:szCs w:val="22"/>
    </w:rPr>
  </w:style>
  <w:style w:type="paragraph" w:styleId="1266" w:customStyle="1">
    <w:name w:val="列出段落2"/>
    <w:basedOn w:val="900"/>
    <w:uiPriority w:val="99"/>
    <w:qFormat/>
    <w:pPr>
      <w:ind w:firstLine="420"/>
    </w:pPr>
  </w:style>
  <w:style w:type="paragraph" w:styleId="1267" w:customStyle="1">
    <w:name w:val="格式３"/>
    <w:basedOn w:val="900"/>
    <w:uiPriority w:val="99"/>
    <w:qFormat/>
    <w:pPr>
      <w:ind w:left="600" w:hanging="600"/>
      <w:spacing w:line="420" w:lineRule="exact"/>
    </w:pPr>
    <w:rPr>
      <w:rFonts w:ascii="宋体" w:hAnsi="宋体"/>
      <w:color w:val="000000"/>
      <w:sz w:val="24"/>
      <w:szCs w:val="20"/>
    </w:rPr>
  </w:style>
  <w:style w:type="paragraph" w:styleId="1268" w:customStyle="1">
    <w:name w:val="正文2"/>
    <w:uiPriority w:val="99"/>
    <w:qFormat/>
    <w:rPr>
      <w:rFonts w:ascii="Times New Roman" w:hAnsi="Times New Roman" w:eastAsia="微软雅黑" w:cs="Times New Roman"/>
      <w:sz w:val="24"/>
      <w:szCs w:val="24"/>
      <w:lang w:val="en-US" w:eastAsia="zh-CN" w:bidi="ar-SA"/>
    </w:rPr>
  </w:style>
  <w:style w:type="paragraph" w:styleId="1269" w:customStyle="1">
    <w:name w:val="列出段落4"/>
    <w:basedOn w:val="900"/>
    <w:uiPriority w:val="34"/>
    <w:qFormat/>
    <w:pPr>
      <w:ind w:firstLine="420"/>
    </w:pPr>
  </w:style>
  <w:style w:type="paragraph" w:styleId="1270" w:customStyle="1">
    <w:name w:val="列出段落1"/>
    <w:basedOn w:val="900"/>
    <w:uiPriority w:val="99"/>
    <w:qFormat/>
    <w:pPr>
      <w:contextualSpacing/>
      <w:ind w:left="720"/>
      <w:jc w:val="left"/>
      <w:widowControl/>
    </w:pPr>
    <w:rPr>
      <w:rFonts w:ascii="Arial" w:hAnsi="Arial" w:eastAsia="黑体"/>
      <w:sz w:val="24"/>
      <w:lang w:eastAsia="en-US"/>
    </w:rPr>
  </w:style>
  <w:style w:type="paragraph" w:styleId="127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72" w:customStyle="1">
    <w:name w:val="目录 5_0"/>
    <w:basedOn w:val="1159"/>
    <w:next w:val="1159"/>
    <w:uiPriority w:val="39"/>
    <w:qFormat/>
    <w:pPr>
      <w:ind w:left="1680"/>
    </w:pPr>
    <w:rPr>
      <w:rFonts w:ascii="Calibri" w:hAnsi="Calibri"/>
    </w:rPr>
  </w:style>
  <w:style w:type="paragraph" w:styleId="1273" w:customStyle="1">
    <w:name w:val="样式 标题 3 + (中文) 黑体 小四 非加粗 段前: 7.8 磅 段后: 0 磅 行距: 固定值 20 磅"/>
    <w:basedOn w:val="903"/>
    <w:next w:val="900"/>
    <w:uiPriority w:val="99"/>
    <w:qFormat/>
    <w:pPr>
      <w:spacing w:before="0" w:after="0" w:line="400" w:lineRule="exact"/>
    </w:pPr>
    <w:rPr>
      <w:rFonts w:eastAsia="黑体" w:cs="宋体"/>
      <w:b w:val="0"/>
      <w:bCs w:val="0"/>
      <w:sz w:val="24"/>
      <w:szCs w:val="20"/>
    </w:rPr>
  </w:style>
  <w:style w:type="paragraph" w:styleId="1274"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75" w:customStyle="1">
    <w:name w:val="列出段落3"/>
    <w:basedOn w:val="900"/>
    <w:uiPriority w:val="99"/>
    <w:qFormat/>
    <w:pPr>
      <w:ind w:firstLine="420"/>
      <w:jc w:val="left"/>
      <w:spacing w:after="200"/>
      <w:widowControl/>
    </w:pPr>
    <w:rPr>
      <w:rFonts w:ascii="Tahoma" w:hAnsi="Tahoma" w:eastAsia="微软雅黑"/>
      <w:sz w:val="22"/>
      <w:szCs w:val="22"/>
    </w:rPr>
  </w:style>
  <w:style w:type="paragraph" w:styleId="1276" w:customStyle="1">
    <w:name w:val="修订2"/>
    <w:uiPriority w:val="99"/>
    <w:semiHidden/>
    <w:qFormat/>
    <w:rPr>
      <w:rFonts w:ascii="Times New Roman" w:hAnsi="Times New Roman" w:eastAsia="宋体" w:cs="Times New Roman"/>
      <w:sz w:val="21"/>
      <w:szCs w:val="24"/>
      <w:lang w:val="en-US" w:eastAsia="zh-CN" w:bidi="ar-SA"/>
    </w:rPr>
  </w:style>
  <w:style w:type="table" w:styleId="1277" w:customStyle="1">
    <w:name w:val="网格型1"/>
    <w:basedOn w:val="911"/>
    <w:uiPriority w:val="0"/>
    <w:qFormat/>
    <w:rPr>
      <w:rFonts w:ascii="Calibri" w:hAnsi="Calibri"/>
    </w:rPr>
    <w:tblPr>
      <w:tblCellMar>
        <w:left w:w="108" w:type="dxa"/>
        <w:top w:w="0" w:type="dxa"/>
        <w:right w:w="108" w:type="dxa"/>
        <w:bottom w:w="0" w:type="dxa"/>
      </w:tblCellMar>
    </w:tblPr>
  </w:style>
  <w:style w:type="paragraph" w:styleId="1278" w:customStyle="1">
    <w:name w:val="标题 41"/>
    <w:basedOn w:val="900"/>
    <w:next w:val="900"/>
    <w:uiPriority w:val="0"/>
    <w:qFormat/>
    <w:pPr>
      <w:keepLines/>
      <w:keepNext/>
      <w:spacing w:before="120" w:after="120"/>
      <w:outlineLvl w:val="3"/>
    </w:pPr>
    <w:rPr>
      <w:rFonts w:ascii="Arial" w:hAnsi="Arial" w:eastAsia="黑体" w:cs="Times New Roman"/>
      <w:b/>
      <w:sz w:val="28"/>
      <w:lang w:val="en-US"/>
    </w:rPr>
  </w:style>
  <w:style w:type="paragraph" w:styleId="1279" w:customStyle="1">
    <w:name w:val="标题 21"/>
    <w:basedOn w:val="900"/>
    <w:next w:val="900"/>
    <w:uiPriority w:val="0"/>
    <w:qFormat/>
    <w:pPr>
      <w:jc w:val="center"/>
      <w:keepLines/>
      <w:keepNext/>
      <w:spacing w:before="260" w:after="260" w:line="240" w:lineRule="auto"/>
      <w:outlineLvl w:val="1"/>
    </w:pPr>
    <w:rPr>
      <w:rFonts w:ascii="Cambria" w:hAnsi="Cambria"/>
      <w:b/>
      <w:bCs/>
      <w:sz w:val="28"/>
      <w:szCs w:val="32"/>
    </w:rPr>
  </w:style>
  <w:style w:type="paragraph" w:styleId="1280" w:customStyle="1">
    <w:name w:val="WPSOffice手动目录 1"/>
    <w:uiPriority w:val="0"/>
    <w:qFormat/>
    <w:rPr>
      <w:rFonts w:ascii="Times New Roman" w:hAnsi="Times New Roman" w:eastAsia="宋体" w:cs="Times New Roman"/>
      <w:sz w:val="20"/>
      <w:szCs w:val="20"/>
    </w:rPr>
  </w:style>
  <w:style w:type="paragraph" w:styleId="1281" w:customStyle="1">
    <w:name w:val="WPSOffice手动目录 2"/>
    <w:uiPriority w:val="0"/>
    <w:qFormat/>
    <w:rPr>
      <w:rFonts w:ascii="Times New Roman" w:hAnsi="Times New Roman" w:eastAsia="宋体" w:cs="Times New Roman"/>
      <w:sz w:val="20"/>
      <w:szCs w:val="20"/>
    </w:rPr>
  </w:style>
  <w:style w:type="table" w:styleId="1282" w:customStyle="1">
    <w:name w:val="Table Normal"/>
    <w:uiPriority w:val="0"/>
    <w:semiHidden/>
    <w:unhideWhenUsed/>
    <w:qFormat/>
    <w:tblPr>
      <w:tblCellMar>
        <w:left w:w="0" w:type="dxa"/>
        <w:top w:w="0" w:type="dxa"/>
        <w:right w:w="0" w:type="dxa"/>
        <w:bottom w:w="0" w:type="dxa"/>
      </w:tblCellMar>
    </w:tblPr>
  </w:style>
  <w:style w:type="paragraph" w:styleId="1283" w:customStyle="1">
    <w:name w:val="首行缩进"/>
    <w:basedOn w:val="900"/>
    <w:uiPriority w:val="0"/>
    <w:qFormat/>
    <w:pPr>
      <w:spacing w:line="312" w:lineRule="atLeast"/>
    </w:pPr>
    <w:rPr>
      <w:rFonts w:ascii="Calibri" w:hAnsi="Calibri"/>
    </w:rPr>
  </w:style>
  <w:style w:type="paragraph" w:styleId="1284" w:customStyle="1">
    <w:name w:val="null3"/>
    <w:hidden/>
    <w:uiPriority w:val="0"/>
    <w:qFormat/>
    <w:rPr>
      <w:rFonts w:hint="eastAsia" w:asciiTheme="minorHAnsi" w:hAnsiTheme="minorHAnsi" w:eastAsiaTheme="minorEastAsia" w:cstheme="minorBidi"/>
      <w:sz w:val="20"/>
      <w:szCs w:val="20"/>
      <w:lang w:val="en-US" w:eastAsia="zh-Hans" w:bidi="ar-SA"/>
    </w:rPr>
  </w:style>
  <w:style w:type="character" w:styleId="1285" w:customStyle="1">
    <w:name w:val="font91"/>
    <w:basedOn w:val="910"/>
    <w:uiPriority w:val="0"/>
    <w:qFormat/>
    <w:rPr>
      <w:rFonts w:ascii="宋体" w:hAnsi="宋体" w:eastAsia="宋体" w:cs="宋体"/>
      <w:b/>
      <w:bCs/>
      <w:color w:val="000000"/>
      <w:sz w:val="22"/>
      <w:szCs w:val="22"/>
      <w:u w:val="none"/>
    </w:rPr>
  </w:style>
  <w:style w:type="character" w:styleId="1286" w:customStyle="1">
    <w:name w:val="font101"/>
    <w:basedOn w:val="910"/>
    <w:uiPriority w:val="0"/>
    <w:qFormat/>
    <w:rPr>
      <w:rFonts w:ascii="宋体" w:hAnsi="宋体" w:eastAsia="宋体" w:cs="宋体"/>
      <w:color w:val="000000"/>
      <w:sz w:val="22"/>
      <w:szCs w:val="22"/>
      <w:u w:val="none"/>
    </w:rPr>
  </w:style>
  <w:style w:type="numbering" w:styleId="1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6</cp:revision>
  <dcterms:created xsi:type="dcterms:W3CDTF">2024-10-08T06:27:00Z</dcterms:created>
  <dcterms:modified xsi:type="dcterms:W3CDTF">2026-05-15T09:52:22Z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6D93CBAFF81643E49F568D2B23DD86AC_13</vt:lpwstr>
  </property>
  <property fmtid="{D5CDD505-2E9C-101B-9397-08002B2CF9AE}" pid="4" name="KSOTemplateDocerSaveRecord">
    <vt:lpwstr>eyJoZGlkIjoiMzEwNTM5NzYwMDRjMzkwZTVkZjY2ODkwMGIxNGU0OTUiLCJ1c2VySWQiOiIyNzU0NTMwNDUifQ==</vt:lpwstr>
  </property>
</Properties>
</file>