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sz w:val="52"/>
          <w:highlight w:val="none"/>
        </w:rPr>
      </w:pPr>
      <w:r>
        <w:rPr>
          <w:rFonts w:hint="eastAsia"/>
          <w:b/>
          <w:bCs/>
          <w:sz w:val="52"/>
          <w:highlight w:val="none"/>
        </w:rPr>
      </w:r>
      <w:r/>
    </w:p>
    <w:p>
      <w:pPr>
        <w:jc w:val="center"/>
        <w:rPr>
          <w:rFonts w:hint="eastAsia" w:ascii="宋体" w:hAnsi="宋体"/>
          <w:b/>
          <w:bCs/>
          <w:color w:val="000000"/>
          <w:sz w:val="52"/>
          <w:highlight w:val="none"/>
        </w:rPr>
      </w:pPr>
      <w:r>
        <w:rPr>
          <w:rFonts w:hint="eastAsia" w:ascii="宋体" w:hAnsi="宋体"/>
          <w:b/>
          <w:bCs/>
          <w:color w:val="000000"/>
          <w:sz w:val="52"/>
          <w:highlight w:val="none"/>
        </w:rPr>
        <w:t xml:space="preserve">宜 兴 市 政 府 采 购</w:t>
      </w:r>
      <w:r/>
    </w:p>
    <w:p>
      <w:pPr>
        <w:jc w:val="center"/>
        <w:rPr>
          <w:rFonts w:hint="eastAsia" w:ascii="宋体" w:hAnsi="宋体"/>
          <w:b/>
          <w:bCs/>
          <w:color w:val="000000"/>
          <w:sz w:val="52"/>
          <w:highlight w:val="none"/>
        </w:rPr>
      </w:pPr>
      <w:r>
        <w:rPr>
          <w:rFonts w:hint="eastAsia" w:ascii="宋体" w:hAnsi="宋体"/>
          <w:b/>
          <w:bCs/>
          <w:color w:val="000000"/>
          <w:sz w:val="52"/>
          <w:highlight w:val="none"/>
        </w:rPr>
      </w:r>
      <w:r/>
    </w:p>
    <w:p>
      <w:pPr>
        <w:jc w:val="center"/>
        <w:rPr>
          <w:rFonts w:hint="eastAsia" w:ascii="宋体" w:hAnsi="宋体"/>
          <w:b/>
          <w:bCs/>
          <w:color w:val="000000"/>
          <w:sz w:val="52"/>
          <w:highlight w:val="none"/>
        </w:rPr>
      </w:pPr>
      <w:r>
        <w:rPr>
          <w:rFonts w:hint="eastAsia" w:ascii="宋体" w:hAnsi="宋体"/>
          <w:b/>
          <w:bCs/>
          <w:color w:val="000000"/>
          <w:sz w:val="52"/>
          <w:highlight w:val="none"/>
        </w:rPr>
      </w:r>
      <w:r/>
    </w:p>
    <w:p>
      <w:pPr>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招</w:t>
      </w:r>
      <w:r/>
    </w:p>
    <w:p>
      <w:pPr>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标</w:t>
      </w:r>
      <w:r/>
    </w:p>
    <w:p>
      <w:pPr>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文</w:t>
      </w:r>
      <w:r/>
    </w:p>
    <w:p>
      <w:pPr>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件</w:t>
      </w:r>
      <w:r/>
    </w:p>
    <w:p>
      <w:pPr>
        <w:jc w:val="center"/>
        <w:rPr>
          <w:rFonts w:hint="eastAsia" w:ascii="宋体" w:hAnsi="宋体"/>
          <w:b/>
          <w:bCs/>
          <w:color w:val="000000"/>
          <w:sz w:val="52"/>
          <w:highlight w:val="none"/>
        </w:rPr>
      </w:pPr>
      <w:r>
        <w:rPr>
          <w:rFonts w:hint="eastAsia" w:ascii="宋体" w:hAnsi="宋体"/>
          <w:b/>
          <w:bCs/>
          <w:color w:val="000000"/>
          <w:sz w:val="52"/>
          <w:highlight w:val="none"/>
        </w:rPr>
      </w:r>
      <w:r/>
    </w:p>
    <w:p>
      <w:pPr>
        <w:jc w:val="center"/>
        <w:rPr>
          <w:rFonts w:hint="eastAsia" w:ascii="宋体" w:hAnsi="宋体"/>
          <w:b/>
          <w:bCs/>
          <w:color w:val="000000"/>
          <w:sz w:val="52"/>
          <w:highlight w:val="none"/>
        </w:rPr>
      </w:pPr>
      <w:r>
        <w:rPr>
          <w:rFonts w:hint="eastAsia" w:ascii="宋体" w:hAnsi="宋体"/>
          <w:b/>
          <w:bCs/>
          <w:color w:val="000000"/>
          <w:sz w:val="52"/>
          <w:highlight w:val="none"/>
        </w:rPr>
        <w:t xml:space="preserve">（电子标）</w:t>
      </w:r>
      <w:r/>
    </w:p>
    <w:p>
      <w:pPr>
        <w:jc w:val="center"/>
        <w:rPr>
          <w:rFonts w:hint="eastAsia" w:ascii="宋体" w:hAnsi="宋体" w:eastAsia="宋体"/>
          <w:color w:val="000000"/>
          <w:sz w:val="32"/>
          <w:highlight w:val="none"/>
        </w:rPr>
      </w:pPr>
      <w:r>
        <w:rPr>
          <w:rFonts w:hint="eastAsia" w:ascii="宋体" w:hAnsi="宋体"/>
          <w:color w:val="000000"/>
          <w:sz w:val="32"/>
          <w:highlight w:val="none"/>
        </w:rPr>
        <w:t xml:space="preserve">项目编号</w:t>
      </w:r>
      <w:r>
        <w:rPr>
          <w:rFonts w:hint="eastAsia" w:ascii="宋体" w:hAnsi="宋体"/>
          <w:color w:val="000000"/>
          <w:sz w:val="32"/>
          <w:highlight w:val="none"/>
          <w:lang w:val="en-US" w:eastAsia="zh-CN"/>
        </w:rPr>
        <w:t xml:space="preserve">:</w:t>
      </w:r>
      <w:r>
        <w:rPr>
          <w:rFonts w:hint="eastAsia" w:ascii="宋体" w:hAnsi="宋体"/>
          <w:b/>
          <w:color w:val="000000"/>
          <w:sz w:val="28"/>
          <w:highlight w:val="none"/>
          <w:lang w:eastAsia="zh-CN"/>
        </w:rPr>
        <w:t xml:space="preserve">JSZC-320282-YXJX-G2026-0003</w:t>
      </w:r>
      <w:r/>
    </w:p>
    <w:p>
      <w:pPr>
        <w:jc w:val="center"/>
        <w:rPr>
          <w:rFonts w:hint="eastAsia" w:ascii="宋体" w:hAnsi="宋体" w:eastAsia="宋体"/>
          <w:color w:val="000000"/>
          <w:sz w:val="32"/>
          <w:highlight w:val="none"/>
        </w:rPr>
      </w:pPr>
      <w:r>
        <w:rPr>
          <w:rFonts w:hint="eastAsia" w:ascii="宋体" w:hAnsi="宋体"/>
          <w:color w:val="000000"/>
          <w:sz w:val="32"/>
          <w:highlight w:val="none"/>
        </w:rPr>
        <w:t xml:space="preserve">采购人：</w:t>
      </w:r>
      <w:r>
        <w:rPr>
          <w:rFonts w:hint="eastAsia" w:ascii="宋体" w:hAnsi="宋体"/>
          <w:color w:val="000000"/>
          <w:sz w:val="32"/>
          <w:highlight w:val="none"/>
          <w:lang w:eastAsia="zh-CN"/>
        </w:rPr>
        <w:t xml:space="preserve">宜兴市丁蜀镇人民政府</w:t>
      </w:r>
      <w:r/>
    </w:p>
    <w:p>
      <w:pPr>
        <w:jc w:val="center"/>
        <w:rPr>
          <w:rFonts w:hint="eastAsia" w:ascii="宋体" w:hAnsi="宋体" w:eastAsia="宋体"/>
          <w:color w:val="000000"/>
          <w:sz w:val="32"/>
          <w:highlight w:val="none"/>
        </w:rPr>
      </w:pPr>
      <w:r>
        <w:rPr>
          <w:rFonts w:hint="eastAsia" w:ascii="宋体" w:hAnsi="宋体"/>
          <w:color w:val="000000"/>
          <w:sz w:val="32"/>
          <w:highlight w:val="none"/>
        </w:rPr>
        <w:t xml:space="preserve">项目名称：</w:t>
      </w:r>
      <w:r>
        <w:rPr>
          <w:rFonts w:hint="eastAsia" w:ascii="宋体" w:hAnsi="宋体"/>
          <w:color w:val="000000"/>
          <w:sz w:val="32"/>
          <w:highlight w:val="none"/>
          <w:lang w:eastAsia="zh-CN"/>
        </w:rPr>
        <w:t xml:space="preserve">丁蜀镇石龙空气标准站和VOCs标准站设备采购项目</w:t>
      </w:r>
      <w:r/>
    </w:p>
    <w:p>
      <w:pPr>
        <w:jc w:val="center"/>
        <w:rPr>
          <w:rFonts w:hint="eastAsia" w:ascii="宋体" w:hAnsi="宋体" w:eastAsia="宋体"/>
          <w:color w:val="000000"/>
          <w:sz w:val="32"/>
          <w:highlight w:val="none"/>
        </w:rPr>
      </w:pPr>
      <w:r>
        <w:rPr>
          <w:rFonts w:hint="eastAsia" w:ascii="宋体" w:hAnsi="宋体"/>
          <w:color w:val="000000"/>
          <w:sz w:val="32"/>
          <w:highlight w:val="none"/>
        </w:rPr>
        <w:t xml:space="preserve">采购代理机构：</w:t>
      </w:r>
      <w:r>
        <w:rPr>
          <w:rFonts w:hint="eastAsia" w:ascii="宋体" w:hAnsi="宋体"/>
          <w:color w:val="000000"/>
          <w:sz w:val="32"/>
          <w:highlight w:val="none"/>
          <w:lang w:eastAsia="zh-CN"/>
        </w:rPr>
        <w:t xml:space="preserve">宜兴市嘉行工程管理有限公司</w:t>
      </w:r>
      <w:r/>
    </w:p>
    <w:p>
      <w:pPr>
        <w:jc w:val="center"/>
        <w:rPr>
          <w:rFonts w:hint="eastAsia" w:ascii="宋体" w:hAnsi="宋体"/>
          <w:color w:val="000000"/>
          <w:sz w:val="32"/>
          <w:highlight w:val="none"/>
        </w:rPr>
      </w:pPr>
      <w:r>
        <w:rPr>
          <w:rFonts w:hint="eastAsia" w:ascii="宋体" w:hAnsi="宋体"/>
          <w:color w:val="000000"/>
          <w:sz w:val="32"/>
          <w:highlight w:val="none"/>
        </w:rPr>
        <w:t xml:space="preserve">二〇二</w:t>
      </w:r>
      <w:r>
        <w:rPr>
          <w:rFonts w:hint="eastAsia" w:ascii="宋体" w:hAnsi="宋体"/>
          <w:color w:val="000000"/>
          <w:sz w:val="32"/>
          <w:highlight w:val="none"/>
          <w:lang w:eastAsia="zh-CN"/>
        </w:rPr>
        <w:t xml:space="preserve">六</w:t>
      </w:r>
      <w:r>
        <w:rPr>
          <w:rFonts w:hint="eastAsia" w:ascii="宋体" w:hAnsi="宋体"/>
          <w:color w:val="000000"/>
          <w:sz w:val="32"/>
          <w:highlight w:val="none"/>
        </w:rPr>
        <w:t xml:space="preserve">年</w:t>
      </w:r>
      <w:r>
        <w:rPr>
          <w:rFonts w:hint="eastAsia" w:ascii="宋体" w:hAnsi="宋体"/>
          <w:color w:val="000000"/>
          <w:sz w:val="32"/>
          <w:highlight w:val="none"/>
          <w:lang w:val="en-US" w:eastAsia="zh-CN"/>
        </w:rPr>
        <w:t xml:space="preserve">四</w:t>
      </w:r>
      <w:r>
        <w:rPr>
          <w:rFonts w:hint="eastAsia" w:ascii="宋体" w:hAnsi="宋体"/>
          <w:color w:val="000000"/>
          <w:sz w:val="32"/>
          <w:highlight w:val="none"/>
        </w:rPr>
        <w:t xml:space="preserve">月</w:t>
      </w:r>
      <w:r/>
    </w:p>
    <w:p>
      <w:pPr>
        <w:rPr>
          <w:rFonts w:hint="eastAsia"/>
          <w:color w:val="000000"/>
          <w:highlight w:val="none"/>
        </w:rPr>
      </w:pPr>
      <w:r>
        <w:rPr>
          <w:rFonts w:hint="eastAsia"/>
          <w:color w:val="000000"/>
          <w:highlight w:val="none"/>
        </w:rPr>
        <w:t xml:space="preserve">                                                                                              </w:t>
      </w:r>
      <w:r/>
    </w:p>
    <w:p>
      <w:pPr>
        <w:jc w:val="center"/>
        <w:rPr>
          <w:rStyle w:val="1018"/>
          <w:rFonts w:eastAsia="黑体"/>
          <w:bCs/>
          <w:color w:val="000000"/>
          <w:sz w:val="48"/>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eastAsia="黑体"/>
          <w:bCs/>
          <w:color w:val="000000"/>
          <w:sz w:val="48"/>
          <w:highlight w:val="none"/>
        </w:rPr>
      </w:r>
      <w:r/>
    </w:p>
    <w:p>
      <w:pPr>
        <w:jc w:val="center"/>
        <w:rPr>
          <w:rStyle w:val="1018"/>
          <w:rFonts w:hint="eastAsia" w:eastAsia="黑体"/>
          <w:bCs/>
          <w:color w:val="000000"/>
          <w:sz w:val="48"/>
          <w:highlight w:val="none"/>
        </w:rPr>
      </w:pPr>
      <w:r>
        <w:rPr>
          <w:rFonts w:hint="eastAsia" w:eastAsia="黑体"/>
          <w:bCs/>
          <w:color w:val="000000"/>
          <w:sz w:val="48"/>
          <w:highlight w:val="none"/>
        </w:rPr>
      </w:r>
      <w:r/>
    </w:p>
    <w:p>
      <w:pPr>
        <w:jc w:val="center"/>
        <w:rPr>
          <w:rStyle w:val="1018"/>
          <w:rFonts w:eastAsia="黑体"/>
          <w:bCs/>
          <w:color w:val="000000"/>
          <w:sz w:val="48"/>
          <w:highlight w:val="none"/>
        </w:rPr>
      </w:pPr>
      <w:r>
        <w:rPr>
          <w:rStyle w:val="1018"/>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05"/>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_Toc5087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_Toc5087 </w:instrText>
      </w:r>
      <w:r>
        <w:rPr>
          <w:color w:val="000000"/>
          <w:sz w:val="32"/>
          <w:szCs w:val="32"/>
          <w:highlight w:val="none"/>
        </w:rPr>
        <w:fldChar w:fldCharType="separate"/>
      </w:r>
      <w:r>
        <w:rPr>
          <w:color w:val="000000"/>
          <w:sz w:val="32"/>
          <w:szCs w:val="32"/>
          <w:highlight w:val="none"/>
        </w:rPr>
        <w:t xml:space="preserve">- 3 -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5"/>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_Toc30886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_Toc30886 </w:instrText>
      </w:r>
      <w:r>
        <w:rPr>
          <w:color w:val="000000"/>
          <w:sz w:val="32"/>
          <w:szCs w:val="32"/>
          <w:highlight w:val="none"/>
        </w:rPr>
        <w:fldChar w:fldCharType="separate"/>
      </w:r>
      <w:r>
        <w:rPr>
          <w:color w:val="000000"/>
          <w:sz w:val="32"/>
          <w:szCs w:val="32"/>
          <w:highlight w:val="none"/>
        </w:rPr>
        <w:t xml:space="preserve">- 7 -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5"/>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_Toc19590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_Toc19590 </w:instrText>
      </w:r>
      <w:r>
        <w:rPr>
          <w:color w:val="000000"/>
          <w:sz w:val="32"/>
          <w:szCs w:val="32"/>
          <w:highlight w:val="none"/>
        </w:rPr>
        <w:fldChar w:fldCharType="separate"/>
      </w:r>
      <w:r>
        <w:rPr>
          <w:color w:val="000000"/>
          <w:sz w:val="32"/>
          <w:szCs w:val="32"/>
          <w:highlight w:val="none"/>
        </w:rPr>
        <w:t xml:space="preserve">- 20 -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5"/>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_Toc25466 </w:instrText>
      </w:r>
      <w:r>
        <w:rPr>
          <w:rFonts w:hint="eastAsia" w:ascii="黑体" w:hAnsi="黑体" w:eastAsia="黑体" w:cs="黑体"/>
          <w:color w:val="000000"/>
          <w:sz w:val="32"/>
          <w:szCs w:val="32"/>
          <w:highlight w:val="none"/>
        </w:rPr>
        <w:fldChar w:fldCharType="separate"/>
      </w:r>
      <w:r>
        <w:rPr>
          <w:rFonts w:hint="eastAsia" w:ascii="黑体" w:hAnsi="黑体" w:eastAsia="黑体"/>
          <w:bCs/>
          <w:color w:val="000000"/>
          <w:sz w:val="32"/>
          <w:szCs w:val="32"/>
          <w:highlight w:val="none"/>
        </w:rPr>
        <w:t xml:space="preserve">第四章 评标方法和标准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_Toc25466 </w:instrText>
      </w:r>
      <w:r>
        <w:rPr>
          <w:color w:val="000000"/>
          <w:sz w:val="32"/>
          <w:szCs w:val="32"/>
          <w:highlight w:val="none"/>
        </w:rPr>
        <w:fldChar w:fldCharType="separate"/>
      </w:r>
      <w:r>
        <w:rPr>
          <w:color w:val="000000"/>
          <w:sz w:val="32"/>
          <w:szCs w:val="32"/>
          <w:highlight w:val="none"/>
        </w:rPr>
        <w:t xml:space="preserve">- 20 -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5"/>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_Toc23383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_Toc23383 </w:instrText>
      </w:r>
      <w:r>
        <w:rPr>
          <w:color w:val="000000"/>
          <w:sz w:val="32"/>
          <w:szCs w:val="32"/>
          <w:highlight w:val="none"/>
        </w:rPr>
        <w:fldChar w:fldCharType="separate"/>
      </w:r>
      <w:r>
        <w:rPr>
          <w:color w:val="000000"/>
          <w:sz w:val="32"/>
          <w:szCs w:val="32"/>
          <w:highlight w:val="none"/>
        </w:rPr>
        <w:t xml:space="preserve">- 22 -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5"/>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_Toc8262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_Toc8262 </w:instrText>
      </w:r>
      <w:r>
        <w:rPr>
          <w:color w:val="000000"/>
          <w:sz w:val="32"/>
          <w:szCs w:val="32"/>
          <w:highlight w:val="none"/>
        </w:rPr>
        <w:fldChar w:fldCharType="separate"/>
      </w:r>
      <w:r>
        <w:rPr>
          <w:color w:val="000000"/>
          <w:sz w:val="32"/>
          <w:szCs w:val="32"/>
          <w:highlight w:val="none"/>
        </w:rPr>
        <w:t xml:space="preserve">- 40 -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spacing w:line="360" w:lineRule="auto"/>
        <w:rPr>
          <w:rFonts w:hint="eastAsia" w:ascii="楷体_GB2312" w:hAnsi="楷体_GB2312" w:eastAsia="楷体_GB2312"/>
          <w:color w:val="000000"/>
          <w:sz w:val="30"/>
          <w:highlight w:val="none"/>
        </w:rPr>
      </w:pPr>
      <w:r>
        <w:rPr>
          <w:rFonts w:hint="eastAsia" w:ascii="黑体" w:hAnsi="黑体" w:eastAsia="黑体" w:cs="黑体"/>
          <w:color w:val="000000"/>
          <w:sz w:val="32"/>
          <w:szCs w:val="32"/>
          <w:highlight w:val="none"/>
        </w:rPr>
        <w:fldChar w:fldCharType="end"/>
      </w:r>
      <w:r/>
    </w:p>
    <w:p>
      <w:pPr>
        <w:jc w:val="center"/>
        <w:rPr>
          <w:rFonts w:hint="eastAsia" w:ascii="黑体" w:hAnsi="黑体" w:eastAsia="黑体"/>
          <w:color w:val="000000"/>
          <w:sz w:val="28"/>
          <w:highlight w:val="none"/>
        </w:rPr>
        <w:outlineLvl w:val="0"/>
      </w:pPr>
      <w:r/>
      <w:bookmarkStart w:id="0" w:name="_Toc30211"/>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bookmarkStart w:id="1" w:name="_Toc5087"/>
      <w:r>
        <w:rPr>
          <w:rFonts w:ascii="黑体" w:hAnsi="黑体" w:eastAsia="黑体"/>
          <w:color w:val="000000"/>
          <w:sz w:val="28"/>
          <w:highlight w:val="none"/>
        </w:rPr>
        <w:br w:type="page" w:clear="all"/>
      </w:r>
      <w:r>
        <w:rPr>
          <w:rFonts w:hint="eastAsia" w:ascii="黑体" w:hAnsi="黑体" w:eastAsia="黑体"/>
          <w:color w:val="000000"/>
          <w:sz w:val="28"/>
          <w:highlight w:val="none"/>
        </w:rPr>
        <w:t xml:space="preserve">第一章 投标邀请函</w:t>
      </w:r>
      <w:bookmarkEnd w:id="0"/>
      <w:r/>
      <w:bookmarkEnd w:id="1"/>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宜兴市丁蜀镇人民政府</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丁蜀镇石龙空气标准站和VOCs标准站设备采购项目</w:t>
      </w:r>
      <w:r>
        <w:rPr>
          <w:rFonts w:hint="eastAsia" w:ascii="宋体" w:hAnsi="宋体"/>
          <w:color w:val="000000"/>
          <w:sz w:val="24"/>
          <w:szCs w:val="24"/>
          <w:highlight w:val="none"/>
        </w:rPr>
        <w:t xml:space="preserve">进行公开招标，</w:t>
      </w:r>
      <w:r>
        <w:rPr>
          <w:rFonts w:hint="eastAsia" w:ascii="宋体" w:hAnsi="宋体"/>
          <w:bCs/>
          <w:color w:val="000000"/>
          <w:sz w:val="24"/>
          <w:szCs w:val="24"/>
          <w:highlight w:val="none"/>
        </w:rPr>
        <w:t xml:space="preserve">欢迎你单位参加投标并提请注意下列附表中的相关事项。</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856"/>
        <w:gridCol w:w="1703"/>
        <w:gridCol w:w="6407"/>
      </w:tblGrid>
      <w:tr>
        <w:trPr>
          <w:jc w:val="center"/>
          <w:trHeight w:val="567"/>
        </w:trPr>
        <w:tc>
          <w:tcPr>
            <w:tcW w:w="733" w:type="dxa"/>
            <w:vAlign w:val="top"/>
            <w:textDirection w:val="lrTb"/>
            <w:noWrap w:val="false"/>
          </w:tcPr>
          <w:p>
            <w:pPr>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856" w:type="dxa"/>
            <w:vAlign w:val="top"/>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110" w:type="dxa"/>
            <w:vAlign w:val="top"/>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567"/>
        </w:trPr>
        <w:tc>
          <w:tcPr>
            <w:tcW w:w="733" w:type="dxa"/>
            <w:vAlign w:val="center"/>
            <w:textDirection w:val="lrTb"/>
            <w:noWrap w:val="false"/>
          </w:tcPr>
          <w:p>
            <w:pPr>
              <w:jc w:val="center"/>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856" w:type="dxa"/>
            <w:vAlign w:val="center"/>
            <w:textDirection w:val="lrTb"/>
            <w:noWrap w:val="false"/>
          </w:tcPr>
          <w:p>
            <w:pPr>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项</w:t>
            </w:r>
            <w:r/>
          </w:p>
          <w:p>
            <w:pPr>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目</w:t>
            </w:r>
            <w:r/>
          </w:p>
          <w:p>
            <w:pPr>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信</w:t>
            </w:r>
            <w:r/>
          </w:p>
          <w:p>
            <w:pPr>
              <w:jc w:val="center"/>
              <w:spacing w:line="360" w:lineRule="auto"/>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r/>
          </w:p>
        </w:tc>
        <w:tc>
          <w:tcPr>
            <w:gridSpan w:val="2"/>
            <w:tcW w:w="8110" w:type="dxa"/>
            <w:vAlign w:val="top"/>
            <w:textDirection w:val="lrTb"/>
            <w:noWrap w:val="false"/>
          </w:tcPr>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丁蜀镇石龙空气标准站和VOCs标准站设备采购项目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JSZC-320282-YXJX-G2026-0003</w:t>
            </w:r>
            <w:r/>
          </w:p>
          <w:p>
            <w:pPr>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品    目：</w:t>
            </w:r>
            <w:r>
              <w:rPr>
                <w:rFonts w:hint="eastAsia" w:ascii="宋体" w:hAnsi="宋体"/>
                <w:bCs/>
                <w:color w:val="000000"/>
                <w:sz w:val="24"/>
                <w:szCs w:val="24"/>
                <w:highlight w:val="none"/>
                <w:lang w:val="en-US" w:eastAsia="zh-CN"/>
              </w:rPr>
              <w:t xml:space="preserve">货物</w:t>
            </w:r>
            <w:r/>
          </w:p>
          <w:p>
            <w:pPr>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本项目是否专门面向中小企业：</w:t>
            </w:r>
            <w:r>
              <w:rPr>
                <w:rFonts w:hint="eastAsia" w:ascii="宋体" w:hAnsi="宋体"/>
                <w:bCs/>
                <w:color w:val="000000"/>
                <w:sz w:val="24"/>
                <w:szCs w:val="24"/>
                <w:highlight w:val="none"/>
                <w:lang w:val="en-US" w:eastAsia="zh-CN"/>
              </w:rPr>
              <w:t xml:space="preserve">否</w:t>
            </w:r>
            <w:r/>
          </w:p>
          <w:p>
            <w:pPr>
              <w:jc w:val="left"/>
              <w:spacing w:line="360"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本项目标的所属行业：</w:t>
            </w:r>
            <w:r>
              <w:rPr>
                <w:rFonts w:hint="eastAsia" w:ascii="宋体" w:hAnsi="宋体" w:eastAsia="宋体" w:cs="Times New Roman"/>
                <w:bCs/>
                <w:color w:val="000000"/>
                <w:sz w:val="24"/>
                <w:szCs w:val="24"/>
                <w:highlight w:val="none"/>
                <w:lang w:val="en-US" w:eastAsia="zh-CN"/>
              </w:rPr>
              <w:t xml:space="preserve">工业</w:t>
            </w:r>
            <w:r/>
          </w:p>
          <w:p>
            <w:pPr>
              <w:jc w:val="left"/>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核心产品：</w:t>
            </w:r>
            <w:r>
              <w:rPr>
                <w:rFonts w:hint="eastAsia" w:ascii="宋体" w:hAnsi="宋体" w:eastAsia="宋体" w:cs="Times New Roman"/>
                <w:bCs/>
                <w:color w:val="000000"/>
                <w:sz w:val="24"/>
                <w:szCs w:val="24"/>
                <w:highlight w:val="none"/>
                <w:lang w:val="en-US" w:eastAsia="zh-CN"/>
              </w:rPr>
              <w:t xml:space="preserve">标准空气站、VOCs标准站设备</w:t>
            </w:r>
            <w:r>
              <w:rPr>
                <w:rFonts w:hint="eastAsia" w:ascii="宋体" w:hAnsi="宋体" w:eastAsia="宋体" w:cs="Times New Roman"/>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p>
          <w:p>
            <w:pPr>
              <w:jc w:val="left"/>
              <w:spacing w:line="360" w:lineRule="auto"/>
              <w:tabs>
                <w:tab w:val="left" w:pos="5536" w:leader="none"/>
              </w:tabs>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评标方法：参照综合评分法</w:t>
            </w:r>
            <w:r>
              <w:rPr>
                <w:rFonts w:hint="eastAsia" w:ascii="宋体" w:hAnsi="宋体"/>
                <w:bCs/>
                <w:color w:val="000000"/>
                <w:sz w:val="24"/>
                <w:szCs w:val="24"/>
                <w:highlight w:val="none"/>
                <w:lang w:eastAsia="zh-CN"/>
              </w:rPr>
              <w:tab/>
            </w:r>
            <w:r/>
          </w:p>
          <w:p>
            <w:pPr>
              <w:jc w:val="left"/>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预算金额：</w:t>
            </w:r>
            <w:r>
              <w:rPr>
                <w:rFonts w:hint="eastAsia" w:ascii="宋体" w:hAnsi="宋体" w:eastAsia="宋体" w:cs="Times New Roman"/>
                <w:bCs/>
                <w:color w:val="000000"/>
                <w:sz w:val="24"/>
                <w:szCs w:val="24"/>
                <w:highlight w:val="none"/>
                <w:lang w:val="en-US" w:eastAsia="zh-CN"/>
              </w:rPr>
              <w:t xml:space="preserve">187.5</w:t>
            </w:r>
            <w:r>
              <w:rPr>
                <w:rFonts w:hint="eastAsia" w:ascii="宋体" w:hAnsi="宋体"/>
                <w:bCs/>
                <w:color w:val="000000"/>
                <w:sz w:val="24"/>
                <w:szCs w:val="24"/>
                <w:highlight w:val="none"/>
                <w:lang w:val="en-US" w:eastAsia="zh-CN"/>
              </w:rPr>
              <w:t xml:space="preserve">万元</w:t>
            </w:r>
            <w:r/>
          </w:p>
          <w:p>
            <w:pPr>
              <w:jc w:val="left"/>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最高限价：</w:t>
            </w:r>
            <w:r>
              <w:rPr>
                <w:rFonts w:hint="eastAsia" w:ascii="宋体" w:hAnsi="宋体"/>
                <w:bCs/>
                <w:color w:val="000000"/>
                <w:sz w:val="24"/>
                <w:szCs w:val="24"/>
                <w:highlight w:val="none"/>
                <w:lang w:val="en-US" w:eastAsia="zh-CN"/>
              </w:rPr>
              <w:t xml:space="preserve">187.5万元，其中</w:t>
            </w:r>
            <w:r>
              <w:rPr>
                <w:rFonts w:hint="eastAsia" w:ascii="宋体" w:hAnsi="宋体" w:eastAsia="宋体" w:cs="Times New Roman"/>
                <w:bCs/>
                <w:color w:val="000000"/>
                <w:sz w:val="24"/>
                <w:szCs w:val="24"/>
                <w:highlight w:val="none"/>
                <w:lang w:val="en-US" w:eastAsia="zh-CN"/>
              </w:rPr>
              <w:t xml:space="preserve">设备部分最高限价125万元，运维部分最高限价62.5万元</w:t>
            </w:r>
            <w:r/>
          </w:p>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集中考察或答疑：无</w:t>
            </w:r>
            <w:r/>
          </w:p>
        </w:tc>
      </w:tr>
      <w:tr>
        <w:trPr>
          <w:jc w:val="center"/>
          <w:trHeight w:val="567"/>
        </w:trPr>
        <w:tc>
          <w:tcPr>
            <w:tcW w:w="733" w:type="dxa"/>
            <w:vAlign w:val="center"/>
            <w:vMerge w:val="restart"/>
            <w:textDirection w:val="lrTb"/>
            <w:noWrap w:val="false"/>
          </w:tcPr>
          <w:p>
            <w:pPr>
              <w:jc w:val="center"/>
              <w:spacing w:line="360" w:lineRule="auto"/>
              <w:rPr>
                <w:rFonts w:ascii="宋体" w:hAnsi="宋体"/>
                <w:bCs/>
                <w:color w:val="000000"/>
                <w:sz w:val="24"/>
                <w:szCs w:val="24"/>
                <w:highlight w:val="none"/>
              </w:rPr>
            </w:pPr>
            <w:r/>
            <w:bookmarkStart w:id="2" w:name="_Toc29543"/>
            <w:r>
              <w:rPr>
                <w:rFonts w:ascii="宋体" w:hAnsi="宋体"/>
                <w:bCs/>
                <w:color w:val="000000"/>
                <w:sz w:val="24"/>
                <w:szCs w:val="24"/>
                <w:highlight w:val="none"/>
              </w:rPr>
              <w:t xml:space="preserve">2</w:t>
            </w:r>
            <w:r/>
          </w:p>
        </w:tc>
        <w:tc>
          <w:tcPr>
            <w:tcW w:w="856" w:type="dxa"/>
            <w:vAlign w:val="center"/>
            <w:vMerge w:val="restart"/>
            <w:textDirection w:val="lrTb"/>
            <w:noWrap w:val="false"/>
          </w:tcPr>
          <w:p>
            <w:pPr>
              <w:pStyle w:val="1028"/>
              <w:jc w:val="center"/>
              <w:spacing w:line="360" w:lineRule="auto"/>
              <w:rPr>
                <w:rFonts w:hint="eastAsia"/>
                <w:b/>
                <w:bCs/>
                <w:color w:val="000000"/>
                <w:sz w:val="24"/>
                <w:szCs w:val="24"/>
                <w:highlight w:val="none"/>
              </w:rPr>
            </w:pPr>
            <w:r/>
            <w:bookmarkStart w:id="3" w:name="OLE_LINK208"/>
            <w:r>
              <w:rPr>
                <w:rFonts w:hint="eastAsia"/>
                <w:b/>
                <w:bCs/>
                <w:color w:val="000000"/>
                <w:sz w:val="24"/>
                <w:szCs w:val="24"/>
                <w:highlight w:val="none"/>
                <w:lang w:val="zh-CN"/>
              </w:rPr>
              <w:t xml:space="preserve">资</w:t>
            </w:r>
            <w:r/>
          </w:p>
          <w:p>
            <w:pPr>
              <w:pStyle w:val="1028"/>
              <w:jc w:val="center"/>
              <w:spacing w:line="360" w:lineRule="auto"/>
              <w:rPr>
                <w:rFonts w:hint="eastAsia"/>
                <w:b/>
                <w:bCs/>
                <w:color w:val="000000"/>
                <w:sz w:val="24"/>
                <w:szCs w:val="24"/>
                <w:highlight w:val="none"/>
              </w:rPr>
            </w:pPr>
            <w:r>
              <w:rPr>
                <w:rFonts w:hint="eastAsia"/>
                <w:b/>
                <w:bCs/>
                <w:color w:val="000000"/>
                <w:sz w:val="24"/>
                <w:szCs w:val="24"/>
                <w:highlight w:val="none"/>
                <w:lang w:val="zh-CN"/>
              </w:rPr>
              <w:t xml:space="preserve">格</w:t>
            </w:r>
            <w:r/>
          </w:p>
          <w:p>
            <w:pPr>
              <w:pStyle w:val="1028"/>
              <w:jc w:val="center"/>
              <w:spacing w:line="360" w:lineRule="auto"/>
              <w:rPr>
                <w:rFonts w:hint="eastAsia"/>
                <w:b/>
                <w:bCs/>
                <w:color w:val="000000"/>
                <w:sz w:val="24"/>
                <w:szCs w:val="24"/>
                <w:highlight w:val="none"/>
              </w:rPr>
            </w:pPr>
            <w:r>
              <w:rPr>
                <w:rFonts w:hint="eastAsia"/>
                <w:b/>
                <w:bCs/>
                <w:color w:val="000000"/>
                <w:sz w:val="24"/>
                <w:szCs w:val="24"/>
                <w:highlight w:val="none"/>
                <w:lang w:val="zh-CN"/>
              </w:rPr>
              <w:t xml:space="preserve">审</w:t>
            </w:r>
            <w:r/>
          </w:p>
          <w:p>
            <w:pPr>
              <w:pStyle w:val="1028"/>
              <w:jc w:val="center"/>
              <w:spacing w:line="360" w:lineRule="auto"/>
              <w:rPr>
                <w:color w:val="000000"/>
                <w:sz w:val="24"/>
                <w:szCs w:val="24"/>
                <w:highlight w:val="none"/>
              </w:rPr>
            </w:pPr>
            <w:r>
              <w:rPr>
                <w:rFonts w:hint="eastAsia"/>
                <w:b/>
                <w:bCs/>
                <w:color w:val="000000"/>
                <w:sz w:val="24"/>
                <w:szCs w:val="24"/>
                <w:highlight w:val="none"/>
                <w:lang w:val="zh-CN"/>
              </w:rPr>
              <w:t xml:space="preserve">查</w:t>
            </w:r>
            <w:bookmarkEnd w:id="3"/>
            <w:r/>
            <w:r/>
          </w:p>
        </w:tc>
        <w:tc>
          <w:tcPr>
            <w:gridSpan w:val="2"/>
            <w:tcW w:w="8110" w:type="dxa"/>
            <w:vAlign w:val="top"/>
            <w:textDirection w:val="lrTb"/>
            <w:noWrap w:val="false"/>
          </w:tcPr>
          <w:p>
            <w:pPr>
              <w:pStyle w:val="1028"/>
              <w:spacing w:line="360" w:lineRule="auto"/>
              <w:rPr>
                <w:rFonts w:hint="eastAsia"/>
                <w:color w:val="000000"/>
                <w:sz w:val="24"/>
                <w:szCs w:val="24"/>
                <w:highlight w:val="none"/>
              </w:rPr>
            </w:pPr>
            <w:r>
              <w:rPr>
                <w:rFonts w:hint="eastAsia"/>
                <w:color w:val="000000"/>
                <w:sz w:val="24"/>
                <w:szCs w:val="24"/>
                <w:highlight w:val="none"/>
              </w:rPr>
              <w:t xml:space="preserve">2.1投标人参加本次政府采购活动</w:t>
            </w:r>
            <w:r>
              <w:rPr>
                <w:rFonts w:hint="eastAsia"/>
                <w:color w:val="000000"/>
                <w:sz w:val="24"/>
                <w:szCs w:val="24"/>
                <w:highlight w:val="none"/>
                <w:lang w:val="zh-CN"/>
              </w:rPr>
              <w:t xml:space="preserve">应具备下列</w:t>
            </w:r>
            <w:r>
              <w:rPr>
                <w:rFonts w:hint="eastAsia"/>
                <w:b/>
                <w:bCs/>
                <w:color w:val="000000"/>
                <w:sz w:val="24"/>
                <w:szCs w:val="24"/>
                <w:highlight w:val="none"/>
                <w:lang w:val="zh-CN"/>
              </w:rPr>
              <w:t xml:space="preserve">资格条件</w:t>
            </w:r>
            <w:r>
              <w:rPr>
                <w:rFonts w:hint="eastAsia"/>
                <w:color w:val="000000"/>
                <w:sz w:val="24"/>
                <w:szCs w:val="24"/>
                <w:highlight w:val="none"/>
              </w:rPr>
              <w:t xml:space="preserve">：</w:t>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60" w:lineRule="auto"/>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bCs/>
                <w:color w:val="000000"/>
                <w:sz w:val="24"/>
                <w:szCs w:val="24"/>
                <w:highlight w:val="none"/>
              </w:rPr>
              <w:t xml:space="preserve">落实政府采购政策需满足的资格要求</w:t>
            </w:r>
            <w:r>
              <w:rPr>
                <w:rFonts w:hint="eastAsia" w:ascii="宋体" w:hAnsi="宋体" w:cs="宋体"/>
                <w:bCs/>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本项目</w:t>
            </w:r>
            <w:r>
              <w:rPr>
                <w:rFonts w:hint="eastAsia" w:ascii="宋体" w:hAnsi="宋体" w:cs="宋体"/>
                <w:b/>
                <w:bCs w:val="0"/>
                <w:color w:val="000000"/>
                <w:sz w:val="24"/>
                <w:szCs w:val="24"/>
                <w:highlight w:val="none"/>
                <w:lang w:val="en-US" w:eastAsia="zh-CN"/>
              </w:rPr>
              <w:t xml:space="preserve">非</w:t>
            </w:r>
            <w:r>
              <w:rPr>
                <w:rFonts w:hint="eastAsia" w:ascii="宋体" w:hAnsi="宋体" w:cs="宋体"/>
                <w:b/>
                <w:bCs w:val="0"/>
                <w:color w:val="000000"/>
                <w:sz w:val="24"/>
                <w:szCs w:val="24"/>
                <w:highlight w:val="none"/>
              </w:rPr>
              <w:t xml:space="preserve">专门面向中小企业采购</w:t>
            </w:r>
            <w:r>
              <w:rPr>
                <w:rFonts w:hint="eastAsia" w:ascii="宋体" w:hAnsi="宋体" w:cs="宋体"/>
                <w:b/>
                <w:bCs w:val="0"/>
                <w:color w:val="000000"/>
                <w:sz w:val="24"/>
                <w:szCs w:val="24"/>
                <w:highlight w:val="none"/>
                <w:lang w:eastAsia="zh-CN"/>
              </w:rPr>
              <w:t xml:space="preserve">；</w:t>
            </w:r>
            <w:r/>
          </w:p>
          <w:p>
            <w:pPr>
              <w:jc w:val="left"/>
              <w:spacing w:line="360" w:lineRule="auto"/>
              <w:tabs>
                <w:tab w:val="left" w:pos="0" w:leader="none"/>
                <w:tab w:val="left" w:pos="255" w:leader="none"/>
              </w:tabs>
              <w:rPr>
                <w:rFonts w:hint="eastAsia" w:hAnsi="宋体" w:eastAsia="宋体" w:cs="宋体"/>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w:t>
            </w:r>
            <w:r>
              <w:rPr>
                <w:rFonts w:hint="eastAsia"/>
                <w:color w:val="000000"/>
                <w:highlight w:val="none"/>
              </w:rPr>
              <w:t xml:space="preserve"> </w:t>
            </w:r>
            <w:r>
              <w:rPr>
                <w:rFonts w:hint="eastAsia" w:ascii="宋体" w:hAnsi="宋体" w:cs="宋体"/>
                <w:bCs/>
                <w:color w:val="000000"/>
                <w:sz w:val="24"/>
                <w:szCs w:val="24"/>
                <w:highlight w:val="none"/>
              </w:rPr>
              <w:t xml:space="preserve">本项目的特定资格要求：</w:t>
            </w:r>
            <w:r>
              <w:rPr>
                <w:rFonts w:hint="eastAsia" w:hAnsi="宋体" w:cs="宋体"/>
                <w:color w:val="000000"/>
                <w:sz w:val="24"/>
                <w:szCs w:val="24"/>
                <w:highlight w:val="none"/>
                <w:lang w:val="en-US" w:eastAsia="zh-CN"/>
              </w:rPr>
              <w:t xml:space="preserve">无；</w:t>
            </w:r>
            <w:r/>
          </w:p>
          <w:p>
            <w:pPr>
              <w:spacing w:line="360" w:lineRule="auto"/>
              <w:rPr>
                <w:rFonts w:hint="eastAsia"/>
                <w:color w:val="000000"/>
                <w:highlight w:val="none"/>
              </w:rPr>
            </w:pP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其他要求：不接受联合体，不接受中标后分包；</w:t>
            </w:r>
            <w:r/>
          </w:p>
        </w:tc>
      </w:tr>
      <w:tr>
        <w:trPr>
          <w:jc w:val="center"/>
          <w:trHeight w:val="567"/>
        </w:trPr>
        <w:tc>
          <w:tcPr>
            <w:tcW w:w="733" w:type="dxa"/>
            <w:vAlign w:val="center"/>
            <w:vMerge w:val="continue"/>
            <w:textDirection w:val="lrTb"/>
            <w:noWrap w:val="false"/>
          </w:tcPr>
          <w:p>
            <w:pPr>
              <w:spacing w:line="360" w:lineRule="auto"/>
              <w:rPr>
                <w:color w:val="000000"/>
                <w:sz w:val="24"/>
                <w:szCs w:val="24"/>
                <w:highlight w:val="none"/>
              </w:rPr>
            </w:pPr>
            <w:r>
              <w:rPr>
                <w:color w:val="000000"/>
                <w:sz w:val="24"/>
                <w:szCs w:val="24"/>
                <w:highlight w:val="none"/>
              </w:rPr>
            </w:r>
            <w:r/>
          </w:p>
        </w:tc>
        <w:tc>
          <w:tcPr>
            <w:tcW w:w="856" w:type="dxa"/>
            <w:vAlign w:val="top"/>
            <w:vMerge w:val="continue"/>
            <w:textDirection w:val="lrTb"/>
            <w:noWrap w:val="false"/>
          </w:tcPr>
          <w:p>
            <w:pPr>
              <w:spacing w:line="360" w:lineRule="auto"/>
              <w:rPr>
                <w:color w:val="000000"/>
                <w:sz w:val="24"/>
                <w:szCs w:val="24"/>
                <w:highlight w:val="none"/>
              </w:rPr>
            </w:pPr>
            <w:r>
              <w:rPr>
                <w:color w:val="000000"/>
                <w:sz w:val="24"/>
                <w:szCs w:val="24"/>
                <w:highlight w:val="none"/>
              </w:rPr>
            </w:r>
            <w:r/>
          </w:p>
        </w:tc>
        <w:tc>
          <w:tcPr>
            <w:gridSpan w:val="2"/>
            <w:tcW w:w="8110" w:type="dxa"/>
            <w:vAlign w:val="center"/>
            <w:textDirection w:val="lrTb"/>
            <w:noWrap w:val="false"/>
          </w:tcPr>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2.2投标保证金：本项目免收投标保证金。</w:t>
            </w:r>
            <w:r/>
          </w:p>
        </w:tc>
      </w:tr>
      <w:tr>
        <w:trPr>
          <w:jc w:val="center"/>
          <w:trHeight w:val="567"/>
        </w:trPr>
        <w:tc>
          <w:tcPr>
            <w:tcW w:w="733" w:type="dxa"/>
            <w:vAlign w:val="center"/>
            <w:vMerge w:val="continue"/>
            <w:textDirection w:val="lrTb"/>
            <w:noWrap w:val="false"/>
          </w:tcPr>
          <w:p>
            <w:pPr>
              <w:spacing w:line="360" w:lineRule="auto"/>
              <w:rPr>
                <w:color w:val="000000"/>
                <w:sz w:val="24"/>
                <w:szCs w:val="24"/>
                <w:highlight w:val="none"/>
              </w:rPr>
            </w:pPr>
            <w:r>
              <w:rPr>
                <w:color w:val="000000"/>
                <w:sz w:val="24"/>
                <w:szCs w:val="24"/>
                <w:highlight w:val="none"/>
              </w:rPr>
            </w:r>
            <w:r/>
          </w:p>
        </w:tc>
        <w:tc>
          <w:tcPr>
            <w:tcW w:w="856" w:type="dxa"/>
            <w:vAlign w:val="top"/>
            <w:vMerge w:val="continue"/>
            <w:textDirection w:val="lrTb"/>
            <w:noWrap w:val="false"/>
          </w:tcPr>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gridSpan w:val="2"/>
            <w:tcW w:w="8110" w:type="dxa"/>
            <w:vAlign w:val="top"/>
            <w:textDirection w:val="lrTb"/>
            <w:noWrap w:val="false"/>
          </w:tcPr>
          <w:p>
            <w:pPr>
              <w:pStyle w:val="1028"/>
              <w:spacing w:line="360" w:lineRule="auto"/>
              <w:rPr>
                <w:rFonts w:hint="eastAsia"/>
                <w:color w:val="000000"/>
                <w:sz w:val="24"/>
                <w:szCs w:val="24"/>
                <w:highlight w:val="none"/>
              </w:rPr>
            </w:pPr>
            <w:r>
              <w:rPr>
                <w:rFonts w:hint="eastAsia"/>
                <w:color w:val="000000"/>
                <w:sz w:val="24"/>
                <w:szCs w:val="24"/>
                <w:highlight w:val="none"/>
                <w:lang w:val="zh-CN"/>
              </w:rPr>
              <w:t xml:space="preserve">2.</w:t>
            </w:r>
            <w:r>
              <w:rPr>
                <w:rFonts w:hint="eastAsia"/>
                <w:color w:val="000000"/>
                <w:sz w:val="24"/>
                <w:szCs w:val="24"/>
                <w:highlight w:val="none"/>
              </w:rPr>
              <w:t xml:space="preserve">3</w:t>
            </w:r>
            <w:r>
              <w:rPr>
                <w:rFonts w:hint="eastAsia"/>
                <w:color w:val="000000"/>
                <w:sz w:val="24"/>
                <w:szCs w:val="24"/>
                <w:highlight w:val="none"/>
                <w:lang w:val="zh-CN"/>
              </w:rPr>
              <w:t xml:space="preserve"> 拒绝下述供应商参加本次采购活动：</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①</w:t>
            </w: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bCs/>
                <w:color w:val="000000"/>
                <w:sz w:val="24"/>
                <w:szCs w:val="24"/>
                <w:highlight w:val="none"/>
              </w:rPr>
              <w:t xml:space="preserve">，否则相关投标将被认定为无效投标；</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w:t>
            </w:r>
            <w:r>
              <w:rPr>
                <w:rFonts w:hint="eastAsia" w:ascii="宋体" w:hAnsi="宋体"/>
                <w:bCs/>
                <w:color w:val="000000"/>
                <w:sz w:val="24"/>
                <w:szCs w:val="24"/>
                <w:highlight w:val="none"/>
              </w:rPr>
              <w:t xml:space="preserve">凡</w:t>
            </w:r>
            <w:r>
              <w:rPr>
                <w:rFonts w:ascii="宋体" w:hAnsi="宋体"/>
                <w:bCs/>
                <w:color w:val="000000"/>
                <w:sz w:val="24"/>
                <w:szCs w:val="24"/>
                <w:highlight w:val="none"/>
              </w:rPr>
              <w:t xml:space="preserve">为采购项目提供整体设计、规范编制或者项目管理、监理、检测等服务的供应商，不得再参加</w:t>
            </w:r>
            <w:r>
              <w:rPr>
                <w:rFonts w:hint="eastAsia" w:ascii="宋体" w:hAnsi="宋体"/>
                <w:bCs/>
                <w:color w:val="000000"/>
                <w:sz w:val="24"/>
                <w:szCs w:val="24"/>
                <w:highlight w:val="none"/>
              </w:rPr>
              <w:t xml:space="preserve">本</w:t>
            </w:r>
            <w:r>
              <w:rPr>
                <w:rFonts w:ascii="宋体" w:hAnsi="宋体"/>
                <w:bCs/>
                <w:color w:val="000000"/>
                <w:sz w:val="24"/>
                <w:szCs w:val="24"/>
                <w:highlight w:val="none"/>
              </w:rPr>
              <w:t xml:space="preserve">项目的采购活动</w:t>
            </w:r>
            <w:r>
              <w:rPr>
                <w:rFonts w:hint="eastAsia" w:ascii="宋体" w:hAnsi="宋体"/>
                <w:bCs/>
                <w:color w:val="000000"/>
                <w:sz w:val="24"/>
                <w:szCs w:val="24"/>
                <w:highlight w:val="none"/>
              </w:rPr>
              <w:t xml:space="preserve">，否则其投标将被认定为无效投标</w:t>
            </w:r>
            <w:r>
              <w:rPr>
                <w:rFonts w:ascii="宋体" w:hAnsi="宋体"/>
                <w:bCs/>
                <w:color w:val="000000"/>
                <w:sz w:val="24"/>
                <w:szCs w:val="24"/>
                <w:highlight w:val="none"/>
              </w:rPr>
              <w:t xml:space="preserve">。</w:t>
            </w:r>
            <w:r/>
          </w:p>
        </w:tc>
      </w:tr>
      <w:tr>
        <w:trPr>
          <w:jc w:val="center"/>
          <w:trHeight w:val="567"/>
        </w:trPr>
        <w:tc>
          <w:tcPr>
            <w:tcW w:w="733" w:type="dxa"/>
            <w:vAlign w:val="center"/>
            <w:textDirection w:val="lrTb"/>
            <w:noWrap w:val="false"/>
          </w:tcPr>
          <w:p>
            <w:pPr>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856" w:type="dxa"/>
            <w:vAlign w:val="top"/>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
                <w:color w:val="000000"/>
                <w:sz w:val="24"/>
                <w:szCs w:val="24"/>
                <w:highlight w:val="none"/>
              </w:rPr>
              <w:t xml:space="preserve">招标文件</w:t>
            </w:r>
            <w:r/>
          </w:p>
        </w:tc>
        <w:tc>
          <w:tcPr>
            <w:gridSpan w:val="2"/>
            <w:tcW w:w="8110" w:type="dxa"/>
            <w:vAlign w:val="top"/>
            <w:textDirection w:val="lrTb"/>
            <w:noWrap w:val="false"/>
          </w:tcPr>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1.招标文件的获取：招标文件提交截止时间前，通过“江苏政府采购网”首页“苏采云”标签进入系统，应在“项目参与”中下载电子招标文件(后缀名为</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kedt”</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；可在“江苏政府采购网”采购公告附件中下载word版招标文件。</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2.“CA锁”的使用：供应商须办理有效的CA锁（即有效的CA数字证书及电子电子签章）才可参与全流程电子政府采购活动，省内各地区办理的“苏采云”系统下的CA锁全省通用。</w:t>
            </w:r>
            <w:r/>
          </w:p>
          <w:p>
            <w:pPr>
              <w:spacing w:line="360" w:lineRule="auto"/>
              <w:rPr>
                <w:rFonts w:hint="eastAsia" w:hAnsi="宋体"/>
                <w:bCs/>
                <w:color w:val="000000"/>
                <w:sz w:val="24"/>
                <w:szCs w:val="24"/>
                <w:highlight w:val="none"/>
              </w:rPr>
            </w:pPr>
            <w:r>
              <w:rPr>
                <w:rFonts w:hint="eastAsia" w:ascii="宋体" w:hAnsi="宋体"/>
                <w:bCs/>
                <w:color w:val="000000"/>
                <w:sz w:val="24"/>
                <w:szCs w:val="24"/>
                <w:highlight w:val="none"/>
              </w:rPr>
              <w:t xml:space="preserve">3.CA锁办理方式、“苏采云”系统供应商操作手册及政府采购客户端工具详见江苏政府采购网“办事指南”中的资料下载专栏中的《江苏省政府采购管理交易系统（苏采云)供应商操作指南》。</w:t>
            </w:r>
            <w:r/>
          </w:p>
        </w:tc>
      </w:tr>
      <w:tr>
        <w:trPr>
          <w:jc w:val="center"/>
          <w:trHeight w:val="567"/>
        </w:trPr>
        <w:tc>
          <w:tcPr>
            <w:tcW w:w="73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856"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
                <w:color w:val="000000"/>
                <w:sz w:val="24"/>
                <w:szCs w:val="24"/>
                <w:highlight w:val="none"/>
              </w:rPr>
              <w:t xml:space="preserve">投标文件</w:t>
            </w:r>
            <w:r/>
          </w:p>
        </w:tc>
        <w:tc>
          <w:tcPr>
            <w:gridSpan w:val="2"/>
            <w:tcW w:w="8110" w:type="dxa"/>
            <w:vAlign w:val="top"/>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1.投标文件制作及提交：将电子投标文件导入政府采购客户端工具制作投标文件，导出加密的投标文件(后缀名为zip)，通过“苏采云”系统上传投标文件。</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2.提交投标文件截止时间后的投标文件，恕不接受。</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本项目采用远程不见面交易模式，通过“苏采云”不见面交易系统及相应的配套硬件设备（摄像头、话筒、麦克风等）完成远程解密、开标现场异议及回复、开标等交互环节。</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不见面开标注意事项：</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1.1不见面开标项目的时间均以国家授时中心发布的时间为准；</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1.2开标当日，供应商不必抵达开标现场，仅需在任意地点通过“苏采云”系统“开标大厅”参与开标过程；</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投标文件提交截止时间后，采购人或采购代理机构将在系统内公布供应商名单，然后通过开标会议区发出投标文件解密的指令，供应商在各自地点按规定时间自行实施远程解密，供应商解密限定在解密时间开始起30分钟内完成。因供应商网络与电源不稳定、未按操作手册要求配置软硬件、解密锁发生故障或用错、故意不在要求时限内完成解密等自身</w:t>
            </w:r>
            <w:r>
              <w:rPr>
                <w:rFonts w:hint="eastAsia" w:ascii="宋体" w:hAnsi="宋体"/>
                <w:bCs/>
                <w:color w:val="000000"/>
                <w:sz w:val="24"/>
                <w:szCs w:val="24"/>
                <w:highlight w:val="none"/>
              </w:rPr>
              <w:t xml:space="preserve">原因，导致投标文件在规定时间内未能解密、解密失败或解密超时，视为供应商撤销其投标文件；因电子交易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在评审结束前，各供应商应当随时关注不见面开标大厅，并按照评审小组澄清、报价等要求在规定时间内进行响应，且承担未及时作出响应的一切后果。参与远程交互的应当为授权委托人或法人代表，中途不得随意更换，作出响应的人员将均被视为是供应商的被授权委托人或法人代表。</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采购活动时间：</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2.1提交投标文件截止时间及投标文件开启时间：详见本项目招标公告，招标公告中的截止时间为提交投标文件截止时间。</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2.2确定中标供应商时间：评审结束后，详见中标（成交）结果公告。</w:t>
            </w:r>
            <w:r/>
          </w:p>
        </w:tc>
      </w:tr>
      <w:tr>
        <w:trPr>
          <w:jc w:val="center"/>
          <w:trHeight w:val="567"/>
        </w:trPr>
        <w:tc>
          <w:tcPr>
            <w:tcW w:w="733" w:type="dxa"/>
            <w:vAlign w:val="center"/>
            <w:vMerge w:val="restart"/>
            <w:textDirection w:val="lrTb"/>
            <w:noWrap w:val="false"/>
          </w:tcPr>
          <w:p>
            <w:pPr>
              <w:jc w:val="center"/>
              <w:spacing w:line="360" w:lineRule="auto"/>
              <w:rPr>
                <w:rFonts w:hint="eastAsia" w:ascii="宋体" w:hAnsi="宋体"/>
                <w:bCs/>
                <w:color w:val="000000"/>
                <w:sz w:val="24"/>
                <w:szCs w:val="24"/>
                <w:highlight w:val="none"/>
              </w:rPr>
            </w:pPr>
            <w:r/>
            <w:bookmarkStart w:id="4" w:name="OLE_LINK84"/>
            <w:r>
              <w:rPr>
                <w:rFonts w:hint="eastAsia" w:ascii="宋体" w:hAnsi="宋体"/>
                <w:bCs/>
                <w:color w:val="000000"/>
                <w:sz w:val="24"/>
                <w:szCs w:val="24"/>
                <w:highlight w:val="none"/>
              </w:rPr>
              <w:t xml:space="preserve">5</w:t>
            </w:r>
            <w:r/>
          </w:p>
        </w:tc>
        <w:tc>
          <w:tcPr>
            <w:tcW w:w="856" w:type="dxa"/>
            <w:vAlign w:val="center"/>
            <w:vMerge w:val="restart"/>
            <w:textDirection w:val="lrTb"/>
            <w:noWrap w:val="false"/>
          </w:tcPr>
          <w:p>
            <w:pPr>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联系方式</w:t>
            </w:r>
            <w:r/>
          </w:p>
        </w:tc>
        <w:tc>
          <w:tcPr>
            <w:tcW w:w="170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w:t>
            </w:r>
            <w:r/>
          </w:p>
        </w:tc>
        <w:tc>
          <w:tcPr>
            <w:tcW w:w="6407" w:type="dxa"/>
            <w:vAlign w:val="center"/>
            <w:textDirection w:val="lrTb"/>
            <w:noWrap w:val="false"/>
          </w:tcPr>
          <w:p>
            <w:pPr>
              <w:jc w:val="left"/>
              <w:spacing w:line="360" w:lineRule="auto"/>
              <w:rPr>
                <w:rFonts w:ascii="宋体" w:hAnsi="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bCs/>
                <w:color w:val="000000"/>
                <w:sz w:val="24"/>
                <w:szCs w:val="24"/>
                <w:highlight w:val="none"/>
                <w:lang w:val="en-US" w:eastAsia="zh-CN"/>
              </w:rPr>
              <w:t xml:space="preserve"> 陈女士</w:t>
            </w:r>
            <w:r/>
          </w:p>
          <w:p>
            <w:pPr>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质疑受理人：</w:t>
            </w:r>
            <w:r>
              <w:rPr>
                <w:rFonts w:hint="eastAsia" w:ascii="宋体" w:hAnsi="宋体"/>
                <w:bCs/>
                <w:color w:val="000000"/>
                <w:sz w:val="24"/>
                <w:szCs w:val="24"/>
                <w:highlight w:val="none"/>
                <w:lang w:val="en-US" w:eastAsia="zh-CN"/>
              </w:rPr>
              <w:t xml:space="preserve"> 陈女士</w:t>
            </w:r>
            <w:r/>
          </w:p>
          <w:p>
            <w:pPr>
              <w:jc w:val="left"/>
              <w:spacing w:line="360" w:lineRule="auto"/>
              <w:rPr>
                <w:rFonts w:hint="eastAsia" w:ascii="宋体"/>
                <w:bCs/>
                <w:color w:val="000000"/>
                <w:sz w:val="24"/>
                <w:szCs w:val="24"/>
                <w:highlight w:val="none"/>
              </w:rPr>
            </w:pPr>
            <w:r>
              <w:rPr>
                <w:rFonts w:hint="eastAsia" w:ascii="宋体" w:hAnsi="宋体"/>
                <w:bCs/>
                <w:color w:val="000000"/>
                <w:sz w:val="24"/>
                <w:szCs w:val="24"/>
                <w:highlight w:val="none"/>
              </w:rPr>
              <w:t xml:space="preserve">联系电话：0510-81702055</w:t>
            </w:r>
            <w:r>
              <w:rPr>
                <w:rFonts w:hint="eastAsia" w:ascii="宋体" w:hAnsi="宋体"/>
                <w:bCs/>
                <w:color w:val="000000"/>
                <w:sz w:val="24"/>
                <w:szCs w:val="24"/>
                <w:highlight w:val="none"/>
                <w:lang w:val="en-US" w:eastAsia="zh-CN"/>
              </w:rPr>
              <w:t xml:space="preserve">  </w:t>
            </w:r>
            <w:r>
              <w:rPr>
                <w:rFonts w:hint="eastAsia" w:ascii="宋体"/>
                <w:bCs/>
                <w:color w:val="000000"/>
                <w:sz w:val="24"/>
                <w:szCs w:val="24"/>
                <w:highlight w:val="none"/>
                <w:lang w:val="en-US" w:eastAsia="zh-CN"/>
              </w:rPr>
              <w:t xml:space="preserve"> </w:t>
            </w:r>
            <w:r/>
          </w:p>
          <w:p>
            <w:pPr>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联系地址：</w:t>
            </w:r>
            <w:r>
              <w:rPr>
                <w:rFonts w:hint="eastAsia" w:ascii="宋体" w:hAnsi="宋体" w:cs="宋体"/>
                <w:bCs/>
                <w:color w:val="000000"/>
                <w:sz w:val="24"/>
                <w:szCs w:val="24"/>
                <w:highlight w:val="none"/>
                <w:lang w:val="en-US" w:eastAsia="zh-CN"/>
              </w:rPr>
              <w:t xml:space="preserve">宜兴市丁蜀镇 </w:t>
            </w:r>
            <w:r>
              <w:rPr>
                <w:rFonts w:hint="eastAsia" w:ascii="宋体" w:hAnsi="宋体" w:eastAsia="宋体" w:cs="宋体"/>
                <w:bCs/>
                <w:color w:val="000000"/>
                <w:sz w:val="24"/>
                <w:szCs w:val="24"/>
                <w:highlight w:val="none"/>
              </w:rPr>
              <w:t xml:space="preserve">          </w:t>
            </w:r>
            <w:r/>
          </w:p>
          <w:p>
            <w:pPr>
              <w:jc w:val="left"/>
              <w:spacing w:line="360" w:lineRule="auto"/>
              <w:rPr>
                <w:rFonts w:hint="eastAsia" w:ascii="宋体" w:hAnsi="宋体"/>
                <w:bCs/>
                <w:color w:val="000000"/>
                <w:sz w:val="24"/>
                <w:szCs w:val="24"/>
                <w:highlight w:val="none"/>
              </w:rPr>
            </w:pPr>
            <w:r>
              <w:rPr>
                <w:rFonts w:hint="eastAsia" w:ascii="宋体" w:hAnsi="宋体" w:eastAsia="宋体" w:cs="宋体"/>
                <w:bCs/>
                <w:color w:val="000000"/>
                <w:sz w:val="24"/>
                <w:szCs w:val="24"/>
                <w:highlight w:val="none"/>
              </w:rPr>
              <w:t xml:space="preserve">邮政编码：214200</w:t>
            </w:r>
            <w:r/>
          </w:p>
        </w:tc>
      </w:tr>
      <w:tr>
        <w:trPr>
          <w:jc w:val="center"/>
          <w:trHeight w:val="567"/>
        </w:trPr>
        <w:tc>
          <w:tcPr>
            <w:tcW w:w="733" w:type="dxa"/>
            <w:vAlign w:val="center"/>
            <w:vMerge w:val="continue"/>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56" w:type="dxa"/>
            <w:vAlign w:val="top"/>
            <w:vMerge w:val="continue"/>
            <w:textDirection w:val="lrTb"/>
            <w:noWrap w:val="false"/>
          </w:tcPr>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407" w:type="dxa"/>
            <w:vAlign w:val="top"/>
            <w:textDirection w:val="lrTb"/>
            <w:noWrap w:val="false"/>
          </w:tcPr>
          <w:p>
            <w:pPr>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于</w:t>
            </w:r>
            <w:r>
              <w:rPr>
                <w:rFonts w:hint="eastAsia" w:ascii="宋体" w:hAnsi="宋体" w:cs="宋体"/>
                <w:bCs/>
                <w:color w:val="000000"/>
                <w:sz w:val="24"/>
                <w:szCs w:val="24"/>
                <w:highlight w:val="none"/>
              </w:rPr>
              <w:t xml:space="preserve">先生　</w:t>
            </w:r>
            <w:r/>
          </w:p>
          <w:p>
            <w:pPr>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联系电话：18861795035  </w:t>
            </w:r>
            <w:r/>
          </w:p>
          <w:p>
            <w:pPr>
              <w:jc w:val="left"/>
              <w:spacing w:line="360" w:lineRule="auto"/>
              <w:rPr>
                <w:rFonts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联系地址：宜兴市丁蜀镇东峰路1号 东峰大厦</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楼</w:t>
            </w:r>
            <w:r/>
          </w:p>
          <w:p>
            <w:pPr>
              <w:jc w:val="left"/>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邮政编码：214200</w:t>
            </w:r>
            <w:r/>
          </w:p>
        </w:tc>
      </w:tr>
      <w:tr>
        <w:trPr>
          <w:jc w:val="center"/>
          <w:trHeight w:val="567"/>
        </w:trPr>
        <w:tc>
          <w:tcPr>
            <w:tcW w:w="733" w:type="dxa"/>
            <w:vAlign w:val="center"/>
            <w:vMerge w:val="continue"/>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56" w:type="dxa"/>
            <w:vAlign w:val="top"/>
            <w:vMerge w:val="continue"/>
            <w:textDirection w:val="lrTb"/>
            <w:noWrap w:val="false"/>
          </w:tcPr>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407" w:type="dxa"/>
            <w:vAlign w:val="center"/>
            <w:textDirection w:val="lrTb"/>
            <w:noWrap w:val="false"/>
          </w:tcPr>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供应商在“苏采云”系统操作过程中如遇问题，请致电“苏采云”客服，联系电话：16651529117、025-83633744、025-83633743；或在“苏采云”系统中发起在线人工客服请求。</w:t>
            </w:r>
            <w:r/>
          </w:p>
        </w:tc>
      </w:tr>
      <w:tr>
        <w:trPr>
          <w:jc w:val="center"/>
          <w:trHeight w:val="567"/>
        </w:trPr>
        <w:tc>
          <w:tcPr>
            <w:tcW w:w="733" w:type="dxa"/>
            <w:vAlign w:val="center"/>
            <w:vMerge w:val="continue"/>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56" w:type="dxa"/>
            <w:vAlign w:val="top"/>
            <w:vMerge w:val="continue"/>
            <w:textDirection w:val="lrTb"/>
            <w:noWrap w:val="false"/>
          </w:tcPr>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407" w:type="dxa"/>
            <w:vAlign w:val="top"/>
            <w:textDirection w:val="lrTb"/>
            <w:noWrap w:val="false"/>
          </w:tcPr>
          <w:p>
            <w:pPr>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采购监督管理及投诉处理主体：宜兴市丁蜀镇财政和资产管理办公室                   </w:t>
            </w:r>
            <w:r/>
          </w:p>
          <w:p>
            <w:pPr>
              <w:jc w:val="left"/>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联系地址：宜兴市丁蜀镇</w:t>
            </w:r>
            <w:bookmarkEnd w:id="4"/>
            <w:r/>
            <w:r/>
          </w:p>
        </w:tc>
      </w:tr>
    </w:tbl>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4"/>
          <w:szCs w:val="24"/>
          <w:highlight w:val="none"/>
        </w:rPr>
        <w:br w:type="page" w:clear="all"/>
      </w:r>
      <w:bookmarkStart w:id="5" w:name="_Toc30886"/>
      <w:r>
        <w:rPr>
          <w:rFonts w:hint="eastAsia" w:ascii="黑体" w:hAnsi="黑体" w:eastAsia="黑体"/>
          <w:color w:val="000000"/>
          <w:sz w:val="28"/>
          <w:highlight w:val="none"/>
        </w:rPr>
        <w:t xml:space="preserve">第二章 投标人须知</w:t>
      </w:r>
      <w:bookmarkEnd w:id="2"/>
      <w:r/>
      <w:bookmarkEnd w:id="5"/>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一、总   则</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1、适用法律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2、定义</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招标文件中的“法定代表人”是指投标人的营业执照中的“法定代表人”、“执行事务合伙人”、“经营者”</w:t>
      </w:r>
      <w:bookmarkStart w:id="6" w:name="OLE_LINK268"/>
      <w:r>
        <w:rPr>
          <w:rFonts w:hint="eastAsia" w:ascii="宋体" w:hAnsi="宋体"/>
          <w:bCs/>
          <w:color w:val="000000"/>
          <w:sz w:val="24"/>
          <w:szCs w:val="24"/>
          <w:highlight w:val="none"/>
          <w:lang w:val="zh-CN"/>
        </w:rPr>
        <w:t xml:space="preserve">，</w:t>
      </w:r>
      <w:bookmarkStart w:id="7" w:name="OLE_LINK254"/>
      <w:r>
        <w:rPr>
          <w:rFonts w:hint="eastAsia" w:ascii="宋体" w:hAnsi="宋体"/>
          <w:bCs/>
          <w:color w:val="000000"/>
          <w:sz w:val="24"/>
          <w:szCs w:val="24"/>
          <w:highlight w:val="none"/>
          <w:lang w:val="zh-CN"/>
        </w:rPr>
        <w:t xml:space="preserve">若自然人投标即指自然人本人。</w:t>
      </w:r>
      <w:bookmarkEnd w:id="6"/>
      <w:r/>
      <w:bookmarkEnd w:id="7"/>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“投标人（电子电子签章）”</w:t>
      </w:r>
      <w:r>
        <w:rPr>
          <w:rFonts w:hint="eastAsia" w:ascii="宋体" w:hAnsi="宋体"/>
          <w:bCs/>
          <w:color w:val="000000"/>
          <w:sz w:val="24"/>
          <w:szCs w:val="24"/>
          <w:highlight w:val="none"/>
        </w:rPr>
        <w:t xml:space="preserve">是指投标人的</w:t>
      </w:r>
      <w:bookmarkStart w:id="8" w:name="_Hlk152584062"/>
      <w:r>
        <w:rPr>
          <w:rFonts w:hint="eastAsia" w:ascii="宋体" w:hAnsi="宋体"/>
          <w:bCs/>
          <w:color w:val="000000"/>
          <w:sz w:val="24"/>
          <w:szCs w:val="24"/>
          <w:highlight w:val="none"/>
          <w:lang w:val="zh-CN"/>
        </w:rPr>
        <w:t xml:space="preserve">电子公章</w:t>
      </w:r>
      <w:bookmarkEnd w:id="8"/>
      <w:r>
        <w:rPr>
          <w:rFonts w:hint="eastAsia" w:ascii="宋体" w:hAnsi="宋体"/>
          <w:bCs/>
          <w:color w:val="000000"/>
          <w:sz w:val="24"/>
          <w:szCs w:val="24"/>
          <w:highlight w:val="none"/>
          <w:lang w:val="zh-CN"/>
        </w:rPr>
        <w:t xml:space="preserve">，自然人报价即指自然人私章或签名</w:t>
      </w: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2.4</w:t>
      </w:r>
      <w:r>
        <w:rPr>
          <w:rFonts w:hint="eastAsia" w:ascii="宋体" w:hAnsi="宋体"/>
          <w:bCs/>
          <w:color w:val="000000"/>
          <w:sz w:val="24"/>
          <w:szCs w:val="24"/>
          <w:highlight w:val="none"/>
          <w:lang w:val="zh-CN"/>
        </w:rPr>
        <w:t xml:space="preserve"> “服务”指本招标文件中所述服务及相关产品。</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2.5 “响应”指提交报价文件并对招标文件提出的条件和要求进行实质性回应，招标公告及招标文件中的“投标”是指投标报价，本招标文件中的“报价”除单独列明外均指项目总报价。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2.6 “证明材料”指招标文件中要求提供的相关材料</w:t>
      </w:r>
      <w:bookmarkStart w:id="9" w:name="_Hlk166055298"/>
      <w:r>
        <w:rPr>
          <w:rFonts w:hint="eastAsia" w:ascii="宋体" w:hAnsi="宋体"/>
          <w:bCs/>
          <w:color w:val="000000"/>
          <w:sz w:val="24"/>
          <w:szCs w:val="24"/>
          <w:highlight w:val="none"/>
          <w:lang w:val="zh-CN"/>
        </w:rPr>
        <w:t xml:space="preserve">且必须为有效的，即证明材料的完整性、真实性、出具方、有效期限、技术标准、认证范围等相关要求符合国家相关法律法规及采购文件规定。</w:t>
      </w:r>
      <w:bookmarkEnd w:id="9"/>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2.7“电子交易平台”指本项目政府采购活动所依托的江苏政府采购网(www.ccgp-jiangsu.gov.cn)“苏采云”平台（系统）。</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2.8 “中小企业声明”指符合政府采购政策的供应商提供的《中小企业声明函》或《残疾人福利性单位声明函》或监狱企业的证明文件。</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2.9 “报价无效”指供应商提交的投标文件不符合招标文件或不符合采购人要求的情况，按无效响应处理。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2.10 “评审因素”是指评审方法和标准中包括的价格因素、技术因素、商务因素等方面。</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2.11 “正偏离”指供应商提供的服务（货物）响应情况优于招标文件要求；“负偏离”指供应商提供的服务（货物）响应情况劣于招标文件要求。</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2.12 本招标文件中的招标与采购、招标文件与采购文件、报价无效与响应无效、产品与货物、优惠政策与扶持政策，分别为同一概念或意思。</w:t>
      </w:r>
      <w:r/>
    </w:p>
    <w:p>
      <w:pPr>
        <w:ind w:firstLine="480"/>
        <w:spacing w:line="360" w:lineRule="auto"/>
        <w:rPr>
          <w:rFonts w:ascii="宋体" w:hAnsi="宋体"/>
          <w:bCs/>
          <w:color w:val="000000"/>
          <w:sz w:val="24"/>
          <w:szCs w:val="24"/>
          <w:highlight w:val="none"/>
        </w:rPr>
      </w:pPr>
      <w:r/>
      <w:bookmarkStart w:id="10" w:name="_Hlk169618186"/>
      <w:r>
        <w:rPr>
          <w:rFonts w:hint="eastAsia" w:ascii="宋体" w:hAnsi="宋体"/>
          <w:bCs/>
          <w:color w:val="000000"/>
          <w:sz w:val="24"/>
          <w:szCs w:val="24"/>
          <w:highlight w:val="none"/>
          <w:lang w:val="zh-CN"/>
        </w:rPr>
        <w:t xml:space="preserve">2.13 本招标文件中所称的“以上”、“以来”、“以下”、“不少于”、“不超过”，包括本数；所称的“不足”、“低于”、“高于”、“少于”、“超过”，不包括本数。</w:t>
      </w:r>
      <w:bookmarkEnd w:id="10"/>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3、政策功能</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3.1 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3.2政府采购支持中小企业发展</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3.2.1“中小企业”是指在中华人民共和国境内依法设立，依据《关于印发中小企业划</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根据采购项目类型，若为货物类项目，只对货物的制造商是否为中小企业进行认定，不再对投标人提供的配套服务作出要求。</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3.2.3 对于专</w:t>
      </w:r>
      <w:r>
        <w:rPr>
          <w:rFonts w:hint="eastAsia" w:ascii="宋体" w:hAnsi="宋体"/>
          <w:b w:val="0"/>
          <w:bCs/>
          <w:color w:val="000000"/>
          <w:sz w:val="24"/>
          <w:szCs w:val="24"/>
          <w:highlight w:val="none"/>
        </w:rPr>
        <w:t xml:space="preserve">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3.2.4 可享受中小企业扶持政策的投标人应按照招标文件要求提供中小企业声明，投标人提供的中小企业声明与实际情况不符的，不享受中小企业扶持政策。</w:t>
      </w:r>
      <w:r>
        <w:rPr>
          <w:rFonts w:hint="eastAsia" w:ascii="宋体" w:hAnsi="宋体"/>
          <w:b w:val="0"/>
          <w:bCs/>
          <w:color w:val="000000"/>
          <w:sz w:val="24"/>
          <w:szCs w:val="24"/>
          <w:highlight w:val="none"/>
          <w:u w:val="single"/>
        </w:rPr>
        <w:t xml:space="preserve">投标人应按照中小企业声明格式准确完整填写相关内容，其中《中小企业声明函》须按“第三章 项目技术要求和有关说明”中采购标的明细及所属行业等内容逐一进行填报，并明确相关企业类型（中型、小型或微型），否则中小企业声明函无效。</w:t>
      </w:r>
      <w:r>
        <w:rPr>
          <w:rFonts w:hint="eastAsia" w:ascii="宋体" w:hAnsi="宋体"/>
          <w:b w:val="0"/>
          <w:bCs/>
          <w:color w:val="000000"/>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3.2.7对于专门面向中小企业的项目，投标人未提供有效的中小企业声明，资格审查不</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予通过；对于非专门面向中小企业的项目，投标人未提供有效的中小企业声明，不享受政府采购小微企业优惠政策，即不给予小微企业报价扣除；若投标人提供的货物同时为小微企业产品、残疾人福利性单位产品（或监狱企业产品），只享受一次针对小微企业产品的价格优惠。</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3.3强制采购节能产品、信息安全产品。强制采购节能产品是指列入财政部、发展改革委联合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 w:val="0"/>
          <w:bCs/>
          <w:color w:val="000000"/>
          <w:sz w:val="24"/>
          <w:szCs w:val="24"/>
          <w:highlight w:val="none"/>
          <w:u w:val="single"/>
        </w:rPr>
        <w:t xml:space="preserve">涉及到强制采购产品的，投标人须按照上述要求提供相关产品的证明材料，否则投标无效。</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3.4优先采购节能产品、环境标志产品。优先采购节能产品是指列入财政部、发展改革委联合公布的最新《节能产品政府采购品目清单》（具体品目未以“★”标注），且获得由国家确定的认证机构出具的、处于有效期之内的节能产品认证证书的节能产品；优先采购环境标志产品是指列入财政部、生态环境部联合公布的最新《环境标志产品政府采购品目清单》，且获得由国家确定的认证机构出具的、处于有效期之内的环境标志产品认证证书的环境标志产品。</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3.5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3.6鼓励投标人在参加政府采购过程中开展绿色设计、选择绿色材料、打造绿色制造工艺、开展绿色运输、做好废弃产品回收处理，实现产品全周期的绿色环保。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3.7落实挥发性有机化合物（VOCs）治理要求，涉及涂料、胶黏剂、油墨、清洗剂等挥发性有机物产品的，属于强制性标准的，投标人应当执行国家和我省VOCs含量限制标准。</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3.8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hint="eastAsia" w:ascii="宋体" w:hAnsi="宋体"/>
          <w:b/>
          <w:color w:val="000000"/>
          <w:sz w:val="24"/>
          <w:szCs w:val="24"/>
          <w:highlight w:val="none"/>
        </w:rPr>
      </w:pPr>
      <w:r>
        <w:rPr>
          <w:rFonts w:hint="eastAsia" w:ascii="宋体" w:hAnsi="宋体"/>
          <w:b w:val="0"/>
          <w:bCs/>
          <w:color w:val="000000"/>
          <w:sz w:val="24"/>
          <w:szCs w:val="24"/>
          <w:highlight w:val="none"/>
        </w:rPr>
        <w:t xml:space="preserve">注：支持中小企业发展、强制采购、优先采购及其他政府采购政策按相关文件规定执行。</w:t>
      </w:r>
      <w:r>
        <w:rPr>
          <w:rFonts w:hint="eastAsia" w:ascii="宋体" w:hAnsi="宋体"/>
          <w:b/>
          <w:color w:val="000000"/>
          <w:sz w:val="24"/>
          <w:szCs w:val="24"/>
          <w:highlight w:val="none"/>
        </w:rPr>
        <w:t xml:space="preserve">4、投标费用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采购文件中的货币单位均为人民币元。</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4.2供应商应自行承担所有与准备和参加报价有关的一切费用。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4.3代理服务收费标准及金额:</w:t>
      </w:r>
      <w:r/>
    </w:p>
    <w:p>
      <w:pPr>
        <w:ind w:firstLine="480"/>
        <w:jc w:val="left"/>
        <w:spacing w:line="360" w:lineRule="auto"/>
        <w:rPr>
          <w:rFonts w:hint="eastAsia" w:ascii="宋体"/>
          <w:bCs/>
          <w:color w:val="000000"/>
          <w:sz w:val="24"/>
          <w:szCs w:val="24"/>
          <w:highlight w:val="none"/>
        </w:rPr>
      </w:pPr>
      <w:r>
        <w:rPr>
          <w:rFonts w:hint="eastAsia" w:ascii="宋体" w:hAnsi="宋体"/>
          <w:bCs/>
          <w:color w:val="000000"/>
          <w:sz w:val="24"/>
          <w:szCs w:val="24"/>
          <w:highlight w:val="none"/>
        </w:rPr>
        <w:t xml:space="preserve">本项目采购代理费由中标人支付</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请各投标人将此费用考虑在投标报价内</w:t>
      </w:r>
      <w:r>
        <w:rPr>
          <w:rFonts w:hint="eastAsia" w:ascii="宋体" w:hAnsi="宋体"/>
          <w:bCs/>
          <w:color w:val="000000"/>
          <w:sz w:val="24"/>
          <w:szCs w:val="24"/>
          <w:highlight w:val="none"/>
        </w:rPr>
        <w:t xml:space="preserve">，采购代理费收费标准:参照《招标代理服务收费标准》(不满3000元按3000元计取），按差额定率累进法计算。</w:t>
      </w:r>
      <w:r/>
    </w:p>
    <w:p>
      <w:pPr>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招标代理服务收费标准</w:t>
      </w:r>
      <w:r/>
    </w:p>
    <w:tbl>
      <w:tblPr>
        <w:tblStyle w:val="10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服费务类率型</w:t>
            </w:r>
            <w:r/>
          </w:p>
          <w:p>
            <w:pPr>
              <w:jc w:val="center"/>
              <w:spacing w:after="0" w:line="240" w:lineRule="auto"/>
              <w:rPr>
                <w:rFonts w:hint="eastAsia"/>
                <w:color w:val="000000"/>
                <w:highlight w:val="none"/>
              </w:rPr>
            </w:pPr>
            <w:r>
              <w:rPr>
                <w:rFonts w:hint="eastAsia"/>
                <w:color w:val="000000"/>
                <w:highlight w:val="none"/>
              </w:rPr>
              <w:t xml:space="preserve">中标金额(万元)</w:t>
            </w:r>
            <w:r/>
          </w:p>
        </w:tc>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货物招标</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服务招标</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工程招标</w:t>
            </w:r>
            <w:r/>
          </w:p>
        </w:tc>
      </w:tr>
      <w:tr>
        <w:trPr>
          <w:trHeight w:val="567"/>
        </w:trPr>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100以下</w:t>
            </w:r>
            <w:r/>
          </w:p>
        </w:tc>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1.5%</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1.5%</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1.0%</w:t>
            </w:r>
            <w:r/>
          </w:p>
        </w:tc>
      </w:tr>
      <w:tr>
        <w:trPr>
          <w:trHeight w:val="567"/>
        </w:trPr>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100-500</w:t>
            </w:r>
            <w:r/>
          </w:p>
        </w:tc>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1.1%</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0.8%</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0.7%</w:t>
            </w:r>
            <w:r/>
          </w:p>
        </w:tc>
      </w:tr>
      <w:tr>
        <w:trPr>
          <w:trHeight w:val="567"/>
        </w:trPr>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500-1000</w:t>
            </w:r>
            <w:r/>
          </w:p>
        </w:tc>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0.8%</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0.45%</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0.55%</w:t>
            </w:r>
            <w:r/>
          </w:p>
        </w:tc>
      </w:tr>
      <w:tr>
        <w:trPr>
          <w:trHeight w:val="567"/>
        </w:trPr>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1000-5000</w:t>
            </w:r>
            <w:r/>
          </w:p>
        </w:tc>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0.5%</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0.25%</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0.35%</w:t>
            </w:r>
            <w:r/>
          </w:p>
        </w:tc>
      </w:tr>
      <w:tr>
        <w:trPr>
          <w:trHeight w:val="567"/>
        </w:trPr>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5000-10000</w:t>
            </w:r>
            <w:r/>
          </w:p>
        </w:tc>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0.25%</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0.1%</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0.2%</w:t>
            </w:r>
            <w:r/>
          </w:p>
        </w:tc>
      </w:tr>
      <w:tr>
        <w:trPr>
          <w:trHeight w:val="567"/>
        </w:trPr>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1亿~5亿</w:t>
            </w:r>
            <w:r/>
          </w:p>
        </w:tc>
        <w:tc>
          <w:tcPr>
            <w:tcW w:w="2463"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0.05%</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0.05%</w:t>
            </w:r>
            <w:r/>
          </w:p>
        </w:tc>
        <w:tc>
          <w:tcPr>
            <w:tcW w:w="2464" w:type="dxa"/>
            <w:vAlign w:val="center"/>
            <w:textDirection w:val="lrTb"/>
            <w:noWrap w:val="false"/>
          </w:tcPr>
          <w:p>
            <w:pPr>
              <w:jc w:val="center"/>
              <w:spacing w:after="0" w:line="240" w:lineRule="auto"/>
              <w:rPr>
                <w:rFonts w:hint="eastAsia"/>
                <w:color w:val="000000"/>
                <w:highlight w:val="none"/>
              </w:rPr>
            </w:pPr>
            <w:r>
              <w:rPr>
                <w:rFonts w:hint="eastAsia"/>
                <w:color w:val="000000"/>
                <w:highlight w:val="none"/>
              </w:rPr>
              <w:t xml:space="preserve">0.05%</w:t>
            </w:r>
            <w:r/>
          </w:p>
        </w:tc>
      </w:tr>
    </w:tbl>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5、保密要求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二、招标文件</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lang w:val="zh-CN"/>
        </w:rPr>
        <w:t xml:space="preserve">招标文件的组成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6.1 供应商应登录“苏采云” 系统下载</w:t>
      </w:r>
      <w:r>
        <w:rPr>
          <w:rFonts w:hint="eastAsia" w:ascii="宋体" w:hAnsi="宋体"/>
          <w:bCs/>
          <w:color w:val="000000"/>
          <w:sz w:val="24"/>
          <w:szCs w:val="24"/>
          <w:highlight w:val="none"/>
          <w:lang w:eastAsia="zh-CN"/>
        </w:rPr>
        <w:t xml:space="preserve">采购文件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。供应商须按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要求提交资料并对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相关内容作出实质性响应，否则报价无效。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电子投标文件格式、说明与投标文件格式、说明不一致的，以招标文件格式、说明为准。</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6.4相关网站公告、公示信息如有不一致的，以“江苏政府采购网”发布的信息为准。</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lang w:val="zh-CN"/>
        </w:rPr>
        <w:t xml:space="preserve">招标文件的解释</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7.1 </w:t>
      </w:r>
      <w:bookmarkStart w:id="11" w:name="OLE_LINK307"/>
      <w:r/>
      <w:bookmarkStart w:id="12" w:name="OLE_LINK289"/>
      <w:r/>
      <w:bookmarkStart w:id="13" w:name="OLE_LINK109"/>
      <w:r>
        <w:rPr>
          <w:rFonts w:hint="eastAsia" w:ascii="宋体" w:hAnsi="宋体"/>
          <w:bCs/>
          <w:color w:val="000000"/>
          <w:sz w:val="24"/>
          <w:szCs w:val="24"/>
          <w:highlight w:val="none"/>
        </w:rPr>
        <w:t xml:space="preserve">本文件“第三章 项目技术要求和有关说明”和“第四章 评标方法和标准”由</w:t>
      </w:r>
      <w:bookmarkStart w:id="14" w:name="OLE_LINK13"/>
      <w:r>
        <w:rPr>
          <w:rFonts w:hint="eastAsia" w:ascii="宋体" w:hAnsi="宋体"/>
          <w:bCs/>
          <w:color w:val="000000"/>
          <w:sz w:val="24"/>
          <w:szCs w:val="24"/>
          <w:highlight w:val="none"/>
        </w:rPr>
        <w:t xml:space="preserve">采购人负责解释</w:t>
      </w:r>
      <w:bookmarkEnd w:id="14"/>
      <w:r>
        <w:rPr>
          <w:rFonts w:hint="eastAsia" w:ascii="宋体" w:hAnsi="宋体"/>
          <w:bCs/>
          <w:color w:val="000000"/>
          <w:sz w:val="24"/>
          <w:szCs w:val="24"/>
          <w:highlight w:val="none"/>
        </w:rPr>
        <w:t xml:space="preserve">，其他部分由</w:t>
      </w:r>
      <w:bookmarkStart w:id="15" w:name="OLE_LINK270"/>
      <w:r>
        <w:rPr>
          <w:rFonts w:hint="eastAsia" w:ascii="宋体" w:hAnsi="宋体"/>
          <w:bCs/>
          <w:color w:val="000000"/>
          <w:sz w:val="24"/>
          <w:szCs w:val="24"/>
          <w:highlight w:val="none"/>
        </w:rPr>
        <w:t xml:space="preserve">采购人和</w:t>
      </w:r>
      <w:bookmarkEnd w:id="15"/>
      <w:r>
        <w:rPr>
          <w:rFonts w:hint="eastAsia" w:ascii="宋体" w:hAnsi="宋体"/>
          <w:bCs/>
          <w:color w:val="000000"/>
          <w:sz w:val="24"/>
          <w:szCs w:val="24"/>
          <w:highlight w:val="none"/>
        </w:rPr>
        <w:t xml:space="preserve">采购代理机构负责解释</w:t>
      </w:r>
      <w:bookmarkEnd w:id="11"/>
      <w:r>
        <w:rPr>
          <w:rFonts w:hint="eastAsia" w:ascii="宋体" w:hAnsi="宋体"/>
          <w:bCs/>
          <w:color w:val="000000"/>
          <w:sz w:val="24"/>
          <w:szCs w:val="24"/>
          <w:highlight w:val="none"/>
        </w:rPr>
        <w:t xml:space="preserve">。</w:t>
      </w:r>
      <w:bookmarkEnd w:id="12"/>
      <w:r/>
      <w:bookmarkEnd w:id="13"/>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8、</w:t>
      </w:r>
      <w:r>
        <w:rPr>
          <w:rFonts w:hint="eastAsia" w:ascii="宋体" w:hAnsi="宋体"/>
          <w:b/>
          <w:color w:val="000000"/>
          <w:sz w:val="24"/>
          <w:szCs w:val="24"/>
          <w:highlight w:val="none"/>
          <w:lang w:val="zh-CN"/>
        </w:rPr>
        <w:t xml:space="preserve">招标文件的澄清、修改</w:t>
      </w:r>
      <w:r/>
    </w:p>
    <w:p>
      <w:pPr>
        <w:ind w:firstLine="480"/>
        <w:spacing w:line="360" w:lineRule="auto"/>
        <w:rPr>
          <w:rFonts w:hint="eastAsia" w:ascii="宋体"/>
          <w:color w:val="000000"/>
          <w:sz w:val="24"/>
          <w:szCs w:val="21"/>
          <w:highlight w:val="none"/>
        </w:rPr>
      </w:pPr>
      <w:r>
        <w:rPr>
          <w:rFonts w:hint="eastAsia" w:ascii="宋体" w:hAnsi="宋体"/>
          <w:bCs/>
          <w:color w:val="000000"/>
          <w:sz w:val="24"/>
          <w:szCs w:val="24"/>
          <w:highlight w:val="none"/>
        </w:rPr>
        <w:t xml:space="preserve">8.1 </w:t>
      </w:r>
      <w:bookmarkStart w:id="16" w:name="OLE_LINK326"/>
      <w:r>
        <w:rPr>
          <w:rFonts w:hint="eastAsia" w:ascii="宋体" w:hAnsi="宋体" w:cs="宋体"/>
          <w:color w:val="000000"/>
          <w:sz w:val="24"/>
          <w:szCs w:val="24"/>
          <w:highlight w:val="none"/>
        </w:rPr>
        <w:t xml:space="preserve">采购人或者采购代理机构</w:t>
      </w:r>
      <w:r>
        <w:rPr>
          <w:rFonts w:hint="eastAsia" w:ascii="宋体"/>
          <w:color w:val="000000"/>
          <w:sz w:val="24"/>
          <w:szCs w:val="21"/>
          <w:highlight w:val="none"/>
          <w:lang w:val="zh-CN"/>
        </w:rPr>
        <w:t xml:space="preserve">对</w:t>
      </w:r>
      <w:r>
        <w:rPr>
          <w:rFonts w:hint="eastAsia" w:ascii="宋体" w:hAnsi="宋体"/>
          <w:bCs/>
          <w:color w:val="000000"/>
          <w:sz w:val="24"/>
          <w:szCs w:val="24"/>
          <w:highlight w:val="none"/>
          <w:lang w:val="zh-CN"/>
        </w:rPr>
        <w:t xml:space="preserve">已</w:t>
      </w:r>
      <w:r>
        <w:rPr>
          <w:rFonts w:hint="eastAsia" w:ascii="宋体"/>
          <w:color w:val="000000"/>
          <w:sz w:val="24"/>
          <w:szCs w:val="21"/>
          <w:highlight w:val="none"/>
          <w:lang w:val="zh-CN"/>
        </w:rPr>
        <w:t xml:space="preserve">发出的招标文件进行必要澄清或者修改的，将在投标截止时间</w:t>
      </w:r>
      <w:r>
        <w:rPr>
          <w:rFonts w:hint="eastAsia" w:ascii="宋体"/>
          <w:iCs/>
          <w:color w:val="000000"/>
          <w:sz w:val="24"/>
          <w:szCs w:val="21"/>
          <w:highlight w:val="none"/>
        </w:rPr>
        <w:t xml:space="preserve">15</w:t>
      </w:r>
      <w:r>
        <w:rPr>
          <w:rFonts w:hint="eastAsia" w:ascii="宋体"/>
          <w:iCs/>
          <w:color w:val="000000"/>
          <w:sz w:val="24"/>
          <w:szCs w:val="21"/>
          <w:highlight w:val="none"/>
          <w:lang w:val="zh-CN"/>
        </w:rPr>
        <w:t xml:space="preserve">日</w:t>
      </w:r>
      <w:r>
        <w:rPr>
          <w:rFonts w:hint="eastAsia" w:ascii="宋体"/>
          <w:color w:val="000000"/>
          <w:sz w:val="24"/>
          <w:szCs w:val="21"/>
          <w:highlight w:val="none"/>
          <w:lang w:val="zh-CN"/>
        </w:rPr>
        <w:t xml:space="preserve">前</w:t>
      </w:r>
      <w:r>
        <w:rPr>
          <w:rFonts w:hint="eastAsia" w:ascii="宋体"/>
          <w:color w:val="000000"/>
          <w:sz w:val="24"/>
          <w:szCs w:val="21"/>
          <w:highlight w:val="none"/>
        </w:rPr>
        <w:t xml:space="preserve">，</w:t>
      </w:r>
      <w:r>
        <w:rPr>
          <w:rFonts w:hint="eastAsia" w:ascii="宋体"/>
          <w:color w:val="000000"/>
          <w:sz w:val="24"/>
          <w:szCs w:val="21"/>
          <w:highlight w:val="none"/>
          <w:lang w:val="zh-CN"/>
        </w:rPr>
        <w:t xml:space="preserve">在原招标公告媒体发布更正公告。不足</w:t>
      </w:r>
      <w:r>
        <w:rPr>
          <w:rFonts w:hint="eastAsia" w:ascii="宋体"/>
          <w:color w:val="000000"/>
          <w:sz w:val="24"/>
          <w:szCs w:val="21"/>
          <w:highlight w:val="none"/>
        </w:rPr>
        <w:t xml:space="preserve">15日的，</w:t>
      </w:r>
      <w:r>
        <w:rPr>
          <w:rFonts w:hint="eastAsia" w:ascii="宋体" w:hAnsi="宋体" w:cs="宋体"/>
          <w:color w:val="000000"/>
          <w:sz w:val="24"/>
          <w:szCs w:val="24"/>
          <w:highlight w:val="none"/>
        </w:rPr>
        <w:t xml:space="preserve">采购人或者采购代理机构有权决定是否顺延投标截止时间和开标时间，</w:t>
      </w:r>
      <w:r>
        <w:rPr>
          <w:rFonts w:hint="eastAsia" w:ascii="宋体"/>
          <w:color w:val="000000"/>
          <w:sz w:val="24"/>
          <w:szCs w:val="21"/>
          <w:highlight w:val="none"/>
          <w:lang w:val="zh-CN"/>
        </w:rPr>
        <w:t xml:space="preserve">该澄清或者修改的内容为招标文件的组成部分。</w:t>
      </w:r>
      <w:bookmarkEnd w:id="16"/>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 </w:t>
      </w:r>
      <w:r>
        <w:rPr>
          <w:rFonts w:hint="eastAsia" w:ascii="宋体" w:hAnsi="宋体"/>
          <w:color w:val="000000"/>
          <w:sz w:val="24"/>
          <w:szCs w:val="21"/>
          <w:highlight w:val="none"/>
          <w:lang w:val="zh-CN"/>
        </w:rPr>
        <w:t xml:space="preserve">投标人应在投标截止时间前关注原采购信息发布媒体上有关本招标项目有无变更公告。如投标人未及时关注，由此造成的一切损失由投标人自行承担。</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2"/>
        <w:spacing w:line="360" w:lineRule="auto"/>
        <w:rPr>
          <w:rFonts w:hint="eastAsia" w:ascii="宋体" w:hAnsi="宋体"/>
          <w:b/>
          <w:color w:val="000000"/>
          <w:sz w:val="24"/>
          <w:szCs w:val="24"/>
          <w:highlight w:val="none"/>
        </w:rPr>
      </w:pPr>
      <w:r/>
      <w:bookmarkStart w:id="17" w:name="OLE_LINK16"/>
      <w:r/>
      <w:bookmarkStart w:id="18" w:name="OLE_LINK21"/>
      <w:r>
        <w:rPr>
          <w:rFonts w:hint="eastAsia" w:ascii="宋体" w:hAnsi="宋体"/>
          <w:b/>
          <w:color w:val="000000"/>
          <w:sz w:val="24"/>
          <w:szCs w:val="24"/>
          <w:highlight w:val="none"/>
        </w:rPr>
        <w:t xml:space="preserve">9、</w:t>
      </w:r>
      <w:bookmarkStart w:id="19" w:name="OLE_LINK62"/>
      <w:r>
        <w:rPr>
          <w:rFonts w:hint="eastAsia" w:ascii="宋体" w:hAnsi="宋体"/>
          <w:b/>
          <w:color w:val="000000"/>
          <w:sz w:val="24"/>
          <w:szCs w:val="24"/>
          <w:highlight w:val="none"/>
        </w:rPr>
        <w:t xml:space="preserve">投标文件的组成</w:t>
      </w:r>
      <w:bookmarkEnd w:id="17"/>
      <w:r>
        <w:rPr>
          <w:rFonts w:hint="eastAsia" w:ascii="宋体" w:hAnsi="宋体"/>
          <w:b/>
          <w:color w:val="000000"/>
          <w:sz w:val="24"/>
          <w:szCs w:val="24"/>
          <w:highlight w:val="none"/>
        </w:rPr>
        <w:t xml:space="preserve">：</w:t>
      </w:r>
      <w:bookmarkStart w:id="20" w:name="OLE_LINK215"/>
      <w:r>
        <w:rPr>
          <w:rFonts w:hint="eastAsia" w:ascii="宋体" w:hAnsi="宋体"/>
          <w:b/>
          <w:color w:val="000000"/>
          <w:sz w:val="24"/>
          <w:szCs w:val="24"/>
          <w:highlight w:val="none"/>
        </w:rPr>
        <w:t xml:space="preserve">对应第六章投标文件（格式）</w:t>
      </w:r>
      <w:bookmarkEnd w:id="20"/>
      <w:r>
        <w:rPr>
          <w:rFonts w:hint="eastAsia" w:ascii="宋体" w:hAnsi="宋体"/>
          <w:b/>
          <w:color w:val="000000"/>
          <w:sz w:val="24"/>
          <w:szCs w:val="24"/>
          <w:highlight w:val="none"/>
        </w:rPr>
        <w:t xml:space="preserve">。</w:t>
      </w:r>
      <w:r/>
    </w:p>
    <w:p>
      <w:pPr>
        <w:numPr>
          <w:ilvl w:val="0"/>
          <w:numId w:val="3"/>
        </w:numPr>
        <w:spacing w:line="360" w:lineRule="auto"/>
        <w:tabs>
          <w:tab w:val="left" w:pos="0" w:leader="none"/>
          <w:tab w:val="left" w:pos="255" w:leader="none"/>
        </w:tabs>
        <w:rPr>
          <w:rFonts w:hint="eastAsia" w:ascii="宋体" w:hAnsi="宋体"/>
          <w:b/>
          <w:bCs/>
          <w:color w:val="000000"/>
          <w:sz w:val="24"/>
          <w:szCs w:val="24"/>
          <w:highlight w:val="none"/>
        </w:rPr>
      </w:pPr>
      <w:r/>
      <w:bookmarkStart w:id="21" w:name="OLE_LINK51"/>
      <w:r/>
      <w:bookmarkStart w:id="22" w:name="OLE_LINK92"/>
      <w:r/>
      <w:bookmarkStart w:id="23" w:name="OLE_LINK114"/>
      <w:r>
        <w:rPr>
          <w:rFonts w:hint="eastAsia" w:ascii="宋体" w:hAnsi="宋体"/>
          <w:b/>
          <w:bCs/>
          <w:color w:val="000000"/>
          <w:sz w:val="24"/>
          <w:szCs w:val="24"/>
          <w:highlight w:val="none"/>
          <w:lang w:val="zh-CN"/>
        </w:rPr>
        <w:t xml:space="preserve">开标一览表</w:t>
      </w:r>
      <w:r/>
    </w:p>
    <w:p>
      <w:pPr>
        <w:numPr>
          <w:ilvl w:val="0"/>
          <w:numId w:val="3"/>
        </w:numPr>
        <w:spacing w:line="360" w:lineRule="auto"/>
        <w:tabs>
          <w:tab w:val="left" w:pos="0" w:leader="none"/>
          <w:tab w:val="left" w:pos="255"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资格条件</w:t>
      </w:r>
      <w:r/>
    </w:p>
    <w:p>
      <w:pPr>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关于资格的声明函；</w:t>
      </w:r>
      <w:r/>
    </w:p>
    <w:p>
      <w:pPr>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被授权代表身份证明</w:t>
      </w:r>
      <w:r>
        <w:rPr>
          <w:rFonts w:hint="eastAsia" w:ascii="宋体" w:hAnsi="宋体"/>
          <w:b/>
          <w:color w:val="000000"/>
          <w:sz w:val="24"/>
          <w:szCs w:val="24"/>
          <w:highlight w:val="none"/>
        </w:rPr>
        <w:t xml:space="preserve">1：</w:t>
      </w:r>
      <w:r>
        <w:rPr>
          <w:rFonts w:hint="eastAsia" w:ascii="宋体" w:hAnsi="宋体"/>
          <w:bCs/>
          <w:color w:val="000000"/>
          <w:sz w:val="24"/>
          <w:szCs w:val="24"/>
          <w:highlight w:val="none"/>
          <w:lang w:val="zh-CN"/>
        </w:rPr>
        <w:t xml:space="preserve">投标人法定代表人授权委托书（法定代表人亲自参加的除外）；</w:t>
      </w:r>
      <w:r/>
    </w:p>
    <w:p>
      <w:pPr>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被授权代表身份证明</w:t>
      </w:r>
      <w:r>
        <w:rPr>
          <w:rFonts w:hint="eastAsia" w:ascii="宋体" w:hAnsi="宋体"/>
          <w:b/>
          <w:color w:val="000000"/>
          <w:sz w:val="24"/>
          <w:szCs w:val="24"/>
          <w:highlight w:val="none"/>
        </w:rPr>
        <w:t xml:space="preserve">2：</w:t>
      </w:r>
      <w:r>
        <w:rPr>
          <w:rFonts w:hint="eastAsia" w:ascii="宋体" w:hAnsi="宋体"/>
          <w:bCs/>
          <w:color w:val="000000"/>
          <w:sz w:val="24"/>
          <w:szCs w:val="24"/>
          <w:highlight w:val="none"/>
          <w:lang w:val="zh-CN"/>
        </w:rPr>
        <w:t xml:space="preserve">投标人为本项目被授权代表在近十二个月内连续六个月缴纳的社保证明复印件（提供相关主管部门证明或银行代扣证明，法定代表人亲自参加的除外）；</w:t>
      </w:r>
      <w:r/>
    </w:p>
    <w:p>
      <w:pPr>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投标人为法人或其他组织的提供营业执照或法人（登记）证书复印件，投标人为自然人的提供自然人身份证复印件；</w:t>
      </w:r>
      <w:r/>
    </w:p>
    <w:p>
      <w:pPr>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复印件；</w:t>
      </w:r>
      <w:r/>
    </w:p>
    <w:p>
      <w:pPr>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投标人依法缴纳近十二个月中任意一个月份税收的相关材料（提供相关主管部门证明或银行代扣证明）复印件；</w:t>
      </w:r>
      <w:r/>
    </w:p>
    <w:p>
      <w:pPr>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投标人依法缴纳近十二个月中任意一个月份社会保障资金的相关材料（提供相关主管部门证明或银行代扣证明）复印件；</w:t>
      </w:r>
      <w:r/>
    </w:p>
    <w:p>
      <w:pPr>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rPr>
        <w:t xml:space="preserve">无不良信用记录：</w:t>
      </w:r>
      <w:r>
        <w:rPr>
          <w:rFonts w:hint="eastAsia" w:ascii="宋体" w:hAnsi="宋体"/>
          <w:bCs/>
          <w:color w:val="000000"/>
          <w:sz w:val="24"/>
          <w:szCs w:val="24"/>
          <w:highlight w:val="none"/>
        </w:rPr>
        <w:t xml:space="preserve">未被“</w:t>
      </w:r>
      <w:r>
        <w:rPr>
          <w:rFonts w:hint="eastAsia" w:ascii="宋体" w:hAnsi="宋体"/>
          <w:bCs/>
          <w:color w:val="000000"/>
          <w:sz w:val="24"/>
          <w:szCs w:val="24"/>
          <w:highlight w:val="none"/>
          <w:lang w:val="zh-CN"/>
        </w:rPr>
        <w:t xml:space="preserve">信用中国</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（www.creditchina.gov.cn）</w:t>
      </w:r>
      <w:r>
        <w:rPr>
          <w:rFonts w:hint="eastAsia" w:ascii="宋体" w:hAnsi="宋体"/>
          <w:bCs/>
          <w:color w:val="000000"/>
          <w:sz w:val="24"/>
          <w:szCs w:val="24"/>
          <w:highlight w:val="none"/>
          <w:lang w:val="zh-CN"/>
        </w:rPr>
        <w:t xml:space="preserve">列入失信执行人、重大税收违法案件当事人名单、政府采购严重违法失信名单</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或未在</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中国政府采购网</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val="zh-CN"/>
        </w:rPr>
        <w:t xml:space="preserve">被列入政府采购严重违法失信行为记录名单；</w:t>
      </w:r>
      <w:r>
        <w:rPr>
          <w:rFonts w:hint="eastAsia" w:ascii="宋体" w:hAnsi="宋体"/>
          <w:b/>
          <w:color w:val="000000"/>
          <w:sz w:val="24"/>
          <w:szCs w:val="24"/>
          <w:highlight w:val="none"/>
          <w:lang w:val="zh-CN"/>
        </w:rPr>
        <w:t xml:space="preserve">（</w:t>
      </w:r>
      <w:r>
        <w:rPr>
          <w:rFonts w:ascii="宋体" w:hAnsi="宋体"/>
          <w:b/>
          <w:color w:val="000000"/>
          <w:sz w:val="24"/>
          <w:szCs w:val="24"/>
          <w:highlight w:val="none"/>
        </w:rPr>
        <w:t xml:space="preserve">若投标人企业信息已录入以上网站的，</w:t>
      </w:r>
      <w:r>
        <w:rPr>
          <w:rFonts w:hint="eastAsia" w:ascii="宋体" w:hAnsi="宋体"/>
          <w:b/>
          <w:color w:val="000000"/>
          <w:sz w:val="24"/>
          <w:szCs w:val="24"/>
          <w:highlight w:val="none"/>
          <w:lang w:val="zh-CN"/>
        </w:rPr>
        <w:t xml:space="preserve">无需提供相关证明材料</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若投标人企业信息</w:t>
      </w:r>
      <w:r>
        <w:rPr>
          <w:rFonts w:ascii="宋体" w:hAnsi="宋体"/>
          <w:b/>
          <w:color w:val="000000"/>
          <w:sz w:val="24"/>
          <w:szCs w:val="24"/>
          <w:highlight w:val="none"/>
        </w:rPr>
        <w:t xml:space="preserve">未</w:t>
      </w:r>
      <w:r>
        <w:rPr>
          <w:rFonts w:hint="eastAsia" w:ascii="宋体" w:hAnsi="宋体"/>
          <w:b/>
          <w:color w:val="000000"/>
          <w:sz w:val="24"/>
          <w:szCs w:val="24"/>
          <w:highlight w:val="none"/>
        </w:rPr>
        <w:t xml:space="preserve">录入以上网站的，须在投标文件中提供</w:t>
      </w:r>
      <w:r>
        <w:rPr>
          <w:rFonts w:ascii="宋体" w:hAnsi="宋体"/>
          <w:b/>
          <w:color w:val="000000"/>
          <w:sz w:val="24"/>
          <w:szCs w:val="24"/>
          <w:highlight w:val="none"/>
        </w:rPr>
        <w:t xml:space="preserve">无不良信用记录</w:t>
      </w:r>
      <w:r>
        <w:rPr>
          <w:rFonts w:hint="eastAsia" w:ascii="宋体" w:hAnsi="宋体"/>
          <w:b/>
          <w:color w:val="000000"/>
          <w:sz w:val="24"/>
          <w:szCs w:val="24"/>
          <w:highlight w:val="none"/>
        </w:rPr>
        <w:t xml:space="preserve">承诺</w:t>
      </w:r>
      <w:r>
        <w:rPr>
          <w:rFonts w:ascii="宋体" w:hAnsi="宋体"/>
          <w:b/>
          <w:color w:val="000000"/>
          <w:sz w:val="24"/>
          <w:szCs w:val="24"/>
          <w:highlight w:val="none"/>
        </w:rPr>
        <w:t xml:space="preserve">书</w:t>
      </w:r>
      <w:r>
        <w:rPr>
          <w:rFonts w:hint="eastAsia" w:ascii="宋体" w:hAnsi="宋体"/>
          <w:b/>
          <w:color w:val="000000"/>
          <w:sz w:val="24"/>
          <w:szCs w:val="24"/>
          <w:highlight w:val="none"/>
          <w:lang w:val="zh-CN"/>
        </w:rPr>
        <w:t xml:space="preserve">）</w:t>
      </w:r>
      <w:r/>
    </w:p>
    <w:p>
      <w:pPr>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：如专门面向中小企业采购的，供应商应提供有效的《中小企业声明函》或《残疾人福利性单位声明函》或监狱企业的证明文件，否则此处无需提供；</w:t>
      </w:r>
      <w:r/>
    </w:p>
    <w:p>
      <w:pPr>
        <w:numPr>
          <w:ilvl w:val="0"/>
          <w:numId w:val="4"/>
        </w:numPr>
        <w:ind w:firstLine="482"/>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b/>
          <w:color w:val="000000"/>
          <w:sz w:val="24"/>
          <w:szCs w:val="24"/>
          <w:highlight w:val="none"/>
          <w:lang w:val="zh-CN"/>
        </w:rPr>
        <w:t xml:space="preserve">本项目的特定资格要求：</w:t>
      </w:r>
      <w:r>
        <w:rPr>
          <w:rFonts w:hint="eastAsia" w:ascii="宋体" w:hAnsi="宋体"/>
          <w:b/>
          <w:color w:val="000000"/>
          <w:sz w:val="24"/>
          <w:szCs w:val="24"/>
          <w:highlight w:val="none"/>
          <w:lang w:val="en-US" w:eastAsia="zh-CN"/>
        </w:rPr>
        <w:t xml:space="preserve">无。</w:t>
      </w:r>
      <w:r/>
    </w:p>
    <w:p>
      <w:pPr>
        <w:ind w:firstLine="480"/>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注：以上近六个月、近十二个月是从提交投标文件截止日向前推算（不含投标文件提交截止当月）；</w:t>
      </w:r>
      <w:bookmarkStart w:id="24"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24"/>
      <w:r>
        <w:rPr>
          <w:rFonts w:hint="eastAsia" w:ascii="宋体" w:hAnsi="宋体"/>
          <w:bCs/>
          <w:color w:val="000000"/>
          <w:sz w:val="24"/>
          <w:szCs w:val="24"/>
          <w:highlight w:val="none"/>
        </w:rPr>
        <w:t xml:space="preserve">前三年是从提交投标文件截止日（含）向前推算，一年按365天计</w:t>
      </w:r>
      <w:r>
        <w:rPr>
          <w:rFonts w:hint="eastAsia" w:ascii="宋体" w:hAnsi="宋体"/>
          <w:color w:val="000000"/>
          <w:sz w:val="24"/>
          <w:szCs w:val="24"/>
          <w:highlight w:val="none"/>
        </w:rPr>
        <w:t xml:space="preserve">。</w:t>
      </w:r>
      <w:r/>
    </w:p>
    <w:p>
      <w:pPr>
        <w:ind w:firstLine="480"/>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（3）符合条件</w:t>
      </w:r>
      <w:r/>
    </w:p>
    <w:p>
      <w:pPr>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zh-CN"/>
        </w:rPr>
        <w:t xml:space="preserve">①投标函</w:t>
      </w:r>
      <w:r/>
    </w:p>
    <w:p>
      <w:pPr>
        <w:ind w:firstLine="480"/>
        <w:jc w:val="left"/>
        <w:spacing w:line="360" w:lineRule="auto"/>
        <w:tabs>
          <w:tab w:val="left" w:pos="0" w:leader="none"/>
          <w:tab w:val="left" w:pos="255" w:leader="none"/>
        </w:tabs>
        <w:rPr>
          <w:color w:val="000000"/>
          <w:highlight w:val="none"/>
        </w:rPr>
      </w:pPr>
      <w:r>
        <w:rPr>
          <w:rFonts w:hint="eastAsia" w:ascii="宋体" w:hAnsi="宋体"/>
          <w:bCs/>
          <w:color w:val="000000"/>
          <w:sz w:val="24"/>
          <w:szCs w:val="24"/>
          <w:highlight w:val="none"/>
          <w:lang w:val="zh-CN"/>
        </w:rPr>
        <w:t xml:space="preserve">②明细报价表</w:t>
      </w:r>
      <w:r/>
    </w:p>
    <w:p>
      <w:pPr>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zh-CN"/>
        </w:rPr>
        <w:t xml:space="preserve">③项目技术要求偏离表</w:t>
      </w:r>
      <w:r/>
    </w:p>
    <w:p>
      <w:pPr>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④</w:t>
      </w:r>
      <w:r>
        <w:rPr>
          <w:rFonts w:hint="eastAsia" w:ascii="宋体" w:hAnsi="宋体"/>
          <w:color w:val="000000"/>
          <w:sz w:val="24"/>
          <w:szCs w:val="21"/>
          <w:highlight w:val="none"/>
          <w:lang w:val="zh-CN"/>
        </w:rPr>
        <w:t xml:space="preserve">技术商务部分评分导读表</w:t>
      </w:r>
      <w:r/>
    </w:p>
    <w:p>
      <w:pPr>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⑤</w:t>
      </w:r>
      <w:r>
        <w:rPr>
          <w:rFonts w:hint="eastAsia" w:ascii="宋体" w:hAnsi="宋体"/>
          <w:color w:val="000000"/>
          <w:sz w:val="24"/>
          <w:szCs w:val="21"/>
          <w:highlight w:val="none"/>
          <w:lang w:val="zh-CN"/>
        </w:rPr>
        <w:t xml:space="preserve">项目人员配置清单</w:t>
      </w:r>
      <w:r/>
    </w:p>
    <w:p>
      <w:pPr>
        <w:ind w:left="420"/>
        <w:jc w:val="left"/>
        <w:spacing w:line="360" w:lineRule="auto"/>
        <w:tabs>
          <w:tab w:val="left" w:pos="0" w:leader="none"/>
          <w:tab w:val="left" w:pos="255" w:leader="none"/>
        </w:tabs>
        <w:rPr>
          <w:rFonts w:ascii="宋体" w:hAnsi="宋体"/>
          <w:b/>
          <w:color w:val="000000"/>
          <w:sz w:val="24"/>
          <w:szCs w:val="24"/>
          <w:highlight w:val="none"/>
        </w:rPr>
      </w:pPr>
      <w:r>
        <w:rPr>
          <w:rFonts w:hint="eastAsia" w:ascii="宋体" w:hAnsi="宋体"/>
          <w:color w:val="000000"/>
          <w:sz w:val="24"/>
          <w:szCs w:val="21"/>
          <w:highlight w:val="none"/>
        </w:rPr>
        <w:t xml:space="preserve">（4）</w:t>
      </w:r>
      <w:r>
        <w:rPr>
          <w:rFonts w:hint="eastAsia" w:ascii="宋体" w:hAnsi="宋体"/>
          <w:b/>
          <w:color w:val="000000"/>
          <w:sz w:val="24"/>
          <w:szCs w:val="24"/>
          <w:highlight w:val="none"/>
        </w:rPr>
        <w:t xml:space="preserve">价格折扣文件</w:t>
      </w:r>
      <w:r/>
    </w:p>
    <w:p>
      <w:pPr>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5）</w:t>
      </w:r>
      <w:r>
        <w:rPr>
          <w:rFonts w:hint="eastAsia" w:ascii="宋体" w:hAnsi="宋体"/>
          <w:color w:val="000000"/>
          <w:sz w:val="24"/>
          <w:szCs w:val="21"/>
          <w:highlight w:val="none"/>
        </w:rPr>
        <w:t xml:space="preserve">其他相关材料</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上述（2）和（3）内容供应商应按要求提供有效证明材料，否则报价无效，相关材料格式见“第六章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被授权代表授权委托书及社保证明的，视为供应商法定代表人亲自参加。</w:t>
      </w:r>
      <w:r>
        <w:rPr>
          <w:rFonts w:hint="eastAsia" w:ascii="宋体" w:hAnsi="宋体"/>
          <w:bCs/>
          <w:color w:val="000000"/>
          <w:sz w:val="24"/>
          <w:szCs w:val="24"/>
          <w:highlight w:val="none"/>
        </w:rPr>
        <w:t xml:space="preserve">如上述资格证明文件遇年检、换证，则必须提供法定年检、换证单位出具的有效证明。</w:t>
      </w:r>
      <w:r>
        <w:rPr>
          <w:rFonts w:hint="eastAsia" w:ascii="宋体" w:hAnsi="宋体"/>
          <w:bCs/>
          <w:color w:val="000000"/>
          <w:sz w:val="24"/>
          <w:szCs w:val="24"/>
          <w:highlight w:val="none"/>
          <w:lang w:val="zh-CN"/>
        </w:rPr>
        <w:t xml:space="preserve">具有良好的商业信誉和健全的财务会计制度仅针对供应商为非自然人。</w:t>
      </w:r>
      <w:r>
        <w:rPr>
          <w:rFonts w:hint="eastAsia" w:ascii="宋体" w:hAnsi="宋体"/>
          <w:bCs/>
          <w:color w:val="000000"/>
          <w:sz w:val="24"/>
          <w:szCs w:val="24"/>
          <w:highlight w:val="none"/>
        </w:rPr>
        <w:t xml:space="preserve">如上述“（2）资格条件”第③、</w:t>
      </w:r>
      <w:r>
        <w:rPr>
          <w:rFonts w:hint="eastAsia" w:ascii="宋体" w:hAnsi="宋体"/>
          <w:bCs/>
          <w:color w:val="000000"/>
          <w:sz w:val="24"/>
          <w:szCs w:val="24"/>
          <w:highlight w:val="none"/>
        </w:rPr>
        <w:t xml:space="preserve">⑥、⑦项，依法免税或不需要缴纳社会保障资金的供应商，须在投标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投标文件资料，不同采购包的投标文件资料不得混用且不作为评审依据。供应商在投标文件中提交的以人事代理、控股子公司等代收代缴形式缴纳社保的证明，属于无效证明文件。</w:t>
      </w:r>
      <w:bookmarkEnd w:id="18"/>
      <w:r/>
      <w:bookmarkEnd w:id="19"/>
      <w:r/>
      <w:bookmarkEnd w:id="21"/>
      <w:r/>
      <w:bookmarkEnd w:id="22"/>
      <w:r/>
      <w:bookmarkEnd w:id="23"/>
      <w:r/>
      <w:r/>
    </w:p>
    <w:p>
      <w:pPr>
        <w:ind w:firstLine="482"/>
        <w:spacing w:line="360" w:lineRule="auto"/>
        <w:rPr>
          <w:rFonts w:hint="eastAsia" w:ascii="宋体" w:hAnsi="宋体"/>
          <w:b/>
          <w:color w:val="000000"/>
          <w:sz w:val="24"/>
          <w:szCs w:val="24"/>
          <w:highlight w:val="none"/>
        </w:rPr>
      </w:pPr>
      <w:r/>
      <w:bookmarkStart w:id="25" w:name="OLE_LINK219"/>
      <w:r/>
      <w:bookmarkStart w:id="26" w:name="OLE_LINK93"/>
      <w:r>
        <w:rPr>
          <w:rFonts w:hint="eastAsia" w:ascii="宋体" w:hAnsi="宋体"/>
          <w:b/>
          <w:color w:val="000000"/>
          <w:sz w:val="24"/>
          <w:szCs w:val="24"/>
          <w:highlight w:val="none"/>
        </w:rPr>
        <w:t xml:space="preserve">10、</w:t>
      </w:r>
      <w:bookmarkStart w:id="27" w:name="_Toc2248"/>
      <w:r/>
      <w:bookmarkStart w:id="28" w:name="_Toc19624"/>
      <w:r/>
      <w:bookmarkStart w:id="29" w:name="_Toc23231"/>
      <w:r/>
      <w:bookmarkStart w:id="30" w:name="_Toc520356155"/>
      <w:r/>
      <w:bookmarkStart w:id="31" w:name="_Toc515647770"/>
      <w:r>
        <w:rPr>
          <w:rFonts w:hint="eastAsia" w:ascii="宋体" w:hAnsi="宋体"/>
          <w:b/>
          <w:color w:val="000000"/>
          <w:sz w:val="24"/>
          <w:szCs w:val="24"/>
          <w:highlight w:val="none"/>
        </w:rPr>
        <w:t xml:space="preserve">投标报价</w:t>
      </w:r>
      <w:bookmarkEnd w:id="27"/>
      <w:r/>
      <w:bookmarkEnd w:id="28"/>
      <w:r/>
      <w:bookmarkEnd w:id="29"/>
      <w:r/>
      <w:bookmarkEnd w:id="30"/>
      <w:r/>
      <w:bookmarkEnd w:id="31"/>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32" w:name="OLE_LINK204"/>
      <w:r>
        <w:rPr>
          <w:rFonts w:hint="eastAsia" w:ascii="宋体" w:hAnsi="宋体"/>
          <w:bCs/>
          <w:color w:val="000000"/>
          <w:sz w:val="24"/>
          <w:szCs w:val="24"/>
          <w:highlight w:val="none"/>
          <w:lang w:val="zh-CN"/>
        </w:rPr>
        <w:t xml:space="preserve">。</w:t>
      </w:r>
      <w:bookmarkEnd w:id="32"/>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10.2 投标报价应包含完成本服务项目发生的所有含税费用、支付给员工的工资和国家强制缴纳的各种社会保障资金，以及投标人认为需要的其他费用等。</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每种服务及货物只能有一个投标报价。采购人不接受具有附加条件的报价。</w:t>
      </w:r>
      <w:bookmarkEnd w:id="25"/>
      <w:r/>
      <w:bookmarkEnd w:id="26"/>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11、投标文件的制作及密封</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11.1</w:t>
      </w:r>
      <w:bookmarkStart w:id="33" w:name="OLE_LINK203"/>
      <w:r>
        <w:rPr>
          <w:rFonts w:hint="eastAsia" w:ascii="宋体" w:hAnsi="宋体"/>
          <w:bCs/>
          <w:color w:val="000000"/>
          <w:sz w:val="24"/>
          <w:szCs w:val="24"/>
          <w:highlight w:val="none"/>
        </w:rPr>
        <w:t xml:space="preserve"> </w:t>
      </w:r>
      <w:bookmarkEnd w:id="33"/>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11.2 </w:t>
      </w:r>
      <w:r>
        <w:rPr>
          <w:rFonts w:hint="eastAsia" w:ascii="宋体" w:hAnsi="宋体"/>
          <w:bCs/>
          <w:color w:val="000000"/>
          <w:sz w:val="24"/>
          <w:szCs w:val="24"/>
          <w:highlight w:val="none"/>
          <w:lang w:val="zh-CN"/>
        </w:rPr>
        <w:t xml:space="preserve">投标人所使用的计量单位应为国家法定计量单位。</w:t>
      </w:r>
      <w:r/>
    </w:p>
    <w:p>
      <w:pPr>
        <w:ind w:firstLine="480"/>
        <w:spacing w:line="360" w:lineRule="auto"/>
        <w:rPr>
          <w:rFonts w:hint="eastAsia" w:ascii="宋体" w:hAnsi="宋体"/>
          <w:bCs/>
          <w:color w:val="000000"/>
          <w:sz w:val="24"/>
          <w:szCs w:val="24"/>
          <w:highlight w:val="none"/>
        </w:rPr>
      </w:pPr>
      <w:r/>
      <w:bookmarkStart w:id="34" w:name="OLE_LINK94"/>
      <w:r>
        <w:rPr>
          <w:rFonts w:hint="eastAsia" w:ascii="宋体" w:hAnsi="宋体"/>
          <w:bCs/>
          <w:color w:val="000000"/>
          <w:sz w:val="24"/>
          <w:szCs w:val="24"/>
          <w:highlight w:val="none"/>
        </w:rPr>
        <w:t xml:space="preserve">11.3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w:t>
      </w:r>
      <w:bookmarkStart w:id="35" w:name="OLE_LINK119"/>
      <w:r>
        <w:rPr>
          <w:rFonts w:hint="eastAsia" w:ascii="宋体" w:hAnsi="宋体"/>
          <w:bCs/>
          <w:color w:val="000000"/>
          <w:sz w:val="24"/>
          <w:szCs w:val="24"/>
          <w:highlight w:val="none"/>
          <w:lang w:val="zh-CN"/>
        </w:rPr>
        <w:t xml:space="preserve">则视同</w:t>
      </w:r>
      <w:r>
        <w:rPr>
          <w:rFonts w:hint="eastAsia" w:ascii="宋体" w:hAnsi="宋体"/>
          <w:bCs/>
          <w:color w:val="000000"/>
          <w:sz w:val="24"/>
          <w:szCs w:val="24"/>
          <w:highlight w:val="none"/>
        </w:rPr>
        <w:t xml:space="preserve">投标人</w:t>
      </w:r>
      <w:bookmarkStart w:id="36" w:name="OLE_LINK225"/>
      <w:r>
        <w:rPr>
          <w:rFonts w:hint="eastAsia" w:ascii="宋体" w:hAnsi="宋体"/>
          <w:bCs/>
          <w:color w:val="000000"/>
          <w:sz w:val="24"/>
          <w:szCs w:val="24"/>
          <w:highlight w:val="none"/>
        </w:rPr>
        <w:t xml:space="preserve">承诺实质性响应</w:t>
      </w:r>
      <w:bookmarkEnd w:id="36"/>
      <w:r>
        <w:rPr>
          <w:rFonts w:hint="eastAsia" w:ascii="宋体" w:hAnsi="宋体"/>
          <w:bCs/>
          <w:color w:val="000000"/>
          <w:sz w:val="24"/>
          <w:szCs w:val="24"/>
          <w:highlight w:val="none"/>
        </w:rPr>
        <w:t xml:space="preserve">招标文件的要求。</w:t>
      </w:r>
      <w:bookmarkEnd w:id="3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11.4 </w:t>
      </w:r>
      <w:r>
        <w:rPr>
          <w:rFonts w:hint="eastAsia" w:ascii="宋体" w:hAnsi="宋体"/>
          <w:bCs/>
          <w:color w:val="000000"/>
          <w:sz w:val="24"/>
          <w:szCs w:val="24"/>
          <w:highlight w:val="none"/>
          <w:lang w:val="zh-CN"/>
        </w:rPr>
        <w:t xml:space="preserve">不因投标文件的装订、纸张、文件排序等非实质性的格式、形式而否决响应。本招标文件中要求提供相关证明材料的，原则上供应商在投标文件中提交相关证明材料原件扫描件,若供应商无法提供原件扫描件的，可以以电子照片、截图等其他方式提供。无论以何种方式提供的证明材料，彩色、黑白均认可，但必须保证证明材料的清晰完整、真实有效，</w:t>
      </w:r>
      <w:bookmarkStart w:id="37" w:name="_Hlk166503004"/>
      <w:r/>
      <w:bookmarkStart w:id="38" w:name="_Hlk160719877"/>
      <w:r>
        <w:rPr>
          <w:rFonts w:hint="eastAsia" w:ascii="宋体" w:hAnsi="宋体"/>
          <w:bCs/>
          <w:color w:val="000000"/>
          <w:sz w:val="24"/>
          <w:szCs w:val="24"/>
          <w:highlight w:val="none"/>
          <w:lang w:val="zh-CN"/>
        </w:rPr>
        <w:t xml:space="preserve">否则由供应商自行承担证明材料被判定为无效的风险。供应商提供的相关材料中的相关名称、表述等与采购需求、评审标准不一致，评审小组认为其实质相同的视作等同。</w:t>
      </w:r>
      <w:bookmarkEnd w:id="37"/>
      <w:r>
        <w:rPr>
          <w:rFonts w:hint="eastAsia" w:ascii="宋体" w:hAnsi="宋体"/>
          <w:bCs/>
          <w:color w:val="000000"/>
          <w:sz w:val="24"/>
          <w:szCs w:val="24"/>
          <w:highlight w:val="none"/>
          <w:lang w:val="zh-CN"/>
        </w:rPr>
        <w:t xml:space="preserve">若供应商提交的投标文件格式与招标文件中的不一致，但必要的评审所需信息不影响评审判断的，视为符合要求，否则报价无效。</w:t>
      </w:r>
      <w:bookmarkEnd w:id="38"/>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11.5供应商提交的投标文件中加盖的公章，均视为经供应商法定代表人同意或授权。</w:t>
      </w:r>
      <w:r/>
    </w:p>
    <w:p>
      <w:pPr>
        <w:ind w:left="478"/>
        <w:spacing w:line="360" w:lineRule="auto"/>
        <w:rPr>
          <w:rFonts w:hint="eastAsia" w:ascii="宋体" w:hAnsi="宋体" w:eastAsia="宋体"/>
          <w:b/>
          <w:bCs/>
          <w:color w:val="000000"/>
          <w:sz w:val="24"/>
          <w:szCs w:val="24"/>
          <w:highlight w:val="none"/>
        </w:rPr>
      </w:pPr>
      <w:r>
        <w:rPr>
          <w:rFonts w:hint="eastAsia" w:ascii="宋体" w:hAnsi="宋体"/>
          <w:b/>
          <w:color w:val="000000"/>
          <w:sz w:val="24"/>
          <w:szCs w:val="24"/>
          <w:highlight w:val="none"/>
        </w:rPr>
        <w:t xml:space="preserve">12、</w:t>
      </w:r>
      <w:bookmarkStart w:id="39" w:name="_Hlk131926146"/>
      <w:r>
        <w:rPr>
          <w:rFonts w:hint="eastAsia" w:ascii="宋体" w:hAnsi="宋体"/>
          <w:b/>
          <w:color w:val="000000"/>
          <w:sz w:val="24"/>
          <w:szCs w:val="24"/>
          <w:highlight w:val="none"/>
        </w:rPr>
        <w:t xml:space="preserve">电子</w:t>
      </w:r>
      <w:bookmarkEnd w:id="39"/>
      <w:r>
        <w:rPr>
          <w:rFonts w:hint="eastAsia" w:ascii="宋体" w:hAnsi="宋体"/>
          <w:b/>
          <w:color w:val="000000"/>
          <w:sz w:val="24"/>
          <w:szCs w:val="24"/>
          <w:highlight w:val="none"/>
          <w:lang w:eastAsia="zh-CN"/>
        </w:rPr>
        <w:t xml:space="preserve">投标文件</w:t>
      </w:r>
      <w:r/>
    </w:p>
    <w:p>
      <w:pPr>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12.1 供应商应通过投标文件制作软件使用数字认证证书对投标文件进行合成、电子电子签章及加密打包，并在招标文件规定的截止时间前，通过招标文件编制软件或登录“苏采云”系统在规定时间内完成提交，时间以电子交易平台时间为准。具体流程如下：将后缀名为“.kedt”的招标文件导入政府采购客户端工具--制作投标文件--导出加密的投标文件(后缀名为zip) --通过“苏采云”系统上传投标文件。（详见《江苏省政府采购交易系统（苏采云）供应商操作手册》）</w:t>
      </w:r>
      <w:r/>
    </w:p>
    <w:p>
      <w:pPr>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12.2 截止时间以后传输的投标文件，“苏采云”平台将拒绝接收。供应商应充分考虑网络环境、网络带宽等风险因素。 </w:t>
      </w:r>
      <w:r/>
    </w:p>
    <w:p>
      <w:pPr>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12.3 提交完成后至解密前，供应商不能对加密投标文件时所使用的数字认证证书进行更新、续费，否则可能引起的投标文件解密失败等相关后果由供应商自行承担（友情提示：若供应商已领取副锁（含多把副锁）请注意正副锁的使用差别）。 </w:t>
      </w:r>
      <w:r/>
    </w:p>
    <w:p>
      <w:pPr>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12.4 因不可抗力事件造成的（线上、线下）投标文件的损坏、丢失的，采购代理不承担责任。 </w:t>
      </w:r>
      <w:r/>
    </w:p>
    <w:p>
      <w:pPr>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13、投标文件的拒收：</w:t>
      </w:r>
      <w:r>
        <w:rPr>
          <w:rFonts w:hint="eastAsia" w:ascii="宋体" w:hAnsi="宋体"/>
          <w:bCs/>
          <w:color w:val="000000"/>
          <w:sz w:val="24"/>
          <w:szCs w:val="24"/>
          <w:highlight w:val="none"/>
          <w:lang w:val="zh-CN"/>
        </w:rPr>
        <w:t xml:space="preserve">在招标文件要求的提交截止时间之后提交的投标文件和招标文件规定拒收情形的将被拒收。</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14、投标文件的真实性</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14.1 投标人（含中标供应商）应对其投标文件中提供的所有材料的真实性负责。</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14.2 如</w:t>
      </w:r>
      <w:bookmarkStart w:id="40" w:name="OLE_LINK45"/>
      <w:r>
        <w:rPr>
          <w:rFonts w:hint="eastAsia" w:ascii="宋体" w:hAnsi="宋体"/>
          <w:color w:val="000000"/>
          <w:sz w:val="24"/>
          <w:szCs w:val="28"/>
          <w:highlight w:val="none"/>
        </w:rPr>
        <w:t xml:space="preserve">采购人、</w:t>
      </w:r>
      <w:bookmarkEnd w:id="40"/>
      <w:r>
        <w:rPr>
          <w:rFonts w:hint="eastAsia" w:ascii="宋体" w:hAnsi="宋体"/>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p>
    <w:p>
      <w:pPr>
        <w:ind w:left="1" w:firstLine="480"/>
        <w:jc w:val="left"/>
        <w:spacing w:line="360" w:lineRule="auto"/>
        <w:tabs>
          <w:tab w:val="left" w:pos="945" w:leader="none"/>
        </w:tabs>
        <w:rPr>
          <w:rFonts w:ascii="宋体" w:hAnsi="宋体"/>
          <w:b/>
          <w:color w:val="000000"/>
          <w:sz w:val="24"/>
          <w:szCs w:val="24"/>
          <w:highlight w:val="none"/>
        </w:rPr>
      </w:pPr>
      <w:r>
        <w:rPr>
          <w:rFonts w:hint="eastAsia" w:ascii="宋体" w:hAnsi="宋体"/>
          <w:b/>
          <w:color w:val="000000"/>
          <w:sz w:val="24"/>
          <w:szCs w:val="24"/>
          <w:highlight w:val="none"/>
          <w:lang w:val="zh-CN"/>
        </w:rPr>
        <w:t xml:space="preserve">15、投标文件的有效期</w:t>
      </w:r>
      <w:r/>
    </w:p>
    <w:p>
      <w:pPr>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投标文件的有效期为提交投标文件截止之日起的60天（含截止当日）。在特殊情况下，采购人、采购招标代理机构可与供应商协商延长投标文件的有效期。</w:t>
      </w:r>
      <w:r/>
    </w:p>
    <w:p>
      <w:pPr>
        <w:ind w:left="1" w:firstLine="480"/>
        <w:jc w:val="left"/>
        <w:spacing w:line="360" w:lineRule="auto"/>
        <w:tabs>
          <w:tab w:val="left" w:pos="945" w:leader="none"/>
        </w:tabs>
        <w:rPr>
          <w:rFonts w:ascii="宋体" w:hAnsi="宋体"/>
          <w:b/>
          <w:color w:val="000000"/>
          <w:sz w:val="24"/>
          <w:szCs w:val="24"/>
          <w:highlight w:val="none"/>
        </w:rPr>
      </w:pPr>
      <w:r>
        <w:rPr>
          <w:rFonts w:hint="eastAsia" w:ascii="宋体" w:hAnsi="宋体"/>
          <w:b/>
          <w:color w:val="000000"/>
          <w:sz w:val="24"/>
          <w:szCs w:val="24"/>
          <w:highlight w:val="none"/>
          <w:lang w:val="zh-CN"/>
        </w:rPr>
        <w:t xml:space="preserve">16、投标文件的退还</w:t>
      </w:r>
      <w:r/>
    </w:p>
    <w:p>
      <w:pPr>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16.1 </w:t>
      </w:r>
      <w:bookmarkStart w:id="41" w:name="OLE_LINK272"/>
      <w:r>
        <w:rPr>
          <w:rFonts w:hint="eastAsia" w:ascii="宋体" w:hAnsi="宋体"/>
          <w:bCs/>
          <w:color w:val="000000"/>
          <w:sz w:val="24"/>
          <w:szCs w:val="24"/>
          <w:highlight w:val="none"/>
          <w:lang w:val="zh-CN"/>
        </w:rPr>
        <w:t xml:space="preserve">提交投标文件截止时间</w:t>
      </w:r>
      <w:r>
        <w:rPr>
          <w:rFonts w:hint="eastAsia" w:ascii="宋体" w:hAnsi="宋体"/>
          <w:bCs/>
          <w:color w:val="000000"/>
          <w:sz w:val="24"/>
          <w:szCs w:val="24"/>
          <w:highlight w:val="none"/>
        </w:rPr>
        <w:t xml:space="preserve">后，采购人和</w:t>
      </w:r>
      <w:bookmarkEnd w:id="41"/>
      <w:r>
        <w:rPr>
          <w:rFonts w:hint="eastAsia" w:ascii="宋体" w:hAnsi="宋体"/>
          <w:bCs/>
          <w:color w:val="000000"/>
          <w:sz w:val="24"/>
          <w:szCs w:val="24"/>
          <w:highlight w:val="none"/>
        </w:rPr>
        <w:t xml:space="preserve">采购招标代理机构对所有供应商的投标文件一律不予退还。</w:t>
      </w:r>
      <w:bookmarkEnd w:id="34"/>
      <w:r/>
      <w:r/>
    </w:p>
    <w:p>
      <w:pPr>
        <w:ind w:firstLine="482"/>
        <w:spacing w:line="360" w:lineRule="auto"/>
        <w:rPr>
          <w:rFonts w:hint="eastAsia" w:ascii="宋体" w:hAnsi="宋体"/>
          <w:b/>
          <w:color w:val="000000"/>
          <w:sz w:val="24"/>
          <w:szCs w:val="24"/>
          <w:highlight w:val="none"/>
        </w:rPr>
      </w:pPr>
      <w:r/>
      <w:bookmarkStart w:id="42" w:name="OLE_LINK125"/>
      <w:r>
        <w:rPr>
          <w:rFonts w:hint="eastAsia" w:ascii="宋体" w:hAnsi="宋体"/>
          <w:b/>
          <w:color w:val="000000"/>
          <w:sz w:val="24"/>
          <w:szCs w:val="24"/>
          <w:highlight w:val="none"/>
        </w:rPr>
        <w:t xml:space="preserve">17、投标文件的</w:t>
      </w:r>
      <w:bookmarkStart w:id="43" w:name="OLE_LINK260"/>
      <w:r/>
      <w:bookmarkStart w:id="44" w:name="OLE_LINK273"/>
      <w:r>
        <w:rPr>
          <w:rFonts w:hint="eastAsia" w:ascii="宋体" w:hAnsi="宋体"/>
          <w:b/>
          <w:color w:val="000000"/>
          <w:sz w:val="24"/>
          <w:szCs w:val="24"/>
          <w:highlight w:val="none"/>
        </w:rPr>
        <w:t xml:space="preserve">补充、修改或者撤回</w:t>
      </w:r>
      <w:bookmarkEnd w:id="43"/>
      <w:r/>
      <w:r/>
    </w:p>
    <w:p>
      <w:pPr>
        <w:ind w:firstLine="480"/>
        <w:spacing w:line="360" w:lineRule="auto"/>
        <w:rPr>
          <w:rFonts w:hint="eastAsia" w:ascii="宋体" w:hAnsi="宋体"/>
          <w:bCs/>
          <w:color w:val="000000"/>
          <w:sz w:val="24"/>
          <w:szCs w:val="24"/>
          <w:highlight w:val="none"/>
        </w:rPr>
      </w:pPr>
      <w:r/>
      <w:bookmarkStart w:id="45" w:name="OLE_LINK221"/>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bookmarkEnd w:id="42"/>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17.2 </w:t>
      </w:r>
      <w:bookmarkEnd w:id="44"/>
      <w:r/>
      <w:bookmarkEnd w:id="45"/>
      <w:r>
        <w:rPr>
          <w:rFonts w:hint="eastAsia" w:ascii="宋体" w:hAnsi="宋体"/>
          <w:bCs/>
          <w:color w:val="000000"/>
          <w:sz w:val="24"/>
          <w:szCs w:val="24"/>
          <w:highlight w:val="none"/>
        </w:rPr>
        <w:t xml:space="preserve">在投标截止时间之后，采购人、采购代理机构、评标委员会不接受投标人主动对其投标文件做任何补充、修改。</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18、</w:t>
      </w:r>
      <w:r>
        <w:rPr>
          <w:rFonts w:hint="eastAsia" w:ascii="宋体" w:hAnsi="宋体"/>
          <w:b/>
          <w:color w:val="000000"/>
          <w:sz w:val="24"/>
          <w:szCs w:val="24"/>
          <w:highlight w:val="none"/>
          <w:lang w:val="zh-CN"/>
        </w:rPr>
        <w:t xml:space="preserve">无效投标的确认</w:t>
      </w:r>
      <w:r/>
    </w:p>
    <w:p>
      <w:pPr>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5"/>
        </w:numPr>
        <w:spacing w:line="360" w:lineRule="auto"/>
        <w:tabs>
          <w:tab w:val="left" w:pos="425" w:leader="none"/>
        </w:tabs>
        <w:rPr>
          <w:rFonts w:hint="eastAsia" w:ascii="宋体" w:hAnsi="宋体"/>
          <w:bCs/>
          <w:color w:val="000000"/>
          <w:sz w:val="24"/>
          <w:szCs w:val="24"/>
          <w:highlight w:val="none"/>
        </w:rPr>
      </w:pPr>
      <w:r/>
      <w:bookmarkStart w:id="46" w:name="OLE_LINK126"/>
      <w:r>
        <w:rPr>
          <w:rFonts w:hint="eastAsia" w:ascii="宋体" w:hAnsi="宋体" w:cs="宋体"/>
          <w:color w:val="000000"/>
          <w:sz w:val="24"/>
          <w:szCs w:val="24"/>
          <w:highlight w:val="none"/>
        </w:rPr>
        <w:t xml:space="preserve">投标文件未按招标文件给定格式如实填写（编写）的或未按要求签署、盖章的；</w:t>
      </w:r>
      <w:r/>
    </w:p>
    <w:p>
      <w:pPr>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不具备招标文件投标邀请函中“2.1投标人参加本次政府采购活动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投标文件中有招标文件未允许提供的选择性内容的</w:t>
      </w:r>
      <w:r>
        <w:rPr>
          <w:rFonts w:hint="eastAsia" w:ascii="宋体" w:hAnsi="宋体"/>
          <w:bCs/>
          <w:color w:val="000000"/>
          <w:sz w:val="24"/>
          <w:szCs w:val="24"/>
          <w:highlight w:val="none"/>
          <w:lang w:val="zh-CN"/>
        </w:rPr>
        <w:t xml:space="preserve">；</w:t>
      </w:r>
      <w:r/>
    </w:p>
    <w:p>
      <w:pPr>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投标文件含有采购人不能接受的附加条件的；</w:t>
      </w:r>
      <w:r/>
    </w:p>
    <w:p>
      <w:pPr>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报价</w:t>
      </w:r>
      <w:r>
        <w:rPr>
          <w:rFonts w:hint="eastAsia" w:ascii="宋体" w:hAnsi="宋体" w:cs="宋体"/>
          <w:color w:val="000000"/>
          <w:sz w:val="24"/>
          <w:szCs w:val="24"/>
          <w:highlight w:val="none"/>
        </w:rPr>
        <w:t xml:space="preserve">超过招标文件中规定的预算金额或者最高限价的</w:t>
      </w:r>
      <w:r>
        <w:rPr>
          <w:rFonts w:hint="eastAsia" w:ascii="宋体" w:hAnsi="宋体"/>
          <w:bCs/>
          <w:color w:val="000000"/>
          <w:sz w:val="24"/>
          <w:szCs w:val="24"/>
          <w:highlight w:val="none"/>
          <w:lang w:val="zh-CN"/>
        </w:rPr>
        <w:t xml:space="preserve">；</w:t>
      </w:r>
      <w:r/>
    </w:p>
    <w:p>
      <w:pPr>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投标文件报价</w:t>
      </w:r>
      <w:r>
        <w:rPr>
          <w:rFonts w:hint="eastAsia" w:ascii="宋体" w:hAnsi="宋体" w:cs="宋体"/>
          <w:color w:val="000000"/>
          <w:sz w:val="24"/>
          <w:szCs w:val="24"/>
          <w:highlight w:val="none"/>
        </w:rPr>
        <w:t xml:space="preserve">出现前后不一致，且投标人拒绝修正的；</w:t>
      </w:r>
      <w:r/>
    </w:p>
    <w:p>
      <w:pPr>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5"/>
        </w:numPr>
        <w:spacing w:line="360" w:lineRule="auto"/>
        <w:tabs>
          <w:tab w:val="left" w:pos="425" w:leader="none"/>
        </w:tabs>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属于投标邀请函2.3拒绝参加本次采购活动供应商的；</w:t>
      </w:r>
      <w:r/>
    </w:p>
    <w:p>
      <w:pPr>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与其他投标人串通投标的，包括但不限于以下几种情况：</w:t>
      </w:r>
      <w:r/>
    </w:p>
    <w:p>
      <w:pPr>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不同投标人委托同一单位或者个人办理投标事宜</w:t>
      </w:r>
      <w:r>
        <w:rPr>
          <w:rFonts w:hint="eastAsia" w:ascii="宋体" w:hAnsi="宋体"/>
          <w:bCs/>
          <w:color w:val="000000"/>
          <w:sz w:val="24"/>
          <w:szCs w:val="24"/>
          <w:highlight w:val="none"/>
          <w:lang w:val="zh-CN"/>
        </w:rPr>
        <w:t xml:space="preserve">；</w:t>
      </w:r>
      <w:r/>
    </w:p>
    <w:p>
      <w:pPr>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不同投标人的投标文件异常一致或者投标报价呈规律性差异</w:t>
      </w:r>
      <w:r>
        <w:rPr>
          <w:rFonts w:hint="eastAsia" w:ascii="宋体" w:hAnsi="宋体"/>
          <w:bCs/>
          <w:color w:val="000000"/>
          <w:sz w:val="24"/>
          <w:szCs w:val="24"/>
          <w:highlight w:val="none"/>
          <w:lang w:val="zh-CN"/>
        </w:rPr>
        <w:t xml:space="preserve">；</w:t>
      </w:r>
      <w:r/>
    </w:p>
    <w:p>
      <w:pPr>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不同投标人的投标文件相互混。</w:t>
      </w:r>
      <w:r/>
    </w:p>
    <w:p>
      <w:pPr>
        <w:numPr>
          <w:ilvl w:val="0"/>
          <w:numId w:val="5"/>
        </w:numPr>
        <w:spacing w:line="360" w:lineRule="auto"/>
        <w:tabs>
          <w:tab w:val="left" w:pos="425" w:leader="none"/>
        </w:tabs>
        <w:rPr>
          <w:rFonts w:hint="eastAsia" w:ascii="宋体" w:hAnsi="宋体"/>
          <w:bCs/>
          <w:color w:val="000000"/>
          <w:sz w:val="24"/>
          <w:szCs w:val="24"/>
          <w:highlight w:val="none"/>
        </w:rPr>
      </w:pPr>
      <w:r/>
      <w:bookmarkStart w:id="47" w:name="OLE_LINK81"/>
      <w:r>
        <w:rPr>
          <w:rFonts w:hint="eastAsia" w:ascii="宋体" w:hAnsi="宋体"/>
          <w:bCs/>
          <w:color w:val="000000"/>
          <w:sz w:val="24"/>
          <w:szCs w:val="24"/>
          <w:highlight w:val="none"/>
          <w:lang w:val="zh-CN"/>
        </w:rPr>
        <w:t xml:space="preserve">提供虚假材料</w:t>
      </w:r>
      <w:bookmarkStart w:id="48" w:name="OLE_LINK137"/>
      <w:r>
        <w:rPr>
          <w:rFonts w:hint="eastAsia" w:ascii="宋体" w:hAnsi="宋体" w:cs="宋体"/>
          <w:color w:val="000000"/>
          <w:sz w:val="24"/>
          <w:szCs w:val="24"/>
          <w:highlight w:val="none"/>
          <w:lang w:val="zh-CN"/>
        </w:rPr>
        <w:t xml:space="preserve">（含虚假承诺）</w:t>
      </w:r>
      <w:bookmarkEnd w:id="48"/>
      <w:r>
        <w:rPr>
          <w:rFonts w:hint="eastAsia" w:ascii="宋体" w:hAnsi="宋体"/>
          <w:bCs/>
          <w:color w:val="000000"/>
          <w:sz w:val="24"/>
          <w:szCs w:val="24"/>
          <w:highlight w:val="none"/>
          <w:lang w:val="zh-CN"/>
        </w:rPr>
        <w:t xml:space="preserve">的</w:t>
      </w:r>
      <w:bookmarkEnd w:id="47"/>
      <w:r>
        <w:rPr>
          <w:rFonts w:hint="eastAsia" w:ascii="宋体" w:hAnsi="宋体"/>
          <w:bCs/>
          <w:color w:val="000000"/>
          <w:sz w:val="24"/>
          <w:szCs w:val="24"/>
          <w:highlight w:val="none"/>
          <w:lang w:val="zh-CN"/>
        </w:rPr>
        <w:t xml:space="preserve">；</w:t>
      </w:r>
      <w:r/>
    </w:p>
    <w:p>
      <w:pPr>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投标文件内容不全、自相矛盾或不符合法律法规和招标文件中规定的其它实质性要求的；</w:t>
      </w:r>
      <w:r/>
    </w:p>
    <w:p>
      <w:pPr>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法律、法规和招标文件规定的其他无效情形</w:t>
      </w:r>
      <w:r>
        <w:rPr>
          <w:rFonts w:hint="eastAsia" w:ascii="宋体" w:hAnsi="宋体"/>
          <w:bCs/>
          <w:color w:val="000000"/>
          <w:sz w:val="24"/>
          <w:szCs w:val="24"/>
          <w:highlight w:val="none"/>
          <w:lang w:val="zh-CN"/>
        </w:rPr>
        <w:t xml:space="preserve">。</w:t>
      </w:r>
      <w:bookmarkEnd w:id="46"/>
      <w:r/>
      <w:r/>
    </w:p>
    <w:p>
      <w:pPr>
        <w:ind w:firstLine="354"/>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四、联合体投标、</w:t>
      </w:r>
      <w:r>
        <w:rPr>
          <w:rFonts w:hint="eastAsia" w:ascii="宋体" w:hAnsi="宋体" w:cs="宋体"/>
          <w:b/>
          <w:color w:val="000000"/>
          <w:sz w:val="24"/>
          <w:szCs w:val="24"/>
          <w:highlight w:val="none"/>
        </w:rPr>
        <w:t xml:space="preserve">中标后分包</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 本项目不接受联合体，不接受中标后分包。</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w:t>
      </w:r>
      <w:r>
        <w:rPr>
          <w:rFonts w:hint="eastAsia" w:ascii="宋体" w:hAnsi="宋体"/>
          <w:b/>
          <w:color w:val="000000"/>
          <w:sz w:val="24"/>
          <w:szCs w:val="24"/>
          <w:highlight w:val="none"/>
        </w:rPr>
        <w:t xml:space="preserve">资审、</w:t>
      </w:r>
      <w:r>
        <w:rPr>
          <w:rFonts w:hint="eastAsia" w:ascii="宋体" w:hAnsi="宋体"/>
          <w:b/>
          <w:color w:val="000000"/>
          <w:sz w:val="24"/>
          <w:szCs w:val="24"/>
          <w:highlight w:val="none"/>
          <w:lang w:val="zh-CN"/>
        </w:rPr>
        <w:t xml:space="preserve">评标、定标、废标</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20、开标</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49" w:name="OLE_LINK276"/>
      <w:r>
        <w:rPr>
          <w:rFonts w:hint="eastAsia" w:ascii="宋体" w:hAnsi="宋体"/>
          <w:bCs/>
          <w:color w:val="000000"/>
          <w:sz w:val="24"/>
          <w:szCs w:val="24"/>
          <w:highlight w:val="none"/>
          <w:lang w:val="zh-CN"/>
        </w:rPr>
        <w:t xml:space="preserve">采购人按</w:t>
      </w:r>
      <w:r>
        <w:rPr>
          <w:rFonts w:hint="eastAsia" w:ascii="宋体" w:hAnsi="宋体"/>
          <w:bCs/>
          <w:color w:val="000000"/>
          <w:sz w:val="24"/>
          <w:szCs w:val="24"/>
          <w:highlight w:val="none"/>
          <w:lang w:val="en-US" w:eastAsia="zh-CN"/>
        </w:rPr>
        <w:t xml:space="preserve">招标</w:t>
      </w:r>
      <w:r>
        <w:rPr>
          <w:rFonts w:hint="eastAsia" w:ascii="宋体" w:hAnsi="宋体"/>
          <w:bCs/>
          <w:color w:val="000000"/>
          <w:sz w:val="24"/>
          <w:szCs w:val="24"/>
          <w:highlight w:val="none"/>
          <w:lang w:val="zh-CN"/>
        </w:rPr>
        <w:t xml:space="preserve">文件规定的时间在“苏采云开标大厅”召开开标大会。</w:t>
      </w:r>
      <w:r>
        <w:rPr>
          <w:rFonts w:hint="eastAsia" w:ascii="宋体" w:hAnsi="宋体"/>
          <w:bCs/>
          <w:color w:val="000000"/>
          <w:sz w:val="24"/>
          <w:szCs w:val="24"/>
          <w:highlight w:val="none"/>
        </w:rPr>
        <w:t xml:space="preserve">供应商</w:t>
      </w:r>
      <w:r>
        <w:rPr>
          <w:rFonts w:hint="eastAsia" w:ascii="宋体" w:hAnsi="宋体"/>
          <w:bCs/>
          <w:color w:val="000000"/>
          <w:sz w:val="24"/>
          <w:szCs w:val="24"/>
          <w:highlight w:val="none"/>
          <w:lang w:val="zh-CN"/>
        </w:rPr>
        <w:t xml:space="preserve">应当在</w:t>
      </w:r>
      <w:r>
        <w:rPr>
          <w:rFonts w:hint="eastAsia" w:ascii="宋体" w:hAnsi="宋体"/>
          <w:bCs/>
          <w:color w:val="000000"/>
          <w:sz w:val="24"/>
          <w:szCs w:val="24"/>
          <w:highlight w:val="none"/>
        </w:rPr>
        <w:t xml:space="preserve">报价</w:t>
      </w:r>
      <w:r>
        <w:rPr>
          <w:rFonts w:hint="eastAsia" w:ascii="宋体" w:hAnsi="宋体"/>
          <w:bCs/>
          <w:color w:val="000000"/>
          <w:sz w:val="24"/>
          <w:szCs w:val="24"/>
          <w:highlight w:val="none"/>
          <w:lang w:val="zh-CN"/>
        </w:rPr>
        <w:t xml:space="preserve">前做好充分准备，携带 CA 数字证书准时参加。</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提交投标文件或成功解密投标文件的供应商不足</w:t>
      </w:r>
      <w:r>
        <w:rPr>
          <w:rFonts w:hint="eastAsia" w:ascii="宋体" w:hAnsi="宋体"/>
          <w:bCs/>
          <w:color w:val="000000"/>
          <w:sz w:val="24"/>
          <w:szCs w:val="24"/>
          <w:highlight w:val="none"/>
        </w:rPr>
        <w:t xml:space="preserve">3家的，不得开标。</w:t>
      </w:r>
      <w:bookmarkEnd w:id="49"/>
      <w:r/>
      <w:r/>
    </w:p>
    <w:p>
      <w:pPr>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20.2 </w:t>
      </w:r>
      <w:r>
        <w:rPr>
          <w:rFonts w:hint="eastAsia" w:ascii="宋体" w:hAnsi="宋体"/>
          <w:bCs/>
          <w:color w:val="000000"/>
          <w:sz w:val="24"/>
          <w:szCs w:val="24"/>
          <w:highlight w:val="none"/>
          <w:lang w:val="zh-CN"/>
        </w:rPr>
        <w:t xml:space="preserve">投标文件提交截止时间后，在“苏采云开标大厅”开启投标文件，相关注意事项详见报价邀请函。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开标</w:t>
      </w:r>
      <w:bookmarkStart w:id="50" w:name="OLE_LINK130"/>
      <w:r>
        <w:rPr>
          <w:rFonts w:hint="eastAsia" w:ascii="宋体" w:hAnsi="宋体"/>
          <w:bCs/>
          <w:color w:val="000000"/>
          <w:sz w:val="24"/>
          <w:szCs w:val="24"/>
          <w:highlight w:val="none"/>
          <w:lang w:val="zh-CN"/>
        </w:rPr>
        <w:t xml:space="preserve">过程由采购人或者采购代理机构负责记录，由参加开标的各投标人代表和相关工作人员签字确认后随采购文件一并存档。</w:t>
      </w:r>
      <w:bookmarkEnd w:id="50"/>
      <w:r>
        <w:rPr>
          <w:rFonts w:hint="eastAsia" w:ascii="宋体" w:hAnsi="宋体"/>
          <w:bCs/>
          <w:color w:val="000000"/>
          <w:sz w:val="24"/>
          <w:szCs w:val="24"/>
          <w:highlight w:val="none"/>
          <w:lang w:val="zh-CN"/>
        </w:rPr>
        <w:t xml:space="preserve">投标人未参加开标的，视同认可开标结果。</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20.4 </w:t>
      </w:r>
      <w:bookmarkStart w:id="51" w:name="OLE_LINK131"/>
      <w:r/>
      <w:bookmarkStart w:id="52"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51"/>
      <w:r/>
      <w:bookmarkStart w:id="53"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52"/>
      <w:r/>
      <w:bookmarkEnd w:id="53"/>
      <w:r>
        <w:rPr>
          <w:rFonts w:hint="eastAsia" w:ascii="宋体" w:hAnsi="宋体"/>
          <w:bCs/>
          <w:color w:val="000000"/>
          <w:sz w:val="24"/>
          <w:szCs w:val="24"/>
          <w:highlight w:val="none"/>
          <w:lang w:val="zh-CN"/>
        </w:rPr>
        <w:t xml:space="preserve">。</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21、资格性审查</w:t>
      </w:r>
      <w:r/>
    </w:p>
    <w:p>
      <w:pPr>
        <w:ind w:firstLine="480"/>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color w:val="000000"/>
          <w:sz w:val="24"/>
          <w:szCs w:val="24"/>
          <w:highlight w:val="none"/>
        </w:rPr>
        <w:t xml:space="preserve">采购人现场依法对投标人的资格进行审查。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合格投标人不足3家的，不得评标。</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资格审查包括两部分内容：</w:t>
      </w:r>
      <w:r/>
    </w:p>
    <w:p>
      <w:pPr>
        <w:ind w:firstLine="480"/>
        <w:spacing w:line="360" w:lineRule="auto"/>
        <w:rPr>
          <w:rFonts w:hint="eastAsia" w:ascii="宋体" w:hAnsi="宋体" w:cs="宋体"/>
          <w:color w:val="000000"/>
          <w:sz w:val="24"/>
          <w:szCs w:val="24"/>
          <w:highlight w:val="none"/>
        </w:rPr>
      </w:pPr>
      <w:r/>
      <w:bookmarkStart w:id="54" w:name="OLE_LINK257"/>
      <w:r/>
      <w:bookmarkStart w:id="55" w:name="OLE_LINK261"/>
      <w:r>
        <w:rPr>
          <w:rFonts w:hint="eastAsia" w:ascii="宋体" w:hAnsi="宋体" w:cs="宋体"/>
          <w:color w:val="000000"/>
          <w:sz w:val="24"/>
          <w:szCs w:val="24"/>
          <w:highlight w:val="none"/>
        </w:rPr>
        <w:t xml:space="preserve">21.2.1 </w:t>
      </w:r>
      <w:bookmarkEnd w:id="54"/>
      <w:r>
        <w:rPr>
          <w:rFonts w:hint="eastAsia" w:ascii="宋体" w:hAnsi="宋体" w:cs="宋体"/>
          <w:color w:val="000000"/>
          <w:sz w:val="24"/>
          <w:szCs w:val="24"/>
          <w:highlight w:val="none"/>
        </w:rPr>
        <w:t xml:space="preserve">按照本须知“9、投标文件的组成”中“（3）资格证明文件”的要求依法对投标人的资格进行审查。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21.2.2 信用查询。</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 查询时间：采购人将在资审环节查询投标人的信用记录，投标人存在不良信用记录的，其投标将被认定为投标无效。</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 不良信用记录指：</w:t>
      </w:r>
      <w:r>
        <w:rPr>
          <w:rFonts w:hint="eastAsia" w:ascii="宋体" w:hAnsi="宋体" w:cs="宋体"/>
          <w:bCs/>
          <w:color w:val="000000"/>
          <w:sz w:val="24"/>
          <w:szCs w:val="24"/>
          <w:highlight w:val="none"/>
        </w:rPr>
        <w:t xml:space="preserve">被“信用中国”（www.creditchina.gov.cn)、中国政府采购网（www.ccgp.gov.cn）列入失信被执行人、重大税收违法案件当事人名单、政府采购严重违法失信行为记录名单（在限制期内）</w:t>
      </w:r>
      <w:r>
        <w:rPr>
          <w:rFonts w:hint="eastAsia" w:ascii="宋体" w:hAnsi="宋体" w:cs="宋体"/>
          <w:color w:val="000000"/>
          <w:sz w:val="24"/>
          <w:szCs w:val="24"/>
          <w:highlight w:val="none"/>
          <w:lang w:val="zh-CN"/>
        </w:rPr>
        <w:t xml:space="preserve">。</w:t>
      </w:r>
      <w:r>
        <w:rPr>
          <w:rFonts w:hint="eastAsia" w:ascii="宋体" w:hAnsi="宋体" w:cs="宋体"/>
          <w:bCs/>
          <w:color w:val="000000"/>
          <w:sz w:val="24"/>
          <w:szCs w:val="24"/>
          <w:highlight w:val="none"/>
        </w:rPr>
        <w:t xml:space="preserve">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报价无效</w:t>
      </w:r>
      <w:r>
        <w:rPr>
          <w:rFonts w:hint="eastAsia" w:ascii="宋体" w:hAnsi="宋体" w:cs="宋体"/>
          <w:bCs/>
          <w:color w:val="000000"/>
          <w:sz w:val="24"/>
          <w:szCs w:val="24"/>
          <w:highlight w:val="none"/>
        </w:rPr>
        <w:t xml:space="preserve">。</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 </w:t>
      </w:r>
      <w:bookmarkEnd w:id="55"/>
      <w:r>
        <w:rPr>
          <w:rFonts w:hint="eastAsia" w:ascii="宋体" w:hAnsi="宋体" w:cs="宋体"/>
          <w:color w:val="000000"/>
          <w:sz w:val="24"/>
          <w:szCs w:val="24"/>
          <w:highlight w:val="none"/>
        </w:rPr>
        <w:t xml:space="preserve">查询及记录方式：</w:t>
      </w:r>
      <w:r>
        <w:rPr>
          <w:rFonts w:hint="eastAsia" w:ascii="宋体" w:hAnsi="宋体" w:cs="宋体"/>
          <w:bCs/>
          <w:color w:val="000000"/>
          <w:sz w:val="24"/>
          <w:szCs w:val="24"/>
          <w:highlight w:val="none"/>
        </w:rPr>
        <w:t xml:space="preserve">评审当日，</w:t>
      </w:r>
      <w:r>
        <w:rPr>
          <w:rFonts w:hint="eastAsia" w:ascii="宋体" w:hAnsi="宋体"/>
          <w:bCs/>
          <w:color w:val="000000"/>
          <w:sz w:val="24"/>
          <w:szCs w:val="24"/>
          <w:highlight w:val="none"/>
        </w:rPr>
        <w:t xml:space="preserve">评审小组</w:t>
      </w:r>
      <w:r>
        <w:rPr>
          <w:rFonts w:hint="eastAsia" w:ascii="宋体" w:hAnsi="宋体" w:cs="宋体"/>
          <w:bCs/>
          <w:color w:val="000000"/>
          <w:sz w:val="24"/>
          <w:szCs w:val="24"/>
          <w:highlight w:val="none"/>
        </w:rPr>
        <w:t xml:space="preserve">在以上网站查询并打印查询结果、签字、存档备查。供应商不良信用记录以</w:t>
      </w:r>
      <w:r>
        <w:rPr>
          <w:rFonts w:hint="eastAsia" w:ascii="宋体" w:hAnsi="宋体"/>
          <w:bCs/>
          <w:color w:val="000000"/>
          <w:sz w:val="24"/>
          <w:szCs w:val="24"/>
          <w:highlight w:val="none"/>
        </w:rPr>
        <w:t xml:space="preserve">评审小组在评审</w:t>
      </w:r>
      <w:r>
        <w:rPr>
          <w:rFonts w:hint="eastAsia" w:ascii="宋体" w:hAnsi="宋体" w:cs="宋体"/>
          <w:bCs/>
          <w:color w:val="000000"/>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56" w:name="_Hlk163724827"/>
      <w:r>
        <w:rPr>
          <w:rFonts w:hint="eastAsia" w:ascii="宋体" w:hAnsi="宋体"/>
          <w:bCs/>
          <w:color w:val="000000"/>
          <w:sz w:val="24"/>
          <w:szCs w:val="24"/>
          <w:highlight w:val="none"/>
          <w:lang w:val="zh-CN"/>
        </w:rPr>
        <w:t xml:space="preserve">以供应商提供的资格声明函中作出的无不良信用记录承诺为准。</w:t>
      </w:r>
      <w:bookmarkEnd w:id="56"/>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22、评标</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22.2 评标委员会对符合资格的投标人的投标文件进行符合性审查，以确定其是否满足招标文件的实质性要求。</w:t>
      </w:r>
      <w:r>
        <w:rPr>
          <w:rFonts w:hint="eastAsia" w:ascii="宋体" w:hAnsi="宋体"/>
          <w:b/>
          <w:color w:val="000000"/>
          <w:sz w:val="24"/>
          <w:szCs w:val="24"/>
          <w:highlight w:val="none"/>
          <w:lang w:val="zh-CN"/>
        </w:rPr>
        <w:t xml:space="preserve">实质性要求是指本招标文件中</w:t>
      </w:r>
      <w:r>
        <w:rPr>
          <w:rFonts w:hint="eastAsia" w:ascii="宋体" w:hAnsi="宋体"/>
          <w:b/>
          <w:color w:val="000000"/>
          <w:sz w:val="24"/>
          <w:szCs w:val="24"/>
          <w:highlight w:val="none"/>
        </w:rPr>
        <w:t xml:space="preserve">“第三章 项目技术要求和有关说明”部分及其他“必须”或“应（应当）”等文字说明的相关要求。</w:t>
      </w:r>
      <w:r/>
    </w:p>
    <w:p>
      <w:pPr>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22.3</w:t>
      </w:r>
      <w:bookmarkStart w:id="57" w:name="OLE_LINK132"/>
      <w:r>
        <w:rPr>
          <w:rFonts w:hint="eastAsia" w:ascii="宋体" w:hAnsi="宋体"/>
          <w:b/>
          <w:color w:val="000000"/>
          <w:sz w:val="24"/>
          <w:szCs w:val="24"/>
          <w:highlight w:val="none"/>
        </w:rPr>
        <w:t xml:space="preserve"> 澄清有关问题。</w:t>
      </w:r>
      <w:bookmarkEnd w:id="57"/>
      <w:r>
        <w:rPr>
          <w:rFonts w:hint="eastAsia" w:ascii="宋体" w:hAnsi="宋体"/>
          <w:bCs/>
          <w:color w:val="000000"/>
          <w:sz w:val="24"/>
          <w:szCs w:val="24"/>
          <w:highlight w:val="none"/>
        </w:rPr>
        <w:t xml:space="preserve">评审小组对投标文件的有效性、完整性和响应程度进行审查时，可以要求供应商对投标文件中含义不明确、同类问题表述不一致或者有明显文字错误和计算错误的内容作出必要的澄清、说明或者更正。供应商的澄清、说明或者更正不得超出投标文件的范围或者改变投标文件的实质性内容。</w:t>
      </w:r>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Start w:id="58" w:name="_Hlk164086081"/>
      <w:r/>
      <w:bookmarkStart w:id="59" w:name="_Hlk159572925"/>
      <w:r>
        <w:rPr>
          <w:rFonts w:hint="eastAsia" w:ascii="宋体" w:hAnsi="宋体"/>
          <w:bCs/>
          <w:color w:val="000000"/>
          <w:sz w:val="24"/>
          <w:szCs w:val="24"/>
          <w:highlight w:val="none"/>
        </w:rPr>
        <w:t xml:space="preserve">供应商获得证书的时间是指发文时间或证书落款时间，若供应商同时提供了发文和证书，以发文时间为准。</w:t>
      </w:r>
      <w:bookmarkEnd w:id="58"/>
      <w:r>
        <w:rPr>
          <w:rFonts w:hint="eastAsia" w:ascii="宋体" w:hAnsi="宋体"/>
          <w:bCs/>
          <w:color w:val="000000"/>
          <w:sz w:val="24"/>
          <w:szCs w:val="24"/>
          <w:highlight w:val="none"/>
        </w:rPr>
        <w:t xml:space="preserve">同一合同项下的续签合同、补充合同不单独作为有效证明材料。除以上评审小组</w:t>
      </w:r>
      <w:r>
        <w:rPr>
          <w:rFonts w:hint="eastAsia" w:ascii="宋体" w:hAnsi="宋体"/>
          <w:bCs/>
          <w:color w:val="000000"/>
          <w:sz w:val="24"/>
          <w:highlight w:val="none"/>
        </w:rPr>
        <w:t xml:space="preserve">要求供应商作出必要的澄清、说明或者纠正时，需要供应商提供相关证明材料外，供应商</w:t>
      </w:r>
      <w:r>
        <w:rPr>
          <w:rFonts w:hint="eastAsia" w:ascii="宋体" w:hAnsi="宋体"/>
          <w:bCs/>
          <w:color w:val="000000"/>
          <w:sz w:val="24"/>
          <w:szCs w:val="24"/>
          <w:highlight w:val="none"/>
        </w:rPr>
        <w:t xml:space="preserve">提供的</w:t>
      </w:r>
      <w:r>
        <w:rPr>
          <w:rFonts w:hint="eastAsia" w:ascii="宋体" w:hAnsi="宋体"/>
          <w:bCs/>
          <w:color w:val="000000"/>
          <w:sz w:val="24"/>
          <w:highlight w:val="none"/>
        </w:rPr>
        <w:t xml:space="preserve">投标文件以外的证明材料一概不作为评审依据。</w:t>
      </w:r>
      <w:bookmarkEnd w:id="59"/>
      <w:r/>
      <w:r/>
    </w:p>
    <w:p>
      <w:pPr>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评审小组要求供应商澄清、说明或者更正</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应当以书面形式作出</w:t>
      </w:r>
      <w:bookmarkStart w:id="60" w:name="_Hlk160096255"/>
      <w:r>
        <w:rPr>
          <w:rFonts w:hint="eastAsia" w:ascii="宋体" w:hAnsi="宋体"/>
          <w:bCs/>
          <w:color w:val="000000"/>
          <w:sz w:val="24"/>
          <w:szCs w:val="24"/>
          <w:highlight w:val="none"/>
        </w:rPr>
        <w:t xml:space="preserve">，采用不见面交易模式的，可以采用数据电文形式进行，并做好记录。</w:t>
      </w:r>
      <w:bookmarkEnd w:id="60"/>
      <w:r>
        <w:rPr>
          <w:rFonts w:hint="eastAsia" w:ascii="宋体" w:hAnsi="宋体"/>
          <w:bCs/>
          <w:color w:val="000000"/>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p>
    <w:p>
      <w:pPr>
        <w:ind w:firstLine="523"/>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22.4 </w:t>
      </w:r>
      <w:r>
        <w:rPr>
          <w:rFonts w:hint="eastAsia" w:ascii="宋体" w:hAnsi="宋体"/>
          <w:b/>
          <w:color w:val="000000"/>
          <w:sz w:val="24"/>
          <w:highlight w:val="none"/>
        </w:rPr>
        <w:t xml:space="preserve">比较与评价</w:t>
      </w:r>
      <w:r>
        <w:rPr>
          <w:rFonts w:hint="eastAsia" w:ascii="宋体" w:hAnsi="宋体"/>
          <w:bCs/>
          <w:color w:val="000000"/>
          <w:sz w:val="24"/>
          <w:highlight w:val="none"/>
        </w:rPr>
        <w:t xml:space="preserve">。</w:t>
      </w:r>
      <w:r>
        <w:rPr>
          <w:rFonts w:hint="eastAsia" w:ascii="宋体" w:hAnsi="宋体" w:cs="宋体"/>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r>
        <w:rPr>
          <w:rFonts w:hint="eastAsia" w:ascii="宋体" w:hAnsi="宋体"/>
          <w:b/>
          <w:color w:val="000000"/>
          <w:sz w:val="24"/>
          <w:highlight w:val="none"/>
        </w:rPr>
        <w:t xml:space="preserve">评标方法和标准</w:t>
      </w:r>
      <w:r>
        <w:rPr>
          <w:rFonts w:hint="eastAsia" w:ascii="宋体" w:hAnsi="宋体"/>
          <w:bCs/>
          <w:color w:val="000000"/>
          <w:sz w:val="24"/>
          <w:highlight w:val="none"/>
        </w:rPr>
        <w:t xml:space="preserve">。</w:t>
      </w:r>
      <w:r/>
    </w:p>
    <w:p>
      <w:pPr>
        <w:ind w:firstLine="480"/>
        <w:spacing w:line="360" w:lineRule="auto"/>
        <w:rPr>
          <w:rFonts w:hint="eastAsia" w:ascii="宋体" w:hAnsi="宋体"/>
          <w:bCs/>
          <w:color w:val="000000"/>
          <w:sz w:val="24"/>
          <w:highlight w:val="none"/>
        </w:rPr>
      </w:pPr>
      <w:r/>
      <w:bookmarkStart w:id="61" w:name="OLE_LINK1"/>
      <w:r>
        <w:rPr>
          <w:rFonts w:hint="eastAsia" w:ascii="宋体" w:hAnsi="宋体"/>
          <w:bCs/>
          <w:color w:val="000000"/>
          <w:sz w:val="24"/>
          <w:szCs w:val="24"/>
          <w:highlight w:val="none"/>
        </w:rPr>
        <w:t xml:space="preserve">22.5.1</w:t>
      </w:r>
      <w:bookmarkEnd w:id="61"/>
      <w:r>
        <w:rPr>
          <w:rFonts w:hint="eastAsia" w:ascii="宋体" w:hAnsi="宋体"/>
          <w:bCs/>
          <w:color w:val="000000"/>
          <w:sz w:val="24"/>
          <w:szCs w:val="24"/>
          <w:highlight w:val="none"/>
        </w:rPr>
        <w:t xml:space="preserve">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62" w:name="OLE_LINK17"/>
      <w:r>
        <w:rPr>
          <w:rFonts w:hint="eastAsia" w:ascii="宋体" w:hAnsi="宋体"/>
          <w:bCs/>
          <w:color w:val="000000"/>
          <w:sz w:val="24"/>
          <w:highlight w:val="none"/>
        </w:rPr>
        <w:t xml:space="preserve">在</w:t>
      </w:r>
      <w:r>
        <w:rPr>
          <w:rFonts w:hint="eastAsia" w:ascii="宋体" w:hAnsi="宋体" w:cs="宋体"/>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62"/>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标人的最终得分为各评</w:t>
      </w:r>
      <w:r>
        <w:rPr>
          <w:rFonts w:hint="eastAsia" w:ascii="宋体" w:hAnsi="宋体"/>
          <w:bCs/>
          <w:color w:val="000000"/>
          <w:sz w:val="24"/>
          <w:highlight w:val="none"/>
        </w:rPr>
        <w:t xml:space="preserve">委评审后得分的平均值（四舍五入保留两位小数）</w:t>
      </w:r>
      <w:r>
        <w:rPr>
          <w:rFonts w:hint="eastAsia" w:ascii="宋体" w:hAnsi="宋体"/>
          <w:bCs/>
          <w:color w:val="000000"/>
          <w:sz w:val="24"/>
          <w:szCs w:val="24"/>
          <w:highlight w:val="none"/>
          <w:lang w:val="zh-CN"/>
        </w:rPr>
        <w:t xml:space="preserve">，按最终得分由高到低顺序排列，</w:t>
      </w:r>
      <w:bookmarkStart w:id="63" w:name="_Hlk128408333"/>
      <w:r>
        <w:rPr>
          <w:rFonts w:hint="eastAsia" w:ascii="宋体" w:hAnsi="宋体"/>
          <w:bCs/>
          <w:color w:val="000000"/>
          <w:sz w:val="24"/>
          <w:szCs w:val="24"/>
          <w:highlight w:val="none"/>
          <w:lang w:val="zh-CN"/>
        </w:rPr>
        <w:t xml:space="preserve">并作为中标候选人排序，编写评审报告</w:t>
      </w:r>
      <w:r>
        <w:rPr>
          <w:rFonts w:hint="eastAsia" w:ascii="宋体" w:hAnsi="宋体"/>
          <w:bCs/>
          <w:color w:val="000000"/>
          <w:sz w:val="24"/>
          <w:highlight w:val="none"/>
        </w:rPr>
        <w:t xml:space="preserve">。</w:t>
      </w:r>
      <w:bookmarkEnd w:id="63"/>
      <w:r/>
      <w:r/>
    </w:p>
    <w:p>
      <w:pPr>
        <w:ind w:firstLine="480"/>
        <w:spacing w:line="360" w:lineRule="auto"/>
        <w:rPr>
          <w:rFonts w:hint="eastAsia" w:ascii="宋体" w:hAnsi="宋体"/>
          <w:bCs/>
          <w:color w:val="000000"/>
          <w:sz w:val="24"/>
          <w:szCs w:val="24"/>
          <w:highlight w:val="none"/>
        </w:rPr>
      </w:pPr>
      <w:r/>
      <w:bookmarkStart w:id="64" w:name="OLE_LINK298"/>
      <w:r>
        <w:rPr>
          <w:rFonts w:hint="eastAsia" w:ascii="宋体" w:hAnsi="宋体"/>
          <w:bCs/>
          <w:color w:val="000000"/>
          <w:sz w:val="24"/>
          <w:szCs w:val="24"/>
          <w:highlight w:val="none"/>
          <w:lang w:val="zh-CN"/>
        </w:rPr>
        <w:t xml:space="preserve">若得分相同的，按投标报价由低到高顺序排列。得分和投标报价均相同的并列，投标文件满足招标文件全部实质性要求，且按照评审因素的量化指标评审得分最高的投标人为中标候选人。若以上均相同，则由采购人代表抽签确定排序。</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注：除了算术修正</w:t>
      </w:r>
      <w:bookmarkStart w:id="65" w:name="OLE_LINK201"/>
      <w:r>
        <w:rPr>
          <w:rFonts w:hint="eastAsia" w:ascii="宋体" w:hAnsi="宋体" w:cs="宋体"/>
          <w:color w:val="000000"/>
          <w:sz w:val="24"/>
          <w:szCs w:val="24"/>
          <w:highlight w:val="none"/>
        </w:rPr>
        <w:t xml:space="preserve">（</w:t>
      </w:r>
      <w:bookmarkStart w:id="66" w:name="OLE_LINK202"/>
      <w:r>
        <w:rPr>
          <w:rFonts w:hint="eastAsia" w:ascii="宋体" w:hAnsi="宋体" w:cs="宋体"/>
          <w:color w:val="000000"/>
          <w:sz w:val="24"/>
          <w:szCs w:val="24"/>
          <w:highlight w:val="none"/>
        </w:rPr>
        <w:t xml:space="preserve">22.5.2</w:t>
      </w:r>
      <w:bookmarkEnd w:id="66"/>
      <w:r>
        <w:rPr>
          <w:rFonts w:hint="eastAsia" w:ascii="宋体" w:hAnsi="宋体" w:cs="宋体"/>
          <w:color w:val="000000"/>
          <w:sz w:val="24"/>
          <w:szCs w:val="24"/>
          <w:highlight w:val="none"/>
        </w:rPr>
        <w:t xml:space="preserve">）</w:t>
      </w:r>
      <w:bookmarkEnd w:id="65"/>
      <w:r>
        <w:rPr>
          <w:rFonts w:hint="eastAsia" w:ascii="宋体" w:hAnsi="宋体" w:cs="宋体"/>
          <w:color w:val="000000"/>
          <w:sz w:val="24"/>
          <w:szCs w:val="24"/>
          <w:highlight w:val="none"/>
        </w:rPr>
        <w:t xml:space="preserve">和落实政府采购政策需进行的价格扣除外，不对投标人的投标价格进行任何调整。</w:t>
      </w:r>
      <w:bookmarkEnd w:id="64"/>
      <w:r/>
      <w:r/>
    </w:p>
    <w:p>
      <w:pPr>
        <w:ind w:left="42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szCs w:val="24"/>
          <w:highlight w:val="none"/>
        </w:rPr>
        <w:t xml:space="preserve">22.5.2 </w:t>
      </w:r>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r/>
    </w:p>
    <w:p>
      <w:pPr>
        <w:numPr>
          <w:ilvl w:val="0"/>
          <w:numId w:val="0"/>
        </w:numPr>
        <w:ind w:left="0" w:firstLine="400"/>
        <w:spacing w:line="360" w:lineRule="auto"/>
        <w:tabs>
          <w:tab w:val="left" w:pos="0" w:leader="none"/>
          <w:tab w:val="left" w:pos="425" w:leader="none"/>
        </w:tabs>
        <w:rPr>
          <w:b/>
          <w:bCs/>
          <w:color w:val="000000"/>
          <w:highlight w:val="none"/>
        </w:rPr>
      </w:pPr>
      <w:r>
        <w:rPr>
          <w:rFonts w:hint="eastAsia" w:ascii="宋体" w:hAnsi="宋体" w:eastAsia="宋体" w:cs="宋体"/>
          <w:b/>
          <w:bCs/>
          <w:color w:val="000000"/>
          <w:sz w:val="24"/>
          <w:szCs w:val="24"/>
          <w:highlight w:val="none"/>
          <w:lang w:val="en-US" w:eastAsia="zh-CN"/>
        </w:rPr>
        <w:t xml:space="preserve">22.5.3</w:t>
      </w:r>
      <w:r>
        <w:rPr>
          <w:rFonts w:hint="eastAsia" w:ascii="宋体" w:hAnsi="宋体" w:eastAsia="宋体" w:cs="宋体"/>
          <w:b/>
          <w:bCs/>
          <w:color w:val="000000"/>
          <w:sz w:val="24"/>
          <w:szCs w:val="24"/>
          <w:highlight w:val="none"/>
          <w:lang w:val="zh-CN"/>
        </w:rPr>
        <w:t xml:space="preserve">评标委员会认定投标人的报价明显低于其他通过符合性审查投标人的报价，有可能</w:t>
      </w:r>
      <w:r>
        <w:rPr>
          <w:rFonts w:hint="eastAsia" w:ascii="宋体" w:hAnsi="宋体" w:eastAsia="宋体" w:cs="宋体"/>
          <w:b/>
          <w:bCs/>
          <w:color w:val="000000"/>
          <w:sz w:val="24"/>
          <w:szCs w:val="24"/>
          <w:highlight w:val="none"/>
        </w:rPr>
        <w:t xml:space="preserve">影响产品质量或者不能诚信履约的，应当按照《关于推动解决政府采购异常低价问题相关工作的通知》（苏财购〔2025〕62号）要求，启动异常低价投标（响应）审查程序。出现</w:t>
      </w:r>
      <w:r>
        <w:rPr>
          <w:rFonts w:hint="eastAsia" w:ascii="宋体" w:hAnsi="宋体" w:eastAsia="宋体" w:cs="宋体"/>
          <w:b/>
          <w:bCs/>
          <w:color w:val="000000"/>
          <w:sz w:val="24"/>
          <w:szCs w:val="24"/>
          <w:highlight w:val="none"/>
          <w:lang w:eastAsia="zh-CN"/>
        </w:rPr>
        <w:t xml:space="preserve">招标文件</w:t>
      </w:r>
      <w:r>
        <w:rPr>
          <w:rFonts w:hint="eastAsia" w:ascii="宋体" w:hAnsi="宋体" w:eastAsia="宋体" w:cs="宋体"/>
          <w:b/>
          <w:bCs/>
          <w:color w:val="000000"/>
          <w:sz w:val="24"/>
          <w:szCs w:val="24"/>
          <w:highlight w:val="none"/>
        </w:rPr>
        <w:t xml:space="preserve">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pStyle w:val="1009"/>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评标委员会启动异常低价投标（响应）审查的情形和具体要求，包括：</w:t>
      </w:r>
      <w:r/>
    </w:p>
    <w:p>
      <w:pPr>
        <w:pStyle w:val="1009"/>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评审过程中出现下列情形之一的，评标委员会应当启动异常低价投标（响应）审查程序：</w:t>
      </w:r>
      <w:r/>
    </w:p>
    <w:p>
      <w:pPr>
        <w:pStyle w:val="1009"/>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①投标（响应）报价低于采购项目预算50%的，即投标（响应）报价</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采购项目预算×50%；</w:t>
      </w:r>
      <w:r/>
    </w:p>
    <w:p>
      <w:pPr>
        <w:pStyle w:val="1009"/>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②投标（响应）报价低于采购项目最高限价45%的，即投标（响应）报价</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采购项目最高限价×45%；</w:t>
      </w:r>
      <w:r/>
    </w:p>
    <w:p>
      <w:pPr>
        <w:pStyle w:val="1009"/>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③评标委员会认定的</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报价过低、有可能影响产品质量或者不能诚信履约的其他情形。</w:t>
      </w:r>
      <w:r/>
    </w:p>
    <w:p>
      <w:pPr>
        <w:pStyle w:val="1009"/>
        <w:ind w:left="0" w:firstLine="480"/>
        <w:jc w:val="both"/>
        <w:keepLines w:val="0"/>
        <w:keepNext w:val="0"/>
        <w:spacing w:before="0" w:beforeAutospacing="0" w:after="0" w:afterAutospacing="0" w:line="360" w:lineRule="auto"/>
        <w:widowControl w:val="off"/>
        <w:rPr>
          <w:rFonts w:hint="eastAsia" w:ascii="宋体" w:hAnsi="宋体"/>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启动异常低价投标（响应）审查后，评标委员会应当要求相关</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在</w:t>
      </w:r>
      <w:r>
        <w:rPr>
          <w:rFonts w:hint="eastAsia" w:ascii="宋体" w:hAnsi="宋体" w:cs="宋体"/>
          <w:b/>
          <w:bCs/>
          <w:color w:val="000000"/>
          <w:sz w:val="24"/>
          <w:szCs w:val="24"/>
          <w:highlight w:val="none"/>
          <w:lang w:val="en-US" w:eastAsia="zh-CN"/>
        </w:rPr>
        <w:t xml:space="preserve">系统</w:t>
      </w:r>
      <w:r>
        <w:rPr>
          <w:rFonts w:hint="eastAsia" w:ascii="宋体" w:hAnsi="宋体" w:eastAsia="宋体" w:cs="宋体"/>
          <w:b/>
          <w:bCs/>
          <w:color w:val="000000"/>
          <w:sz w:val="24"/>
          <w:szCs w:val="24"/>
          <w:highlight w:val="none"/>
        </w:rPr>
        <w:t xml:space="preserve">给定的合理时间内，提供项目具体成本测算等与报价合理性相关的</w:t>
      </w:r>
      <w:r>
        <w:rPr>
          <w:rFonts w:hint="eastAsia" w:ascii="宋体" w:hAnsi="宋体" w:cs="宋体"/>
          <w:b/>
          <w:bCs/>
          <w:color w:val="000000"/>
          <w:sz w:val="24"/>
          <w:szCs w:val="24"/>
          <w:highlight w:val="none"/>
          <w:lang w:val="en-US" w:eastAsia="zh-CN"/>
        </w:rPr>
        <w:t xml:space="preserve">澄清</w:t>
      </w:r>
      <w:r>
        <w:rPr>
          <w:rFonts w:hint="eastAsia" w:ascii="宋体" w:hAnsi="宋体" w:eastAsia="宋体" w:cs="宋体"/>
          <w:b/>
          <w:bCs/>
          <w:color w:val="000000"/>
          <w:sz w:val="24"/>
          <w:szCs w:val="24"/>
          <w:highlight w:val="none"/>
        </w:rPr>
        <w:t xml:space="preserve">说明及相关证明材料，对投标（响应）价格作出解释，由评标委员会结合同类产品在主要电商平台的价格、该行业当地薪资水平等情况，依据专业经验对</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报价合理性进行判断。投标（响应）</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不提供</w:t>
      </w:r>
      <w:r>
        <w:rPr>
          <w:rFonts w:hint="eastAsia" w:ascii="宋体" w:hAnsi="宋体" w:cs="宋体"/>
          <w:b/>
          <w:bCs/>
          <w:color w:val="000000"/>
          <w:sz w:val="24"/>
          <w:szCs w:val="24"/>
          <w:highlight w:val="none"/>
          <w:lang w:val="en-US" w:eastAsia="zh-CN"/>
        </w:rPr>
        <w:t xml:space="preserve">澄清</w:t>
      </w:r>
      <w:r>
        <w:rPr>
          <w:rFonts w:hint="eastAsia" w:ascii="宋体" w:hAnsi="宋体" w:eastAsia="宋体" w:cs="宋体"/>
          <w:b/>
          <w:bCs/>
          <w:color w:val="000000"/>
          <w:sz w:val="24"/>
          <w:szCs w:val="24"/>
          <w:highlight w:val="none"/>
        </w:rPr>
        <w:t xml:space="preserve">说明、证明材料，或者提供的</w:t>
      </w:r>
      <w:r>
        <w:rPr>
          <w:rFonts w:hint="eastAsia" w:ascii="宋体" w:hAnsi="宋体" w:cs="宋体"/>
          <w:b/>
          <w:bCs/>
          <w:color w:val="000000"/>
          <w:sz w:val="24"/>
          <w:szCs w:val="24"/>
          <w:highlight w:val="none"/>
          <w:lang w:val="en-US" w:eastAsia="zh-CN"/>
        </w:rPr>
        <w:t xml:space="preserve">澄清</w:t>
      </w:r>
      <w:r>
        <w:rPr>
          <w:rFonts w:hint="eastAsia" w:ascii="宋体" w:hAnsi="宋体" w:eastAsia="宋体" w:cs="宋体"/>
          <w:b/>
          <w:bCs/>
          <w:color w:val="000000"/>
          <w:sz w:val="24"/>
          <w:szCs w:val="24"/>
          <w:highlight w:val="none"/>
        </w:rPr>
        <w:t xml:space="preserve">说明、证明材料不能证明其报价合理性的，评标委员会应当将其作为无效投标（响应）处理。审查相关情况应当在评标报告中进行记录。</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highlight w:val="none"/>
        </w:rPr>
        <w:t xml:space="preserve">22.6 </w:t>
      </w:r>
      <w:r>
        <w:rPr>
          <w:rFonts w:hint="eastAsia" w:ascii="宋体" w:hAnsi="宋体" w:cs="宋体"/>
          <w:color w:val="000000"/>
          <w:sz w:val="24"/>
          <w:szCs w:val="24"/>
          <w:highlight w:val="none"/>
        </w:rPr>
        <w:t xml:space="preserve">评标委员会根据全体评标成员签字的原始评标记录和评标结果编写评标报告</w:t>
      </w:r>
      <w:r>
        <w:rPr>
          <w:rFonts w:hint="eastAsia" w:ascii="宋体" w:hAnsi="宋体"/>
          <w:bCs/>
          <w:color w:val="000000"/>
          <w:sz w:val="24"/>
          <w:szCs w:val="24"/>
          <w:highlight w:val="none"/>
          <w:lang w:val="zh-CN"/>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2"/>
        <w:spacing w:line="360" w:lineRule="auto"/>
        <w:rPr>
          <w:rFonts w:hint="eastAsia" w:ascii="宋体" w:hAnsi="宋体"/>
          <w:b/>
          <w:color w:val="000000"/>
          <w:sz w:val="24"/>
          <w:szCs w:val="24"/>
          <w:highlight w:val="none"/>
        </w:rPr>
      </w:pPr>
      <w:r/>
      <w:bookmarkStart w:id="67" w:name="_Toc23122"/>
      <w:r>
        <w:rPr>
          <w:rFonts w:hint="eastAsia" w:ascii="宋体" w:hAnsi="宋体"/>
          <w:b/>
          <w:color w:val="000000"/>
          <w:sz w:val="24"/>
          <w:szCs w:val="24"/>
          <w:highlight w:val="none"/>
        </w:rPr>
        <w:t xml:space="preserve">23、定标</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采购人或采购代理机构向中标供应商发出中标通知书。</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23.3 </w:t>
      </w:r>
      <w:r>
        <w:rPr>
          <w:rFonts w:hint="eastAsia" w:ascii="宋体" w:hAnsi="宋体"/>
          <w:bCs/>
          <w:color w:val="000000"/>
          <w:sz w:val="24"/>
          <w:szCs w:val="24"/>
          <w:highlight w:val="none"/>
          <w:lang w:val="zh-CN"/>
        </w:rPr>
        <w:t xml:space="preserve">供应商中标后，</w:t>
      </w:r>
      <w:r>
        <w:rPr>
          <w:rFonts w:hint="eastAsia" w:ascii="宋体" w:hAnsi="宋体"/>
          <w:bCs/>
          <w:color w:val="000000"/>
          <w:sz w:val="24"/>
          <w:szCs w:val="24"/>
          <w:highlight w:val="none"/>
        </w:rPr>
        <w:t xml:space="preserve">采购招标代理</w:t>
      </w:r>
      <w:r>
        <w:rPr>
          <w:rFonts w:hint="eastAsia" w:ascii="宋体" w:hAnsi="宋体"/>
          <w:bCs/>
          <w:color w:val="000000"/>
          <w:sz w:val="24"/>
          <w:szCs w:val="24"/>
          <w:highlight w:val="none"/>
          <w:lang w:val="zh-CN"/>
        </w:rPr>
        <w:t xml:space="preserve">机构</w:t>
      </w:r>
      <w:r>
        <w:rPr>
          <w:rFonts w:hint="eastAsia" w:ascii="宋体" w:hAnsi="宋体" w:cs="宋体"/>
          <w:color w:val="000000"/>
          <w:sz w:val="24"/>
          <w:szCs w:val="24"/>
          <w:highlight w:val="none"/>
        </w:rPr>
        <w:t xml:space="preserve">将向中标供应商发出电子中标通知书，请中标供应商登录“苏采云”系统及时下载中标通知书。因系统存储空间有限，自中标结果公告发布之日起30日后，“苏采云”系统不再保证提供下载中标通知书服务。因未及时下载而造成的一切后果由中标供应商自行承担。</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8"/>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8"/>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招标文件没有不合理条款、招标程序符合规定，</w:t>
      </w:r>
      <w:bookmarkStart w:id="68" w:name="OLE_LINK182"/>
      <w:r/>
      <w:bookmarkStart w:id="69" w:name="OLE_LINK234"/>
      <w:r>
        <w:rPr>
          <w:rFonts w:hint="eastAsia" w:ascii="宋体" w:hAnsi="宋体"/>
          <w:bCs/>
          <w:color w:val="000000"/>
          <w:sz w:val="24"/>
          <w:szCs w:val="24"/>
          <w:highlight w:val="none"/>
        </w:rPr>
        <w:t xml:space="preserve">采购人依法报财政部门批准后可以采用其他采购方式采购</w:t>
      </w:r>
      <w:bookmarkEnd w:id="68"/>
      <w:r>
        <w:rPr>
          <w:rFonts w:hint="eastAsia" w:ascii="宋体" w:hAnsi="宋体"/>
          <w:bCs/>
          <w:color w:val="000000"/>
          <w:sz w:val="24"/>
          <w:szCs w:val="24"/>
          <w:highlight w:val="none"/>
        </w:rPr>
        <w:t xml:space="preserve">。</w:t>
      </w:r>
      <w:bookmarkEnd w:id="69"/>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25、废标的确认</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出现影响采购公正的违法、违规行为；</w:t>
      </w:r>
      <w:r/>
    </w:p>
    <w:p>
      <w:pPr>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因重大变故，采购任务取消。</w:t>
      </w:r>
      <w:r/>
    </w:p>
    <w:p>
      <w:pPr>
        <w:ind w:left="42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六、投标保证金</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26、投标保证金：本项目免收</w:t>
      </w:r>
      <w:r>
        <w:rPr>
          <w:rFonts w:hint="eastAsia" w:ascii="宋体" w:hAnsi="宋体"/>
          <w:bCs/>
          <w:color w:val="000000"/>
          <w:sz w:val="24"/>
          <w:szCs w:val="24"/>
          <w:highlight w:val="none"/>
          <w:lang w:val="zh-CN"/>
        </w:rPr>
        <w:t xml:space="preserve">投标保证金。</w:t>
      </w:r>
      <w:r/>
    </w:p>
    <w:p>
      <w:pPr>
        <w:ind w:left="42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rPr>
        <w:t xml:space="preserve">7</w:t>
      </w:r>
      <w:r>
        <w:rPr>
          <w:rFonts w:hint="eastAsia" w:ascii="宋体" w:hAnsi="宋体"/>
          <w:b w:val="0"/>
          <w:bCs/>
          <w:color w:val="000000"/>
          <w:sz w:val="24"/>
          <w:szCs w:val="24"/>
          <w:highlight w:val="none"/>
          <w:lang w:val="zh-CN"/>
        </w:rPr>
        <w:t xml:space="preserve">.4 </w:t>
      </w:r>
      <w:r>
        <w:rPr>
          <w:rFonts w:hint="eastAsia" w:ascii="宋体" w:hAnsi="宋体"/>
          <w:b w:val="0"/>
          <w:bCs/>
          <w:color w:val="000000"/>
          <w:sz w:val="24"/>
          <w:szCs w:val="24"/>
          <w:highlight w:val="none"/>
          <w:lang w:val="en-US" w:eastAsia="zh-CN"/>
        </w:rPr>
        <w:t xml:space="preserve">本项目免收履约保证金</w:t>
      </w:r>
      <w:r>
        <w:rPr>
          <w:rFonts w:hint="eastAsia" w:ascii="宋体" w:hAnsi="宋体"/>
          <w:b w:val="0"/>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w:t>
      </w:r>
      <w:bookmarkStart w:id="70" w:name="OLE_LINK5"/>
      <w:r>
        <w:rPr>
          <w:rFonts w:hint="eastAsia" w:ascii="宋体" w:hAnsi="宋体"/>
          <w:bCs/>
          <w:color w:val="000000"/>
          <w:sz w:val="24"/>
          <w:szCs w:val="24"/>
          <w:highlight w:val="none"/>
        </w:rPr>
        <w:t xml:space="preserve">5 </w:t>
      </w:r>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71" w:name="OLE_LINK2"/>
      <w:r>
        <w:rPr>
          <w:rFonts w:hint="eastAsia" w:ascii="宋体" w:hAnsi="宋体"/>
          <w:bCs/>
          <w:color w:val="000000"/>
          <w:sz w:val="24"/>
          <w:szCs w:val="24"/>
          <w:highlight w:val="none"/>
          <w:lang w:val="zh-CN"/>
        </w:rPr>
        <w:t xml:space="preserve">。</w:t>
      </w:r>
      <w:bookmarkEnd w:id="70"/>
      <w:r/>
      <w:bookmarkEnd w:id="71"/>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中标候选人放弃中标资格的，参照前款进行处理。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r/>
    </w:p>
    <w:p>
      <w:pPr>
        <w:ind w:left="42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28、投标行为及投标产品：</w:t>
      </w:r>
      <w:r/>
    </w:p>
    <w:p>
      <w:pPr>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投标服务及产品、产品安装（施工）等应符合国家、行业等相关标准及要求。</w:t>
      </w:r>
      <w:r/>
    </w:p>
    <w:p>
      <w:pPr>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投标人提供的产品应是全新、未使用过的原装合格正品。</w:t>
      </w:r>
      <w:r>
        <w:rPr>
          <w:rFonts w:hint="eastAsia" w:ascii="宋体" w:hAnsi="宋体"/>
          <w:bCs/>
          <w:color w:val="000000"/>
          <w:sz w:val="24"/>
          <w:highlight w:val="none"/>
        </w:rPr>
        <w:t xml:space="preserve">投标人中标后，在供货期内如遇产品平滑（自然）升级，中标供应商应提供平滑升级商品不补差价（招标文件中有特殊要求的除外）。</w:t>
      </w:r>
      <w:r/>
    </w:p>
    <w:p>
      <w:pPr>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招标文件中要求投标人出具的证书等相关材料，均应在有效期限内，即有效期限应覆盖投标文件评审当日。</w:t>
      </w:r>
      <w:r/>
    </w:p>
    <w:p>
      <w:pPr>
        <w:ind w:firstLine="482"/>
        <w:spacing w:line="360" w:lineRule="auto"/>
        <w:rPr>
          <w:rFonts w:hint="eastAsia" w:ascii="宋体" w:hAnsi="宋体"/>
          <w:b/>
          <w:color w:val="000000"/>
          <w:sz w:val="24"/>
          <w:szCs w:val="24"/>
          <w:highlight w:val="none"/>
        </w:rPr>
      </w:pPr>
      <w:r/>
      <w:bookmarkStart w:id="72" w:name="OLE_LINK184"/>
      <w:r/>
      <w:bookmarkStart w:id="73" w:name="OLE_LINK229"/>
      <w:r>
        <w:rPr>
          <w:rFonts w:hint="eastAsia" w:ascii="宋体" w:hAnsi="宋体"/>
          <w:b/>
          <w:color w:val="000000"/>
          <w:sz w:val="24"/>
          <w:szCs w:val="24"/>
          <w:highlight w:val="none"/>
          <w:lang w:val="zh-CN"/>
        </w:rPr>
        <w:t xml:space="preserve">九、验收</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29、</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、招标文件、投标文件</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和响应</w:t>
      </w:r>
      <w:r>
        <w:rPr>
          <w:rFonts w:ascii="宋体" w:hAnsi="宋体"/>
          <w:bCs/>
          <w:color w:val="000000"/>
          <w:sz w:val="24"/>
          <w:szCs w:val="24"/>
          <w:highlight w:val="none"/>
          <w:lang w:val="zh-CN"/>
        </w:rPr>
        <w:t xml:space="preserve">的技术、服务、安全标准对供应商</w:t>
      </w:r>
      <w:r>
        <w:rPr>
          <w:rFonts w:hint="eastAsia" w:ascii="宋体" w:hAnsi="宋体"/>
          <w:bCs/>
          <w:color w:val="000000"/>
          <w:sz w:val="24"/>
          <w:szCs w:val="24"/>
          <w:highlight w:val="none"/>
          <w:lang w:val="zh-CN"/>
        </w:rPr>
        <w:t xml:space="preserve">的</w:t>
      </w:r>
      <w:r>
        <w:rPr>
          <w:rFonts w:ascii="宋体" w:hAnsi="宋体"/>
          <w:bCs/>
          <w:color w:val="000000"/>
          <w:sz w:val="24"/>
          <w:szCs w:val="24"/>
          <w:highlight w:val="none"/>
          <w:lang w:val="zh-CN"/>
        </w:rPr>
        <w:t xml:space="preserve">履约情况进行验收，出具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bookmarkEnd w:id="72"/>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十、质疑处理</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bookmarkStart w:id="74" w:name="OLE_LINK100"/>
      <w:r/>
      <w:bookmarkStart w:id="75" w:name="OLE_LINK188"/>
      <w:r>
        <w:rPr>
          <w:rFonts w:hint="eastAsia" w:ascii="宋体" w:hAnsi="宋体"/>
          <w:bCs/>
          <w:color w:val="000000"/>
          <w:sz w:val="24"/>
          <w:szCs w:val="24"/>
          <w:highlight w:val="none"/>
        </w:rPr>
        <w:t xml:space="preserve">30、询问</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30.1 </w:t>
      </w:r>
      <w:bookmarkStart w:id="76" w:name="OLE_LINK22"/>
      <w:r>
        <w:rPr>
          <w:rFonts w:hint="eastAsia" w:ascii="宋体" w:hAnsi="宋体"/>
          <w:bCs/>
          <w:color w:val="000000"/>
          <w:sz w:val="24"/>
          <w:szCs w:val="24"/>
          <w:highlight w:val="none"/>
          <w:lang w:val="zh-CN"/>
        </w:rPr>
        <w:t xml:space="preserve">投标人对采购活动事项有疑问的，可以向</w:t>
      </w:r>
      <w:bookmarkStart w:id="77" w:name="OLE_LINK24"/>
      <w:r>
        <w:rPr>
          <w:rFonts w:hint="eastAsia" w:ascii="宋体" w:hAnsi="宋体"/>
          <w:bCs/>
          <w:color w:val="000000"/>
          <w:sz w:val="24"/>
          <w:szCs w:val="24"/>
          <w:highlight w:val="none"/>
          <w:lang w:val="zh-CN"/>
        </w:rPr>
        <w:t xml:space="preserve">采购人</w:t>
      </w:r>
      <w:bookmarkEnd w:id="77"/>
      <w:r>
        <w:rPr>
          <w:rFonts w:hint="eastAsia" w:ascii="宋体" w:hAnsi="宋体"/>
          <w:bCs/>
          <w:color w:val="000000"/>
          <w:sz w:val="24"/>
          <w:szCs w:val="24"/>
          <w:highlight w:val="none"/>
          <w:lang w:val="zh-CN"/>
        </w:rPr>
        <w:t xml:space="preserve">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bookmarkEnd w:id="76"/>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31、质疑</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31.1 </w:t>
      </w:r>
      <w:bookmarkStart w:id="78" w:name="OLE_LINK139"/>
      <w:r>
        <w:rPr>
          <w:rFonts w:hint="eastAsia" w:ascii="宋体" w:hAnsi="宋体"/>
          <w:bCs/>
          <w:color w:val="000000"/>
          <w:sz w:val="24"/>
          <w:szCs w:val="24"/>
          <w:highlight w:val="none"/>
          <w:lang w:val="zh-CN"/>
        </w:rPr>
        <w:t xml:space="preserve">质疑必须符合《中华人民共和国政府采购法》、《中华人民共和国政府采购法实施条例》、《江苏省政府采购供应商监督管理暂行办法》中“质疑”相关内容要求。“宜兴市政府采购质疑书”格式内容，可在“宜兴市公共资源交易中心”</w:t>
      </w:r>
      <w:r>
        <w:rPr>
          <w:rFonts w:hint="eastAsia" w:ascii="宋体" w:hAnsi="宋体"/>
          <w:bCs/>
          <w:color w:val="000000"/>
          <w:sz w:val="24"/>
          <w:szCs w:val="24"/>
          <w:highlight w:val="none"/>
        </w:rPr>
        <w:t xml:space="preserve">网站</w:t>
      </w:r>
      <w:r>
        <w:rPr>
          <w:rFonts w:hint="eastAsia" w:ascii="宋体" w:hAnsi="宋体"/>
          <w:bCs/>
          <w:color w:val="000000"/>
          <w:sz w:val="24"/>
          <w:szCs w:val="24"/>
          <w:highlight w:val="none"/>
          <w:lang w:val="zh-CN"/>
        </w:rPr>
        <w:t xml:space="preserve">“下载中心”栏自行下载。</w:t>
      </w:r>
      <w:bookmarkEnd w:id="78"/>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31.2 </w:t>
      </w:r>
      <w:bookmarkStart w:id="79" w:name="OLE_LINK23"/>
      <w:r>
        <w:rPr>
          <w:rFonts w:hint="eastAsia" w:ascii="宋体" w:hAnsi="宋体"/>
          <w:b/>
          <w:color w:val="000000"/>
          <w:sz w:val="24"/>
          <w:szCs w:val="24"/>
          <w:highlight w:val="none"/>
          <w:lang w:val="zh-CN"/>
        </w:rPr>
        <w:t xml:space="preserve">质疑答复责任主体：</w:t>
      </w:r>
      <w:r/>
    </w:p>
    <w:p>
      <w:pPr>
        <w:numPr>
          <w:ilvl w:val="0"/>
          <w:numId w:val="11"/>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w:t>
      </w:r>
      <w:r>
        <w:rPr>
          <w:rFonts w:ascii="宋体" w:hAnsi="宋体"/>
          <w:b/>
          <w:color w:val="000000"/>
          <w:sz w:val="24"/>
          <w:szCs w:val="24"/>
          <w:highlight w:val="none"/>
          <w:lang w:val="zh-CN"/>
        </w:rPr>
        <w:t xml:space="preserve">采购文件、采购过程和</w:t>
      </w:r>
      <w:r>
        <w:rPr>
          <w:rFonts w:hint="eastAsia" w:ascii="宋体" w:hAnsi="宋体"/>
          <w:b/>
          <w:color w:val="000000"/>
          <w:sz w:val="24"/>
          <w:szCs w:val="24"/>
          <w:highlight w:val="none"/>
          <w:lang w:val="zh-CN"/>
        </w:rPr>
        <w:t xml:space="preserve">中标</w:t>
      </w:r>
      <w:r>
        <w:rPr>
          <w:rFonts w:ascii="宋体" w:hAnsi="宋体"/>
          <w:b/>
          <w:color w:val="000000"/>
          <w:sz w:val="24"/>
          <w:szCs w:val="24"/>
          <w:highlight w:val="none"/>
          <w:lang w:val="zh-CN"/>
        </w:rPr>
        <w:t xml:space="preserve">结果</w:t>
      </w:r>
      <w:r>
        <w:rPr>
          <w:rFonts w:ascii="宋体" w:hAnsi="宋体"/>
          <w:bCs/>
          <w:color w:val="000000"/>
          <w:sz w:val="24"/>
          <w:szCs w:val="24"/>
          <w:highlight w:val="none"/>
          <w:lang w:val="zh-CN"/>
        </w:rPr>
        <w:t xml:space="preserve">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numPr>
          <w:ilvl w:val="0"/>
          <w:numId w:val="11"/>
        </w:num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投标人认为</w:t>
      </w:r>
      <w:r>
        <w:rPr>
          <w:rFonts w:hint="eastAsia" w:ascii="宋体" w:hAnsi="宋体"/>
          <w:b/>
          <w:color w:val="000000"/>
          <w:sz w:val="24"/>
          <w:szCs w:val="24"/>
          <w:highlight w:val="none"/>
          <w:lang w:val="zh-CN"/>
        </w:rPr>
        <w:t xml:space="preserve">采购程序及流程操作</w:t>
      </w:r>
      <w:r>
        <w:rPr>
          <w:rFonts w:hint="eastAsia" w:ascii="宋体" w:hAnsi="宋体"/>
          <w:bCs/>
          <w:color w:val="000000"/>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79"/>
      <w:r>
        <w:rPr>
          <w:rFonts w:hint="eastAsia" w:ascii="宋体" w:hAnsi="宋体"/>
          <w:bCs/>
          <w:color w:val="000000"/>
          <w:sz w:val="24"/>
          <w:szCs w:val="24"/>
          <w:highlight w:val="none"/>
          <w:lang w:val="zh-CN"/>
        </w:rPr>
        <w:br w:type="textWrapping" w:clear="all"/>
      </w:r>
      <w:r>
        <w:rPr>
          <w:rFonts w:hint="eastAsia" w:ascii="宋体" w:hAnsi="宋体"/>
          <w:bCs/>
          <w:color w:val="000000"/>
          <w:sz w:val="24"/>
          <w:szCs w:val="24"/>
          <w:highlight w:val="none"/>
          <w:lang w:val="zh-CN"/>
        </w:rPr>
        <w:t xml:space="preserve">    </w:t>
      </w:r>
      <w:r>
        <w:rPr>
          <w:rFonts w:hint="eastAsia" w:ascii="宋体" w:hAnsi="宋体"/>
          <w:bCs/>
          <w:color w:val="000000"/>
          <w:sz w:val="24"/>
          <w:szCs w:val="24"/>
          <w:highlight w:val="none"/>
        </w:rPr>
        <w:t xml:space="preserve">31.3 </w:t>
      </w:r>
      <w:bookmarkStart w:id="80" w:name="OLE_LINK141"/>
      <w:r>
        <w:rPr>
          <w:rFonts w:hint="eastAsia" w:ascii="宋体" w:hAnsi="宋体"/>
          <w:b/>
          <w:color w:val="000000"/>
          <w:sz w:val="24"/>
          <w:szCs w:val="24"/>
          <w:highlight w:val="none"/>
        </w:rPr>
        <w:t xml:space="preserve">质疑时效期间的起算</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31.4 </w:t>
      </w:r>
      <w:r>
        <w:rPr>
          <w:rFonts w:hint="eastAsia" w:ascii="宋体" w:hAnsi="宋体"/>
          <w:bCs/>
          <w:color w:val="000000"/>
          <w:sz w:val="24"/>
          <w:szCs w:val="24"/>
          <w:highlight w:val="none"/>
          <w:lang w:val="zh-CN"/>
        </w:rPr>
        <w:t xml:space="preserve">对符合法定质疑条件的质疑，被质疑人在受理后的七个工作日内进行书面答复。</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31.5 </w:t>
      </w:r>
      <w:r>
        <w:rPr>
          <w:rFonts w:hint="eastAsia" w:ascii="宋体" w:hAnsi="宋体"/>
          <w:bCs/>
          <w:color w:val="000000"/>
          <w:sz w:val="24"/>
          <w:szCs w:val="24"/>
          <w:highlight w:val="none"/>
          <w:lang w:val="zh-CN"/>
        </w:rPr>
        <w:t xml:space="preserve">恶意质疑或提交虚假质疑一经查实，被质疑人有权依据政府采购法的有关规定，报请政府采购监管部门对该质疑人进行相应的行政处罚。</w:t>
      </w:r>
      <w:bookmarkStart w:id="81" w:name="OLE_LINK142"/>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32、投诉</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32.1</w:t>
      </w:r>
      <w:r>
        <w:rPr>
          <w:rFonts w:ascii="宋体" w:hAnsi="宋体"/>
          <w:bCs/>
          <w:color w:val="000000"/>
          <w:sz w:val="24"/>
          <w:szCs w:val="24"/>
          <w:highlight w:val="none"/>
          <w:lang w:val="zh-CN"/>
        </w:rPr>
        <w:t xml:space="preserve">质疑供应商对采购人的答复不满意或者采购人未在规定的时间内作出答复的，</w:t>
      </w:r>
      <w:bookmarkEnd w:id="74"/>
      <w:r/>
      <w:bookmarkEnd w:id="81"/>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向本招标文件第一章投标邀请函中的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bookmarkEnd w:id="75"/>
      <w:r>
        <w:rPr>
          <w:rFonts w:hint="eastAsia" w:ascii="宋体" w:hAnsi="宋体"/>
          <w:bCs/>
          <w:color w:val="000000"/>
          <w:sz w:val="24"/>
          <w:szCs w:val="24"/>
          <w:highlight w:val="none"/>
          <w:lang w:val="zh-CN"/>
        </w:rPr>
        <w:t xml:space="preserve">。</w:t>
      </w:r>
      <w:bookmarkEnd w:id="73"/>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32.2若按相关规定提出的质疑、投诉成立或因其他情况，取消第一候选人的中标资格,则本项目须重新组织采购活动。  </w:t>
      </w:r>
      <w:bookmarkEnd w:id="67"/>
      <w:r/>
      <w:bookmarkStart w:id="82" w:name="_Toc19590"/>
      <w:r/>
      <w:bookmarkStart w:id="83" w:name="_Toc25466"/>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560"/>
        <w:jc w:val="center"/>
        <w:spacing w:line="360" w:lineRule="auto"/>
        <w:rPr>
          <w:rFonts w:hint="eastAsia" w:ascii="黑体" w:hAnsi="黑体" w:eastAsia="黑体" w:cs="Times New Roman"/>
          <w:b w:val="0"/>
          <w:bCs/>
          <w:color w:val="000000"/>
          <w:sz w:val="28"/>
          <w:highlight w:val="none"/>
        </w:rPr>
      </w:pPr>
      <w:r>
        <w:rPr>
          <w:rFonts w:hint="eastAsia" w:ascii="黑体" w:hAnsi="黑体" w:eastAsia="黑体" w:cs="Times New Roman"/>
          <w:b w:val="0"/>
          <w:bCs/>
          <w:color w:val="000000"/>
          <w:sz w:val="28"/>
          <w:highlight w:val="none"/>
        </w:rPr>
      </w:r>
      <w:r/>
    </w:p>
    <w:p>
      <w:pPr>
        <w:ind w:firstLine="560"/>
        <w:jc w:val="center"/>
        <w:spacing w:line="360" w:lineRule="auto"/>
        <w:rPr>
          <w:rFonts w:hint="eastAsia" w:ascii="宋体" w:hAnsi="宋体" w:eastAsia="宋体" w:cs="宋体"/>
          <w:color w:val="000000"/>
          <w:sz w:val="24"/>
          <w:szCs w:val="24"/>
          <w:highlight w:val="none"/>
        </w:rPr>
      </w:pPr>
      <w:r>
        <w:rPr>
          <w:rFonts w:hint="eastAsia" w:ascii="黑体" w:hAnsi="黑体" w:eastAsia="黑体" w:cs="Times New Roman"/>
          <w:b w:val="0"/>
          <w:bCs/>
          <w:color w:val="000000"/>
          <w:sz w:val="28"/>
          <w:highlight w:val="none"/>
        </w:rPr>
        <w:br w:type="page" w:clear="all"/>
      </w:r>
      <w:r>
        <w:rPr>
          <w:rFonts w:hint="eastAsia" w:ascii="黑体" w:hAnsi="黑体" w:eastAsia="黑体" w:cs="Times New Roman"/>
          <w:b w:val="0"/>
          <w:bCs/>
          <w:color w:val="000000"/>
          <w:sz w:val="28"/>
          <w:highlight w:val="none"/>
        </w:rPr>
        <w:t xml:space="preserve">第三章 项目技术要求和有关说明</w:t>
      </w:r>
      <w:bookmarkEnd w:id="82"/>
      <w:r/>
      <w:r/>
    </w:p>
    <w:p>
      <w:pPr>
        <w:pStyle w:val="981"/>
        <w:rPr>
          <w:rFonts w:hint="eastAsia"/>
          <w:color w:val="000000"/>
          <w:sz w:val="24"/>
          <w:szCs w:val="24"/>
          <w:highlight w:val="none"/>
        </w:rPr>
      </w:pPr>
      <w:r>
        <w:rPr>
          <w:rFonts w:hint="eastAsia"/>
          <w:color w:val="000000"/>
          <w:sz w:val="24"/>
          <w:szCs w:val="24"/>
          <w:highlight w:val="none"/>
        </w:rPr>
        <w:t xml:space="preserve">一、项目概况</w:t>
      </w:r>
      <w:r/>
    </w:p>
    <w:p>
      <w:pPr>
        <w:pStyle w:val="1040"/>
        <w:rPr>
          <w:color w:val="000000"/>
          <w:highlight w:val="none"/>
        </w:rPr>
      </w:pPr>
      <w:r>
        <w:rPr>
          <w:color w:val="000000"/>
          <w:highlight w:val="none"/>
        </w:rPr>
        <w:t xml:space="preserve">本项目为落实《江苏省工业园区（集中区）污染物排放限值限量监测监控系统建设指南（试行）》要求，实施1套标准空气站、1套PAMS空气站的设备采购、安装、调试、验收及3年运维服务，实现数据实时接入园区平台及江苏省生态环境大数据平台，满足限值限量管理、总量核算、非现场监管、数据盯控、分析预警等需求。</w:t>
      </w:r>
      <w:r/>
    </w:p>
    <w:p>
      <w:pPr>
        <w:pStyle w:val="1040"/>
        <w:rPr>
          <w:rFonts w:hint="eastAsia" w:eastAsia="宋体"/>
          <w:color w:val="000000"/>
          <w:highlight w:val="none"/>
        </w:rPr>
      </w:pPr>
      <w:r>
        <w:rPr>
          <w:color w:val="000000"/>
          <w:highlight w:val="none"/>
        </w:rPr>
        <w:t xml:space="preserve">本项目预算构成：设备购置费</w:t>
      </w:r>
      <w:r>
        <w:rPr>
          <w:rFonts w:hint="eastAsia"/>
          <w:color w:val="000000"/>
          <w:highlight w:val="none"/>
          <w:lang w:val="en-US" w:eastAsia="zh-CN"/>
        </w:rPr>
        <w:t xml:space="preserve">+</w:t>
      </w:r>
      <w:r>
        <w:rPr>
          <w:color w:val="000000"/>
          <w:highlight w:val="none"/>
        </w:rPr>
        <w:t xml:space="preserve">三年运维服务费</w:t>
      </w:r>
      <w:r>
        <w:rPr>
          <w:rFonts w:hint="eastAsia"/>
          <w:color w:val="000000"/>
          <w:highlight w:val="none"/>
          <w:lang w:eastAsia="zh-CN"/>
        </w:rPr>
        <w:t xml:space="preserve">，</w:t>
      </w:r>
      <w:r>
        <w:rPr>
          <w:color w:val="000000"/>
          <w:highlight w:val="none"/>
        </w:rPr>
        <w:t xml:space="preserve">合计</w:t>
      </w:r>
      <w:r>
        <w:rPr>
          <w:rFonts w:hint="eastAsia"/>
          <w:color w:val="000000"/>
          <w:highlight w:val="none"/>
          <w:lang w:val="en-US" w:eastAsia="zh-CN"/>
        </w:rPr>
        <w:t xml:space="preserve">187.5</w:t>
      </w:r>
      <w:r>
        <w:rPr>
          <w:color w:val="000000"/>
          <w:highlight w:val="none"/>
        </w:rPr>
        <w:t xml:space="preserve">万元。所有设备提供三年质保，质保期内全部免费维修、免费更换、免费校准</w:t>
      </w:r>
      <w:r>
        <w:rPr>
          <w:rFonts w:hint="eastAsia"/>
          <w:color w:val="000000"/>
          <w:highlight w:val="none"/>
          <w:lang w:eastAsia="zh-CN"/>
        </w:rPr>
        <w:t xml:space="preserve">。</w:t>
      </w:r>
      <w:r/>
    </w:p>
    <w:p>
      <w:pPr>
        <w:pStyle w:val="981"/>
        <w:numPr>
          <w:ilvl w:val="0"/>
          <w:numId w:val="12"/>
        </w:numPr>
        <w:rPr>
          <w:rFonts w:hint="eastAsia"/>
          <w:color w:val="000000"/>
          <w:sz w:val="24"/>
          <w:szCs w:val="24"/>
          <w:highlight w:val="none"/>
        </w:rPr>
      </w:pPr>
      <w:r>
        <w:rPr>
          <w:rFonts w:hint="eastAsia"/>
          <w:color w:val="000000"/>
          <w:sz w:val="24"/>
          <w:szCs w:val="24"/>
          <w:highlight w:val="none"/>
          <w:lang w:val="en-US" w:eastAsia="zh-CN"/>
        </w:rPr>
        <w:t xml:space="preserve">采购需求单</w:t>
      </w:r>
      <w:r/>
    </w:p>
    <w:p>
      <w:pPr>
        <w:pStyle w:val="1041"/>
        <w:ind w:firstLine="480"/>
        <w:rPr>
          <w:rFonts w:ascii="宋体" w:hAnsi="宋体" w:eastAsia="宋体" w:cs="Times New Roman"/>
          <w:b w:val="0"/>
          <w:color w:val="000000"/>
          <w:sz w:val="24"/>
          <w:szCs w:val="22"/>
          <w:highlight w:val="none"/>
        </w:rPr>
      </w:pPr>
      <w:r>
        <w:rPr>
          <w:rFonts w:ascii="宋体" w:hAnsi="宋体" w:eastAsia="宋体" w:cs="Times New Roman"/>
          <w:b w:val="0"/>
          <w:color w:val="000000"/>
          <w:sz w:val="24"/>
          <w:szCs w:val="22"/>
          <w:highlight w:val="none"/>
          <w:lang w:val="en-US" w:eastAsia="en-US" w:bidi="ar-SA"/>
        </w:rPr>
        <w:t xml:space="preserve">本项目设备</w:t>
      </w:r>
      <w:r>
        <w:rPr>
          <w:rFonts w:hint="eastAsia" w:cs="Times New Roman"/>
          <w:b w:val="0"/>
          <w:color w:val="000000"/>
          <w:sz w:val="24"/>
          <w:szCs w:val="22"/>
          <w:highlight w:val="none"/>
          <w:lang w:val="en-US" w:eastAsia="zh-CN" w:bidi="ar-SA"/>
        </w:rPr>
        <w:t xml:space="preserve">+运维</w:t>
      </w:r>
      <w:r>
        <w:rPr>
          <w:rFonts w:ascii="宋体" w:hAnsi="宋体" w:eastAsia="宋体" w:cs="Times New Roman"/>
          <w:b w:val="0"/>
          <w:color w:val="000000"/>
          <w:sz w:val="24"/>
          <w:szCs w:val="22"/>
          <w:highlight w:val="none"/>
          <w:lang w:val="en-US" w:eastAsia="en-US" w:bidi="ar-SA"/>
        </w:rPr>
        <w:t xml:space="preserve">总费用为</w:t>
      </w:r>
      <w:r>
        <w:rPr>
          <w:rFonts w:hint="eastAsia" w:cs="Times New Roman"/>
          <w:b w:val="0"/>
          <w:color w:val="000000"/>
          <w:sz w:val="24"/>
          <w:szCs w:val="22"/>
          <w:highlight w:val="none"/>
          <w:lang w:val="en-US" w:eastAsia="zh-CN" w:bidi="ar-SA"/>
        </w:rPr>
        <w:t xml:space="preserve">187.5</w:t>
      </w:r>
      <w:r>
        <w:rPr>
          <w:rFonts w:ascii="宋体" w:hAnsi="宋体" w:eastAsia="宋体" w:cs="Times New Roman"/>
          <w:b w:val="0"/>
          <w:color w:val="000000"/>
          <w:sz w:val="24"/>
          <w:szCs w:val="22"/>
          <w:highlight w:val="none"/>
          <w:lang w:val="en-US" w:eastAsia="en-US" w:bidi="ar-SA"/>
        </w:rPr>
        <w:t xml:space="preserve">万元。所有设备提供三年原厂质保，质保期内所有设备维修、更换、校准、零部件更新均由中标人免费承担。</w:t>
      </w:r>
      <w:r/>
    </w:p>
    <w:p>
      <w:pPr>
        <w:numPr>
          <w:ilvl w:val="0"/>
          <w:numId w:val="0"/>
        </w:numPr>
        <w:rPr>
          <w:rFonts w:hint="eastAsia"/>
          <w:color w:val="000000"/>
          <w:highlight w:val="none"/>
        </w:rPr>
      </w:pPr>
      <w:r>
        <w:rPr>
          <w:rFonts w:hint="eastAsia"/>
          <w:color w:val="000000"/>
          <w:highlight w:val="none"/>
        </w:rPr>
      </w:r>
      <w:r/>
    </w:p>
    <w:tbl>
      <w:tblPr>
        <w:tblStyle w:val="810"/>
        <w:tblW w:w="108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3"/>
        <w:gridCol w:w="2969"/>
        <w:gridCol w:w="4021"/>
        <w:gridCol w:w="861"/>
        <w:gridCol w:w="1113"/>
        <w:gridCol w:w="1028"/>
      </w:tblGrid>
      <w:tr>
        <w:trPr>
          <w:jc w:val="center"/>
          <w:trHeight w:val="519"/>
        </w:trPr>
        <w:tc>
          <w:tcPr>
            <w:tcW w:w="833" w:type="dxa"/>
            <w:vAlign w:val="center"/>
            <w:textDirection w:val="lrTb"/>
            <w:noWrap w:val="false"/>
          </w:tcPr>
          <w:p>
            <w:pPr>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2"/>
                <w:sz w:val="24"/>
                <w:szCs w:val="24"/>
                <w:highlight w:val="none"/>
              </w:rPr>
              <w:t xml:space="preserve">序</w:t>
            </w:r>
            <w:r>
              <w:rPr>
                <w:rFonts w:hint="eastAsia" w:ascii="宋体" w:hAnsi="宋体" w:cs="宋体"/>
                <w:color w:val="000000"/>
                <w:spacing w:val="-1"/>
                <w:sz w:val="24"/>
                <w:szCs w:val="24"/>
                <w:highlight w:val="none"/>
              </w:rPr>
              <w:t xml:space="preserve">号</w:t>
            </w:r>
            <w:r/>
          </w:p>
        </w:tc>
        <w:tc>
          <w:tcPr>
            <w:tcW w:w="2969" w:type="dxa"/>
            <w:vAlign w:val="center"/>
            <w:textDirection w:val="lrTb"/>
            <w:noWrap w:val="false"/>
          </w:tcPr>
          <w:p>
            <w:pPr>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项</w:t>
            </w:r>
            <w:r>
              <w:rPr>
                <w:rFonts w:hint="eastAsia" w:ascii="宋体" w:hAnsi="宋体" w:cs="宋体"/>
                <w:color w:val="000000"/>
                <w:spacing w:val="-2"/>
                <w:sz w:val="24"/>
                <w:szCs w:val="24"/>
                <w:highlight w:val="none"/>
              </w:rPr>
              <w:t xml:space="preserve">目名称</w:t>
            </w:r>
            <w:r/>
          </w:p>
        </w:tc>
        <w:tc>
          <w:tcPr>
            <w:tcW w:w="4021" w:type="dxa"/>
            <w:vAlign w:val="center"/>
            <w:textDirection w:val="lrTb"/>
            <w:noWrap w:val="false"/>
          </w:tcPr>
          <w:p>
            <w:pPr>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2"/>
                <w:sz w:val="24"/>
                <w:szCs w:val="24"/>
                <w:highlight w:val="none"/>
              </w:rPr>
              <w:t xml:space="preserve">服务内容</w:t>
            </w:r>
            <w:r/>
          </w:p>
        </w:tc>
        <w:tc>
          <w:tcPr>
            <w:tcW w:w="861" w:type="dxa"/>
            <w:vAlign w:val="center"/>
            <w:textDirection w:val="lrTb"/>
            <w:noWrap w:val="false"/>
          </w:tcPr>
          <w:p>
            <w:pPr>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数</w:t>
            </w:r>
            <w:r>
              <w:rPr>
                <w:rFonts w:hint="eastAsia" w:ascii="宋体" w:hAnsi="宋体" w:cs="宋体"/>
                <w:color w:val="000000"/>
                <w:spacing w:val="-2"/>
                <w:sz w:val="24"/>
                <w:szCs w:val="24"/>
                <w:highlight w:val="none"/>
              </w:rPr>
              <w:t xml:space="preserve">量</w:t>
            </w:r>
            <w:r/>
          </w:p>
        </w:tc>
        <w:tc>
          <w:tcPr>
            <w:tcW w:w="1113" w:type="dxa"/>
            <w:vAlign w:val="center"/>
            <w:textDirection w:val="lrTb"/>
            <w:noWrap w:val="false"/>
          </w:tcPr>
          <w:p>
            <w:pPr>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单</w:t>
            </w:r>
            <w:r>
              <w:rPr>
                <w:rFonts w:hint="eastAsia" w:ascii="宋体" w:hAnsi="宋体" w:cs="宋体"/>
                <w:color w:val="000000"/>
                <w:spacing w:val="-2"/>
                <w:sz w:val="24"/>
                <w:szCs w:val="24"/>
                <w:highlight w:val="none"/>
              </w:rPr>
              <w:t xml:space="preserve">位</w:t>
            </w:r>
            <w:r/>
          </w:p>
        </w:tc>
        <w:tc>
          <w:tcPr>
            <w:tcW w:w="1028" w:type="dxa"/>
            <w:vAlign w:val="center"/>
            <w:textDirection w:val="lrTb"/>
            <w:noWrap w:val="false"/>
          </w:tcPr>
          <w:p>
            <w:pPr>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单价限价（万元）</w:t>
            </w:r>
            <w:r/>
          </w:p>
        </w:tc>
      </w:tr>
      <w:tr>
        <w:trPr>
          <w:jc w:val="center"/>
          <w:trHeight w:val="998"/>
        </w:trPr>
        <w:tc>
          <w:tcPr>
            <w:tcW w:w="833" w:type="dxa"/>
            <w:vAlign w:val="center"/>
            <w:textDirection w:val="lrTb"/>
            <w:noWrap w:val="false"/>
          </w:tcPr>
          <w:p>
            <w:pPr>
              <w:jc w:val="center"/>
              <w:spacing w:before="201" w:line="360" w:lineRule="auto"/>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1</w:t>
            </w:r>
            <w:r/>
          </w:p>
        </w:tc>
        <w:tc>
          <w:tcPr>
            <w:tcW w:w="2969" w:type="dxa"/>
            <w:vAlign w:val="center"/>
            <w:textDirection w:val="lrTb"/>
            <w:noWrap w:val="false"/>
          </w:tcPr>
          <w:p>
            <w:pPr>
              <w:jc w:val="center"/>
              <w:spacing w:before="201" w:line="360" w:lineRule="auto"/>
              <w:rPr>
                <w:rFonts w:hint="eastAsia" w:ascii="宋体" w:hAnsi="宋体" w:eastAsia="宋体" w:cs="宋体"/>
                <w:color w:val="000000"/>
                <w:spacing w:val="-3"/>
                <w:sz w:val="24"/>
                <w:szCs w:val="24"/>
                <w:highlight w:val="none"/>
              </w:rPr>
            </w:pPr>
            <w:r>
              <w:rPr>
                <w:color w:val="000000"/>
                <w:highlight w:val="none"/>
              </w:rPr>
              <w:t xml:space="preserve">标准空气站（含气象五参）</w:t>
            </w:r>
            <w:r/>
          </w:p>
        </w:tc>
        <w:tc>
          <w:tcPr>
            <w:tcW w:w="4021" w:type="dxa"/>
            <w:vAlign w:val="center"/>
            <w:textDirection w:val="lrTb"/>
            <w:noWrap w:val="false"/>
          </w:tcPr>
          <w:p>
            <w:pPr>
              <w:jc w:val="center"/>
              <w:spacing w:before="201" w:line="360" w:lineRule="auto"/>
              <w:rPr>
                <w:rFonts w:ascii="宋体" w:hAnsi="宋体" w:cs="宋体"/>
                <w:color w:val="000000"/>
                <w:spacing w:val="-3"/>
                <w:sz w:val="24"/>
                <w:szCs w:val="24"/>
                <w:highlight w:val="none"/>
              </w:rPr>
            </w:pPr>
            <w:r>
              <w:rPr>
                <w:color w:val="000000"/>
                <w:highlight w:val="none"/>
              </w:rPr>
              <w:t xml:space="preserve">满足HJ 653、HJ 654，监测PM₂.₅、PM₁₀、SO₂、NO₂、CO、O₃、温度、湿度、气压、风速、风向</w:t>
            </w:r>
            <w:r/>
          </w:p>
        </w:tc>
        <w:tc>
          <w:tcPr>
            <w:tcW w:w="861" w:type="dxa"/>
            <w:vAlign w:val="center"/>
            <w:textDirection w:val="lrTb"/>
            <w:noWrap w:val="false"/>
          </w:tcPr>
          <w:p>
            <w:pPr>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1</w:t>
            </w:r>
            <w:r/>
          </w:p>
        </w:tc>
        <w:tc>
          <w:tcPr>
            <w:tcW w:w="1113" w:type="dxa"/>
            <w:vAlign w:val="center"/>
            <w:textDirection w:val="lrTb"/>
            <w:noWrap w:val="false"/>
          </w:tcPr>
          <w:p>
            <w:pPr>
              <w:jc w:val="center"/>
              <w:spacing w:before="201" w:line="360" w:lineRule="auto"/>
              <w:rPr>
                <w:rFonts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套</w:t>
            </w:r>
            <w:r/>
          </w:p>
        </w:tc>
        <w:tc>
          <w:tcPr>
            <w:tcW w:w="1028" w:type="dxa"/>
            <w:vAlign w:val="center"/>
            <w:vMerge w:val="restart"/>
            <w:textDirection w:val="lrTb"/>
            <w:noWrap w:val="false"/>
          </w:tcPr>
          <w:p>
            <w:pPr>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125</w:t>
            </w:r>
            <w:r/>
          </w:p>
        </w:tc>
      </w:tr>
      <w:tr>
        <w:trPr>
          <w:jc w:val="center"/>
          <w:trHeight w:val="1031"/>
        </w:trPr>
        <w:tc>
          <w:tcPr>
            <w:tcW w:w="833" w:type="dxa"/>
            <w:vAlign w:val="center"/>
            <w:textDirection w:val="lrTb"/>
            <w:noWrap w:val="false"/>
          </w:tcPr>
          <w:p>
            <w:pPr>
              <w:jc w:val="center"/>
              <w:spacing w:before="201" w:line="360" w:lineRule="auto"/>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2</w:t>
            </w:r>
            <w:r/>
          </w:p>
        </w:tc>
        <w:tc>
          <w:tcPr>
            <w:tcW w:w="2969" w:type="dxa"/>
            <w:vAlign w:val="center"/>
            <w:textDirection w:val="lrTb"/>
            <w:noWrap w:val="false"/>
          </w:tcPr>
          <w:p>
            <w:pPr>
              <w:jc w:val="center"/>
              <w:spacing w:before="201" w:line="360" w:lineRule="auto"/>
              <w:rPr>
                <w:rFonts w:ascii="宋体" w:hAnsi="宋体" w:eastAsia="宋体" w:cs="宋体"/>
                <w:color w:val="000000"/>
                <w:spacing w:val="-3"/>
                <w:sz w:val="24"/>
                <w:szCs w:val="24"/>
                <w:highlight w:val="none"/>
              </w:rPr>
            </w:pPr>
            <w:r>
              <w:rPr>
                <w:color w:val="000000"/>
                <w:highlight w:val="none"/>
              </w:rPr>
              <w:t xml:space="preserve">PAMS空气站（57种VOCs）</w:t>
            </w:r>
            <w:r/>
          </w:p>
        </w:tc>
        <w:tc>
          <w:tcPr>
            <w:tcW w:w="4021" w:type="dxa"/>
            <w:vAlign w:val="center"/>
            <w:textDirection w:val="lrTb"/>
            <w:noWrap w:val="false"/>
          </w:tcPr>
          <w:p>
            <w:pPr>
              <w:jc w:val="center"/>
              <w:spacing w:before="201" w:line="360" w:lineRule="auto"/>
              <w:rPr>
                <w:rFonts w:ascii="宋体" w:hAnsi="宋体" w:cs="宋体"/>
                <w:color w:val="000000"/>
                <w:spacing w:val="-3"/>
                <w:sz w:val="24"/>
                <w:szCs w:val="24"/>
                <w:highlight w:val="none"/>
              </w:rPr>
            </w:pPr>
            <w:r>
              <w:rPr>
                <w:color w:val="000000"/>
                <w:highlight w:val="none"/>
              </w:rPr>
              <w:t xml:space="preserve">满足HJ 1010，GC-双FID，60分钟分析周期，57种PAMS组分</w:t>
            </w:r>
            <w:r/>
          </w:p>
        </w:tc>
        <w:tc>
          <w:tcPr>
            <w:tcW w:w="861" w:type="dxa"/>
            <w:vAlign w:val="center"/>
            <w:textDirection w:val="lrTb"/>
            <w:noWrap w:val="false"/>
          </w:tcPr>
          <w:p>
            <w:pPr>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1</w:t>
            </w:r>
            <w:r/>
          </w:p>
        </w:tc>
        <w:tc>
          <w:tcPr>
            <w:tcW w:w="1113" w:type="dxa"/>
            <w:vAlign w:val="center"/>
            <w:textDirection w:val="lrTb"/>
            <w:noWrap w:val="false"/>
          </w:tcPr>
          <w:p>
            <w:pPr>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套</w:t>
            </w:r>
            <w:r/>
          </w:p>
        </w:tc>
        <w:tc>
          <w:tcPr>
            <w:tcW w:w="1028" w:type="dxa"/>
            <w:vAlign w:val="center"/>
            <w:vMerge w:val="continue"/>
            <w:textDirection w:val="lrTb"/>
            <w:noWrap w:val="false"/>
          </w:tcPr>
          <w:p>
            <w:pPr>
              <w:jc w:val="center"/>
              <w:spacing w:before="201" w:line="360" w:lineRule="auto"/>
              <w:rPr>
                <w:rFonts w:hint="eastAsia" w:ascii="宋体" w:hAnsi="宋体" w:cs="宋体"/>
                <w:color w:val="000000"/>
                <w:spacing w:val="-3"/>
                <w:sz w:val="24"/>
                <w:szCs w:val="24"/>
                <w:highlight w:val="none"/>
                <w:lang w:val="en-US" w:eastAsia="zh-CN"/>
              </w:rPr>
            </w:pPr>
            <w:r>
              <w:rPr>
                <w:rFonts w:hint="eastAsia" w:ascii="宋体" w:hAnsi="宋体" w:cs="宋体"/>
                <w:color w:val="000000"/>
                <w:spacing w:val="-3"/>
                <w:sz w:val="24"/>
                <w:szCs w:val="24"/>
                <w:highlight w:val="none"/>
                <w:lang w:val="en-US" w:eastAsia="zh-CN"/>
              </w:rPr>
            </w:r>
            <w:r/>
          </w:p>
        </w:tc>
      </w:tr>
      <w:tr>
        <w:trPr>
          <w:jc w:val="center"/>
          <w:trHeight w:val="1045"/>
        </w:trPr>
        <w:tc>
          <w:tcPr>
            <w:tcW w:w="833" w:type="dxa"/>
            <w:vAlign w:val="center"/>
            <w:textDirection w:val="lrTb"/>
            <w:noWrap w:val="false"/>
          </w:tcPr>
          <w:p>
            <w:pPr>
              <w:jc w:val="center"/>
              <w:spacing w:before="201" w:line="360" w:lineRule="auto"/>
              <w:rPr>
                <w:rFonts w:ascii="宋体" w:hAnsi="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3</w:t>
            </w:r>
            <w:r/>
          </w:p>
        </w:tc>
        <w:tc>
          <w:tcPr>
            <w:tcW w:w="2969" w:type="dxa"/>
            <w:vAlign w:val="center"/>
            <w:textDirection w:val="lrTb"/>
            <w:noWrap w:val="false"/>
          </w:tcPr>
          <w:p>
            <w:pPr>
              <w:jc w:val="center"/>
              <w:spacing w:before="201" w:line="360" w:lineRule="auto"/>
              <w:rPr>
                <w:rFonts w:ascii="宋体" w:hAnsi="宋体" w:eastAsia="宋体" w:cs="宋体"/>
                <w:color w:val="000000"/>
                <w:spacing w:val="-3"/>
                <w:sz w:val="24"/>
                <w:szCs w:val="24"/>
                <w:highlight w:val="none"/>
              </w:rPr>
            </w:pPr>
            <w:r>
              <w:rPr>
                <w:color w:val="000000"/>
                <w:highlight w:val="none"/>
              </w:rPr>
              <w:t xml:space="preserve">三年运维服务</w:t>
            </w:r>
            <w:r/>
          </w:p>
        </w:tc>
        <w:tc>
          <w:tcPr>
            <w:tcW w:w="4021" w:type="dxa"/>
            <w:vAlign w:val="center"/>
            <w:textDirection w:val="lrTb"/>
            <w:noWrap w:val="false"/>
          </w:tcPr>
          <w:p>
            <w:pPr>
              <w:jc w:val="center"/>
              <w:spacing w:before="201" w:line="360" w:lineRule="auto"/>
              <w:rPr>
                <w:rFonts w:ascii="宋体" w:hAnsi="宋体" w:eastAsia="宋体" w:cs="宋体"/>
                <w:color w:val="000000"/>
                <w:spacing w:val="-3"/>
                <w:sz w:val="24"/>
                <w:szCs w:val="24"/>
                <w:highlight w:val="none"/>
              </w:rPr>
            </w:pPr>
            <w:r>
              <w:rPr>
                <w:color w:val="000000"/>
                <w:highlight w:val="none"/>
              </w:rPr>
              <w:t xml:space="preserve">含校准、耗材、备件、通讯、电费、驻场、备机、数据审核、联网保障</w:t>
            </w:r>
            <w:r>
              <w:rPr>
                <w:rFonts w:hint="eastAsia"/>
                <w:color w:val="000000"/>
                <w:highlight w:val="none"/>
                <w:lang w:eastAsia="zh-CN"/>
              </w:rPr>
              <w:t xml:space="preserve">、</w:t>
            </w:r>
            <w:r>
              <w:rPr>
                <w:rFonts w:hint="eastAsia"/>
                <w:color w:val="000000"/>
                <w:highlight w:val="none"/>
                <w:lang w:val="en-US" w:eastAsia="zh-CN"/>
              </w:rPr>
              <w:t xml:space="preserve">防雷</w:t>
            </w:r>
            <w:r/>
          </w:p>
        </w:tc>
        <w:tc>
          <w:tcPr>
            <w:tcW w:w="861" w:type="dxa"/>
            <w:vAlign w:val="center"/>
            <w:textDirection w:val="lrTb"/>
            <w:noWrap w:val="false"/>
          </w:tcPr>
          <w:p>
            <w:pPr>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3</w:t>
            </w:r>
            <w:r/>
          </w:p>
        </w:tc>
        <w:tc>
          <w:tcPr>
            <w:tcW w:w="1113" w:type="dxa"/>
            <w:vAlign w:val="center"/>
            <w:textDirection w:val="lrTb"/>
            <w:noWrap w:val="false"/>
          </w:tcPr>
          <w:p>
            <w:pPr>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年</w:t>
            </w:r>
            <w:r/>
          </w:p>
        </w:tc>
        <w:tc>
          <w:tcPr>
            <w:tcW w:w="1028" w:type="dxa"/>
            <w:vAlign w:val="center"/>
            <w:textDirection w:val="lrTb"/>
            <w:noWrap w:val="false"/>
          </w:tcPr>
          <w:p>
            <w:pPr>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62.5</w:t>
            </w:r>
            <w:r/>
          </w:p>
        </w:tc>
      </w:tr>
    </w:tbl>
    <w:p>
      <w:pPr>
        <w:pStyle w:val="982"/>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工作要求及技术要求</w:t>
      </w:r>
      <w:r/>
    </w:p>
    <w:p>
      <w:pPr>
        <w:pStyle w:val="1042"/>
        <w:numPr>
          <w:ilvl w:val="0"/>
          <w:numId w:val="0"/>
        </w:numPr>
        <w:rPr>
          <w:rFonts w:hint="eastAsia"/>
          <w:b/>
          <w:bCs w:val="0"/>
          <w:color w:val="000000"/>
          <w:highlight w:val="none"/>
        </w:rPr>
      </w:pPr>
      <w:r>
        <w:rPr>
          <w:rFonts w:hint="eastAsia"/>
          <w:b/>
          <w:bCs w:val="0"/>
          <w:color w:val="000000"/>
          <w:highlight w:val="none"/>
          <w:lang w:val="en-US" w:eastAsia="zh-CN"/>
        </w:rPr>
        <w:t xml:space="preserve">1、工作要求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严格按照国家标准规范开展建设工作，做好台账资料，满足考核要求。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采购人可对中标单位进行现场监督和检查。对于在督查中提出的问题要及时进行整改，并提交整改报告。</w:t>
      </w:r>
      <w:r>
        <w:rPr>
          <w:rFonts w:hint="eastAsia" w:ascii="宋体" w:hAnsi="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整改不到位的，</w:t>
      </w:r>
      <w:r>
        <w:rPr>
          <w:rFonts w:hint="eastAsia" w:ascii="宋体" w:hAnsi="宋体" w:cs="宋体"/>
          <w:color w:val="000000"/>
          <w:sz w:val="24"/>
          <w:szCs w:val="24"/>
          <w:highlight w:val="none"/>
          <w:lang w:val="en-US" w:eastAsia="zh-CN"/>
        </w:rPr>
        <w:t xml:space="preserve">采购人有权</w:t>
      </w:r>
      <w:r>
        <w:rPr>
          <w:rFonts w:hint="eastAsia" w:ascii="宋体" w:hAnsi="宋体" w:eastAsia="宋体" w:cs="宋体"/>
          <w:color w:val="000000"/>
          <w:sz w:val="24"/>
          <w:szCs w:val="24"/>
          <w:highlight w:val="none"/>
        </w:rPr>
        <w:t xml:space="preserve">取消其资格并保留追究其经济赔偿责任和法律责任的权利。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（3）对站点设备参数、数据等信息不得向除委托方及委托方认可的单位与个人透露。</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color w:val="000000"/>
          <w:sz w:val="24"/>
          <w:szCs w:val="24"/>
          <w:highlight w:val="none"/>
        </w:rPr>
        <w:t xml:space="preserve">严格按照国家及江苏省规范实施，数据真实、准确、完整、可追溯，严禁篡改、伪造、瞒报数据。数据传输严格执行HJ 212-2017协议，支持断点续传、加密传输、一点多发、异常报警。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（5）中标单位不得拒绝采购人委托的与本项目相关的法定职责涉及的任务，否则视为违约。</w:t>
      </w:r>
      <w:r/>
    </w:p>
    <w:p>
      <w:pPr>
        <w:ind w:firstLine="480"/>
        <w:spacing w:line="360" w:lineRule="auto"/>
        <w:rPr>
          <w:rFonts w:hint="eastAsia" w:hAnsi="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质保期内，中标单位</w:t>
      </w:r>
      <w:r>
        <w:rPr>
          <w:rFonts w:hint="eastAsia" w:hAnsi="宋体"/>
          <w:color w:val="000000"/>
          <w:sz w:val="24"/>
          <w:szCs w:val="24"/>
          <w:highlight w:val="none"/>
        </w:rPr>
        <w:t xml:space="preserve">应具备完善的供应渠道。</w:t>
      </w:r>
      <w:r/>
    </w:p>
    <w:p>
      <w:pPr>
        <w:ind w:firstLine="480"/>
        <w:spacing w:line="360" w:lineRule="auto"/>
        <w:rPr>
          <w:color w:val="000000"/>
          <w:highlight w:val="none"/>
        </w:rPr>
      </w:pPr>
      <w:r>
        <w:rPr>
          <w:rFonts w:hint="eastAsia" w:hAnsi="宋体"/>
          <w:color w:val="000000"/>
          <w:sz w:val="24"/>
          <w:szCs w:val="24"/>
          <w:highlight w:val="none"/>
          <w:lang w:val="en-US" w:eastAsia="zh-CN"/>
        </w:rPr>
        <w:t xml:space="preserve">（7）</w:t>
      </w:r>
      <w:r>
        <w:rPr>
          <w:color w:val="000000"/>
          <w:sz w:val="24"/>
          <w:szCs w:val="24"/>
          <w:highlight w:val="none"/>
        </w:rPr>
        <w:t xml:space="preserve">服务期内在宜兴市内具备固定服务保障能力，2小时内响应，4小时内到场处置，24小时内解决故障；48小时无法修复的，必须提供备机保障数据连续。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color w:val="000000"/>
          <w:sz w:val="24"/>
          <w:szCs w:val="24"/>
          <w:highlight w:val="none"/>
        </w:rPr>
        <w:t xml:space="preserve">所有设备为全新原厂正品，提供原厂质保与售后服务承诺。</w:t>
      </w:r>
      <w:r/>
    </w:p>
    <w:p>
      <w:pPr>
        <w:pStyle w:val="1042"/>
        <w:numPr>
          <w:ilvl w:val="0"/>
          <w:numId w:val="0"/>
        </w:numPr>
        <w:rPr>
          <w:b/>
          <w:bCs w:val="0"/>
          <w:color w:val="000000"/>
          <w:highlight w:val="none"/>
        </w:rPr>
      </w:pPr>
      <w:r>
        <w:rPr>
          <w:rFonts w:hint="eastAsia"/>
          <w:b/>
          <w:bCs w:val="0"/>
          <w:color w:val="000000"/>
          <w:highlight w:val="none"/>
          <w:lang w:val="en-US" w:eastAsia="zh-CN"/>
        </w:rPr>
        <w:t xml:space="preserve">2、技术要求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1、仪器检测方法和技术、设备要求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（1）设备检测方法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所选择的自动监测的仪器应测量原理须符合中国国家标准分析方法、中国环保行业分析方法或等同、相近的其他国家的标准分析方法，具体见表1。</w:t>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表1 空气站监测指标和方法原理</w:t>
      </w:r>
      <w:r/>
    </w:p>
    <w:tbl>
      <w:tblPr>
        <w:tblStyle w:val="8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3236"/>
        <w:gridCol w:w="1606"/>
        <w:gridCol w:w="4117"/>
      </w:tblGrid>
      <w:tr>
        <w:trPr>
          <w:jc w:val="center"/>
          <w:trHeight w:val="680"/>
        </w:trPr>
        <w:tc>
          <w:tcPr>
            <w:tcW w:w="42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165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站点类型</w:t>
            </w:r>
            <w:r/>
          </w:p>
        </w:tc>
        <w:tc>
          <w:tcPr>
            <w:tcW w:w="82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p>
        </w:tc>
        <w:tc>
          <w:tcPr>
            <w:tcW w:w="2101"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方法</w:t>
            </w:r>
            <w:r/>
          </w:p>
        </w:tc>
      </w:tr>
      <w:tr>
        <w:trPr>
          <w:jc w:val="center"/>
          <w:trHeight w:val="567"/>
        </w:trPr>
        <w:tc>
          <w:tcPr>
            <w:tcW w:w="42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p>
        </w:tc>
        <w:tc>
          <w:tcPr>
            <w:tcW w:w="1652"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标准空气站</w:t>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PM</w:t>
            </w:r>
            <w:r>
              <w:rPr>
                <w:rFonts w:hint="eastAsia" w:ascii="宋体" w:hAnsi="宋体" w:eastAsia="宋体" w:cs="宋体"/>
                <w:color w:val="000000"/>
                <w:sz w:val="24"/>
                <w:szCs w:val="24"/>
                <w:highlight w:val="none"/>
                <w:vertAlign w:val="baseline"/>
              </w:rPr>
              <w:t xml:space="preserve">10</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β射线法</w:t>
            </w:r>
            <w:r/>
          </w:p>
        </w:tc>
      </w:tr>
      <w:tr>
        <w:trPr>
          <w:jc w:val="center"/>
          <w:trHeight w:val="567"/>
        </w:trPr>
        <w:tc>
          <w:tcPr>
            <w:tcW w:w="42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p>
        </w:tc>
        <w:tc>
          <w:tcPr>
            <w:tcW w:w="165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PM</w:t>
            </w:r>
            <w:r>
              <w:rPr>
                <w:rFonts w:hint="eastAsia" w:ascii="宋体" w:hAnsi="宋体" w:eastAsia="宋体" w:cs="宋体"/>
                <w:color w:val="000000"/>
                <w:sz w:val="24"/>
                <w:szCs w:val="24"/>
                <w:highlight w:val="none"/>
                <w:vertAlign w:val="baseline"/>
              </w:rPr>
              <w:t xml:space="preserve">2.5</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β射线法</w:t>
            </w:r>
            <w:r/>
          </w:p>
        </w:tc>
      </w:tr>
      <w:tr>
        <w:trPr>
          <w:jc w:val="center"/>
          <w:trHeight w:val="567"/>
        </w:trPr>
        <w:tc>
          <w:tcPr>
            <w:tcW w:w="42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p>
        </w:tc>
        <w:tc>
          <w:tcPr>
            <w:tcW w:w="165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SO</w:t>
            </w:r>
            <w:r>
              <w:rPr>
                <w:rFonts w:hint="eastAsia" w:ascii="宋体" w:hAnsi="宋体" w:eastAsia="宋体" w:cs="宋体"/>
                <w:color w:val="000000"/>
                <w:sz w:val="24"/>
                <w:szCs w:val="24"/>
                <w:highlight w:val="none"/>
                <w:vertAlign w:val="baseline"/>
              </w:rPr>
              <w:t xml:space="preserve">2</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紫外荧光法</w:t>
            </w:r>
            <w:r/>
          </w:p>
        </w:tc>
      </w:tr>
      <w:tr>
        <w:trPr>
          <w:jc w:val="center"/>
          <w:trHeight w:val="567"/>
        </w:trPr>
        <w:tc>
          <w:tcPr>
            <w:tcW w:w="42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p>
        </w:tc>
        <w:tc>
          <w:tcPr>
            <w:tcW w:w="165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NO</w:t>
            </w:r>
            <w:r>
              <w:rPr>
                <w:rFonts w:hint="eastAsia" w:ascii="宋体" w:hAnsi="宋体" w:eastAsia="宋体" w:cs="宋体"/>
                <w:color w:val="000000"/>
                <w:sz w:val="24"/>
                <w:szCs w:val="24"/>
                <w:highlight w:val="none"/>
                <w:vertAlign w:val="baseline"/>
              </w:rPr>
              <w:t xml:space="preserve">2</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化学发光法</w:t>
            </w:r>
            <w:r/>
          </w:p>
        </w:tc>
      </w:tr>
      <w:tr>
        <w:trPr>
          <w:jc w:val="center"/>
          <w:trHeight w:val="567"/>
        </w:trPr>
        <w:tc>
          <w:tcPr>
            <w:tcW w:w="42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p>
        </w:tc>
        <w:tc>
          <w:tcPr>
            <w:tcW w:w="1652" w:type="dxa"/>
            <w:vAlign w:val="center"/>
            <w:vMerge w:val="continue"/>
            <w:textDirection w:val="lrTb"/>
            <w:noWrap w:val="false"/>
          </w:tcPr>
          <w:p>
            <w:pPr>
              <w:jc w:val="center"/>
              <w:rPr>
                <w:rFonts w:ascii="宋体" w:hAnsi="宋体" w:eastAsia="宋体" w:cs="宋体"/>
                <w:color w:val="000000"/>
                <w:sz w:val="24"/>
                <w:szCs w:val="24"/>
                <w:highlight w:val="none"/>
                <w:lang w:val="en-US"/>
              </w:rPr>
            </w:pPr>
            <w:r>
              <w:rPr>
                <w:rFonts w:ascii="宋体" w:hAnsi="宋体" w:eastAsia="宋体" w:cs="宋体"/>
                <w:color w:val="000000"/>
                <w:sz w:val="24"/>
                <w:szCs w:val="24"/>
                <w:highlight w:val="none"/>
                <w:lang w:val="en-US"/>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CO</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气体滤波相关红外吸收法</w:t>
            </w:r>
            <w:r/>
          </w:p>
        </w:tc>
      </w:tr>
      <w:tr>
        <w:trPr>
          <w:jc w:val="center"/>
          <w:trHeight w:val="567"/>
        </w:trPr>
        <w:tc>
          <w:tcPr>
            <w:tcW w:w="42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165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O</w:t>
            </w:r>
            <w:r>
              <w:rPr>
                <w:rFonts w:hint="eastAsia" w:ascii="宋体" w:hAnsi="宋体" w:eastAsia="宋体" w:cs="宋体"/>
                <w:color w:val="000000"/>
                <w:sz w:val="24"/>
                <w:szCs w:val="24"/>
                <w:highlight w:val="none"/>
                <w:vertAlign w:val="baseline"/>
              </w:rPr>
              <w:t xml:space="preserve">3</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紫外光度法</w:t>
            </w:r>
            <w:r/>
          </w:p>
        </w:tc>
      </w:tr>
      <w:tr>
        <w:trPr>
          <w:jc w:val="center"/>
          <w:trHeight w:val="567"/>
        </w:trPr>
        <w:tc>
          <w:tcPr>
            <w:tcW w:w="42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p>
        </w:tc>
        <w:tc>
          <w:tcPr>
            <w:tcW w:w="1652" w:type="dxa"/>
            <w:vAlign w:val="center"/>
            <w:vMerge w:val="restart"/>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PAMS空气站</w:t>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PAM</w:t>
            </w:r>
            <w:r>
              <w:rPr>
                <w:rFonts w:hint="eastAsia" w:ascii="宋体" w:hAnsi="宋体" w:cs="宋体"/>
                <w:color w:val="000000"/>
                <w:sz w:val="24"/>
                <w:szCs w:val="24"/>
                <w:highlight w:val="none"/>
                <w:lang w:val="en-US" w:eastAsia="zh-CN"/>
              </w:rPr>
              <w:t xml:space="preserve">S </w:t>
            </w:r>
            <w:r>
              <w:rPr>
                <w:rFonts w:hint="eastAsia" w:ascii="宋体" w:hAnsi="宋体" w:eastAsia="宋体" w:cs="宋体"/>
                <w:color w:val="000000"/>
                <w:sz w:val="24"/>
                <w:szCs w:val="24"/>
                <w:highlight w:val="none"/>
              </w:rPr>
              <w:t xml:space="preserve">57</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GC-双FID</w:t>
            </w:r>
            <w:r/>
          </w:p>
        </w:tc>
      </w:tr>
      <w:tr>
        <w:trPr>
          <w:jc w:val="center"/>
          <w:trHeight w:val="567"/>
        </w:trPr>
        <w:tc>
          <w:tcPr>
            <w:tcW w:w="42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p>
        </w:tc>
        <w:tc>
          <w:tcPr>
            <w:tcW w:w="1652"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温度</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二极管结电压法</w:t>
            </w:r>
            <w:r/>
          </w:p>
        </w:tc>
      </w:tr>
      <w:tr>
        <w:trPr>
          <w:jc w:val="center"/>
          <w:trHeight w:val="567"/>
        </w:trPr>
        <w:tc>
          <w:tcPr>
            <w:tcW w:w="42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p>
        </w:tc>
        <w:tc>
          <w:tcPr>
            <w:tcW w:w="1652"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湿度</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电容式</w:t>
            </w:r>
            <w:r/>
          </w:p>
        </w:tc>
      </w:tr>
      <w:tr>
        <w:trPr>
          <w:jc w:val="center"/>
          <w:trHeight w:val="567"/>
        </w:trPr>
        <w:tc>
          <w:tcPr>
            <w:tcW w:w="42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p>
        </w:tc>
        <w:tc>
          <w:tcPr>
            <w:tcW w:w="1652"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气压</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压阻式</w:t>
            </w:r>
            <w:r/>
          </w:p>
        </w:tc>
      </w:tr>
      <w:tr>
        <w:trPr>
          <w:jc w:val="center"/>
          <w:trHeight w:val="567"/>
        </w:trPr>
        <w:tc>
          <w:tcPr>
            <w:tcW w:w="42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p>
        </w:tc>
        <w:tc>
          <w:tcPr>
            <w:tcW w:w="1652"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风速</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超声波时差</w:t>
            </w:r>
            <w:r/>
          </w:p>
        </w:tc>
      </w:tr>
      <w:tr>
        <w:trPr>
          <w:jc w:val="center"/>
          <w:trHeight w:val="567"/>
        </w:trPr>
        <w:tc>
          <w:tcPr>
            <w:tcW w:w="42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p>
        </w:tc>
        <w:tc>
          <w:tcPr>
            <w:tcW w:w="1652"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风向</w:t>
            </w:r>
            <w:r/>
          </w:p>
        </w:tc>
        <w:tc>
          <w:tcPr>
            <w:tcW w:w="21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超声波时差</w:t>
            </w:r>
            <w:r/>
          </w:p>
        </w:tc>
      </w:tr>
    </w:tbl>
    <w:p>
      <w:pPr>
        <w:pStyle w:val="1043"/>
        <w:rPr>
          <w:rFonts w:hint="eastAsia"/>
          <w:color w:val="000000"/>
          <w:highlight w:val="none"/>
        </w:rPr>
      </w:pPr>
      <w:r>
        <w:rPr>
          <w:rFonts w:hint="eastAsia"/>
          <w:color w:val="000000"/>
          <w:highlight w:val="none"/>
        </w:rPr>
      </w:r>
      <w:r/>
    </w:p>
    <w:p>
      <w:pPr>
        <w:pStyle w:val="982"/>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仪器技术参数</w:t>
      </w:r>
      <w:r/>
    </w:p>
    <w:p>
      <w:pPr>
        <w:pStyle w:val="1009"/>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所有技术指标均不低于现行国家标准《HJ 654-2013/XG1-2018 环境空气气态污染物（SO₂、NO₂、O₃、CO）连续自动监测系统技术要求及检测方法》的要求</w:t>
      </w:r>
      <w:r/>
    </w:p>
    <w:p>
      <w:pPr>
        <w:pStyle w:val="1042"/>
        <w:numPr>
          <w:ilvl w:val="0"/>
          <w:numId w:val="0"/>
        </w:numPr>
        <w:rPr>
          <w:rFonts w:hint="eastAsia"/>
          <w:b/>
          <w:bCs w:val="0"/>
          <w:color w:val="000000"/>
          <w:highlight w:val="none"/>
        </w:rPr>
      </w:pPr>
      <w:r>
        <w:rPr>
          <w:rFonts w:hint="eastAsia"/>
          <w:b/>
          <w:bCs w:val="0"/>
          <w:color w:val="000000"/>
          <w:highlight w:val="none"/>
          <w:lang w:val="en-US" w:eastAsia="zh-CN"/>
        </w:rPr>
        <w:t xml:space="preserve">1、标准空气站监测仪器分析仪性能指标要求如下：</w:t>
      </w:r>
      <w:r/>
    </w:p>
    <w:p>
      <w:pPr>
        <w:pStyle w:val="1009"/>
        <w:numPr>
          <w:ilvl w:val="2"/>
          <w:numId w:val="14"/>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系统概述：</w:t>
      </w:r>
      <w:r/>
    </w:p>
    <w:p>
      <w:pPr>
        <w:pStyle w:val="1009"/>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利用先进的传感器技术、互联网技术、无线通信技术、计算机网络技术、电子地理信息技术、视频实时监控技术等，对颗粒物、气态污染物等排放实现 7*24 小时在线监测的综合实时监控系统。并且支持现场视频监控等，并预留多个接口，加装不同测量模块，对重要污染因子进行实时监控。</w:t>
      </w:r>
      <w:r/>
    </w:p>
    <w:p>
      <w:pPr>
        <w:pStyle w:val="1009"/>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监测因子包括：二氧化氮（NO2）、二氧化硫（SO2）、</w:t>
      </w:r>
      <w:r>
        <w:rPr>
          <w:rFonts w:hint="eastAsia" w:ascii="宋体" w:hAnsi="宋体" w:eastAsia="宋体" w:cs="宋体"/>
          <w:b w:val="0"/>
          <w:bCs w:val="0"/>
          <w:color w:val="000000"/>
          <w:sz w:val="24"/>
          <w:szCs w:val="24"/>
          <w:highlight w:val="none"/>
          <w:lang w:val="en-US" w:eastAsia="zh-CN"/>
        </w:rPr>
        <w:t xml:space="preserve">一氧化碳</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CO</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rPr>
        <w:t xml:space="preserve">、</w:t>
      </w:r>
      <w:r>
        <w:rPr>
          <w:rFonts w:hint="eastAsia" w:ascii="宋体" w:hAnsi="宋体" w:eastAsia="宋体" w:cs="宋体"/>
          <w:b w:val="0"/>
          <w:bCs w:val="0"/>
          <w:color w:val="000000"/>
          <w:sz w:val="24"/>
          <w:szCs w:val="24"/>
          <w:highlight w:val="none"/>
        </w:rPr>
        <w:t xml:space="preserve">颗粒物 PM10、PM2.5； 配温度、湿度、风速、风向、大气压等。</w:t>
      </w:r>
      <w:r/>
    </w:p>
    <w:p>
      <w:pPr>
        <w:pStyle w:val="1009"/>
        <w:numPr>
          <w:ilvl w:val="2"/>
          <w:numId w:val="14"/>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技术要求：</w:t>
      </w:r>
      <w:r/>
    </w:p>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标准空气站监测仪器技术要求、性能指标应符合HJ653及HJ654的相关要求。</w:t>
      </w:r>
      <w:r/>
    </w:p>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042"/>
        <w:numPr>
          <w:ilvl w:val="0"/>
          <w:numId w:val="0"/>
        </w:num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2、PM10分析仪性能指标具体如下：</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工作原理：β射线吸收法，用于连续监测环境空气中的PM</w:t>
      </w:r>
      <w:r>
        <w:rPr>
          <w:rFonts w:hint="eastAsia" w:ascii="宋体" w:hAnsi="宋体" w:cs="宋体"/>
          <w:color w:val="000000"/>
          <w:sz w:val="24"/>
          <w:szCs w:val="24"/>
          <w:highlight w:val="none"/>
          <w:vertAlign w:val="subscript"/>
          <w:lang w:val="en-US" w:eastAsia="zh-CN"/>
        </w:rPr>
        <w:t xml:space="preserve">2.5</w:t>
      </w:r>
      <w:r>
        <w:rPr>
          <w:rFonts w:hint="eastAsia" w:ascii="宋体" w:hAnsi="宋体" w:eastAsia="宋体" w:cs="宋体"/>
          <w:color w:val="000000"/>
          <w:sz w:val="24"/>
          <w:szCs w:val="24"/>
          <w:highlight w:val="none"/>
        </w:rPr>
        <w:t xml:space="preserve">颗粒物浓度。</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电源要求：220±10%VAC，50Hz。</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p>
    <w:p>
      <w:pPr>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动态加热系统：加装动态加热系统，具备温度限值控制和湿度限值控制功能，能够使样气的温湿度保持在合适水平，最大限度减少水分对颗粒物监测的影响，加热启动湿度点为35%RH。</w:t>
      </w:r>
      <w:r/>
    </w:p>
    <w:p>
      <w:pPr>
        <w:jc w:val="cente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表2  PM10分析仪性能指标</w:t>
      </w:r>
      <w:r/>
    </w:p>
    <w:p>
      <w:pPr>
        <w:jc w:val="cente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bl>
      <w:tblPr>
        <w:tblStyle w:val="810"/>
        <w:tblW w:w="498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22"/>
        <w:gridCol w:w="3098"/>
        <w:gridCol w:w="5839"/>
      </w:tblGrid>
      <w:tr>
        <w:trPr>
          <w:tblHeade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序号</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项目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技术参数要求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设备描述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β 射线吸收法 PM10 连续自动监测分析仪</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设备用途</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用于环境空气中 PM10 颗粒物浓度的连续自动监测</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分析方法</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基于 β 射线吸收法，实现环境空气中 PM10 颗粒物浓度的连续自动监测</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测量量程</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 μg/m³~1000 μg/m³</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采样流量</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16.7 L/min（±5%）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6</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最低检出限</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 μg/m³（1 小时平均值）</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7</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显示分辨率</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≤0.1 μg/m³</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8</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线性示值误差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测量精密度（平行性）</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温度示值误差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湿度示值误差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≤±5%RH</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平均流量偏差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平均流量示值误差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流量相对标准偏差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年数据有效率</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16</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参比方法比对斜率（k）</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1±0.05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42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17</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58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参比方法比对相关系数（r）</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299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≥0.95</w:t>
            </w:r>
            <w:r/>
          </w:p>
        </w:tc>
      </w:tr>
    </w:tbl>
    <w:p>
      <w:pPr>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  本项目所有 PM10 分析仪的技术性能、测试方法、验收标准，均严格执行《HJ 653-2021 环境空气颗粒物（PM</w:t>
      </w:r>
      <w:r>
        <w:rPr>
          <w:rFonts w:hint="eastAsia" w:ascii="宋体" w:hAnsi="宋体" w:cs="宋体"/>
          <w:color w:val="000000"/>
          <w:sz w:val="24"/>
          <w:szCs w:val="24"/>
          <w:highlight w:val="yellow"/>
          <w:vertAlign w:val="subscript"/>
          <w:lang w:val="en-US" w:eastAsia="zh-CN"/>
        </w:rPr>
        <w:t xml:space="preserve">10</w:t>
      </w:r>
      <w:r>
        <w:rPr>
          <w:rFonts w:hint="eastAsia" w:ascii="宋体" w:hAnsi="宋体" w:eastAsia="宋体" w:cs="宋体"/>
          <w:color w:val="000000"/>
          <w:sz w:val="24"/>
          <w:szCs w:val="24"/>
          <w:highlight w:val="yellow"/>
        </w:rPr>
        <w:t xml:space="preserve">和PM</w:t>
      </w:r>
      <w:r>
        <w:rPr>
          <w:rFonts w:hint="eastAsia" w:ascii="宋体" w:hAnsi="宋体" w:cs="宋体"/>
          <w:color w:val="000000"/>
          <w:sz w:val="24"/>
          <w:szCs w:val="24"/>
          <w:highlight w:val="yellow"/>
          <w:vertAlign w:val="subscript"/>
          <w:lang w:val="en-US" w:eastAsia="zh-CN"/>
        </w:rPr>
        <w:t xml:space="preserve">2.5</w:t>
      </w:r>
      <w:r>
        <w:rPr>
          <w:rFonts w:hint="eastAsia" w:ascii="宋体" w:hAnsi="宋体" w:eastAsia="宋体" w:cs="宋体"/>
          <w:color w:val="000000"/>
          <w:sz w:val="24"/>
          <w:szCs w:val="24"/>
          <w:highlight w:val="yellow"/>
        </w:rPr>
        <w:t xml:space="preserve">）连续自动监测系统技术要求及检测方法》现行有效版本的全部规定。</w:t>
      </w:r>
      <w:r/>
    </w:p>
    <w:p>
      <w:pPr>
        <w:spacing w:line="360" w:lineRule="auto"/>
        <w:rPr>
          <w:rFonts w:hint="eastAsia" w:ascii="宋体" w:hAnsi="宋体" w:eastAsia="宋体" w:cs="宋体"/>
          <w:color w:val="000000"/>
          <w:sz w:val="24"/>
          <w:szCs w:val="24"/>
          <w:highlight w:val="yellow"/>
        </w:rPr>
      </w:pPr>
      <w:r>
        <w:rPr>
          <w:rFonts w:hint="default"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rPr>
        <w:t xml:space="preserve">  设备安装调试完成后，采购人将按国标要求组织现场验收，验收不合格的，投标人须无条件更换设备并承担全部相关费用。</w:t>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3、PM2.5分析仪性能指标要求如下：</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工作原理：β射线吸收法，用于连续监测环境空气中的PM</w:t>
      </w:r>
      <w:r>
        <w:rPr>
          <w:rFonts w:hint="eastAsia" w:ascii="宋体" w:hAnsi="宋体" w:cs="宋体"/>
          <w:color w:val="000000"/>
          <w:sz w:val="24"/>
          <w:szCs w:val="24"/>
          <w:highlight w:val="none"/>
          <w:vertAlign w:val="subscript"/>
          <w:lang w:val="en-US" w:eastAsia="zh-CN"/>
        </w:rPr>
        <w:t xml:space="preserve">2.5</w:t>
      </w:r>
      <w:r>
        <w:rPr>
          <w:rFonts w:hint="eastAsia" w:ascii="宋体" w:hAnsi="宋体" w:eastAsia="宋体" w:cs="宋体"/>
          <w:color w:val="000000"/>
          <w:sz w:val="24"/>
          <w:szCs w:val="24"/>
          <w:highlight w:val="none"/>
        </w:rPr>
        <w:t xml:space="preserve">颗粒物浓度。</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电源要求：220±10%VAC，50Hz。</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动态加热系统：加装动态加热系统，具备温度限值控制和湿度限值控制功能，能够使样气的温湿度保持在合适水平，最大限度减少水分对颗粒物监测的影响，加热启动湿度点为35%RH。</w:t>
      </w:r>
      <w:r/>
    </w:p>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表3  PM</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lang w:val="en-US" w:eastAsia="zh-CN"/>
        </w:rPr>
        <w:t xml:space="preserve">分析仪性能指标</w:t>
      </w:r>
      <w:r/>
    </w:p>
    <w:tbl>
      <w:tblPr>
        <w:tblStyle w:val="810"/>
        <w:tblW w:w="488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59"/>
        <w:gridCol w:w="2179"/>
        <w:gridCol w:w="6641"/>
      </w:tblGrid>
      <w:tr>
        <w:trPr>
          <w:tblHeade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序号</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项目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技术参数要求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设备描述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β 射线吸收法 PM2.5 连续自动监测分析仪</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设备用途</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用于环境空气中 PM2.5 颗粒物浓度的连续自动监测</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分析方法</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基于 β 射线吸收法，实现环境空气中 PM2.5 颗粒物浓度的连续自动监测，具备动态加热与挥发性有机物补偿功能</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测量量程</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 μg/m³~1000 μg/m³</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采样流量</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16.7 L/min（±5%），24h 流量稳定性≤±2%</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6</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PM2.5 切割器性能</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粒径截留 D50=2.5μm±0.2μm，几何标准差 σg≤1.2，对大于 D50 粒径的颗粒截留效率≥99%</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7</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最低检出限</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 μg/m³（1 小时平均值）</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8</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显示分辨率</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≤0.1 μg/m³</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线性示值误差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测量精密度（平行性）</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≤4%</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温度示值误差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湿度示值误差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≤±5%RH</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平均流量偏差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平均流量示值误差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流量相对标准偏差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16</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年数据有效率</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17</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参比方法比对斜率（k）</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1±0.05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96"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18</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3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参比方法比对相关系数（r）</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65"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≥0.95</w:t>
            </w:r>
            <w:r/>
          </w:p>
        </w:tc>
      </w:tr>
    </w:tbl>
    <w:p>
      <w:pPr>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  本项目所有 PM</w:t>
      </w:r>
      <w:r>
        <w:rPr>
          <w:rFonts w:hint="eastAsia" w:ascii="宋体" w:hAnsi="宋体" w:cs="宋体"/>
          <w:color w:val="000000"/>
          <w:sz w:val="24"/>
          <w:szCs w:val="24"/>
          <w:highlight w:val="yellow"/>
          <w:lang w:val="en-US" w:eastAsia="zh-CN"/>
        </w:rPr>
        <w:t xml:space="preserve">2.5</w:t>
      </w:r>
      <w:r>
        <w:rPr>
          <w:rFonts w:hint="eastAsia" w:ascii="宋体" w:hAnsi="宋体" w:eastAsia="宋体" w:cs="宋体"/>
          <w:color w:val="000000"/>
          <w:sz w:val="24"/>
          <w:szCs w:val="24"/>
          <w:highlight w:val="yellow"/>
        </w:rPr>
        <w:t xml:space="preserve"> 分析仪的技术性能、测试方法、验收标准，均严格执行《HJ 653-2021 环境空气颗粒物（PM</w:t>
      </w:r>
      <w:r>
        <w:rPr>
          <w:rFonts w:hint="eastAsia" w:ascii="宋体" w:hAnsi="宋体" w:cs="宋体"/>
          <w:color w:val="000000"/>
          <w:sz w:val="24"/>
          <w:szCs w:val="24"/>
          <w:highlight w:val="yellow"/>
          <w:vertAlign w:val="subscript"/>
          <w:lang w:val="en-US" w:eastAsia="zh-CN"/>
        </w:rPr>
        <w:t xml:space="preserve">10</w:t>
      </w:r>
      <w:r>
        <w:rPr>
          <w:rFonts w:hint="eastAsia" w:ascii="宋体" w:hAnsi="宋体" w:eastAsia="宋体" w:cs="宋体"/>
          <w:color w:val="000000"/>
          <w:sz w:val="24"/>
          <w:szCs w:val="24"/>
          <w:highlight w:val="yellow"/>
        </w:rPr>
        <w:t xml:space="preserve">和PM</w:t>
      </w:r>
      <w:r>
        <w:rPr>
          <w:rFonts w:hint="eastAsia" w:ascii="宋体" w:hAnsi="宋体" w:cs="宋体"/>
          <w:color w:val="000000"/>
          <w:sz w:val="24"/>
          <w:szCs w:val="24"/>
          <w:highlight w:val="yellow"/>
          <w:vertAlign w:val="subscript"/>
          <w:lang w:val="en-US" w:eastAsia="zh-CN"/>
        </w:rPr>
        <w:t xml:space="preserve">2.5</w:t>
      </w:r>
      <w:r>
        <w:rPr>
          <w:rFonts w:hint="eastAsia" w:ascii="宋体" w:hAnsi="宋体" w:eastAsia="宋体" w:cs="宋体"/>
          <w:color w:val="000000"/>
          <w:sz w:val="24"/>
          <w:szCs w:val="24"/>
          <w:highlight w:val="yellow"/>
        </w:rPr>
        <w:t xml:space="preserve">）连续自动监测系统技术要求及检测方法》现行有效版本的全部规定。</w:t>
      </w:r>
      <w:r/>
    </w:p>
    <w:p>
      <w:pPr>
        <w:spacing w:line="360" w:lineRule="auto"/>
        <w:rPr>
          <w:rFonts w:hint="eastAsia" w:ascii="宋体" w:hAnsi="宋体" w:eastAsia="宋体" w:cs="宋体"/>
          <w:color w:val="000000"/>
          <w:sz w:val="24"/>
          <w:szCs w:val="24"/>
          <w:highlight w:val="yellow"/>
        </w:rPr>
      </w:pPr>
      <w:r>
        <w:rPr>
          <w:rFonts w:hint="default"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rPr>
        <w:t xml:space="preserve">  设备安装调试完成后，采购人将按国标要求组织现场验收，验收不合格的，投标人须无条件更换设备并承担全部相关费用。</w:t>
      </w:r>
      <w:r/>
    </w:p>
    <w:p>
      <w:pPr>
        <w:pStyle w:val="1043"/>
        <w:ind w:left="0" w:firstLine="0"/>
        <w:rPr>
          <w:rFonts w:hint="eastAsia"/>
          <w:color w:val="000000"/>
          <w:highlight w:val="none"/>
        </w:rPr>
      </w:pPr>
      <w:r>
        <w:rPr>
          <w:rFonts w:hint="eastAsia"/>
          <w:color w:val="000000"/>
          <w:highlight w:val="none"/>
        </w:rPr>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4、SO2、NO2、CO、O3分析仪性能指标要求如下：</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SO</w:t>
      </w:r>
      <w:r>
        <w:rPr>
          <w:rFonts w:hint="eastAsia" w:ascii="宋体" w:hAnsi="宋体" w:eastAsia="宋体" w:cs="宋体"/>
          <w:b/>
          <w:bCs/>
          <w:color w:val="000000"/>
          <w:sz w:val="24"/>
          <w:szCs w:val="24"/>
          <w:highlight w:val="none"/>
          <w:vertAlign w:val="subscript"/>
        </w:rPr>
        <w:t xml:space="preserve">2</w:t>
      </w:r>
      <w:r>
        <w:rPr>
          <w:rFonts w:hint="eastAsia" w:ascii="宋体" w:hAnsi="宋体" w:eastAsia="宋体" w:cs="宋体"/>
          <w:b/>
          <w:bCs/>
          <w:color w:val="000000"/>
          <w:sz w:val="24"/>
          <w:szCs w:val="24"/>
          <w:highlight w:val="none"/>
        </w:rPr>
        <w:t xml:space="preserve">分析仪</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 分析方法：紫外荧光法。</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2）光源：选用衰减较慢、寿命较长的脉冲紫外光源。</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3）碳氢物质去除：为避免碳氢物质干扰SO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分析仪，分析仪内置碳氢去除器，有效去除样气中的碳氢物质，消除干扰。</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4）滤光处理：为保证紫外灯发出的波长处于最佳激发范围</w:t>
      </w:r>
      <w:r>
        <w:rPr>
          <w:rFonts w:hint="eastAsia" w:ascii="宋体" w:hAnsi="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）控制方式：具有远程操作软件，可进行远程查看、操作、诊断和设置。</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电源要求：220VAC，50Hz。</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信号输出：RS232/485，</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通讯协议：Modbus，TCP/IP。</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p>
    <w:tbl>
      <w:tblPr>
        <w:tblStyle w:val="810"/>
        <w:tblW w:w="494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50"/>
        <w:gridCol w:w="2338"/>
        <w:gridCol w:w="6594"/>
      </w:tblGrid>
      <w:tr>
        <w:trPr>
          <w:tblHeade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序号</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项目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技术参数要求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设备描述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紫外荧光法 SO₂连续自动监测分析仪</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设备用途</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用于环境空气中 SO₂浓度的连续自动监测</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分析方法</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基于紫外荧光法，实现环境空气中 SO₂浓度的连续自动监测，符合国标标准方法要求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测量量程</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 nmol/mol~500 nmol/mol（可扩展至 0~1000 nmol/mol）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零点噪声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≤0.5 nmol/mol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6</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最低检出限</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≤0.5 nmol/mol（1 小时平均值）</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7</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8</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零点漂移（24h）</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nmol/mol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跨度漂移（24h）</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响应时间（T95）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 min</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干扰成分影响</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 H₂O、0.1μmol/mol 甲苯干扰下，示值误差≤±1%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采样口与校准口浓度偏差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年数据有效率</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参比方法比对斜率（k）</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1±0.05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8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0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参比方法比对相关系数（r）</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≥0.95</w:t>
            </w:r>
            <w:r/>
          </w:p>
        </w:tc>
      </w:tr>
    </w:tbl>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NO</w:t>
      </w:r>
      <w:r>
        <w:rPr>
          <w:rFonts w:hint="eastAsia" w:ascii="宋体" w:hAnsi="宋体" w:eastAsia="宋体" w:cs="宋体"/>
          <w:b/>
          <w:bCs/>
          <w:color w:val="000000"/>
          <w:sz w:val="24"/>
          <w:szCs w:val="24"/>
          <w:highlight w:val="none"/>
          <w:vertAlign w:val="subscript"/>
        </w:rPr>
        <w:t xml:space="preserve">2</w:t>
      </w:r>
      <w:r>
        <w:rPr>
          <w:rFonts w:hint="eastAsia" w:ascii="宋体" w:hAnsi="宋体" w:eastAsia="宋体" w:cs="宋体"/>
          <w:b/>
          <w:bCs/>
          <w:color w:val="000000"/>
          <w:sz w:val="24"/>
          <w:szCs w:val="24"/>
          <w:highlight w:val="none"/>
        </w:rPr>
        <w:t xml:space="preserve">分析仪</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1）分析方法：化学发光法。</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电源要求：220VAC，50Hz。</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p>
    <w:tbl>
      <w:tblPr>
        <w:tblStyle w:val="810"/>
        <w:tblW w:w="495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42"/>
        <w:gridCol w:w="2259"/>
        <w:gridCol w:w="6805"/>
      </w:tblGrid>
      <w:tr>
        <w:trPr>
          <w:tblHeade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序号</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项目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技术参数要求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设备描述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化学发光法 NO₂连续自动监测分析仪</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设备用途</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用于环境空气中 NO₂浓度的连续自动监测</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分析方法</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基于化学发光法，实现环境空气中 NO₂浓度的连续自动监测，具备 NO/NO₂/NOₓ自动切换监测功能，符合国标标准方法要求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测量量程</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 nmol/mol~500 nmol/mol（可扩展至 0~1000 nmol/mol）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零点噪声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≤0.5 nmol/mol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6</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最低检出限</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≤0.5 nmol/mol（1 小时平均值）</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7</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8</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零点漂移（24h）</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nmol/mol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跨度漂移（24h）</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响应时间（T95）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 min</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干扰成分影响</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2.5% H₂O、1μmol/mol NH₃、0.2μmol/mol O₃、0.5μmol/mol SO₂干扰下，示值误差≤±1%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采样口与校准口浓度偏差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年数据有效率</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参比方法比对斜率（k）</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1±0.05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1"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16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参比方法比对相关系数（r）</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50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≥0.95</w:t>
            </w:r>
            <w:r/>
          </w:p>
        </w:tc>
      </w:tr>
    </w:tbl>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O</w:t>
      </w:r>
      <w:r>
        <w:rPr>
          <w:rFonts w:hint="eastAsia" w:ascii="宋体" w:hAnsi="宋体" w:eastAsia="宋体" w:cs="宋体"/>
          <w:b/>
          <w:bCs/>
          <w:color w:val="000000"/>
          <w:sz w:val="24"/>
          <w:szCs w:val="24"/>
          <w:highlight w:val="none"/>
          <w:vertAlign w:val="subscript"/>
        </w:rPr>
        <w:t xml:space="preserve">3</w:t>
      </w:r>
      <w:r>
        <w:rPr>
          <w:rFonts w:hint="eastAsia" w:ascii="宋体" w:hAnsi="宋体" w:eastAsia="宋体" w:cs="宋体"/>
          <w:b/>
          <w:bCs/>
          <w:color w:val="000000"/>
          <w:sz w:val="24"/>
          <w:szCs w:val="24"/>
          <w:highlight w:val="none"/>
        </w:rPr>
        <w:t xml:space="preserve">分析仪</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分析方法：紫外吸收法。</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电源要求：220VAC，50Hz。</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p>
    <w:tbl>
      <w:tblPr>
        <w:tblStyle w:val="810"/>
        <w:tblW w:w="491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69"/>
        <w:gridCol w:w="2366"/>
        <w:gridCol w:w="6604"/>
      </w:tblGrid>
      <w:tr>
        <w:trPr>
          <w:tblHeade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序号</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项目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技术参数要求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设备描述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紫外光度法 O₃连续自动监测分析仪</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设备用途</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用于环境空气中 O₃浓度的连续自动监测</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分析方法</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基于紫外光度法，实现环境空气中 O₃浓度的连续自动监测，符合国标标准方法要求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测量量程</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 nmol/mol~500 nmol/mol（可扩展至 0~1000 nmol/mol）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零点噪声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≤0.5 nmol/mol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6</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最低检出限</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≤0.5 nmol/mol（1 小时平均值）</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7</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8</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零点漂移（24h）</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nmol/mol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跨度漂移（24h）</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响应时间（T95）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 min</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干扰成分影响</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 H₂O、1μmol/mol 甲苯、0.2μmol/mol SO₂、0.5μmol/mol NO/NO₂干扰下，示值误差≤±1%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年数据有效率</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参比方法比对斜率（k）</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1±0.05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7"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27"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参比方法比对相关系数（r）</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424"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≥0.95</w:t>
            </w:r>
            <w:r/>
          </w:p>
        </w:tc>
      </w:tr>
    </w:tbl>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CO分析仪</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分析方法：气体滤波相关红外吸收法。</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电源要求：220VAC，50Hz。</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p>
    <w:p>
      <w:pPr>
        <w:pStyle w:val="1043"/>
        <w:numPr>
          <w:ilvl w:val="0"/>
          <w:numId w:val="0"/>
        </w:numPr>
        <w:jc w:val="left"/>
        <w:spacing w:line="360" w:lineRule="auto"/>
        <w:widowControl w:val="off"/>
        <w:rPr>
          <w:rFonts w:hint="eastAsia"/>
          <w:color w:val="000000"/>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p>
    <w:tbl>
      <w:tblPr>
        <w:tblStyle w:val="810"/>
        <w:tblW w:w="493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07"/>
        <w:gridCol w:w="2464"/>
        <w:gridCol w:w="6506"/>
      </w:tblGrid>
      <w:tr>
        <w:trPr>
          <w:tblHeade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序号</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center"/>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项目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b/>
                <w:bCs/>
                <w:highlight w:val="yellow"/>
              </w:rPr>
              <w:suppressLineNumbers w:val="0"/>
            </w:pPr>
            <w:r>
              <w:rPr>
                <w:rFonts w:hint="default" w:ascii="宋体" w:hAnsi="宋体" w:eastAsia="宋体" w:cs="宋体"/>
                <w:b/>
                <w:bCs/>
                <w:sz w:val="24"/>
                <w:szCs w:val="24"/>
                <w:highlight w:val="yellow"/>
                <w:lang w:val="en-US" w:eastAsia="zh-CN" w:bidi="ar"/>
              </w:rPr>
              <w:t xml:space="preserve">技术参数要求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设备描述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非分散红外法 CO 连续自动监测分析仪</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设备用途</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用于环境空气中 CO 浓度的连续自动监测</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分析方法</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基于非分散红外吸收法，实现环境空气中 CO 浓度的连续自动监测，符合国标标准方法要求</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测量量程</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 μmol/mol~50 μmol/mol（可扩展至 0~100 μmol/mol）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零点噪声</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≤0.15 μmol/mol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6</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最低检出限</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≤0.3 μmol/mol（1 小时平均值）</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7</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示值误差</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8</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零点漂移（24h）</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≤±0.2 μmol/mol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跨度漂移（24h）</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响应时间（T95）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≤3 min</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11</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20% 量程精密度</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≤0.2 μmol/mol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12</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环境温度变化影响</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≤0.15 μmol/mol/℃</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13</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干扰成分影响</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2.5% H₂O、1000μmol/mol CO₂干扰下，示值误差≤±1% F.S.</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14</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年数据有效率</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≥95%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15</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参比方法比对斜率（k）</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1±0.05</w:t>
            </w:r>
            <w:r/>
          </w:p>
        </w:tc>
      </w:tr>
      <w:tr>
        <w:trPr/>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65" w:type="pct"/>
            <w:vAlign w:val="center"/>
            <w:textDirection w:val="lrTb"/>
            <w:noWrap w:val="false"/>
          </w:tcPr>
          <w:p>
            <w:pPr>
              <w:jc w:val="center"/>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16</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1273"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参比方法比对相关系数（r）</w:t>
            </w:r>
            <w:r/>
          </w:p>
        </w:tc>
        <w:tc>
          <w:tcPr>
            <w:shd w:val="clear" w:color="auto" w:fill="auto"/>
            <w:tcBorders>
              <w:top w:val="single" w:color="CCCCCC" w:sz="4" w:space="0"/>
              <w:left w:val="single" w:color="CCCCCC" w:sz="4" w:space="0"/>
              <w:bottom w:val="single" w:color="CCCCCC" w:sz="4" w:space="0"/>
              <w:right w:val="single" w:color="CCCCCC" w:sz="4" w:space="0"/>
            </w:tcBorders>
            <w:tcMar>
              <w:left w:w="80" w:type="dxa"/>
              <w:top w:w="80" w:type="dxa"/>
              <w:right w:w="80" w:type="dxa"/>
              <w:bottom w:w="80" w:type="dxa"/>
            </w:tcMar>
            <w:tcW w:w="3361" w:type="pct"/>
            <w:vAlign w:val="center"/>
            <w:textDirection w:val="lrTb"/>
            <w:noWrap w:val="false"/>
          </w:tcPr>
          <w:p>
            <w:pPr>
              <w:jc w:val="left"/>
              <w:keepLines w:val="0"/>
              <w:keepNext w:val="0"/>
              <w:widowControl/>
              <w:rPr>
                <w:highlight w:val="yellow"/>
              </w:rPr>
              <w:suppressLineNumbers w:val="0"/>
            </w:pPr>
            <w:r>
              <w:rPr>
                <w:rFonts w:hint="default" w:ascii="宋体" w:hAnsi="宋体" w:eastAsia="宋体" w:cs="宋体"/>
                <w:sz w:val="24"/>
                <w:szCs w:val="24"/>
                <w:highlight w:val="yellow"/>
                <w:lang w:val="en-US" w:eastAsia="zh-CN" w:bidi="ar"/>
              </w:rPr>
              <w:t xml:space="preserve">≥0.95</w:t>
            </w:r>
            <w:r/>
          </w:p>
        </w:tc>
      </w:tr>
    </w:tbl>
    <w:p>
      <w:pPr>
        <w:ind w:left="0" w:right="0"/>
        <w:jc w:val="left"/>
        <w:keepLines w:val="0"/>
        <w:keepNext w:val="0"/>
        <w:spacing w:before="0" w:beforeAutospacing="0" w:after="0" w:afterAutospacing="0" w:line="240" w:lineRule="atLeast"/>
        <w:widowControl/>
        <w:rPr>
          <w:color w:val="000000"/>
          <w:sz w:val="22"/>
          <w:szCs w:val="22"/>
          <w:highlight w:val="yellow"/>
        </w:rPr>
        <w:pBdr>
          <w:top w:val="none" w:color="auto" w:sz="0" w:space="0"/>
          <w:left w:val="none" w:color="auto" w:sz="0" w:space="0"/>
          <w:bottom w:val="none" w:color="auto" w:sz="0" w:space="0"/>
          <w:right w:val="none" w:color="auto" w:sz="0" w:space="0"/>
        </w:pBdr>
        <w:suppressLineNumbers w:val="0"/>
      </w:pPr>
      <w:r>
        <w:rPr>
          <w:rFonts w:ascii="Symbol" w:hAnsi="Symbol" w:eastAsia="Symbol" w:cs="Symbol"/>
          <w:sz w:val="40"/>
          <w:szCs w:val="28"/>
          <w:highlight w:val="yellow"/>
        </w:rPr>
        <w:t xml:space="preserve">·</w:t>
      </w:r>
      <w:r>
        <w:rPr>
          <w:rFonts w:hint="eastAsia" w:ascii="宋体" w:hAnsi="宋体" w:eastAsia="宋体" w:cs="宋体"/>
          <w:sz w:val="40"/>
          <w:szCs w:val="28"/>
          <w:highlight w:val="yellow"/>
        </w:rPr>
        <w:t xml:space="preserve">  </w:t>
      </w:r>
      <w:r>
        <w:rPr>
          <w:color w:val="000000"/>
          <w:sz w:val="22"/>
          <w:szCs w:val="22"/>
          <w:highlight w:val="yellow"/>
        </w:rPr>
        <w:t xml:space="preserve">本项目所有 SO₂、NO₂、O₃、CO 分析仪的技术性能、测试方法、验收标准，均严格执行《HJ 654-2013/XG1-2018 环境空气气态污染物（SO₂、NO₂、O₃、CO）连续自动监测系统技术要求及检测方法》现行有效版本的全部规定。</w:t>
      </w:r>
      <w:r/>
    </w:p>
    <w:p>
      <w:pPr>
        <w:ind w:left="0" w:right="0"/>
        <w:jc w:val="left"/>
        <w:keepLines w:val="0"/>
        <w:keepNext w:val="0"/>
        <w:spacing w:before="0" w:beforeAutospacing="0" w:after="0" w:afterAutospacing="0" w:line="240" w:lineRule="atLeast"/>
        <w:widowControl/>
        <w:rPr>
          <w:color w:val="000000"/>
          <w:sz w:val="22"/>
          <w:szCs w:val="22"/>
          <w:highlight w:val="yellow"/>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sz w:val="40"/>
          <w:szCs w:val="28"/>
          <w:highlight w:val="yellow"/>
        </w:rPr>
        <w:t xml:space="preserve">·</w:t>
      </w:r>
      <w:r>
        <w:rPr>
          <w:rFonts w:hint="eastAsia" w:ascii="宋体" w:hAnsi="宋体" w:eastAsia="宋体" w:cs="宋体"/>
          <w:sz w:val="40"/>
          <w:szCs w:val="28"/>
          <w:highlight w:val="yellow"/>
        </w:rPr>
        <w:t xml:space="preserve">  </w:t>
      </w:r>
      <w:r>
        <w:rPr>
          <w:color w:val="000000"/>
          <w:sz w:val="22"/>
          <w:szCs w:val="22"/>
          <w:highlight w:val="yellow"/>
        </w:rPr>
        <w:t xml:space="preserve">设备安装调试完成后，采购人将按国标要求组织实验室检测与现场参比方法比对验收，验收不合格的，投标人须无条件更换设备并承担全部相关费用。</w:t>
      </w:r>
      <w:r/>
    </w:p>
    <w:p>
      <w:pPr>
        <w:ind w:left="0" w:right="0"/>
        <w:jc w:val="left"/>
        <w:keepLines w:val="0"/>
        <w:keepNext w:val="0"/>
        <w:spacing w:before="0" w:beforeAutospacing="0" w:after="0" w:afterAutospacing="0" w:line="240" w:lineRule="atLeast"/>
        <w:widowControl/>
        <w:rPr>
          <w:color w:val="000000"/>
          <w:sz w:val="22"/>
          <w:szCs w:val="22"/>
          <w:highlight w:val="yellow"/>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sz w:val="40"/>
          <w:szCs w:val="28"/>
          <w:highlight w:val="yellow"/>
        </w:rPr>
        <w:t xml:space="preserve">·</w:t>
      </w:r>
      <w:r>
        <w:rPr>
          <w:rFonts w:hint="eastAsia" w:ascii="宋体" w:hAnsi="宋体" w:eastAsia="宋体" w:cs="宋体"/>
          <w:sz w:val="40"/>
          <w:szCs w:val="28"/>
          <w:highlight w:val="yellow"/>
        </w:rPr>
        <w:t xml:space="preserve">  </w:t>
      </w:r>
      <w:r>
        <w:rPr>
          <w:color w:val="000000"/>
          <w:sz w:val="22"/>
          <w:szCs w:val="22"/>
          <w:highlight w:val="yellow"/>
        </w:rPr>
        <w:t xml:space="preserve">所投设备须具备国标要求的零点 / 跨度自动校准功能，数据采集与传输须符合《HJ 212 环境污染源自动监控信息采集传输仪技术要求》现行有效版本的规定。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动态校准仪</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1）功能：可以提供浓度精确的用户需要的标准气体，各种浓度的气体可以用于气体分析仪器的零点检查/校准、跨度检查/校准、精度检查、性能审核和多点检查/校准等。</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2）基本配置：流量计为质量流量计（MFC）；配置臭氧发生器，可进行气相滴定；配置光度计，可进行臭氧溯源校准。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标气输入口：至少3个。</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稀释气（零气）流量范围：0-10 SLPM。</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钢瓶气（标气）流量范围：0-100SCCM。</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6）稀释比率：1/100~1/1000。</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流量线性误差：≤±0.5% F.S.。</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臭氧输出：10nmol/mol~1μmol/mol。</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9）臭氧发生浓度误差：≤±</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10）光度计量程：0.05 ~5μmol/mol。</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11）光度计线性度：≤±1%F.S.。</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电源要求：220VAC，50Hz。</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零气发生器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1）基本配置：具有CO/HC转换器、Purafil氧化罐和活性炭罐。</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2）输出气压：10-30PSI。</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3）输出流量：0～10L/min。</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零气纯度： NO &lt; 0.5 nmol/mol，NO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 &lt; 0.5 nmol/mol，O</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 &lt; 0.5 nmol/mol，SO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 &lt; 0.5 nmol/mol，H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S &lt; 0.5 nmol/mol，NH</w:t>
      </w:r>
      <w:r>
        <w:rPr>
          <w:rFonts w:hint="eastAsia" w:ascii="宋体" w:hAnsi="宋体" w:eastAsia="宋体" w:cs="宋体"/>
          <w:color w:val="000000"/>
          <w:sz w:val="24"/>
          <w:szCs w:val="24"/>
          <w:highlight w:val="none"/>
          <w:vertAlign w:val="subscript"/>
        </w:rPr>
        <w:t xml:space="preserve">3 </w:t>
      </w:r>
      <w:r>
        <w:rPr>
          <w:rFonts w:hint="eastAsia" w:ascii="宋体" w:hAnsi="宋体" w:eastAsia="宋体" w:cs="宋体"/>
          <w:color w:val="000000"/>
          <w:sz w:val="24"/>
          <w:szCs w:val="24"/>
          <w:highlight w:val="none"/>
        </w:rPr>
        <w:t xml:space="preserve">&lt; 0.5 nmol/mol，CO &lt; 20 nmol/mol，HC &lt; 0.1 μmol/mol，</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5）露点：≤0℃。</w:t>
      </w:r>
      <w:r/>
    </w:p>
    <w:p>
      <w:pPr>
        <w:pStyle w:val="99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7、 UPS电源技术要求、性能指标应符合如下要求：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至少保证整个站房包括仪器设备（不含空调）的4 小时的用电。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自动开机：市电中断，UPS 在电池模式下放电至关机；当市电恢复时，UPS 可自动开机，方便无人值守情况下的电源管理。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开机自检功能：开机时，能自动模拟断电状况，对逆变器、电池进行自检，并做出准确、可靠的判断，全面提升负载的安全性。</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面板简洁，操作方便。具备直流开机功能，超静音设计。</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i w:val="0"/>
          <w:iCs w:val="0"/>
          <w:color w:val="000000"/>
          <w:sz w:val="24"/>
          <w:szCs w:val="24"/>
          <w:highlight w:val="none"/>
          <w:u w:val="none"/>
          <w:lang w:val="en-US" w:eastAsia="zh-CN" w:bidi="ar"/>
        </w:rPr>
        <w:t xml:space="preserve">PAMS</w:t>
      </w:r>
      <w:r>
        <w:rPr>
          <w:rFonts w:hint="eastAsia" w:ascii="宋体" w:hAnsi="宋体" w:eastAsia="宋体" w:cs="宋体"/>
          <w:b/>
          <w:bCs w:val="0"/>
          <w:color w:val="000000"/>
          <w:sz w:val="24"/>
          <w:szCs w:val="24"/>
          <w:highlight w:val="none"/>
          <w:lang w:val="en-US" w:eastAsia="zh-CN"/>
        </w:rPr>
        <w:t xml:space="preserve">技术要求、性能指标应符合具体如下：</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1)分析周期:60min</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2)测量量程：0~50nmol/mol</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3)标准曲线——相关系数：≥0.99</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4)零点噪声：≤0.01nmol/mol</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5)方法检出限：100%组分≤0.1nmol/mol%</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6)准确度：≤±10% ，乙烷、乙烯＜4%，苯＜1.5%</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7)精密度≤10%，乙烯＜2%，苯＜2%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8)有效数据率：≥95%</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9)仪器正常工作过程条件下时钟误差：≤20s</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10)仪器工控机断电条件下时钟误差：≤20s</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11)系统残留：100%组分≤0.1nmol/mol</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12)程序升温重复性：≤0.3%</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13)柱箱温度稳定性：≤0.2%</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14)噪声：≤0.01pA</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15)漂移:≤0.01pA/30min</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16)系统具有带过压、欠压保护功能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17)系统具有换气功能，防止内部高温</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18)系统具有样品分析、标气校准、零气检查、空白检查四种模式</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19)系统具有定时通标气核查功能，时间、频次可设定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20)机柜内部自带标气瓶固定功能，柜内照明</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21)系统具有时间校准功能。</w:t>
      </w:r>
      <w:r/>
    </w:p>
    <w:p>
      <w:pPr>
        <w:pStyle w:val="982"/>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数据传输要求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①总体功能要求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用于监测站内所有在线分析仪器和校准设备的工作控制、数据采集、零气和标准气的供给时序、数据通讯等任务的执行。控制功能应满足空气质量自动监测系统的数据采集、控制、通讯等全部要求。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②主要技术参数要求</w:t>
      </w:r>
      <w:r/>
    </w:p>
    <w:p>
      <w:pPr>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应能通过RS232、RS485通讯、有线网络、无线网络(含4G等)多种通讯方式，实现与分析仪器联接并采集仪器的测量结果和工作状态；</w:t>
      </w:r>
      <w:r/>
    </w:p>
    <w:p>
      <w:pPr>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软件每个采集定时器的周期与每个分析仪器测量周期应保持一致且一一对应，并且软件采集周期可设；</w:t>
      </w:r>
      <w:r/>
    </w:p>
    <w:p>
      <w:pPr>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应内置多种国内外通讯协议（“HJ212-2017污染物在线监控（监测）系统数据传输标准”、Modbus等协议），兼容各类环境监测分析仪器；</w:t>
      </w:r>
      <w:r/>
    </w:p>
    <w:p>
      <w:pPr>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应不少于8个串口；</w:t>
      </w:r>
      <w:r/>
    </w:p>
    <w:p>
      <w:pPr>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停电后应长期保存系统设置参数，电源恢复后可自动启动，进入工作状态；</w:t>
      </w:r>
      <w:r/>
    </w:p>
    <w:p>
      <w:pPr>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全面支持网络通讯：可以支持有线网络、无线网络(含4G等)多种通讯方式，所有具有数字通讯功能的设备均实现了远程网络通讯；</w:t>
      </w:r>
      <w:r/>
    </w:p>
    <w:p>
      <w:pPr>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系统稳定性：整套软件运行于window系统之上，确保系统的稳定和安全；</w:t>
      </w:r>
      <w:r/>
    </w:p>
    <w:p>
      <w:pPr>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系统安全性：数据采用加密传输和严格的权限控制，身份认证，确保系统不受内部和外来的安全威胁。</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③软件功能要求</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数据上传：数据上传握手机制与断点续传机制，支持监测站点多通道监测数据上传（一点多发模式）；</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系统报警：系统应灵活设置各种报警方式；应远程显示现场工作状态、仪器设备故障自动报警、异常值自动报警，并能将报警信号自动发送至监控中心；</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设备控制：操作人员可在现场对设备进行校零、校标等操作或结合中心端软硬件平台远程对设备进行校零、校标等操作；</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数据存储：系统应实时存储保存一年以上实时数据及小时均值；</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用户管理：系统具备严格的用户管理和权限控制功能；</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数据备份：数据应实现异地备份与恢复；</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数据输出：数据采集与传输应支持数字量和模拟量输出，其中模拟量采集值与测量值误差≤1%（满量程）；</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应具备测量数据及实时状态的查询功能，按需要进行各种方式的数据查询；数采软件应可正确显示分析仪测定的资料；</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数据一致性：数采软件显示的监测数据对应的监测时间应与监测仪显示的时间一致；</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应具备数据查询功能，不仅能查询一定时间段的历史数据，而且能查询5分钟均值、小时均值，并且配有形象的图形显示，便于用户了解各个参数随时间的变化趋势；</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仪器数据补遗：支持将测量仪器数据补遗到数采软件，防止数据缺失。</w:t>
      </w:r>
      <w:r/>
    </w:p>
    <w:p>
      <w:pPr>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仪器参数：支持将测量仪器参数（温度、压力、流量等参数）采集到数采软件，并上传给数据中心平台。</w:t>
      </w:r>
      <w:r/>
    </w:p>
    <w:p>
      <w:pPr>
        <w:numPr>
          <w:ilvl w:val="1"/>
          <w:numId w:val="16"/>
        </w:numPr>
        <w:ind w:left="1320" w:hanging="420"/>
        <w:spacing w:line="360" w:lineRule="auto"/>
        <w:rPr>
          <w:color w:val="000000"/>
          <w:highlight w:val="none"/>
        </w:rPr>
      </w:pPr>
      <w:r>
        <w:rPr>
          <w:rFonts w:hint="eastAsia" w:ascii="宋体" w:hAnsi="宋体" w:eastAsia="宋体" w:cs="宋体"/>
          <w:color w:val="000000"/>
          <w:sz w:val="24"/>
          <w:szCs w:val="24"/>
          <w:highlight w:val="none"/>
        </w:rPr>
        <w:t xml:space="preserve">平台补遗：在数据中心平台缺失数据情况下，应下发补遗命令给数采软件，补遗缺失数据。</w:t>
      </w:r>
      <w:r/>
    </w:p>
    <w:p>
      <w:pPr>
        <w:pStyle w:val="1043"/>
        <w:rPr>
          <w:color w:val="000000"/>
          <w:highlight w:val="none"/>
        </w:rPr>
      </w:pPr>
      <w:r>
        <w:rPr>
          <w:color w:val="000000"/>
          <w:highlight w:val="none"/>
        </w:rPr>
      </w:r>
      <w:r/>
    </w:p>
    <w:p>
      <w:pPr>
        <w:pStyle w:val="982"/>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服务范围及核心要求</w:t>
      </w:r>
      <w:r/>
    </w:p>
    <w:p>
      <w:pPr>
        <w:pStyle w:val="1042"/>
        <w:ind w:firstLine="480"/>
        <w:rPr>
          <w:rFonts w:hint="eastAsia" w:ascii="宋体" w:hAnsi="宋体" w:cs="宋体"/>
          <w:color w:val="000000"/>
          <w:szCs w:val="24"/>
          <w:highlight w:val="none"/>
        </w:rPr>
      </w:pPr>
      <w:r>
        <w:rPr>
          <w:rFonts w:hint="eastAsia" w:ascii="Times New Roman" w:hAnsi="Times New Roman" w:eastAsia="宋体" w:cs="Times New Roman"/>
          <w:b w:val="0"/>
          <w:bCs/>
          <w:color w:val="000000"/>
          <w:highlight w:val="none"/>
          <w:lang w:val="zh-CN" w:eastAsia="zh-CN"/>
        </w:rPr>
        <w:t xml:space="preserve">根据《江苏宜兴陶瓷产业园区污染物排放限值限量管理实施方案》要求，为陶瓷产业园区</w:t>
      </w:r>
      <w:r>
        <w:rPr>
          <w:rFonts w:hint="eastAsia" w:ascii="Times New Roman" w:hAnsi="Times New Roman" w:eastAsia="宋体" w:cs="Times New Roman"/>
          <w:b w:val="0"/>
          <w:bCs/>
          <w:color w:val="000000"/>
          <w:highlight w:val="none"/>
          <w:lang w:val="en-US" w:eastAsia="zh-CN"/>
        </w:rPr>
        <w:t xml:space="preserve">提供1套标准</w:t>
      </w:r>
      <w:r>
        <w:rPr>
          <w:rFonts w:hint="eastAsia" w:ascii="Times New Roman" w:hAnsi="Times New Roman" w:eastAsia="宋体" w:cs="Times New Roman"/>
          <w:b w:val="0"/>
          <w:bCs/>
          <w:color w:val="000000"/>
          <w:highlight w:val="none"/>
          <w:lang w:val="zh-CN" w:eastAsia="zh-CN"/>
        </w:rPr>
        <w:t xml:space="preserve">空气站、1套PAMS设备及数据服务，服务期3年。</w:t>
      </w:r>
      <w:r/>
    </w:p>
    <w:p>
      <w:pPr>
        <w:pStyle w:val="1042"/>
        <w:ind w:firstLine="480"/>
        <w:rPr>
          <w:rFonts w:hint="eastAsia"/>
          <w:b w:val="0"/>
          <w:bCs/>
          <w:color w:val="000000"/>
          <w:highlight w:val="none"/>
        </w:rPr>
      </w:pPr>
      <w:r>
        <w:rPr>
          <w:rFonts w:hint="eastAsia"/>
          <w:b w:val="0"/>
          <w:bCs/>
          <w:color w:val="000000"/>
          <w:highlight w:val="none"/>
          <w:lang w:val="en-US" w:eastAsia="zh-CN"/>
        </w:rPr>
        <w:t xml:space="preserve">标准空气站及运行维护服务：投标单位需负责1套空气站设备的采购、运输、安装、调试、校准及其日常运行保障、数据采集、传输、审核、质控及整理，确保监测数据符合国家及地方相关环境监测标准（参照苏环办〔2022〕142号相关规范要求），数据真实、准确、完整、有效，可实时接入产业园指定数据平台及省平台，满足园区日常环境监测及监管需求。监测指标需覆盖常规空气质量参数，具体以园区现有标准空气站配置及相关规范要求为准。</w:t>
      </w:r>
      <w:r/>
    </w:p>
    <w:p>
      <w:pPr>
        <w:pStyle w:val="1042"/>
        <w:ind w:firstLine="480"/>
        <w:rPr>
          <w:rFonts w:hint="eastAsia"/>
          <w:b w:val="0"/>
          <w:bCs/>
          <w:color w:val="000000"/>
          <w:highlight w:val="none"/>
        </w:rPr>
      </w:pPr>
      <w:r>
        <w:rPr>
          <w:rFonts w:hint="eastAsia"/>
          <w:b w:val="0"/>
          <w:bCs/>
          <w:color w:val="000000"/>
          <w:highlight w:val="none"/>
          <w:lang w:val="en-US" w:eastAsia="zh-CN"/>
        </w:rPr>
        <w:t xml:space="preserve">PAMS空气站及运行维护服务：投标单位需负责设备的采购、运输、安装、调试、校准，确保设备正常投入运行。同时，承担1套PAMS空气站整个服务期内的日常运行维护、耗材更换、故障维修、数据采集、传输、审核、质控及整理等全部工作，保障PAMS监测数据连续有效，与标准空气站数据同步接入园区指定数据平台及省平台，形成完整的园区空气质量监测数据体系。</w:t>
      </w:r>
      <w:r/>
    </w:p>
    <w:p>
      <w:pPr>
        <w:ind w:firstLine="482"/>
        <w:spacing w:line="360" w:lineRule="auto"/>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lang w:val="en-US" w:eastAsia="zh-CN"/>
        </w:rPr>
        <w:t xml:space="preserve">1、数据信息网络安全要</w:t>
      </w:r>
      <w:r>
        <w:rPr>
          <w:rFonts w:hint="eastAsia" w:ascii="宋体" w:hAnsi="宋体" w:cs="宋体"/>
          <w:b/>
          <w:bCs w:val="0"/>
          <w:color w:val="000000"/>
          <w:sz w:val="24"/>
          <w:szCs w:val="24"/>
          <w:highlight w:val="none"/>
        </w:rPr>
        <w:t xml:space="preserve">求</w:t>
      </w:r>
      <w:r/>
    </w:p>
    <w:p>
      <w:pPr>
        <w:pStyle w:val="1042"/>
        <w:ind w:firstLine="480"/>
        <w:rPr>
          <w:rFonts w:hint="eastAsia"/>
          <w:b w:val="0"/>
          <w:bCs/>
          <w:color w:val="000000"/>
          <w:highlight w:val="none"/>
        </w:rPr>
      </w:pPr>
      <w:r>
        <w:rPr>
          <w:rFonts w:hint="eastAsia"/>
          <w:b w:val="0"/>
          <w:bCs/>
          <w:color w:val="000000"/>
          <w:highlight w:val="none"/>
          <w:lang w:val="en-US" w:eastAsia="zh-CN"/>
        </w:rPr>
        <w:t xml:space="preserve">1.</w:t>
      </w:r>
      <w:r>
        <w:rPr>
          <w:rFonts w:hint="eastAsia"/>
          <w:b w:val="0"/>
          <w:bCs/>
          <w:color w:val="000000"/>
          <w:highlight w:val="none"/>
          <w:lang w:val="zh-CN" w:eastAsia="zh-CN"/>
        </w:rPr>
        <w:t xml:space="preserve">1</w:t>
      </w:r>
      <w:r>
        <w:rPr>
          <w:rFonts w:hint="eastAsia"/>
          <w:b w:val="0"/>
          <w:bCs/>
          <w:color w:val="000000"/>
          <w:highlight w:val="none"/>
          <w:lang w:val="en-US" w:eastAsia="zh-CN"/>
        </w:rPr>
        <w:t xml:space="preserve"> </w:t>
      </w:r>
      <w:r>
        <w:rPr>
          <w:rFonts w:hint="eastAsia"/>
          <w:b w:val="0"/>
          <w:bCs/>
          <w:color w:val="000000"/>
          <w:highlight w:val="none"/>
          <w:lang w:val="zh-CN" w:eastAsia="zh-CN"/>
        </w:rPr>
        <w:t xml:space="preserve">数据安全保障：投标单位需建立完善的监测数据安全管理制度，对标准空气站、PAMS空气站采集的所有监测数据（含实时数据、历史数据、质控数据）进行严格保密，严禁擅自泄露、篡改、出售、转借监测数据及园区相关敏感信息。监测数据需进行加密存储，定期开展数据备份（含本地备份和异地备份），确保数据不丢失、不被非法篡改，备份数据保存期限不低于服务期届满后1年。</w:t>
      </w:r>
      <w:r/>
    </w:p>
    <w:p>
      <w:pPr>
        <w:pStyle w:val="1042"/>
        <w:ind w:firstLine="480"/>
        <w:rPr>
          <w:rFonts w:hint="eastAsia"/>
          <w:b w:val="0"/>
          <w:bCs/>
          <w:color w:val="000000"/>
          <w:highlight w:val="none"/>
        </w:rPr>
      </w:pPr>
      <w:r>
        <w:rPr>
          <w:rFonts w:hint="eastAsia"/>
          <w:b w:val="0"/>
          <w:bCs/>
          <w:color w:val="000000"/>
          <w:highlight w:val="none"/>
          <w:lang w:val="en-US" w:eastAsia="zh-CN"/>
        </w:rPr>
        <w:t xml:space="preserve">1.</w:t>
      </w:r>
      <w:r>
        <w:rPr>
          <w:rFonts w:hint="eastAsia"/>
          <w:b w:val="0"/>
          <w:bCs/>
          <w:color w:val="000000"/>
          <w:highlight w:val="none"/>
          <w:lang w:val="zh-CN" w:eastAsia="zh-CN"/>
        </w:rPr>
        <w:t xml:space="preserve">2</w:t>
      </w:r>
      <w:r>
        <w:rPr>
          <w:rFonts w:hint="eastAsia"/>
          <w:b w:val="0"/>
          <w:bCs/>
          <w:color w:val="000000"/>
          <w:highlight w:val="none"/>
          <w:lang w:val="en-US" w:eastAsia="zh-CN"/>
        </w:rPr>
        <w:t xml:space="preserve"> </w:t>
      </w:r>
      <w:r>
        <w:rPr>
          <w:rFonts w:hint="eastAsia"/>
          <w:b w:val="0"/>
          <w:bCs/>
          <w:color w:val="000000"/>
          <w:highlight w:val="none"/>
          <w:lang w:val="zh-CN" w:eastAsia="zh-CN"/>
        </w:rPr>
        <w:t xml:space="preserve">传输安全保障：监测数据在采集、传输至园区指定数据平台</w:t>
      </w:r>
      <w:r>
        <w:rPr>
          <w:rFonts w:hint="eastAsia"/>
          <w:b w:val="0"/>
          <w:bCs/>
          <w:color w:val="000000"/>
          <w:highlight w:val="none"/>
          <w:lang w:val="en-US" w:eastAsia="zh-CN"/>
        </w:rPr>
        <w:t xml:space="preserve">及省平台</w:t>
      </w:r>
      <w:r>
        <w:rPr>
          <w:rFonts w:hint="eastAsia"/>
          <w:b w:val="0"/>
          <w:bCs/>
          <w:color w:val="000000"/>
          <w:highlight w:val="none"/>
          <w:lang w:val="zh-CN" w:eastAsia="zh-CN"/>
        </w:rPr>
        <w:t xml:space="preserve">的全过程中，需采用符合国家网络安全标准的加密传输协议，搭建安全传输通道，防范数据被窃取、拦截、篡改或伪造，确保数据传输的安全性、完整性和真实性，符合网络安全等级保护相关要求。</w:t>
      </w:r>
      <w:r/>
    </w:p>
    <w:p>
      <w:pPr>
        <w:pStyle w:val="1042"/>
        <w:ind w:firstLine="480"/>
        <w:rPr>
          <w:rFonts w:hint="eastAsia"/>
          <w:b w:val="0"/>
          <w:bCs/>
          <w:color w:val="000000"/>
          <w:highlight w:val="red"/>
          <w:lang w:val="zh-CN" w:eastAsia="zh-CN"/>
        </w:rPr>
      </w:pPr>
      <w:r>
        <w:rPr>
          <w:rFonts w:hint="eastAsia"/>
          <w:b w:val="0"/>
          <w:bCs/>
          <w:color w:val="000000"/>
          <w:highlight w:val="none"/>
          <w:lang w:val="en-US" w:eastAsia="zh-CN"/>
        </w:rPr>
        <w:t xml:space="preserve">1.3</w:t>
      </w:r>
      <w:r>
        <w:rPr>
          <w:rFonts w:hint="eastAsia"/>
          <w:b w:val="0"/>
          <w:bCs/>
          <w:color w:val="000000"/>
          <w:highlight w:val="none"/>
          <w:lang w:val="zh-CN" w:eastAsia="zh-CN"/>
        </w:rPr>
        <w:t xml:space="preserve">设备及平台安全保障：投标单位负责其采购的PAMS空气站设备、数据采集终端及相关配套软件的网络安全防护，</w:t>
      </w:r>
      <w:r>
        <w:rPr>
          <w:rFonts w:hint="eastAsia"/>
          <w:b w:val="0"/>
          <w:bCs/>
          <w:color w:val="000000"/>
          <w:highlight w:val="yellow"/>
          <w:lang w:val="zh-CN" w:eastAsia="zh-CN"/>
        </w:rPr>
        <w:t xml:space="preserve">系统应具备符合国家网络安全标准的数据加密传输机制，并配合采购人现有网络平台的安全策略，提供必要的安全接口或软件防护措施。</w:t>
      </w:r>
      <w:r/>
    </w:p>
    <w:p>
      <w:pPr>
        <w:pStyle w:val="1042"/>
        <w:ind w:firstLine="480"/>
        <w:rPr>
          <w:rFonts w:hint="eastAsia"/>
          <w:b w:val="0"/>
          <w:bCs/>
          <w:color w:val="000000"/>
          <w:highlight w:val="none"/>
        </w:rPr>
      </w:pPr>
      <w:r>
        <w:rPr>
          <w:rFonts w:hint="eastAsia"/>
          <w:b w:val="0"/>
          <w:bCs/>
          <w:color w:val="000000"/>
          <w:highlight w:val="none"/>
          <w:lang w:val="en-US" w:eastAsia="zh-CN"/>
        </w:rPr>
        <w:t xml:space="preserve">1.4</w:t>
      </w:r>
      <w:r>
        <w:rPr>
          <w:rFonts w:hint="eastAsia"/>
          <w:b w:val="0"/>
          <w:bCs/>
          <w:color w:val="000000"/>
          <w:highlight w:val="none"/>
          <w:lang w:val="zh-CN" w:eastAsia="zh-CN"/>
        </w:rPr>
        <w:t xml:space="preserve">安全应急与责任：投标单位需建立网络信息安全应急响应机制，制定安全事件应急预案，若发生数据泄露、篡改、设备被入侵等网络安全事件，需第一时间启动应急预案，及时处置，并在1小时内书面告知采购人，配合采购人开展事件调查、整改工作。因投标单位自身安全防护不到位导致网络安全事件、数据安全问题，或造成采购人损失的，由投标单位承担全部责任及相应损失。</w:t>
      </w:r>
      <w:r/>
    </w:p>
    <w:p>
      <w:pPr>
        <w:pStyle w:val="1042"/>
        <w:ind w:firstLine="480"/>
        <w:rPr>
          <w:rFonts w:hint="eastAsia"/>
          <w:b w:val="0"/>
          <w:bCs/>
          <w:color w:val="000000"/>
          <w:highlight w:val="none"/>
        </w:rPr>
      </w:pPr>
      <w:r>
        <w:rPr>
          <w:rFonts w:hint="eastAsia"/>
          <w:b w:val="0"/>
          <w:bCs/>
          <w:color w:val="000000"/>
          <w:highlight w:val="none"/>
          <w:lang w:val="en-US" w:eastAsia="zh-CN"/>
        </w:rPr>
        <w:t xml:space="preserve">1.5 </w:t>
      </w:r>
      <w:r>
        <w:rPr>
          <w:rFonts w:hint="eastAsia"/>
          <w:b w:val="0"/>
          <w:bCs/>
          <w:color w:val="000000"/>
          <w:highlight w:val="none"/>
          <w:lang w:val="zh-CN" w:eastAsia="zh-CN"/>
        </w:rPr>
        <w:t xml:space="preserve">人员与管理：投标单位需配备专业的网络信息安全管理人员，负责数据安全、设备安全及传输安全的日常管理工作；定期对相关操作人员开展网络安全培训，规范操作流程，防范人为操作导致的安全风险。服务期内，需配合采购人开展网络信息安全检查、核查工作，提供相关安全检测报告、巡检记录等资料。</w:t>
      </w:r>
      <w:r/>
    </w:p>
    <w:p>
      <w:pPr>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2、数据服务要求</w:t>
      </w:r>
      <w:r/>
    </w:p>
    <w:p>
      <w:pPr>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lang w:val="zh-CN"/>
        </w:rPr>
        <w:t xml:space="preserve">运维工作要求：</w:t>
      </w:r>
      <w:r/>
    </w:p>
    <w:p>
      <w:pPr>
        <w:ind w:firstLine="720"/>
        <w:jc w:val="left"/>
        <w:spacing w:line="360" w:lineRule="auto"/>
        <w:tabs>
          <w:tab w:val="left" w:pos="651"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供应商须承诺</w:t>
      </w:r>
      <w:r>
        <w:rPr>
          <w:rFonts w:hint="eastAsia" w:ascii="宋体" w:hAnsi="宋体" w:cs="宋体"/>
          <w:bCs/>
          <w:color w:val="000000"/>
          <w:sz w:val="24"/>
          <w:szCs w:val="24"/>
          <w:highlight w:val="none"/>
          <w:lang w:val="en-US" w:eastAsia="zh-CN"/>
        </w:rPr>
        <w:t xml:space="preserve">合同签订</w:t>
      </w:r>
      <w:r>
        <w:rPr>
          <w:rFonts w:hint="eastAsia" w:ascii="宋体" w:hAnsi="宋体" w:cs="宋体"/>
          <w:bCs/>
          <w:color w:val="000000"/>
          <w:sz w:val="24"/>
          <w:szCs w:val="24"/>
          <w:highlight w:val="none"/>
        </w:rPr>
        <w:t xml:space="preserve">后1个月（30日历日）内配齐本技术要求中所涉及的仪器设备、耗材和备件。耗材按照不少于半年的消耗量配置，备件按照至少1年使用量配置。必须使用检定合格的备品备件和耗材，严禁使用未检定合格或劣质备品备件和耗材。设备故障需更换备机，保证数据连续性，设备老旧无法正常提供运维服务则需更换设备。所有备机备品备件均由供应商提供。</w:t>
      </w:r>
      <w:r>
        <w:rPr>
          <w:rFonts w:ascii="宋体" w:hAnsi="宋体" w:cs="宋体"/>
          <w:bCs/>
          <w:color w:val="000000"/>
          <w:sz w:val="24"/>
          <w:szCs w:val="24"/>
          <w:highlight w:val="none"/>
        </w:rPr>
        <w:t xml:space="preserve">因本项目产生的</w:t>
      </w:r>
      <w:r>
        <w:rPr>
          <w:rFonts w:hint="eastAsia" w:ascii="宋体" w:hAnsi="宋体" w:cs="宋体"/>
          <w:color w:val="000000"/>
          <w:spacing w:val="8"/>
          <w:sz w:val="24"/>
          <w:szCs w:val="24"/>
          <w:highlight w:val="none"/>
        </w:rPr>
        <w:t xml:space="preserve">日常维护</w:t>
      </w:r>
      <w:r>
        <w:rPr>
          <w:rFonts w:hint="eastAsia" w:ascii="宋体" w:hAnsi="宋体" w:cs="宋体"/>
          <w:color w:val="000000"/>
          <w:spacing w:val="8"/>
          <w:sz w:val="24"/>
          <w:szCs w:val="24"/>
          <w:highlight w:val="none"/>
          <w:lang w:eastAsia="zh-CN"/>
        </w:rPr>
        <w:t xml:space="preserve">（</w:t>
      </w:r>
      <w:r>
        <w:rPr>
          <w:rFonts w:hint="eastAsia" w:ascii="宋体" w:hAnsi="宋体" w:cs="宋体"/>
          <w:color w:val="000000"/>
          <w:spacing w:val="8"/>
          <w:sz w:val="24"/>
          <w:szCs w:val="24"/>
          <w:highlight w:val="none"/>
          <w:lang w:val="en-US" w:eastAsia="zh-CN"/>
        </w:rPr>
        <w:t xml:space="preserve">包括站房</w:t>
      </w:r>
      <w:r>
        <w:rPr>
          <w:rFonts w:hint="eastAsia" w:ascii="宋体" w:hAnsi="宋体" w:cs="宋体"/>
          <w:color w:val="000000"/>
          <w:spacing w:val="8"/>
          <w:sz w:val="24"/>
          <w:szCs w:val="24"/>
          <w:highlight w:val="none"/>
          <w:lang w:eastAsia="zh-CN"/>
        </w:rPr>
        <w:t xml:space="preserve">）</w:t>
      </w:r>
      <w:r>
        <w:rPr>
          <w:rFonts w:hint="eastAsia" w:ascii="宋体" w:hAnsi="宋体" w:cs="宋体"/>
          <w:color w:val="000000"/>
          <w:spacing w:val="8"/>
          <w:sz w:val="24"/>
          <w:szCs w:val="24"/>
          <w:highlight w:val="none"/>
        </w:rPr>
        <w:t xml:space="preserve">、故障维修</w:t>
      </w:r>
      <w:r>
        <w:rPr>
          <w:rFonts w:hint="eastAsia" w:ascii="宋体" w:hAnsi="宋体" w:cs="宋体"/>
          <w:bCs/>
          <w:color w:val="000000"/>
          <w:sz w:val="24"/>
          <w:szCs w:val="24"/>
          <w:highlight w:val="none"/>
        </w:rPr>
        <w:t xml:space="preserve">、设备备件配件更换、</w:t>
      </w:r>
      <w:r>
        <w:rPr>
          <w:rFonts w:ascii="宋体" w:hAnsi="宋体" w:cs="宋体"/>
          <w:bCs/>
          <w:color w:val="000000"/>
          <w:sz w:val="24"/>
          <w:szCs w:val="24"/>
          <w:highlight w:val="none"/>
        </w:rPr>
        <w:t xml:space="preserve">通讯费</w:t>
      </w:r>
      <w:r>
        <w:rPr>
          <w:rFonts w:hint="eastAsia" w:ascii="宋体" w:hAnsi="宋体" w:cs="宋体"/>
          <w:bCs/>
          <w:color w:val="000000"/>
          <w:sz w:val="24"/>
          <w:szCs w:val="24"/>
          <w:highlight w:val="none"/>
        </w:rPr>
        <w:t xml:space="preserve">、防雷</w:t>
      </w:r>
      <w:r>
        <w:rPr>
          <w:rFonts w:ascii="宋体" w:hAnsi="宋体" w:cs="宋体"/>
          <w:bCs/>
          <w:color w:val="000000"/>
          <w:sz w:val="24"/>
          <w:szCs w:val="24"/>
          <w:highlight w:val="none"/>
        </w:rPr>
        <w:t xml:space="preserve">等</w:t>
      </w:r>
      <w:r>
        <w:rPr>
          <w:rFonts w:hint="eastAsia" w:ascii="宋体" w:hAnsi="宋体" w:cs="宋体"/>
          <w:bCs/>
          <w:color w:val="000000"/>
          <w:sz w:val="24"/>
          <w:szCs w:val="24"/>
          <w:highlight w:val="none"/>
        </w:rPr>
        <w:t xml:space="preserve">一切费用</w:t>
      </w:r>
      <w:r>
        <w:rPr>
          <w:rFonts w:ascii="宋体" w:hAnsi="宋体" w:cs="宋体"/>
          <w:bCs/>
          <w:color w:val="000000"/>
          <w:sz w:val="24"/>
          <w:szCs w:val="24"/>
          <w:highlight w:val="none"/>
        </w:rPr>
        <w:t xml:space="preserve">由运维单位承担，并包含在本项目响应报价中</w:t>
      </w:r>
      <w:r>
        <w:rPr>
          <w:rFonts w:hint="eastAsia" w:ascii="宋体" w:hAnsi="宋体" w:cs="宋体"/>
          <w:bCs/>
          <w:color w:val="000000"/>
          <w:sz w:val="24"/>
          <w:szCs w:val="24"/>
          <w:highlight w:val="none"/>
        </w:rPr>
        <w:t xml:space="preserve">。</w:t>
      </w:r>
      <w:r/>
    </w:p>
    <w:p>
      <w:pPr>
        <w:pStyle w:val="1032"/>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项目运维及管理期间，供应商应严格按照采购人制订的操作规范和规章制度，对所管理的系统及仪器设备进行规范操作和精心维护及必要维修，保证系统及仪器设备的正常运行，达到采购人提出的系统及仪器设备考核指标要求。中标运维商必须接受采购人和第三方质控质保核查单位的定期、不定期检查和考核。如上级质控检查时发现问题，一律由供应商限期整改。</w:t>
      </w:r>
      <w:r/>
    </w:p>
    <w:p>
      <w:pPr>
        <w:ind w:firstLine="480"/>
        <w:jc w:val="left"/>
        <w:spacing w:line="360" w:lineRule="auto"/>
        <w:tabs>
          <w:tab w:val="left" w:pos="651"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2.2、</w:t>
      </w:r>
      <w:r>
        <w:rPr>
          <w:rFonts w:hint="eastAsia" w:ascii="宋体" w:hAnsi="宋体" w:cs="宋体"/>
          <w:bCs/>
          <w:color w:val="000000"/>
          <w:sz w:val="24"/>
          <w:szCs w:val="24"/>
          <w:highlight w:val="none"/>
        </w:rPr>
        <w:t xml:space="preserve">运维工作内容</w:t>
      </w:r>
      <w:r>
        <w:rPr>
          <w:rFonts w:hint="eastAsia" w:ascii="宋体" w:hAnsi="宋体" w:cs="宋体"/>
          <w:bCs/>
          <w:color w:val="000000"/>
          <w:sz w:val="24"/>
          <w:szCs w:val="24"/>
          <w:highlight w:val="none"/>
          <w:lang w:eastAsia="zh-CN"/>
        </w:rPr>
        <w:t xml:space="preserve">：</w:t>
      </w:r>
      <w:r/>
    </w:p>
    <w:p>
      <w:pPr>
        <w:pStyle w:val="1032"/>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供应商须按照国家或省有关规定、技术和质量控制要求，</w:t>
      </w:r>
      <w:r>
        <w:rPr>
          <w:rFonts w:ascii="宋体" w:hAnsi="宋体" w:eastAsia="宋体" w:cs="宋体"/>
          <w:color w:val="000000"/>
          <w:sz w:val="24"/>
          <w:szCs w:val="24"/>
          <w:highlight w:val="none"/>
        </w:rPr>
        <w:t xml:space="preserve">派驻专职驻场运维工程师，</w:t>
      </w:r>
      <w:r>
        <w:rPr>
          <w:rFonts w:hint="eastAsia" w:ascii="宋体" w:hAnsi="宋体" w:cs="宋体"/>
          <w:color w:val="000000"/>
          <w:sz w:val="24"/>
          <w:szCs w:val="24"/>
          <w:highlight w:val="none"/>
        </w:rPr>
        <w:t xml:space="preserve">全面负责</w:t>
      </w:r>
      <w:r>
        <w:rPr>
          <w:rFonts w:hint="eastAsia" w:ascii="宋体" w:hAnsi="宋体" w:cs="宋体"/>
          <w:color w:val="000000"/>
          <w:spacing w:val="-3"/>
          <w:sz w:val="24"/>
          <w:szCs w:val="24"/>
          <w:highlight w:val="none"/>
        </w:rPr>
        <w:t xml:space="preserve">标准空气站</w:t>
      </w:r>
      <w:r>
        <w:rPr>
          <w:rFonts w:hint="eastAsia" w:ascii="宋体" w:hAnsi="宋体" w:cs="宋体"/>
          <w:color w:val="000000"/>
          <w:sz w:val="24"/>
          <w:szCs w:val="24"/>
          <w:highlight w:val="none"/>
        </w:rPr>
        <w:t xml:space="preserve">、</w:t>
      </w:r>
      <w:r>
        <w:rPr>
          <w:rFonts w:hint="eastAsia" w:ascii="宋体" w:hAnsi="宋体" w:cs="宋体"/>
          <w:color w:val="000000"/>
          <w:spacing w:val="-3"/>
          <w:sz w:val="24"/>
          <w:szCs w:val="24"/>
          <w:highlight w:val="none"/>
        </w:rPr>
        <w:t xml:space="preserve">PAMS在线监测站</w:t>
      </w:r>
      <w:r>
        <w:rPr>
          <w:rFonts w:hint="eastAsia" w:ascii="宋体" w:hAnsi="宋体" w:cs="宋体"/>
          <w:color w:val="000000"/>
          <w:sz w:val="24"/>
          <w:szCs w:val="24"/>
          <w:highlight w:val="none"/>
        </w:rPr>
        <w:t xml:space="preserve">日常运行维护。当采购人依据国家有关规定和技术要求出台新的运维要求时，以新要求为准。</w: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系统监测</w:t>
      </w:r>
      <w:r>
        <w:rPr>
          <w:rFonts w:hint="eastAsia" w:ascii="宋体" w:hAnsi="宋体" w:cs="宋体"/>
          <w:b/>
          <w:bCs/>
          <w:color w:val="000000"/>
          <w:sz w:val="24"/>
          <w:szCs w:val="24"/>
          <w:highlight w:val="none"/>
          <w:lang w:val="en-US" w:eastAsia="zh-CN"/>
        </w:rPr>
        <w:t xml:space="preserve">项目：</w:t>
      </w:r>
      <w:r/>
    </w:p>
    <w:p>
      <w:pPr>
        <w:ind w:firstLine="723"/>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标准空气站</w:t>
      </w:r>
      <w:r/>
    </w:p>
    <w:tbl>
      <w:tblPr>
        <w:tblStyle w:val="810"/>
        <w:tblW w:w="4939" w:type="pct"/>
        <w:tblInd w:w="-108" w:type="dxa"/>
        <w:tblLayout w:type="autofit"/>
        <w:tblCellMar>
          <w:left w:w="108" w:type="dxa"/>
          <w:top w:w="0" w:type="dxa"/>
          <w:right w:w="108" w:type="dxa"/>
          <w:bottom w:w="0" w:type="dxa"/>
        </w:tblCellMar>
        <w:tblLook w:val="04A0" w:firstRow="1" w:lastRow="0" w:firstColumn="1" w:lastColumn="0" w:noHBand="0" w:noVBand="1"/>
      </w:tblPr>
      <w:tblGrid>
        <w:gridCol w:w="1167"/>
        <w:gridCol w:w="2951"/>
        <w:gridCol w:w="1431"/>
        <w:gridCol w:w="4185"/>
      </w:tblGrid>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物质名称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物质名称</w:t>
            </w: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二氧化氮</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spacing w:line="360" w:lineRule="auto"/>
              <w:widowControl/>
              <w:rPr>
                <w:rFonts w:hint="eastAsia" w:ascii="宋体" w:hAnsi="宋体" w:eastAsia="宋体" w:cs="宋体"/>
                <w:b w:val="0"/>
                <w:bCs w:val="0"/>
                <w:color w:val="000000"/>
                <w:sz w:val="24"/>
                <w:szCs w:val="24"/>
                <w:highlight w:val="none"/>
              </w:rPr>
            </w:pPr>
            <w:r>
              <w:rPr>
                <w:rStyle w:val="1016"/>
                <w:rFonts w:ascii="宋体" w:hAnsi="宋体" w:eastAsia="宋体" w:cs="宋体"/>
                <w:b w:val="0"/>
                <w:bCs w:val="0"/>
                <w:color w:val="000000"/>
                <w:sz w:val="24"/>
                <w:szCs w:val="24"/>
                <w:highlight w:val="none"/>
              </w:rPr>
              <w:t xml:space="preserve">温度</w:t>
            </w:r>
            <w:r>
              <w:rPr>
                <w:rFonts w:ascii="宋体" w:hAnsi="宋体" w:eastAsia="宋体" w:cs="宋体"/>
                <w:b w:val="0"/>
                <w:bCs w:val="0"/>
                <w:color w:val="000000"/>
                <w:sz w:val="24"/>
                <w:szCs w:val="24"/>
                <w:highlight w:val="none"/>
              </w:rPr>
              <w:t xml:space="preserve">（环境空气温度）</w:t>
            </w: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二氧化硫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spacing w:line="360" w:lineRule="auto"/>
              <w:widowControl/>
              <w:rPr>
                <w:rFonts w:hint="eastAsia" w:ascii="宋体" w:hAnsi="宋体" w:eastAsia="宋体" w:cs="宋体"/>
                <w:b w:val="0"/>
                <w:bCs w:val="0"/>
                <w:color w:val="000000"/>
                <w:sz w:val="24"/>
                <w:szCs w:val="24"/>
                <w:highlight w:val="none"/>
              </w:rPr>
            </w:pPr>
            <w:r>
              <w:rPr>
                <w:rStyle w:val="1016"/>
                <w:rFonts w:ascii="宋体" w:hAnsi="宋体" w:eastAsia="宋体" w:cs="宋体"/>
                <w:b w:val="0"/>
                <w:bCs w:val="0"/>
                <w:color w:val="000000"/>
                <w:sz w:val="24"/>
                <w:szCs w:val="24"/>
                <w:highlight w:val="none"/>
              </w:rPr>
              <w:t xml:space="preserve">相对湿度</w:t>
            </w:r>
            <w:r>
              <w:rPr>
                <w:rFonts w:ascii="宋体" w:hAnsi="宋体" w:eastAsia="宋体" w:cs="宋体"/>
                <w:b w:val="0"/>
                <w:bCs w:val="0"/>
                <w:color w:val="000000"/>
                <w:sz w:val="24"/>
                <w:szCs w:val="24"/>
                <w:highlight w:val="none"/>
              </w:rPr>
              <w:t xml:space="preserve">（环境空气相对湿度）</w:t>
            </w: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一氧化碳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spacing w:line="360" w:lineRule="auto"/>
              <w:widowControl/>
              <w:rPr>
                <w:rFonts w:hint="eastAsia" w:ascii="宋体" w:hAnsi="宋体" w:eastAsia="宋体" w:cs="宋体"/>
                <w:b w:val="0"/>
                <w:bCs w:val="0"/>
                <w:color w:val="000000"/>
                <w:sz w:val="24"/>
                <w:szCs w:val="24"/>
                <w:highlight w:val="none"/>
              </w:rPr>
            </w:pPr>
            <w:r>
              <w:rPr>
                <w:rStyle w:val="1016"/>
                <w:rFonts w:ascii="宋体" w:hAnsi="宋体" w:eastAsia="宋体" w:cs="宋体"/>
                <w:b w:val="0"/>
                <w:bCs w:val="0"/>
                <w:color w:val="000000"/>
                <w:sz w:val="24"/>
                <w:szCs w:val="24"/>
                <w:highlight w:val="none"/>
              </w:rPr>
              <w:t xml:space="preserve">大气压</w:t>
            </w:r>
            <w:r>
              <w:rPr>
                <w:rFonts w:ascii="宋体" w:hAnsi="宋体" w:eastAsia="宋体" w:cs="宋体"/>
                <w:b w:val="0"/>
                <w:bCs w:val="0"/>
                <w:color w:val="000000"/>
                <w:sz w:val="24"/>
                <w:szCs w:val="24"/>
                <w:highlight w:val="none"/>
              </w:rPr>
              <w:t xml:space="preserve">（大气压力）</w:t>
            </w:r>
            <w:r/>
          </w:p>
        </w:tc>
      </w:tr>
      <w:tr>
        <w:trPr>
          <w:trHeight w:val="521"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PM10</w:t>
            </w:r>
            <w:r>
              <w:rPr>
                <w:rFonts w:ascii="宋体" w:hAnsi="宋体" w:eastAsia="宋体" w:cs="宋体"/>
                <w:color w:val="000000"/>
                <w:sz w:val="24"/>
                <w:szCs w:val="24"/>
                <w:highlight w:val="none"/>
              </w:rPr>
              <w:t xml:space="preserve">可吸入颗粒物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spacing w:line="360" w:lineRule="auto"/>
              <w:widowControl/>
              <w:rPr>
                <w:rFonts w:hint="eastAsia" w:ascii="宋体" w:hAnsi="宋体" w:eastAsia="宋体" w:cs="宋体"/>
                <w:b w:val="0"/>
                <w:bCs w:val="0"/>
                <w:color w:val="000000"/>
                <w:sz w:val="24"/>
                <w:szCs w:val="24"/>
                <w:highlight w:val="none"/>
              </w:rPr>
            </w:pPr>
            <w:r>
              <w:rPr>
                <w:rStyle w:val="1016"/>
                <w:rFonts w:ascii="宋体" w:hAnsi="宋体" w:eastAsia="宋体" w:cs="宋体"/>
                <w:b w:val="0"/>
                <w:bCs w:val="0"/>
                <w:color w:val="000000"/>
                <w:sz w:val="24"/>
                <w:szCs w:val="24"/>
                <w:highlight w:val="none"/>
              </w:rPr>
              <w:t xml:space="preserve">风速</w:t>
            </w:r>
            <w:r>
              <w:rPr>
                <w:rFonts w:ascii="宋体" w:hAnsi="宋体" w:eastAsia="宋体" w:cs="宋体"/>
                <w:b w:val="0"/>
                <w:bCs w:val="0"/>
                <w:color w:val="000000"/>
                <w:sz w:val="24"/>
                <w:szCs w:val="24"/>
                <w:highlight w:val="none"/>
              </w:rPr>
              <w:t xml:space="preserve">（环境实时风速）</w:t>
            </w: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PM2.5</w:t>
            </w:r>
            <w:r>
              <w:rPr>
                <w:rFonts w:ascii="宋体" w:hAnsi="宋体" w:eastAsia="宋体" w:cs="宋体"/>
                <w:color w:val="000000"/>
                <w:sz w:val="24"/>
                <w:szCs w:val="24"/>
                <w:highlight w:val="none"/>
              </w:rPr>
              <w:t xml:space="preserve">细颗粒物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spacing w:line="360" w:lineRule="auto"/>
              <w:widowControl/>
              <w:rPr>
                <w:rFonts w:hint="eastAsia" w:ascii="宋体" w:hAnsi="宋体" w:eastAsia="宋体" w:cs="宋体"/>
                <w:b w:val="0"/>
                <w:bCs w:val="0"/>
                <w:color w:val="000000"/>
                <w:sz w:val="24"/>
                <w:szCs w:val="24"/>
                <w:highlight w:val="none"/>
              </w:rPr>
            </w:pPr>
            <w:r>
              <w:rPr>
                <w:rStyle w:val="1016"/>
                <w:rFonts w:ascii="宋体" w:hAnsi="宋体" w:eastAsia="宋体" w:cs="宋体"/>
                <w:b w:val="0"/>
                <w:bCs w:val="0"/>
                <w:color w:val="000000"/>
                <w:sz w:val="24"/>
                <w:szCs w:val="24"/>
                <w:highlight w:val="none"/>
              </w:rPr>
              <w:t xml:space="preserve">风向</w:t>
            </w:r>
            <w:r>
              <w:rPr>
                <w:rFonts w:ascii="宋体" w:hAnsi="宋体" w:eastAsia="宋体" w:cs="宋体"/>
                <w:b w:val="0"/>
                <w:bCs w:val="0"/>
                <w:color w:val="000000"/>
                <w:sz w:val="24"/>
                <w:szCs w:val="24"/>
                <w:highlight w:val="none"/>
              </w:rPr>
              <w:t xml:space="preserve">（环境实时风向）</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臭氧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723"/>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rPr>
        <w:t xml:space="preserve">57种PAMS碳氢化合物</w:t>
      </w:r>
      <w:r>
        <w:rPr>
          <w:rFonts w:hint="eastAsia" w:ascii="宋体" w:hAnsi="宋体" w:cs="宋体"/>
          <w:b/>
          <w:bCs/>
          <w:color w:val="000000"/>
          <w:sz w:val="24"/>
          <w:szCs w:val="24"/>
          <w:highlight w:val="none"/>
          <w:lang w:eastAsia="zh-CN"/>
        </w:rPr>
        <w:t xml:space="preserve">：</w:t>
      </w:r>
      <w:r/>
    </w:p>
    <w:tbl>
      <w:tblPr>
        <w:tblStyle w:val="810"/>
        <w:tblW w:w="89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1"/>
        <w:gridCol w:w="1241"/>
        <w:gridCol w:w="621"/>
        <w:gridCol w:w="1862"/>
        <w:gridCol w:w="744"/>
        <w:gridCol w:w="1614"/>
        <w:gridCol w:w="621"/>
        <w:gridCol w:w="1614"/>
      </w:tblGrid>
      <w:tr>
        <w:trPr>
          <w:jc w:val="center"/>
          <w:trHeight w:val="358"/>
          <w:tblHeader/>
        </w:trPr>
        <w:tc>
          <w:tcPr>
            <w:tcW w:w="621" w:type="dxa"/>
            <w:vAlign w:val="center"/>
            <w:textDirection w:val="lrTb"/>
            <w:noWrap w:val="false"/>
          </w:tcPr>
          <w:p>
            <w:pPr>
              <w:pStyle w:val="1045"/>
              <w:ind w:left="0" w:right="0" w:firstLine="0"/>
              <w:jc w:val="center"/>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p>
        </w:tc>
        <w:tc>
          <w:tcPr>
            <w:tcW w:w="1241" w:type="dxa"/>
            <w:vAlign w:val="center"/>
            <w:textDirection w:val="lrTb"/>
            <w:noWrap w:val="false"/>
          </w:tcPr>
          <w:p>
            <w:pPr>
              <w:pStyle w:val="1045"/>
              <w:ind w:left="0" w:right="0" w:firstLine="0"/>
              <w:jc w:val="center"/>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p>
        </w:tc>
        <w:tc>
          <w:tcPr>
            <w:tcW w:w="621" w:type="dxa"/>
            <w:vAlign w:val="center"/>
            <w:textDirection w:val="lrTb"/>
            <w:noWrap w:val="false"/>
          </w:tcPr>
          <w:p>
            <w:pPr>
              <w:pStyle w:val="1045"/>
              <w:ind w:left="0" w:right="0" w:firstLine="0"/>
              <w:jc w:val="center"/>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p>
        </w:tc>
        <w:tc>
          <w:tcPr>
            <w:tcW w:w="1862" w:type="dxa"/>
            <w:vAlign w:val="center"/>
            <w:textDirection w:val="lrTb"/>
            <w:noWrap w:val="false"/>
          </w:tcPr>
          <w:p>
            <w:pPr>
              <w:pStyle w:val="1045"/>
              <w:ind w:left="0" w:right="0" w:firstLine="0"/>
              <w:jc w:val="center"/>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p>
        </w:tc>
        <w:tc>
          <w:tcPr>
            <w:tcW w:w="744" w:type="dxa"/>
            <w:vAlign w:val="center"/>
            <w:textDirection w:val="lrTb"/>
            <w:noWrap w:val="false"/>
          </w:tcPr>
          <w:p>
            <w:pPr>
              <w:pStyle w:val="1045"/>
              <w:ind w:left="0" w:right="0" w:firstLine="0"/>
              <w:jc w:val="center"/>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p>
        </w:tc>
        <w:tc>
          <w:tcPr>
            <w:tcW w:w="1614" w:type="dxa"/>
            <w:vAlign w:val="center"/>
            <w:textDirection w:val="lrTb"/>
            <w:noWrap w:val="false"/>
          </w:tcPr>
          <w:p>
            <w:pPr>
              <w:pStyle w:val="1045"/>
              <w:ind w:left="0" w:right="0" w:firstLine="0"/>
              <w:jc w:val="center"/>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p>
        </w:tc>
        <w:tc>
          <w:tcPr>
            <w:tcW w:w="621" w:type="dxa"/>
            <w:vAlign w:val="center"/>
            <w:textDirection w:val="lrTb"/>
            <w:noWrap w:val="false"/>
          </w:tcPr>
          <w:p>
            <w:pPr>
              <w:pStyle w:val="1045"/>
              <w:ind w:left="0" w:right="0" w:firstLine="0"/>
              <w:jc w:val="center"/>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p>
        </w:tc>
        <w:tc>
          <w:tcPr>
            <w:tcW w:w="1614" w:type="dxa"/>
            <w:vAlign w:val="center"/>
            <w:textDirection w:val="lrTb"/>
            <w:noWrap w:val="false"/>
          </w:tcPr>
          <w:p>
            <w:pPr>
              <w:pStyle w:val="1045"/>
              <w:ind w:left="0" w:right="0" w:firstLine="0"/>
              <w:jc w:val="center"/>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p>
        </w:tc>
      </w:tr>
      <w:tr>
        <w:trPr>
          <w:jc w:val="center"/>
          <w:trHeight w:val="358"/>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乙烷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15</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反-2-戊烯</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29</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44</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苯乙烯</w:t>
            </w:r>
            <w:r/>
          </w:p>
        </w:tc>
      </w:tr>
      <w:tr>
        <w:trPr>
          <w:jc w:val="center"/>
          <w:trHeight w:val="706"/>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乙烯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16</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顺-2-戊烯</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30</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2,2,4-三甲基戊烷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45</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异丙基苯</w:t>
            </w:r>
            <w:r/>
          </w:p>
        </w:tc>
      </w:tr>
      <w:tr>
        <w:trPr>
          <w:jc w:val="center"/>
          <w:trHeight w:val="358"/>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丙烷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17</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2,2-二甲基丁烷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31</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庚烷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46</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丙基苯</w:t>
            </w:r>
            <w:r/>
          </w:p>
        </w:tc>
      </w:tr>
      <w:tr>
        <w:trPr>
          <w:jc w:val="center"/>
          <w:trHeight w:val="358"/>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丙烯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18</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2,3-二甲基丁烷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32</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甲基环己烷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47</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 乙基甲苯</w:t>
            </w:r>
            <w:r/>
          </w:p>
        </w:tc>
      </w:tr>
      <w:tr>
        <w:trPr>
          <w:jc w:val="center"/>
          <w:trHeight w:val="706"/>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异丁烷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19</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2-甲基戊烷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33</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2,3,4-三甲基戊烷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48</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 乙基甲苯</w:t>
            </w:r>
            <w:r/>
          </w:p>
        </w:tc>
      </w:tr>
      <w:tr>
        <w:trPr>
          <w:jc w:val="center"/>
          <w:trHeight w:val="358"/>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6</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正丁烷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20</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 甲基戊烷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34</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 甲基庚烷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49</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癸烷</w:t>
            </w:r>
            <w:r/>
          </w:p>
        </w:tc>
      </w:tr>
      <w:tr>
        <w:trPr>
          <w:jc w:val="center"/>
          <w:trHeight w:val="358"/>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7</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乙炔</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21</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 己烯</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35</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 甲基庚烷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50</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1,3,5-三甲苯</w:t>
            </w:r>
            <w:r/>
          </w:p>
        </w:tc>
      </w:tr>
      <w:tr>
        <w:trPr>
          <w:jc w:val="center"/>
          <w:trHeight w:val="358"/>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8</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反-2-丁烯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22</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正己烷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36</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甲苯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51</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 乙基甲苯</w:t>
            </w:r>
            <w:r/>
          </w:p>
        </w:tc>
      </w:tr>
      <w:tr>
        <w:trPr>
          <w:jc w:val="center"/>
          <w:trHeight w:val="706"/>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9</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1-丁烯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23</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2,4-二甲基戊烷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37</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正辛烷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52</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1,2,4-三甲基苯</w:t>
            </w:r>
            <w:r/>
          </w:p>
        </w:tc>
      </w:tr>
      <w:tr>
        <w:trPr>
          <w:jc w:val="center"/>
          <w:trHeight w:val="706"/>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10</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环戊烷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24</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甲基环戊烷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38</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乙基苯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53</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1,2,3-三甲基苯</w:t>
            </w:r>
            <w:r/>
          </w:p>
        </w:tc>
      </w:tr>
      <w:tr>
        <w:trPr>
          <w:jc w:val="center"/>
          <w:trHeight w:val="706"/>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11</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顺-2-丁烯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25</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 甲基己烷(异庚烷)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39</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正壬烷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54</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1,3-二乙基苯</w:t>
            </w:r>
            <w:r/>
          </w:p>
        </w:tc>
      </w:tr>
      <w:tr>
        <w:trPr>
          <w:jc w:val="center"/>
          <w:trHeight w:val="358"/>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12</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异戊烷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26</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2,3-二甲基戊烷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40</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异戊二烯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55</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1,4-二乙基苯</w:t>
            </w:r>
            <w:r/>
          </w:p>
        </w:tc>
      </w:tr>
      <w:tr>
        <w:trPr>
          <w:jc w:val="center"/>
          <w:trHeight w:val="358"/>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13</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正戊烷</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27</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环己烷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41-42</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间/对-二甲苯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56</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十一烷</w:t>
            </w:r>
            <w:r/>
          </w:p>
        </w:tc>
      </w:tr>
      <w:tr>
        <w:trPr>
          <w:jc w:val="center"/>
          <w:trHeight w:val="369"/>
        </w:trPr>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14</w:t>
            </w:r>
            <w:r/>
          </w:p>
        </w:tc>
        <w:tc>
          <w:tcPr>
            <w:tcW w:w="124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1-戊烯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28</w:t>
            </w:r>
            <w:r/>
          </w:p>
        </w:tc>
        <w:tc>
          <w:tcPr>
            <w:tcW w:w="1862"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 甲基己烷</w:t>
            </w:r>
            <w:r/>
          </w:p>
        </w:tc>
        <w:tc>
          <w:tcPr>
            <w:tcW w:w="74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43</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邻二甲苯</w:t>
            </w:r>
            <w:r/>
          </w:p>
        </w:tc>
        <w:tc>
          <w:tcPr>
            <w:tcW w:w="621"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57</w:t>
            </w:r>
            <w:r/>
          </w:p>
        </w:tc>
        <w:tc>
          <w:tcPr>
            <w:tcW w:w="1614" w:type="dxa"/>
            <w:vAlign w:val="center"/>
            <w:textDirection w:val="lrTb"/>
            <w:noWrap w:val="false"/>
          </w:tcPr>
          <w:p>
            <w:pPr>
              <w:pStyle w:val="1045"/>
              <w:ind w:left="0" w:right="0" w:firstLine="0"/>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十二烷</w:t>
            </w:r>
            <w:r/>
          </w:p>
        </w:tc>
      </w:tr>
    </w:tbl>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3、日常巡查</w:t>
      </w:r>
      <w:r/>
    </w:p>
    <w:p>
      <w:pPr>
        <w:ind w:firstLine="723"/>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每日工作内容</w:t>
      </w:r>
      <w:r/>
    </w:p>
    <w:p>
      <w:pPr>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每天上午和下午两次远程查看监测站点数据并形成记录，分析监测数据，对站点运行情况进行远程诊断和运行管理，内容包括：</w:t>
      </w:r>
      <w:r/>
    </w:p>
    <w:p>
      <w:pPr>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（1）判断系统数据采集与传输情况；</w:t>
      </w:r>
      <w:r/>
    </w:p>
    <w:p>
      <w:pPr>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（2）根据电源电压、站房温度、湿度数据判断站房内部情况；</w:t>
      </w:r>
      <w:r/>
    </w:p>
    <w:p>
      <w:pPr>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（3）发现监测数据异常，应立即上报，在每日 8 时～20 时出现的异常，应在 4 小时内解决（通信线路、电力线路故障除外，但应及时与相关部门联系积极解决）；</w:t>
      </w:r>
      <w:r/>
    </w:p>
    <w:p>
      <w:pPr>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（4）在接收到重污染天气预报等特殊情况信息后，应在重污染过程开始前完成7日内的相应的运维工作；</w:t>
      </w:r>
      <w:r/>
    </w:p>
    <w:p>
      <w:pPr>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（5）根据数据分析结果、设备状态参数和仪器故障报警信号，判断仪器运行情况和现 场状况；</w:t>
      </w:r>
      <w:r/>
    </w:p>
    <w:p>
      <w:pPr>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（6）每日检查数据是否及时上传至平台并在平台正常展示，发现数据断网及时恢复。 </w:t>
      </w:r>
      <w:r/>
    </w:p>
    <w:p>
      <w:pPr>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（7）运维单位对监测站点监测数据进行审核，并将审核数据按时提交至平台。每日14 时前完成监测站点前一日各站点原始小时值的审核，报送平台复核。对复核不通过的数据，需于次日 12 时前再次审核后上报。再次审核报送的数据仍未通过复核的，以上级部门最终复核结果为准。当天因网络故障等原因未能完成数据审核报送的，可 顺延1日审核报送，最多顺延2日。对于未能在规定时间内按时完成审核的数据，须于数据产生1周内，将未按时完成审核的原因及书面审核结果以正式文件形式报送相关单位。</w:t>
      </w:r>
      <w:r/>
    </w:p>
    <w:p>
      <w:pPr>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每周巡检</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每周至少巡视监测站点1次，并做好巡查记录，巡检时需要完成的工作包括：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（1）查看设备是否齐备，无丢失和损坏；检查接地线路是否可靠，排风排气装置工作是否正常，标准气钢瓶阀门是否漏气，标准气的消耗情况；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（2）检查采样和排气管路是否有漏气或堵塞现象，采样流量是否正常。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（3）检查仪器的运行状况和工作参数，判断是否正常，如有异常情况及时处理，保证仪器运行正常。</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（4）检查外部环境是否正常，有没有对测定结果或运行环境存在明显影响的污染源；</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（5）检查电路系统和通讯系统，保证系统供电正常，电压稳定；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（6）检查监测站点的通讯系统，保证监测站与远程监控中心的连接正常，数据传输正常，确保无远程控制软件。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（7）对仪器显示数据、时间与数据采集仪之间的一致性进行检查和校准。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（8）在冬、夏季节应注意站房室内外温差，若温差较大，应及时改变站房温度或对采样总管采取适当的控制措施，防止管路出现冷凝水或其他异常现象。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应经常检查避雷设施是否可靠、站房屋是否有漏雨现象、气象杆和天线是否被刮坏、站房外围的其它设施是否有损坏或被水淹等，如遇到以上问题应及时处理，保证系统安全运行。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检查站房的安全设施，做好防火防盗工作。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每周对站房内外环境卫生进行检查，及时保洁。</w:t>
      </w:r>
      <w:r/>
    </w:p>
    <w:p>
      <w:pPr>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每季度工作内容</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（1）对仪器进行一次预防性维护和各测试参数检查，同时做好记录；</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（2）更换外标气进行手动校准，并记录；</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（3）更换载气，测漏后调节至工作压力；</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（4）分析仪采样管路清洁；</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（5）检查仪器的温度情况；</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（6）清洁排水管；</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（7）更换采样滤膜；查看冷却液液位和变色柱颜色。若有需要，及时添加冷却液和更换变色柱。</w:t>
      </w:r>
      <w:r/>
    </w:p>
    <w:p>
      <w:pPr>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每年工作内容</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（1）清理采样、标定系统、载气系统管理；</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（2）清理风扇及滤网；</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（3）更换标气、测漏后调节至工作压力；</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（4）电路及电子元器件检查；</w:t>
      </w:r>
      <w:r/>
    </w:p>
    <w:p>
      <w:pPr>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（5）设备部件清洗更换，伴热管查看或检修。</w:t>
      </w:r>
      <w:r/>
    </w:p>
    <w:p>
      <w:pPr>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4、运维方案要求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站点</w:t>
      </w:r>
      <w:r>
        <w:rPr>
          <w:rFonts w:hint="eastAsia" w:ascii="宋体" w:hAnsi="宋体" w:cs="宋体"/>
          <w:color w:val="000000"/>
          <w:sz w:val="24"/>
          <w:szCs w:val="24"/>
          <w:highlight w:val="none"/>
        </w:rPr>
        <w:t xml:space="preserve">运行维护应包括周监控、月巡检、季度检查和年度更换，具体要求如下：</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周监控：每周检查设备在线率、报警情况、运行维护计划等至少1次；</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月巡检：每月远程巡检设备运行状况至少1次，具体内容包括设备运行状态、异常率、运行负荷、质控合格情况等，并留有书面记录；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季度检查：检查内容包括质量浓度准确性、平行性、设备状况、周边环境、设备运行状况等。安装气象传感器的站点，使用标准温湿度气压计、手持式风向风速仪进行比对校准。如果季度抽查不合格比例超过一定限值，及时更换不合格产品并将季度检查频次缩短为月度检查。现场检查留有书面记录；</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p>
    <w:p>
      <w:pPr>
        <w:pStyle w:val="1032"/>
        <w:numPr>
          <w:ilvl w:val="0"/>
          <w:numId w:val="0"/>
        </w:numPr>
        <w:ind w:left="420"/>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5、</w:t>
      </w:r>
      <w:r>
        <w:rPr>
          <w:rFonts w:hint="eastAsia" w:ascii="宋体" w:hAnsi="宋体" w:eastAsia="宋体" w:cs="宋体"/>
          <w:b/>
          <w:color w:val="000000"/>
          <w:sz w:val="24"/>
          <w:szCs w:val="24"/>
          <w:highlight w:val="none"/>
          <w:lang w:val="en-US" w:eastAsia="zh-CN" w:bidi="ar-SA"/>
        </w:rPr>
        <w:t xml:space="preserve">档案管理要求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建立站点维护档案，运维工作进行详细记录，并进行归档管理。日常运维中使用运行维护相关记录至少应包括所有设备的运行维护记录及站房维护记录表。同时供应商提供详细的每月、每季度、每年的运维工作内容。</w:t>
      </w:r>
      <w:r/>
    </w:p>
    <w:p>
      <w:pPr>
        <w:pStyle w:val="1032"/>
        <w:numPr>
          <w:ilvl w:val="0"/>
          <w:numId w:val="0"/>
        </w:numPr>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6、质量控制要求</w:t>
      </w:r>
      <w:r/>
    </w:p>
    <w:p>
      <w:pPr>
        <w:ind w:firstLine="480"/>
        <w:spacing w:line="360" w:lineRule="auto"/>
        <w:tabs>
          <w:tab w:val="left" w:pos="651"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供应商位需认真落实质量管理制度，建立完善的运行维护工作质量管理体系，安排专职质量控制管理人员</w:t>
      </w:r>
      <w:r>
        <w:rPr>
          <w:rFonts w:hint="eastAsia" w:ascii="宋体" w:hAnsi="宋体" w:cs="宋体"/>
          <w:color w:val="000000"/>
          <w:sz w:val="24"/>
          <w:szCs w:val="24"/>
          <w:highlight w:val="none"/>
          <w:lang w:eastAsia="zh-CN"/>
        </w:rPr>
        <w:t xml:space="preserve">。</w:t>
      </w:r>
      <w:r/>
    </w:p>
    <w:p>
      <w:pPr>
        <w:ind w:firstLine="480"/>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（1）量值溯源要求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站点配备标准物质（标准样品），所使用的标准气体须为国家环保部标样所或国家标物中心生产的一级有证标准物质。在用标准气体的钢瓶压力低于 500PSIG 时，需要进行重新验证；当钢瓶压力低于150PSIG(1.0MPa)时，停止使用。标准气体及物质必须在有效期内使用。</w:t>
      </w:r>
      <w:r/>
    </w:p>
    <w:p>
      <w:p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（2）日常质量控制要求</w:t>
      </w:r>
      <w:r/>
    </w:p>
    <w:p>
      <w:p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监测仪在以下情况下需进行校准：安装时、移动位置时、进行可能影响校准结果的维修或维护后、监测仪暂停工作一段时间后、质控不合格时、超过国家规范或本</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要求的校准周期或校准要求的，均需进行设备校准。 </w:t>
      </w:r>
      <w:r/>
    </w:p>
    <w:p>
      <w:pPr>
        <w:numPr>
          <w:ilvl w:val="0"/>
          <w:numId w:val="17"/>
        </w:num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质量检查</w:t>
      </w:r>
      <w:r/>
    </w:p>
    <w:p>
      <w:pPr>
        <w:numPr>
          <w:ilvl w:val="0"/>
          <w:numId w:val="0"/>
        </w:num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运维单位必须接受上级部门及其委托单位和人员的质量检查。 </w:t>
      </w:r>
      <w:r/>
    </w:p>
    <w:p>
      <w:pPr>
        <w:numPr>
          <w:ilvl w:val="0"/>
          <w:numId w:val="17"/>
        </w:numPr>
        <w:ind w:left="0"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质量控制资料整理 </w:t>
      </w:r>
      <w:r/>
    </w:p>
    <w:p>
      <w:pPr>
        <w:numPr>
          <w:ilvl w:val="0"/>
          <w:numId w:val="0"/>
        </w:num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种技术与质量文件均保持现行有效，可根据管理需要进行调整或修订。以电子表格的形式，将巡检记录、维修维护记录、日常检查与监督抽查等质量保证与质量控制记录按要求及时进行在线填写报送，同时站点填写纸质记录并妥善保存待查。</w:t>
      </w:r>
      <w:r/>
    </w:p>
    <w:p>
      <w:pPr>
        <w:numPr>
          <w:ilvl w:val="0"/>
          <w:numId w:val="0"/>
        </w:numPr>
        <w:ind w:firstLine="480"/>
        <w:spacing w:line="360" w:lineRule="auto"/>
        <w:widowControl/>
        <w:rPr>
          <w:rFonts w:hint="eastAsia" w:ascii="宋体" w:hAnsi="宋体" w:cs="宋体"/>
          <w:color w:val="000000"/>
          <w:sz w:val="24"/>
          <w:szCs w:val="24"/>
          <w:highlight w:val="yellow"/>
          <w:lang w:eastAsia="zh-CN"/>
        </w:rPr>
      </w:pPr>
      <w:r>
        <w:rPr>
          <w:rFonts w:hint="eastAsia" w:ascii="宋体" w:hAnsi="宋体" w:cs="宋体"/>
          <w:color w:val="000000"/>
          <w:sz w:val="24"/>
          <w:szCs w:val="24"/>
          <w:highlight w:val="yellow"/>
          <w:lang w:eastAsia="zh-CN"/>
        </w:rPr>
        <w:t xml:space="preserve">（</w:t>
      </w:r>
      <w:r>
        <w:rPr>
          <w:rFonts w:hint="eastAsia" w:ascii="宋体" w:hAnsi="宋体" w:cs="宋体"/>
          <w:color w:val="000000"/>
          <w:sz w:val="24"/>
          <w:szCs w:val="24"/>
          <w:highlight w:val="yellow"/>
          <w:lang w:val="en-US" w:eastAsia="zh-CN"/>
        </w:rPr>
        <w:t xml:space="preserve">5</w:t>
      </w:r>
      <w:r>
        <w:rPr>
          <w:rFonts w:hint="eastAsia" w:ascii="宋体" w:hAnsi="宋体" w:cs="宋体"/>
          <w:color w:val="000000"/>
          <w:sz w:val="24"/>
          <w:szCs w:val="24"/>
          <w:highlight w:val="yellow"/>
          <w:lang w:eastAsia="zh-CN"/>
        </w:rPr>
        <w:t xml:space="preserve">）准确度审核（外部对比监测）</w:t>
      </w:r>
      <w:r/>
    </w:p>
    <w:p>
      <w:pPr>
        <w:numPr>
          <w:ilvl w:val="0"/>
          <w:numId w:val="0"/>
        </w:numPr>
        <w:ind w:firstLine="480"/>
        <w:spacing w:line="360" w:lineRule="auto"/>
        <w:widowControl/>
        <w:rPr>
          <w:rFonts w:hint="eastAsia" w:ascii="宋体" w:hAnsi="宋体" w:cs="宋体"/>
          <w:color w:val="000000"/>
          <w:sz w:val="24"/>
          <w:szCs w:val="24"/>
          <w:highlight w:val="yellow"/>
          <w:lang w:eastAsia="zh-CN"/>
        </w:rPr>
      </w:pPr>
      <w:r>
        <w:rPr>
          <w:rFonts w:hint="eastAsia" w:ascii="宋体" w:hAnsi="宋体" w:cs="宋体"/>
          <w:color w:val="000000"/>
          <w:sz w:val="24"/>
          <w:szCs w:val="24"/>
          <w:highlight w:val="yellow"/>
          <w:lang w:eastAsia="zh-CN"/>
        </w:rPr>
        <w:t xml:space="preserve">运维单位按相关规定开展准确度审核（外部对比监测），并提供相关报告。数据质量必须达到</w:t>
      </w:r>
      <w:r>
        <w:rPr>
          <w:rFonts w:hint="eastAsia" w:ascii="宋体" w:hAnsi="宋体" w:cs="宋体"/>
          <w:color w:val="000000"/>
          <w:sz w:val="24"/>
          <w:szCs w:val="24"/>
          <w:highlight w:val="yellow"/>
          <w:lang w:val="en-US" w:eastAsia="zh-CN"/>
        </w:rPr>
        <w:t xml:space="preserve">《江苏省工业园区（集中区）污染物排放限值限量环境空气自动监测监控系统运行管理技术规范》关于准确度审核的要求。</w:t>
      </w:r>
      <w:r/>
    </w:p>
    <w:p>
      <w:pPr>
        <w:pStyle w:val="1032"/>
        <w:numPr>
          <w:ilvl w:val="0"/>
          <w:numId w:val="0"/>
        </w:numPr>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7、维修要求 </w:t>
      </w:r>
      <w:r/>
    </w:p>
    <w:p>
      <w:p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供应商收到维修要求后，应在24小时内解决问题，恢复数据；若48小时内无法解决仪器故障, 需提供备机；经过现场调试后，5日内恢复数据正常。 </w:t>
      </w:r>
      <w:r/>
    </w:p>
    <w:p>
      <w:p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（1）维修更换工作要求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运维单位负责所有设备和仪器的维护、维修和部件更换（包括空调设备等附属设施）。本服务内容同样包括由于外部原因意外丢失和损坏设备的更换或维修。</w:t>
      </w:r>
      <w:r/>
    </w:p>
    <w:p>
      <w:p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（2）设备维修质量控制要求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监测仪器一般维修后，当其监测性能受到影响时，采用关键参数检查、标气测定、流量测定、标准样品测试、稳定性测试或手工比对等方法进行测试。 </w:t>
      </w:r>
      <w:r/>
    </w:p>
    <w:p>
      <w:p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设备大修后，应重新开展仪器的调试检测以保障设备的性能达到相关要求</w:t>
      </w:r>
      <w:r>
        <w:rPr>
          <w:rFonts w:hint="eastAsia" w:ascii="宋体" w:hAnsi="宋体" w:cs="宋体"/>
          <w:color w:val="000000"/>
          <w:sz w:val="24"/>
          <w:szCs w:val="24"/>
          <w:highlight w:val="none"/>
          <w:lang w:val="en-US" w:eastAsia="zh-CN"/>
        </w:rPr>
        <w:t xml:space="preserve">.</w:t>
      </w:r>
      <w:r/>
    </w:p>
    <w:p>
      <w:pPr>
        <w:pStyle w:val="1032"/>
        <w:numPr>
          <w:ilvl w:val="0"/>
          <w:numId w:val="0"/>
        </w:numPr>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8、考核管理办法</w:t>
      </w:r>
      <w:r/>
    </w:p>
    <w:p>
      <w:pPr>
        <w:ind w:firstLine="42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付款考核</w:t>
      </w:r>
      <w:r>
        <w:rPr>
          <w:rFonts w:hint="eastAsia" w:ascii="宋体" w:hAnsi="宋体" w:cs="宋体"/>
          <w:color w:val="000000"/>
          <w:sz w:val="24"/>
          <w:szCs w:val="24"/>
          <w:highlight w:val="none"/>
          <w:lang w:eastAsia="zh-CN"/>
        </w:rPr>
        <w:t xml:space="preserve">：</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供应商须指定一名项目负责人，全权负责与采购人进行对接。采购人</w:t>
      </w:r>
      <w:r>
        <w:rPr>
          <w:rFonts w:hint="eastAsia" w:ascii="宋体" w:hAnsi="宋体" w:cs="宋体"/>
          <w:color w:val="000000"/>
          <w:sz w:val="24"/>
          <w:szCs w:val="24"/>
          <w:highlight w:val="none"/>
        </w:rPr>
        <w:t xml:space="preserve">依据站点的实际有效运行率按月对供应商开展考核，具体如下：</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（1）站点整体有效运行率≥90%时，拨付该站点全部运维款。</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排除</w:t>
      </w:r>
      <w:r>
        <w:rPr>
          <w:rFonts w:hint="eastAsia" w:ascii="宋体" w:hAnsi="宋体" w:cs="宋体"/>
          <w:color w:val="000000"/>
          <w:sz w:val="24"/>
          <w:szCs w:val="24"/>
          <w:highlight w:val="none"/>
        </w:rPr>
        <w:t xml:space="preserve">因停电</w:t>
      </w:r>
      <w:r>
        <w:rPr>
          <w:rFonts w:hint="eastAsia" w:ascii="宋体" w:hAnsi="宋体" w:cs="宋体"/>
          <w:color w:val="000000"/>
          <w:sz w:val="24"/>
          <w:szCs w:val="24"/>
          <w:highlight w:val="none"/>
          <w:lang w:eastAsia="zh-CN"/>
        </w:rPr>
        <w:t xml:space="preserve">等</w:t>
      </w:r>
      <w:r>
        <w:rPr>
          <w:rFonts w:hint="eastAsia" w:ascii="宋体" w:hAnsi="宋体" w:cs="宋体"/>
          <w:color w:val="000000"/>
          <w:sz w:val="24"/>
          <w:szCs w:val="24"/>
          <w:highlight w:val="none"/>
        </w:rPr>
        <w:t xml:space="preserve">其他不可抗拒因素引起的故障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1个月内</w:t>
      </w:r>
      <w:r>
        <w:rPr>
          <w:rFonts w:hint="eastAsia" w:ascii="宋体" w:hAnsi="宋体" w:cs="宋体"/>
          <w:color w:val="000000"/>
          <w:sz w:val="24"/>
          <w:szCs w:val="24"/>
          <w:highlight w:val="none"/>
        </w:rPr>
        <w:t xml:space="preserve">站点整体有效运行率&lt;90%，</w:t>
      </w:r>
      <w:r>
        <w:rPr>
          <w:rFonts w:hint="eastAsia" w:ascii="宋体" w:hAnsi="宋体" w:cs="宋体"/>
          <w:color w:val="000000"/>
          <w:sz w:val="24"/>
          <w:szCs w:val="24"/>
          <w:highlight w:val="yellow"/>
          <w:lang w:val="en-US" w:eastAsia="zh-CN"/>
        </w:rPr>
        <w:t xml:space="preserve">扣除50%-100%运维款</w:t>
      </w:r>
      <w:r>
        <w:rPr>
          <w:rFonts w:hint="eastAsia" w:ascii="宋体" w:hAnsi="宋体" w:cs="宋体"/>
          <w:color w:val="000000"/>
          <w:sz w:val="24"/>
          <w:szCs w:val="24"/>
          <w:highlight w:val="none"/>
          <w:lang w:val="en-US" w:eastAsia="zh-CN"/>
        </w:rPr>
        <w:t xml:space="preserve">，连续2个月内</w:t>
      </w:r>
      <w:r>
        <w:rPr>
          <w:rFonts w:hint="eastAsia" w:ascii="宋体" w:hAnsi="宋体" w:cs="宋体"/>
          <w:color w:val="000000"/>
          <w:sz w:val="24"/>
          <w:szCs w:val="24"/>
          <w:highlight w:val="none"/>
        </w:rPr>
        <w:t xml:space="preserve">站点整体有效运行率&lt;90%，</w:t>
      </w:r>
      <w:r>
        <w:rPr>
          <w:rFonts w:hint="eastAsia" w:ascii="宋体" w:hAnsi="宋体" w:cs="宋体"/>
          <w:color w:val="000000"/>
          <w:sz w:val="24"/>
          <w:szCs w:val="24"/>
          <w:highlight w:val="yellow"/>
          <w:lang w:val="en-US" w:eastAsia="zh-CN"/>
        </w:rPr>
        <w:t xml:space="preserve">扣除100%运维款</w:t>
      </w:r>
      <w:r>
        <w:rPr>
          <w:rFonts w:hint="eastAsia" w:ascii="宋体" w:hAnsi="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6"/>
        <w:rPr>
          <w:color w:val="000000"/>
          <w:highlight w:val="none"/>
        </w:rPr>
      </w:pPr>
      <w:r>
        <w:rPr>
          <w:color w:val="000000"/>
          <w:highlight w:val="none"/>
        </w:rPr>
        <w:t xml:space="preserve">★ 重要合同条款：</w:t>
      </w:r>
      <w:r/>
    </w:p>
    <w:p>
      <w:pPr>
        <w:pStyle w:val="1046"/>
        <w:numPr>
          <w:ilvl w:val="0"/>
          <w:numId w:val="18"/>
        </w:numPr>
        <w:rPr>
          <w:rFonts w:hint="eastAsia"/>
          <w:color w:val="000000"/>
          <w:highlight w:val="red"/>
        </w:rPr>
      </w:pPr>
      <w:r>
        <w:rPr>
          <w:color w:val="000000"/>
          <w:highlight w:val="yellow"/>
        </w:rPr>
        <w:t xml:space="preserve">若连续2个月</w:t>
      </w:r>
      <w:r>
        <w:rPr>
          <w:rFonts w:hint="eastAsia"/>
          <w:color w:val="000000"/>
          <w:highlight w:val="yellow"/>
          <w:lang w:eastAsia="zh-CN"/>
        </w:rPr>
        <w:t xml:space="preserve">站点</w:t>
      </w:r>
      <w:r>
        <w:rPr>
          <w:color w:val="000000"/>
          <w:highlight w:val="yellow"/>
        </w:rPr>
        <w:t xml:space="preserve">数据有效率低于90%，</w:t>
      </w:r>
      <w:r>
        <w:rPr>
          <w:rFonts w:hint="eastAsia"/>
          <w:color w:val="000000"/>
          <w:highlight w:val="yellow"/>
          <w:lang w:eastAsia="zh-CN"/>
        </w:rPr>
        <w:t xml:space="preserve">供应商须出具限期整改方案及后续运维服务保障承诺。若供应商接到甲方通知后</w:t>
      </w:r>
      <w:r>
        <w:rPr>
          <w:rFonts w:hint="eastAsia"/>
          <w:color w:val="000000"/>
          <w:highlight w:val="yellow"/>
          <w:lang w:val="en-US" w:eastAsia="zh-CN"/>
        </w:rPr>
        <w:t xml:space="preserve">3个工作日内</w:t>
      </w:r>
      <w:r>
        <w:rPr>
          <w:rFonts w:hint="eastAsia"/>
          <w:color w:val="000000"/>
          <w:highlight w:val="yellow"/>
          <w:lang w:eastAsia="zh-CN"/>
        </w:rPr>
        <w:t xml:space="preserve">无法出具限期整改方案及后续运维服务保障承诺，</w:t>
      </w:r>
      <w:r>
        <w:rPr>
          <w:rFonts w:hint="eastAsia"/>
          <w:color w:val="000000"/>
          <w:highlight w:val="yellow"/>
        </w:rPr>
        <w:t xml:space="preserve">甲方有权单方面解除合同，乙方应退还已收取的全部款项，并向甲方支付合同总额 20%-30% 的违约金。若违约金不足以弥补甲方损失的（包括重新采购的成本、监测数据缺失造成的行政问责损失等），乙方应予赔偿。合同解除后，乙方应在</w:t>
      </w:r>
      <w:r>
        <w:rPr>
          <w:rFonts w:hint="eastAsia"/>
          <w:color w:val="000000"/>
          <w:highlight w:val="yellow"/>
          <w:lang w:val="en-US" w:eastAsia="zh-CN"/>
        </w:rPr>
        <w:t xml:space="preserve">15</w:t>
      </w:r>
      <w:r>
        <w:rPr>
          <w:rFonts w:hint="eastAsia"/>
          <w:color w:val="000000"/>
          <w:highlight w:val="yellow"/>
        </w:rPr>
        <w:t xml:space="preserve">日内撤走设备，或经甲方同意后以折旧价转让给甲方。</w:t>
      </w:r>
      <w:r/>
    </w:p>
    <w:p>
      <w:pPr>
        <w:pStyle w:val="1046"/>
        <w:numPr>
          <w:ilvl w:val="0"/>
          <w:numId w:val="0"/>
        </w:numPr>
        <w:ind w:firstLine="482"/>
        <w:rPr>
          <w:color w:val="000000"/>
          <w:highlight w:val="yellow"/>
        </w:rPr>
      </w:pPr>
      <w:r>
        <w:rPr>
          <w:rFonts w:hint="eastAsia"/>
          <w:color w:val="000000"/>
          <w:highlight w:val="yellow"/>
          <w:lang w:val="en-US" w:eastAsia="zh-CN"/>
        </w:rPr>
        <w:t xml:space="preserve">二、按照锡环办〔2026〕32 号文件要求，</w:t>
      </w:r>
      <w:r>
        <w:rPr>
          <w:rFonts w:hint="eastAsia" w:ascii="宋体" w:hAnsi="宋体" w:eastAsia="宋体" w:cs="宋体"/>
          <w:b/>
          <w:bCs w:val="0"/>
          <w:iCs/>
          <w:color w:val="auto"/>
          <w:sz w:val="24"/>
          <w:szCs w:val="24"/>
          <w:highlight w:val="yellow"/>
        </w:rPr>
        <w:t xml:space="preserve">限值限量环境大气环境自动监测站点</w:t>
      </w:r>
      <w:r>
        <w:rPr>
          <w:rFonts w:hint="eastAsia" w:cs="宋体"/>
          <w:b/>
          <w:bCs w:val="0"/>
          <w:iCs/>
          <w:color w:val="auto"/>
          <w:sz w:val="24"/>
          <w:szCs w:val="24"/>
          <w:highlight w:val="yellow"/>
          <w:lang w:eastAsia="zh-CN"/>
        </w:rPr>
        <w:t xml:space="preserve">必须开展</w:t>
      </w:r>
      <w:r>
        <w:rPr>
          <w:rFonts w:hint="eastAsia" w:ascii="宋体" w:hAnsi="宋体" w:eastAsia="宋体" w:cs="宋体"/>
          <w:b/>
          <w:bCs w:val="0"/>
          <w:iCs/>
          <w:color w:val="auto"/>
          <w:sz w:val="24"/>
          <w:szCs w:val="24"/>
          <w:highlight w:val="yellow"/>
        </w:rPr>
        <w:t xml:space="preserve">准确度审核（外部比对监测）</w:t>
      </w:r>
      <w:r>
        <w:rPr>
          <w:rFonts w:hint="eastAsia" w:cs="宋体"/>
          <w:b/>
          <w:bCs w:val="0"/>
          <w:iCs/>
          <w:color w:val="auto"/>
          <w:sz w:val="24"/>
          <w:szCs w:val="24"/>
          <w:highlight w:val="yellow"/>
          <w:lang w:eastAsia="zh-CN"/>
        </w:rPr>
        <w:t xml:space="preserve">，</w:t>
      </w:r>
      <w:r>
        <w:rPr>
          <w:rFonts w:hint="eastAsia" w:cs="宋体"/>
          <w:b/>
          <w:bCs w:val="0"/>
          <w:iCs/>
          <w:color w:val="auto"/>
          <w:sz w:val="24"/>
          <w:szCs w:val="24"/>
          <w:highlight w:val="yellow"/>
          <w:lang w:val="en-US" w:eastAsia="zh-CN"/>
        </w:rPr>
        <w:t xml:space="preserve">中标人必须保证比对监测通过，否则</w:t>
      </w:r>
      <w:r>
        <w:rPr>
          <w:color w:val="000000"/>
          <w:highlight w:val="yellow"/>
        </w:rPr>
        <w:t xml:space="preserve">甲方有权单方面解除合同，</w:t>
      </w:r>
      <w:r>
        <w:rPr>
          <w:rFonts w:hint="eastAsia"/>
          <w:color w:val="000000"/>
          <w:highlight w:val="yellow"/>
          <w:lang w:eastAsia="zh-CN"/>
        </w:rPr>
        <w:t xml:space="preserve">所有设备归甲方所有，</w:t>
      </w:r>
      <w:r>
        <w:rPr>
          <w:color w:val="000000"/>
          <w:highlight w:val="yellow"/>
        </w:rPr>
        <w:t xml:space="preserve">由此产生的一切责任和损失由中标人自行承担，甲方不承担任何违约责任。</w:t>
      </w:r>
      <w:r/>
    </w:p>
    <w:p>
      <w:pPr>
        <w:pStyle w:val="1046"/>
        <w:rPr>
          <w:color w:val="000000"/>
          <w:highlight w:val="none"/>
        </w:rPr>
      </w:pPr>
      <w:r>
        <w:rPr>
          <w:color w:val="000000"/>
          <w:highlight w:val="none"/>
        </w:rPr>
      </w:r>
      <w:r/>
    </w:p>
    <w:p>
      <w:pPr>
        <w:pStyle w:val="981"/>
        <w:rPr>
          <w:rFonts w:hint="eastAsia"/>
          <w:color w:val="000000"/>
          <w:sz w:val="24"/>
          <w:szCs w:val="24"/>
          <w:highlight w:val="none"/>
        </w:rPr>
      </w:pPr>
      <w:r>
        <w:rPr>
          <w:rFonts w:hint="eastAsia"/>
          <w:color w:val="000000"/>
          <w:sz w:val="24"/>
          <w:szCs w:val="24"/>
          <w:highlight w:val="none"/>
          <w:lang w:val="en-US" w:eastAsia="zh-CN"/>
        </w:rPr>
        <w:t xml:space="preserve">三</w:t>
      </w:r>
      <w:r>
        <w:rPr>
          <w:rFonts w:hint="eastAsia"/>
          <w:color w:val="000000"/>
          <w:sz w:val="24"/>
          <w:szCs w:val="24"/>
          <w:highlight w:val="none"/>
          <w:lang w:eastAsia="zh-CN"/>
        </w:rPr>
        <w:t xml:space="preserve">、</w:t>
      </w:r>
      <w:r>
        <w:rPr>
          <w:rFonts w:hint="eastAsia"/>
          <w:color w:val="000000"/>
          <w:sz w:val="24"/>
          <w:szCs w:val="24"/>
          <w:highlight w:val="none"/>
        </w:rPr>
        <w:t xml:space="preserve">其他规定</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1、运维机构有下列情形之一的，将扣除</w:t>
      </w:r>
      <w:r>
        <w:rPr>
          <w:rFonts w:hint="eastAsia" w:ascii="宋体" w:hAnsi="宋体" w:cs="宋体"/>
          <w:color w:val="000000"/>
          <w:sz w:val="24"/>
          <w:szCs w:val="24"/>
          <w:highlight w:val="none"/>
          <w:lang w:val="en-US" w:eastAsia="zh-CN"/>
        </w:rPr>
        <w:t xml:space="preserve">20000元</w:t>
      </w:r>
      <w:r>
        <w:rPr>
          <w:rFonts w:hint="eastAsia" w:ascii="宋体" w:hAnsi="宋体" w:cs="宋体"/>
          <w:color w:val="000000"/>
          <w:sz w:val="24"/>
          <w:szCs w:val="24"/>
          <w:highlight w:val="none"/>
        </w:rPr>
        <w:t xml:space="preserve">运维经费：</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（1）故意迟报、漏报或不报审核数据的；</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（2）拖延、阻碍、拒绝质量检查或飞行检查的；</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（3）发现采样、分析、数据采集和传输等过程人为干扰的；</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（4）未及时发现</w:t>
      </w:r>
      <w:r>
        <w:rPr>
          <w:rFonts w:hint="eastAsia" w:ascii="宋体" w:hAnsi="宋体" w:cs="宋体"/>
          <w:color w:val="000000"/>
          <w:sz w:val="24"/>
          <w:szCs w:val="24"/>
          <w:highlight w:val="none"/>
          <w:lang w:eastAsia="zh-CN"/>
        </w:rPr>
        <w:t xml:space="preserve">数据</w:t>
      </w:r>
      <w:r>
        <w:rPr>
          <w:rFonts w:hint="eastAsia" w:ascii="宋体" w:hAnsi="宋体" w:cs="宋体"/>
          <w:color w:val="000000"/>
          <w:sz w:val="24"/>
          <w:szCs w:val="24"/>
          <w:highlight w:val="none"/>
        </w:rPr>
        <w:t xml:space="preserve">异常或响应不及时的；</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（5）其他不履行规定职责的情形。</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2、运维机构有下列情形之一的，将提前终止服务合同：</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（1）运维单位运维人员或队伍发生重大变更，无法按质开展运维工作，或者发生重大责任事故的；</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（2）运维单位未能有效开展运维工作，在检查中发现与投标文件或合同不符的重大不符合项；</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（3）发现重大虚假数据，将按已支付费用的双倍进行经济处罚并提前终止合同。</w:t>
      </w:r>
      <w:r/>
    </w:p>
    <w:p>
      <w:p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3、数据归属及保密：</w:t>
      </w:r>
      <w:r/>
    </w:p>
    <w:p>
      <w:p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ascii="SimSun" w:hAnsi="SimSun" w:eastAsia="SimSun" w:cs="SimSun"/>
          <w:color w:val="000000"/>
          <w:sz w:val="24"/>
        </w:rPr>
        <w:t xml:space="preserve">本项目所形成的数据及报告归采购方及指定单位所有。未经采购方授权，供应商不得将数据和报告发送给任何第三方。若有违反，将依法依规处理。其它未尽事宜，均依照国家有关规定及相关规范执行。</w:t>
      </w:r>
      <w:r>
        <w:rPr>
          <w:rFonts w:ascii="SimSun" w:hAnsi="SimSun" w:eastAsia="SimSun" w:cs="SimSun"/>
          <w:color w:val="000000"/>
          <w:sz w:val="24"/>
          <w:highlight w:val="yellow"/>
        </w:rPr>
        <w:t xml:space="preserve">数据质量必须达到《江苏省工业园区（集中区）污染物排放限值限量环境空气自动监测监控系统运行管理技术规范》关于准确度审核的要求。</w:t>
      </w:r>
      <w:r>
        <w:rPr>
          <w:rFonts w:hint="eastAsia" w:ascii="宋体" w:hAnsi="宋体" w:cs="宋体"/>
          <w:color w:val="000000"/>
          <w:sz w:val="24"/>
          <w:szCs w:val="24"/>
          <w:highlight w:val="none"/>
        </w:rPr>
      </w:r>
      <w:r/>
    </w:p>
    <w:p>
      <w:p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4、运行维护期间，值守人员的相关费用以及采水、供水、供电、通讯、采暖、试剂耗材、仪器设备维修</w:t>
      </w:r>
      <w:r>
        <w:rPr>
          <w:rFonts w:hint="eastAsia" w:ascii="宋体" w:hAnsi="宋体" w:cs="宋体"/>
          <w:color w:val="000000"/>
          <w:sz w:val="24"/>
          <w:szCs w:val="24"/>
          <w:highlight w:val="none"/>
          <w:lang w:eastAsia="zh-CN"/>
        </w:rPr>
        <w:t xml:space="preserve">更换</w:t>
      </w:r>
      <w:r>
        <w:rPr>
          <w:rFonts w:hint="eastAsia" w:ascii="宋体" w:hAnsi="宋体" w:cs="宋体"/>
          <w:color w:val="000000"/>
          <w:sz w:val="24"/>
          <w:szCs w:val="24"/>
          <w:highlight w:val="none"/>
        </w:rPr>
        <w:t xml:space="preserve">、设施设备的年检保养和安全保障所发生的费用等均由</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支付。（投标文件中提供承诺函，并加盖公章）</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5、运行维护期间，如遇采购人新增仪器，</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须配合做好新仪器的安装、调试和运行维护等工作合同期满后交给下一个运维公司前，原</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需对站点进行一次修缮、保洁，确保设备运行正常；需按采购人要求将本项目站点仪器等完整交给下一个运维方，并须在完成交接后的45天内，协助、配合新的运维公司做好站点的运维工作。</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6、运行维护期间，站点的全部资产（建筑物、设备、软件、配套设施、自动监测系统和配套监控系统产生的各类数据信息及相关文档资料等）属采购人所有。未经采购人同意，</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不得以任何方式对各类财产进行出售、抵押或转移；</w:t>
      </w:r>
      <w:r/>
    </w:p>
    <w:p>
      <w:pPr>
        <w:ind w:firstLine="480"/>
        <w:spacing w:line="360" w:lineRule="auto"/>
        <w:rPr>
          <w:rFonts w:hint="eastAsia" w:ascii="宋体" w:hAnsi="宋体" w:eastAsia="宋体"/>
          <w:b/>
          <w:bCs/>
          <w:color w:val="000000"/>
          <w:sz w:val="24"/>
          <w:szCs w:val="24"/>
          <w:highlight w:val="none"/>
        </w:rPr>
      </w:pPr>
      <w:r>
        <w:rPr>
          <w:rFonts w:hint="eastAsia" w:ascii="宋体" w:hAnsi="宋体" w:cs="宋体"/>
          <w:color w:val="000000"/>
          <w:sz w:val="24"/>
          <w:szCs w:val="24"/>
          <w:highlight w:val="none"/>
        </w:rPr>
        <w:t xml:space="preserve">7、运行维护期间，</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有责任保证站点全部资产的完整、安全并处于良好状态。必须定期巡查，避免出现因被盗、人为破坏等原因造成的资产流失。如出现因</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安保措施不当造成的站点资产丢失、破坏的情况，</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须复原并尽快恢复运行，所发生的费用由</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承担。</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须协助采购人做好固定资产登记管理等工作。</w:t>
      </w:r>
      <w:r/>
    </w:p>
    <w:p>
      <w:pPr>
        <w:pStyle w:val="981"/>
        <w:rPr>
          <w:rFonts w:hint="eastAsia"/>
          <w:color w:val="000000"/>
          <w:sz w:val="24"/>
          <w:szCs w:val="24"/>
          <w:highlight w:val="none"/>
        </w:rPr>
      </w:pPr>
      <w:r>
        <w:rPr>
          <w:rFonts w:hint="eastAsia"/>
          <w:color w:val="000000"/>
          <w:sz w:val="24"/>
          <w:szCs w:val="24"/>
          <w:highlight w:val="none"/>
          <w:lang w:val="en-US" w:eastAsia="zh-CN"/>
        </w:rPr>
        <w:t xml:space="preserve">四</w:t>
      </w:r>
      <w:r>
        <w:rPr>
          <w:rFonts w:hint="eastAsia"/>
          <w:color w:val="000000"/>
          <w:sz w:val="24"/>
          <w:szCs w:val="24"/>
          <w:highlight w:val="none"/>
          <w:lang w:eastAsia="zh-CN"/>
        </w:rPr>
        <w:t xml:space="preserve">、</w:t>
      </w:r>
      <w:r>
        <w:rPr>
          <w:rFonts w:hint="eastAsia"/>
          <w:color w:val="000000"/>
          <w:sz w:val="24"/>
          <w:szCs w:val="24"/>
          <w:highlight w:val="none"/>
        </w:rPr>
        <w:t xml:space="preserve">商务要求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供货</w:t>
      </w:r>
      <w:r>
        <w:rPr>
          <w:rFonts w:hint="eastAsia" w:ascii="宋体" w:hAnsi="宋体" w:cs="宋体"/>
          <w:color w:val="000000"/>
          <w:sz w:val="24"/>
          <w:szCs w:val="24"/>
          <w:highlight w:val="none"/>
        </w:rPr>
        <w:t xml:space="preserve">期限：</w:t>
      </w:r>
      <w:r>
        <w:rPr>
          <w:rFonts w:hint="eastAsia" w:ascii="宋体" w:hAnsi="宋体" w:cs="宋体"/>
          <w:bCs/>
          <w:color w:val="000000"/>
          <w:sz w:val="24"/>
          <w:szCs w:val="24"/>
          <w:highlight w:val="none"/>
        </w:rPr>
        <w:t xml:space="preserve">自合同签订之日起</w:t>
      </w:r>
      <w:r>
        <w:rPr>
          <w:rFonts w:hint="eastAsia" w:ascii="宋体" w:hAnsi="宋体" w:cs="宋体"/>
          <w:bCs/>
          <w:color w:val="000000"/>
          <w:sz w:val="24"/>
          <w:szCs w:val="24"/>
          <w:highlight w:val="none"/>
          <w:lang w:val="en-US" w:eastAsia="zh-CN"/>
        </w:rPr>
        <w:t xml:space="preserve">30</w:t>
      </w:r>
      <w:r>
        <w:rPr>
          <w:rFonts w:hint="eastAsia" w:ascii="宋体" w:hAnsi="宋体" w:cs="宋体"/>
          <w:bCs/>
          <w:color w:val="000000"/>
          <w:sz w:val="24"/>
          <w:szCs w:val="24"/>
          <w:highlight w:val="none"/>
        </w:rPr>
        <w:t xml:space="preserve">日内完成供货并安装调试完成</w:t>
      </w:r>
      <w:r>
        <w:rPr>
          <w:rFonts w:hint="eastAsia" w:ascii="宋体" w:hAnsi="宋体" w:cs="宋体"/>
          <w:bCs/>
          <w:color w:val="000000"/>
          <w:sz w:val="24"/>
          <w:szCs w:val="24"/>
          <w:highlight w:val="none"/>
          <w:lang w:val="en-US" w:eastAsia="zh-CN"/>
        </w:rPr>
        <w:t xml:space="preserve">，</w:t>
      </w:r>
      <w:r>
        <w:rPr>
          <w:rFonts w:hint="eastAsia" w:ascii="宋体" w:hAnsi="宋体" w:cs="宋体"/>
          <w:color w:val="000000"/>
          <w:sz w:val="24"/>
          <w:szCs w:val="24"/>
          <w:highlight w:val="none"/>
        </w:rPr>
        <w:t xml:space="preserve">相关数据联网</w:t>
      </w:r>
      <w:r>
        <w:rPr>
          <w:rFonts w:hint="eastAsia" w:ascii="宋体" w:hAnsi="宋体" w:cs="宋体"/>
          <w:color w:val="000000"/>
          <w:sz w:val="24"/>
          <w:szCs w:val="24"/>
          <w:highlight w:val="none"/>
          <w:lang w:val="en-US" w:eastAsia="zh-CN"/>
        </w:rPr>
        <w:t xml:space="preserve">正常运行、验收合格</w:t>
      </w:r>
      <w:r>
        <w:rPr>
          <w:color w:val="000000"/>
          <w:sz w:val="24"/>
          <w:szCs w:val="24"/>
          <w:highlight w:val="none"/>
        </w:rPr>
        <w:t xml:space="preserve">次日起</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整</w:t>
      </w:r>
      <w:r>
        <w:rPr>
          <w:rFonts w:hint="eastAsia" w:ascii="宋体" w:hAnsi="宋体" w:cs="宋体"/>
          <w:color w:val="000000"/>
          <w:sz w:val="24"/>
          <w:szCs w:val="24"/>
          <w:highlight w:val="none"/>
        </w:rPr>
        <w:t xml:space="preserve">年。</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供货</w:t>
      </w:r>
      <w:r>
        <w:rPr>
          <w:rFonts w:hint="eastAsia" w:ascii="宋体" w:hAnsi="宋体" w:cs="宋体"/>
          <w:color w:val="000000"/>
          <w:sz w:val="24"/>
          <w:szCs w:val="24"/>
          <w:highlight w:val="none"/>
        </w:rPr>
        <w:t xml:space="preserve">地点：采购人指定地点。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3、验收标准：采购人根据国家有关规定、招投标文件以及合同约定的内容组织验收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yellow"/>
          <w:lang w:eastAsia="zh-CN"/>
        </w:rPr>
        <w:t xml:space="preserve">数据质量必须达到</w:t>
      </w:r>
      <w:r>
        <w:rPr>
          <w:rFonts w:hint="eastAsia" w:ascii="宋体" w:hAnsi="宋体" w:cs="宋体"/>
          <w:color w:val="000000"/>
          <w:sz w:val="24"/>
          <w:szCs w:val="24"/>
          <w:highlight w:val="yellow"/>
          <w:lang w:val="en-US" w:eastAsia="zh-CN"/>
        </w:rPr>
        <w:t xml:space="preserve">《江苏省工业园区（集中区）污染物排放限值限量环境空气自动监测监控系统运行管理技术规范》关于准确度审核的要求。</w:t>
      </w:r>
      <w:r/>
    </w:p>
    <w:p>
      <w:pPr>
        <w:ind w:firstLine="48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4、付款步骤：</w:t>
      </w:r>
      <w:r>
        <w:rPr>
          <w:rFonts w:hint="eastAsia"/>
          <w:color w:val="000000"/>
          <w:sz w:val="24"/>
          <w:szCs w:val="24"/>
          <w:highlight w:val="none"/>
        </w:rPr>
        <w:t xml:space="preserve">（1）设备款：设备到货安装调试、联网稳定运行、验收合格后支付设备款的50%，</w:t>
      </w:r>
      <w:r>
        <w:rPr>
          <w:rFonts w:hint="eastAsia"/>
          <w:color w:val="000000"/>
          <w:sz w:val="24"/>
          <w:szCs w:val="24"/>
          <w:highlight w:val="none"/>
          <w:lang w:val="en-US" w:eastAsia="zh-CN"/>
        </w:rPr>
        <w:t xml:space="preserve">运维</w:t>
      </w:r>
      <w:r>
        <w:rPr>
          <w:rFonts w:hint="eastAsia"/>
          <w:color w:val="000000"/>
          <w:sz w:val="24"/>
          <w:szCs w:val="24"/>
          <w:highlight w:val="none"/>
        </w:rPr>
        <w:t xml:space="preserve">服务期满付清设备款余款。（2）运维款：运维服务</w:t>
      </w:r>
      <w:r>
        <w:rPr>
          <w:rFonts w:hint="eastAsia"/>
          <w:color w:val="000000"/>
          <w:sz w:val="24"/>
          <w:szCs w:val="24"/>
          <w:highlight w:val="none"/>
          <w:lang w:val="en-US" w:eastAsia="zh-CN"/>
        </w:rPr>
        <w:t xml:space="preserve">款</w:t>
      </w:r>
      <w:r>
        <w:rPr>
          <w:rFonts w:hint="eastAsia"/>
          <w:color w:val="000000"/>
          <w:sz w:val="24"/>
          <w:szCs w:val="24"/>
          <w:highlight w:val="none"/>
        </w:rPr>
        <w:t xml:space="preserve">按比例逐年支付。</w:t>
      </w:r>
      <w:r/>
    </w:p>
    <w:p>
      <w:pPr>
        <w:pStyle w:val="981"/>
        <w:spacing w:line="240" w:lineRule="auto"/>
        <w:rPr>
          <w:rFonts w:hint="eastAsia"/>
          <w:color w:val="000000"/>
          <w:sz w:val="24"/>
          <w:szCs w:val="24"/>
          <w:highlight w:val="none"/>
        </w:rPr>
      </w:pPr>
      <w:r>
        <w:rPr>
          <w:rFonts w:hint="eastAsia"/>
          <w:color w:val="000000"/>
          <w:sz w:val="24"/>
          <w:szCs w:val="24"/>
          <w:highlight w:val="none"/>
          <w:lang w:val="en-US" w:eastAsia="zh-CN"/>
        </w:rPr>
        <w:t xml:space="preserve">五、实质性要求</w:t>
      </w:r>
      <w:r/>
    </w:p>
    <w:p>
      <w:pPr>
        <w:ind w:firstLine="480"/>
        <w:spacing w:line="360" w:lineRule="auto"/>
        <w:rPr>
          <w:rStyle w:val="1020"/>
          <w:rFonts w:hint="eastAsia" w:ascii="宋体" w:hAnsi="宋体" w:eastAsia="宋体" w:cs="宋体"/>
          <w:bCs/>
          <w:color w:val="000000"/>
          <w:sz w:val="24"/>
          <w:szCs w:val="24"/>
          <w:highlight w:val="none"/>
        </w:rPr>
      </w:pPr>
      <w:r>
        <w:rPr>
          <w:rFonts w:hint="eastAsia" w:ascii="宋体" w:hAnsi="宋体"/>
          <w:color w:val="000000"/>
          <w:sz w:val="24"/>
          <w:szCs w:val="24"/>
          <w:highlight w:val="none"/>
        </w:rPr>
        <w:t xml:space="preserve">本</w:t>
      </w:r>
      <w:r>
        <w:rPr>
          <w:rFonts w:hint="eastAsia" w:ascii="宋体" w:hAnsi="宋体"/>
          <w:color w:val="000000"/>
          <w:sz w:val="24"/>
          <w:highlight w:val="none"/>
        </w:rPr>
        <w:t xml:space="preserve">章</w:t>
      </w:r>
      <w:r>
        <w:rPr>
          <w:rFonts w:hint="eastAsia" w:ascii="宋体" w:hAnsi="宋体"/>
          <w:color w:val="000000"/>
          <w:sz w:val="24"/>
          <w:szCs w:val="24"/>
          <w:highlight w:val="none"/>
        </w:rPr>
        <w:t xml:space="preserve">有关服务与商务条款的要求为基准要求，如供应商不能完全符合此基准要求，可高于此基准要求进行报价，采购人将不接受低于该基准要求（负偏离）的报价，供应商需对此基</w:t>
      </w:r>
      <w:r>
        <w:rPr>
          <w:rFonts w:hint="eastAsia" w:ascii="宋体" w:hAnsi="宋体"/>
          <w:color w:val="000000"/>
          <w:sz w:val="24"/>
          <w:highlight w:val="none"/>
        </w:rPr>
        <w:t xml:space="preserve">准要求作实质性响应。</w:t>
      </w:r>
      <w:bookmarkEnd w:id="83"/>
      <w:r/>
      <w:r/>
    </w:p>
    <w:p>
      <w:pPr>
        <w:jc w:val="center"/>
        <w:keepLines w:val="0"/>
        <w:keepNext w:val="0"/>
        <w:pageBreakBefore/>
        <w:spacing w:line="360" w:lineRule="auto"/>
        <w:widowControl w:val="off"/>
        <w:rPr>
          <w:rFonts w:hint="eastAsia" w:ascii="宋体" w:hAnsi="宋体" w:eastAsia="宋体" w:cs="宋体"/>
          <w:b w:val="0"/>
          <w:bCs/>
          <w:color w:val="000000"/>
          <w:sz w:val="24"/>
          <w:szCs w:val="24"/>
          <w:highlight w:val="none"/>
        </w:rPr>
        <w:outlineLvl w:val="9"/>
      </w:pPr>
      <w:r/>
      <w:bookmarkStart w:id="84" w:name="_Toc23383"/>
      <w:r/>
      <w:bookmarkStart w:id="85" w:name="_Toc27627"/>
      <w:r/>
      <w:bookmarkStart w:id="86" w:name="_Toc526779129"/>
      <w:r/>
      <w:bookmarkStart w:id="87" w:name="_Toc3082"/>
      <w:r>
        <w:rPr>
          <w:rFonts w:hint="eastAsia" w:ascii="黑体" w:hAnsi="黑体" w:eastAsia="黑体"/>
          <w:b w:val="0"/>
          <w:bCs/>
          <w:color w:val="000000"/>
          <w:sz w:val="28"/>
          <w:highlight w:val="none"/>
        </w:rPr>
        <w:t xml:space="preserve">第</w:t>
      </w:r>
      <w:r>
        <w:rPr>
          <w:rFonts w:hint="eastAsia" w:ascii="黑体" w:hAnsi="黑体" w:eastAsia="黑体"/>
          <w:b w:val="0"/>
          <w:bCs/>
          <w:color w:val="000000"/>
          <w:sz w:val="28"/>
          <w:highlight w:val="none"/>
          <w:lang w:eastAsia="zh-CN"/>
        </w:rPr>
        <w:t xml:space="preserve">四</w:t>
      </w:r>
      <w:r>
        <w:rPr>
          <w:rFonts w:hint="eastAsia" w:ascii="黑体" w:hAnsi="黑体" w:eastAsia="黑体"/>
          <w:b w:val="0"/>
          <w:bCs/>
          <w:color w:val="000000"/>
          <w:sz w:val="28"/>
          <w:highlight w:val="none"/>
        </w:rPr>
        <w:t xml:space="preserve">章 评标方法和标准</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一、评分项目（总分100分）</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2"/>
        <w:gridCol w:w="7327"/>
      </w:tblGrid>
      <w:tr>
        <w:trPr>
          <w:jc w:val="center"/>
          <w:trHeight w:val="444" w:hRule="exact"/>
        </w:trPr>
        <w:tc>
          <w:tcPr>
            <w:tcW w:w="2272"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技术部分</w:t>
            </w:r>
            <w:r/>
          </w:p>
        </w:tc>
        <w:tc>
          <w:tcPr>
            <w:tcW w:w="732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45</w:t>
            </w:r>
            <w:r>
              <w:rPr>
                <w:rFonts w:hint="eastAsia" w:ascii="宋体" w:hAnsi="宋体"/>
                <w:color w:val="000000"/>
                <w:sz w:val="24"/>
                <w:szCs w:val="24"/>
                <w:highlight w:val="none"/>
              </w:rPr>
              <w:t xml:space="preserve">分</w:t>
            </w:r>
            <w:r/>
          </w:p>
        </w:tc>
      </w:tr>
      <w:tr>
        <w:trPr>
          <w:jc w:val="center"/>
          <w:trHeight w:val="444" w:hRule="exact"/>
        </w:trPr>
        <w:tc>
          <w:tcPr>
            <w:tcW w:w="2272"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商务部分</w:t>
            </w:r>
            <w:r/>
          </w:p>
        </w:tc>
        <w:tc>
          <w:tcPr>
            <w:tcW w:w="732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分</w:t>
            </w:r>
            <w:r/>
          </w:p>
        </w:tc>
      </w:tr>
      <w:tr>
        <w:trPr>
          <w:jc w:val="center"/>
          <w:trHeight w:val="464" w:hRule="exact"/>
        </w:trPr>
        <w:tc>
          <w:tcPr>
            <w:tcW w:w="2272"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价格部分</w:t>
            </w:r>
            <w:r/>
          </w:p>
        </w:tc>
        <w:tc>
          <w:tcPr>
            <w:tcW w:w="732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35</w:t>
            </w:r>
            <w:r>
              <w:rPr>
                <w:rFonts w:hint="eastAsia" w:ascii="宋体" w:hAnsi="宋体"/>
                <w:color w:val="000000"/>
                <w:sz w:val="24"/>
                <w:szCs w:val="24"/>
                <w:highlight w:val="none"/>
              </w:rPr>
              <w:t xml:space="preserve">分</w:t>
            </w:r>
            <w:r/>
          </w:p>
        </w:tc>
      </w:tr>
    </w:tbl>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二、评审内容：</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1、技术商务部分</w:t>
      </w:r>
      <w:r/>
    </w:p>
    <w:tbl>
      <w:tblPr>
        <w:tblStyle w:val="810"/>
        <w:tblW w:w="104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745"/>
        <w:gridCol w:w="1383"/>
        <w:gridCol w:w="742"/>
        <w:gridCol w:w="6374"/>
      </w:tblGrid>
      <w:tr>
        <w:trPr>
          <w:jc w:val="center"/>
          <w:trHeight w:val="23"/>
        </w:trPr>
        <w:tc>
          <w:tcPr>
            <w:tcW w:w="1238"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评审内容</w:t>
            </w:r>
            <w:r/>
          </w:p>
        </w:tc>
        <w:tc>
          <w:tcPr>
            <w:tcW w:w="74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W w:w="1383"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评审项目</w:t>
            </w:r>
            <w:r/>
          </w:p>
        </w:tc>
        <w:tc>
          <w:tcPr>
            <w:tcW w:w="74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分值</w:t>
            </w:r>
            <w:r/>
          </w:p>
        </w:tc>
        <w:tc>
          <w:tcPr>
            <w:tcW w:w="637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评审细则</w:t>
            </w:r>
            <w:r/>
          </w:p>
        </w:tc>
      </w:tr>
      <w:tr>
        <w:trPr>
          <w:jc w:val="center"/>
          <w:trHeight w:val="23"/>
        </w:trPr>
        <w:tc>
          <w:tcPr>
            <w:tcW w:w="1238" w:type="dxa"/>
            <w:vAlign w:val="center"/>
            <w:vMerge w:val="restart"/>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技术</w:t>
            </w:r>
            <w:r>
              <w:rPr>
                <w:rFonts w:hint="eastAsia" w:ascii="宋体" w:hAnsi="宋体" w:cs="宋体"/>
                <w:color w:val="000000"/>
                <w:sz w:val="24"/>
                <w:szCs w:val="24"/>
                <w:highlight w:val="none"/>
              </w:rPr>
              <w:t xml:space="preserve">评审因素</w:t>
            </w:r>
            <w:r/>
          </w:p>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45</w:t>
            </w:r>
            <w:r>
              <w:rPr>
                <w:rFonts w:hint="eastAsia" w:ascii="宋体" w:hAnsi="宋体" w:cs="宋体"/>
                <w:color w:val="000000"/>
                <w:sz w:val="24"/>
                <w:szCs w:val="24"/>
                <w:highlight w:val="none"/>
              </w:rPr>
              <w:t xml:space="preserve">分）</w:t>
            </w:r>
            <w:r/>
          </w:p>
        </w:tc>
        <w:tc>
          <w:tcPr>
            <w:tcW w:w="74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383"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重点难点 问题分析 及解决方 案</w:t>
            </w:r>
            <w:r/>
          </w:p>
        </w:tc>
        <w:tc>
          <w:tcPr>
            <w:tcW w:w="74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对本项目重点难点问题分析准确，分析内容完整、分析透彻、 理解认知度高，能提出运维过程中的重点、难点问题并给出相应解决方案得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提供常规、通用的项目需求分析及解决方案得3分；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提供项目需求分析，但分析内容有欠缺得1分；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38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数据采集 传输方案</w:t>
            </w:r>
            <w:r/>
          </w:p>
        </w:tc>
        <w:tc>
          <w:tcPr>
            <w:tcW w:w="74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供应商需提供具体的数据采集传输方案</w:t>
            </w:r>
            <w:r>
              <w:rPr>
                <w:rFonts w:hint="eastAsia" w:ascii="宋体" w:hAnsi="宋体" w:cs="宋体"/>
                <w:color w:val="000000"/>
                <w:sz w:val="24"/>
                <w:szCs w:val="24"/>
                <w:highlight w:val="none"/>
                <w:lang w:eastAsia="zh-CN"/>
              </w:rPr>
              <w:t xml:space="preserve">。</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提供内容齐全、结构完整、条理清晰的方案，阐述分析准确，完全满足项目需要，科学、合理，可操作性、针对性强得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提供内容基本完整的方案，进行了阐述分析，但细节有待完善，基本满足项目需求，合理、可行</w:t>
            </w:r>
            <w:r>
              <w:rPr>
                <w:rFonts w:hint="eastAsia" w:ascii="宋体" w:hAnsi="宋体" w:cs="宋体"/>
                <w:color w:val="000000"/>
                <w:sz w:val="24"/>
                <w:szCs w:val="24"/>
                <w:highlight w:val="none"/>
                <w:lang w:val="en-US" w:eastAsia="zh-CN"/>
              </w:rPr>
              <w:t xml:space="preserve">得4</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提供常规、通用的方案，未考虑本项目特点，部分符合需求得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提供简单的方案，内容不全面得2分；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提供的方案有明显缺陷，难以保障项目实施得1分；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p>
        </w:tc>
        <w:tc>
          <w:tcPr>
            <w:tcW w:w="1383" w:type="dxa"/>
            <w:vAlign w:val="center"/>
            <w:vMerge w:val="restart"/>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运维工作 计划</w:t>
            </w:r>
            <w:r/>
          </w:p>
        </w:tc>
        <w:tc>
          <w:tcPr>
            <w:tcW w:w="74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提供具体的工作计划，体现出自动监测设备及相关配套设施的运维工作内容，包括：具体的规章制度、驻场运维方案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设备安装调试方案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日常维护方案、定期巡检方案、故障维修方案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网络</w:t>
            </w:r>
            <w:r>
              <w:rPr>
                <w:rFonts w:hint="eastAsia" w:ascii="宋体" w:hAnsi="宋体" w:cs="宋体"/>
                <w:color w:val="000000"/>
                <w:sz w:val="24"/>
                <w:szCs w:val="24"/>
                <w:highlight w:val="none"/>
                <w:lang w:val="en-US" w:eastAsia="zh-CN"/>
              </w:rPr>
              <w:t xml:space="preserve">信息</w:t>
            </w:r>
            <w:r>
              <w:rPr>
                <w:rFonts w:hint="eastAsia" w:ascii="宋体" w:hAnsi="宋体" w:eastAsia="宋体" w:cs="宋体"/>
                <w:color w:val="000000"/>
                <w:sz w:val="24"/>
                <w:szCs w:val="24"/>
                <w:highlight w:val="none"/>
              </w:rPr>
              <w:t xml:space="preserve">安全方案。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（1）具体的规章制度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制度详细完整，科学合理可行，有很强的针对性，完全符合项目特点及要求得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提供常规、通用的制度，基本满足项目要求得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制度有缺陷、不合理，难以满足项目需要得 1 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p>
        </w:tc>
        <w:tc>
          <w:tcPr>
            <w:tcW w:w="1383"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3分</w:t>
            </w:r>
            <w:r/>
          </w:p>
        </w:tc>
        <w:tc>
          <w:tcPr>
            <w:tcW w:w="6374" w:type="dxa"/>
            <w:vAlign w:val="center"/>
            <w:textDirection w:val="lrTb"/>
            <w:noWrap w:val="false"/>
          </w:tcPr>
          <w:p>
            <w:pPr>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驻场运维方案</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w:t>
            </w:r>
            <w:r/>
          </w:p>
          <w:p>
            <w:pPr>
              <w:jc w:val="left"/>
              <w:spacing w:line="240" w:lineRule="auto"/>
              <w:widowControl/>
              <w:rPr>
                <w:rFonts w:hint="eastAsia"/>
                <w:color w:val="000000"/>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p>
        </w:tc>
        <w:tc>
          <w:tcPr>
            <w:tcW w:w="1383"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3分</w:t>
            </w:r>
            <w:r/>
          </w:p>
        </w:tc>
        <w:tc>
          <w:tcPr>
            <w:tcW w:w="6374" w:type="dxa"/>
            <w:vAlign w:val="center"/>
            <w:textDirection w:val="lrTb"/>
            <w:noWrap w:val="false"/>
          </w:tcPr>
          <w:p>
            <w:pPr>
              <w:numPr>
                <w:ilvl w:val="0"/>
                <w:numId w:val="19"/>
              </w:numPr>
              <w:jc w:val="left"/>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设备安装调试</w:t>
            </w:r>
            <w:r>
              <w:rPr>
                <w:rFonts w:hint="eastAsia" w:ascii="宋体" w:hAnsi="宋体" w:eastAsia="宋体" w:cs="宋体"/>
                <w:color w:val="000000"/>
                <w:sz w:val="24"/>
                <w:szCs w:val="24"/>
                <w:highlight w:val="none"/>
              </w:rPr>
              <w:t xml:space="preserve">方案</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p>
        </w:tc>
        <w:tc>
          <w:tcPr>
            <w:tcW w:w="1383"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）日常维护方案</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p>
        </w:tc>
        <w:tc>
          <w:tcPr>
            <w:tcW w:w="1383"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）定期巡检方案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 1 分；</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p>
        </w:tc>
        <w:tc>
          <w:tcPr>
            <w:tcW w:w="1383"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）故障维修方案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p>
        </w:tc>
        <w:tc>
          <w:tcPr>
            <w:tcW w:w="1383" w:type="dxa"/>
            <w:vAlign w:val="center"/>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2分</w:t>
            </w:r>
            <w:r/>
          </w:p>
        </w:tc>
        <w:tc>
          <w:tcPr>
            <w:tcW w:w="637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）网络</w:t>
            </w:r>
            <w:r>
              <w:rPr>
                <w:rFonts w:hint="eastAsia" w:ascii="宋体" w:hAnsi="宋体" w:cs="宋体"/>
                <w:color w:val="000000"/>
                <w:sz w:val="24"/>
                <w:szCs w:val="24"/>
                <w:highlight w:val="none"/>
                <w:lang w:val="en-US" w:eastAsia="zh-CN"/>
              </w:rPr>
              <w:t xml:space="preserve">信息</w:t>
            </w:r>
            <w:r>
              <w:rPr>
                <w:rFonts w:hint="eastAsia" w:ascii="宋体" w:hAnsi="宋体" w:eastAsia="宋体" w:cs="宋体"/>
                <w:color w:val="000000"/>
                <w:sz w:val="24"/>
                <w:szCs w:val="24"/>
                <w:highlight w:val="none"/>
              </w:rPr>
              <w:t xml:space="preserve">安全方案</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 </w:t>
            </w:r>
            <w:r/>
          </w:p>
          <w:p>
            <w:p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p>
        </w:tc>
        <w:tc>
          <w:tcPr>
            <w:tcW w:w="1383" w:type="dxa"/>
            <w:vAlign w:val="center"/>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运维工作 记录</w:t>
            </w:r>
            <w:r/>
          </w:p>
        </w:tc>
        <w:tc>
          <w:tcPr>
            <w:tcW w:w="74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根据每类设备中的质控要求和运维工作相关要求，编制运维工作相关记录表。</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表格设计合理、系统、内容完整，有很强的针对性，完全满足项目要求得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表格设计基本合理，内容基本完整，常规通用，基本满足项目要得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表格设计内容基本完整，但逻辑、排列不够清晰，部分满足项目要求得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表格内容不全，格式混乱，难以满足项目需要得1分；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未提供相关内容不得分。</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p>
        </w:tc>
        <w:tc>
          <w:tcPr>
            <w:tcW w:w="138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质控方案</w:t>
            </w:r>
            <w:r/>
          </w:p>
        </w:tc>
        <w:tc>
          <w:tcPr>
            <w:tcW w:w="74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根据在线仪器的特点和质量控制要求、参照相关技术规范制定监测质控方案。</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针对本项目，提供了结构完整、条理清晰的质控方案，质控方案设计全面、合理，能覆盖全部仪器及配套设施和全部时段，可有效保障监测数据质量，完全满足项目需要得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针对本项目，质控方案设计基本全面、合理，</w:t>
            </w:r>
            <w:r>
              <w:rPr>
                <w:rFonts w:hint="eastAsia" w:ascii="宋体" w:hAnsi="宋体" w:eastAsia="宋体" w:cs="宋体"/>
                <w:color w:val="000000"/>
                <w:sz w:val="24"/>
                <w:szCs w:val="24"/>
                <w:highlight w:val="yellow"/>
                <w:lang w:val="en-US" w:eastAsia="zh-CN"/>
              </w:rPr>
              <w:t xml:space="preserve">能覆盖主要监测时段+异常工况应急质控</w:t>
            </w:r>
            <w:r>
              <w:rPr>
                <w:rFonts w:hint="eastAsia" w:ascii="宋体" w:hAnsi="宋体" w:eastAsia="宋体" w:cs="宋体"/>
                <w:color w:val="000000"/>
                <w:sz w:val="24"/>
                <w:szCs w:val="24"/>
                <w:highlight w:val="none"/>
                <w:lang w:val="en-US" w:eastAsia="zh-CN"/>
              </w:rPr>
              <w:t xml:space="preserve">，能基本保障监测数据质量，但细节有待完善得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提供了常规、通用的方案，未考虑本项目特点，部分符合需求得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提供的方案有明显缺陷，难以保障项目实施得1分；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未提供相关内容不得分。</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p>
        </w:tc>
        <w:tc>
          <w:tcPr>
            <w:tcW w:w="138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数据审核 方案</w:t>
            </w:r>
            <w:r/>
          </w:p>
        </w:tc>
        <w:tc>
          <w:tcPr>
            <w:tcW w:w="74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根据在线仪器特点和运行质控要求，编制数据审核方案。</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针对本项目，数据审核方案设计全面、合理，能采用多方法、多技术、自动化等手段开展数据审核，方法设计合理，技术 准确，完全满足本项目要求得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针对本项目，数据审核方案设计基本全面、合理，采用一定 数量的方法、技术开展数据审核，实现了部分自动化，方法设计基本合理，技术准确得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提供常规、通用的方案，未考虑本项目特点，部分符合需求得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提供的方案有明显缺陷，难以保障项目实施得1分；</w:t>
            </w:r>
            <w:r/>
          </w:p>
          <w:p>
            <w:pPr>
              <w:jc w:val="left"/>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未提供相关内容不得分。</w:t>
            </w:r>
            <w:r/>
          </w:p>
        </w:tc>
      </w:tr>
      <w:tr>
        <w:trPr>
          <w:jc w:val="center"/>
          <w:trHeight w:val="23"/>
        </w:trPr>
        <w:tc>
          <w:tcPr>
            <w:tcW w:w="1238" w:type="dxa"/>
            <w:vAlign w:val="center"/>
            <w:vMerge w:val="continue"/>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p>
        </w:tc>
        <w:tc>
          <w:tcPr>
            <w:tcW w:w="138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应急方案</w:t>
            </w:r>
            <w:r/>
          </w:p>
        </w:tc>
        <w:tc>
          <w:tcPr>
            <w:tcW w:w="742"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tc>
        <w:tc>
          <w:tcPr>
            <w:tcW w:w="6374" w:type="dxa"/>
            <w:vAlign w:val="center"/>
            <w:textDirection w:val="lrTb"/>
            <w:noWrap w:val="false"/>
          </w:tcPr>
          <w:p>
            <w:pPr>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根据在线仪器特点和运维要求制定应急监测方案。</w:t>
            </w:r>
            <w:r/>
          </w:p>
          <w:p>
            <w:pPr>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针对本项目，提供了结构完整、条理清晰的应急方案，方案设计全面、合理，阐述分析准确，可有效保障监测数据有效率，完全满足项目需要得</w:t>
            </w:r>
            <w:r>
              <w:rPr>
                <w:rFonts w:hint="eastAsia" w:ascii="宋体" w:hAnsi="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eastAsia="zh-CN"/>
              </w:rPr>
              <w:t xml:space="preserve">分；</w:t>
            </w:r>
            <w:r/>
          </w:p>
          <w:p>
            <w:pPr>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提供了内容基本完整的方案，进行了阐述分析，但细节有待完善，基本满足项目需求，合理、可行得</w:t>
            </w:r>
            <w:r>
              <w:rPr>
                <w:rFonts w:hint="eastAsia" w:ascii="宋体" w:hAnsi="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lang w:val="en-US" w:eastAsia="zh-CN"/>
              </w:rPr>
              <w:t xml:space="preserve">分；</w:t>
            </w:r>
            <w:r/>
          </w:p>
          <w:p>
            <w:pPr>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提供了常规、通用的方案，未考虑本项目特点，部分符合需求得</w:t>
            </w:r>
            <w:r>
              <w:rPr>
                <w:rFonts w:hint="eastAsia" w:ascii="宋体" w:hAnsi="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lang w:val="en-US" w:eastAsia="zh-CN"/>
              </w:rPr>
              <w:t xml:space="preserve">分； </w:t>
            </w:r>
            <w:r/>
          </w:p>
          <w:p>
            <w:pPr>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提供的方案有明显缺陷，难以保障项目实施得1分； </w:t>
            </w:r>
            <w:r/>
          </w:p>
          <w:p>
            <w:pPr>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未提供相关内容不得分。</w:t>
            </w:r>
            <w:r/>
          </w:p>
        </w:tc>
      </w:tr>
      <w:tr>
        <w:trPr>
          <w:jc w:val="center"/>
          <w:trHeight w:val="23"/>
        </w:trPr>
        <w:tc>
          <w:tcPr>
            <w:tcW w:w="1238" w:type="dxa"/>
            <w:vAlign w:val="center"/>
            <w:vMerge w:val="restart"/>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商务</w:t>
            </w:r>
            <w:r>
              <w:rPr>
                <w:rFonts w:hint="eastAsia" w:ascii="宋体" w:hAnsi="宋体" w:cs="宋体"/>
                <w:color w:val="000000"/>
                <w:sz w:val="24"/>
                <w:szCs w:val="24"/>
                <w:highlight w:val="none"/>
              </w:rPr>
              <w:t xml:space="preserve">评审因素</w:t>
            </w:r>
            <w:r/>
          </w:p>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分）</w:t>
            </w:r>
            <w:r/>
          </w:p>
        </w:tc>
        <w:tc>
          <w:tcPr>
            <w:tcW w:w="74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383"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供应商实力</w:t>
            </w:r>
            <w:r/>
          </w:p>
        </w:tc>
        <w:tc>
          <w:tcPr>
            <w:tcW w:w="74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rPr>
                <w:rFonts w:hint="eastAsia" w:ascii="宋体" w:hAnsi="宋体" w:eastAsia="宋体" w:cs="宋体"/>
                <w:i w:val="0"/>
                <w:iCs w:val="0"/>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t xml:space="preserve">供应商具有ISO14001环境管理体系认证证书、数据存储安全管理体系认证证书，有一项得2分，最高4分；</w:t>
            </w:r>
            <w:r/>
          </w:p>
          <w:p>
            <w:pPr>
              <w:jc w:val="left"/>
              <w:rPr>
                <w:rFonts w:hint="default"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yellow"/>
                <w:lang w:val="en-US" w:eastAsia="zh-CN"/>
              </w:rPr>
              <w:t xml:space="preserve">供应商具有标准化等级认证证书或具备同等效力的售后服务体系认证、信息技术服务管理体系认证（ITSS）三级及以上证书，</w:t>
            </w:r>
            <w:r>
              <w:rPr>
                <w:rFonts w:hint="eastAsia" w:ascii="宋体" w:hAnsi="宋体" w:eastAsia="宋体" w:cs="宋体"/>
                <w:i w:val="0"/>
                <w:iCs w:val="0"/>
                <w:color w:val="000000"/>
                <w:sz w:val="24"/>
                <w:szCs w:val="24"/>
                <w:highlight w:val="none"/>
                <w:lang w:val="en-US" w:eastAsia="zh-CN"/>
              </w:rPr>
              <w:t xml:space="preserve">达到5A得4分，5A以下的得2分，没有不得分。</w:t>
            </w:r>
            <w:r/>
          </w:p>
          <w:p>
            <w:pPr>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【提供相关证书复印件加盖供应商公章放入投标文件中，未提供不得分。若证书有有效期的，均须在有效期内。】</w:t>
            </w:r>
            <w:r/>
          </w:p>
        </w:tc>
      </w:tr>
      <w:tr>
        <w:trPr>
          <w:jc w:val="center"/>
          <w:trHeight w:val="23"/>
        </w:trPr>
        <w:tc>
          <w:tcPr>
            <w:tcW w:w="1238" w:type="dxa"/>
            <w:vAlign w:val="center"/>
            <w:vMerge w:val="continue"/>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383"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人员配备</w:t>
            </w:r>
            <w:r/>
          </w:p>
        </w:tc>
        <w:tc>
          <w:tcPr>
            <w:tcW w:w="74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1、项目负责人（1人）</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项目负责人具有信息系统项目管理师证书得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分；具有</w:t>
            </w:r>
            <w:r>
              <w:rPr>
                <w:rFonts w:hint="eastAsia" w:ascii="宋体" w:hAnsi="宋体" w:cs="宋体"/>
                <w:color w:val="000000"/>
                <w:sz w:val="24"/>
                <w:szCs w:val="24"/>
                <w:highlight w:val="none"/>
                <w:lang w:val="en-US" w:eastAsia="zh-CN"/>
              </w:rPr>
              <w:t xml:space="preserve">环保工程师中级</w:t>
            </w:r>
            <w:r>
              <w:rPr>
                <w:rFonts w:hint="eastAsia" w:ascii="宋体" w:hAnsi="宋体" w:eastAsia="宋体" w:cs="宋体"/>
                <w:color w:val="000000"/>
                <w:sz w:val="24"/>
                <w:szCs w:val="24"/>
                <w:highlight w:val="none"/>
                <w:lang w:val="en-US" w:eastAsia="zh-CN"/>
              </w:rPr>
              <w:t xml:space="preserve">及以上职称证书得2分；本项最高得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2、技术负责人（1人）</w:t>
            </w:r>
            <w:r/>
          </w:p>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yellow"/>
                <w:lang w:val="en-US" w:eastAsia="zh-CN"/>
              </w:rPr>
              <w:t xml:space="preserve">因项目涉及数据平台对接，需具备信息化项目管理能</w:t>
            </w:r>
            <w:r>
              <w:rPr>
                <w:rFonts w:hint="eastAsia" w:ascii="宋体" w:hAnsi="宋体" w:cs="宋体"/>
                <w:color w:val="000000"/>
                <w:sz w:val="24"/>
                <w:szCs w:val="24"/>
                <w:highlight w:val="yellow"/>
                <w:lang w:val="en-US" w:eastAsia="zh-CN"/>
              </w:rPr>
              <w:t xml:space="preserve">力，</w:t>
            </w:r>
            <w:r>
              <w:rPr>
                <w:rFonts w:hint="eastAsia" w:ascii="宋体" w:hAnsi="宋体" w:eastAsia="宋体" w:cs="宋体"/>
                <w:color w:val="000000"/>
                <w:sz w:val="24"/>
                <w:szCs w:val="24"/>
                <w:highlight w:val="none"/>
                <w:lang w:val="en-US" w:eastAsia="zh-CN"/>
              </w:rPr>
              <w:t xml:space="preserve">技术负责人具有注册信息安全管理人员(CISP)证书得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分；具有环境工程师</w:t>
            </w:r>
            <w:r>
              <w:rPr>
                <w:rFonts w:hint="eastAsia" w:ascii="宋体" w:hAnsi="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lang w:val="en-US" w:eastAsia="zh-CN"/>
              </w:rPr>
              <w:t xml:space="preserve">及以上职称证书的得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分；本项最高得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p>
          <w:p>
            <w:pPr>
              <w:numPr>
                <w:ilvl w:val="0"/>
                <w:numId w:val="20"/>
              </w:num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项目组成员（项目负责人、技术负责人除外）</w:t>
            </w:r>
            <w:r/>
          </w:p>
          <w:p>
            <w:pPr>
              <w:numPr>
                <w:ilvl w:val="0"/>
                <w:numId w:val="0"/>
              </w:num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项目组成员具备</w:t>
            </w:r>
            <w:r>
              <w:rPr>
                <w:rFonts w:hint="eastAsia" w:ascii="宋体" w:hAnsi="宋体" w:cs="宋体"/>
                <w:color w:val="000000"/>
                <w:sz w:val="24"/>
                <w:szCs w:val="24"/>
                <w:highlight w:val="none"/>
                <w:lang w:val="en-US" w:eastAsia="zh-CN"/>
              </w:rPr>
              <w:t xml:space="preserve">环保工程师</w:t>
            </w:r>
            <w:r>
              <w:rPr>
                <w:rFonts w:hint="eastAsia" w:ascii="宋体" w:hAnsi="宋体" w:eastAsia="宋体" w:cs="宋体"/>
                <w:color w:val="000000"/>
                <w:sz w:val="24"/>
                <w:szCs w:val="24"/>
                <w:highlight w:val="none"/>
                <w:lang w:val="en-US" w:eastAsia="zh-CN"/>
              </w:rPr>
              <w:t xml:space="preserve">中级及以上</w:t>
            </w:r>
            <w:r>
              <w:rPr>
                <w:rFonts w:hint="eastAsia" w:ascii="宋体" w:hAnsi="宋体" w:cs="宋体"/>
                <w:color w:val="000000"/>
                <w:sz w:val="24"/>
                <w:szCs w:val="24"/>
                <w:highlight w:val="none"/>
                <w:lang w:val="en-US" w:eastAsia="zh-CN"/>
              </w:rPr>
              <w:t xml:space="preserve">职称证书</w:t>
            </w:r>
            <w:r>
              <w:rPr>
                <w:rFonts w:hint="eastAsia" w:ascii="宋体" w:hAnsi="宋体" w:eastAsia="宋体" w:cs="宋体"/>
                <w:color w:val="000000"/>
                <w:sz w:val="24"/>
                <w:szCs w:val="24"/>
                <w:highlight w:val="none"/>
                <w:lang w:val="en-US" w:eastAsia="zh-CN"/>
              </w:rPr>
              <w:t xml:space="preserve">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分/人；具备</w:t>
            </w:r>
            <w:bookmarkStart w:id="88" w:name="_Toc10314"/>
            <w:r>
              <w:rPr>
                <w:rFonts w:hint="eastAsia" w:ascii="宋体" w:hAnsi="宋体" w:eastAsia="宋体" w:cs="宋体"/>
                <w:color w:val="000000"/>
                <w:sz w:val="24"/>
                <w:szCs w:val="24"/>
                <w:highlight w:val="none"/>
                <w:lang w:val="zh-CN" w:eastAsia="zh-CN"/>
              </w:rPr>
              <w:t xml:space="preserve">ITSS IT服务项目经理</w:t>
            </w:r>
            <w:bookmarkEnd w:id="88"/>
            <w:r>
              <w:rPr>
                <w:rFonts w:hint="eastAsia" w:ascii="宋体" w:hAnsi="宋体" w:eastAsia="宋体" w:cs="宋体"/>
                <w:color w:val="000000"/>
                <w:sz w:val="24"/>
                <w:szCs w:val="24"/>
                <w:highlight w:val="none"/>
                <w:lang w:val="en-US" w:eastAsia="zh-CN"/>
              </w:rPr>
              <w:t xml:space="preserve">证书的得</w:t>
            </w:r>
            <w:r>
              <w:rPr>
                <w:rFonts w:hint="eastAsia" w:ascii="宋体" w:hAnsi="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lang w:val="en-US" w:eastAsia="zh-CN"/>
              </w:rPr>
              <w:t xml:space="preserve">分/人；本项最高得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p>
          <w:p>
            <w:pPr>
              <w:numPr>
                <w:ilvl w:val="0"/>
                <w:numId w:val="0"/>
              </w:num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项目组成员，一人只计取一次得分。</w:t>
            </w:r>
            <w:r/>
          </w:p>
          <w:p>
            <w:pPr>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【一人</w:t>
            </w:r>
            <w:r>
              <w:rPr>
                <w:rFonts w:hint="eastAsia" w:ascii="宋体" w:hAnsi="宋体" w:cs="宋体"/>
                <w:b/>
                <w:bCs/>
                <w:color w:val="000000"/>
                <w:sz w:val="24"/>
                <w:szCs w:val="24"/>
                <w:highlight w:val="none"/>
                <w:lang w:val="en-US" w:eastAsia="zh-CN"/>
              </w:rPr>
              <w:t xml:space="preserve">一岗，不得兼任。</w:t>
            </w:r>
            <w:r>
              <w:rPr>
                <w:rFonts w:hint="eastAsia" w:ascii="宋体" w:hAnsi="宋体" w:eastAsia="宋体" w:cs="宋体"/>
                <w:b/>
                <w:bCs/>
                <w:color w:val="000000"/>
                <w:sz w:val="24"/>
                <w:szCs w:val="24"/>
                <w:highlight w:val="none"/>
                <w:lang w:val="en-US" w:eastAsia="zh-CN"/>
              </w:rPr>
              <w:t xml:space="preserve">提供证书复印件及供应商为其缴纳的近十二个月内（不含投标当月）任意连续六个月的社保证明并加盖供应商公章放入投标文件中，未提供不得分。</w:t>
            </w:r>
            <w:r>
              <w:rPr>
                <w:rFonts w:hint="eastAsia" w:ascii="宋体" w:hAnsi="宋体" w:eastAsia="宋体" w:cs="宋体"/>
                <w:b/>
                <w:bCs/>
                <w:color w:val="000000"/>
                <w:sz w:val="24"/>
                <w:szCs w:val="24"/>
                <w:highlight w:val="none"/>
              </w:rPr>
              <w:t xml:space="preserve">如职称证书未注明专业的，须另行提供相关专业学历证书或经评审委员会评审通过的《专业技术资格评审申报表》，其有效性由评审委员会认定。</w:t>
            </w:r>
            <w:r>
              <w:rPr>
                <w:rFonts w:hint="eastAsia" w:ascii="宋体" w:hAnsi="宋体" w:eastAsia="宋体" w:cs="宋体"/>
                <w:b/>
                <w:bCs/>
                <w:color w:val="000000"/>
                <w:sz w:val="24"/>
                <w:szCs w:val="24"/>
                <w:highlight w:val="none"/>
                <w:lang w:val="en-US" w:eastAsia="zh-CN"/>
              </w:rPr>
              <w:t xml:space="preserve">】</w:t>
            </w:r>
            <w:r/>
          </w:p>
        </w:tc>
      </w:tr>
      <w:tr>
        <w:trPr>
          <w:jc w:val="center"/>
          <w:trHeight w:val="23"/>
        </w:trPr>
        <w:tc>
          <w:tcPr>
            <w:tcW w:w="1238" w:type="dxa"/>
            <w:vAlign w:val="center"/>
            <w:vMerge w:val="continue"/>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383"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类似业绩</w:t>
            </w:r>
            <w:r/>
          </w:p>
        </w:tc>
        <w:tc>
          <w:tcPr>
            <w:tcW w:w="74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p>
        </w:tc>
        <w:tc>
          <w:tcPr>
            <w:tcW w:w="6374" w:type="dxa"/>
            <w:vAlign w:val="center"/>
            <w:textDirection w:val="lrTb"/>
            <w:noWrap w:val="false"/>
          </w:tcPr>
          <w:p>
            <w:pPr>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供应商自2022年1月1日至今（以合同签订时间为准）承担的同类</w:t>
            </w:r>
            <w:r>
              <w:rPr>
                <w:rFonts w:hint="eastAsia" w:ascii="宋体" w:hAnsi="宋体" w:cs="宋体"/>
                <w:color w:val="000000"/>
                <w:sz w:val="24"/>
                <w:szCs w:val="24"/>
                <w:highlight w:val="yellow"/>
                <w:lang w:val="en-US" w:eastAsia="zh-CN"/>
              </w:rPr>
              <w:t xml:space="preserve">供货及运维</w:t>
            </w:r>
            <w:r>
              <w:rPr>
                <w:rFonts w:hint="eastAsia" w:ascii="宋体" w:hAnsi="宋体" w:eastAsia="宋体" w:cs="宋体"/>
                <w:color w:val="000000"/>
                <w:sz w:val="24"/>
                <w:szCs w:val="24"/>
                <w:highlight w:val="yellow"/>
                <w:lang w:val="en-US" w:eastAsia="zh-CN"/>
              </w:rPr>
              <w:t xml:space="preserve">项目</w:t>
            </w:r>
            <w:r>
              <w:rPr>
                <w:rFonts w:hint="eastAsia" w:ascii="宋体" w:hAnsi="宋体" w:eastAsia="宋体" w:cs="宋体"/>
                <w:color w:val="000000"/>
                <w:sz w:val="24"/>
                <w:szCs w:val="24"/>
                <w:highlight w:val="none"/>
                <w:lang w:val="en-US" w:eastAsia="zh-CN"/>
              </w:rPr>
              <w:t xml:space="preserve">的业绩，每提供1个得2分，</w:t>
            </w:r>
            <w:r>
              <w:rPr>
                <w:rFonts w:hint="eastAsia" w:ascii="宋体" w:hAnsi="宋体" w:eastAsia="宋体" w:cs="宋体"/>
                <w:color w:val="000000"/>
                <w:sz w:val="24"/>
                <w:szCs w:val="24"/>
                <w:highlight w:val="none"/>
                <w:lang w:val="zh-CN" w:eastAsia="zh-CN"/>
              </w:rPr>
              <w:t xml:space="preserve">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w:t>
            </w:r>
            <w:r/>
          </w:p>
          <w:p>
            <w:pPr>
              <w:jc w:val="left"/>
              <w:rPr>
                <w:rFonts w:hint="default"/>
                <w:color w:val="000000"/>
                <w:highlight w:val="yellow"/>
                <w:lang w:val="en-US"/>
              </w:rPr>
            </w:pPr>
            <w:r>
              <w:rPr>
                <w:rFonts w:hint="eastAsia" w:ascii="宋体" w:hAnsi="宋体" w:cs="宋体"/>
                <w:color w:val="000000"/>
                <w:sz w:val="24"/>
                <w:szCs w:val="24"/>
                <w:highlight w:val="none"/>
                <w:lang w:val="zh-CN" w:eastAsia="zh-CN"/>
              </w:rPr>
              <w:t xml:space="preserve">【</w:t>
            </w:r>
            <w:r>
              <w:rPr>
                <w:rFonts w:hint="eastAsia" w:ascii="宋体" w:hAnsi="宋体" w:cs="宋体"/>
                <w:b/>
                <w:bCs/>
                <w:color w:val="000000"/>
                <w:sz w:val="24"/>
                <w:szCs w:val="24"/>
                <w:highlight w:val="none"/>
                <w:lang w:val="zh-CN" w:eastAsia="zh-CN"/>
              </w:rPr>
              <w:t xml:space="preserve"> </w:t>
            </w:r>
            <w:r>
              <w:rPr>
                <w:rFonts w:hint="eastAsia" w:ascii="宋体" w:hAnsi="宋体" w:cs="宋体"/>
                <w:b/>
                <w:bCs/>
                <w:color w:val="000000"/>
                <w:sz w:val="24"/>
                <w:szCs w:val="24"/>
                <w:highlight w:val="yellow"/>
                <w:lang w:val="zh-CN" w:eastAsia="zh-CN"/>
              </w:rPr>
              <w:t xml:space="preserve">业绩认定：若合同为纯设备采购，但附有业主出具的运维服务履约评价（证明其已完成1年以上运维），可等同于有效业绩。</w:t>
            </w:r>
            <w:r>
              <w:rPr>
                <w:rFonts w:hint="eastAsia" w:ascii="宋体" w:hAnsi="宋体" w:cs="宋体"/>
                <w:color w:val="000000"/>
                <w:sz w:val="24"/>
                <w:szCs w:val="24"/>
                <w:highlight w:val="yellow"/>
                <w:lang w:val="zh-CN" w:eastAsia="zh-CN"/>
              </w:rPr>
              <w:t xml:space="preserve">】</w:t>
            </w:r>
            <w:r/>
          </w:p>
          <w:p>
            <w:pPr>
              <w:jc w:val="left"/>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yellow"/>
                <w:lang w:val="en-US" w:eastAsia="zh-CN"/>
              </w:rPr>
              <w:t xml:space="preserve">【须提供合同关键页（含首页、标的页、金额页、签字盖章页）及验收证明（或运维服务确认单）复印件</w:t>
            </w:r>
            <w:r>
              <w:rPr>
                <w:rFonts w:hint="eastAsia" w:ascii="宋体" w:hAnsi="宋体" w:cs="宋体"/>
                <w:b/>
                <w:bCs/>
                <w:color w:val="000000"/>
                <w:sz w:val="24"/>
                <w:szCs w:val="24"/>
                <w:highlight w:val="yellow"/>
                <w:lang w:val="en-US" w:eastAsia="zh-CN"/>
              </w:rPr>
              <w:t xml:space="preserve">+联系方式</w:t>
            </w:r>
            <w:r>
              <w:rPr>
                <w:rFonts w:hint="eastAsia" w:ascii="宋体" w:hAnsi="宋体" w:eastAsia="宋体" w:cs="宋体"/>
                <w:b/>
                <w:bCs/>
                <w:color w:val="000000"/>
                <w:sz w:val="24"/>
                <w:szCs w:val="24"/>
                <w:highlight w:val="yellow"/>
                <w:lang w:val="en-US" w:eastAsia="zh-CN"/>
              </w:rPr>
              <w:t xml:space="preserve">，不提供或不全者不得分。</w:t>
            </w:r>
            <w:r>
              <w:rPr>
                <w:rFonts w:hint="eastAsia" w:ascii="宋体" w:hAnsi="宋体" w:eastAsia="宋体" w:cs="宋体"/>
                <w:b/>
                <w:bCs/>
                <w:color w:val="000000"/>
                <w:sz w:val="24"/>
                <w:szCs w:val="24"/>
                <w:highlight w:val="none"/>
                <w:lang w:val="en-US" w:eastAsia="zh-CN"/>
              </w:rPr>
              <w:t xml:space="preserve">】</w:t>
            </w:r>
            <w:r/>
          </w:p>
        </w:tc>
      </w:tr>
    </w:tbl>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2、价格部分</w:t>
      </w:r>
      <w:r/>
    </w:p>
    <w:tbl>
      <w:tblPr>
        <w:tblStyle w:val="810"/>
        <w:tblW w:w="99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1297"/>
        <w:gridCol w:w="841"/>
        <w:gridCol w:w="6868"/>
      </w:tblGrid>
      <w:tr>
        <w:trPr>
          <w:cantSplit/>
          <w:jc w:val="center"/>
          <w:trHeight w:val="572"/>
        </w:trPr>
        <w:tc>
          <w:tcPr>
            <w:tcW w:w="98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29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评审项目</w:t>
            </w:r>
            <w:r/>
          </w:p>
        </w:tc>
        <w:tc>
          <w:tcPr>
            <w:tcW w:w="84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p>
        </w:tc>
        <w:tc>
          <w:tcPr>
            <w:tcW w:w="6868"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评审细则</w:t>
            </w:r>
            <w:r/>
          </w:p>
        </w:tc>
      </w:tr>
      <w:tr>
        <w:trPr>
          <w:cantSplit/>
          <w:jc w:val="center"/>
          <w:trHeight w:val="1479"/>
        </w:trPr>
        <w:tc>
          <w:tcPr>
            <w:tcW w:w="98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1</w:t>
            </w:r>
            <w:r/>
          </w:p>
        </w:tc>
        <w:tc>
          <w:tcPr>
            <w:tcW w:w="129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价格部分</w:t>
            </w:r>
            <w:r/>
          </w:p>
        </w:tc>
        <w:tc>
          <w:tcPr>
            <w:tcW w:w="841" w:type="dxa"/>
            <w:vAlign w:val="center"/>
            <w:textDirection w:val="lrTb"/>
            <w:noWrap w:val="false"/>
          </w:tcPr>
          <w:p>
            <w:pPr>
              <w:jc w:val="center"/>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35</w:t>
            </w:r>
            <w:r/>
          </w:p>
        </w:tc>
        <w:tc>
          <w:tcPr>
            <w:tcW w:w="6868" w:type="dxa"/>
            <w:vAlign w:val="center"/>
            <w:textDirection w:val="lrTb"/>
            <w:noWrap w:val="false"/>
          </w:tcPr>
          <w:p>
            <w:pPr>
              <w:jc w:val="left"/>
              <w:rPr>
                <w:rFonts w:ascii="宋体" w:hAnsi="宋体"/>
                <w:color w:val="000000"/>
                <w:sz w:val="24"/>
                <w:szCs w:val="24"/>
                <w:highlight w:val="none"/>
              </w:rPr>
            </w:pPr>
            <w:r>
              <w:rPr>
                <w:rFonts w:ascii="宋体" w:hAnsi="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eastAsia="zh-CN"/>
              </w:rPr>
              <w:t xml:space="preserve">采购文件</w:t>
            </w:r>
            <w:r>
              <w:rPr>
                <w:rFonts w:ascii="宋体" w:hAnsi="宋体" w:cs="宋体"/>
                <w:color w:val="000000"/>
                <w:sz w:val="24"/>
                <w:szCs w:val="24"/>
                <w:highlight w:val="none"/>
              </w:rPr>
              <w:t xml:space="preserve">要求且报价价格最低的报价为评标基准价，其价格分为满分。其他报价人的价格分统一按照下列公式计算：</w:t>
            </w:r>
            <w:r>
              <w:rPr>
                <w:rFonts w:hint="eastAsia" w:ascii="宋体" w:hAnsi="宋体" w:cs="宋体"/>
                <w:color w:val="000000"/>
                <w:sz w:val="24"/>
                <w:szCs w:val="24"/>
                <w:highlight w:val="none"/>
                <w:lang w:eastAsia="zh-CN"/>
              </w:rPr>
              <w:t xml:space="preserve">投标</w:t>
            </w:r>
            <w:r>
              <w:rPr>
                <w:rFonts w:ascii="宋体" w:hAnsi="宋体" w:cs="宋体"/>
                <w:color w:val="000000"/>
                <w:sz w:val="24"/>
                <w:szCs w:val="24"/>
                <w:highlight w:val="none"/>
              </w:rPr>
              <w:t xml:space="preserve">报价得分=（评标基准价/</w:t>
            </w:r>
            <w:r>
              <w:rPr>
                <w:rFonts w:hint="eastAsia" w:ascii="宋体" w:hAnsi="宋体" w:cs="宋体"/>
                <w:color w:val="000000"/>
                <w:sz w:val="24"/>
                <w:szCs w:val="24"/>
                <w:highlight w:val="none"/>
                <w:lang w:eastAsia="zh-CN"/>
              </w:rPr>
              <w:t xml:space="preserve">投标</w:t>
            </w:r>
            <w:r>
              <w:rPr>
                <w:rFonts w:ascii="宋体" w:hAnsi="宋体" w:cs="宋体"/>
                <w:color w:val="000000"/>
                <w:sz w:val="24"/>
                <w:szCs w:val="24"/>
                <w:highlight w:val="none"/>
              </w:rPr>
              <w:t xml:space="preserve">报价）×</w:t>
            </w:r>
            <w:r>
              <w:rPr>
                <w:rFonts w:hint="eastAsia" w:ascii="宋体" w:hAnsi="宋体" w:cs="宋体"/>
                <w:color w:val="000000"/>
                <w:sz w:val="24"/>
                <w:szCs w:val="24"/>
                <w:highlight w:val="none"/>
                <w:lang w:val="en-US" w:eastAsia="zh-CN"/>
              </w:rPr>
              <w:t xml:space="preserve">35</w:t>
            </w:r>
            <w:r>
              <w:rPr>
                <w:rFonts w:ascii="宋体" w:hAnsi="宋体" w:cs="宋体"/>
                <w:color w:val="000000"/>
                <w:sz w:val="24"/>
                <w:szCs w:val="24"/>
                <w:highlight w:val="none"/>
              </w:rPr>
              <w:t xml:space="preserve">分。（以四舍五入法，保留两位小数）</w:t>
            </w:r>
            <w:r/>
          </w:p>
        </w:tc>
      </w:tr>
    </w:tbl>
    <w:p>
      <w:pPr>
        <w:rPr>
          <w:rFonts w:ascii="宋体" w:hAnsi="宋体"/>
          <w:b/>
          <w:bCs/>
          <w:color w:val="000000"/>
          <w:sz w:val="24"/>
          <w:szCs w:val="24"/>
          <w:highlight w:val="none"/>
        </w:rPr>
      </w:pPr>
      <w:r>
        <w:rPr>
          <w:rFonts w:ascii="宋体" w:hAnsi="宋体"/>
          <w:b/>
          <w:bCs/>
          <w:color w:val="000000"/>
          <w:sz w:val="24"/>
          <w:szCs w:val="24"/>
          <w:highlight w:val="none"/>
        </w:rPr>
      </w:r>
      <w:r/>
    </w:p>
    <w:p>
      <w:pPr>
        <w:rPr>
          <w:rFonts w:ascii="宋体" w:hAnsi="宋体"/>
          <w:b/>
          <w:bCs/>
          <w:color w:val="000000"/>
          <w:sz w:val="24"/>
          <w:szCs w:val="24"/>
          <w:highlight w:val="none"/>
        </w:rPr>
      </w:pPr>
      <w:r>
        <w:rPr>
          <w:rFonts w:hint="eastAsia" w:ascii="宋体" w:hAnsi="宋体"/>
          <w:b/>
          <w:bCs/>
          <w:color w:val="000000"/>
          <w:sz w:val="24"/>
          <w:szCs w:val="24"/>
          <w:highlight w:val="none"/>
        </w:rPr>
        <w:t xml:space="preserve">备注：</w:t>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1、评分过程中如出现小数点后三位，采用四舍五入法，最终保留两位小数；</w:t>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中必须提供以上相关证明材料复印件，若要求提供原件的，原件于报价时一并提交，否则不予加分。</w:t>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3、所有提供的证明材料必须保证清晰，内容模糊无法确认的后果由供应商自负。</w:t>
      </w:r>
      <w:r/>
    </w:p>
    <w:p>
      <w:pPr>
        <w:spacing w:line="360" w:lineRule="auto"/>
        <w:rPr>
          <w:color w:val="000000"/>
          <w:highlight w:val="none"/>
        </w:rPr>
      </w:pPr>
      <w:r>
        <w:rPr>
          <w:rFonts w:hint="eastAsia" w:ascii="宋体" w:hAnsi="宋体"/>
          <w:bCs/>
          <w:color w:val="000000"/>
          <w:sz w:val="24"/>
          <w:szCs w:val="24"/>
          <w:highlight w:val="none"/>
        </w:rPr>
        <w:t xml:space="preserve">4、所有提供的证明材料必须为真实、有效，一旦发现虚假情况等，采购人有权取消合同。</w:t>
      </w:r>
      <w:r/>
    </w:p>
    <w:p>
      <w:pPr>
        <w:ind w:firstLine="480"/>
        <w:jc w:val="center"/>
        <w:rPr>
          <w:rFonts w:hint="eastAsia" w:ascii="黑体" w:hAnsi="黑体" w:eastAsia="黑体"/>
          <w:color w:val="000000"/>
          <w:sz w:val="28"/>
          <w:highlight w:val="none"/>
        </w:rPr>
        <w:outlineLvl w:val="0"/>
      </w:pPr>
      <w:r>
        <w:rPr>
          <w:rFonts w:hint="eastAsia" w:ascii="宋体" w:hAnsi="宋体" w:eastAsia="宋体" w:cs="宋体"/>
          <w:color w:val="000000"/>
          <w:sz w:val="24"/>
          <w:szCs w:val="24"/>
          <w:highlight w:val="none"/>
        </w:rPr>
        <w:br w:type="page" w:clear="all"/>
      </w:r>
      <w:bookmarkEnd w:id="84"/>
      <w:r/>
      <w:bookmarkEnd w:id="85"/>
      <w:r/>
      <w:bookmarkEnd w:id="86"/>
      <w:r/>
      <w:bookmarkStart w:id="89" w:name="_Toc12685"/>
      <w:r/>
      <w:bookmarkStart w:id="90" w:name="_Toc8262"/>
      <w:r>
        <w:rPr>
          <w:rFonts w:hint="eastAsia" w:ascii="黑体" w:hAnsi="黑体" w:eastAsia="黑体"/>
          <w:color w:val="000000"/>
          <w:sz w:val="28"/>
          <w:highlight w:val="none"/>
        </w:rPr>
        <w:t xml:space="preserve">第五章 政府采购合同（格式）</w:t>
      </w:r>
      <w:bookmarkEnd w:id="89"/>
      <w:r/>
      <w:r/>
    </w:p>
    <w:p>
      <w:pPr>
        <w:jc w:val="righ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960"/>
        <w:spacing w:line="22" w:lineRule="atLeas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22" w:lineRule="atLeas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签订地：</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47"/>
        <w:numPr>
          <w:ilvl w:val="0"/>
          <w:numId w:val="0"/>
        </w:numPr>
        <w:ind w:left="780" w:hanging="360"/>
        <w:rPr>
          <w:color w:val="000000"/>
          <w:highlight w:val="none"/>
        </w:rPr>
      </w:pPr>
      <w:r>
        <w:rPr>
          <w:color w:val="000000"/>
          <w:highlight w:val="none"/>
        </w:rPr>
      </w:r>
      <w:r/>
    </w:p>
    <w:p>
      <w:pPr>
        <w:pStyle w:val="1047"/>
        <w:numPr>
          <w:ilvl w:val="0"/>
          <w:numId w:val="0"/>
        </w:numPr>
        <w:ind w:left="780" w:hanging="360"/>
        <w:rPr>
          <w:color w:val="000000"/>
          <w:highlight w:val="none"/>
        </w:rPr>
      </w:pPr>
      <w:r>
        <w:rPr>
          <w:color w:val="000000"/>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宜兴市丁蜀镇人民政府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公开招标</w:t>
      </w:r>
      <w:r>
        <w:rPr>
          <w:rFonts w:hint="eastAsia" w:ascii="宋体" w:hAnsi="宋体" w:eastAsia="宋体" w:cs="宋体"/>
          <w:color w:val="000000"/>
          <w:sz w:val="24"/>
          <w:szCs w:val="24"/>
          <w:highlight w:val="none"/>
          <w:u w:val="single"/>
        </w:rPr>
        <w:t xml:space="preserve">的采购方式 </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进行了采购。经</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lang w:eastAsia="zh-CN"/>
        </w:rPr>
        <w:t xml:space="preserve">宜兴市丁蜀镇人民政府</w:t>
      </w:r>
      <w:r>
        <w:rPr>
          <w:rFonts w:hint="eastAsia" w:ascii="宋体" w:hAnsi="宋体" w:eastAsia="宋体" w:cs="宋体"/>
          <w:color w:val="000000"/>
          <w:sz w:val="24"/>
          <w:szCs w:val="24"/>
          <w:highlight w:val="none"/>
        </w:rPr>
        <w:t xml:space="preserve">确定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为该项目</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。现于</w:t>
      </w:r>
      <w:r>
        <w:rPr>
          <w:rFonts w:hint="eastAsia" w:ascii="宋体" w:hAnsi="宋体" w:eastAsia="宋体" w:cs="宋体"/>
          <w:color w:val="000000"/>
          <w:sz w:val="24"/>
          <w:szCs w:val="24"/>
          <w:highlight w:val="none"/>
          <w:lang w:eastAsia="zh-CN"/>
        </w:rPr>
        <w:t xml:space="preserve">中标通知书</w:t>
      </w:r>
      <w:r>
        <w:rPr>
          <w:rFonts w:hint="eastAsia" w:ascii="宋体" w:hAnsi="宋体" w:eastAsia="宋体" w:cs="宋体"/>
          <w:color w:val="000000"/>
          <w:sz w:val="24"/>
          <w:szCs w:val="24"/>
          <w:highlight w:val="none"/>
        </w:rPr>
        <w:t xml:space="preserve">发出之日起三十日内，按照采购文件确定的事项签订本合同。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宜兴市丁蜀镇人民政府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(以下简称：甲方)和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中标供应商</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lang w:val="zh-CN"/>
        </w:rPr>
        <w:t xml:space="preserve">(以下简称：乙方)协商一致，约定以下合同</w:t>
      </w:r>
      <w:r>
        <w:rPr>
          <w:rFonts w:hint="eastAsia" w:ascii="宋体" w:hAnsi="宋体" w:eastAsia="宋体" w:cs="宋体"/>
          <w:color w:val="000000"/>
          <w:sz w:val="24"/>
          <w:szCs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91" w:name="_Toc22967"/>
      <w:r/>
      <w:bookmarkStart w:id="92" w:name="_Toc20421"/>
      <w:r/>
      <w:bookmarkStart w:id="93" w:name="_Toc15367"/>
      <w:r/>
      <w:bookmarkStart w:id="94" w:name="_Toc28855"/>
      <w:r/>
      <w:bookmarkStart w:id="95" w:name="_Toc19273"/>
      <w:r>
        <w:rPr>
          <w:rFonts w:hint="eastAsia" w:ascii="宋体" w:hAnsi="宋体" w:eastAsia="宋体" w:cs="宋体"/>
          <w:b/>
          <w:color w:val="000000"/>
          <w:sz w:val="24"/>
          <w:szCs w:val="24"/>
          <w:highlight w:val="none"/>
        </w:rPr>
        <w:t xml:space="preserve">1.1 合同组成部分</w:t>
      </w:r>
      <w:bookmarkEnd w:id="91"/>
      <w:r/>
      <w:bookmarkEnd w:id="92"/>
      <w:r/>
      <w:bookmarkEnd w:id="93"/>
      <w:r/>
      <w:bookmarkEnd w:id="94"/>
      <w:r/>
      <w:bookmarkEnd w:id="9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w:t>
      </w:r>
      <w:r>
        <w:rPr>
          <w:rFonts w:hint="eastAsia" w:ascii="宋体" w:hAnsi="宋体" w:eastAsia="宋体" w:cs="宋体"/>
          <w:color w:val="000000"/>
          <w:sz w:val="24"/>
          <w:szCs w:val="24"/>
          <w:highlight w:val="none"/>
          <w:lang w:eastAsia="zh-CN"/>
        </w:rPr>
        <w:t xml:space="preserve">中标通知书</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96" w:name="_Toc22185"/>
      <w:r/>
      <w:bookmarkStart w:id="97" w:name="_Toc6311"/>
      <w:r/>
      <w:bookmarkStart w:id="98" w:name="_Toc6773"/>
      <w:r/>
      <w:bookmarkStart w:id="99" w:name="_Toc18585"/>
      <w:r/>
      <w:bookmarkStart w:id="100" w:name="_Toc2918"/>
      <w:r>
        <w:rPr>
          <w:rFonts w:hint="eastAsia" w:ascii="宋体" w:hAnsi="宋体" w:eastAsia="宋体" w:cs="宋体"/>
          <w:b/>
          <w:color w:val="000000"/>
          <w:sz w:val="24"/>
          <w:szCs w:val="24"/>
          <w:highlight w:val="none"/>
        </w:rPr>
        <w:t xml:space="preserve">1.2 标的</w:t>
      </w:r>
      <w:bookmarkEnd w:id="96"/>
      <w:r/>
      <w:bookmarkEnd w:id="97"/>
      <w:r/>
      <w:bookmarkEnd w:id="98"/>
      <w:r/>
      <w:bookmarkEnd w:id="99"/>
      <w:r/>
      <w:bookmarkEnd w:id="100"/>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01" w:name="_Toc13918"/>
      <w:r/>
      <w:bookmarkStart w:id="102" w:name="_Toc5635"/>
      <w:r/>
      <w:bookmarkStart w:id="103" w:name="_Toc21124"/>
      <w:r/>
      <w:bookmarkStart w:id="104" w:name="_Toc4929"/>
      <w:r/>
      <w:bookmarkStart w:id="105" w:name="_Toc1386"/>
      <w:r>
        <w:rPr>
          <w:rFonts w:hint="eastAsia" w:ascii="宋体" w:hAnsi="宋体" w:eastAsia="宋体" w:cs="宋体"/>
          <w:b/>
          <w:color w:val="000000"/>
          <w:sz w:val="24"/>
          <w:szCs w:val="24"/>
          <w:highlight w:val="none"/>
        </w:rPr>
        <w:t xml:space="preserve">1.3 价款</w:t>
      </w:r>
      <w:bookmarkEnd w:id="101"/>
      <w:r/>
      <w:bookmarkEnd w:id="102"/>
      <w:r/>
      <w:bookmarkEnd w:id="103"/>
      <w:r/>
      <w:bookmarkEnd w:id="104"/>
      <w:r/>
      <w:bookmarkEnd w:id="10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0"/>
        <w:spacing w:line="560" w:lineRule="exact"/>
        <w:rPr>
          <w:rFonts w:ascii="宋体" w:hAnsi="宋体" w:eastAsia="宋体" w:cs="宋体"/>
          <w:color w:val="000000"/>
          <w:sz w:val="24"/>
          <w:szCs w:val="24"/>
          <w:highlight w:val="none"/>
        </w:rPr>
      </w:pPr>
      <w:r/>
      <w:bookmarkStart w:id="106" w:name="_Toc30158"/>
      <w:r/>
      <w:bookmarkStart w:id="107" w:name="_Toc26916"/>
      <w:r/>
      <w:bookmarkStart w:id="108" w:name="_Toc3654"/>
      <w:r/>
      <w:bookmarkStart w:id="109" w:name="_Toc30506"/>
      <w:r/>
      <w:bookmarkStart w:id="110" w:name="_Toc14993"/>
      <w:r>
        <w:rPr>
          <w:rFonts w:hint="eastAsia" w:ascii="宋体" w:hAnsi="宋体" w:eastAsia="宋体" w:cs="宋体"/>
          <w:color w:val="000000"/>
          <w:sz w:val="24"/>
          <w:szCs w:val="24"/>
          <w:highlight w:val="none"/>
        </w:rPr>
        <w:t xml:space="preserve">分项价格：</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31"/>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p>
        </w:tc>
        <w:tc>
          <w:tcPr>
            <w:tcW w:w="340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分项名称</w:t>
            </w:r>
            <w:r/>
          </w:p>
        </w:tc>
        <w:tc>
          <w:tcPr>
            <w:tcW w:w="2552" w:type="dxa"/>
            <w:vAlign w:val="center"/>
            <w:textDirection w:val="lrTb"/>
            <w:noWrap w:val="false"/>
          </w:tcPr>
          <w:p>
            <w:pPr>
              <w:pStyle w:val="1031"/>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分项价格</w:t>
            </w:r>
            <w:r/>
          </w:p>
        </w:tc>
      </w:tr>
      <w:tr>
        <w:trPr>
          <w:jc w:val="center"/>
          <w:trHeight w:val="369"/>
        </w:trPr>
        <w:tc>
          <w:tcPr>
            <w:tcW w:w="1201"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jc w:val="center"/>
          <w:trHeight w:val="369"/>
        </w:trPr>
        <w:tc>
          <w:tcPr>
            <w:tcW w:w="1201"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jc w:val="center"/>
          <w:trHeight w:val="369"/>
        </w:trPr>
        <w:tc>
          <w:tcPr>
            <w:tcW w:w="1201"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jc w:val="center"/>
          <w:trHeight w:val="369"/>
        </w:trPr>
        <w:tc>
          <w:tcPr>
            <w:tcW w:w="1201"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jc w:val="center"/>
          <w:trHeight w:val="369"/>
        </w:trPr>
        <w:tc>
          <w:tcPr>
            <w:gridSpan w:val="2"/>
            <w:tcW w:w="4603"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总价</w:t>
            </w:r>
            <w:r/>
          </w:p>
        </w:tc>
        <w:tc>
          <w:tcPr>
            <w:tcW w:w="2552" w:type="dxa"/>
            <w:vAlign w:val="center"/>
            <w:textDirection w:val="lrTb"/>
            <w:noWrap w:val="false"/>
          </w:tcPr>
          <w:p>
            <w:pPr>
              <w:pStyle w:val="1031"/>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bl>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1.4付款方式和发票开具方式</w:t>
      </w:r>
      <w:bookmarkEnd w:id="106"/>
      <w:r/>
      <w:bookmarkEnd w:id="107"/>
      <w:r/>
      <w:bookmarkEnd w:id="108"/>
      <w:r/>
      <w:bookmarkEnd w:id="109"/>
      <w:r/>
      <w:bookmarkEnd w:id="11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1.4.1付款方式：银行转账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11" w:name="_Toc3625"/>
      <w:r/>
      <w:bookmarkStart w:id="112" w:name="_Toc11108"/>
      <w:r/>
      <w:bookmarkStart w:id="113" w:name="_Toc31421"/>
      <w:r/>
      <w:bookmarkStart w:id="114" w:name="_Toc8772"/>
      <w:r/>
      <w:bookmarkStart w:id="115" w:name="_Toc4760"/>
      <w:r>
        <w:rPr>
          <w:rFonts w:hint="eastAsia" w:ascii="宋体" w:hAnsi="宋体" w:eastAsia="宋体" w:cs="宋体"/>
          <w:b/>
          <w:color w:val="000000"/>
          <w:sz w:val="24"/>
          <w:szCs w:val="24"/>
          <w:highlight w:val="none"/>
        </w:rPr>
        <w:t xml:space="preserve">1.5 履行期限、地点和方式</w:t>
      </w:r>
      <w:bookmarkEnd w:id="111"/>
      <w:r/>
      <w:bookmarkEnd w:id="112"/>
      <w:r/>
      <w:bookmarkEnd w:id="113"/>
      <w:r/>
      <w:bookmarkEnd w:id="114"/>
      <w:r/>
      <w:bookmarkEnd w:id="115"/>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16" w:name="_Toc3079"/>
      <w:r/>
      <w:bookmarkStart w:id="117" w:name="_Toc2375"/>
      <w:r/>
      <w:bookmarkStart w:id="118" w:name="_Toc5698"/>
      <w:r/>
      <w:bookmarkStart w:id="119" w:name="_Toc24662"/>
      <w:r/>
      <w:bookmarkStart w:id="120" w:name="_Toc8586"/>
      <w:r>
        <w:rPr>
          <w:rFonts w:hint="eastAsia" w:ascii="宋体" w:hAnsi="宋体" w:eastAsia="宋体" w:cs="宋体"/>
          <w:b/>
          <w:color w:val="000000"/>
          <w:sz w:val="24"/>
          <w:szCs w:val="24"/>
          <w:highlight w:val="none"/>
        </w:rPr>
        <w:t xml:space="preserve">1.6 违约责任</w:t>
      </w:r>
      <w:bookmarkEnd w:id="116"/>
      <w:r/>
      <w:bookmarkEnd w:id="117"/>
      <w:r/>
      <w:bookmarkEnd w:id="118"/>
      <w:r/>
      <w:bookmarkEnd w:id="119"/>
      <w:r/>
      <w:bookmarkEnd w:id="120"/>
      <w:r/>
      <w:r/>
    </w:p>
    <w:p>
      <w:pPr>
        <w:ind w:firstLine="480"/>
        <w:spacing w:line="560" w:lineRule="exact"/>
        <w:rPr>
          <w:rFonts w:ascii="宋体" w:hAnsi="宋体" w:eastAsia="宋体" w:cs="宋体"/>
          <w:color w:val="000000"/>
          <w:sz w:val="24"/>
          <w:szCs w:val="24"/>
          <w:highlight w:val="none"/>
        </w:rPr>
      </w:pPr>
      <w:r/>
      <w:bookmarkStart w:id="121" w:name="_Toc32454"/>
      <w:r/>
      <w:bookmarkStart w:id="122" w:name="_Toc26807"/>
      <w:r/>
      <w:bookmarkStart w:id="123" w:name="_Toc30329"/>
      <w:r/>
      <w:bookmarkStart w:id="124" w:name="_Toc18683"/>
      <w:r/>
      <w:bookmarkStart w:id="125" w:name="_Toc9497"/>
      <w:r>
        <w:rPr>
          <w:rFonts w:hint="eastAsia" w:ascii="宋体" w:hAnsi="宋体" w:eastAsia="宋体" w:cs="宋体"/>
          <w:color w:val="000000"/>
          <w:sz w:val="24"/>
          <w:szCs w:val="24"/>
          <w:highlight w:val="none"/>
        </w:rPr>
        <w:t xml:space="preserve">1.6.1除不可抗力或非因乙方原因外，如果乙方没有按照本合同约定的期限、地点和方式履行服务，那么甲方可要求乙方支付违约金，违约金按每迟延履行一日的应提供而未提供服务价格的</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5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rPr>
        <w:t xml:space="preserve">1.6.5 </w:t>
      </w:r>
      <w:r>
        <w:rPr>
          <w:rFonts w:hint="eastAsia" w:ascii="宋体" w:hAnsi="宋体" w:eastAsia="宋体" w:cs="Times New Roman"/>
          <w:bCs/>
          <w:color w:val="000000"/>
          <w:sz w:val="24"/>
          <w:szCs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1.6.7 如果出现采购监督管理部门在处理投诉事项期间，书面通知甲方暂停采购活动的情形，或者询问或质疑事项可能影响成交结果的，导致甲方中止履行合同的情形，均不视为甲方违约。合同中止履行超过</w:t>
      </w:r>
      <w:r>
        <w:rPr>
          <w:rFonts w:ascii="宋体" w:hAnsi="宋体" w:eastAsia="宋体" w:cs="宋体"/>
          <w:color w:val="000000"/>
          <w:sz w:val="24"/>
          <w:szCs w:val="24"/>
          <w:highlight w:val="none"/>
        </w:rPr>
        <w:t xml:space="preserve">6个月的，双方应结算中止日前已完成的服务对应的费用。</w:t>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1.6.8 合同一方不履行合同义务或者履行合同义务不符合约定，给其他方造成损失的，损失赔偿额应当相当于因违约所造成的损失，包括诉讼费（仲裁费）、律师费等 相关费用。但是违约金及损失赔偿金额总额以甲方已向乙方支付的服务费为限，在任何情况下累计赔偿金额不超过本合同约定的服务费总额。</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相关费用</w:t>
      </w:r>
      <w:r/>
    </w:p>
    <w:p>
      <w:pPr>
        <w:ind w:firstLine="482"/>
        <w:spacing w:line="560" w:lineRule="exact"/>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本项目提交成果后需通过专家评审，产生的专家评审费用由乙方自行承担。</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 合同争议的解决</w:t>
      </w:r>
      <w:bookmarkEnd w:id="121"/>
      <w:r/>
      <w:bookmarkEnd w:id="122"/>
      <w:r/>
      <w:bookmarkEnd w:id="123"/>
      <w:r/>
      <w:bookmarkEnd w:id="124"/>
      <w:r/>
      <w:bookmarkEnd w:id="125"/>
      <w:r/>
      <w:r/>
    </w:p>
    <w:p>
      <w:pPr>
        <w:ind w:firstLine="480"/>
        <w:spacing w:line="560" w:lineRule="exact"/>
        <w:rPr>
          <w:rFonts w:ascii="宋体" w:hAnsi="宋体" w:eastAsia="宋体" w:cs="宋体"/>
          <w:color w:val="000000"/>
          <w:sz w:val="24"/>
          <w:szCs w:val="24"/>
          <w:highlight w:val="none"/>
        </w:rPr>
      </w:pPr>
      <w:r/>
      <w:bookmarkStart w:id="126" w:name="_Toc16417"/>
      <w:r/>
      <w:bookmarkStart w:id="127" w:name="_Toc23784"/>
      <w:r/>
      <w:bookmarkStart w:id="128" w:name="_Toc15827"/>
      <w:r/>
      <w:bookmarkStart w:id="129" w:name="_Toc12273"/>
      <w:r/>
      <w:bookmarkStart w:id="130" w:name="_Toc26227"/>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1）将争议提交</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仲裁委员会依申请仲裁时其现行有效的仲裁规则裁决； </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2）向</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 合同生效</w:t>
      </w:r>
      <w:bookmarkEnd w:id="126"/>
      <w:r/>
      <w:bookmarkEnd w:id="127"/>
      <w:r/>
      <w:bookmarkEnd w:id="128"/>
      <w:r/>
      <w:bookmarkEnd w:id="129"/>
      <w:r/>
      <w:bookmarkEnd w:id="13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本合同</w:t>
      </w:r>
      <w:r>
        <w:rPr>
          <w:rFonts w:hint="eastAsia" w:ascii="宋体" w:hAnsi="宋体" w:eastAsia="宋体" w:cs="宋体"/>
          <w:color w:val="000000"/>
          <w:sz w:val="24"/>
          <w:szCs w:val="24"/>
          <w:highlight w:val="none"/>
          <w:lang w:val="zh-CN"/>
        </w:rPr>
        <w:t xml:space="preserve">经甲乙双方代表签字并加盖公章（或合同章）后即生效至【</w:t>
      </w:r>
      <w:r>
        <w:rPr>
          <w:rFonts w:ascii="宋体" w:hAnsi="宋体" w:eastAsia="宋体" w:cs="宋体"/>
          <w:color w:val="000000"/>
          <w:sz w:val="24"/>
          <w:szCs w:val="24"/>
          <w:highlight w:val="none"/>
          <w:lang w:val="zh-CN"/>
        </w:rPr>
        <w:t xml:space="preserve"> 】年【 】月【 】日或本合同履行完毕为止（以较早结束者为准）</w:t>
      </w:r>
      <w:r>
        <w:rPr>
          <w:rFonts w:hint="eastAsia" w:ascii="宋体" w:hAnsi="宋体" w:eastAsia="宋体" w:cs="宋体"/>
          <w:color w:val="000000"/>
          <w:sz w:val="24"/>
          <w:szCs w:val="24"/>
          <w:highlight w:val="none"/>
          <w:lang w:val="zh-CN"/>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 本合同一式伍份，供需双方各持贰份，代理公司存档壹份。</w:t>
      </w:r>
      <w:r/>
    </w:p>
    <w:p>
      <w:pPr>
        <w:pStyle w:val="1048"/>
        <w:tabs>
          <w:tab w:val="left" w:pos="567" w:leader="none"/>
        </w:tabs>
        <w:rPr>
          <w:rFonts w:ascii="宋体" w:hAnsi="宋体"/>
          <w:color w:val="000000"/>
          <w:sz w:val="24"/>
          <w:szCs w:val="24"/>
          <w:highlight w:val="none"/>
        </w:rPr>
      </w:pPr>
      <w:r>
        <w:rPr>
          <w:rFonts w:ascii="宋体" w:hAnsi="宋体"/>
          <w:color w:val="000000"/>
          <w:sz w:val="24"/>
          <w:szCs w:val="24"/>
          <w:highlight w:val="none"/>
        </w:rPr>
      </w:r>
      <w:r/>
    </w:p>
    <w:p>
      <w:pPr>
        <w:ind w:firstLine="1054"/>
        <w:jc w:val="left"/>
        <w:spacing w:line="560" w:lineRule="exact"/>
        <w:rPr>
          <w:rFonts w:ascii="宋体" w:hAnsi="宋体" w:cs="宋体"/>
          <w:color w:val="000000"/>
          <w:szCs w:val="21"/>
          <w:highlight w:val="none"/>
        </w:rPr>
      </w:pPr>
      <w:r/>
      <w:bookmarkStart w:id="131" w:name="_Toc331685783"/>
      <w:r>
        <w:rPr>
          <w:rFonts w:hint="eastAsia" w:ascii="宋体" w:hAnsi="宋体" w:cs="宋体"/>
          <w:b/>
          <w:color w:val="000000"/>
          <w:szCs w:val="21"/>
          <w:highlight w:val="none"/>
          <w:lang w:val="zh-CN"/>
        </w:rPr>
        <w:t xml:space="preserve">甲方</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b/>
          <w:color w:val="000000"/>
          <w:szCs w:val="21"/>
          <w:highlight w:val="none"/>
          <w:lang w:val="zh-CN"/>
        </w:rPr>
        <w:t xml:space="preserve">乙方</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                           </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统一社会信用代码：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统一社会信用代码或身份证号码：</w:t>
      </w:r>
      <w:r>
        <w:rPr>
          <w:rFonts w:hint="eastAsia" w:ascii="宋体" w:hAnsi="宋体" w:cs="宋体"/>
          <w:color w:val="000000"/>
          <w:szCs w:val="21"/>
          <w:highlight w:val="none"/>
        </w:rPr>
        <w:t xml:space="preserve">   </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住所：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住所：</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法定代表人或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法定代表人</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授权代表（签字）：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或授权代表（签字）: </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联系人：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联系人：</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约定送达地址：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约定送达地址：</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邮政编码：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邮政编码：</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电话: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电话: </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传真: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传真:</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电子邮箱：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电子邮箱：</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                                 开户银行： </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开户名称：                                 开户名称： </w:t>
      </w:r>
      <w:r/>
    </w:p>
    <w:p>
      <w:pPr>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开户账号：</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31"/>
      <w:r/>
      <w:r/>
    </w:p>
    <w:p>
      <w:pPr>
        <w:ind w:firstLine="482"/>
        <w:spacing w:line="560" w:lineRule="exact"/>
        <w:rPr>
          <w:rFonts w:ascii="宋体" w:hAnsi="宋体" w:eastAsia="宋体" w:cs="宋体"/>
          <w:b/>
          <w:color w:val="000000"/>
          <w:sz w:val="24"/>
          <w:szCs w:val="24"/>
          <w:highlight w:val="none"/>
        </w:rPr>
      </w:pPr>
      <w:r/>
      <w:bookmarkStart w:id="132" w:name="_Toc487900349"/>
      <w:r/>
      <w:bookmarkStart w:id="133" w:name="_Toc14021"/>
      <w:r/>
      <w:bookmarkStart w:id="134" w:name="_Ref467378499"/>
      <w:r/>
      <w:bookmarkStart w:id="135" w:name="_Ref467379225"/>
      <w:r/>
      <w:bookmarkStart w:id="136" w:name="_Ref467379205"/>
      <w:r/>
      <w:bookmarkStart w:id="137" w:name="_Ref467379101"/>
      <w:r/>
      <w:bookmarkStart w:id="138" w:name="_Ref467379094"/>
      <w:r/>
      <w:bookmarkStart w:id="139" w:name="_Toc25079"/>
      <w:r/>
      <w:bookmarkStart w:id="140" w:name="_Toc279701240"/>
      <w:r/>
      <w:bookmarkStart w:id="141" w:name="_Ref467379109"/>
      <w:r/>
      <w:bookmarkStart w:id="142" w:name="_Toc259093669"/>
      <w:r/>
      <w:bookmarkStart w:id="143" w:name="_Ref467378404"/>
      <w:r/>
      <w:bookmarkStart w:id="144" w:name="_Ref467379195"/>
      <w:r/>
      <w:bookmarkStart w:id="145" w:name="_Ref467378463"/>
      <w:r/>
      <w:bookmarkStart w:id="146" w:name="_Toc31297"/>
      <w:r/>
      <w:bookmarkStart w:id="147" w:name="_Toc19680"/>
      <w:r/>
      <w:bookmarkStart w:id="148" w:name="_Ref467379214"/>
      <w:r/>
      <w:bookmarkStart w:id="149" w:name="_Toc5228"/>
      <w:r>
        <w:rPr>
          <w:rFonts w:hint="eastAsia" w:ascii="宋体" w:hAnsi="宋体" w:eastAsia="宋体" w:cs="宋体"/>
          <w:b/>
          <w:color w:val="000000"/>
          <w:sz w:val="24"/>
          <w:szCs w:val="24"/>
          <w:highlight w:val="none"/>
        </w:rPr>
        <w:t xml:space="preserve">2.1 定义</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在完全履行合同义务后，采购人应支付给</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50" w:name="_Ref467378840"/>
      <w:r>
        <w:rPr>
          <w:rFonts w:hint="eastAsia" w:ascii="宋体" w:hAnsi="宋体" w:eastAsia="宋体" w:cs="宋体"/>
          <w:color w:val="000000"/>
          <w:sz w:val="24"/>
          <w:szCs w:val="24"/>
          <w:highlight w:val="none"/>
        </w:rPr>
        <w:t xml:space="preserve">2.1.4 “甲方”系指与</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签署合同的采购人</w:t>
      </w:r>
      <w:bookmarkEnd w:id="150"/>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51" w:name="_Ref467379400"/>
      <w:r>
        <w:rPr>
          <w:rFonts w:hint="eastAsia" w:ascii="宋体" w:hAnsi="宋体" w:eastAsia="宋体" w:cs="宋体"/>
          <w:color w:val="000000"/>
          <w:sz w:val="24"/>
          <w:szCs w:val="24"/>
          <w:highlight w:val="none"/>
        </w:rPr>
        <w:t xml:space="preserve">2.1.5 “乙方”系指根据合同约定提供服务的</w:t>
      </w:r>
      <w:bookmarkEnd w:id="151"/>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52" w:name="_Ref467379436"/>
      <w:r>
        <w:rPr>
          <w:rFonts w:hint="eastAsia" w:ascii="宋体" w:hAnsi="宋体" w:eastAsia="宋体" w:cs="宋体"/>
          <w:color w:val="000000"/>
          <w:sz w:val="24"/>
          <w:szCs w:val="24"/>
          <w:highlight w:val="none"/>
        </w:rPr>
        <w:t xml:space="preserve">2.1.6 “现场”系指合同约定提供服务的地点。</w:t>
      </w:r>
      <w:bookmarkEnd w:id="152"/>
      <w:r/>
      <w:r/>
    </w:p>
    <w:p>
      <w:pPr>
        <w:ind w:firstLine="482"/>
        <w:spacing w:line="560" w:lineRule="exact"/>
        <w:rPr>
          <w:rFonts w:ascii="宋体" w:hAnsi="宋体" w:eastAsia="宋体" w:cs="宋体"/>
          <w:b/>
          <w:color w:val="000000"/>
          <w:sz w:val="24"/>
          <w:szCs w:val="24"/>
          <w:highlight w:val="none"/>
        </w:rPr>
      </w:pPr>
      <w:r/>
      <w:bookmarkStart w:id="153" w:name="_Toc259093670"/>
      <w:r/>
      <w:bookmarkStart w:id="154" w:name="_Toc487900350"/>
      <w:r/>
      <w:bookmarkStart w:id="155" w:name="_Toc279701241"/>
      <w:r/>
      <w:bookmarkStart w:id="156" w:name="_Toc19539"/>
      <w:r/>
      <w:bookmarkStart w:id="157" w:name="_Toc23289"/>
      <w:r/>
      <w:bookmarkStart w:id="158" w:name="_Toc3769"/>
      <w:r/>
      <w:bookmarkStart w:id="159" w:name="_Toc31402"/>
      <w:r/>
      <w:bookmarkStart w:id="160" w:name="_Toc16752"/>
      <w:r>
        <w:rPr>
          <w:rFonts w:hint="eastAsia" w:ascii="宋体" w:hAnsi="宋体" w:eastAsia="宋体" w:cs="宋体"/>
          <w:b/>
          <w:color w:val="000000"/>
          <w:sz w:val="24"/>
          <w:szCs w:val="24"/>
          <w:highlight w:val="none"/>
        </w:rPr>
        <w:t xml:space="preserve">2.2 技术规范</w:t>
      </w:r>
      <w:bookmarkEnd w:id="153"/>
      <w:r/>
      <w:bookmarkEnd w:id="154"/>
      <w:r/>
      <w:bookmarkEnd w:id="155"/>
      <w:r/>
      <w:bookmarkEnd w:id="156"/>
      <w:r/>
      <w:bookmarkEnd w:id="157"/>
      <w:r/>
      <w:bookmarkEnd w:id="158"/>
      <w:r/>
      <w:bookmarkEnd w:id="159"/>
      <w:r/>
      <w:bookmarkEnd w:id="16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61" w:name="_Toc9161"/>
      <w:r/>
      <w:bookmarkStart w:id="162" w:name="_Toc13673"/>
      <w:r/>
      <w:bookmarkStart w:id="163" w:name="_Toc279701242"/>
      <w:r/>
      <w:bookmarkStart w:id="164" w:name="_Toc487900351"/>
      <w:r/>
      <w:bookmarkStart w:id="165" w:name="_Toc4133"/>
      <w:r/>
      <w:bookmarkStart w:id="166" w:name="_Toc27945"/>
      <w:r/>
      <w:bookmarkStart w:id="167" w:name="_Toc12412"/>
      <w:r/>
      <w:bookmarkStart w:id="168" w:name="_Toc259093671"/>
      <w:r>
        <w:rPr>
          <w:rFonts w:hint="eastAsia" w:ascii="宋体" w:hAnsi="宋体" w:eastAsia="宋体" w:cs="宋体"/>
          <w:b/>
          <w:color w:val="000000"/>
          <w:sz w:val="24"/>
          <w:szCs w:val="24"/>
          <w:highlight w:val="none"/>
        </w:rPr>
        <w:t xml:space="preserve">2.3 知识产权</w:t>
      </w:r>
      <w:bookmarkEnd w:id="161"/>
      <w:r/>
      <w:bookmarkEnd w:id="162"/>
      <w:r/>
      <w:bookmarkEnd w:id="163"/>
      <w:r/>
      <w:bookmarkEnd w:id="164"/>
      <w:r/>
      <w:bookmarkEnd w:id="165"/>
      <w:r/>
      <w:bookmarkEnd w:id="166"/>
      <w:r/>
      <w:bookmarkEnd w:id="167"/>
      <w:r/>
      <w:bookmarkEnd w:id="16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技术成果在甲方支付了相应费用后归属甲方。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169" w:name="_Ref467379657"/>
      <w:r>
        <w:rPr>
          <w:rFonts w:hint="eastAsia" w:ascii="宋体" w:hAnsi="宋体" w:eastAsia="宋体" w:cs="宋体"/>
          <w:color w:val="000000"/>
          <w:sz w:val="24"/>
          <w:szCs w:val="24"/>
          <w:highlight w:val="none"/>
        </w:rPr>
        <w:t xml:space="preserve">2.4.1</w:t>
      </w:r>
      <w:bookmarkEnd w:id="169"/>
      <w:r/>
      <w:bookmarkStart w:id="170" w:name="_Toc186431854"/>
      <w:r/>
      <w:bookmarkStart w:id="171" w:name="_Toc279701247"/>
      <w:r/>
      <w:bookmarkStart w:id="172" w:name="_Ref467379807"/>
      <w:r/>
      <w:bookmarkStart w:id="173" w:name="_Toc259093676"/>
      <w:r/>
      <w:bookmarkStart w:id="174" w:name="_Toc487900357"/>
      <w:r/>
      <w:bookmarkStart w:id="175" w:name="_Ref467379793"/>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170"/>
      <w:r/>
      <w:bookmarkStart w:id="176" w:name="_Toc186431855"/>
      <w:r>
        <w:rPr>
          <w:rFonts w:hint="eastAsia" w:ascii="宋体" w:hAnsi="宋体" w:eastAsia="宋体" w:cs="宋体"/>
          <w:color w:val="000000"/>
          <w:sz w:val="24"/>
          <w:szCs w:val="24"/>
          <w:highlight w:val="none"/>
        </w:rPr>
        <w:t xml:space="preserve">。</w:t>
      </w:r>
      <w:bookmarkEnd w:id="171"/>
      <w:r/>
      <w:bookmarkEnd w:id="172"/>
      <w:r/>
      <w:bookmarkEnd w:id="173"/>
      <w:r/>
      <w:bookmarkEnd w:id="174"/>
      <w:r/>
      <w:bookmarkEnd w:id="175"/>
      <w:r/>
      <w:bookmarkEnd w:id="176"/>
      <w:r/>
      <w:r/>
    </w:p>
    <w:p>
      <w:pPr>
        <w:ind w:firstLine="482"/>
        <w:spacing w:line="560" w:lineRule="exact"/>
        <w:rPr>
          <w:rFonts w:ascii="宋体" w:hAnsi="宋体" w:eastAsia="宋体" w:cs="宋体"/>
          <w:b/>
          <w:color w:val="000000"/>
          <w:sz w:val="24"/>
          <w:szCs w:val="24"/>
          <w:highlight w:val="none"/>
        </w:rPr>
      </w:pPr>
      <w:r/>
      <w:bookmarkStart w:id="177" w:name="_Ref467379923"/>
      <w:r/>
      <w:bookmarkStart w:id="178" w:name="_Toc279701248"/>
      <w:r/>
      <w:bookmarkStart w:id="179" w:name="_Toc487900358"/>
      <w:r/>
      <w:bookmarkStart w:id="180" w:name="_Ref467379852"/>
      <w:r/>
      <w:bookmarkStart w:id="181" w:name="_Toc259093677"/>
      <w:r/>
      <w:bookmarkStart w:id="182" w:name="_Ref467379863"/>
      <w:r/>
      <w:bookmarkStart w:id="183" w:name="_Toc30507"/>
      <w:r/>
      <w:bookmarkStart w:id="184" w:name="_Toc18990"/>
      <w:r/>
      <w:bookmarkStart w:id="185" w:name="_Toc13467"/>
      <w:r/>
      <w:bookmarkStart w:id="186" w:name="_Toc16163"/>
      <w:r/>
      <w:bookmarkStart w:id="187" w:name="_Toc13154"/>
      <w:r>
        <w:rPr>
          <w:rFonts w:hint="eastAsia" w:ascii="宋体" w:hAnsi="宋体" w:eastAsia="宋体" w:cs="宋体"/>
          <w:b/>
          <w:color w:val="000000"/>
          <w:sz w:val="24"/>
          <w:szCs w:val="24"/>
          <w:highlight w:val="none"/>
        </w:rPr>
        <w:t xml:space="preserve">2.5 技术资料</w:t>
      </w:r>
      <w:bookmarkEnd w:id="177"/>
      <w:r/>
      <w:bookmarkEnd w:id="178"/>
      <w:r/>
      <w:bookmarkEnd w:id="179"/>
      <w:r/>
      <w:bookmarkEnd w:id="180"/>
      <w:r/>
      <w:bookmarkEnd w:id="181"/>
      <w:r/>
      <w:bookmarkEnd w:id="182"/>
      <w:r>
        <w:rPr>
          <w:rFonts w:hint="eastAsia" w:ascii="宋体" w:hAnsi="宋体" w:eastAsia="宋体" w:cs="宋体"/>
          <w:b/>
          <w:color w:val="000000"/>
          <w:sz w:val="24"/>
          <w:szCs w:val="24"/>
          <w:highlight w:val="none"/>
        </w:rPr>
        <w:t xml:space="preserve">和保密义务</w:t>
      </w:r>
      <w:bookmarkEnd w:id="183"/>
      <w:r/>
      <w:bookmarkEnd w:id="184"/>
      <w:r/>
      <w:bookmarkEnd w:id="185"/>
      <w:r/>
      <w:bookmarkEnd w:id="186"/>
      <w:r/>
      <w:bookmarkEnd w:id="18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188" w:name="_Toc19069"/>
      <w:r/>
      <w:bookmarkStart w:id="189" w:name="_Toc259093681"/>
      <w:r/>
      <w:bookmarkStart w:id="190" w:name="_Toc279701252"/>
      <w:r/>
      <w:bookmarkStart w:id="191" w:name="_Toc487900362"/>
      <w:r>
        <w:rPr>
          <w:rFonts w:hint="eastAsia" w:ascii="宋体" w:hAnsi="宋体" w:eastAsia="宋体" w:cs="宋体"/>
          <w:b/>
          <w:color w:val="000000"/>
          <w:sz w:val="24"/>
          <w:szCs w:val="24"/>
          <w:highlight w:val="none"/>
        </w:rPr>
        <w:t xml:space="preserve">2.6 质量保证</w:t>
      </w:r>
      <w:bookmarkEnd w:id="18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192" w:name="_Toc22267"/>
      <w:r>
        <w:rPr>
          <w:rFonts w:hint="eastAsia" w:ascii="宋体" w:hAnsi="宋体" w:eastAsia="宋体" w:cs="宋体"/>
          <w:b/>
          <w:color w:val="000000"/>
          <w:sz w:val="24"/>
          <w:szCs w:val="24"/>
          <w:highlight w:val="none"/>
        </w:rPr>
        <w:t xml:space="preserve">2.7 延迟</w:t>
      </w:r>
      <w:bookmarkEnd w:id="189"/>
      <w:r/>
      <w:bookmarkEnd w:id="190"/>
      <w:r/>
      <w:bookmarkEnd w:id="191"/>
      <w:r>
        <w:rPr>
          <w:rFonts w:hint="eastAsia" w:ascii="宋体" w:hAnsi="宋体" w:eastAsia="宋体" w:cs="宋体"/>
          <w:b/>
          <w:color w:val="000000"/>
          <w:sz w:val="24"/>
          <w:szCs w:val="24"/>
          <w:highlight w:val="none"/>
        </w:rPr>
        <w:t xml:space="preserve">履行</w:t>
      </w:r>
      <w:bookmarkEnd w:id="19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193" w:name="_Toc10611"/>
      <w:r/>
      <w:bookmarkStart w:id="194" w:name="_Toc279701254"/>
      <w:r/>
      <w:bookmarkStart w:id="195" w:name="_Ref467378121"/>
      <w:r/>
      <w:bookmarkStart w:id="196" w:name="_Toc259093683"/>
      <w:r/>
      <w:bookmarkStart w:id="197" w:name="_Toc487900364"/>
      <w:r>
        <w:rPr>
          <w:rFonts w:hint="eastAsia" w:ascii="宋体" w:hAnsi="宋体" w:eastAsia="宋体" w:cs="宋体"/>
          <w:b/>
          <w:color w:val="000000"/>
          <w:sz w:val="24"/>
          <w:szCs w:val="24"/>
          <w:highlight w:val="none"/>
        </w:rPr>
        <w:t xml:space="preserve">2.8 合同变更</w:t>
      </w:r>
      <w:bookmarkEnd w:id="19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98" w:name="_Toc259093688"/>
      <w:r/>
      <w:bookmarkStart w:id="199" w:name="_Toc487900369"/>
      <w:r/>
      <w:bookmarkStart w:id="200" w:name="_Toc279701259"/>
      <w:r/>
      <w:r/>
    </w:p>
    <w:p>
      <w:pPr>
        <w:ind w:firstLine="482"/>
        <w:spacing w:line="560" w:lineRule="exact"/>
        <w:rPr>
          <w:rFonts w:ascii="宋体" w:hAnsi="宋体" w:eastAsia="宋体" w:cs="宋体"/>
          <w:b/>
          <w:color w:val="000000"/>
          <w:sz w:val="24"/>
          <w:szCs w:val="24"/>
          <w:highlight w:val="none"/>
        </w:rPr>
      </w:pPr>
      <w:r/>
      <w:bookmarkStart w:id="201" w:name="_Toc10663"/>
      <w:r/>
      <w:bookmarkStart w:id="202" w:name="_Toc26689"/>
      <w:r/>
      <w:bookmarkStart w:id="203" w:name="_Toc42"/>
      <w:r/>
      <w:bookmarkStart w:id="204" w:name="_Toc21830"/>
      <w:r/>
      <w:bookmarkStart w:id="205" w:name="_Toc23368"/>
      <w:r>
        <w:rPr>
          <w:rFonts w:hint="eastAsia" w:ascii="宋体" w:hAnsi="宋体" w:eastAsia="宋体" w:cs="宋体"/>
          <w:b/>
          <w:color w:val="000000"/>
          <w:sz w:val="24"/>
          <w:szCs w:val="24"/>
          <w:highlight w:val="none"/>
        </w:rPr>
        <w:t xml:space="preserve">2.9 合同转让</w:t>
      </w:r>
      <w:bookmarkEnd w:id="198"/>
      <w:r/>
      <w:bookmarkEnd w:id="199"/>
      <w:r/>
      <w:bookmarkEnd w:id="200"/>
      <w:r>
        <w:rPr>
          <w:rFonts w:hint="eastAsia" w:ascii="宋体" w:hAnsi="宋体" w:eastAsia="宋体" w:cs="宋体"/>
          <w:b/>
          <w:color w:val="000000"/>
          <w:sz w:val="24"/>
          <w:szCs w:val="24"/>
          <w:highlight w:val="none"/>
        </w:rPr>
        <w:t xml:space="preserve">和分包</w:t>
      </w:r>
      <w:bookmarkEnd w:id="201"/>
      <w:r/>
      <w:bookmarkEnd w:id="202"/>
      <w:r/>
      <w:bookmarkEnd w:id="203"/>
      <w:r/>
      <w:bookmarkEnd w:id="204"/>
      <w:r/>
      <w:bookmarkEnd w:id="20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合同的权利义务依法不得转让，如</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“第一章 报价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06" w:name="_Toc14371"/>
      <w:r/>
      <w:bookmarkStart w:id="207" w:name="_Toc25571"/>
      <w:r/>
      <w:bookmarkStart w:id="208" w:name="_Toc4720"/>
      <w:r/>
      <w:bookmarkStart w:id="209" w:name="_Toc26633"/>
      <w:r/>
      <w:bookmarkStart w:id="210" w:name="_Toc32494"/>
      <w:r>
        <w:rPr>
          <w:rFonts w:hint="eastAsia" w:ascii="宋体" w:hAnsi="宋体" w:eastAsia="宋体" w:cs="宋体"/>
          <w:b/>
          <w:color w:val="000000"/>
          <w:sz w:val="24"/>
          <w:szCs w:val="24"/>
          <w:highlight w:val="none"/>
        </w:rPr>
        <w:t xml:space="preserve">2.10 不可抗力</w:t>
      </w:r>
      <w:bookmarkEnd w:id="206"/>
      <w:r/>
      <w:bookmarkEnd w:id="207"/>
      <w:r/>
      <w:bookmarkEnd w:id="208"/>
      <w:r/>
      <w:bookmarkEnd w:id="209"/>
      <w:r/>
      <w:bookmarkEnd w:id="21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因不可抗力致使合同有变更必要的，双方当事人应在约定时间内以书面形式变更合同；</w:t>
      </w:r>
      <w:r/>
    </w:p>
    <w:p>
      <w:pPr>
        <w:ind w:firstLine="480"/>
        <w:spacing w:line="560" w:lineRule="exact"/>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4"/>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4"/>
          <w:highlight w:val="none"/>
        </w:rPr>
        <w:t xml:space="preserve">将有关部门出具的证明文件送达对方当事人，</w:t>
      </w:r>
      <w:r>
        <w:rPr>
          <w:rFonts w:hint="eastAsia" w:ascii="宋体" w:hAnsi="宋体" w:eastAsia="宋体" w:cs="Times New Roman"/>
          <w:bCs/>
          <w:color w:val="000000"/>
          <w:sz w:val="24"/>
          <w:szCs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2.10.5 “</w:t>
      </w:r>
      <w:r>
        <w:rPr>
          <w:rFonts w:hint="eastAsia" w:ascii="宋体" w:hAnsi="宋体" w:eastAsia="宋体" w:cs="Times New Roman"/>
          <w:bCs/>
          <w:color w:val="000000"/>
          <w:sz w:val="24"/>
          <w:szCs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11" w:name="_Toc25783"/>
      <w:r/>
      <w:bookmarkStart w:id="212" w:name="_Toc23854"/>
      <w:r/>
      <w:bookmarkStart w:id="213" w:name="_Toc14115"/>
      <w:r/>
      <w:bookmarkStart w:id="214" w:name="_Toc487900365"/>
      <w:r/>
      <w:bookmarkStart w:id="215" w:name="_Toc24465"/>
      <w:r/>
      <w:bookmarkStart w:id="216" w:name="_Toc279701255"/>
      <w:r/>
      <w:bookmarkStart w:id="217" w:name="_Toc3638"/>
      <w:r/>
      <w:bookmarkStart w:id="218" w:name="_Toc259093684"/>
      <w:r>
        <w:rPr>
          <w:rFonts w:hint="eastAsia" w:ascii="宋体" w:hAnsi="宋体" w:eastAsia="宋体" w:cs="宋体"/>
          <w:b/>
          <w:color w:val="000000"/>
          <w:sz w:val="24"/>
          <w:szCs w:val="24"/>
          <w:highlight w:val="none"/>
        </w:rPr>
        <w:t xml:space="preserve">2.11 税费</w:t>
      </w:r>
      <w:bookmarkEnd w:id="211"/>
      <w:r/>
      <w:bookmarkEnd w:id="212"/>
      <w:r/>
      <w:bookmarkEnd w:id="213"/>
      <w:r/>
      <w:bookmarkEnd w:id="214"/>
      <w:r/>
      <w:bookmarkEnd w:id="215"/>
      <w:r/>
      <w:bookmarkEnd w:id="216"/>
      <w:r/>
      <w:bookmarkEnd w:id="217"/>
      <w:r/>
      <w:bookmarkEnd w:id="21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19" w:name="_Toc25525"/>
      <w:r/>
      <w:bookmarkStart w:id="220" w:name="_Toc279701258"/>
      <w:r/>
      <w:bookmarkStart w:id="221" w:name="_Toc26883"/>
      <w:r/>
      <w:bookmarkStart w:id="222" w:name="_Toc14814"/>
      <w:r/>
      <w:bookmarkStart w:id="223" w:name="_Toc487900368"/>
      <w:r/>
      <w:bookmarkStart w:id="224" w:name="_Toc30105"/>
      <w:r/>
      <w:bookmarkStart w:id="225" w:name="_Toc259093687"/>
      <w:r/>
      <w:bookmarkStart w:id="226" w:name="_Toc7315"/>
      <w:r>
        <w:rPr>
          <w:rFonts w:hint="eastAsia" w:ascii="宋体" w:hAnsi="宋体" w:eastAsia="宋体" w:cs="宋体"/>
          <w:b/>
          <w:color w:val="000000"/>
          <w:sz w:val="24"/>
          <w:szCs w:val="24"/>
          <w:highlight w:val="none"/>
        </w:rPr>
        <w:t xml:space="preserve">2.12 乙方破产</w:t>
      </w:r>
      <w:bookmarkEnd w:id="219"/>
      <w:r/>
      <w:bookmarkEnd w:id="220"/>
      <w:r/>
      <w:bookmarkEnd w:id="221"/>
      <w:r/>
      <w:bookmarkEnd w:id="222"/>
      <w:r/>
      <w:bookmarkEnd w:id="223"/>
      <w:r/>
      <w:bookmarkEnd w:id="224"/>
      <w:r/>
      <w:bookmarkEnd w:id="225"/>
      <w:r/>
      <w:bookmarkEnd w:id="22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27" w:name="_Toc1123"/>
      <w:r/>
      <w:bookmarkStart w:id="228" w:name="_Toc2016"/>
      <w:r/>
      <w:bookmarkStart w:id="229" w:name="_Toc23323"/>
      <w:r>
        <w:rPr>
          <w:rFonts w:hint="eastAsia" w:ascii="宋体" w:hAnsi="宋体" w:eastAsia="宋体" w:cs="宋体"/>
          <w:b/>
          <w:color w:val="000000"/>
          <w:sz w:val="24"/>
          <w:szCs w:val="24"/>
          <w:highlight w:val="none"/>
        </w:rPr>
        <w:t xml:space="preserve">2.13 合同中止、终止</w:t>
      </w:r>
      <w:bookmarkEnd w:id="227"/>
      <w:r/>
      <w:bookmarkEnd w:id="228"/>
      <w:r/>
      <w:bookmarkEnd w:id="22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30" w:name="_Toc1969"/>
      <w:r/>
      <w:bookmarkStart w:id="231" w:name="_Toc14525"/>
      <w:r/>
      <w:bookmarkStart w:id="232" w:name="_Toc17363"/>
      <w:r>
        <w:rPr>
          <w:rFonts w:hint="eastAsia" w:ascii="宋体" w:hAnsi="宋体" w:eastAsia="宋体" w:cs="宋体"/>
          <w:b/>
          <w:color w:val="000000"/>
          <w:sz w:val="24"/>
          <w:szCs w:val="24"/>
          <w:highlight w:val="none"/>
        </w:rPr>
        <w:t xml:space="preserve">2.14 检验和验收</w:t>
      </w:r>
      <w:bookmarkEnd w:id="230"/>
      <w:r/>
      <w:bookmarkEnd w:id="231"/>
      <w:r/>
      <w:bookmarkEnd w:id="232"/>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对于乙方提交的各阶段工作成果以及乙方按照甲方书面意见进行修改后的工作成果（以下简称“修改后的成果”），甲方应在乙方提交各阶段工作成果或修改后的成果之日起十（</w:t>
      </w:r>
      <w:r>
        <w:rPr>
          <w:rFonts w:ascii="宋体" w:hAnsi="宋体" w:eastAsia="宋体" w:cs="宋体"/>
          <w:color w:val="000000"/>
          <w:sz w:val="24"/>
          <w:szCs w:val="24"/>
          <w:highlight w:val="none"/>
        </w:rPr>
        <w:t xml:space="preserve">10）日内提出明确具体的书面修改要求和修改意见（以下简称“书面意见”），且该等书面意见应当合理并具有可操作性。甲方逾期未提出书面意见，或甲方直接通知乙方开始下阶段服务工作的，视为甲方认可并接受乙方提交的阶段工作成果或修改后的成果。</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94"/>
      <w:r/>
      <w:bookmarkEnd w:id="195"/>
      <w:r/>
      <w:bookmarkEnd w:id="196"/>
      <w:r/>
      <w:bookmarkEnd w:id="197"/>
      <w:r/>
      <w:r/>
    </w:p>
    <w:p>
      <w:pPr>
        <w:ind w:firstLine="482"/>
        <w:spacing w:line="560" w:lineRule="exact"/>
        <w:rPr>
          <w:rFonts w:ascii="宋体" w:hAnsi="宋体" w:eastAsia="宋体" w:cs="宋体"/>
          <w:b/>
          <w:color w:val="000000"/>
          <w:sz w:val="24"/>
          <w:szCs w:val="24"/>
          <w:highlight w:val="none"/>
        </w:rPr>
      </w:pPr>
      <w:r/>
      <w:bookmarkStart w:id="233" w:name="_Toc259093690"/>
      <w:r/>
      <w:bookmarkStart w:id="234" w:name="_Toc279701261"/>
      <w:r/>
      <w:bookmarkStart w:id="235" w:name="_Toc487900371"/>
      <w:r/>
      <w:bookmarkStart w:id="236" w:name="_Toc9808"/>
      <w:r/>
      <w:bookmarkStart w:id="237" w:name="_Toc25198"/>
      <w:r/>
      <w:bookmarkStart w:id="238" w:name="_Toc2308"/>
      <w:r/>
      <w:bookmarkStart w:id="239" w:name="_Toc31892"/>
      <w:r/>
      <w:bookmarkStart w:id="240" w:name="_Toc12666"/>
      <w:r>
        <w:rPr>
          <w:rFonts w:hint="eastAsia" w:ascii="宋体" w:hAnsi="宋体" w:eastAsia="宋体" w:cs="宋体"/>
          <w:b/>
          <w:color w:val="000000"/>
          <w:sz w:val="24"/>
          <w:szCs w:val="24"/>
          <w:highlight w:val="none"/>
        </w:rPr>
        <w:t xml:space="preserve">2.15 通知</w:t>
      </w:r>
      <w:bookmarkEnd w:id="233"/>
      <w:r/>
      <w:bookmarkEnd w:id="234"/>
      <w:r/>
      <w:bookmarkEnd w:id="235"/>
      <w:r>
        <w:rPr>
          <w:rFonts w:hint="eastAsia" w:ascii="宋体" w:hAnsi="宋体" w:eastAsia="宋体" w:cs="宋体"/>
          <w:b/>
          <w:color w:val="000000"/>
          <w:sz w:val="24"/>
          <w:szCs w:val="24"/>
          <w:highlight w:val="none"/>
        </w:rPr>
        <w:t xml:space="preserve">和送达</w:t>
      </w:r>
      <w:bookmarkEnd w:id="236"/>
      <w:r/>
      <w:bookmarkEnd w:id="237"/>
      <w:r/>
      <w:bookmarkEnd w:id="238"/>
      <w:r/>
      <w:bookmarkEnd w:id="239"/>
      <w:r/>
      <w:bookmarkEnd w:id="240"/>
      <w:r/>
      <w:r/>
    </w:p>
    <w:p>
      <w:pPr>
        <w:ind w:firstLine="480"/>
        <w:spacing w:line="560" w:lineRule="exact"/>
        <w:rPr>
          <w:rFonts w:ascii="宋体" w:hAnsi="宋体" w:eastAsia="宋体" w:cs="宋体"/>
          <w:color w:val="000000"/>
          <w:sz w:val="24"/>
          <w:szCs w:val="24"/>
          <w:highlight w:val="none"/>
        </w:rPr>
      </w:pPr>
      <w:r/>
      <w:bookmarkStart w:id="241" w:name="_Toc29220"/>
      <w:r/>
      <w:bookmarkStart w:id="242" w:name="_Toc7073"/>
      <w:r/>
      <w:bookmarkStart w:id="243" w:name="_Toc279701262"/>
      <w:r/>
      <w:bookmarkStart w:id="244" w:name="_Toc259093691"/>
      <w:r/>
      <w:bookmarkStart w:id="245" w:name="_Toc48790037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41"/>
      <w:r/>
      <w:bookmarkEnd w:id="242"/>
      <w:r/>
      <w:r/>
    </w:p>
    <w:p>
      <w:pPr>
        <w:ind w:firstLine="480"/>
        <w:spacing w:line="560" w:lineRule="exact"/>
        <w:rPr>
          <w:rFonts w:ascii="宋体" w:hAnsi="宋体" w:eastAsia="宋体" w:cs="宋体"/>
          <w:color w:val="000000"/>
          <w:sz w:val="24"/>
          <w:szCs w:val="24"/>
          <w:highlight w:val="none"/>
        </w:rPr>
      </w:pPr>
      <w:r/>
      <w:bookmarkStart w:id="246" w:name="_Toc18401"/>
      <w:r/>
      <w:bookmarkStart w:id="247" w:name="_Toc27674"/>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3"/>
      <w:r/>
      <w:bookmarkEnd w:id="244"/>
      <w:r/>
      <w:bookmarkEnd w:id="245"/>
      <w:r/>
      <w:bookmarkEnd w:id="246"/>
      <w:r/>
      <w:bookmarkEnd w:id="247"/>
      <w:r/>
      <w:r/>
    </w:p>
    <w:p>
      <w:pPr>
        <w:ind w:firstLine="482"/>
        <w:spacing w:line="560" w:lineRule="exact"/>
        <w:rPr>
          <w:rFonts w:ascii="宋体" w:hAnsi="宋体" w:eastAsia="宋体" w:cs="宋体"/>
          <w:b/>
          <w:color w:val="000000"/>
          <w:sz w:val="24"/>
          <w:szCs w:val="24"/>
          <w:highlight w:val="none"/>
        </w:rPr>
      </w:pPr>
      <w:r/>
      <w:bookmarkStart w:id="248" w:name="_Toc259093692"/>
      <w:r/>
      <w:bookmarkStart w:id="249" w:name="_Toc28906"/>
      <w:r/>
      <w:bookmarkStart w:id="250" w:name="_Toc279701263"/>
      <w:r/>
      <w:bookmarkStart w:id="251" w:name="_Toc12254"/>
      <w:r/>
      <w:bookmarkStart w:id="252" w:name="_Toc20808"/>
      <w:r/>
      <w:bookmarkStart w:id="253" w:name="_Toc27644"/>
      <w:r/>
      <w:bookmarkStart w:id="254" w:name="_Toc487900373"/>
      <w:r/>
      <w:bookmarkStart w:id="255" w:name="_Toc5063"/>
      <w:r>
        <w:rPr>
          <w:rFonts w:hint="eastAsia" w:ascii="宋体" w:hAnsi="宋体" w:eastAsia="宋体" w:cs="宋体"/>
          <w:b/>
          <w:color w:val="000000"/>
          <w:sz w:val="24"/>
          <w:szCs w:val="24"/>
          <w:highlight w:val="none"/>
        </w:rPr>
        <w:t xml:space="preserve">2.16 合同使用的文字和适用的法律</w:t>
      </w:r>
      <w:bookmarkEnd w:id="248"/>
      <w:r/>
      <w:bookmarkEnd w:id="249"/>
      <w:r/>
      <w:bookmarkEnd w:id="250"/>
      <w:r/>
      <w:bookmarkEnd w:id="251"/>
      <w:r/>
      <w:bookmarkEnd w:id="252"/>
      <w:r/>
      <w:bookmarkEnd w:id="253"/>
      <w:r/>
      <w:bookmarkEnd w:id="254"/>
      <w:r/>
      <w:bookmarkEnd w:id="25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pStyle w:val="994"/>
        <w:rPr>
          <w:rFonts w:ascii="宋体" w:hAnsi="宋体"/>
          <w:color w:val="000000"/>
          <w:sz w:val="24"/>
          <w:szCs w:val="24"/>
          <w:highlight w:val="none"/>
        </w:rPr>
      </w:pPr>
      <w:r>
        <w:rPr>
          <w:rFonts w:hint="eastAsia" w:ascii="宋体" w:hAnsi="宋体" w:eastAsia="宋体" w:cs="宋体"/>
          <w:color w:val="000000"/>
          <w:sz w:val="24"/>
          <w:szCs w:val="24"/>
          <w:highlight w:val="none"/>
        </w:rPr>
        <w:br w:type="page" w:clear="all"/>
      </w:r>
      <w:bookmarkEnd w:id="87"/>
      <w:r/>
      <w:bookmarkEnd w:id="90"/>
      <w:r/>
      <w:bookmarkStart w:id="256" w:name="_Toc24602"/>
      <w:r/>
      <w:r/>
    </w:p>
    <w:p>
      <w:pPr>
        <w:ind w:firstLine="480"/>
        <w:jc w:val="center"/>
        <w:rPr>
          <w:rFonts w:hint="eastAsia" w:ascii="黑体" w:hAnsi="黑体" w:eastAsia="黑体"/>
          <w:color w:val="000000"/>
          <w:sz w:val="28"/>
          <w:highlight w:val="none"/>
        </w:rPr>
        <w:outlineLvl w:val="0"/>
      </w:pPr>
      <w:r/>
      <w:bookmarkStart w:id="257" w:name="_Toc12884"/>
      <w:r/>
      <w:bookmarkStart w:id="258" w:name="_Toc157500596"/>
      <w:r/>
      <w:bookmarkStart w:id="259" w:name="_Toc27444"/>
      <w:r>
        <w:rPr>
          <w:rFonts w:hint="eastAsia" w:ascii="黑体" w:hAnsi="黑体" w:eastAsia="黑体"/>
          <w:color w:val="000000"/>
          <w:sz w:val="28"/>
          <w:highlight w:val="none"/>
        </w:rPr>
        <w:t xml:space="preserve">第六章 </w:t>
      </w:r>
      <w:r>
        <w:rPr>
          <w:rFonts w:hint="eastAsia" w:ascii="黑体" w:hAnsi="黑体" w:eastAsia="黑体"/>
          <w:color w:val="000000"/>
          <w:sz w:val="28"/>
          <w:highlight w:val="none"/>
          <w:lang w:val="en-US" w:eastAsia="zh-CN"/>
        </w:rPr>
        <w:t xml:space="preserve">投标</w:t>
      </w:r>
      <w:r>
        <w:rPr>
          <w:rFonts w:hint="eastAsia" w:ascii="黑体" w:hAnsi="黑体" w:eastAsia="黑体"/>
          <w:color w:val="000000"/>
          <w:sz w:val="28"/>
          <w:highlight w:val="none"/>
        </w:rPr>
        <w:t xml:space="preserve">文件（格式）</w:t>
      </w:r>
      <w:bookmarkEnd w:id="257"/>
      <w:r/>
      <w:bookmarkEnd w:id="258"/>
      <w:r/>
      <w:bookmarkEnd w:id="259"/>
      <w:r/>
      <w:r/>
    </w:p>
    <w:p>
      <w:pPr>
        <w:pStyle w:val="1047"/>
        <w:numPr>
          <w:ilvl w:val="0"/>
          <w:numId w:val="0"/>
        </w:numPr>
        <w:ind w:left="780"/>
        <w:rPr>
          <w:color w:val="000000"/>
          <w:highlight w:val="none"/>
        </w:rPr>
      </w:pPr>
      <w:r>
        <w:rPr>
          <w:color w:val="000000"/>
          <w:highlight w:val="none"/>
        </w:rPr>
      </w:r>
      <w:r/>
    </w:p>
    <w:p>
      <w:pPr>
        <w:pStyle w:val="1047"/>
        <w:numPr>
          <w:ilvl w:val="0"/>
          <w:numId w:val="0"/>
        </w:numPr>
        <w:ind w:left="780"/>
        <w:jc w:val="left"/>
        <w:rPr>
          <w:color w:val="000000"/>
          <w:highlight w:val="none"/>
        </w:rPr>
      </w:pPr>
      <w:r>
        <w:rPr>
          <w:color w:val="000000"/>
          <w:highlight w:val="none"/>
        </w:rPr>
      </w:r>
      <w:r/>
    </w:p>
    <w:p>
      <w:pPr>
        <w:ind w:firstLine="480"/>
        <w:jc w:val="center"/>
        <w:rPr>
          <w:color w:val="000000"/>
          <w:highlight w:val="none"/>
        </w:rPr>
        <w:outlineLvl w:val="0"/>
      </w:pPr>
      <w:r>
        <w:rPr>
          <w:color w:val="000000"/>
          <w:highlight w:val="none"/>
        </w:rPr>
      </w:r>
      <w:r/>
    </w:p>
    <w:p>
      <w:pP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jc w:val="center"/>
        <w:rPr>
          <w:rFonts w:hint="eastAsia" w:ascii="宋体" w:hAnsi="宋体" w:eastAsia="宋体" w:cs="Times New Roman"/>
          <w:b/>
          <w:color w:val="000000"/>
          <w:sz w:val="96"/>
          <w:szCs w:val="84"/>
          <w:highlight w:val="none"/>
        </w:rPr>
      </w:pPr>
      <w:r/>
      <w:bookmarkStart w:id="260" w:name="_Toc29240"/>
      <w:r>
        <w:rPr>
          <w:rFonts w:hint="eastAsia" w:ascii="宋体" w:hAnsi="宋体" w:eastAsia="宋体" w:cs="Times New Roman"/>
          <w:b/>
          <w:color w:val="000000"/>
          <w:sz w:val="96"/>
          <w:szCs w:val="84"/>
          <w:highlight w:val="none"/>
          <w:lang w:val="en-US" w:eastAsia="zh-CN"/>
        </w:rPr>
        <w:t xml:space="preserve">投</w:t>
      </w:r>
      <w:r/>
    </w:p>
    <w:p>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lang w:val="en-US" w:eastAsia="zh-CN"/>
        </w:rPr>
        <w:t xml:space="preserve">标</w:t>
      </w:r>
      <w:r/>
    </w:p>
    <w:p>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文</w:t>
      </w:r>
      <w:r/>
    </w:p>
    <w:p>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件</w:t>
      </w:r>
      <w:bookmarkEnd w:id="260"/>
      <w:r/>
      <w:r/>
    </w:p>
    <w:p>
      <w:pPr>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1047"/>
        <w:numPr>
          <w:ilvl w:val="0"/>
          <w:numId w:val="0"/>
        </w:numPr>
        <w:ind w:left="780" w:hanging="360"/>
        <w:rPr>
          <w:color w:val="000000"/>
          <w:highlight w:val="none"/>
        </w:rPr>
      </w:pPr>
      <w:r>
        <w:rPr>
          <w:color w:val="000000"/>
          <w:highlight w:val="none"/>
        </w:rPr>
      </w:r>
      <w:r/>
    </w:p>
    <w:p>
      <w:pP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ind w:firstLine="2249"/>
        <w:spacing w:line="360" w:lineRule="auto"/>
        <w:rPr>
          <w:rFonts w:hint="eastAsia" w:ascii="宋体" w:hAnsi="宋体" w:eastAsia="宋体" w:cs="Times New Roman"/>
          <w:b/>
          <w:color w:val="000000"/>
          <w:sz w:val="28"/>
          <w:szCs w:val="24"/>
          <w:highlight w:val="none"/>
        </w:rPr>
      </w:pPr>
      <w:r/>
      <w:bookmarkStart w:id="261" w:name="_Toc2400"/>
      <w:r>
        <w:rPr>
          <w:rFonts w:hint="eastAsia" w:ascii="宋体" w:hAnsi="宋体" w:eastAsia="宋体" w:cs="Times New Roman"/>
          <w:b/>
          <w:color w:val="000000"/>
          <w:sz w:val="28"/>
          <w:szCs w:val="24"/>
          <w:highlight w:val="none"/>
        </w:rPr>
        <w:t xml:space="preserve">项目编号：</w:t>
      </w:r>
      <w:bookmarkEnd w:id="261"/>
      <w:r/>
      <w:bookmarkStart w:id="262" w:name="_Toc10010"/>
      <w:r>
        <w:rPr>
          <w:rFonts w:hint="eastAsia" w:ascii="宋体" w:hAnsi="宋体" w:eastAsia="宋体" w:cs="Times New Roman"/>
          <w:b/>
          <w:color w:val="000000"/>
          <w:sz w:val="28"/>
          <w:szCs w:val="24"/>
          <w:highlight w:val="none"/>
          <w:lang w:eastAsia="zh-CN"/>
        </w:rPr>
        <w:t xml:space="preserve">JSZC-320282-YXJX-G2026-0003 </w:t>
      </w:r>
      <w:r/>
    </w:p>
    <w:p>
      <w:pPr>
        <w:ind w:firstLine="2249"/>
        <w:spacing w:line="360" w:lineRule="auto"/>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 xml:space="preserve">项目名称：</w:t>
      </w:r>
      <w:bookmarkEnd w:id="262"/>
      <w:r>
        <w:rPr>
          <w:rFonts w:hint="eastAsia" w:ascii="宋体" w:hAnsi="宋体" w:eastAsia="宋体" w:cs="Times New Roman"/>
          <w:b/>
          <w:color w:val="000000"/>
          <w:sz w:val="28"/>
          <w:szCs w:val="24"/>
          <w:highlight w:val="none"/>
          <w:lang w:eastAsia="zh-CN"/>
        </w:rPr>
        <w:t xml:space="preserve">丁蜀镇石龙空气标准站和VOCs标准站设备采购项目</w:t>
      </w:r>
      <w:r/>
    </w:p>
    <w:p>
      <w:pPr>
        <w:ind w:firstLine="2249"/>
        <w:spacing w:line="360" w:lineRule="auto"/>
        <w:rPr>
          <w:rFonts w:ascii="宋体" w:hAnsi="宋体" w:eastAsia="宋体" w:cs="Times New Roman"/>
          <w:b/>
          <w:color w:val="000000"/>
          <w:sz w:val="28"/>
          <w:szCs w:val="24"/>
          <w:highlight w:val="none"/>
        </w:rPr>
      </w:pPr>
      <w:r/>
      <w:bookmarkStart w:id="263" w:name="_Toc8670"/>
      <w:r/>
      <w:bookmarkStart w:id="264" w:name="_Toc24371"/>
      <w:r>
        <w:rPr>
          <w:rFonts w:hint="eastAsia" w:ascii="宋体" w:hAnsi="宋体" w:eastAsia="宋体" w:cs="Times New Roman"/>
          <w:b/>
          <w:color w:val="000000"/>
          <w:sz w:val="28"/>
          <w:szCs w:val="24"/>
          <w:highlight w:val="none"/>
        </w:rPr>
        <w:t xml:space="preserve">供应商（签章）：</w:t>
      </w:r>
      <w:bookmarkEnd w:id="263"/>
      <w:r/>
      <w:bookmarkEnd w:id="264"/>
      <w:r/>
      <w:r/>
    </w:p>
    <w:p>
      <w:pPr>
        <w:spacing w:line="360" w:lineRule="auto"/>
        <w:rPr>
          <w:rFonts w:ascii="宋体" w:hAnsi="宋体" w:eastAsia="宋体" w:cs="Times New Roman"/>
          <w:b/>
          <w:color w:val="000000"/>
          <w:sz w:val="28"/>
          <w:szCs w:val="24"/>
          <w:highlight w:val="none"/>
        </w:rPr>
      </w:pPr>
      <w:r>
        <w:rPr>
          <w:rFonts w:ascii="宋体" w:hAnsi="宋体" w:eastAsia="宋体" w:cs="Times New Roman"/>
          <w:b/>
          <w:color w:val="000000"/>
          <w:sz w:val="28"/>
          <w:szCs w:val="24"/>
          <w:highlight w:val="none"/>
        </w:rPr>
      </w:r>
      <w:r/>
    </w:p>
    <w:p>
      <w:pPr>
        <w:ind w:firstLine="4216"/>
        <w:spacing w:line="360" w:lineRule="auto"/>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 xml:space="preserve">年   月   日</w:t>
      </w:r>
      <w:r/>
    </w:p>
    <w:p>
      <w:pPr>
        <w:ind w:firstLine="240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bookmarkEnd w:id="256"/>
      <w:r/>
      <w:r/>
    </w:p>
    <w:p>
      <w:pPr>
        <w:keepLines w:val="0"/>
        <w:keepNext w:val="0"/>
        <w:pageBreakBefore/>
        <w:widowControl w:val="off"/>
        <w:rPr>
          <w:rFonts w:hint="eastAsia" w:ascii="宋体" w:hAnsi="宋体" w:cs="宋体"/>
          <w:bCs/>
          <w:color w:val="000000"/>
          <w:sz w:val="24"/>
          <w:szCs w:val="24"/>
          <w:highlight w:val="none"/>
        </w:rPr>
      </w:pPr>
      <w:r/>
      <w:bookmarkStart w:id="265" w:name="_Toc4946"/>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一</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开标一览表</w:t>
      </w:r>
      <w:r>
        <w:rPr>
          <w:rFonts w:hint="eastAsia" w:ascii="黑体" w:hAnsi="宋体" w:eastAsia="黑体"/>
          <w:bCs/>
          <w:color w:val="000000"/>
          <w:sz w:val="24"/>
          <w:szCs w:val="24"/>
          <w:highlight w:val="none"/>
        </w:rPr>
        <w:t xml:space="preserve">：</w:t>
      </w:r>
      <w:r/>
    </w:p>
    <w:p>
      <w:pPr>
        <w:ind w:firstLine="480"/>
        <w:jc w:val="left"/>
        <w:rPr>
          <w:rFonts w:hint="eastAsia"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hint="eastAsia" w:ascii="黑体" w:hAnsi="黑体" w:eastAsia="黑体"/>
          <w:color w:val="000000"/>
          <w:sz w:val="28"/>
          <w:szCs w:val="28"/>
          <w:highlight w:val="none"/>
        </w:rPr>
      </w:pPr>
      <w:r>
        <w:rPr>
          <w:rFonts w:hint="eastAsia" w:ascii="黑体" w:eastAsia="黑体"/>
          <w:bCs/>
          <w:color w:val="000000"/>
          <w:sz w:val="28"/>
          <w:szCs w:val="28"/>
          <w:highlight w:val="none"/>
        </w:rPr>
        <w:t xml:space="preserve">开标一览表</w:t>
      </w:r>
      <w:r/>
    </w:p>
    <w:p>
      <w:pPr>
        <w:spacing w:line="360" w:lineRule="auto"/>
        <w:rPr>
          <w:rFonts w:hint="eastAsia"/>
          <w:color w:val="000000"/>
          <w:sz w:val="24"/>
          <w:szCs w:val="22"/>
          <w:highlight w:val="none"/>
        </w:rPr>
      </w:pPr>
      <w:r>
        <w:rPr>
          <w:rFonts w:hint="eastAsia"/>
          <w:color w:val="000000"/>
          <w:sz w:val="24"/>
          <w:szCs w:val="22"/>
          <w:highlight w:val="none"/>
        </w:rPr>
        <w:t xml:space="preserve">投标人全称（CA公章）：                                    </w:t>
      </w:r>
      <w:r/>
    </w:p>
    <w:p>
      <w:pPr>
        <w:spacing w:line="360" w:lineRule="auto"/>
        <w:rPr>
          <w:color w:val="000000"/>
          <w:sz w:val="24"/>
          <w:szCs w:val="22"/>
          <w:highlight w:val="none"/>
        </w:rPr>
      </w:pPr>
      <w:r>
        <w:rPr>
          <w:rFonts w:hint="eastAsia"/>
          <w:color w:val="000000"/>
          <w:sz w:val="24"/>
          <w:szCs w:val="22"/>
          <w:highlight w:val="none"/>
        </w:rPr>
        <w:t xml:space="preserve">项目名称：</w:t>
      </w:r>
      <w:r/>
    </w:p>
    <w:p>
      <w:pPr>
        <w:spacing w:line="360" w:lineRule="auto"/>
        <w:rPr>
          <w:rFonts w:hint="eastAsia"/>
          <w:color w:val="000000"/>
          <w:sz w:val="24"/>
          <w:szCs w:val="22"/>
          <w:highlight w:val="none"/>
        </w:rPr>
      </w:pPr>
      <w:r>
        <w:rPr>
          <w:rFonts w:hint="eastAsia"/>
          <w:color w:val="000000"/>
          <w:sz w:val="24"/>
          <w:szCs w:val="22"/>
          <w:highlight w:val="none"/>
        </w:rPr>
        <w:t xml:space="preserve">项目编号：</w:t>
      </w:r>
      <w:r/>
    </w:p>
    <w:p>
      <w:pPr>
        <w:pStyle w:val="1027"/>
        <w:rPr>
          <w:rFonts w:hint="eastAsia" w:ascii="宋体" w:hAnsi="宋体"/>
          <w:color w:val="000000"/>
          <w:sz w:val="24"/>
          <w:szCs w:val="24"/>
          <w:highlight w:val="none"/>
        </w:rPr>
      </w:pPr>
      <w:r>
        <w:rPr>
          <w:rFonts w:hint="eastAsia" w:ascii="宋体" w:hAnsi="宋体"/>
          <w:color w:val="000000"/>
          <w:sz w:val="24"/>
          <w:szCs w:val="24"/>
          <w:highlight w:val="none"/>
        </w:rPr>
      </w:r>
      <w:r/>
    </w:p>
    <w:p>
      <w:pPr>
        <w:ind w:left="1"/>
        <w:jc w:val="right"/>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                              单位：</w:t>
      </w:r>
      <w:r>
        <w:rPr>
          <w:rFonts w:hint="eastAsia" w:ascii="宋体" w:hAnsi="宋体" w:cs="宋体"/>
          <w:color w:val="000000"/>
          <w:sz w:val="24"/>
          <w:szCs w:val="24"/>
          <w:highlight w:val="none"/>
          <w:lang w:val="en-US" w:eastAsia="zh-CN"/>
        </w:rPr>
        <w:t xml:space="preserve">元</w:t>
      </w:r>
      <w:r>
        <w:rPr>
          <w:rFonts w:hint="eastAsia" w:ascii="宋体" w:hAnsi="宋体"/>
          <w:color w:val="000000"/>
          <w:sz w:val="24"/>
          <w:szCs w:val="24"/>
          <w:highlight w:val="none"/>
        </w:rPr>
        <w:t xml:space="preserve">           </w:t>
      </w:r>
      <w:r/>
    </w:p>
    <w:tbl>
      <w:tblPr>
        <w:tblStyle w:val="10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6"/>
        <w:gridCol w:w="4805"/>
      </w:tblGrid>
      <w:tr>
        <w:trPr>
          <w:trHeight w:val="803"/>
        </w:trPr>
        <w:tc>
          <w:tcPr>
            <w:tcMar>
              <w:left w:w="108" w:type="dxa"/>
              <w:top w:w="0" w:type="dxa"/>
              <w:right w:w="108" w:type="dxa"/>
              <w:bottom w:w="0" w:type="dxa"/>
            </w:tcMar>
            <w:tcW w:w="4386" w:type="dxa"/>
            <w:vAlign w:val="center"/>
            <w:textDirection w:val="lrTb"/>
            <w:noWrap w:val="false"/>
          </w:tcPr>
          <w:p>
            <w:pPr>
              <w:ind w:left="0" w:right="0" w:firstLine="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Mar>
              <w:left w:w="108" w:type="dxa"/>
              <w:top w:w="0" w:type="dxa"/>
              <w:right w:w="108" w:type="dxa"/>
              <w:bottom w:w="0" w:type="dxa"/>
            </w:tcMar>
            <w:tcW w:w="4805" w:type="dxa"/>
            <w:vAlign w:val="center"/>
            <w:textDirection w:val="lrTb"/>
            <w:noWrap w:val="false"/>
          </w:tcPr>
          <w:p>
            <w:pPr>
              <w:ind w:left="0" w:right="0" w:firstLine="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总价（小写）</w:t>
            </w:r>
            <w:r/>
          </w:p>
        </w:tc>
      </w:tr>
      <w:tr>
        <w:trPr>
          <w:trHeight w:val="3045"/>
        </w:trPr>
        <w:tc>
          <w:tcPr>
            <w:tcMar>
              <w:left w:w="108" w:type="dxa"/>
              <w:top w:w="0" w:type="dxa"/>
              <w:right w:w="108" w:type="dxa"/>
              <w:bottom w:w="0" w:type="dxa"/>
            </w:tcMar>
            <w:tcW w:w="4386" w:type="dxa"/>
            <w:vAlign w:val="center"/>
            <w:textDirection w:val="lrTb"/>
            <w:noWrap w:val="false"/>
          </w:tcPr>
          <w:p>
            <w:pPr>
              <w:ind w:left="0" w:right="0" w:firstLine="480"/>
              <w:jc w:val="center"/>
              <w:spacing w:before="0" w:after="0"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lang w:eastAsia="zh-CN"/>
              </w:rPr>
              <w:t xml:space="preserve">丁蜀镇石龙空气标准站和VOCs标准站设备采购项目</w:t>
            </w:r>
            <w:r>
              <w:rPr>
                <w:rFonts w:eastAsia="宋体"/>
                <w:color w:val="000000"/>
                <w:highlight w:val="none"/>
              </w:rPr>
              <w:t xml:space="preserve">   </w:t>
            </w:r>
            <w:r/>
          </w:p>
        </w:tc>
        <w:tc>
          <w:tcPr>
            <w:tcMar>
              <w:left w:w="108" w:type="dxa"/>
              <w:top w:w="0" w:type="dxa"/>
              <w:right w:w="108" w:type="dxa"/>
              <w:bottom w:w="0" w:type="dxa"/>
            </w:tcMar>
            <w:tcW w:w="4805" w:type="dxa"/>
            <w:vAlign w:val="center"/>
            <w:textDirection w:val="lrTb"/>
            <w:noWrap w:val="false"/>
          </w:tcPr>
          <w:p>
            <w:pPr>
              <w:ind w:left="0" w:right="0" w:firstLine="48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元</w:t>
            </w:r>
            <w:r/>
          </w:p>
        </w:tc>
      </w:tr>
    </w:tbl>
    <w:p>
      <w:pPr>
        <w:jc w:val="right"/>
        <w:spacing w:before="156" w:after="156"/>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jc w:val="right"/>
        <w:spacing w:before="156" w:after="156"/>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jc w:val="right"/>
        <w:spacing w:before="156" w:after="156"/>
        <w:rPr>
          <w:rFonts w:hint="eastAsia" w:ascii="黑体" w:eastAsia="黑体"/>
          <w:bCs/>
          <w:color w:val="000000"/>
          <w:sz w:val="28"/>
          <w:szCs w:val="28"/>
          <w:highlight w:val="none"/>
        </w:rPr>
      </w:pPr>
      <w:r>
        <w:rPr>
          <w:rFonts w:hint="eastAsia" w:ascii="宋体" w:hAnsi="宋体" w:cs="宋体"/>
          <w:b/>
          <w:color w:val="000000"/>
          <w:sz w:val="24"/>
          <w:szCs w:val="24"/>
          <w:highlight w:val="none"/>
          <w:lang w:val="en-US" w:eastAsia="zh-CN"/>
        </w:rPr>
        <w:t xml:space="preserve">年    月    日</w:t>
      </w:r>
      <w:r/>
    </w:p>
    <w:p>
      <w:pPr>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0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0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0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（二）资格条件</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w:t>
      </w:r>
      <w:r/>
    </w:p>
    <w:p>
      <w:pPr>
        <w:jc w:val="center"/>
        <w:spacing w:before="156" w:after="15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关于资格的声明函</w:t>
      </w:r>
      <w:r/>
    </w:p>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宜兴市丁蜀镇人民政府</w:t>
      </w:r>
      <w:r>
        <w:rPr>
          <w:rFonts w:hint="eastAsia" w:ascii="宋体" w:hAnsi="宋体" w:eastAsia="宋体" w:cs="宋体"/>
          <w:bCs/>
          <w:color w:val="000000"/>
          <w:sz w:val="24"/>
          <w:szCs w:val="24"/>
          <w:highlight w:val="none"/>
        </w:rPr>
        <w:t xml:space="preserve">：</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我公司参加贵单位</w:t>
      </w:r>
      <w:r>
        <w:rPr>
          <w:rFonts w:hint="eastAsia" w:ascii="宋体" w:hAnsi="宋体" w:eastAsia="宋体" w:cs="宋体"/>
          <w:bCs/>
          <w:color w:val="000000"/>
          <w:sz w:val="24"/>
          <w:szCs w:val="24"/>
          <w:highlight w:val="none"/>
          <w:lang w:eastAsia="zh-CN"/>
        </w:rPr>
        <w:t xml:space="preserve">丁蜀镇石龙空气标准站和VOCs标准站设备采购项目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JSZC-320282-YXJX-G2026-0003</w:t>
      </w:r>
      <w:r>
        <w:rPr>
          <w:rFonts w:hint="eastAsia" w:ascii="宋体" w:hAnsi="宋体" w:eastAsia="宋体" w:cs="宋体"/>
          <w:bCs/>
          <w:color w:val="000000"/>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宋体"/>
          <w:bCs/>
          <w:color w:val="000000"/>
          <w:sz w:val="24"/>
          <w:szCs w:val="24"/>
          <w:highlight w:val="none"/>
          <w:lang w:eastAsia="zh-CN"/>
        </w:rPr>
        <w:t xml:space="preserve">JSZC-320282-YXJX-G2026-0003</w:t>
      </w:r>
      <w:r>
        <w:rPr>
          <w:rFonts w:hint="eastAsia" w:ascii="宋体" w:hAnsi="宋体" w:eastAsia="宋体" w:cs="宋体"/>
          <w:bCs/>
          <w:color w:val="000000"/>
          <w:sz w:val="24"/>
          <w:szCs w:val="24"/>
          <w:highlight w:val="none"/>
        </w:rPr>
        <w:t xml:space="preserve">）进行投标，投标文件中所有关于投标资格的文件、证明、陈述均是真实的、准确的。若有违背，我公司（单位）</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同意监管部门做出的相关决定并承担由此而产生的一切后果。</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投标人（电子签章）：</w:t>
      </w:r>
      <w:r/>
    </w:p>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注：上述所称“重大违法记录”是指供应商因违法经营受到刑事处罚或者责令停产停业、</w:t>
      </w:r>
      <w:r/>
    </w:p>
    <w:p>
      <w:pPr>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吊销许可证或者执照、较大数额罚款等行政处罚。</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被授权代表身份证明</w:t>
      </w:r>
      <w:r>
        <w:rPr>
          <w:rFonts w:hint="eastAsia" w:ascii="宋体" w:hAnsi="宋体" w:eastAsia="宋体" w:cs="宋体"/>
          <w:bCs/>
          <w:color w:val="000000"/>
          <w:sz w:val="24"/>
          <w:szCs w:val="24"/>
          <w:highlight w:val="none"/>
        </w:rPr>
        <w:t xml:space="preserve">1（格式）：</w:t>
      </w:r>
      <w:r>
        <w:rPr>
          <w:rFonts w:hint="eastAsia" w:ascii="宋体" w:hAnsi="宋体" w:eastAsia="宋体" w:cs="宋体"/>
          <w:color w:val="000000"/>
          <w:sz w:val="24"/>
          <w:szCs w:val="24"/>
          <w:highlight w:val="none"/>
        </w:rPr>
        <w:t xml:space="preserve"> </w:t>
      </w:r>
      <w:r/>
    </w:p>
    <w:p>
      <w:pPr>
        <w:jc w:val="left"/>
        <w:spacing w:before="156" w:after="156"/>
        <w:tabs>
          <w:tab w:val="center" w:pos="4819" w:leader="none"/>
          <w:tab w:val="left" w:pos="673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ab/>
      </w:r>
      <w:r/>
    </w:p>
    <w:p>
      <w:pPr>
        <w:ind w:left="42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left="42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宜兴市丁蜀镇人民政府</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zh-CN"/>
        </w:rPr>
        <w:t xml:space="preserve">宜兴市嘉行工程管理有限公司：</w:t>
      </w:r>
      <w:r/>
    </w:p>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系中华人民共和国合法企业。法定地址：</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特授权</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代表我公司（单位）全权办理针对丁蜀镇石龙空气标准站和VOCs标准站设备采购项目（JSZC-320282-YXJX-G2026-0003）的投标、参与开标、谈判、签约等具体工作，并签署全部有关的文件、协议及合同。</w:t>
      </w:r>
      <w:r/>
    </w:p>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我公司（单位）对被授权代表的签名负全部责任。</w:t>
      </w:r>
      <w:r/>
    </w:p>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在撤销授权的书面通知送达你处以前，本授权书一直有效，被授权代表签署的所有文件（在授权书有效期内签署的）不因授权的撤销而失效。</w:t>
      </w:r>
      <w:r/>
    </w:p>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被授权代表情况：</w:t>
      </w:r>
      <w:r/>
    </w:p>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姓名：           性别：        年龄：         职务：</w:t>
      </w:r>
      <w:r/>
    </w:p>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身份证号码：                   手机号码：</w:t>
      </w:r>
      <w:r/>
    </w:p>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w:t>
      </w:r>
      <w:r/>
    </w:p>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投标人（电子签章）：</w:t>
      </w:r>
      <w:r/>
    </w:p>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日期：    年    月    日</w:t>
      </w:r>
      <w:r/>
    </w:p>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txbxContent>
                </v:textbox>
              </v:shape>
            </w:pict>
          </mc:Fallback>
        </mc:AlternateConten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txbxContent>
                </v:textbox>
              </v:shape>
            </w:pict>
          </mc:Fallback>
        </mc:AlternateConten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Cs/>
          <w:color w:val="000000"/>
          <w:sz w:val="24"/>
          <w:szCs w:val="24"/>
          <w:highlight w:val="none"/>
        </w:rPr>
        <w:t xml:space="preserve">3、被授权代表身份证明2（社保）：</w:t>
      </w:r>
      <w:r>
        <w:rPr>
          <w:rFonts w:hint="eastAsia" w:ascii="宋体" w:hAnsi="宋体" w:eastAsia="宋体" w:cs="宋体"/>
          <w:color w:val="000000"/>
          <w:sz w:val="24"/>
          <w:szCs w:val="24"/>
          <w:highlight w:val="none"/>
          <w:lang w:val="zh-CN"/>
        </w:rPr>
        <w:t xml:space="preserve">详见第二章供应商须知相关要求</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4、具有独立承担民事责任的能力：</w:t>
      </w:r>
      <w:r>
        <w:rPr>
          <w:rFonts w:hint="eastAsia" w:ascii="宋体" w:hAnsi="宋体" w:eastAsia="宋体" w:cs="宋体"/>
          <w:color w:val="000000"/>
          <w:sz w:val="24"/>
          <w:szCs w:val="24"/>
          <w:highlight w:val="none"/>
          <w:lang w:val="zh-CN"/>
        </w:rPr>
        <w:t xml:space="preserve">按第二章供应商须知要求提供相关证明材料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5、具有良好的商业信誉和健全的财务会计制度：</w:t>
      </w:r>
      <w:r>
        <w:rPr>
          <w:rFonts w:hint="eastAsia" w:ascii="宋体" w:hAnsi="宋体" w:eastAsia="宋体" w:cs="宋体"/>
          <w:color w:val="000000"/>
          <w:sz w:val="24"/>
          <w:szCs w:val="24"/>
          <w:highlight w:val="none"/>
          <w:lang w:val="zh-CN"/>
        </w:rPr>
        <w:t xml:space="preserve">按第二章供应商须知要求提供相关证明材料</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6、有依法缴纳税收的良好记录：</w:t>
      </w:r>
      <w:r>
        <w:rPr>
          <w:rFonts w:hint="eastAsia" w:ascii="宋体" w:hAnsi="宋体" w:eastAsia="宋体" w:cs="宋体"/>
          <w:color w:val="000000"/>
          <w:sz w:val="24"/>
          <w:szCs w:val="24"/>
          <w:highlight w:val="none"/>
          <w:lang w:val="zh-CN"/>
        </w:rPr>
        <w:t xml:space="preserve">按第二章供应商须知要求提供相关证明材料</w:t>
      </w:r>
      <w:r/>
    </w:p>
    <w:p>
      <w:pPr>
        <w:ind w:left="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7、有依法缴纳社会保障资金的良好记录：</w:t>
      </w:r>
      <w:r>
        <w:rPr>
          <w:rFonts w:hint="eastAsia" w:ascii="宋体" w:hAnsi="宋体" w:eastAsia="宋体" w:cs="宋体"/>
          <w:color w:val="000000"/>
          <w:sz w:val="24"/>
          <w:szCs w:val="24"/>
          <w:highlight w:val="none"/>
          <w:lang w:val="zh-CN"/>
        </w:rPr>
        <w:t xml:space="preserve">按第二章供应商须知要求提供相关证明材料</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numPr>
          <w:ilvl w:val="0"/>
          <w:numId w:val="21"/>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无不良信用记录：</w:t>
      </w:r>
      <w:r>
        <w:rPr>
          <w:rFonts w:hint="eastAsia" w:ascii="宋体" w:hAnsi="宋体" w:eastAsia="宋体" w:cs="宋体"/>
          <w:color w:val="000000"/>
          <w:sz w:val="24"/>
          <w:szCs w:val="24"/>
          <w:highlight w:val="none"/>
          <w:lang w:val="zh-CN"/>
        </w:rPr>
        <w:t xml:space="preserve">详见第二章供应商须知相关要求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9、中小企业声明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tabs>
          <w:tab w:val="left" w:pos="0" w:leader="none"/>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如专门面向中小企业采购的，供应商应提供有效的《中小企业声明函》（格式见本章“价格折扣文件”附件1），或《残疾人福利性单位声明函》（格式见本章“价格折扣文件”附件2），或监狱企业的证明文件；否则无需提供。</w:t>
      </w:r>
      <w:r/>
    </w:p>
    <w:p>
      <w:pPr>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10、特定资格要求</w:t>
      </w:r>
      <w:r/>
    </w:p>
    <w:p>
      <w:pPr>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24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注：如本项目有特定资格要求的，按招标文件要求提供证明材料，否则无需提供。</w:t>
      </w:r>
      <w:r/>
    </w:p>
    <w:p>
      <w:pPr>
        <w:ind w:firstLine="240"/>
        <w:jc w:val="lef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（三）符合条件</w:t>
      </w:r>
      <w:r/>
    </w:p>
    <w:p>
      <w:pPr>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投标函（格式）：</w:t>
      </w:r>
      <w:r/>
    </w:p>
    <w:p>
      <w:pPr>
        <w:jc w:val="center"/>
        <w:spacing w:before="156" w:after="156"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投标函</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致宜兴市丁蜀镇人民政府、宜兴市嘉行工程管理有限公司：</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我方收到你们JSZC-320282-YXJX-G2026-0003 招标文件，经仔细阅读和研究，我方决定参加投标。</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我方愿意按照招标文件的一切要求，提供服务，投标总价详见《开标一览表》。</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我方同意按招标文件中的规定，本投标文件的有效期为</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zh-CN"/>
        </w:rPr>
        <w:t xml:space="preserve">截止之日起的60天（含提交当日）。在特殊情况下，可与贵方协商延长投标文件的有效期。</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如果我方的投标文件被接受，我方将履行招投标文件中规定的每一项要求，按期、按质、按量、按地点，完成服务任务。</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我方愿意根据贵方和评标委员会的要求，提供投标文件中所有材料的原件及相关证明性资料。</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我方认为采购人有权确定中标供应商。除因不可抗力或招标文件认可的情形以外，我方绝不放弃中标资格。</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我方愿意按</w:t>
      </w:r>
      <w:r>
        <w:rPr>
          <w:rFonts w:hint="eastAsia" w:ascii="宋体" w:hAnsi="宋体" w:eastAsia="宋体" w:cs="宋体"/>
          <w:color w:val="000000"/>
          <w:sz w:val="24"/>
          <w:szCs w:val="24"/>
          <w:highlight w:val="none"/>
          <w:lang w:val="zh-CN"/>
        </w:rPr>
        <w:t xml:space="preserve">《中华人民共和国民法典》</w:t>
      </w:r>
      <w:r>
        <w:rPr>
          <w:rFonts w:hint="eastAsia" w:ascii="宋体" w:hAnsi="宋体" w:eastAsia="宋体" w:cs="宋体"/>
          <w:bCs/>
          <w:color w:val="000000"/>
          <w:sz w:val="24"/>
          <w:szCs w:val="24"/>
          <w:highlight w:val="none"/>
          <w:lang w:val="zh-CN"/>
        </w:rPr>
        <w:t xml:space="preserve">和合同条款履行自己的全部责任。</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如果我方中标，我方愿意遵守招标文件和中标通知书的规定，在指定时间和地点与采购人签订合同。</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我方不是为本项目提供整体设计、规范编制或者项目管理、监理、检测等服务的供应商。</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关联单位情况说明：</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与我方</w:t>
            </w:r>
            <w:r>
              <w:rPr>
                <w:rFonts w:hint="eastAsia" w:ascii="宋体" w:hAnsi="宋体" w:eastAsia="宋体" w:cs="宋体"/>
                <w:bCs/>
                <w:color w:val="000000"/>
                <w:sz w:val="24"/>
                <w:szCs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663"/>
        </w:trPr>
        <w:tc>
          <w:tcPr>
            <w:tcW w:w="4707" w:type="dxa"/>
            <w:vAlign w:val="center"/>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与我方</w:t>
            </w:r>
            <w:r>
              <w:rPr>
                <w:rFonts w:hint="eastAsia" w:ascii="宋体" w:hAnsi="宋体" w:eastAsia="宋体" w:cs="宋体"/>
                <w:bCs/>
                <w:color w:val="000000"/>
                <w:sz w:val="24"/>
                <w:szCs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ind w:left="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注：没有请填无。</w:t>
      </w:r>
      <w:r/>
    </w:p>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与本投标有关的一切正式往来函电，请联系：</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2928"/>
        <w:gridCol w:w="1252"/>
        <w:gridCol w:w="3675"/>
      </w:tblGrid>
      <w:tr>
        <w:trPr>
          <w:jc w:val="center"/>
        </w:trPr>
        <w:tc>
          <w:tcPr>
            <w:tcW w:w="148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地址</w:t>
            </w:r>
            <w:r/>
          </w:p>
        </w:tc>
        <w:tc>
          <w:tcPr>
            <w:tcW w:w="2928"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Pr>
        <w:tc>
          <w:tcPr>
            <w:tcW w:w="148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传真</w:t>
            </w:r>
            <w:r/>
          </w:p>
        </w:tc>
        <w:tc>
          <w:tcPr>
            <w:tcW w:w="2928"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541"/>
        </w:trPr>
        <w:tc>
          <w:tcPr>
            <w:tcW w:w="148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p>
        </w:tc>
        <w:tc>
          <w:tcPr>
            <w:tcW w:w="2928"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Pr>
        <w:tc>
          <w:tcPr>
            <w:tcW w:w="148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联系人</w:t>
            </w:r>
            <w:r/>
          </w:p>
        </w:tc>
        <w:tc>
          <w:tcPr>
            <w:tcW w:w="2928"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Pr>
        <w:tc>
          <w:tcPr>
            <w:tcW w:w="148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开户名称</w:t>
            </w:r>
            <w:r/>
          </w:p>
        </w:tc>
        <w:tc>
          <w:tcPr>
            <w:gridSpan w:val="3"/>
            <w:tcW w:w="785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Pr>
        <w:tc>
          <w:tcPr>
            <w:tcW w:w="148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开户银行</w:t>
            </w:r>
            <w:r/>
          </w:p>
        </w:tc>
        <w:tc>
          <w:tcPr>
            <w:tcW w:w="2928"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numPr>
          <w:ilvl w:val="0"/>
          <w:numId w:val="22"/>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若我方中标，请将中标通知书邮寄到以下地址：</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79"/>
        <w:gridCol w:w="6469"/>
      </w:tblGrid>
      <w:tr>
        <w:trPr>
          <w:jc w:val="center"/>
          <w:trHeight w:val="316"/>
        </w:trPr>
        <w:tc>
          <w:tcPr>
            <w:tcW w:w="2879"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中标通知书邮寄地址</w:t>
            </w:r>
            <w:r/>
          </w:p>
        </w:tc>
        <w:tc>
          <w:tcPr>
            <w:tcW w:w="6469" w:type="dxa"/>
            <w:vAlign w:val="top"/>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6"/>
        </w:trPr>
        <w:tc>
          <w:tcPr>
            <w:tcW w:w="2879"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邮政编码</w:t>
            </w:r>
            <w:r/>
          </w:p>
        </w:tc>
        <w:tc>
          <w:tcPr>
            <w:tcW w:w="6469" w:type="dxa"/>
            <w:vAlign w:val="top"/>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6"/>
        </w:trPr>
        <w:tc>
          <w:tcPr>
            <w:tcW w:w="2879"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收件人姓名</w:t>
            </w:r>
            <w:r/>
          </w:p>
        </w:tc>
        <w:tc>
          <w:tcPr>
            <w:tcW w:w="6469" w:type="dxa"/>
            <w:vAlign w:val="top"/>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tcW w:w="2879"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联系电话</w:t>
            </w:r>
            <w:r/>
          </w:p>
        </w:tc>
        <w:tc>
          <w:tcPr>
            <w:tcW w:w="6469" w:type="dxa"/>
            <w:vAlign w:val="top"/>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tcW w:w="2879"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备注</w:t>
            </w:r>
            <w:r/>
          </w:p>
        </w:tc>
        <w:tc>
          <w:tcPr>
            <w:tcW w:w="6469" w:type="dxa"/>
            <w:vAlign w:val="top"/>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认可中标通知书以EMS到付的方式发出，并及时签收；若未填写邮寄地址，请将中标通知书邮寄到我方法定地址。因我方收件信息填写错误或未及时签收，造成的邮件丢失、延误或退回的，责任由我方全权承担。</w:t>
            </w:r>
            <w:r/>
          </w:p>
        </w:tc>
      </w:tr>
    </w:tbl>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投标人（电子签章）：</w:t>
      </w:r>
      <w:r/>
    </w:p>
    <w:p>
      <w:pPr>
        <w:pStyle w:val="1007"/>
        <w:rPr>
          <w:rFonts w:hint="eastAsia"/>
          <w:color w:val="000000"/>
          <w:highlight w:val="none"/>
        </w:rPr>
        <w:sectPr>
          <w:headerReference w:type="default" r:id="rId9"/>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color w:val="000000"/>
          <w:highlight w:val="none"/>
        </w:rPr>
      </w:r>
      <w:bookmarkEnd w:id="265"/>
      <w:r/>
      <w:r/>
    </w:p>
    <w:p>
      <w:pPr>
        <w:ind w:left="5460" w:hanging="5460"/>
        <w:jc w:val="center"/>
        <w:spacing w:line="360" w:lineRule="auto"/>
        <w:rPr>
          <w:rFonts w:hint="eastAsia" w:ascii="宋体" w:hAnsi="宋体" w:eastAsia="宋体" w:cs="宋体"/>
          <w:bCs/>
          <w:color w:val="000000"/>
          <w:sz w:val="24"/>
          <w:szCs w:val="24"/>
          <w:highlight w:val="none"/>
        </w:rPr>
      </w:pPr>
      <w:r/>
      <w:bookmarkStart w:id="266" w:name="_Toc14859"/>
      <w:r/>
      <w:r/>
    </w:p>
    <w:p>
      <w:pPr>
        <w:ind w:firstLine="480"/>
        <w:jc w:val="left"/>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rPr>
        <w:t xml:space="preserve">、明细报价表（格式）：</w:t>
      </w:r>
      <w:r/>
    </w:p>
    <w:p>
      <w:pPr>
        <w:jc w:val="center"/>
        <w:rPr>
          <w:rFonts w:ascii="宋体" w:hAnsi="宋体" w:eastAsia="宋体"/>
          <w:color w:val="000000"/>
          <w:sz w:val="24"/>
          <w:szCs w:val="24"/>
          <w:highlight w:val="none"/>
        </w:rPr>
      </w:pPr>
      <w:r/>
      <w:bookmarkStart w:id="267" w:name="OLE_LINK3"/>
      <w:r>
        <w:rPr>
          <w:rFonts w:hint="eastAsia" w:ascii="宋体" w:hAnsi="宋体" w:eastAsia="宋体"/>
          <w:color w:val="000000"/>
          <w:sz w:val="24"/>
          <w:szCs w:val="24"/>
          <w:highlight w:val="none"/>
        </w:rPr>
        <w:t xml:space="preserve">明细报价表</w:t>
      </w:r>
      <w:bookmarkEnd w:id="267"/>
      <w:r/>
      <w:r/>
    </w:p>
    <w:p>
      <w:pPr>
        <w:spacing w:after="15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after="15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lang w:eastAsia="zh-CN"/>
        </w:rPr>
        <w:t xml:space="preserve">丁蜀镇石龙空气标准站和VOCs标准站设备采购项目</w:t>
      </w:r>
      <w:r/>
    </w:p>
    <w:p>
      <w:pPr>
        <w:jc w:val="both"/>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项目编号：</w:t>
      </w:r>
      <w:r>
        <w:rPr>
          <w:rFonts w:hint="eastAsia" w:ascii="宋体" w:hAnsi="宋体" w:eastAsia="宋体"/>
          <w:color w:val="000000"/>
          <w:sz w:val="24"/>
          <w:szCs w:val="24"/>
          <w:highlight w:val="none"/>
          <w:lang w:eastAsia="zh-CN"/>
        </w:rPr>
        <w:t xml:space="preserve">JSZC-320282-YXJX-G2026-0003 </w:t>
      </w:r>
      <w:r>
        <w:rPr>
          <w:rFonts w:hint="eastAsia" w:ascii="宋体" w:hAnsi="宋体" w:eastAsia="宋体"/>
          <w:color w:val="000000"/>
          <w:sz w:val="24"/>
          <w:szCs w:val="24"/>
          <w:highlight w:val="none"/>
        </w:rPr>
        <w:t xml:space="preserve">                         </w:t>
      </w:r>
      <w:r/>
    </w:p>
    <w:p>
      <w:pPr>
        <w:jc w:val="center"/>
        <w:spacing w:line="240" w:lineRule="auto"/>
        <w:rPr>
          <w:rFonts w:ascii="宋体" w:hAnsi="宋体" w:eastAsia="宋体" w:cs="Times New Roman"/>
          <w:bCs/>
          <w:color w:val="000000"/>
          <w:sz w:val="24"/>
          <w:szCs w:val="20"/>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单位：元</w:t>
      </w:r>
      <w:r>
        <w:rPr>
          <w:rFonts w:hint="eastAsia" w:ascii="宋体" w:hAnsi="宋体" w:eastAsia="宋体" w:cs="Times New Roman"/>
          <w:bCs/>
          <w:color w:val="000000"/>
          <w:sz w:val="24"/>
          <w:szCs w:val="20"/>
          <w:highlight w:val="none"/>
        </w:rPr>
        <w:t xml:space="preserve">       </w:t>
      </w:r>
      <w:r/>
    </w:p>
    <w:tbl>
      <w:tblPr>
        <w:tblStyle w:val="810"/>
        <w:tblW w:w="105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932"/>
        <w:gridCol w:w="1151"/>
        <w:gridCol w:w="1412"/>
        <w:gridCol w:w="1343"/>
        <w:gridCol w:w="1055"/>
        <w:gridCol w:w="802"/>
        <w:gridCol w:w="748"/>
        <w:gridCol w:w="919"/>
        <w:gridCol w:w="696"/>
        <w:gridCol w:w="692"/>
      </w:tblGrid>
      <w:tr>
        <w:trPr>
          <w:jc w:val="center"/>
          <w:trHeight w:val="829"/>
        </w:trPr>
        <w:tc>
          <w:tcPr>
            <w:tcW w:w="803" w:type="dxa"/>
            <w:vAlign w:val="center"/>
            <w:textDirection w:val="lrTb"/>
            <w:noWrap w:val="false"/>
          </w:tcPr>
          <w:p>
            <w:pPr>
              <w:jc w:val="center"/>
              <w:spacing w:before="5"/>
              <w:rPr>
                <w:rFonts w:ascii="宋体" w:hAnsi="宋体" w:eastAsia="宋体" w:cs="Times New Roman"/>
                <w:color w:val="000000"/>
                <w:sz w:val="24"/>
                <w:szCs w:val="24"/>
                <w:highlight w:val="none"/>
              </w:rPr>
            </w:pPr>
            <w:r/>
            <w:bookmarkStart w:id="268" w:name="OLE_LINK148"/>
            <w:r>
              <w:rPr>
                <w:rFonts w:hint="eastAsia" w:ascii="宋体" w:hAnsi="宋体" w:eastAsia="宋体" w:cs="Times New Roman"/>
                <w:color w:val="000000"/>
                <w:sz w:val="24"/>
                <w:szCs w:val="24"/>
                <w:highlight w:val="none"/>
              </w:rPr>
              <w:t xml:space="preserve">序号</w:t>
            </w:r>
            <w:r/>
          </w:p>
        </w:tc>
        <w:tc>
          <w:tcPr>
            <w:tcW w:w="93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1151" w:type="dxa"/>
            <w:vAlign w:val="center"/>
            <w:textDirection w:val="lrTb"/>
            <w:noWrap w:val="false"/>
          </w:tcPr>
          <w:p>
            <w:pPr>
              <w:jc w:val="center"/>
              <w:spacing w:before="5"/>
              <w:rPr>
                <w:rFonts w:hint="eastAsia" w:ascii="宋体" w:hAnsi="宋体" w:eastAsia="宋体" w:cs="宋体"/>
                <w:sz w:val="24"/>
                <w:szCs w:val="24"/>
                <w:highlight w:val="none"/>
              </w:rPr>
            </w:pPr>
            <w:r>
              <w:rPr>
                <w:rFonts w:hint="eastAsia" w:ascii="宋体" w:hAnsi="宋体" w:eastAsia="宋体" w:cs="Times New Roman"/>
                <w:color w:val="000000"/>
                <w:sz w:val="24"/>
                <w:szCs w:val="24"/>
                <w:highlight w:val="none"/>
                <w:lang w:val="en-US" w:eastAsia="zh-CN"/>
              </w:rPr>
              <w:t xml:space="preserve">设备名称</w:t>
            </w:r>
            <w:r/>
          </w:p>
        </w:tc>
        <w:tc>
          <w:tcPr>
            <w:tcW w:w="141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品牌型号</w:t>
            </w:r>
            <w:r/>
          </w:p>
        </w:tc>
        <w:tc>
          <w:tcPr>
            <w:tcW w:w="134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生产厂家</w:t>
            </w:r>
            <w:r/>
          </w:p>
        </w:tc>
        <w:tc>
          <w:tcPr>
            <w:tcW w:w="1055"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质保期</w:t>
            </w:r>
            <w:r/>
          </w:p>
        </w:tc>
        <w:tc>
          <w:tcPr>
            <w:tcW w:w="80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748"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919" w:type="dxa"/>
            <w:vAlign w:val="center"/>
            <w:textDirection w:val="lrTb"/>
            <w:noWrap w:val="false"/>
          </w:tcPr>
          <w:p>
            <w:pPr>
              <w:jc w:val="center"/>
              <w:spacing w:before="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总报价</w:t>
            </w:r>
            <w:r/>
          </w:p>
        </w:tc>
        <w:tc>
          <w:tcPr>
            <w:tcW w:w="696"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类别</w:t>
            </w:r>
            <w:r/>
          </w:p>
        </w:tc>
        <w:tc>
          <w:tcPr>
            <w:tcW w:w="69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p>
        </w:tc>
      </w:tr>
      <w:tr>
        <w:trPr>
          <w:jc w:val="center"/>
          <w:trHeight w:val="675"/>
        </w:trPr>
        <w:tc>
          <w:tcPr>
            <w:tcW w:w="80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3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51" w:type="dxa"/>
            <w:vAlign w:val="top"/>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4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55"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0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8"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19"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6"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675"/>
        </w:trPr>
        <w:tc>
          <w:tcPr>
            <w:tcW w:w="80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3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51" w:type="dxa"/>
            <w:vAlign w:val="top"/>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4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55"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0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8"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19"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6"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675"/>
        </w:trPr>
        <w:tc>
          <w:tcPr>
            <w:tcW w:w="80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3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51" w:type="dxa"/>
            <w:vAlign w:val="top"/>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4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55"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0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8"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19"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6"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675"/>
        </w:trPr>
        <w:tc>
          <w:tcPr>
            <w:tcW w:w="80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3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51" w:type="dxa"/>
            <w:vAlign w:val="top"/>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4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55"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0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8"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19"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6"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675"/>
        </w:trPr>
        <w:tc>
          <w:tcPr>
            <w:tcW w:w="80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3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51" w:type="dxa"/>
            <w:vAlign w:val="top"/>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43"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55"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0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8"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19"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6"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92"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676"/>
        </w:trPr>
        <w:tc>
          <w:tcPr>
            <w:gridSpan w:val="3"/>
            <w:tcW w:w="2886"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合计（小写）</w:t>
            </w:r>
            <w:r/>
          </w:p>
        </w:tc>
        <w:tc>
          <w:tcPr>
            <w:gridSpan w:val="8"/>
            <w:tcW w:w="7667" w:type="dxa"/>
            <w:vAlign w:val="center"/>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534" w:hRule="exact"/>
        </w:trPr>
        <w:tc>
          <w:tcPr>
            <w:gridSpan w:val="3"/>
            <w:tcW w:w="2886" w:type="dxa"/>
            <w:vAlign w:val="center"/>
            <w:textDirection w:val="lrTb"/>
            <w:noWrap w:val="false"/>
          </w:tcPr>
          <w:p>
            <w:pPr>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交付时间</w:t>
            </w:r>
            <w:r/>
          </w:p>
        </w:tc>
        <w:tc>
          <w:tcPr>
            <w:gridSpan w:val="8"/>
            <w:tcW w:w="7667" w:type="dxa"/>
            <w:vAlign w:val="center"/>
            <w:textDirection w:val="lrTb"/>
            <w:noWrap w:val="false"/>
          </w:tcPr>
          <w:p>
            <w:pPr>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r>
      <w:tr>
        <w:trPr>
          <w:jc w:val="center"/>
          <w:trHeight w:val="534" w:hRule="exact"/>
        </w:trPr>
        <w:tc>
          <w:tcPr>
            <w:gridSpan w:val="3"/>
            <w:tcW w:w="2886" w:type="dxa"/>
            <w:vAlign w:val="center"/>
            <w:textDirection w:val="lrTb"/>
            <w:noWrap w:val="false"/>
          </w:tcPr>
          <w:p>
            <w:pPr>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项目整体质保期</w:t>
            </w:r>
            <w:r/>
          </w:p>
        </w:tc>
        <w:tc>
          <w:tcPr>
            <w:gridSpan w:val="8"/>
            <w:tcW w:w="7667" w:type="dxa"/>
            <w:vAlign w:val="center"/>
            <w:textDirection w:val="lrTb"/>
            <w:noWrap w:val="false"/>
          </w:tcPr>
          <w:p>
            <w:pPr>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tc>
      </w:tr>
      <w:tr>
        <w:trPr>
          <w:jc w:val="center"/>
          <w:trHeight w:val="1005"/>
        </w:trPr>
        <w:tc>
          <w:tcPr>
            <w:tcW w:w="803" w:type="dxa"/>
            <w:vAlign w:val="center"/>
            <w:vMerge w:val="restart"/>
            <w:textDirection w:val="lrTb"/>
            <w:noWrap w:val="false"/>
          </w:tcPr>
          <w:p>
            <w:pPr>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服</w:t>
            </w:r>
            <w:r/>
          </w:p>
          <w:p>
            <w:pPr>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务</w:t>
            </w:r>
            <w:r/>
          </w:p>
          <w:p>
            <w:pPr>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承</w:t>
            </w:r>
            <w:r/>
          </w:p>
          <w:p>
            <w:pPr>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诺</w:t>
            </w:r>
            <w:r/>
          </w:p>
        </w:tc>
        <w:tc>
          <w:tcPr>
            <w:gridSpan w:val="10"/>
            <w:tcW w:w="9750" w:type="dxa"/>
            <w:vAlign w:val="top"/>
            <w:textDirection w:val="lrTb"/>
            <w:noWrap w:val="false"/>
          </w:tcPr>
          <w:p>
            <w:pPr>
              <w:numPr>
                <w:ilvl w:val="0"/>
                <w:numId w:val="0"/>
              </w:numPr>
              <w:ind w:left="210" w:hanging="210"/>
              <w:jc w:val="left"/>
              <w:rPr>
                <w:rFonts w:ascii="宋体" w:hAnsi="宋体" w:eastAsia="宋体" w:cs="Times New Roman"/>
                <w:bCs/>
                <w:color w:val="000000"/>
                <w:sz w:val="24"/>
                <w:szCs w:val="24"/>
                <w:highlight w:val="none"/>
              </w:rPr>
            </w:pPr>
            <w:r>
              <w:rPr>
                <w:rFonts w:ascii="Times New Roman"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rPr>
              <w:t xml:space="preserve">质量</w:t>
            </w:r>
            <w:r>
              <w:rPr>
                <w:rFonts w:ascii="宋体" w:hAnsi="宋体" w:eastAsia="宋体" w:cs="Times New Roman"/>
                <w:bCs/>
                <w:color w:val="000000"/>
                <w:sz w:val="24"/>
                <w:szCs w:val="24"/>
                <w:highlight w:val="none"/>
              </w:rPr>
              <w:t xml:space="preserve"> 2.</w:t>
            </w:r>
            <w:r>
              <w:rPr>
                <w:rFonts w:hint="eastAsia" w:ascii="宋体" w:hAnsi="宋体" w:eastAsia="宋体" w:cs="Times New Roman"/>
                <w:bCs/>
                <w:color w:val="000000"/>
                <w:sz w:val="24"/>
                <w:szCs w:val="24"/>
                <w:highlight w:val="none"/>
              </w:rPr>
              <w:t xml:space="preserve">安装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三包</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包修、包退、包换)4</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其他承诺</w:t>
            </w:r>
            <w:r/>
          </w:p>
          <w:p>
            <w:pPr>
              <w:jc w:val="left"/>
              <w:spacing w:before="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（以上是主要承诺，供</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参考，</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应在满足</w:t>
            </w:r>
            <w:r>
              <w:rPr>
                <w:rFonts w:hint="eastAsia" w:ascii="宋体" w:hAnsi="宋体" w:eastAsia="宋体" w:cs="Times New Roman"/>
                <w:bCs/>
                <w:color w:val="000000"/>
                <w:sz w:val="24"/>
                <w:szCs w:val="24"/>
                <w:highlight w:val="none"/>
                <w:lang w:val="en-US" w:eastAsia="zh-CN"/>
              </w:rPr>
              <w:t xml:space="preserve">招标文件</w:t>
            </w:r>
            <w:r>
              <w:rPr>
                <w:rFonts w:hint="eastAsia" w:ascii="宋体" w:hAnsi="宋体" w:eastAsia="宋体" w:cs="Times New Roman"/>
                <w:bCs/>
                <w:color w:val="000000"/>
                <w:sz w:val="24"/>
                <w:szCs w:val="24"/>
                <w:highlight w:val="none"/>
              </w:rPr>
              <w:t xml:space="preserve">要求的基础上，根据自己单位的情况作出具体承诺）</w:t>
            </w:r>
            <w:bookmarkEnd w:id="268"/>
            <w:r/>
            <w:r/>
          </w:p>
        </w:tc>
      </w:tr>
      <w:tr>
        <w:trPr>
          <w:jc w:val="center"/>
          <w:trHeight w:val="831"/>
        </w:trPr>
        <w:tc>
          <w:tcPr>
            <w:tcW w:w="803" w:type="dxa"/>
            <w:vAlign w:val="center"/>
            <w:vMerge w:val="continue"/>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gridSpan w:val="10"/>
            <w:tcW w:w="9750" w:type="dxa"/>
            <w:vAlign w:val="top"/>
            <w:textDirection w:val="lrTb"/>
            <w:noWrap w:val="false"/>
          </w:tcPr>
          <w:p>
            <w:pPr>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left="5460" w:hanging="5460"/>
        <w:jc w:val="center"/>
        <w:spacing w:line="360" w:lineRule="auto"/>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p>
    <w:p>
      <w:pPr>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p>
    <w:p>
      <w:pPr>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bookmarkStart w:id="269" w:name="OLE_LINK149"/>
      <w:r>
        <w:rPr>
          <w:rFonts w:hint="eastAsia" w:ascii="宋体" w:hAnsi="宋体" w:eastAsia="宋体" w:cs="Times New Roman"/>
          <w:bCs/>
          <w:color w:val="000000"/>
          <w:sz w:val="24"/>
          <w:szCs w:val="20"/>
          <w:highlight w:val="none"/>
          <w:lang w:val="zh-CN"/>
        </w:rPr>
        <w:t xml:space="preserve">投标人（电子签章）：</w:t>
      </w:r>
      <w:r>
        <w:rPr>
          <w:rFonts w:ascii="宋体" w:hAnsi="宋体" w:eastAsia="宋体" w:cs="Times New Roman"/>
          <w:bCs/>
          <w:color w:val="000000"/>
          <w:sz w:val="24"/>
          <w:szCs w:val="20"/>
          <w:highlight w:val="none"/>
        </w:rPr>
        <w:t xml:space="preserve">               </w:t>
      </w:r>
      <w:bookmarkEnd w:id="269"/>
      <w:r/>
      <w:r/>
    </w:p>
    <w:p>
      <w:pPr>
        <w:spacing w:line="360" w:lineRule="auto"/>
        <w:rPr>
          <w:rFonts w:ascii="宋体" w:hAnsi="宋体" w:eastAsia="宋体" w:cs="Times New Roman"/>
          <w:bCs/>
          <w:color w:val="000000"/>
          <w:szCs w:val="21"/>
          <w:highlight w:val="none"/>
        </w:rPr>
      </w:pPr>
      <w:r/>
      <w:bookmarkStart w:id="270" w:name="_Toc24943"/>
      <w:r>
        <w:rPr>
          <w:rFonts w:hint="eastAsia" w:ascii="宋体" w:hAnsi="宋体" w:eastAsia="宋体" w:cs="Times New Roman"/>
          <w:b/>
          <w:bCs w:val="0"/>
          <w:color w:val="000000"/>
          <w:szCs w:val="21"/>
          <w:highlight w:val="none"/>
        </w:rPr>
        <w:t xml:space="preserve">注：</w:t>
      </w:r>
      <w:r>
        <w:rPr>
          <w:rFonts w:hint="eastAsia" w:ascii="宋体" w:hAnsi="宋体" w:eastAsia="宋体" w:cs="Times New Roman"/>
          <w:bCs/>
          <w:color w:val="000000"/>
          <w:szCs w:val="21"/>
          <w:highlight w:val="none"/>
        </w:rPr>
        <w:t xml:space="preserve"> </w:t>
      </w:r>
      <w:r/>
    </w:p>
    <w:p>
      <w:pPr>
        <w:ind w:firstLine="21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应当根据“第三章 项目技术要求和有关说明”的内容详细填写明细报价表，须包括本次采购的所有细项；“明细报价表”合计金额应与“</w:t>
      </w:r>
      <w:r>
        <w:rPr>
          <w:rFonts w:hint="eastAsia" w:ascii="宋体" w:hAnsi="宋体" w:eastAsia="宋体" w:cs="Times New Roman"/>
          <w:bCs/>
          <w:color w:val="000000"/>
          <w:szCs w:val="21"/>
          <w:highlight w:val="none"/>
          <w:lang w:val="en-US" w:eastAsia="zh-CN"/>
        </w:rPr>
        <w:t xml:space="preserve">开标</w:t>
      </w:r>
      <w:r>
        <w:rPr>
          <w:rFonts w:hint="eastAsia" w:ascii="宋体" w:hAnsi="宋体" w:eastAsia="宋体" w:cs="Times New Roman"/>
          <w:bCs/>
          <w:color w:val="000000"/>
          <w:szCs w:val="21"/>
          <w:highlight w:val="none"/>
        </w:rPr>
        <w:t xml:space="preserve">一览表”报价一致；</w:t>
      </w:r>
      <w:r/>
    </w:p>
    <w:p>
      <w:pPr>
        <w:ind w:firstLine="21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（2）若属于政府采购政策扶持产品，</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须在“产品类别”一栏中填入：小微型企业产品、残疾人福利性单位产品或监狱企业产品。</w:t>
      </w:r>
      <w:r/>
    </w:p>
    <w:p>
      <w:pPr>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a.根据《政府采购促进中小企业发展管理办法》（财库〔2020〕46号）的规定，对符合下列情形的小微企业报价给予扣除，用扣除后的价格参加评审（具体价格扣除比例详见“第一章 </w:t>
      </w:r>
      <w:r>
        <w:rPr>
          <w:rFonts w:hint="eastAsia" w:ascii="宋体" w:hAnsi="宋体" w:eastAsia="宋体" w:cs="Times New Roman"/>
          <w:bCs/>
          <w:color w:val="000000"/>
          <w:szCs w:val="21"/>
          <w:highlight w:val="none"/>
          <w:lang w:val="en-US" w:eastAsia="zh-CN"/>
        </w:rPr>
        <w:t xml:space="preserve">投标</w:t>
      </w:r>
      <w:r>
        <w:rPr>
          <w:rFonts w:hint="eastAsia" w:ascii="宋体" w:hAnsi="宋体" w:eastAsia="宋体" w:cs="Times New Roman"/>
          <w:bCs/>
          <w:color w:val="000000"/>
          <w:szCs w:val="21"/>
          <w:highlight w:val="none"/>
        </w:rPr>
        <w:t xml:space="preserve">邀请函”）：</w:t>
      </w:r>
      <w:r/>
    </w:p>
    <w:p>
      <w:pPr>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在货物采购项目中，货物由中小企业制造，即货物由中小企业生产且使用该中小企业商号或者注册商标；</w:t>
      </w:r>
      <w:r/>
    </w:p>
    <w:p>
      <w:pPr>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在工程采购项目中，工程由中小企业承建，即工程施工单位为中小企业；</w:t>
      </w:r>
      <w:r/>
    </w:p>
    <w:p>
      <w:pPr>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在服务采购项目中，服务由中小企业承接，即提供服务的人员为中小企业依照《中华人民共和国劳动合同法》订立劳动合同的从业人员。</w:t>
      </w:r>
      <w:r/>
    </w:p>
    <w:p>
      <w:pPr>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提供的货物既有中小企业制造货物，也有大型企业制造货物的，不享受本办法规定的中小企业扶持政策。</w:t>
      </w:r>
      <w:r/>
    </w:p>
    <w:p>
      <w:pPr>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b.根据《关于促进残疾人就业政府采购政策的通知》（财库〔2017〕141号）的规定，残疾人福利性单位视同小微企业，对其产品的报价给予10%的扣除，用扣除后的价格参与评审。</w:t>
      </w:r>
      <w:r/>
    </w:p>
    <w:p>
      <w:pPr>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c.根据《关于政府采购支持监狱企业发展有关问题的通知》（财库〔2014〕68号）的规定，监狱企业视同小微企业，对其产品的报价给予10%的扣除，用扣除后的价格参与评审。</w:t>
      </w:r>
      <w:r/>
    </w:p>
    <w:p>
      <w:pPr>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同一</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，上述a、b、c三项价格扣除优惠不得重复享受。</w:t>
      </w:r>
      <w:r/>
    </w:p>
    <w:p>
      <w:pPr>
        <w:ind w:firstLine="420"/>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3）</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应认真填写“2.2</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企业性质及产品类别说明”并按要求提供相关证明材料。</w:t>
      </w:r>
      <w:r/>
    </w:p>
    <w:p>
      <w:pPr>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（4）表格不够可自行延长。</w:t>
      </w:r>
      <w:bookmarkEnd w:id="270"/>
      <w:r/>
      <w:r/>
    </w:p>
    <w:p>
      <w:pPr>
        <w:pStyle w:val="101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5460" w:hanging="5460"/>
        <w:jc w:val="center"/>
        <w:spacing w:line="360" w:lineRule="auto"/>
        <w:rPr>
          <w:rFonts w:hint="eastAsia" w:ascii="宋体" w:hAnsi="宋体" w:eastAsia="宋体" w:cs="宋体"/>
          <w:bCs/>
          <w:color w:val="000000"/>
          <w:sz w:val="24"/>
          <w:szCs w:val="24"/>
          <w:highlight w:val="none"/>
        </w:rPr>
        <w:sectPr>
          <w:headerReference w:type="default" r:id="rId10"/>
          <w:footerReference w:type="default" r:id="rId15"/>
          <w:footnotePr/>
          <w:endnotePr/>
          <w:type w:val="nextPage"/>
          <w:pgSz w:w="11906" w:h="16838" w:orient="portrait"/>
          <w:pgMar w:top="964" w:right="1134" w:bottom="964" w:left="1134" w:header="851" w:footer="992" w:gutter="0"/>
          <w:cols w:num="1" w:sep="0" w:space="1701" w:equalWidth="1"/>
          <w:docGrid w:linePitch="360"/>
        </w:sectPr>
      </w:pPr>
      <w:r>
        <w:rPr>
          <w:rFonts w:hint="eastAsia" w:ascii="宋体" w:hAnsi="宋体" w:eastAsia="宋体" w:cs="宋体"/>
          <w:bCs/>
          <w:color w:val="000000"/>
          <w:sz w:val="24"/>
          <w:szCs w:val="24"/>
          <w:highlight w:val="none"/>
        </w:rPr>
      </w:r>
      <w:r/>
    </w:p>
    <w:p>
      <w:pPr>
        <w:pStyle w:val="994"/>
        <w:rPr>
          <w:rFonts w:hint="eastAsia"/>
          <w:color w:val="000000"/>
          <w:highlight w:val="none"/>
        </w:rPr>
      </w:pPr>
      <w:r>
        <w:rPr>
          <w:rFonts w:hint="eastAsia"/>
          <w:color w:val="000000"/>
          <w:highlight w:val="none"/>
        </w:rPr>
      </w:r>
      <w:bookmarkEnd w:id="266"/>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项目技术要求偏离表</w:t>
      </w:r>
      <w:r>
        <w:rPr>
          <w:rFonts w:hint="eastAsia" w:ascii="宋体" w:hAnsi="宋体" w:eastAsia="宋体" w:cs="宋体"/>
          <w:bCs/>
          <w:color w:val="000000"/>
          <w:sz w:val="24"/>
          <w:szCs w:val="24"/>
          <w:highlight w:val="none"/>
        </w:rPr>
        <w:t xml:space="preserve">（格式）：</w:t>
      </w:r>
      <w:r/>
    </w:p>
    <w:p>
      <w:pPr>
        <w:jc w:val="center"/>
        <w:spacing w:after="156"/>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项目技术要求偏离表</w:t>
      </w:r>
      <w:r/>
    </w:p>
    <w:p>
      <w:pPr>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JSZC-320282-YXJX-G2026-0003</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投标人（电子签章）：</w:t>
      </w:r>
      <w:r/>
    </w:p>
    <w:p>
      <w:pPr>
        <w:ind w:left="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w:t>
      </w:r>
      <w:r/>
    </w:p>
    <w:p>
      <w:pPr>
        <w:ind w:firstLine="4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）供应商应对照招标文件第</w:t>
      </w:r>
      <w:r>
        <w:rPr>
          <w:rFonts w:hint="eastAsia" w:ascii="宋体" w:hAnsi="宋体" w:eastAsia="宋体" w:cs="宋体"/>
          <w:bCs/>
          <w:color w:val="000000"/>
          <w:sz w:val="24"/>
          <w:szCs w:val="24"/>
          <w:highlight w:val="none"/>
        </w:rPr>
        <w:t xml:space="preserve">三</w:t>
      </w:r>
      <w:r>
        <w:rPr>
          <w:rFonts w:hint="eastAsia" w:ascii="宋体" w:hAnsi="宋体" w:eastAsia="宋体" w:cs="宋体"/>
          <w:bCs/>
          <w:color w:val="000000"/>
          <w:sz w:val="24"/>
          <w:szCs w:val="24"/>
          <w:highlight w:val="none"/>
          <w:lang w:val="zh-CN"/>
        </w:rPr>
        <w:t xml:space="preserve">章“项目技术要求和有关说明”的相关要求，将自身响应的偏离情况（与招标文件要求不一致的地方）详细填入上表，并注明“正偏离/负偏离”；若未填写上表，视为完全响应。</w:t>
      </w:r>
      <w:r/>
    </w:p>
    <w:p>
      <w:pPr>
        <w:ind w:firstLine="4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（2）招标文件第三章“项目技术要求和有关说明”中若有要求提供相关证明材料的必须提供，</w:t>
      </w:r>
      <w:r>
        <w:rPr>
          <w:rFonts w:hint="eastAsia" w:ascii="宋体" w:hAnsi="宋体" w:eastAsia="宋体" w:cs="宋体"/>
          <w:bCs/>
          <w:color w:val="000000"/>
          <w:sz w:val="24"/>
          <w:szCs w:val="24"/>
          <w:highlight w:val="none"/>
          <w:lang w:val="zh-CN"/>
        </w:rPr>
        <w:t xml:space="preserve">请自行添加</w:t>
      </w:r>
      <w:r>
        <w:rPr>
          <w:rFonts w:hint="eastAsia" w:ascii="宋体" w:hAnsi="宋体" w:eastAsia="宋体" w:cs="宋体"/>
          <w:bCs/>
          <w:color w:val="000000"/>
          <w:sz w:val="24"/>
          <w:szCs w:val="24"/>
          <w:highlight w:val="none"/>
        </w:rPr>
        <w:t xml:space="preserve">。</w:t>
      </w:r>
      <w:r/>
    </w:p>
    <w:p>
      <w:pPr>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4、技术商务部分评分导读表（格式）：</w:t>
      </w:r>
      <w:r/>
    </w:p>
    <w:p>
      <w:pPr>
        <w:jc w:val="center"/>
        <w:spacing w:before="156" w:after="156"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技术商务部分评分导读表</w:t>
      </w:r>
      <w:r/>
    </w:p>
    <w:p>
      <w:pPr>
        <w:ind w:firstLine="48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                                     </w:t>
      </w:r>
      <w:r/>
    </w:p>
    <w:p>
      <w:pPr>
        <w:ind w:firstLine="48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JSZC-320282-YXJX-G2026-0003</w:t>
      </w:r>
      <w:r>
        <w:rPr>
          <w:rFonts w:hint="eastAsia" w:ascii="宋体" w:hAnsi="宋体" w:eastAsia="宋体" w:cs="宋体"/>
          <w:color w:val="000000"/>
          <w:sz w:val="24"/>
          <w:szCs w:val="24"/>
          <w:highlight w:val="none"/>
          <w:lang w:val="zh-CN"/>
        </w:rPr>
        <w:t xml:space="preserve"> </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6444"/>
        <w:gridCol w:w="1404"/>
      </w:tblGrid>
      <w:tr>
        <w:trPr>
          <w:cantSplit/>
          <w:jc w:val="center"/>
          <w:trHeight w:val="1015"/>
        </w:trPr>
        <w:tc>
          <w:tcPr>
            <w:tcW w:w="7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2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评审项目</w:t>
            </w:r>
            <w:r/>
          </w:p>
        </w:tc>
        <w:tc>
          <w:tcPr>
            <w:tcW w:w="644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响应情况</w:t>
            </w:r>
            <w:r/>
          </w:p>
        </w:tc>
        <w:tc>
          <w:tcPr>
            <w:tcW w:w="14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自评分</w:t>
            </w:r>
            <w:r/>
          </w:p>
        </w:tc>
      </w:tr>
      <w:tr>
        <w:trPr>
          <w:cantSplit/>
          <w:jc w:val="center"/>
          <w:trHeight w:val="1015"/>
        </w:trPr>
        <w:tc>
          <w:tcPr>
            <w:tcW w:w="7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44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1015"/>
        </w:trPr>
        <w:tc>
          <w:tcPr>
            <w:tcW w:w="7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2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44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1015"/>
        </w:trPr>
        <w:tc>
          <w:tcPr>
            <w:tcW w:w="7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44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投标人（电子签章）：</w:t>
      </w:r>
      <w:r/>
    </w:p>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注：1.投标人应对照招标文件“第</w:t>
      </w:r>
      <w:r>
        <w:rPr>
          <w:rFonts w:hint="eastAsia" w:ascii="宋体" w:hAnsi="宋体" w:eastAsia="宋体" w:cs="宋体"/>
          <w:bCs/>
          <w:color w:val="000000"/>
          <w:sz w:val="24"/>
          <w:szCs w:val="24"/>
          <w:highlight w:val="none"/>
        </w:rPr>
        <w:t xml:space="preserve">四</w:t>
      </w:r>
      <w:r>
        <w:rPr>
          <w:rFonts w:hint="eastAsia" w:ascii="宋体" w:hAnsi="宋体" w:eastAsia="宋体" w:cs="宋体"/>
          <w:bCs/>
          <w:color w:val="000000"/>
          <w:sz w:val="24"/>
          <w:szCs w:val="24"/>
          <w:highlight w:val="none"/>
          <w:lang w:val="zh-CN"/>
        </w:rPr>
        <w:t xml:space="preserve">章</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评标方法和标准”的相关要求，根据自身响应情况填写上表；并在“</w:t>
      </w:r>
      <w:r>
        <w:rPr>
          <w:rFonts w:hint="eastAsia" w:ascii="宋体" w:hAnsi="宋体" w:eastAsia="宋体" w:cs="宋体"/>
          <w:color w:val="000000"/>
          <w:sz w:val="24"/>
          <w:szCs w:val="24"/>
          <w:highlight w:val="none"/>
        </w:rPr>
        <w:t xml:space="preserve">响应情况</w:t>
      </w:r>
      <w:r>
        <w:rPr>
          <w:rFonts w:hint="eastAsia" w:ascii="宋体" w:hAnsi="宋体" w:eastAsia="宋体" w:cs="宋体"/>
          <w:bCs/>
          <w:color w:val="000000"/>
          <w:sz w:val="24"/>
          <w:szCs w:val="24"/>
          <w:highlight w:val="none"/>
          <w:lang w:val="zh-CN"/>
        </w:rPr>
        <w:t xml:space="preserve">”栏填入所提供的证明材料清单，</w:t>
      </w:r>
      <w:r>
        <w:rPr>
          <w:rFonts w:hint="eastAsia" w:ascii="宋体" w:hAnsi="宋体" w:eastAsia="宋体" w:cs="宋体"/>
          <w:bCs/>
          <w:color w:val="000000"/>
          <w:sz w:val="24"/>
          <w:szCs w:val="24"/>
          <w:highlight w:val="none"/>
        </w:rPr>
        <w:t xml:space="preserve">没有证明材料的此栏填“无”</w:t>
      </w:r>
      <w:r>
        <w:rPr>
          <w:rFonts w:hint="eastAsia" w:ascii="宋体" w:hAnsi="宋体" w:eastAsia="宋体" w:cs="宋体"/>
          <w:bCs/>
          <w:color w:val="000000"/>
          <w:sz w:val="24"/>
          <w:szCs w:val="24"/>
          <w:highlight w:val="none"/>
          <w:lang w:val="zh-CN"/>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2.招标文件第三章“项目技术要求和有关说明”中若有要求提供相关证明材料的必须提供，请自行添加。</w:t>
      </w:r>
      <w:r/>
    </w:p>
    <w:p>
      <w:pPr>
        <w:ind w:firstLine="240"/>
        <w:jc w:val="left"/>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项目人员配置清单（格式）</w:t>
      </w:r>
      <w:r>
        <w:rPr>
          <w:rFonts w:hint="eastAsia" w:ascii="宋体" w:hAnsi="宋体" w:eastAsia="宋体" w:cs="宋体"/>
          <w:bCs/>
          <w:color w:val="000000"/>
          <w:sz w:val="24"/>
          <w:szCs w:val="24"/>
          <w:highlight w:val="none"/>
        </w:rPr>
        <w:t xml:space="preserve">:</w:t>
      </w:r>
      <w:r/>
    </w:p>
    <w:p>
      <w:pPr>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before="156" w:after="156"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项目人员配置清单</w:t>
      </w:r>
      <w:r/>
    </w:p>
    <w:p>
      <w:pP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项目编号：JSZC-320282-YXJX-G2026-0003                                      </w:t>
      </w:r>
      <w:r/>
    </w:p>
    <w:p>
      <w:pPr>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日期：</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130"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姓名</w:t>
            </w:r>
            <w:r/>
          </w:p>
        </w:tc>
        <w:tc>
          <w:tcPr>
            <w:tcW w:w="1185"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性别</w:t>
            </w:r>
            <w:r/>
          </w:p>
        </w:tc>
        <w:tc>
          <w:tcPr>
            <w:tcW w:w="1134"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年龄</w:t>
            </w:r>
            <w:r/>
          </w:p>
        </w:tc>
        <w:tc>
          <w:tcPr>
            <w:tcW w:w="127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岗位名称</w:t>
            </w:r>
            <w:r/>
          </w:p>
        </w:tc>
        <w:tc>
          <w:tcPr>
            <w:tcW w:w="1134"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学历</w:t>
            </w:r>
            <w:r/>
          </w:p>
        </w:tc>
        <w:tc>
          <w:tcPr>
            <w:tcW w:w="992"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职称</w:t>
            </w:r>
            <w:r/>
          </w:p>
        </w:tc>
        <w:tc>
          <w:tcPr>
            <w:tcW w:w="127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资格证书编号</w:t>
            </w:r>
            <w:r/>
          </w:p>
        </w:tc>
        <w:tc>
          <w:tcPr>
            <w:tcW w:w="1004"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57"/>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63"/>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41"/>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03"/>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5"/>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5"/>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65"/>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50"/>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47"/>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630"/>
        </w:trPr>
        <w:tc>
          <w:tcPr>
            <w:tcW w:w="53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13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84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 表格不够可自行延长。</w:t>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271" w:name="_Hlk164083408"/>
      <w:r>
        <w:rPr>
          <w:rFonts w:hint="eastAsia" w:ascii="宋体" w:hAnsi="宋体" w:eastAsia="宋体" w:cs="宋体"/>
          <w:b/>
          <w:bCs/>
          <w:color w:val="000000"/>
          <w:sz w:val="24"/>
          <w:szCs w:val="24"/>
          <w:highlight w:val="none"/>
        </w:rPr>
        <w:t xml:space="preserve"> 应按招标文件要求配备项目人员及提供相关证明材料，以满足项目的</w:t>
      </w:r>
      <w:bookmarkEnd w:id="271"/>
      <w:r>
        <w:rPr>
          <w:rFonts w:hint="eastAsia" w:ascii="宋体" w:hAnsi="宋体" w:eastAsia="宋体" w:cs="宋体"/>
          <w:b/>
          <w:bCs/>
          <w:color w:val="000000"/>
          <w:sz w:val="24"/>
          <w:szCs w:val="24"/>
          <w:highlight w:val="none"/>
        </w:rPr>
        <w:t xml:space="preserve">基准要求，否则报价无效</w:t>
      </w:r>
      <w:r>
        <w:rPr>
          <w:rFonts w:hint="eastAsia" w:ascii="宋体" w:hAnsi="宋体" w:eastAsia="宋体" w:cs="宋体"/>
          <w:color w:val="000000"/>
          <w:sz w:val="24"/>
          <w:szCs w:val="24"/>
          <w:highlight w:val="none"/>
        </w:rPr>
        <w:t xml:space="preserve">。</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3.上述人员如在项目执行过程中需要更换，须经采购人同意。擅自更换或不到位属违约行为。</w:t>
      </w:r>
      <w:r/>
    </w:p>
    <w:p>
      <w:pPr>
        <w:ind w:left="84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84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投标人（电子签章）：</w:t>
      </w:r>
      <w:r/>
    </w:p>
    <w:p>
      <w:pPr>
        <w:ind w:left="5430" w:hanging="52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br w:type="page" w:clear="all"/>
      </w:r>
      <w:r>
        <w:rPr>
          <w:rFonts w:hint="eastAsia" w:ascii="宋体" w:hAnsi="宋体" w:eastAsia="宋体" w:cs="宋体"/>
          <w:bCs/>
          <w:color w:val="000000"/>
          <w:sz w:val="24"/>
          <w:szCs w:val="24"/>
          <w:highlight w:val="none"/>
          <w:lang w:val="zh-CN"/>
        </w:rPr>
        <w:t xml:space="preserve">6、服务内容的详细说明及服务方案（格式自拟）：</w:t>
      </w:r>
      <w:r/>
    </w:p>
    <w:p>
      <w:pPr>
        <w:ind w:firstLine="480"/>
        <w:jc w:val="left"/>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供应商根据“第三章 项目技术要求和有关说明”提出的技术、服务、人员等实质性要求，提供项目实施详细说明及相关证明材料。招标文件中要求进行承诺的，应当进行承诺。</w:t>
      </w:r>
      <w:r/>
    </w:p>
    <w:p>
      <w:pPr>
        <w:spacing w:line="360" w:lineRule="auto"/>
        <w:rPr>
          <w:rFonts w:ascii="黑体" w:hAnsi="宋体" w:eastAsia="黑体" w:cs="Times New Roman"/>
          <w:bCs/>
          <w:color w:val="000000"/>
          <w:sz w:val="24"/>
          <w:szCs w:val="24"/>
          <w:highlight w:val="none"/>
        </w:rPr>
      </w:pPr>
      <w:r>
        <w:rPr>
          <w:rFonts w:hint="eastAsia" w:ascii="宋体" w:hAnsi="宋体" w:eastAsia="宋体" w:cs="宋体"/>
          <w:color w:val="000000"/>
          <w:sz w:val="24"/>
          <w:szCs w:val="24"/>
          <w:highlight w:val="none"/>
        </w:rPr>
        <w:br w:type="page" w:clear="all"/>
      </w:r>
      <w:bookmarkStart w:id="272" w:name="OLE_LINK151"/>
      <w:r>
        <w:rPr>
          <w:rFonts w:hint="eastAsia" w:ascii="黑体" w:hAnsi="宋体" w:eastAsia="黑体" w:cs="Times New Roman"/>
          <w:bCs/>
          <w:color w:val="000000"/>
          <w:sz w:val="24"/>
          <w:szCs w:val="24"/>
          <w:highlight w:val="none"/>
        </w:rPr>
        <w:t xml:space="preserve">（四）价格折扣文件</w:t>
      </w:r>
      <w:r/>
    </w:p>
    <w:p>
      <w:pPr>
        <w:jc w:val="center"/>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t xml:space="preserve">1</w:t>
      </w:r>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企业性质及产品类别说明</w:t>
      </w:r>
      <w:r/>
    </w:p>
    <w:p>
      <w:pPr>
        <w:ind w:firstLine="48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                                     </w:t>
      </w:r>
      <w:r/>
    </w:p>
    <w:p>
      <w:pPr>
        <w:ind w:firstLine="240"/>
        <w:jc w:val="left"/>
        <w:spacing w:before="156" w:after="156" w:line="240" w:lineRule="auto"/>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JSZC-320282-YXJX-G2026-0003</w:t>
      </w:r>
      <w:r>
        <w:rPr>
          <w:rFonts w:ascii="宋体" w:hAnsi="宋体" w:eastAsia="宋体" w:cs="宋体"/>
          <w:color w:val="000000"/>
          <w:sz w:val="24"/>
          <w:highlight w:val="none"/>
        </w:rPr>
        <w:t xml:space="preserve"> </w:t>
      </w:r>
      <w:r/>
    </w:p>
    <w:tbl>
      <w:tblPr>
        <w:tblStyle w:val="810"/>
        <w:tblW w:w="10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150"/>
        <w:gridCol w:w="2460"/>
        <w:gridCol w:w="4278"/>
        <w:gridCol w:w="1782"/>
      </w:tblGrid>
      <w:tr>
        <w:trPr>
          <w:jc w:val="center"/>
          <w:trHeight w:val="687"/>
        </w:trPr>
        <w:tc>
          <w:tcPr>
            <w:tcW w:w="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lang w:val="zh-CN"/>
              </w:rPr>
              <w:t xml:space="preserve">序号</w:t>
            </w:r>
            <w:r/>
          </w:p>
        </w:tc>
        <w:tc>
          <w:tcPr>
            <w:tcW w:w="115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企业（产品）性质</w:t>
            </w:r>
            <w:r/>
          </w:p>
        </w:tc>
        <w:tc>
          <w:tcPr>
            <w:tcW w:w="24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报价产品类别</w:t>
            </w:r>
            <w:r/>
          </w:p>
        </w:tc>
        <w:tc>
          <w:tcPr>
            <w:tcW w:w="4278"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投标文件中需要提供的</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相关证明材料</w:t>
            </w:r>
            <w:r/>
          </w:p>
        </w:tc>
        <w:tc>
          <w:tcPr>
            <w:tcW w:w="1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供应商（产品）类型声明</w:t>
            </w:r>
            <w:r/>
          </w:p>
        </w:tc>
      </w:tr>
      <w:tr>
        <w:trPr>
          <w:jc w:val="center"/>
          <w:trHeight w:val="709"/>
        </w:trPr>
        <w:tc>
          <w:tcPr>
            <w:tcW w:w="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15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小微型</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w:t>
            </w:r>
            <w:r/>
          </w:p>
        </w:tc>
        <w:tc>
          <w:tcPr>
            <w:tcW w:w="24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货物由小微企业制造</w:t>
            </w:r>
            <w:r/>
          </w:p>
        </w:tc>
        <w:tc>
          <w:tcPr>
            <w:tcW w:w="427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《中小企业声明函》（附件</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w:t>
            </w:r>
            <w:r/>
          </w:p>
        </w:tc>
        <w:tc>
          <w:tcPr>
            <w:tcW w:w="1782" w:type="dxa"/>
            <w:vAlign w:val="center"/>
            <w:textDirection w:val="lrTb"/>
            <w:noWrap w:val="false"/>
          </w:tcPr>
          <w:p>
            <w:pPr>
              <w:jc w:val="center"/>
              <w:spacing w:line="360" w:lineRule="auto"/>
              <w:rPr>
                <w:rFonts w:hint="eastAsia" w:ascii="宋体" w:hAnsi="宋体" w:cs="宋体"/>
                <w:color w:val="000000"/>
                <w:szCs w:val="21"/>
                <w:highlight w:val="none"/>
              </w:rPr>
            </w:pPr>
            <w:r/>
            <w:bookmarkStart w:id="273" w:name="OLE_LINK66"/>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bookmarkEnd w:id="273"/>
            <w:r/>
            <w:r/>
          </w:p>
        </w:tc>
      </w:tr>
      <w:tr>
        <w:trPr>
          <w:jc w:val="center"/>
          <w:trHeight w:val="687"/>
        </w:trPr>
        <w:tc>
          <w:tcPr>
            <w:tcW w:w="840" w:type="dxa"/>
            <w:vAlign w:val="center"/>
            <w:vMerge w:val="restart"/>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150" w:type="dxa"/>
            <w:vAlign w:val="center"/>
            <w:vMerge w:val="restart"/>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残疾人福利性单位</w:t>
            </w:r>
            <w:r/>
          </w:p>
        </w:tc>
        <w:tc>
          <w:tcPr>
            <w:tcW w:w="24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提供本单位制造的货物</w:t>
            </w:r>
            <w:r/>
          </w:p>
        </w:tc>
        <w:tc>
          <w:tcPr>
            <w:tcW w:w="4278" w:type="dxa"/>
            <w:vAlign w:val="center"/>
            <w:textDirection w:val="lrTb"/>
            <w:noWrap w:val="false"/>
          </w:tcPr>
          <w:p>
            <w:pPr>
              <w:jc w:val="left"/>
              <w:spacing w:line="360" w:lineRule="auto"/>
              <w:rPr>
                <w:rFonts w:hint="eastAsia" w:ascii="宋体" w:hAnsi="宋体" w:cs="宋体"/>
                <w:color w:val="000000"/>
                <w:szCs w:val="21"/>
                <w:highlight w:val="none"/>
              </w:rPr>
            </w:pPr>
            <w:r/>
            <w:bookmarkStart w:id="274" w:name="OLE_LINK73"/>
            <w:r>
              <w:rPr>
                <w:rFonts w:hint="eastAsia" w:ascii="宋体" w:hAnsi="宋体" w:cs="宋体"/>
                <w:color w:val="000000"/>
                <w:szCs w:val="21"/>
                <w:highlight w:val="none"/>
                <w:lang w:val="zh-CN"/>
              </w:rPr>
              <w:t xml:space="preserve">供应商《残疾人福利性单位声明函》</w:t>
            </w:r>
            <w:bookmarkEnd w:id="274"/>
            <w:r>
              <w:rPr>
                <w:rFonts w:hint="eastAsia" w:ascii="宋体" w:hAnsi="宋体" w:cs="宋体"/>
                <w:color w:val="000000"/>
                <w:szCs w:val="21"/>
                <w:highlight w:val="none"/>
                <w:lang w:val="zh-CN"/>
              </w:rPr>
              <w:t xml:space="preserve">（附件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w:t>
            </w:r>
            <w:r/>
          </w:p>
        </w:tc>
        <w:tc>
          <w:tcPr>
            <w:tcW w:w="1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p>
        </w:tc>
      </w:tr>
      <w:tr>
        <w:trPr>
          <w:jc w:val="center"/>
          <w:trHeight w:val="687"/>
        </w:trPr>
        <w:tc>
          <w:tcPr>
            <w:tcW w:w="840" w:type="dxa"/>
            <w:vAlign w:val="center"/>
            <w:vMerge w:val="continue"/>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50" w:type="dxa"/>
            <w:vAlign w:val="center"/>
            <w:vMerge w:val="continue"/>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4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提供其他残疾人福利性单位制造的货物</w:t>
            </w:r>
            <w:r/>
          </w:p>
        </w:tc>
        <w:tc>
          <w:tcPr>
            <w:tcW w:w="427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供应商《残疾人福利性单位声明函》（附件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）及制造商《企业类型声明函》（附件</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w:t>
            </w:r>
            <w:r/>
          </w:p>
        </w:tc>
        <w:tc>
          <w:tcPr>
            <w:tcW w:w="1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p>
        </w:tc>
      </w:tr>
      <w:tr>
        <w:trPr>
          <w:jc w:val="center"/>
          <w:trHeight w:val="945"/>
        </w:trPr>
        <w:tc>
          <w:tcPr>
            <w:tcW w:w="84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p>
        </w:tc>
        <w:tc>
          <w:tcPr>
            <w:tcW w:w="115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w:t>
            </w:r>
            <w:r/>
          </w:p>
        </w:tc>
        <w:tc>
          <w:tcPr>
            <w:tcW w:w="24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27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省级以上监狱管理局、戒毒管理局（含新疆生产建设兵团）出具的属于监狱企业的证明文件</w:t>
            </w:r>
            <w:r/>
          </w:p>
        </w:tc>
        <w:tc>
          <w:tcPr>
            <w:tcW w:w="1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p>
        </w:tc>
      </w:tr>
      <w:tr>
        <w:trPr>
          <w:jc w:val="center"/>
          <w:trHeight w:val="537"/>
        </w:trPr>
        <w:tc>
          <w:tcPr>
            <w:tcW w:w="840" w:type="dxa"/>
            <w:vAlign w:val="center"/>
            <w:vMerge w:val="restart"/>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p>
        </w:tc>
        <w:tc>
          <w:tcPr>
            <w:tcW w:w="1150" w:type="dxa"/>
            <w:vAlign w:val="center"/>
            <w:vMerge w:val="restart"/>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节能</w:t>
            </w:r>
            <w:r/>
          </w:p>
        </w:tc>
        <w:tc>
          <w:tcPr>
            <w:tcW w:w="24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强制采购节能产品</w:t>
            </w:r>
            <w:r/>
          </w:p>
        </w:tc>
        <w:tc>
          <w:tcPr>
            <w:tcW w:w="427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由国家确定的认证机构出具的、处于有效期之内的节能产品认证证书复印件</w:t>
            </w:r>
            <w:r/>
          </w:p>
        </w:tc>
        <w:tc>
          <w:tcPr>
            <w:tcW w:w="1782" w:type="dxa"/>
            <w:vAlign w:val="center"/>
            <w:textDirection w:val="lrTb"/>
            <w:noWrap w:val="false"/>
          </w:tcPr>
          <w:p>
            <w:pPr>
              <w:jc w:val="center"/>
              <w:spacing w:line="360" w:lineRule="auto"/>
              <w:rPr>
                <w:rFonts w:hint="eastAsia" w:ascii="宋体" w:hAnsi="宋体" w:cs="宋体"/>
                <w:color w:val="000000"/>
                <w:szCs w:val="21"/>
                <w:highlight w:val="none"/>
              </w:rPr>
            </w:pPr>
            <w:r/>
            <w:bookmarkStart w:id="275" w:name="OLE_LINK67"/>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bookmarkEnd w:id="275"/>
            <w:r/>
            <w:r/>
          </w:p>
        </w:tc>
      </w:tr>
      <w:tr>
        <w:trPr>
          <w:jc w:val="center"/>
          <w:trHeight w:val="552"/>
        </w:trPr>
        <w:tc>
          <w:tcPr>
            <w:tcW w:w="840" w:type="dxa"/>
            <w:vAlign w:val="center"/>
            <w:vMerge w:val="continue"/>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50" w:type="dxa"/>
            <w:vAlign w:val="center"/>
            <w:vMerge w:val="continue"/>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优先采购节能产品</w:t>
            </w:r>
            <w:r/>
          </w:p>
        </w:tc>
        <w:tc>
          <w:tcPr>
            <w:tcW w:w="427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由国家确定的认证机构出具的、处于有效期之内的节能产品认证证书复印件</w:t>
            </w:r>
            <w:r/>
          </w:p>
        </w:tc>
        <w:tc>
          <w:tcPr>
            <w:tcW w:w="1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p>
        </w:tc>
      </w:tr>
      <w:tr>
        <w:trPr>
          <w:jc w:val="center"/>
          <w:trHeight w:val="507"/>
        </w:trPr>
        <w:tc>
          <w:tcPr>
            <w:tcW w:w="84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p>
        </w:tc>
        <w:tc>
          <w:tcPr>
            <w:tcW w:w="115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环保</w:t>
            </w:r>
            <w:r/>
          </w:p>
        </w:tc>
        <w:tc>
          <w:tcPr>
            <w:tcW w:w="24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优先采购环境标志产品</w:t>
            </w:r>
            <w:r/>
          </w:p>
        </w:tc>
        <w:tc>
          <w:tcPr>
            <w:tcW w:w="427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由国家确定的认证机构出具的、处于有效期之内的环境标志产品认证证书复印件</w:t>
            </w:r>
            <w:r/>
          </w:p>
        </w:tc>
        <w:tc>
          <w:tcPr>
            <w:tcW w:w="1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p>
        </w:tc>
      </w:tr>
      <w:tr>
        <w:trPr>
          <w:jc w:val="center"/>
          <w:trHeight w:val="607"/>
        </w:trPr>
        <w:tc>
          <w:tcPr>
            <w:tcW w:w="84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p>
        </w:tc>
        <w:tc>
          <w:tcPr>
            <w:tcW w:w="115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信息安全</w:t>
            </w:r>
            <w:r/>
          </w:p>
        </w:tc>
        <w:tc>
          <w:tcPr>
            <w:tcW w:w="24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强制采购</w:t>
            </w:r>
            <w:r>
              <w:rPr>
                <w:rFonts w:hint="eastAsia" w:ascii="宋体" w:hAnsi="宋体" w:cs="宋体"/>
                <w:color w:val="000000"/>
                <w:szCs w:val="21"/>
                <w:highlight w:val="none"/>
                <w:lang w:val="zh-CN"/>
              </w:rPr>
              <w:t xml:space="preserve">信息安全产品</w:t>
            </w:r>
            <w:r/>
          </w:p>
        </w:tc>
        <w:tc>
          <w:tcPr>
            <w:tcW w:w="427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由中国信息安全认证中心颁发的有效认证证书复印件</w:t>
            </w:r>
            <w:r/>
          </w:p>
        </w:tc>
        <w:tc>
          <w:tcPr>
            <w:tcW w:w="178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p>
        </w:tc>
      </w:tr>
    </w:tbl>
    <w:p>
      <w:pPr>
        <w:jc w:val="left"/>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jc w:val="left"/>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ind w:left="5460" w:hanging="5460"/>
        <w:jc w:val="center"/>
        <w:spacing w:before="156" w:line="360" w:lineRule="auto"/>
        <w:rPr>
          <w:rFonts w:ascii="宋体" w:hAnsi="宋体" w:eastAsia="宋体" w:cs="宋体"/>
          <w:b/>
          <w:bCs/>
          <w:color w:val="000000"/>
          <w:szCs w:val="21"/>
          <w:highlight w:val="none"/>
        </w:rPr>
      </w:pPr>
      <w:r>
        <w:rPr>
          <w:rFonts w:hint="eastAsia" w:ascii="宋体" w:hAnsi="宋体" w:eastAsia="宋体" w:cs="Times New Roman"/>
          <w:bCs/>
          <w:color w:val="000000"/>
          <w:sz w:val="24"/>
          <w:szCs w:val="20"/>
          <w:highlight w:val="none"/>
          <w:lang w:val="zh-CN"/>
        </w:rPr>
        <w:t xml:space="preserve">                      投标人（电子签章）：</w:t>
      </w:r>
      <w:r>
        <w:rPr>
          <w:rFonts w:hint="eastAsia" w:ascii="宋体" w:hAnsi="宋体" w:eastAsia="宋体" w:cs="Times New Roman"/>
          <w:bCs/>
          <w:color w:val="000000"/>
          <w:sz w:val="24"/>
          <w:szCs w:val="20"/>
          <w:highlight w:val="none"/>
        </w:rPr>
        <w:t xml:space="preserve">                           </w:t>
      </w:r>
      <w:r/>
    </w:p>
    <w:p>
      <w:pPr>
        <w:ind w:firstLine="211"/>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zh-CN"/>
        </w:rPr>
        <w:t xml:space="preserve">注：</w:t>
      </w:r>
      <w:bookmarkStart w:id="276" w:name="OLE_LINK264"/>
      <w:r/>
      <w:r/>
    </w:p>
    <w:p>
      <w:pPr>
        <w:ind w:firstLine="420"/>
        <w:jc w:val="left"/>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val="0"/>
          <w:bCs w:val="0"/>
          <w:color w:val="000000"/>
          <w:sz w:val="21"/>
          <w:szCs w:val="21"/>
          <w:highlight w:val="none"/>
          <w:lang w:val="zh-CN"/>
        </w:rPr>
        <w:t xml:space="preserve">1-附件</w:t>
      </w:r>
      <w:r>
        <w:rPr>
          <w:rFonts w:hint="eastAsia" w:ascii="宋体" w:hAnsi="宋体" w:eastAsia="宋体" w:cs="宋体"/>
          <w:b w:val="0"/>
          <w:bCs w:val="0"/>
          <w:color w:val="000000"/>
          <w:sz w:val="21"/>
          <w:szCs w:val="21"/>
          <w:highlight w:val="none"/>
          <w:lang w:val="zh-CN"/>
        </w:rPr>
        <w:t xml:space="preserve">3</w:t>
      </w:r>
      <w:r>
        <w:rPr>
          <w:rFonts w:ascii="宋体" w:hAnsi="宋体" w:eastAsia="宋体" w:cs="宋体"/>
          <w:b w:val="0"/>
          <w:bCs w:val="0"/>
          <w:color w:val="000000"/>
          <w:sz w:val="21"/>
          <w:szCs w:val="21"/>
          <w:highlight w:val="none"/>
          <w:lang w:val="zh-CN"/>
        </w:rPr>
        <w:t xml:space="preserve">可自行删除；</w:t>
      </w:r>
      <w:r/>
    </w:p>
    <w:p>
      <w:pPr>
        <w:ind w:firstLine="420"/>
        <w:jc w:val="left"/>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lang w:val="zh-CN"/>
        </w:rPr>
        <w:t xml:space="preserve">中标供应商《中小企业声明函》、《残疾人福利性单位声明函》、制造商《企业类型声明函》，采购人将随中标公告一并公示。</w:t>
      </w:r>
      <w:r/>
    </w:p>
    <w:p>
      <w:pPr>
        <w:ind w:firstLine="420"/>
        <w:jc w:val="left"/>
        <w:spacing w:line="360" w:lineRule="auto"/>
        <w:rPr>
          <w:rFonts w:ascii="黑体" w:hAnsi="宋体" w:eastAsia="黑体" w:cs="Times New Roman"/>
          <w:bCs/>
          <w:color w:val="000000"/>
          <w:sz w:val="24"/>
          <w:szCs w:val="24"/>
          <w:highlight w:val="none"/>
        </w:rPr>
      </w:pPr>
      <w:r>
        <w:rPr>
          <w:rFonts w:hint="eastAsia" w:ascii="宋体" w:hAnsi="宋体" w:eastAsia="宋体" w:cs="宋体"/>
          <w:b w:val="0"/>
          <w:bCs w:val="0"/>
          <w:color w:val="000000"/>
          <w:sz w:val="21"/>
          <w:szCs w:val="21"/>
          <w:highlight w:val="none"/>
          <w:lang w:val="zh-CN"/>
        </w:rPr>
        <w:t xml:space="preserve">③</w:t>
      </w:r>
      <w:r>
        <w:rPr>
          <w:rFonts w:ascii="宋体" w:hAnsi="宋体" w:eastAsia="宋体" w:cs="宋体"/>
          <w:b w:val="0"/>
          <w:bCs w:val="0"/>
          <w:color w:val="000000"/>
          <w:sz w:val="21"/>
          <w:szCs w:val="21"/>
          <w:highlight w:val="none"/>
          <w:lang w:val="zh-CN"/>
        </w:rPr>
        <w:t xml:space="preserve">投标人根据招标文件要求提供相关证明材料（如有），以提供的有效证明材料为准 。</w:t>
      </w:r>
      <w:bookmarkEnd w:id="276"/>
      <w:r>
        <w:rPr>
          <w:rFonts w:hint="eastAsia" w:ascii="宋体" w:hAnsi="宋体" w:eastAsia="宋体" w:cs="Times New Roman"/>
          <w:b w:val="0"/>
          <w:bCs w:val="0"/>
          <w:color w:val="000000"/>
          <w:sz w:val="21"/>
          <w:szCs w:val="21"/>
          <w:highlight w:val="none"/>
        </w:rPr>
        <w:br w:type="page" w:clear="all"/>
      </w:r>
      <w:r>
        <w:rPr>
          <w:rFonts w:hint="eastAsia" w:ascii="宋体" w:hAnsi="宋体" w:eastAsia="宋体" w:cs="Times New Roman"/>
          <w:b w:val="0"/>
          <w:bCs w:val="0"/>
          <w:color w:val="000000"/>
          <w:sz w:val="21"/>
          <w:szCs w:val="21"/>
          <w:highlight w:val="none"/>
          <w:lang w:val="en-US" w:eastAsia="zh-CN"/>
        </w:rPr>
        <w:t xml:space="preserve">   </w:t>
      </w:r>
      <w:r>
        <w:rPr>
          <w:rFonts w:hint="eastAsia" w:ascii="黑体" w:hAnsi="宋体" w:eastAsia="黑体" w:cs="Times New Roman"/>
          <w:bCs/>
          <w:color w:val="000000"/>
          <w:sz w:val="24"/>
          <w:szCs w:val="24"/>
          <w:highlight w:val="none"/>
        </w:rPr>
        <w:t xml:space="preserve">附件1：中小企业声明函（格式）：</w:t>
      </w:r>
      <w:r/>
    </w:p>
    <w:p>
      <w:pPr>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jc w:val="center"/>
        <w:rPr>
          <w:rFonts w:ascii="黑体" w:hAnsi="Times New Roman" w:eastAsia="黑体" w:cs="Times New Roman"/>
          <w:bCs/>
          <w:color w:val="000000"/>
          <w:sz w:val="28"/>
          <w:szCs w:val="28"/>
          <w:highlight w:val="none"/>
        </w:rPr>
      </w:pPr>
      <w:r/>
      <w:bookmarkStart w:id="277" w:name="OLE_LINK150"/>
      <w:r>
        <w:rPr>
          <w:rFonts w:hint="eastAsia" w:ascii="黑体" w:hAnsi="Times New Roman" w:eastAsia="黑体" w:cs="Times New Roman"/>
          <w:bCs/>
          <w:color w:val="000000"/>
          <w:sz w:val="28"/>
          <w:szCs w:val="28"/>
          <w:highlight w:val="none"/>
        </w:rPr>
        <w:t xml:space="preserve">中小企业声明函</w:t>
      </w:r>
      <w:r/>
    </w:p>
    <w:p>
      <w:pPr>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Times New Roman"/>
          <w:bCs/>
          <w:color w:val="000000"/>
          <w:sz w:val="24"/>
          <w:szCs w:val="24"/>
          <w:highlight w:val="none"/>
          <w:u w:val="single"/>
        </w:rPr>
        <w:t xml:space="preserve">（单位名称）</w:t>
      </w:r>
      <w:r>
        <w:rPr>
          <w:rFonts w:hint="eastAsia" w:ascii="宋体" w:hAnsi="宋体" w:eastAsia="宋体" w:cs="Times New Roman"/>
          <w:bCs/>
          <w:color w:val="000000"/>
          <w:sz w:val="24"/>
          <w:szCs w:val="24"/>
          <w:highlight w:val="none"/>
        </w:rPr>
        <w:t xml:space="preserve">的</w:t>
      </w:r>
      <w:r>
        <w:rPr>
          <w:rFonts w:hint="eastAsia" w:ascii="宋体" w:hAnsi="宋体" w:eastAsia="宋体" w:cs="Times New Roman"/>
          <w:bCs/>
          <w:color w:val="000000"/>
          <w:sz w:val="24"/>
          <w:szCs w:val="24"/>
          <w:highlight w:val="none"/>
          <w:u w:val="single"/>
        </w:rPr>
        <w:t xml:space="preserve">（项目名称）</w:t>
      </w:r>
      <w:r>
        <w:rPr>
          <w:rFonts w:hint="eastAsia" w:ascii="宋体" w:hAnsi="宋体" w:eastAsia="宋体" w:cs="Times New Roman"/>
          <w:bCs/>
          <w:color w:val="000000"/>
          <w:sz w:val="24"/>
          <w:szCs w:val="24"/>
          <w:highlight w:val="none"/>
        </w:rPr>
        <w:t xml:space="preserve">采购活动，</w:t>
      </w:r>
      <w:r>
        <w:rPr>
          <w:rFonts w:ascii="宋体" w:hAnsi="宋体" w:eastAsia="宋体" w:cs="宋体"/>
          <w:color w:val="000000"/>
          <w:sz w:val="24"/>
          <w:highlight w:val="none"/>
        </w:rPr>
        <w:t xml:space="preserve">提供的货物全部由符合政策要求的中小企业制造。相关企业（含联合体中的中小企业、签订分包意向协议的中小企业） 的具体情况如下：</w:t>
      </w:r>
      <w:r>
        <w:rPr>
          <w:rFonts w:hint="eastAsia" w:ascii="宋体" w:hAnsi="宋体" w:eastAsia="宋体" w:cs="Times New Roman"/>
          <w:bCs/>
          <w:color w:val="000000"/>
          <w:sz w:val="24"/>
          <w:szCs w:val="24"/>
          <w:highlight w:val="none"/>
        </w:rPr>
        <w:t xml:space="preserve">：</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本企业对上述声明内容的真实性负责。如有虚假，将依 法承担相应责任。</w:t>
      </w:r>
      <w:r/>
    </w:p>
    <w:p>
      <w:pPr>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p>
    <w:p>
      <w:pPr>
        <w:ind w:left="5460" w:hanging="5460"/>
        <w:jc w:val="center"/>
        <w:spacing w:before="156"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投标人（电子签章）：</w:t>
      </w:r>
      <w:r/>
    </w:p>
    <w:p>
      <w:pPr>
        <w:jc w:val="center"/>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p>
    <w:p>
      <w:pPr>
        <w:ind w:firstLine="480"/>
        <w:jc w:val="left"/>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注：</w:t>
      </w:r>
      <w:r/>
    </w:p>
    <w:p>
      <w:pPr>
        <w:ind w:firstLine="840"/>
        <w:spacing w:line="360" w:lineRule="auto"/>
        <w:rPr>
          <w:rFonts w:ascii="宋体" w:hAnsi="宋体" w:eastAsia="宋体" w:cs="Times New Roman"/>
          <w:bCs/>
          <w:color w:val="000000"/>
          <w:szCs w:val="21"/>
          <w:highlight w:val="none"/>
        </w:rPr>
      </w:pPr>
      <w:r>
        <w:rPr>
          <w:rFonts w:hint="eastAsia" w:ascii="宋体" w:hAnsi="宋体" w:eastAsia="宋体" w:cs="宋体"/>
          <w:bCs/>
          <w:color w:val="000000"/>
          <w:szCs w:val="21"/>
          <w:highlight w:val="none"/>
        </w:rPr>
        <w:t xml:space="preserve">①</w:t>
      </w:r>
      <w:r>
        <w:rPr>
          <w:rFonts w:hint="eastAsia" w:ascii="宋体" w:hAnsi="宋体" w:eastAsia="宋体" w:cs="宋体"/>
          <w:bCs/>
          <w:color w:val="000000"/>
          <w:szCs w:val="21"/>
          <w:highlight w:val="none"/>
          <w:lang w:val="en-US" w:eastAsia="zh-CN"/>
        </w:rPr>
        <w:t xml:space="preserve"> </w:t>
      </w:r>
      <w:r>
        <w:rPr>
          <w:rFonts w:hint="eastAsia" w:ascii="宋体" w:hAnsi="宋体" w:eastAsia="宋体" w:cs="Times New Roman"/>
          <w:bCs/>
          <w:color w:val="000000"/>
          <w:szCs w:val="21"/>
          <w:highlight w:val="none"/>
        </w:rPr>
        <w:t xml:space="preserve">从业人员、营业收入、资产总额填报上一年度数据，无上一年度数据的新成立企业可不填报。</w:t>
      </w:r>
      <w:r/>
    </w:p>
    <w:p>
      <w:pPr>
        <w:ind w:firstLine="840"/>
        <w:jc w:val="left"/>
        <w:spacing w:line="360" w:lineRule="auto"/>
        <w:rPr>
          <w:rFonts w:ascii="宋体" w:hAnsi="宋体" w:eastAsia="宋体" w:cs="Times New Roman"/>
          <w:bCs/>
          <w:color w:val="000000"/>
          <w:szCs w:val="21"/>
          <w:highlight w:val="none"/>
        </w:rPr>
      </w:pPr>
      <w:r>
        <w:rPr>
          <w:rFonts w:hint="eastAsia" w:ascii="宋体" w:hAnsi="宋体" w:eastAsia="宋体" w:cs="宋体"/>
          <w:bCs/>
          <w:color w:val="000000"/>
          <w:szCs w:val="21"/>
          <w:highlight w:val="none"/>
          <w:lang w:eastAsia="zh-CN"/>
        </w:rPr>
        <w:t xml:space="preserve">②</w:t>
      </w:r>
      <w:r>
        <w:rPr>
          <w:rFonts w:hint="eastAsia" w:ascii="宋体" w:hAnsi="宋体" w:eastAsia="宋体" w:cs="宋体"/>
          <w:bCs/>
          <w:color w:val="000000"/>
          <w:szCs w:val="21"/>
          <w:highlight w:val="none"/>
          <w:lang w:val="en-US" w:eastAsia="zh-CN"/>
        </w:rPr>
        <w:t xml:space="preserve"> </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按照本办法规定提供声明函内容不实的，属于提供虚假材料谋取中标，依照《中华人民共和国政府采购法》等国家有关规定追究相应责任。</w:t>
      </w:r>
      <w:bookmarkStart w:id="278" w:name="OLE_LINK205"/>
      <w:r/>
      <w:r/>
    </w:p>
    <w:p>
      <w:pPr>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jc w:val="left"/>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附件2：残疾人福利性单位声明函（格式）：</w:t>
      </w:r>
      <w:r/>
    </w:p>
    <w:p>
      <w:pPr>
        <w:spacing w:line="360" w:lineRule="auto"/>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p>
    <w:p>
      <w:pPr>
        <w:jc w:val="center"/>
        <w:rPr>
          <w:rFonts w:ascii="黑体" w:hAnsi="Times New Roman" w:eastAsia="黑体" w:cs="Times New Roman"/>
          <w:bCs/>
          <w:color w:val="000000"/>
          <w:sz w:val="28"/>
          <w:szCs w:val="28"/>
          <w:highlight w:val="none"/>
        </w:rPr>
      </w:pPr>
      <w:r/>
      <w:bookmarkStart w:id="279" w:name="OLE_LINK64"/>
      <w:r/>
      <w:bookmarkStart w:id="280" w:name="OLE_LINK33"/>
      <w:r>
        <w:rPr>
          <w:rFonts w:hint="eastAsia" w:ascii="黑体" w:hAnsi="Times New Roman" w:eastAsia="黑体" w:cs="Times New Roman"/>
          <w:bCs/>
          <w:color w:val="000000"/>
          <w:sz w:val="28"/>
          <w:szCs w:val="28"/>
          <w:highlight w:val="none"/>
        </w:rPr>
        <w:t xml:space="preserve">残疾人福利性单位</w:t>
      </w:r>
      <w:bookmarkEnd w:id="279"/>
      <w:r>
        <w:rPr>
          <w:rFonts w:hint="eastAsia" w:ascii="黑体" w:hAnsi="Times New Roman" w:eastAsia="黑体" w:cs="Times New Roman"/>
          <w:bCs/>
          <w:color w:val="000000"/>
          <w:sz w:val="28"/>
          <w:szCs w:val="28"/>
          <w:highlight w:val="none"/>
        </w:rPr>
        <w:t xml:space="preserve">声明函</w:t>
      </w:r>
      <w:bookmarkEnd w:id="278"/>
      <w:r/>
      <w:bookmarkEnd w:id="280"/>
      <w:r/>
      <w:r/>
    </w:p>
    <w:p>
      <w:pPr>
        <w:spacing w:line="588" w:lineRule="exact"/>
        <w:rPr>
          <w:rFonts w:ascii="仿宋_GB2312" w:hAnsi="Times New Roman" w:eastAsia="仿宋_GB2312" w:cs="Times New Roman"/>
          <w:b/>
          <w:color w:val="000000"/>
          <w:spacing w:val="6"/>
          <w:sz w:val="30"/>
          <w:szCs w:val="30"/>
          <w:highlight w:val="none"/>
        </w:rPr>
      </w:pPr>
      <w:r>
        <w:rPr>
          <w:rFonts w:ascii="仿宋_GB2312" w:hAnsi="Times New Roman" w:eastAsia="仿宋_GB2312" w:cs="Times New Roman"/>
          <w:b/>
          <w:color w:val="000000"/>
          <w:spacing w:val="6"/>
          <w:sz w:val="30"/>
          <w:szCs w:val="30"/>
          <w:highlight w:val="none"/>
        </w:rPr>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w:t>
      </w:r>
      <w:r>
        <w:rPr>
          <w:rFonts w:hint="eastAsia" w:ascii="宋体" w:hAnsi="宋体" w:eastAsia="宋体" w:cs="Times New Roman"/>
          <w:bCs/>
          <w:color w:val="000000"/>
          <w:sz w:val="24"/>
          <w:szCs w:val="24"/>
          <w:highlight w:val="none"/>
          <w:u w:val="none"/>
        </w:rPr>
        <w:t xml:space="preserve">参加</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u w:val="none"/>
        </w:rPr>
        <w:t xml:space="preserve">的</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项目采购活动（项目编号:</w:t>
      </w:r>
      <w:r>
        <w:rPr>
          <w:rFonts w:hint="eastAsia" w:ascii="宋体" w:hAnsi="宋体" w:eastAsia="宋体" w:cs="宋体"/>
          <w:color w:val="000000"/>
          <w:sz w:val="24"/>
          <w:highlight w:val="none"/>
          <w:lang w:eastAsia="zh-CN"/>
        </w:rPr>
        <w:t xml:space="preserve">JSZC-320282-YXJX-G2026-0003</w:t>
      </w:r>
      <w:r>
        <w:rPr>
          <w:rFonts w:hint="eastAsia" w:ascii="宋体" w:hAnsi="宋体" w:eastAsia="宋体" w:cs="Times New Roman"/>
          <w:bCs/>
          <w:color w:val="000000"/>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本单位对上述声明的真实性负责。如有虚假，将依法承担相应责任。</w:t>
      </w:r>
      <w:bookmarkEnd w:id="277"/>
      <w:r/>
      <w:r/>
    </w:p>
    <w:p>
      <w:pPr>
        <w:ind w:firstLine="480"/>
        <w:spacing w:line="58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ind w:left="5460" w:hanging="5460"/>
        <w:jc w:val="center"/>
        <w:spacing w:before="156"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投标人（电子签章）：</w:t>
      </w:r>
      <w:r/>
    </w:p>
    <w:p>
      <w:pPr>
        <w:ind w:left="6370" w:hanging="6370"/>
        <w:jc w:val="center"/>
        <w:spacing w:before="156" w:line="360" w:lineRule="auto"/>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jc w:val="center"/>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0"/>
          <w:highlight w:val="none"/>
        </w:rPr>
        <w:t xml:space="preserve">                   </w:t>
      </w:r>
      <w:r/>
    </w:p>
    <w:p>
      <w:pP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附件3：</w:t>
      </w:r>
      <w:bookmarkStart w:id="281" w:name="OLE_LINK206"/>
      <w:r>
        <w:rPr>
          <w:rFonts w:hint="eastAsia" w:ascii="黑体" w:hAnsi="宋体" w:eastAsia="黑体" w:cs="Times New Roman"/>
          <w:bCs/>
          <w:color w:val="000000"/>
          <w:sz w:val="24"/>
          <w:szCs w:val="24"/>
          <w:highlight w:val="none"/>
        </w:rPr>
        <w:t xml:space="preserve">制造商企业类型声明函</w:t>
      </w:r>
      <w:bookmarkEnd w:id="281"/>
      <w:r>
        <w:rPr>
          <w:rFonts w:hint="eastAsia" w:ascii="黑体" w:hAnsi="宋体" w:eastAsia="黑体" w:cs="Times New Roman"/>
          <w:bCs/>
          <w:color w:val="000000"/>
          <w:sz w:val="24"/>
          <w:szCs w:val="24"/>
          <w:highlight w:val="none"/>
        </w:rPr>
        <w:t xml:space="preserve">（格式）：</w:t>
      </w:r>
      <w:r/>
    </w:p>
    <w:p>
      <w:pPr>
        <w:jc w:val="left"/>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p>
    <w:p>
      <w:pPr>
        <w:jc w:val="center"/>
        <w:rPr>
          <w:rFonts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 xml:space="preserve">制造商企业类型声明函</w:t>
      </w:r>
      <w:r/>
    </w:p>
    <w:p>
      <w:pPr>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本企业（单位）作为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单位的</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（请填写：中型、小型、微型）企业。</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（请填写：是、不是）残疾人福利性单位。</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（请填写：是、不是）监狱企业。后附省级以上监狱管理局、戒毒管理局（含新疆生产建设兵团）出具的属于监狱企业的证明文件。</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本企业提供本企业制造的货物。</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本企业对上述声明的真实性负责。如有虚假，将依法承担相应责任。</w:t>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本声明函经制造商和</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共同盖章生效。</w:t>
      </w:r>
      <w:r/>
    </w:p>
    <w:p>
      <w:pPr>
        <w:spacing w:line="58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制造商（签章）：</w:t>
      </w:r>
      <w:r/>
    </w:p>
    <w:p>
      <w:pPr>
        <w:ind w:firstLine="480"/>
        <w:spacing w:line="276"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投标人（电子签章）：</w:t>
      </w:r>
      <w:r/>
    </w:p>
    <w:p>
      <w:pPr>
        <w:jc w:val="center"/>
        <w:rPr>
          <w:rFonts w:ascii="宋体" w:hAnsi="宋体" w:eastAsia="宋体" w:cs="Times New Roman"/>
          <w:bCs/>
          <w:color w:val="000000"/>
          <w:sz w:val="24"/>
          <w:szCs w:val="20"/>
          <w:highlight w:val="none"/>
        </w:rPr>
      </w:pPr>
      <w:r>
        <w:rPr>
          <w:rFonts w:ascii="宋体" w:hAnsi="宋体" w:eastAsia="宋体" w:cs="Times New Roman"/>
          <w:bCs/>
          <w:color w:val="000000"/>
          <w:sz w:val="24"/>
          <w:szCs w:val="20"/>
          <w:highlight w:val="none"/>
        </w:rPr>
      </w:r>
      <w:r/>
    </w:p>
    <w:p>
      <w:pPr>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日　期：</w:t>
      </w:r>
      <w:r/>
    </w:p>
    <w:p>
      <w:pPr>
        <w:jc w:val="center"/>
        <w:rPr>
          <w:rFonts w:hint="eastAsia" w:ascii="宋体" w:hAnsi="宋体"/>
          <w:bCs/>
          <w:color w:val="000000"/>
          <w:sz w:val="24"/>
          <w:highlight w:val="none"/>
        </w:rPr>
      </w:pPr>
      <w:r>
        <w:rPr>
          <w:rFonts w:hint="eastAsia" w:ascii="宋体" w:hAnsi="宋体"/>
          <w:bCs/>
          <w:color w:val="000000"/>
          <w:sz w:val="24"/>
          <w:highlight w:val="none"/>
        </w:rPr>
      </w:r>
      <w:r/>
    </w:p>
    <w:p>
      <w:pPr>
        <w:jc w:val="center"/>
        <w:rPr>
          <w:rFonts w:hint="eastAsia" w:ascii="黑体" w:hAnsi="宋体" w:eastAsia="黑体"/>
          <w:bCs/>
          <w:color w:val="000000"/>
          <w:sz w:val="24"/>
          <w:szCs w:val="24"/>
          <w:highlight w:val="none"/>
        </w:rPr>
      </w:pPr>
      <w:r>
        <w:rPr>
          <w:rFonts w:hint="eastAsia" w:ascii="宋体" w:hAnsi="宋体"/>
          <w:bCs/>
          <w:color w:val="000000"/>
          <w:sz w:val="24"/>
          <w:highlight w:val="none"/>
        </w:rPr>
        <w:t xml:space="preserve">                             </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br w:type="page" w:clear="all"/>
      </w:r>
      <w:bookmarkEnd w:id="272"/>
      <w:r/>
      <w:bookmarkStart w:id="282" w:name="_Hlk151563840"/>
      <w:r>
        <w:rPr>
          <w:rFonts w:hint="eastAsia" w:ascii="黑体" w:hAnsi="宋体" w:eastAsia="黑体"/>
          <w:bCs/>
          <w:color w:val="000000"/>
          <w:sz w:val="28"/>
          <w:szCs w:val="28"/>
          <w:highlight w:val="none"/>
        </w:rPr>
        <w:t xml:space="preserve">（五）其他相关材料</w:t>
      </w:r>
      <w:r/>
    </w:p>
    <w:p>
      <w:pPr>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供应商根据评审方法和标准等要求，</w:t>
      </w:r>
      <w:bookmarkEnd w:id="282"/>
      <w:r>
        <w:rPr>
          <w:rFonts w:hint="eastAsia" w:ascii="宋体" w:hAnsi="宋体" w:cs="宋体"/>
          <w:color w:val="000000"/>
          <w:sz w:val="24"/>
          <w:szCs w:val="24"/>
          <w:highlight w:val="none"/>
          <w:lang w:val="zh-CN"/>
        </w:rPr>
        <w:t xml:space="preserve">提交认为需要提供的相关证明材料，如未提供证明材料的，相关评分项不得分。</w:t>
      </w:r>
      <w:r/>
    </w:p>
    <w:sectPr>
      <w:headerReference w:type="default" r:id="rId11"/>
      <w:footerReference w:type="default" r:id="rId16"/>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framePr w:wrap="around" w:vAnchor="text" w:hAnchor="margin" w:xAlign="right" w:yAlign="top"/>
    </w:pPr>
    <w:r>
      <w:fldChar w:fldCharType="begin"/>
    </w:r>
    <w:r>
      <w:instrText xml:space="preserve">PAGE   \* MERGEFORMAT</w:instrText>
    </w:r>
    <w:r>
      <w:fldChar w:fldCharType="separate"/>
    </w:r>
    <w:r>
      <w:rPr>
        <w:lang w:val="zh-CN"/>
      </w:rPr>
      <w:t xml:space="preserve">-</w:t>
    </w:r>
    <w:r>
      <w:t xml:space="preserve"> 1 -</w:t>
    </w:r>
    <w:r>
      <w:fldChar w:fldCharType="end"/>
    </w:r>
    <w:r/>
  </w:p>
  <w:p>
    <w:pPr>
      <w:pStyle w:val="1002"/>
      <w:pBdr>
        <w:between w:val="none" w:color="000000" w:sz="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etween w:val="none" w:color="000000" w:sz="0" w:space="0"/>
      </w:pBdr>
      <w:framePr w:wrap="around" w:vAnchor="text" w:hAnchor="margin" w:xAlign="center" w:yAlign="top"/>
    </w:pPr>
    <w:r>
      <w:fldChar w:fldCharType="begin"/>
    </w:r>
    <w:r>
      <w:rPr>
        <w:rStyle w:val="1017"/>
      </w:rPr>
      <w:instrText xml:space="preserve"> PAGE  </w:instrText>
    </w:r>
    <w:r>
      <w:fldChar w:fldCharType="separate"/>
    </w:r>
    <w:r>
      <w:rPr>
        <w:rStyle w:val="1017"/>
      </w:rPr>
      <w:t xml:space="preserve">- 3 -</w:t>
    </w:r>
    <w:r>
      <w:fldChar w:fldCharType="end"/>
    </w:r>
    <w:r/>
  </w:p>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framePr w:wrap="around" w:vAnchor="text" w:hAnchor="margin" w:xAlign="center" w:yAlign="top"/>
    </w:pPr>
    <w:r>
      <w:fldChar w:fldCharType="begin"/>
    </w:r>
    <w:r>
      <w:rPr>
        <w:rStyle w:val="1017"/>
      </w:rPr>
      <w:instrText xml:space="preserve"> PAGE  </w:instrText>
    </w:r>
    <w:r>
      <w:fldChar w:fldCharType="separate"/>
    </w:r>
    <w:r>
      <w:rPr>
        <w:rStyle w:val="1017"/>
      </w:rPr>
      <w:t xml:space="preserve">- 79 -</w:t>
    </w:r>
    <w:r>
      <w:fldChar w:fldCharType="end"/>
    </w:r>
    <w:r/>
  </w:p>
  <w:p>
    <w:pPr>
      <w:pStyle w:val="100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framePr w:wrap="around" w:vAnchor="text" w:hAnchor="margin" w:xAlign="center" w:yAlign="top"/>
    </w:pPr>
    <w:r>
      <w:fldChar w:fldCharType="begin"/>
    </w:r>
    <w:r>
      <w:rPr>
        <w:rStyle w:val="1017"/>
      </w:rPr>
      <w:instrText xml:space="preserve"> PAGE  </w:instrText>
    </w:r>
    <w:r>
      <w:fldChar w:fldCharType="separate"/>
    </w:r>
    <w:r>
      <w:rPr>
        <w:rStyle w:val="1017"/>
      </w:rPr>
      <w:t xml:space="preserve">- 2 -</w:t>
    </w:r>
    <w:r>
      <w:fldChar w:fldCharType="end"/>
    </w:r>
    <w:r/>
  </w:p>
  <w:p>
    <w:pPr>
      <w:pStyle w:val="1002"/>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framePr w:wrap="around" w:vAnchor="text" w:hAnchor="margin" w:xAlign="center" w:yAlign="top"/>
    </w:pPr>
    <w:r>
      <w:fldChar w:fldCharType="begin"/>
    </w:r>
    <w:r>
      <w:rPr>
        <w:rStyle w:val="1017"/>
      </w:rPr>
      <w:instrText xml:space="preserve"> PAGE  </w:instrText>
    </w:r>
    <w:r>
      <w:fldChar w:fldCharType="separate"/>
    </w:r>
    <w:r>
      <w:rPr>
        <w:rStyle w:val="1017"/>
      </w:rPr>
      <w:t xml:space="preserve">- 2 -</w:t>
    </w:r>
    <w:r>
      <w:fldChar w:fldCharType="end"/>
    </w:r>
    <w:r/>
  </w:p>
  <w:p>
    <w:pPr>
      <w:pStyle w:val="100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eastAsia="楷体"/>
      </w:rPr>
    </w:pPr>
    <w:r>
      <w:rPr>
        <w:rFonts w:hint="eastAsia"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eastAsia="楷体"/>
      </w:rPr>
    </w:pPr>
    <w:r>
      <w:rPr>
        <w:rFonts w:hint="eastAsia" w:eastAsia="楷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eastAsia="楷体"/>
      </w:rPr>
    </w:pPr>
    <w:r>
      <w:rPr>
        <w:rFonts w:hint="eastAsia" w:eastAsia="楷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4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nothing"/>
      <w:lvlText w:val=""/>
      <w:lvlJc w:val="left"/>
      <w:pPr>
        <w:ind w:left="0" w:firstLine="48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9">
    <w:multiLevelType w:val="hybridMultilevel"/>
    <w:lvl w:ilvl="0">
      <w:start w:val="1"/>
      <w:numFmt w:val="decimal"/>
      <w:pStyle w:val="1044"/>
      <w:isLgl w:val="false"/>
      <w:suff w:val="tab"/>
      <w:lvlText w:val="%1．"/>
      <w:lvlJc w:val="left"/>
      <w:pPr>
        <w:ind w:left="552" w:hanging="420"/>
        <w:tabs>
          <w:tab w:val="left" w:pos="552" w:leader="none"/>
        </w:tabs>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nothing"/>
      <w:lvlText w:val=""/>
      <w:lvlJc w:val="left"/>
      <w:pPr>
        <w:ind w:left="150" w:firstLine="48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18">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highlight w:val="yellow"/>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8"/>
  </w:num>
  <w:num w:numId="4">
    <w:abstractNumId w:val="3"/>
  </w:num>
  <w:num w:numId="5">
    <w:abstractNumId w:val="2"/>
  </w:num>
  <w:num w:numId="6">
    <w:abstractNumId w:val="11"/>
  </w:num>
  <w:num w:numId="7">
    <w:abstractNumId w:val="14"/>
  </w:num>
  <w:num w:numId="8">
    <w:abstractNumId w:val="20"/>
  </w:num>
  <w:num w:numId="9">
    <w:abstractNumId w:val="10"/>
  </w:num>
  <w:num w:numId="10">
    <w:abstractNumId w:val="0"/>
  </w:num>
  <w:num w:numId="11">
    <w:abstractNumId w:val="15"/>
  </w:num>
  <w:num w:numId="12">
    <w:abstractNumId w:val="19"/>
  </w:num>
  <w:num w:numId="13">
    <w:abstractNumId w:val="4"/>
  </w:num>
  <w:num w:numId="14">
    <w:abstractNumId w:val="17"/>
  </w:num>
  <w:num w:numId="15">
    <w:abstractNumId w:val="8"/>
  </w:num>
  <w:num w:numId="16">
    <w:abstractNumId w:val="13"/>
  </w:num>
  <w:num w:numId="17">
    <w:abstractNumId w:val="7"/>
  </w:num>
  <w:num w:numId="18">
    <w:abstractNumId w:val="21"/>
  </w:num>
  <w:num w:numId="19">
    <w:abstractNumId w:val="6"/>
  </w:num>
  <w:num w:numId="20">
    <w:abstractNumId w:val="1"/>
  </w:num>
  <w:num w:numId="21">
    <w:abstractNumId w:val="16"/>
    <w:lvlOverride w:ilvl="0">
      <w:startOverride w:val="8"/>
    </w:lvlOverride>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1039"/>
    <w:uiPriority w:val="0"/>
    <w:qFormat/>
    <w:pPr>
      <w:jc w:val="both"/>
      <w:widowControl w:val="off"/>
    </w:pPr>
    <w:rPr>
      <w:rFonts w:hint="default" w:ascii="Times New Roman" w:hAnsi="Times New Roman" w:eastAsia="宋体" w:cs="Times New Roman"/>
      <w:sz w:val="21"/>
      <w:lang w:val="en-US" w:eastAsia="zh-CN" w:bidi="ar-SA"/>
    </w:rPr>
  </w:style>
  <w:style w:type="paragraph" w:styleId="800">
    <w:name w:val="Heading 1"/>
    <w:basedOn w:val="799"/>
    <w:next w:val="799"/>
    <w:link w:val="832"/>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33"/>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34"/>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35"/>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36"/>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37"/>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39"/>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40"/>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right="0" w:firstLine="0"/>
      <w:spacing w:after="57"/>
    </w:pPr>
  </w:style>
  <w:style w:type="paragraph" w:styleId="812">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toc 5"/>
    <w:basedOn w:val="799"/>
    <w:next w:val="799"/>
    <w:uiPriority w:val="39"/>
    <w:unhideWhenUsed/>
    <w:qFormat/>
    <w:pPr>
      <w:ind w:left="1134" w:right="0" w:firstLine="0"/>
      <w:spacing w:after="57"/>
    </w:pPr>
  </w:style>
  <w:style w:type="paragraph" w:styleId="814">
    <w:name w:val="toc 3"/>
    <w:basedOn w:val="799"/>
    <w:next w:val="799"/>
    <w:uiPriority w:val="39"/>
    <w:unhideWhenUsed/>
    <w:qFormat/>
    <w:pPr>
      <w:ind w:left="567" w:right="0" w:firstLine="0"/>
      <w:spacing w:after="57"/>
    </w:pPr>
  </w:style>
  <w:style w:type="paragraph" w:styleId="815">
    <w:name w:val="toc 8"/>
    <w:basedOn w:val="799"/>
    <w:next w:val="799"/>
    <w:uiPriority w:val="39"/>
    <w:unhideWhenUsed/>
    <w:qFormat/>
    <w:pPr>
      <w:ind w:left="1984" w:right="0" w:firstLine="0"/>
      <w:spacing w:after="57"/>
    </w:pPr>
  </w:style>
  <w:style w:type="paragraph" w:styleId="816">
    <w:name w:val="endnote text"/>
    <w:basedOn w:val="799"/>
    <w:link w:val="978"/>
    <w:uiPriority w:val="99"/>
    <w:semiHidden/>
    <w:unhideWhenUsed/>
    <w:qFormat/>
    <w:pPr>
      <w:spacing w:after="0" w:line="240" w:lineRule="auto"/>
    </w:pPr>
    <w:rPr>
      <w:sz w:val="20"/>
    </w:rPr>
  </w:style>
  <w:style w:type="paragraph" w:styleId="817">
    <w:name w:val="Footer"/>
    <w:basedOn w:val="799"/>
    <w:link w:val="851"/>
    <w:uiPriority w:val="99"/>
    <w:unhideWhenUsed/>
    <w:qFormat/>
    <w:pPr>
      <w:spacing w:after="0" w:line="240" w:lineRule="auto"/>
      <w:tabs>
        <w:tab w:val="center" w:pos="7143" w:leader="none"/>
        <w:tab w:val="right" w:pos="14287" w:leader="none"/>
      </w:tabs>
    </w:pPr>
  </w:style>
  <w:style w:type="paragraph" w:styleId="818">
    <w:name w:val="Header"/>
    <w:basedOn w:val="799"/>
    <w:link w:val="849"/>
    <w:uiPriority w:val="99"/>
    <w:unhideWhenUsed/>
    <w:qFormat/>
    <w:pPr>
      <w:spacing w:after="0" w:line="240" w:lineRule="auto"/>
      <w:tabs>
        <w:tab w:val="center" w:pos="7143" w:leader="none"/>
        <w:tab w:val="right" w:pos="14287" w:leader="none"/>
      </w:tabs>
    </w:pPr>
  </w:style>
  <w:style w:type="paragraph" w:styleId="819">
    <w:name w:val="toc 1"/>
    <w:basedOn w:val="799"/>
    <w:next w:val="799"/>
    <w:uiPriority w:val="39"/>
    <w:unhideWhenUsed/>
    <w:qFormat/>
    <w:pPr>
      <w:ind w:left="0" w:right="0" w:firstLine="0"/>
      <w:spacing w:after="57"/>
    </w:pPr>
  </w:style>
  <w:style w:type="paragraph" w:styleId="820">
    <w:name w:val="toc 4"/>
    <w:basedOn w:val="799"/>
    <w:next w:val="799"/>
    <w:uiPriority w:val="39"/>
    <w:unhideWhenUsed/>
    <w:qFormat/>
    <w:pPr>
      <w:ind w:left="850" w:right="0" w:firstLine="0"/>
      <w:spacing w:after="57"/>
    </w:pPr>
  </w:style>
  <w:style w:type="paragraph" w:styleId="821">
    <w:name w:val="Subtitle"/>
    <w:basedOn w:val="799"/>
    <w:next w:val="799"/>
    <w:link w:val="844"/>
    <w:uiPriority w:val="11"/>
    <w:qFormat/>
    <w:pPr>
      <w:spacing w:before="200" w:after="200"/>
    </w:pPr>
    <w:rPr>
      <w:sz w:val="24"/>
      <w:szCs w:val="24"/>
    </w:rPr>
  </w:style>
  <w:style w:type="paragraph" w:styleId="822">
    <w:name w:val="footnote text"/>
    <w:basedOn w:val="799"/>
    <w:link w:val="977"/>
    <w:uiPriority w:val="99"/>
    <w:semiHidden/>
    <w:unhideWhenUsed/>
    <w:qFormat/>
    <w:pPr>
      <w:spacing w:after="40" w:line="240" w:lineRule="auto"/>
    </w:pPr>
    <w:rPr>
      <w:sz w:val="18"/>
    </w:rPr>
  </w:style>
  <w:style w:type="paragraph" w:styleId="823">
    <w:name w:val="toc 6"/>
    <w:basedOn w:val="799"/>
    <w:next w:val="799"/>
    <w:uiPriority w:val="39"/>
    <w:unhideWhenUsed/>
    <w:qFormat/>
    <w:pPr>
      <w:ind w:left="1417" w:right="0" w:firstLine="0"/>
      <w:spacing w:after="57"/>
    </w:pPr>
  </w:style>
  <w:style w:type="paragraph" w:styleId="824">
    <w:name w:val="table of figures"/>
    <w:basedOn w:val="799"/>
    <w:next w:val="799"/>
    <w:uiPriority w:val="99"/>
    <w:unhideWhenUsed/>
    <w:qFormat/>
    <w:pPr>
      <w:spacing w:after="0" w:afterAutospacing="0"/>
    </w:pPr>
  </w:style>
  <w:style w:type="paragraph" w:styleId="825">
    <w:name w:val="toc 2"/>
    <w:basedOn w:val="799"/>
    <w:next w:val="799"/>
    <w:uiPriority w:val="39"/>
    <w:unhideWhenUsed/>
    <w:qFormat/>
    <w:pPr>
      <w:ind w:left="283" w:right="0" w:firstLine="0"/>
      <w:spacing w:after="57"/>
    </w:pPr>
  </w:style>
  <w:style w:type="paragraph" w:styleId="826">
    <w:name w:val="toc 9"/>
    <w:basedOn w:val="799"/>
    <w:next w:val="799"/>
    <w:uiPriority w:val="39"/>
    <w:unhideWhenUsed/>
    <w:qFormat/>
    <w:pPr>
      <w:ind w:left="2268" w:right="0" w:firstLine="0"/>
      <w:spacing w:after="57"/>
    </w:pPr>
  </w:style>
  <w:style w:type="paragraph" w:styleId="827">
    <w:name w:val="Title"/>
    <w:basedOn w:val="799"/>
    <w:next w:val="799"/>
    <w:link w:val="843"/>
    <w:uiPriority w:val="10"/>
    <w:qFormat/>
    <w:pPr>
      <w:contextualSpacing/>
      <w:spacing w:before="300" w:after="200"/>
    </w:pPr>
    <w:rPr>
      <w:sz w:val="48"/>
      <w:szCs w:val="48"/>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character" w:styleId="832" w:customStyle="1">
    <w:name w:val="Heading 1 Char"/>
    <w:link w:val="800"/>
    <w:uiPriority w:val="9"/>
    <w:qFormat/>
    <w:rPr>
      <w:rFonts w:ascii="Arial" w:hAnsi="Arial" w:eastAsia="Arial" w:cs="Arial"/>
      <w:sz w:val="40"/>
      <w:szCs w:val="40"/>
    </w:rPr>
  </w:style>
  <w:style w:type="character" w:styleId="833" w:customStyle="1">
    <w:name w:val="Heading 2 Char"/>
    <w:link w:val="801"/>
    <w:uiPriority w:val="9"/>
    <w:qFormat/>
    <w:rPr>
      <w:rFonts w:ascii="Arial" w:hAnsi="Arial" w:eastAsia="Arial" w:cs="Arial"/>
      <w:sz w:val="34"/>
    </w:rPr>
  </w:style>
  <w:style w:type="character" w:styleId="834" w:customStyle="1">
    <w:name w:val="Heading 3 Char"/>
    <w:link w:val="802"/>
    <w:uiPriority w:val="9"/>
    <w:qFormat/>
    <w:rPr>
      <w:rFonts w:ascii="Arial" w:hAnsi="Arial" w:eastAsia="Arial" w:cs="Arial"/>
      <w:sz w:val="30"/>
      <w:szCs w:val="30"/>
    </w:rPr>
  </w:style>
  <w:style w:type="character" w:styleId="835" w:customStyle="1">
    <w:name w:val="Heading 4 Char"/>
    <w:link w:val="803"/>
    <w:uiPriority w:val="9"/>
    <w:qFormat/>
    <w:rPr>
      <w:rFonts w:ascii="Arial" w:hAnsi="Arial" w:eastAsia="Arial" w:cs="Arial"/>
      <w:b/>
      <w:bCs/>
      <w:sz w:val="26"/>
      <w:szCs w:val="26"/>
    </w:rPr>
  </w:style>
  <w:style w:type="character" w:styleId="836" w:customStyle="1">
    <w:name w:val="Heading 5 Char"/>
    <w:link w:val="804"/>
    <w:uiPriority w:val="9"/>
    <w:qFormat/>
    <w:rPr>
      <w:rFonts w:ascii="Arial" w:hAnsi="Arial" w:eastAsia="Arial" w:cs="Arial"/>
      <w:b/>
      <w:bCs/>
      <w:sz w:val="24"/>
      <w:szCs w:val="24"/>
    </w:rPr>
  </w:style>
  <w:style w:type="character" w:styleId="837" w:customStyle="1">
    <w:name w:val="Heading 6 Char"/>
    <w:link w:val="805"/>
    <w:uiPriority w:val="9"/>
    <w:qFormat/>
    <w:rPr>
      <w:rFonts w:ascii="Arial" w:hAnsi="Arial" w:eastAsia="Arial" w:cs="Arial"/>
      <w:b/>
      <w:bCs/>
      <w:sz w:val="22"/>
      <w:szCs w:val="22"/>
    </w:rPr>
  </w:style>
  <w:style w:type="character" w:styleId="838" w:customStyle="1">
    <w:name w:val="Heading 7 Char"/>
    <w:link w:val="806"/>
    <w:uiPriority w:val="9"/>
    <w:qFormat/>
    <w:rPr>
      <w:rFonts w:ascii="Arial" w:hAnsi="Arial" w:eastAsia="Arial" w:cs="Arial"/>
      <w:b/>
      <w:bCs/>
      <w:i/>
      <w:iCs/>
      <w:sz w:val="22"/>
      <w:szCs w:val="22"/>
    </w:rPr>
  </w:style>
  <w:style w:type="character" w:styleId="839" w:customStyle="1">
    <w:name w:val="Heading 8 Char"/>
    <w:link w:val="807"/>
    <w:uiPriority w:val="9"/>
    <w:qFormat/>
    <w:rPr>
      <w:rFonts w:ascii="Arial" w:hAnsi="Arial" w:eastAsia="Arial" w:cs="Arial"/>
      <w:i/>
      <w:iCs/>
      <w:sz w:val="22"/>
      <w:szCs w:val="22"/>
    </w:rPr>
  </w:style>
  <w:style w:type="character" w:styleId="840" w:customStyle="1">
    <w:name w:val="Heading 9 Char"/>
    <w:link w:val="808"/>
    <w:uiPriority w:val="9"/>
    <w:qFormat/>
    <w:rPr>
      <w:rFonts w:ascii="Arial" w:hAnsi="Arial" w:eastAsia="Arial" w:cs="Arial"/>
      <w:i/>
      <w:iCs/>
      <w:sz w:val="21"/>
      <w:szCs w:val="21"/>
    </w:rPr>
  </w:style>
  <w:style w:type="paragraph" w:styleId="841">
    <w:name w:val="List Paragraph"/>
    <w:basedOn w:val="799"/>
    <w:uiPriority w:val="34"/>
    <w:qFormat/>
    <w:pPr>
      <w:contextualSpacing/>
      <w:ind w:left="720"/>
    </w:p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link w:val="827"/>
    <w:uiPriority w:val="10"/>
    <w:qFormat/>
    <w:rPr>
      <w:sz w:val="48"/>
      <w:szCs w:val="48"/>
    </w:rPr>
  </w:style>
  <w:style w:type="character" w:styleId="844" w:customStyle="1">
    <w:name w:val="Subtitle Char"/>
    <w:link w:val="821"/>
    <w:uiPriority w:val="11"/>
    <w:qFormat/>
    <w:rPr>
      <w:sz w:val="24"/>
      <w:szCs w:val="24"/>
    </w:rPr>
  </w:style>
  <w:style w:type="paragraph" w:styleId="845">
    <w:name w:val="Quote"/>
    <w:basedOn w:val="799"/>
    <w:next w:val="799"/>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799"/>
    <w:next w:val="799"/>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Header Char"/>
    <w:link w:val="818"/>
    <w:uiPriority w:val="99"/>
    <w:qFormat/>
  </w:style>
  <w:style w:type="character" w:styleId="850" w:customStyle="1">
    <w:name w:val="Footer Char"/>
    <w:link w:val="817"/>
    <w:uiPriority w:val="99"/>
    <w:qFormat/>
  </w:style>
  <w:style w:type="character" w:styleId="851" w:customStyle="1">
    <w:name w:val="Caption Char"/>
    <w:link w:val="817"/>
    <w:uiPriority w:val="99"/>
    <w:qFormat/>
  </w:style>
  <w:style w:type="table" w:styleId="8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Footnote Text Char"/>
    <w:link w:val="822"/>
    <w:uiPriority w:val="99"/>
    <w:qFormat/>
    <w:rPr>
      <w:sz w:val="18"/>
    </w:rPr>
  </w:style>
  <w:style w:type="character" w:styleId="978" w:customStyle="1">
    <w:name w:val="Endnote Text Char"/>
    <w:link w:val="816"/>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标题 11"/>
    <w:basedOn w:val="799"/>
    <w:next w:val="799"/>
    <w:link w:val="991"/>
    <w:uiPriority w:val="0"/>
    <w:qFormat/>
    <w:pPr>
      <w:keepLines/>
      <w:keepNext/>
      <w:spacing w:before="340" w:beforeAutospacing="0" w:after="330" w:afterAutospacing="0" w:line="576" w:lineRule="auto"/>
      <w:outlineLvl w:val="0"/>
    </w:pPr>
    <w:rPr>
      <w:b/>
      <w:sz w:val="44"/>
    </w:rPr>
  </w:style>
  <w:style w:type="paragraph" w:styleId="981" w:customStyle="1">
    <w:name w:val="标题 21"/>
    <w:basedOn w:val="799"/>
    <w:next w:val="799"/>
    <w:uiPriority w:val="0"/>
    <w:qFormat/>
    <w:pPr>
      <w:keepLines/>
      <w:keepNext/>
      <w:spacing w:before="260" w:beforeAutospacing="0" w:after="260" w:afterAutospacing="0" w:line="413" w:lineRule="auto"/>
      <w:outlineLvl w:val="1"/>
    </w:pPr>
    <w:rPr>
      <w:rFonts w:ascii="Arial" w:hAnsi="Arial" w:eastAsia="黑体"/>
      <w:b/>
      <w:sz w:val="32"/>
    </w:rPr>
  </w:style>
  <w:style w:type="paragraph" w:styleId="982" w:customStyle="1">
    <w:name w:val="标题 31"/>
    <w:basedOn w:val="799"/>
    <w:next w:val="799"/>
    <w:uiPriority w:val="0"/>
    <w:qFormat/>
    <w:pPr>
      <w:keepLines/>
      <w:keepNext/>
      <w:spacing w:before="260" w:beforeAutospacing="0" w:after="260" w:afterAutospacing="0" w:line="413" w:lineRule="auto"/>
      <w:outlineLvl w:val="2"/>
    </w:pPr>
    <w:rPr>
      <w:b/>
      <w:sz w:val="32"/>
    </w:rPr>
  </w:style>
  <w:style w:type="paragraph" w:styleId="983" w:customStyle="1">
    <w:name w:val="标题 41"/>
    <w:basedOn w:val="799"/>
    <w:next w:val="799"/>
    <w:uiPriority w:val="0"/>
    <w:qFormat/>
    <w:pPr>
      <w:keepLines/>
      <w:keepNext/>
      <w:spacing w:before="280" w:beforeAutospacing="0" w:after="290" w:afterAutospacing="0" w:line="372" w:lineRule="auto"/>
      <w:outlineLvl w:val="3"/>
    </w:pPr>
    <w:rPr>
      <w:rFonts w:ascii="Arial" w:hAnsi="Arial" w:eastAsia="黑体"/>
      <w:b/>
      <w:sz w:val="28"/>
    </w:rPr>
  </w:style>
  <w:style w:type="paragraph" w:styleId="984" w:customStyle="1">
    <w:name w:val="标题 51"/>
    <w:basedOn w:val="799"/>
    <w:next w:val="799"/>
    <w:uiPriority w:val="0"/>
    <w:qFormat/>
    <w:pPr>
      <w:keepLines/>
      <w:keepNext/>
      <w:spacing w:before="280" w:beforeAutospacing="0" w:after="290" w:afterAutospacing="0" w:line="372" w:lineRule="auto"/>
      <w:outlineLvl w:val="4"/>
    </w:pPr>
    <w:rPr>
      <w:b/>
      <w:sz w:val="28"/>
    </w:rPr>
  </w:style>
  <w:style w:type="paragraph" w:styleId="985" w:customStyle="1">
    <w:name w:val="标题 61"/>
    <w:basedOn w:val="799"/>
    <w:next w:val="799"/>
    <w:uiPriority w:val="0"/>
    <w:qFormat/>
    <w:pPr>
      <w:keepLines/>
      <w:keepNext/>
      <w:spacing w:before="240" w:beforeAutospacing="0" w:after="64" w:afterAutospacing="0" w:line="317" w:lineRule="auto"/>
      <w:outlineLvl w:val="5"/>
    </w:pPr>
    <w:rPr>
      <w:rFonts w:ascii="Arial" w:hAnsi="Arial" w:eastAsia="黑体"/>
      <w:b/>
      <w:sz w:val="24"/>
    </w:rPr>
  </w:style>
  <w:style w:type="paragraph" w:styleId="986" w:customStyle="1">
    <w:name w:val="标题 71"/>
    <w:basedOn w:val="799"/>
    <w:next w:val="799"/>
    <w:uiPriority w:val="0"/>
    <w:qFormat/>
    <w:pPr>
      <w:keepLines/>
      <w:keepNext/>
      <w:spacing w:before="240" w:beforeAutospacing="0" w:after="64" w:afterAutospacing="0" w:line="317" w:lineRule="auto"/>
      <w:outlineLvl w:val="6"/>
    </w:pPr>
    <w:rPr>
      <w:b/>
      <w:sz w:val="24"/>
    </w:rPr>
  </w:style>
  <w:style w:type="paragraph" w:styleId="987" w:customStyle="1">
    <w:name w:val="标题 81"/>
    <w:basedOn w:val="799"/>
    <w:next w:val="799"/>
    <w:uiPriority w:val="0"/>
    <w:qFormat/>
    <w:pPr>
      <w:keepLines/>
      <w:keepNext/>
      <w:spacing w:before="240" w:beforeAutospacing="0" w:after="64" w:afterAutospacing="0" w:line="317" w:lineRule="auto"/>
      <w:outlineLvl w:val="7"/>
    </w:pPr>
    <w:rPr>
      <w:rFonts w:ascii="Arial" w:hAnsi="Arial" w:eastAsia="黑体"/>
      <w:sz w:val="24"/>
    </w:rPr>
  </w:style>
  <w:style w:type="paragraph" w:styleId="988" w:customStyle="1">
    <w:name w:val="标题 91"/>
    <w:basedOn w:val="799"/>
    <w:next w:val="799"/>
    <w:uiPriority w:val="0"/>
    <w:qFormat/>
    <w:pPr>
      <w:keepLines/>
      <w:keepNext/>
      <w:spacing w:before="240" w:beforeAutospacing="0" w:after="64" w:afterAutospacing="0" w:line="317" w:lineRule="auto"/>
      <w:outlineLvl w:val="8"/>
    </w:pPr>
    <w:rPr>
      <w:rFonts w:ascii="Arial" w:hAnsi="Arial" w:eastAsia="黑体"/>
      <w:sz w:val="21"/>
    </w:rPr>
  </w:style>
  <w:style w:type="character" w:styleId="989" w:customStyle="1">
    <w:name w:val="默认段落字体11"/>
    <w:link w:val="799"/>
    <w:uiPriority w:val="0"/>
    <w:qFormat/>
  </w:style>
  <w:style w:type="table" w:styleId="990" w:customStyle="1">
    <w:name w:val="普通表格1"/>
    <w:uiPriority w:val="99"/>
    <w:unhideWhenUsed/>
    <w:qFormat/>
    <w:tblPr/>
  </w:style>
  <w:style w:type="character" w:styleId="991" w:customStyle="1">
    <w:name w:val="标题 1 Char"/>
    <w:link w:val="980"/>
    <w:uiPriority w:val="0"/>
    <w:qFormat/>
    <w:rPr>
      <w:b/>
      <w:sz w:val="44"/>
    </w:rPr>
  </w:style>
  <w:style w:type="paragraph" w:styleId="992" w:customStyle="1">
    <w:name w:val="批注文字1"/>
    <w:basedOn w:val="799"/>
    <w:link w:val="993"/>
    <w:uiPriority w:val="0"/>
    <w:qFormat/>
    <w:pPr>
      <w:jc w:val="left"/>
    </w:pPr>
  </w:style>
  <w:style w:type="character" w:styleId="993" w:customStyle="1">
    <w:name w:val="批注文字 Char"/>
    <w:link w:val="992"/>
    <w:uiPriority w:val="0"/>
    <w:qFormat/>
    <w:rPr>
      <w:sz w:val="21"/>
    </w:rPr>
  </w:style>
  <w:style w:type="paragraph" w:styleId="994" w:customStyle="1">
    <w:name w:val="正文文本11"/>
    <w:basedOn w:val="799"/>
    <w:next w:val="995"/>
    <w:uiPriority w:val="0"/>
    <w:qFormat/>
    <w:rPr>
      <w:rFonts w:cs="Times New Roman"/>
      <w:sz w:val="20"/>
      <w:szCs w:val="20"/>
    </w:rPr>
  </w:style>
  <w:style w:type="paragraph" w:styleId="995" w:customStyle="1">
    <w:name w:val="正文首行缩进1"/>
    <w:basedOn w:val="994"/>
    <w:next w:val="996"/>
    <w:uiPriority w:val="99"/>
    <w:unhideWhenUsed/>
    <w:qFormat/>
    <w:rPr>
      <w:rFonts w:hAnsi="Times New Roman"/>
    </w:rPr>
  </w:style>
  <w:style w:type="paragraph" w:styleId="996" w:customStyle="1">
    <w:name w:val="目录 61"/>
    <w:basedOn w:val="799"/>
    <w:next w:val="799"/>
    <w:uiPriority w:val="39"/>
    <w:unhideWhenUsed/>
    <w:qFormat/>
    <w:pPr>
      <w:ind w:left="1417" w:right="0" w:firstLine="0"/>
      <w:spacing w:after="57"/>
    </w:pPr>
  </w:style>
  <w:style w:type="paragraph" w:styleId="997" w:customStyle="1">
    <w:name w:val="正文文本缩进1"/>
    <w:basedOn w:val="799"/>
    <w:next w:val="998"/>
    <w:link w:val="999"/>
    <w:uiPriority w:val="99"/>
    <w:unhideWhenUsed/>
    <w:qFormat/>
    <w:pPr>
      <w:ind w:left="420"/>
      <w:spacing w:after="120"/>
    </w:pPr>
  </w:style>
  <w:style w:type="paragraph" w:styleId="998" w:customStyle="1">
    <w:name w:val="寄信人地址1"/>
    <w:basedOn w:val="799"/>
    <w:uiPriority w:val="0"/>
    <w:qFormat/>
    <w:rPr>
      <w:rFonts w:ascii="Arial" w:hAnsi="Arial"/>
    </w:rPr>
  </w:style>
  <w:style w:type="character" w:styleId="999" w:customStyle="1">
    <w:name w:val="正文文本缩进 Char"/>
    <w:link w:val="997"/>
    <w:uiPriority w:val="99"/>
    <w:semiHidden/>
    <w:qFormat/>
    <w:rPr>
      <w:sz w:val="21"/>
    </w:rPr>
  </w:style>
  <w:style w:type="paragraph" w:styleId="1000" w:customStyle="1">
    <w:name w:val="纯文本111"/>
    <w:basedOn w:val="799"/>
    <w:uiPriority w:val="0"/>
    <w:qFormat/>
    <w:rPr>
      <w:rFonts w:ascii="宋体" w:hAnsi="Courier New"/>
    </w:rPr>
  </w:style>
  <w:style w:type="paragraph" w:styleId="1001" w:customStyle="1">
    <w:name w:val="批注框文本1"/>
    <w:basedOn w:val="799"/>
    <w:uiPriority w:val="0"/>
    <w:semiHidden/>
    <w:qFormat/>
    <w:rPr>
      <w:sz w:val="18"/>
      <w:szCs w:val="18"/>
    </w:rPr>
  </w:style>
  <w:style w:type="paragraph" w:styleId="1002" w:customStyle="1">
    <w:name w:val="页脚1"/>
    <w:basedOn w:val="799"/>
    <w:link w:val="1003"/>
    <w:uiPriority w:val="0"/>
    <w:qFormat/>
    <w:pPr>
      <w:jc w:val="left"/>
      <w:tabs>
        <w:tab w:val="center" w:pos="4153" w:leader="none"/>
        <w:tab w:val="right" w:pos="8306" w:leader="none"/>
      </w:tabs>
    </w:pPr>
    <w:rPr>
      <w:sz w:val="18"/>
    </w:rPr>
  </w:style>
  <w:style w:type="character" w:styleId="1003" w:customStyle="1">
    <w:name w:val="页脚 Char"/>
    <w:link w:val="1002"/>
    <w:uiPriority w:val="99"/>
    <w:qFormat/>
    <w:rPr>
      <w:sz w:val="18"/>
    </w:rPr>
  </w:style>
  <w:style w:type="paragraph" w:styleId="1004" w:customStyle="1">
    <w:name w:val="页眉1"/>
    <w:basedOn w:val="799"/>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05" w:customStyle="1">
    <w:name w:val="目录 11"/>
    <w:basedOn w:val="799"/>
    <w:next w:val="799"/>
    <w:uiPriority w:val="0"/>
    <w:qFormat/>
  </w:style>
  <w:style w:type="paragraph" w:styleId="1006" w:customStyle="1">
    <w:name w:val="正文文本缩进 31"/>
    <w:basedOn w:val="799"/>
    <w:uiPriority w:val="0"/>
    <w:qFormat/>
    <w:pPr>
      <w:ind w:left="420"/>
      <w:jc w:val="left"/>
      <w:spacing w:after="120"/>
      <w:widowControl/>
    </w:pPr>
    <w:rPr>
      <w:sz w:val="16"/>
      <w:szCs w:val="16"/>
    </w:rPr>
  </w:style>
  <w:style w:type="paragraph" w:styleId="1007" w:customStyle="1">
    <w:name w:val="目录 21"/>
    <w:basedOn w:val="799"/>
    <w:next w:val="799"/>
    <w:uiPriority w:val="0"/>
    <w:qFormat/>
    <w:pPr>
      <w:ind w:left="420"/>
    </w:pPr>
  </w:style>
  <w:style w:type="paragraph" w:styleId="1008" w:customStyle="1">
    <w:name w:val="正文文本 21"/>
    <w:basedOn w:val="799"/>
    <w:uiPriority w:val="0"/>
    <w:qFormat/>
    <w:pPr>
      <w:spacing w:after="120" w:line="480" w:lineRule="auto"/>
    </w:pPr>
    <w:rPr>
      <w:rFonts w:cs="Times New Roman"/>
      <w:sz w:val="20"/>
      <w:szCs w:val="20"/>
    </w:rPr>
  </w:style>
  <w:style w:type="paragraph" w:styleId="1009" w:customStyle="1">
    <w:name w:val="普通(网站)1"/>
    <w:basedOn w:val="799"/>
    <w:link w:val="1020"/>
    <w:uiPriority w:val="99"/>
    <w:unhideWhenUsed/>
    <w:qFormat/>
    <w:pPr>
      <w:jc w:val="left"/>
      <w:spacing w:beforeAutospacing="1" w:afterAutospacing="1"/>
    </w:pPr>
    <w:rPr>
      <w:rFonts w:cs="Times New Roman"/>
      <w:sz w:val="24"/>
    </w:rPr>
  </w:style>
  <w:style w:type="character" w:styleId="1010" w:customStyle="1">
    <w:name w:val="普通(网站) 字符"/>
    <w:link w:val="1009"/>
    <w:uiPriority w:val="99"/>
    <w:qFormat/>
    <w:rPr>
      <w:rFonts w:cs="Times New Roman"/>
      <w:sz w:val="24"/>
    </w:rPr>
  </w:style>
  <w:style w:type="paragraph" w:styleId="1011" w:customStyle="1">
    <w:name w:val="批注主题1"/>
    <w:basedOn w:val="992"/>
    <w:next w:val="992"/>
    <w:link w:val="1012"/>
    <w:uiPriority w:val="99"/>
    <w:unhideWhenUsed/>
    <w:qFormat/>
    <w:rPr>
      <w:b/>
      <w:bCs/>
    </w:rPr>
  </w:style>
  <w:style w:type="character" w:styleId="1012" w:customStyle="1">
    <w:name w:val="批注主题 Char"/>
    <w:link w:val="1011"/>
    <w:uiPriority w:val="99"/>
    <w:semiHidden/>
    <w:qFormat/>
    <w:rPr>
      <w:b/>
      <w:bCs/>
      <w:sz w:val="21"/>
    </w:rPr>
  </w:style>
  <w:style w:type="paragraph" w:styleId="1013" w:customStyle="1">
    <w:name w:val="正文首行缩进 21"/>
    <w:basedOn w:val="997"/>
    <w:link w:val="1014"/>
    <w:uiPriority w:val="0"/>
    <w:qFormat/>
    <w:pPr>
      <w:ind w:firstLine="420"/>
    </w:pPr>
    <w:rPr>
      <w:sz w:val="24"/>
      <w:szCs w:val="24"/>
    </w:rPr>
  </w:style>
  <w:style w:type="character" w:styleId="1014" w:customStyle="1">
    <w:name w:val="正文首行缩进 2 Char"/>
    <w:link w:val="1013"/>
    <w:uiPriority w:val="0"/>
    <w:qFormat/>
    <w:rPr>
      <w:sz w:val="24"/>
      <w:szCs w:val="24"/>
    </w:rPr>
  </w:style>
  <w:style w:type="table" w:styleId="1015" w:customStyle="1">
    <w:name w:val="网格型11"/>
    <w:basedOn w:val="990"/>
    <w:uiPriority w:val="59"/>
    <w:qFormat/>
    <w:pPr>
      <w:jc w:val="both"/>
      <w:widowControl w:val="off"/>
    </w:pPr>
    <w:tblPr/>
  </w:style>
  <w:style w:type="character" w:styleId="1016" w:customStyle="1">
    <w:name w:val="要点1"/>
    <w:basedOn w:val="989"/>
    <w:link w:val="799"/>
    <w:uiPriority w:val="22"/>
    <w:qFormat/>
    <w:rPr>
      <w:b/>
    </w:rPr>
  </w:style>
  <w:style w:type="character" w:styleId="1017" w:customStyle="1">
    <w:name w:val="页码1"/>
    <w:link w:val="799"/>
    <w:uiPriority w:val="0"/>
    <w:qFormat/>
  </w:style>
  <w:style w:type="character" w:styleId="1018" w:customStyle="1">
    <w:name w:val="已访问的超链接1"/>
    <w:link w:val="799"/>
    <w:uiPriority w:val="0"/>
    <w:qFormat/>
    <w:rPr>
      <w:color w:val="000000"/>
      <w:u w:val="none"/>
    </w:rPr>
  </w:style>
  <w:style w:type="character" w:styleId="1019" w:customStyle="1">
    <w:name w:val="批注引用1"/>
    <w:link w:val="799"/>
    <w:uiPriority w:val="99"/>
    <w:unhideWhenUsed/>
    <w:qFormat/>
    <w:rPr>
      <w:sz w:val="21"/>
      <w:szCs w:val="21"/>
    </w:rPr>
  </w:style>
  <w:style w:type="character" w:styleId="1020" w:customStyle="1">
    <w:name w:val="普通(网站) Char"/>
    <w:link w:val="1009"/>
    <w:uiPriority w:val="99"/>
    <w:qFormat/>
    <w:rPr>
      <w:rFonts w:cs="Times New Roman"/>
      <w:sz w:val="24"/>
    </w:rPr>
  </w:style>
  <w:style w:type="character" w:styleId="1021" w:customStyle="1">
    <w:name w:val="默认段落字体1"/>
    <w:link w:val="799"/>
    <w:uiPriority w:val="0"/>
    <w:semiHidden/>
    <w:qFormat/>
  </w:style>
  <w:style w:type="character" w:styleId="1022" w:customStyle="1">
    <w:name w:val="NormalCharacter1"/>
    <w:link w:val="799"/>
    <w:uiPriority w:val="0"/>
    <w:qFormat/>
    <w:rPr>
      <w:rFonts w:ascii="Times New Roman" w:hAnsi="Times New Roman" w:eastAsia="宋体" w:cs="Times New Roman"/>
      <w:sz w:val="21"/>
      <w:lang w:val="en-US" w:eastAsia="zh-CN" w:bidi="ar-SA"/>
    </w:rPr>
  </w:style>
  <w:style w:type="character" w:styleId="1023" w:customStyle="1">
    <w:name w:val="正文首行缩进 2 Char1"/>
    <w:basedOn w:val="999"/>
    <w:link w:val="799"/>
    <w:uiPriority w:val="99"/>
    <w:semiHidden/>
    <w:qFormat/>
  </w:style>
  <w:style w:type="character" w:styleId="1024" w:customStyle="1">
    <w:name w:val="font2800"/>
    <w:link w:val="799"/>
    <w:uiPriority w:val="0"/>
    <w:qFormat/>
  </w:style>
  <w:style w:type="paragraph" w:styleId="1025" w:customStyle="1">
    <w:name w:val="正文缩进1"/>
    <w:basedOn w:val="799"/>
    <w:uiPriority w:val="0"/>
    <w:qFormat/>
    <w:pPr>
      <w:ind w:firstLine="420"/>
      <w:jc w:val="left"/>
    </w:pPr>
    <w:rPr>
      <w:rFonts w:ascii="宋体" w:hAnsi="Calibri" w:eastAsia="宋体" w:cs="Times New Roman"/>
      <w:sz w:val="24"/>
      <w:szCs w:val="22"/>
    </w:rPr>
  </w:style>
  <w:style w:type="paragraph" w:styleId="10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7" w:customStyle="1">
    <w:name w:val="正文文本1"/>
    <w:basedOn w:val="799"/>
    <w:uiPriority w:val="0"/>
    <w:qFormat/>
    <w:rPr>
      <w:rFonts w:ascii="Times New Roman" w:hAnsi="Times New Roman"/>
      <w:sz w:val="20"/>
    </w:rPr>
  </w:style>
  <w:style w:type="paragraph" w:styleId="1028" w:customStyle="1">
    <w:name w:val="普通文字"/>
    <w:basedOn w:val="799"/>
    <w:next w:val="799"/>
    <w:uiPriority w:val="0"/>
    <w:qFormat/>
    <w:rPr>
      <w:rFonts w:ascii="宋体"/>
      <w:sz w:val="24"/>
    </w:rPr>
  </w:style>
  <w:style w:type="paragraph" w:styleId="1029" w:customStyle="1">
    <w:name w:val="Default Paragraph Font Para Char"/>
    <w:basedOn w:val="799"/>
    <w:uiPriority w:val="0"/>
    <w:qFormat/>
    <w:pPr>
      <w:jc w:val="left"/>
      <w:spacing w:after="160" w:line="240" w:lineRule="exact"/>
      <w:widowControl/>
    </w:pPr>
  </w:style>
  <w:style w:type="paragraph" w:styleId="1030" w:customStyle="1">
    <w:name w:val="索引 11"/>
    <w:basedOn w:val="799"/>
    <w:next w:val="799"/>
    <w:uiPriority w:val="0"/>
    <w:qFormat/>
    <w:pPr>
      <w:spacing w:line="360" w:lineRule="auto"/>
    </w:pPr>
    <w:rPr>
      <w:rFonts w:ascii="仿宋_GB2312" w:eastAsia="仿宋_GB2312"/>
      <w:sz w:val="24"/>
      <w:szCs w:val="20"/>
    </w:rPr>
  </w:style>
  <w:style w:type="paragraph" w:styleId="1031" w:customStyle="1">
    <w:name w:val="纯文本1"/>
    <w:basedOn w:val="799"/>
    <w:uiPriority w:val="0"/>
    <w:qFormat/>
    <w:rPr>
      <w:rFonts w:ascii="宋体" w:hAnsi="Courier New" w:eastAsia="宋体" w:cs="Times New Roman"/>
      <w:szCs w:val="22"/>
    </w:rPr>
  </w:style>
  <w:style w:type="paragraph" w:styleId="1032" w:customStyle="1">
    <w:name w:val="列出段落"/>
    <w:basedOn w:val="799"/>
    <w:uiPriority w:val="0"/>
    <w:qFormat/>
    <w:pPr>
      <w:ind w:firstLine="420"/>
    </w:pPr>
    <w:rPr>
      <w:sz w:val="21"/>
    </w:rPr>
  </w:style>
  <w:style w:type="paragraph" w:styleId="1033" w:customStyle="1">
    <w:name w:val="修订"/>
    <w:uiPriority w:val="99"/>
    <w:unhideWhenUsed/>
    <w:qFormat/>
    <w:rPr>
      <w:rFonts w:hint="default" w:ascii="Times New Roman" w:hAnsi="Times New Roman" w:eastAsia="宋体" w:cs="Times New Roman"/>
      <w:sz w:val="21"/>
      <w:lang w:val="en-US" w:eastAsia="zh-CN" w:bidi="ar-SA"/>
    </w:rPr>
  </w:style>
  <w:style w:type="table" w:styleId="1034" w:customStyle="1">
    <w:name w:val="网格型1"/>
    <w:basedOn w:val="990"/>
    <w:uiPriority w:val="0"/>
    <w:qFormat/>
    <w:pPr>
      <w:jc w:val="both"/>
      <w:widowControl w:val="off"/>
    </w:pPr>
    <w:rPr>
      <w:rFonts w:ascii="Times New Roman" w:hAnsi="Times New Roman"/>
    </w:rPr>
    <w:tblPr/>
  </w:style>
  <w:style w:type="paragraph" w:styleId="1035" w:customStyle="1">
    <w:name w:val="纯文本11"/>
    <w:basedOn w:val="799"/>
    <w:uiPriority w:val="0"/>
    <w:qFormat/>
    <w:rPr>
      <w:rFonts w:ascii="宋体" w:hAnsi="Courier New" w:eastAsia="楷体_GB2312"/>
      <w:sz w:val="26"/>
      <w:szCs w:val="20"/>
    </w:rPr>
  </w:style>
  <w:style w:type="paragraph" w:styleId="1036" w:customStyle="1">
    <w:name w:val="样式 标题 2 + 宋体 段前: 1 行"/>
    <w:basedOn w:val="981"/>
    <w:uiPriority w:val="0"/>
    <w:qFormat/>
    <w:pPr>
      <w:ind w:left="5806" w:hanging="420"/>
      <w:jc w:val="center"/>
      <w:keepLines w:val="0"/>
      <w:keepNext w:val="0"/>
      <w:spacing w:before="0" w:after="0" w:line="560" w:lineRule="exact"/>
      <w:tabs>
        <w:tab w:val="left" w:pos="5386" w:leader="none"/>
      </w:tabs>
      <w:outlineLvl w:val="0"/>
    </w:pPr>
    <w:rPr>
      <w:rFonts w:ascii="黑体" w:hAnsi="黑体" w:eastAsia="黑体" w:cs="微软雅黑"/>
      <w:b w:val="0"/>
      <w:spacing w:val="20"/>
      <w:sz w:val="44"/>
      <w:szCs w:val="44"/>
    </w:rPr>
  </w:style>
  <w:style w:type="character" w:styleId="1037" w:customStyle="1">
    <w:name w:val="font61"/>
    <w:basedOn w:val="1021"/>
    <w:link w:val="799"/>
    <w:uiPriority w:val="0"/>
    <w:qFormat/>
    <w:rPr>
      <w:sz w:val="21"/>
      <w:lang w:val="en-US" w:eastAsia="zh-CN" w:bidi="ar-SA"/>
    </w:rPr>
  </w:style>
  <w:style w:type="character" w:styleId="1038" w:customStyle="1">
    <w:name w:val="font41"/>
    <w:basedOn w:val="989"/>
    <w:link w:val="799"/>
    <w:uiPriority w:val="0"/>
    <w:qFormat/>
    <w:rPr>
      <w:rFonts w:hint="eastAsia" w:ascii="宋体" w:hAnsi="宋体" w:eastAsia="宋体" w:cs="宋体"/>
      <w:color w:val="000000"/>
      <w:sz w:val="16"/>
      <w:szCs w:val="16"/>
      <w:u w:val="none"/>
    </w:rPr>
  </w:style>
  <w:style w:type="character" w:styleId="1039" w:customStyle="1">
    <w:name w:val="font81"/>
    <w:basedOn w:val="989"/>
    <w:link w:val="799"/>
    <w:uiPriority w:val="0"/>
    <w:qFormat/>
    <w:rPr>
      <w:rFonts w:hint="eastAsia" w:ascii="宋体" w:hAnsi="宋体" w:eastAsia="宋体" w:cs="宋体"/>
      <w:color w:val="000000"/>
      <w:sz w:val="16"/>
      <w:szCs w:val="16"/>
      <w:u w:val="single"/>
    </w:rPr>
  </w:style>
  <w:style w:type="paragraph" w:styleId="1040" w:customStyle="1">
    <w:name w:val="Body Style"/>
    <w:uiPriority w:val="0"/>
    <w:qFormat/>
    <w:pPr>
      <w:ind w:firstLine="480"/>
      <w:spacing w:after="120" w:line="360" w:lineRule="auto"/>
    </w:pPr>
    <w:rPr>
      <w:rFonts w:hint="default" w:ascii="宋体" w:hAnsi="宋体" w:eastAsia="宋体" w:cs="Times New Roman"/>
      <w:sz w:val="24"/>
      <w:szCs w:val="22"/>
      <w:lang w:val="en-US" w:eastAsia="en-US" w:bidi="ar-SA"/>
    </w:rPr>
  </w:style>
  <w:style w:type="paragraph" w:styleId="1041" w:customStyle="1">
    <w:name w:val="Emphasis Style"/>
    <w:uiPriority w:val="0"/>
    <w:qFormat/>
    <w:pPr>
      <w:spacing w:after="200" w:line="360" w:lineRule="auto"/>
    </w:pPr>
    <w:rPr>
      <w:rFonts w:hint="default" w:ascii="宋体" w:hAnsi="宋体" w:eastAsia="宋体" w:cs="Times New Roman"/>
      <w:b/>
      <w:color w:val="cc0000"/>
      <w:sz w:val="24"/>
      <w:szCs w:val="22"/>
      <w:lang w:val="en-US" w:eastAsia="en-US" w:bidi="ar-SA"/>
    </w:rPr>
  </w:style>
  <w:style w:type="paragraph" w:styleId="1042" w:customStyle="1">
    <w:name w:val="__正文"/>
    <w:uiPriority w:val="0"/>
    <w:qFormat/>
    <w:pPr>
      <w:ind w:firstLine="200"/>
      <w:jc w:val="both"/>
      <w:spacing w:line="360" w:lineRule="auto"/>
    </w:pPr>
    <w:rPr>
      <w:rFonts w:hint="default" w:ascii="Times New Roman" w:hAnsi="Times New Roman" w:eastAsia="宋体" w:cs="Times New Roman"/>
      <w:sz w:val="24"/>
      <w:szCs w:val="21"/>
      <w:lang w:val="en-US" w:eastAsia="zh-CN" w:bidi="ar-SA"/>
    </w:rPr>
  </w:style>
  <w:style w:type="paragraph" w:styleId="1043" w:customStyle="1">
    <w:name w:val="索引 411"/>
    <w:basedOn w:val="799"/>
    <w:next w:val="799"/>
    <w:uiPriority w:val="0"/>
    <w:qFormat/>
    <w:pPr>
      <w:ind w:left="960" w:hanging="240"/>
      <w:jc w:val="left"/>
      <w:spacing w:line="360" w:lineRule="auto"/>
    </w:pPr>
    <w:rPr>
      <w:sz w:val="20"/>
      <w:szCs w:val="20"/>
    </w:rPr>
  </w:style>
  <w:style w:type="paragraph" w:styleId="1044" w:customStyle="1">
    <w:name w:val="默认段落字体 Para Char"/>
    <w:basedOn w:val="799"/>
    <w:uiPriority w:val="0"/>
    <w:qFormat/>
    <w:pPr>
      <w:numPr>
        <w:ilvl w:val="0"/>
        <w:numId w:val="1"/>
      </w:numPr>
    </w:pPr>
    <w:rPr>
      <w:rFonts w:hAnsi="Calibri"/>
      <w:sz w:val="24"/>
    </w:rPr>
  </w:style>
  <w:style w:type="paragraph" w:styleId="1045" w:customStyle="1">
    <w:name w:val="表格"/>
    <w:basedOn w:val="799"/>
    <w:uiPriority w:val="0"/>
    <w:qFormat/>
    <w:pPr>
      <w:jc w:val="center"/>
      <w:tabs>
        <w:tab w:val="left" w:pos="180" w:leader="none"/>
      </w:tabs>
    </w:pPr>
    <w:rPr>
      <w:sz w:val="24"/>
    </w:rPr>
  </w:style>
  <w:style w:type="paragraph" w:styleId="1046" w:customStyle="1">
    <w:name w:val="Important Style"/>
    <w:uiPriority w:val="0"/>
    <w:qFormat/>
    <w:pPr>
      <w:ind w:firstLine="480"/>
      <w:spacing w:after="200" w:line="276" w:lineRule="auto"/>
    </w:pPr>
    <w:rPr>
      <w:rFonts w:hint="default" w:ascii="宋体" w:hAnsi="宋体" w:eastAsia="宋体" w:cs="Times New Roman"/>
      <w:b/>
      <w:color w:val="b22222"/>
      <w:sz w:val="24"/>
      <w:szCs w:val="22"/>
      <w:lang w:val="en-US" w:eastAsia="en-US" w:bidi="ar-SA"/>
    </w:rPr>
  </w:style>
  <w:style w:type="paragraph" w:styleId="1047" w:customStyle="1">
    <w:name w:val="列表项目符号 21"/>
    <w:basedOn w:val="799"/>
    <w:uiPriority w:val="0"/>
    <w:qFormat/>
    <w:pPr>
      <w:numPr>
        <w:ilvl w:val="0"/>
        <w:numId w:val="2"/>
      </w:numPr>
    </w:pPr>
  </w:style>
  <w:style w:type="paragraph" w:styleId="1048" w:customStyle="1">
    <w:name w:val="Fließtext"/>
    <w:basedOn w:val="799"/>
    <w:uiPriority w:val="0"/>
    <w:qFormat/>
    <w:rPr>
      <w:rFonts w:ascii="Calibri" w:hAnsi="Calibri" w:eastAsia="宋体" w:cs="Times New Roman"/>
      <w:szCs w:val="20"/>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于梓豪</cp:lastModifiedBy>
  <cp:revision>11</cp:revision>
  <dcterms:created xsi:type="dcterms:W3CDTF">2024-10-25T03:01:00Z</dcterms:created>
  <dcterms:modified xsi:type="dcterms:W3CDTF">2026-06-04T06:42:51Z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eyJoZGlkIjoiMTgzYzc1ZTEzZDE1ZDViYTlmNmUyYjk5Y2UyYjJjMzAiLCJ1c2VySWQiOiIxNTcxMjIwMzM1In0=</vt:lpwstr>
  </property>
  <property fmtid="{D5CDD505-2E9C-101B-9397-08002B2CF9AE}" pid="3" name="KSOProductBuildVer">
    <vt:lpwstr>2052-12.1.0.26375</vt:lpwstr>
  </property>
  <property fmtid="{D5CDD505-2E9C-101B-9397-08002B2CF9AE}" pid="4" name="ICV">
    <vt:lpwstr>765CFCFDACB64836AA2E4E273747D1F5_13</vt:lpwstr>
  </property>
</Properties>
</file>