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400" w:lineRule="exact"/>
        <w:rPr>
          <w:rFonts w:ascii="Times New Roman" w:hAnsi="Times New Roman"/>
          <w:b/>
          <w:color w:val="auto"/>
          <w:sz w:val="48"/>
          <w:szCs w:val="48"/>
          <w:highlight w:val="none"/>
        </w:rPr>
      </w:pPr>
      <w:r>
        <w:rPr>
          <w:rFonts w:ascii="Times New Roman" w:hAnsi="Times New Roman"/>
          <w:b/>
          <w:color w:val="auto"/>
          <w:sz w:val="48"/>
          <w:szCs w:val="48"/>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t xml:space="preserve">竞争性磋商文件</w:t>
      </w:r>
      <w:r/>
    </w:p>
    <w:p>
      <w:pPr>
        <w:jc w:val="center"/>
        <w:spacing w:line="400" w:lineRule="exact"/>
        <w:rPr>
          <w:rFonts w:ascii="Times New Roman" w:hAnsi="Times New Roman"/>
          <w:b/>
          <w:bCs/>
          <w:color w:val="auto"/>
          <w:sz w:val="32"/>
          <w:szCs w:val="24"/>
          <w:highlight w:val="none"/>
        </w:rPr>
      </w:pPr>
      <w:r>
        <w:rPr>
          <w:rFonts w:hint="eastAsia" w:ascii="Times New Roman" w:hAnsi="Times New Roman"/>
          <w:b/>
          <w:bCs/>
          <w:color w:val="auto"/>
          <w:sz w:val="32"/>
          <w:szCs w:val="24"/>
          <w:highlight w:val="none"/>
          <w:lang w:val="en-US" w:eastAsia="zh-CN"/>
        </w:rPr>
        <w:t xml:space="preserve">       </w:t>
      </w:r>
      <w:r>
        <w:rPr>
          <w:rFonts w:ascii="Times New Roman" w:hAnsi="Times New Roman"/>
          <w:b/>
          <w:bCs/>
          <w:color w:val="auto"/>
          <w:sz w:val="32"/>
          <w:szCs w:val="24"/>
          <w:highlight w:val="none"/>
        </w:rPr>
        <w:t xml:space="preserve">项目名称：</w:t>
      </w:r>
      <w:r>
        <w:rPr>
          <w:rFonts w:hint="eastAsia" w:ascii="Times New Roman" w:hAnsi="Times New Roman"/>
          <w:b/>
          <w:bCs/>
          <w:color w:val="auto"/>
          <w:sz w:val="32"/>
          <w:szCs w:val="24"/>
          <w:highlight w:val="none"/>
        </w:rPr>
        <w:t xml:space="preserve">如东县自然资源和规划局非住宅类农村乱占耕地建房问题专项整治技术服务项目</w:t>
      </w:r>
      <w:r/>
    </w:p>
    <w:p>
      <w:pPr>
        <w:ind w:firstLine="1285"/>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t xml:space="preserve">项目编号：</w:t>
      </w:r>
      <w:r>
        <w:rPr>
          <w:rFonts w:hint="eastAsia" w:ascii="Times New Roman" w:hAnsi="Times New Roman"/>
          <w:b/>
          <w:bCs/>
          <w:color w:val="auto"/>
          <w:sz w:val="32"/>
          <w:szCs w:val="24"/>
          <w:highlight w:val="none"/>
        </w:rPr>
        <w:t xml:space="preserve">JSZC-320623-HSGL-C2026-0027 </w:t>
      </w:r>
      <w:r/>
    </w:p>
    <w:p>
      <w:pPr>
        <w:jc w:val="left"/>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723"/>
        <w:jc w:val="center"/>
        <w:spacing w:before="120" w:after="120" w:line="400" w:lineRule="exact"/>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t xml:space="preserve">如东县自然资源和规划局</w:t>
      </w:r>
      <w:r/>
    </w:p>
    <w:p>
      <w:pPr>
        <w:ind w:firstLine="643"/>
        <w:jc w:val="center"/>
        <w:spacing w:before="120" w:after="120" w:line="400" w:lineRule="exact"/>
        <w:rPr>
          <w:rFonts w:ascii="Times New Roman" w:hAnsi="Times New Roman"/>
          <w:b/>
          <w:bCs/>
          <w:color w:val="auto"/>
          <w:sz w:val="32"/>
          <w:szCs w:val="24"/>
          <w:highlight w:val="none"/>
        </w:rPr>
      </w:pPr>
      <w:r>
        <w:rPr>
          <w:rFonts w:ascii="Times New Roman" w:hAnsi="Times New Roman"/>
          <w:b/>
          <w:bCs/>
          <w:color w:val="auto"/>
          <w:sz w:val="32"/>
          <w:szCs w:val="24"/>
          <w:highlight w:val="none"/>
          <w:u w:val="single"/>
        </w:rPr>
        <w:t xml:space="preserve">202</w:t>
      </w:r>
      <w:r>
        <w:rPr>
          <w:rFonts w:hint="eastAsia" w:ascii="Times New Roman" w:hAnsi="Times New Roman"/>
          <w:b/>
          <w:bCs/>
          <w:color w:val="auto"/>
          <w:sz w:val="32"/>
          <w:szCs w:val="24"/>
          <w:highlight w:val="none"/>
          <w:u w:val="single"/>
        </w:rPr>
        <w:t xml:space="preserve">6</w:t>
      </w:r>
      <w:r>
        <w:rPr>
          <w:rFonts w:ascii="Times New Roman" w:hAnsi="Times New Roman"/>
          <w:b/>
          <w:bCs/>
          <w:color w:val="auto"/>
          <w:sz w:val="32"/>
          <w:szCs w:val="24"/>
          <w:highlight w:val="none"/>
        </w:rPr>
        <w:t xml:space="preserve">年</w:t>
      </w:r>
      <w:r>
        <w:rPr>
          <w:rFonts w:hint="eastAsia" w:ascii="Times New Roman" w:hAnsi="Times New Roman"/>
          <w:b/>
          <w:bCs/>
          <w:color w:val="auto"/>
          <w:sz w:val="32"/>
          <w:szCs w:val="24"/>
          <w:highlight w:val="none"/>
          <w:u w:val="single"/>
          <w:lang w:val="en-US" w:eastAsia="zh-CN"/>
        </w:rPr>
        <w:t xml:space="preserve">6</w:t>
      </w:r>
      <w:r>
        <w:rPr>
          <w:rFonts w:ascii="Times New Roman" w:hAnsi="Times New Roman"/>
          <w:b/>
          <w:bCs/>
          <w:color w:val="auto"/>
          <w:sz w:val="32"/>
          <w:szCs w:val="24"/>
          <w:highlight w:val="none"/>
        </w:rPr>
        <w:t xml:space="preserve">月</w:t>
      </w:r>
      <w:r/>
    </w:p>
    <w:p>
      <w:pPr>
        <w:ind w:firstLine="883"/>
        <w:jc w:val="center"/>
        <w:spacing w:line="400" w:lineRule="exact"/>
        <w:rPr>
          <w:rFonts w:ascii="Times New Roman" w:hAnsi="Times New Roman" w:eastAsia="黑体"/>
          <w:b/>
          <w:color w:val="auto"/>
          <w:sz w:val="44"/>
          <w:szCs w:val="21"/>
          <w:highlight w:val="none"/>
        </w:rPr>
        <w:sectPr>
          <w:footnotePr/>
          <w:endnotePr/>
          <w:type w:val="nextPage"/>
          <w:pgSz w:w="11907" w:h="16839" w:orient="portrait"/>
          <w:pgMar w:top="1440" w:right="1080" w:bottom="1440" w:left="1080" w:header="720" w:footer="720" w:gutter="0"/>
          <w:cols w:num="1" w:sep="0" w:space="720" w:equalWidth="1"/>
          <w:docGrid w:linePitch="360"/>
        </w:sectPr>
        <w:outlineLvl w:val="0"/>
      </w:pPr>
      <w:r/>
      <w:bookmarkStart w:id="0" w:name="_Toc120614210"/>
      <w:r/>
      <w:bookmarkStart w:id="1" w:name="_Toc479757206"/>
      <w:r/>
      <w:bookmarkStart w:id="2" w:name="_Toc513029200"/>
      <w:r/>
      <w:bookmarkStart w:id="3" w:name="_Toc20823272"/>
      <w:r/>
      <w:bookmarkStart w:id="4" w:name="_Toc16938516"/>
      <w:r/>
      <w:bookmarkStart w:id="5" w:name="_Toc523127445"/>
      <w:r/>
      <w:r/>
    </w:p>
    <w:p>
      <w:pPr>
        <w:ind w:firstLine="883"/>
        <w:jc w:val="center"/>
        <w:spacing w:line="400" w:lineRule="exact"/>
        <w:rPr>
          <w:rFonts w:ascii="Times New Roman" w:hAnsi="Times New Roman" w:eastAsia="黑体"/>
          <w:b/>
          <w:color w:val="auto"/>
          <w:sz w:val="44"/>
          <w:szCs w:val="21"/>
          <w:highlight w:val="none"/>
        </w:rPr>
        <w:outlineLvl w:val="0"/>
      </w:pPr>
      <w:r>
        <w:rPr>
          <w:rFonts w:ascii="Times New Roman" w:hAnsi="Times New Roman" w:eastAsia="黑体"/>
          <w:b/>
          <w:color w:val="auto"/>
          <w:sz w:val="44"/>
          <w:szCs w:val="21"/>
          <w:highlight w:val="none"/>
        </w:rPr>
        <w:t xml:space="preserve">总目录</w:t>
      </w:r>
      <w:r/>
    </w:p>
    <w:p>
      <w:pPr>
        <w:ind w:firstLine="562"/>
        <w:spacing w:line="400" w:lineRule="exact"/>
        <w:rPr>
          <w:rFonts w:ascii="Times New Roman" w:hAnsi="Times New Roman" w:eastAsia="仿宋_GB2312"/>
          <w:b/>
          <w:color w:val="auto"/>
          <w:sz w:val="28"/>
          <w:szCs w:val="21"/>
          <w:highlight w:val="none"/>
        </w:rPr>
      </w:pPr>
      <w:r>
        <w:rPr>
          <w:rFonts w:ascii="Times New Roman" w:hAnsi="Times New Roman" w:eastAsia="仿宋_GB2312"/>
          <w:b/>
          <w:color w:val="auto"/>
          <w:sz w:val="28"/>
          <w:szCs w:val="21"/>
          <w:highlight w:val="none"/>
        </w:rPr>
      </w:r>
      <w:r/>
    </w:p>
    <w:p>
      <w:pPr>
        <w:numPr>
          <w:ilvl w:val="0"/>
          <w:numId w:val="4"/>
        </w:numPr>
        <w:ind w:left="0" w:firstLine="0"/>
        <w:rPr>
          <w:rFonts w:ascii="Times New Roman" w:hAnsi="Times New Roman" w:eastAsia="黑体"/>
          <w:color w:val="auto"/>
          <w:sz w:val="32"/>
          <w:szCs w:val="21"/>
          <w:highlight w:val="none"/>
        </w:rPr>
        <w:outlineLvl w:val="0"/>
      </w:pPr>
      <w:r>
        <w:rPr>
          <w:rFonts w:ascii="Times New Roman" w:hAnsi="Times New Roman" w:eastAsia="黑体"/>
          <w:color w:val="auto"/>
          <w:sz w:val="36"/>
          <w:szCs w:val="21"/>
          <w:highlight w:val="none"/>
        </w:rPr>
        <w:t xml:space="preserve">磋商邀请……………………………………1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供应商须知</w:t>
      </w:r>
      <w:r>
        <w:rPr>
          <w:rFonts w:ascii="Times New Roman" w:hAnsi="Times New Roman" w:eastAsia="黑体"/>
          <w:color w:val="auto"/>
          <w:sz w:val="36"/>
          <w:szCs w:val="36"/>
          <w:highlight w:val="none"/>
        </w:rPr>
        <w:t xml:space="preserve">…</w:t>
      </w:r>
      <w:r>
        <w:rPr>
          <w:rFonts w:ascii="Times New Roman" w:hAnsi="Times New Roman" w:eastAsia="黑体"/>
          <w:color w:val="auto"/>
          <w:sz w:val="36"/>
          <w:szCs w:val="21"/>
          <w:highlight w:val="none"/>
        </w:rPr>
        <w:t xml:space="preserve">………………………………</w:t>
      </w:r>
      <w:r>
        <w:rPr>
          <w:rFonts w:hint="eastAsia" w:ascii="Times New Roman" w:hAnsi="Times New Roman" w:eastAsia="黑体"/>
          <w:color w:val="auto"/>
          <w:sz w:val="36"/>
          <w:szCs w:val="21"/>
          <w:highlight w:val="none"/>
        </w:rPr>
        <w:t xml:space="preserve">5</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合同文本……………………………………1</w:t>
      </w:r>
      <w:r>
        <w:rPr>
          <w:rFonts w:hint="eastAsia" w:ascii="Times New Roman" w:hAnsi="Times New Roman" w:eastAsia="黑体"/>
          <w:color w:val="auto"/>
          <w:sz w:val="36"/>
          <w:szCs w:val="21"/>
          <w:highlight w:val="none"/>
        </w:rPr>
        <w:t xml:space="preserve">5</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采购需求……………………………………</w:t>
      </w:r>
      <w:r>
        <w:rPr>
          <w:rFonts w:hint="eastAsia" w:ascii="Times New Roman" w:hAnsi="Times New Roman" w:eastAsia="黑体"/>
          <w:color w:val="auto"/>
          <w:sz w:val="36"/>
          <w:szCs w:val="21"/>
          <w:highlight w:val="none"/>
        </w:rPr>
        <w:t xml:space="preserve">18</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评审方法与评审标准</w:t>
      </w:r>
      <w:r>
        <w:rPr>
          <w:rFonts w:ascii="Times New Roman" w:hAnsi="Times New Roman" w:eastAsia="黑体"/>
          <w:color w:val="auto"/>
          <w:sz w:val="36"/>
          <w:szCs w:val="21"/>
          <w:highlight w:val="none"/>
        </w:rPr>
        <w:t xml:space="preserve">………………………2</w:t>
      </w:r>
      <w:r>
        <w:rPr>
          <w:rFonts w:hint="eastAsia" w:ascii="Times New Roman" w:hAnsi="Times New Roman" w:eastAsia="黑体"/>
          <w:color w:val="auto"/>
          <w:sz w:val="36"/>
          <w:szCs w:val="21"/>
          <w:highlight w:val="none"/>
        </w:rPr>
        <w:t xml:space="preserve">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响应文件格式………………………………</w:t>
      </w:r>
      <w:r>
        <w:rPr>
          <w:rFonts w:hint="eastAsia" w:ascii="Times New Roman" w:hAnsi="Times New Roman" w:eastAsia="黑体"/>
          <w:color w:val="auto"/>
          <w:sz w:val="36"/>
          <w:szCs w:val="21"/>
          <w:highlight w:val="none"/>
        </w:rPr>
        <w:t xml:space="preserve">2</w:t>
      </w:r>
      <w:r>
        <w:rPr>
          <w:rFonts w:hint="eastAsia" w:ascii="Times New Roman" w:hAnsi="Times New Roman" w:eastAsia="黑体"/>
          <w:color w:val="auto"/>
          <w:sz w:val="36"/>
          <w:szCs w:val="21"/>
          <w:highlight w:val="none"/>
          <w:lang w:val="en-US" w:eastAsia="zh-CN"/>
        </w:rPr>
        <w:t xml:space="preserve">6</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spacing w:line="400" w:lineRule="exact"/>
        <w:rPr>
          <w:rFonts w:ascii="Times New Roman" w:hAnsi="Times New Roman"/>
          <w:color w:val="auto"/>
          <w:szCs w:val="21"/>
          <w:highlight w:val="none"/>
        </w:rPr>
        <w:sectPr>
          <w:footerReference w:type="default" r:id="rId10"/>
          <w:footnotePr/>
          <w:endnotePr/>
          <w:type w:val="nextPage"/>
          <w:pgSz w:w="11907" w:h="16839" w:orient="portrait"/>
          <w:pgMar w:top="1440" w:right="1800" w:bottom="1440" w:left="1800" w:header="720" w:footer="720" w:gutter="0"/>
          <w:pgNumType w:start="1"/>
          <w:cols w:num="1" w:sep="0" w:space="720" w:equalWidth="1"/>
          <w:docGrid w:linePitch="360"/>
        </w:sectPr>
      </w:pPr>
      <w:r>
        <w:rPr>
          <w:rFonts w:ascii="Times New Roman" w:hAnsi="Times New Roman"/>
          <w:color w:val="auto"/>
          <w:szCs w:val="21"/>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第一章</w:t>
      </w:r>
      <w:bookmarkEnd w:id="0"/>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磋商邀请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受</w:t>
      </w:r>
      <w:r>
        <w:rPr>
          <w:rFonts w:hint="eastAsia" w:ascii="Times New Roman" w:hAnsi="Times New Roman"/>
          <w:color w:val="auto"/>
          <w:sz w:val="24"/>
          <w:szCs w:val="24"/>
          <w:highlight w:val="none"/>
        </w:rPr>
        <w:t xml:space="preserve">如东县自然资源和规划局</w:t>
      </w:r>
      <w:r>
        <w:rPr>
          <w:rFonts w:ascii="Times New Roman" w:hAnsi="Times New Roman"/>
          <w:color w:val="auto"/>
          <w:sz w:val="24"/>
          <w:szCs w:val="24"/>
          <w:highlight w:val="none"/>
        </w:rPr>
        <w:t xml:space="preserve">的委托，</w:t>
      </w:r>
      <w:r>
        <w:rPr>
          <w:rFonts w:hint="eastAsia" w:ascii="Times New Roman" w:hAnsi="Times New Roman"/>
          <w:color w:val="auto"/>
          <w:sz w:val="24"/>
          <w:szCs w:val="24"/>
          <w:highlight w:val="none"/>
        </w:rPr>
        <w:t xml:space="preserve">江苏衡晟项目管理咨询有限公司</w:t>
      </w:r>
      <w:r>
        <w:rPr>
          <w:rFonts w:ascii="Times New Roman" w:hAnsi="Times New Roman"/>
          <w:color w:val="auto"/>
          <w:sz w:val="24"/>
          <w:szCs w:val="24"/>
          <w:highlight w:val="none"/>
        </w:rPr>
        <w:t xml:space="preserve">就</w:t>
      </w:r>
      <w:r>
        <w:rPr>
          <w:rFonts w:hint="eastAsia" w:ascii="Times New Roman" w:hAnsi="Times New Roman"/>
          <w:color w:val="auto"/>
          <w:sz w:val="24"/>
          <w:szCs w:val="24"/>
          <w:highlight w:val="none"/>
        </w:rPr>
        <w:t xml:space="preserve">如东县自然资源和规划局非住宅类农村乱占耕地建房问题专项整治技术服务项目</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项目编号</w:t>
      </w:r>
      <w:r>
        <w:rPr>
          <w:rFonts w:hint="eastAsia" w:ascii="Times New Roman" w:hAnsi="Times New Roman"/>
          <w:color w:val="auto"/>
          <w:sz w:val="24"/>
          <w:szCs w:val="24"/>
          <w:highlight w:val="none"/>
          <w:lang w:eastAsia="zh-CN"/>
        </w:rPr>
        <w:t xml:space="preserve">：JSZC-320623-HSGL-C2026-0027</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项目进行竞争性磋商采购，欢迎符合条件的供应商参加磋商。</w:t>
      </w:r>
      <w:r/>
    </w:p>
    <w:p>
      <w:pPr>
        <w:spacing w:line="400" w:lineRule="exact"/>
        <w:rPr>
          <w:rFonts w:ascii="Times New Roman" w:hAnsi="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ascii="Times New Roman" w:hAnsi="Times New Roman"/>
          <w:color w:val="auto"/>
          <w:sz w:val="24"/>
          <w:szCs w:val="24"/>
          <w:highlight w:val="none"/>
        </w:rPr>
        <w:t xml:space="preserve">项目概况</w:t>
      </w:r>
      <w:r/>
    </w:p>
    <w:p>
      <w:pPr>
        <w:ind w:firstLine="480"/>
        <w:spacing w:line="400" w:lineRule="exact"/>
        <w:rPr>
          <w:rFonts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sz w:val="24"/>
          <w:szCs w:val="24"/>
          <w:highlight w:val="none"/>
        </w:rPr>
        <w:t xml:space="preserve">如东县自然资源和规划局非住宅类农村乱占耕地建房问题专项整治技术服务项目</w:t>
      </w:r>
      <w:r>
        <w:rPr>
          <w:rFonts w:ascii="Times New Roman" w:hAnsi="Times New Roman"/>
          <w:color w:val="auto"/>
          <w:sz w:val="24"/>
          <w:szCs w:val="24"/>
          <w:highlight w:val="none"/>
        </w:rPr>
        <w:t xml:space="preserve">的潜在供应商可在</w:t>
      </w:r>
      <w:r>
        <w:rPr>
          <w:rFonts w:ascii="Times New Roman" w:hAnsi="Times New Roman"/>
          <w:color w:val="auto"/>
          <w:sz w:val="24"/>
          <w:szCs w:val="24"/>
          <w:highlight w:val="none"/>
          <w:u w:val="single"/>
        </w:rPr>
        <w:t xml:space="preserve">“江苏政府采购网”自行免费下载</w:t>
      </w:r>
      <w:r>
        <w:rPr>
          <w:rFonts w:ascii="Times New Roman" w:hAnsi="Times New Roman"/>
          <w:color w:val="auto"/>
          <w:sz w:val="24"/>
          <w:szCs w:val="24"/>
          <w:highlight w:val="none"/>
        </w:rPr>
        <w:t xml:space="preserve">磋商文件，</w:t>
      </w:r>
      <w:r>
        <w:rPr>
          <w:rFonts w:ascii="Times New Roman" w:hAnsi="Times New Roman"/>
          <w:b/>
          <w:bCs/>
          <w:color w:val="auto"/>
          <w:sz w:val="24"/>
          <w:szCs w:val="24"/>
          <w:highlight w:val="none"/>
        </w:rPr>
        <w:t xml:space="preserve">并于</w:t>
      </w:r>
      <w:r>
        <w:rPr>
          <w:rFonts w:hint="eastAsia" w:ascii="Times New Roman" w:hAnsi="Times New Roman"/>
          <w:b/>
          <w:bCs/>
          <w:color w:val="auto"/>
          <w:sz w:val="24"/>
          <w:szCs w:val="24"/>
          <w:highlight w:val="none"/>
          <w:u w:val="single"/>
        </w:rPr>
        <w:t xml:space="preserve">2026年</w:t>
      </w:r>
      <w:r>
        <w:rPr>
          <w:rFonts w:hint="eastAsia" w:ascii="Times New Roman" w:hAnsi="Times New Roman"/>
          <w:b/>
          <w:bCs/>
          <w:color w:val="auto"/>
          <w:sz w:val="24"/>
          <w:szCs w:val="24"/>
          <w:highlight w:val="none"/>
          <w:u w:val="single"/>
          <w:lang w:val="en-US" w:eastAsia="zh-CN"/>
        </w:rPr>
        <w:t xml:space="preserve">6</w:t>
      </w:r>
      <w:r>
        <w:rPr>
          <w:rFonts w:hint="eastAsia" w:ascii="Times New Roman" w:hAnsi="Times New Roman"/>
          <w:b/>
          <w:bCs/>
          <w:color w:val="auto"/>
          <w:sz w:val="24"/>
          <w:szCs w:val="24"/>
          <w:highlight w:val="none"/>
          <w:u w:val="single"/>
        </w:rPr>
        <w:t xml:space="preserve">月</w:t>
      </w:r>
      <w:r>
        <w:rPr>
          <w:rFonts w:hint="eastAsia" w:ascii="Times New Roman" w:hAnsi="Times New Roman"/>
          <w:b/>
          <w:bCs/>
          <w:color w:val="auto"/>
          <w:sz w:val="24"/>
          <w:szCs w:val="24"/>
          <w:highlight w:val="none"/>
          <w:u w:val="single"/>
          <w:lang w:val="en-US" w:eastAsia="zh-CN"/>
        </w:rPr>
        <w:t xml:space="preserve">30</w:t>
      </w:r>
      <w:r>
        <w:rPr>
          <w:rFonts w:hint="eastAsia" w:ascii="Times New Roman" w:hAnsi="Times New Roman"/>
          <w:b/>
          <w:bCs/>
          <w:color w:val="auto"/>
          <w:sz w:val="24"/>
          <w:szCs w:val="24"/>
          <w:highlight w:val="none"/>
          <w:u w:val="single"/>
        </w:rPr>
        <w:t xml:space="preserve">日上午9时00分</w:t>
      </w:r>
      <w:r>
        <w:rPr>
          <w:rFonts w:ascii="Times New Roman" w:hAnsi="Times New Roman"/>
          <w:b/>
          <w:bCs/>
          <w:color w:val="auto"/>
          <w:sz w:val="24"/>
          <w:szCs w:val="24"/>
          <w:highlight w:val="none"/>
          <w:u w:val="single"/>
        </w:rPr>
        <w:t xml:space="preserve">（</w:t>
      </w:r>
      <w:r>
        <w:rPr>
          <w:rFonts w:ascii="Times New Roman" w:hAnsi="Times New Roman"/>
          <w:b/>
          <w:bCs/>
          <w:color w:val="auto"/>
          <w:sz w:val="24"/>
          <w:szCs w:val="24"/>
          <w:highlight w:val="none"/>
        </w:rPr>
        <w:t xml:space="preserve">北京时间）前递交响应文件。</w:t>
      </w:r>
      <w:r>
        <w:rPr>
          <w:rFonts w:hint="eastAsia" w:ascii="Times New Roman" w:hAnsi="Times New Roman"/>
          <w:b/>
          <w:bCs/>
          <w:color w:val="auto"/>
          <w:sz w:val="24"/>
          <w:szCs w:val="24"/>
          <w:highlight w:val="none"/>
        </w:rPr>
        <w:t xml:space="preserve"> </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6" w:name="_Toc38985263"/>
      <w:r/>
      <w:bookmarkStart w:id="7" w:name="_Toc35393790"/>
      <w:r/>
      <w:bookmarkStart w:id="8" w:name="_Toc28359079"/>
      <w:r/>
      <w:bookmarkStart w:id="9" w:name="_Toc35393621"/>
      <w:r/>
      <w:bookmarkStart w:id="10" w:name="_Toc28359002"/>
      <w:r/>
      <w:bookmarkStart w:id="11" w:name="_Hlk24379207"/>
      <w:r>
        <w:rPr>
          <w:rFonts w:ascii="Times New Roman" w:hAnsi="Times New Roman"/>
          <w:b/>
          <w:bCs/>
          <w:color w:val="auto"/>
          <w:sz w:val="32"/>
          <w:szCs w:val="32"/>
          <w:highlight w:val="none"/>
        </w:rPr>
        <w:t xml:space="preserve">一、项目基本情况</w:t>
      </w:r>
      <w:bookmarkEnd w:id="6"/>
      <w:r/>
      <w:bookmarkEnd w:id="7"/>
      <w:r/>
      <w:bookmarkEnd w:id="8"/>
      <w:r/>
      <w:bookmarkEnd w:id="9"/>
      <w:r/>
      <w:bookmarkEnd w:id="10"/>
      <w:r/>
      <w:r/>
    </w:p>
    <w:p>
      <w:pPr>
        <w:contextualSpacing/>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zh-CN"/>
        </w:rPr>
        <w:t xml:space="preserve">1.项目编号：JSZC-320623-HSGL-C2026-0027</w:t>
      </w:r>
      <w:r>
        <w:rPr>
          <w:rFonts w:hint="eastAsia" w:ascii="Times New Roman" w:hAnsi="Times New Roman"/>
          <w:color w:val="auto"/>
          <w:sz w:val="24"/>
          <w:szCs w:val="24"/>
          <w:highlight w:val="none"/>
        </w:rPr>
        <w:t xml:space="preserve"> </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lang w:val="zh-CN"/>
        </w:rPr>
        <w:t xml:space="preserve">2.项目名称：</w:t>
      </w:r>
      <w:bookmarkEnd w:id="11"/>
      <w:r>
        <w:rPr>
          <w:rFonts w:hint="eastAsia" w:ascii="Times New Roman" w:hAnsi="Times New Roman"/>
          <w:color w:val="auto"/>
          <w:sz w:val="24"/>
          <w:szCs w:val="24"/>
          <w:highlight w:val="none"/>
        </w:rPr>
        <w:t xml:space="preserve">如东县自然资源和规划局非住宅类农村乱占耕地建房问题专项整治技术服务项目</w:t>
      </w:r>
      <w:r/>
    </w:p>
    <w:p>
      <w:pPr>
        <w:contextualSpacing/>
        <w:ind w:firstLine="480"/>
        <w:spacing w:line="4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3.项目类型：服务</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lang w:val="zh-CN"/>
        </w:rPr>
        <w:t xml:space="preserve">4.项目行业：</w:t>
      </w:r>
      <w:r>
        <w:rPr>
          <w:rFonts w:hint="eastAsia" w:ascii="Times New Roman" w:hAnsi="Times New Roman"/>
          <w:color w:val="auto"/>
          <w:sz w:val="24"/>
          <w:szCs w:val="24"/>
          <w:highlight w:val="none"/>
          <w:lang w:val="zh-CN"/>
        </w:rPr>
        <w:t xml:space="preserve">其他未列明行业</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rPr>
          <w:rFonts w:ascii="Times New Roman" w:hAnsi="Times New Roman"/>
          <w:color w:val="auto"/>
          <w:sz w:val="24"/>
          <w:szCs w:val="24"/>
          <w:highlight w:val="none"/>
          <w:lang w:val="zh-CN"/>
        </w:rPr>
        <w:t xml:space="preserve">.预算金额：</w:t>
      </w:r>
      <w:r>
        <w:rPr>
          <w:rFonts w:hint="eastAsia" w:ascii="Times New Roman" w:hAnsi="Times New Roman"/>
          <w:color w:val="auto"/>
          <w:sz w:val="24"/>
          <w:szCs w:val="24"/>
          <w:highlight w:val="none"/>
          <w:lang w:val="en-US" w:eastAsia="zh-CN"/>
        </w:rPr>
        <w:t xml:space="preserve">150</w:t>
      </w:r>
      <w:r>
        <w:rPr>
          <w:rFonts w:hint="eastAsia" w:ascii="Times New Roman" w:hAnsi="Times New Roman"/>
          <w:color w:val="auto"/>
          <w:sz w:val="24"/>
          <w:szCs w:val="24"/>
          <w:highlight w:val="none"/>
          <w:lang w:val="zh-CN"/>
        </w:rPr>
        <w:t xml:space="preserve">万元（其中预算金额</w:t>
      </w:r>
      <w:r>
        <w:rPr>
          <w:rFonts w:hint="eastAsia" w:ascii="Times New Roman" w:hAnsi="Times New Roman"/>
          <w:color w:val="auto"/>
          <w:sz w:val="24"/>
          <w:szCs w:val="24"/>
          <w:highlight w:val="none"/>
          <w:lang w:val="en-US" w:eastAsia="zh-CN"/>
        </w:rPr>
        <w:t xml:space="preserve">采购包</w:t>
      </w:r>
      <w:r>
        <w:rPr>
          <w:rFonts w:hint="eastAsia" w:ascii="Times New Roman" w:hAnsi="Times New Roman"/>
          <w:color w:val="auto"/>
          <w:sz w:val="24"/>
          <w:szCs w:val="24"/>
          <w:highlight w:val="none"/>
          <w:lang w:val="zh-CN"/>
        </w:rPr>
        <w:t xml:space="preserve">一：</w:t>
      </w:r>
      <w:r>
        <w:rPr>
          <w:rFonts w:hint="eastAsia" w:ascii="Times New Roman" w:hAnsi="Times New Roman"/>
          <w:color w:val="auto"/>
          <w:sz w:val="24"/>
          <w:szCs w:val="24"/>
          <w:highlight w:val="none"/>
          <w:lang w:val="en-US" w:eastAsia="zh-CN"/>
        </w:rPr>
        <w:t xml:space="preserve">30</w:t>
      </w:r>
      <w:r>
        <w:rPr>
          <w:rFonts w:hint="eastAsia" w:ascii="Times New Roman" w:hAnsi="Times New Roman"/>
          <w:color w:val="auto"/>
          <w:sz w:val="24"/>
          <w:szCs w:val="24"/>
          <w:highlight w:val="none"/>
          <w:lang w:val="zh-CN"/>
        </w:rPr>
        <w:t xml:space="preserve">万元，</w:t>
      </w:r>
      <w:r>
        <w:rPr>
          <w:rFonts w:hint="eastAsia" w:ascii="Times New Roman" w:hAnsi="Times New Roman"/>
          <w:color w:val="auto"/>
          <w:sz w:val="24"/>
          <w:szCs w:val="24"/>
          <w:highlight w:val="none"/>
          <w:lang w:val="en-US" w:eastAsia="zh-CN"/>
        </w:rPr>
        <w:t xml:space="preserve">采购包</w:t>
      </w:r>
      <w:r>
        <w:rPr>
          <w:rFonts w:hint="eastAsia" w:ascii="Times New Roman" w:hAnsi="Times New Roman"/>
          <w:color w:val="auto"/>
          <w:sz w:val="24"/>
          <w:szCs w:val="24"/>
          <w:highlight w:val="none"/>
          <w:lang w:val="zh-CN"/>
        </w:rPr>
        <w:t xml:space="preserve">二：</w:t>
      </w:r>
      <w:r>
        <w:rPr>
          <w:rFonts w:hint="eastAsia" w:ascii="Times New Roman" w:hAnsi="Times New Roman"/>
          <w:color w:val="auto"/>
          <w:sz w:val="24"/>
          <w:szCs w:val="24"/>
          <w:highlight w:val="none"/>
          <w:lang w:val="en-US" w:eastAsia="zh-CN"/>
        </w:rPr>
        <w:t xml:space="preserve">120</w:t>
      </w:r>
      <w:r>
        <w:rPr>
          <w:rFonts w:hint="eastAsia" w:ascii="Times New Roman" w:hAnsi="Times New Roman"/>
          <w:color w:val="auto"/>
          <w:sz w:val="24"/>
          <w:szCs w:val="24"/>
          <w:highlight w:val="none"/>
          <w:lang w:val="zh-CN"/>
        </w:rPr>
        <w:t xml:space="preserve">万元）</w:t>
      </w:r>
      <w:r/>
    </w:p>
    <w:p>
      <w:pPr>
        <w:ind w:firstLine="480"/>
        <w:spacing w:line="400" w:lineRule="exact"/>
        <w:rPr>
          <w:rFonts w:ascii="Times New Roman" w:hAnsi="Times New Roman"/>
          <w:b/>
          <w:bCs/>
          <w:color w:val="auto"/>
          <w:sz w:val="28"/>
          <w:szCs w:val="28"/>
          <w:highlight w:val="none"/>
        </w:rPr>
      </w:pPr>
      <w:r>
        <w:rPr>
          <w:rFonts w:ascii="Times New Roman" w:hAnsi="Times New Roman"/>
          <w:color w:val="auto"/>
          <w:sz w:val="24"/>
          <w:szCs w:val="24"/>
          <w:highlight w:val="none"/>
        </w:rPr>
        <w:t xml:space="preserve">6.最高限价：</w:t>
      </w:r>
      <w:r>
        <w:rPr>
          <w:rFonts w:hint="eastAsia" w:ascii="Times New Roman" w:hAnsi="Times New Roman"/>
          <w:color w:val="auto"/>
          <w:sz w:val="24"/>
          <w:szCs w:val="24"/>
          <w:highlight w:val="none"/>
          <w:lang w:val="en-US" w:eastAsia="zh-CN"/>
        </w:rPr>
        <w:t xml:space="preserve">15</w:t>
      </w:r>
      <w:r>
        <w:rPr>
          <w:rFonts w:hint="eastAsia" w:ascii="Times New Roman" w:hAnsi="Times New Roman"/>
          <w:color w:val="auto"/>
          <w:sz w:val="24"/>
          <w:szCs w:val="24"/>
          <w:highlight w:val="none"/>
        </w:rPr>
        <w:t xml:space="preserve">0万元（其中最高限价</w:t>
      </w:r>
      <w:r>
        <w:rPr>
          <w:rFonts w:hint="eastAsia" w:ascii="Times New Roman" w:hAnsi="Times New Roman"/>
          <w:color w:val="auto"/>
          <w:sz w:val="24"/>
          <w:szCs w:val="24"/>
          <w:highlight w:val="none"/>
          <w:lang w:val="en-US" w:eastAsia="zh-CN"/>
        </w:rPr>
        <w:t xml:space="preserve">采购包</w:t>
      </w:r>
      <w:r>
        <w:rPr>
          <w:rFonts w:hint="eastAsia" w:ascii="Times New Roman" w:hAnsi="Times New Roman"/>
          <w:color w:val="auto"/>
          <w:sz w:val="24"/>
          <w:szCs w:val="24"/>
          <w:highlight w:val="none"/>
        </w:rPr>
        <w:t xml:space="preserve">一：</w:t>
      </w:r>
      <w:r>
        <w:rPr>
          <w:rFonts w:hint="eastAsia" w:ascii="Times New Roman" w:hAnsi="Times New Roman"/>
          <w:color w:val="auto"/>
          <w:sz w:val="24"/>
          <w:szCs w:val="24"/>
          <w:highlight w:val="none"/>
          <w:lang w:val="en-US" w:eastAsia="zh-CN"/>
        </w:rPr>
        <w:t xml:space="preserve">30</w:t>
      </w:r>
      <w:r>
        <w:rPr>
          <w:rFonts w:hint="eastAsia" w:ascii="Times New Roman" w:hAnsi="Times New Roman"/>
          <w:color w:val="auto"/>
          <w:sz w:val="24"/>
          <w:szCs w:val="24"/>
          <w:highlight w:val="none"/>
        </w:rPr>
        <w:t xml:space="preserve">万元，</w:t>
      </w:r>
      <w:r>
        <w:rPr>
          <w:rFonts w:hint="eastAsia" w:ascii="Times New Roman" w:hAnsi="Times New Roman"/>
          <w:color w:val="auto"/>
          <w:sz w:val="24"/>
          <w:szCs w:val="24"/>
          <w:highlight w:val="none"/>
          <w:lang w:val="en-US" w:eastAsia="zh-CN"/>
        </w:rPr>
        <w:t xml:space="preserve">采购包</w:t>
      </w:r>
      <w:r>
        <w:rPr>
          <w:rFonts w:hint="eastAsia" w:ascii="Times New Roman" w:hAnsi="Times New Roman"/>
          <w:color w:val="auto"/>
          <w:sz w:val="24"/>
          <w:szCs w:val="24"/>
          <w:highlight w:val="none"/>
        </w:rPr>
        <w:t xml:space="preserve">二：</w:t>
      </w:r>
      <w:r>
        <w:rPr>
          <w:rFonts w:hint="eastAsia" w:ascii="Times New Roman" w:hAnsi="Times New Roman"/>
          <w:color w:val="auto"/>
          <w:sz w:val="24"/>
          <w:szCs w:val="24"/>
          <w:highlight w:val="none"/>
          <w:lang w:val="en-US" w:eastAsia="zh-CN"/>
        </w:rPr>
        <w:t xml:space="preserve">120</w:t>
      </w:r>
      <w:r>
        <w:rPr>
          <w:rFonts w:hint="eastAsia" w:ascii="Times New Roman" w:hAnsi="Times New Roman"/>
          <w:color w:val="auto"/>
          <w:sz w:val="24"/>
          <w:szCs w:val="24"/>
          <w:highlight w:val="none"/>
        </w:rPr>
        <w:t xml:space="preserve">万元）</w:t>
      </w:r>
      <w:r>
        <w:rPr>
          <w:rFonts w:hint="eastAsia" w:ascii="Times New Roman" w:hAnsi="Times New Roman"/>
          <w:color w:val="auto"/>
          <w:sz w:val="24"/>
          <w:szCs w:val="24"/>
          <w:highlight w:val="none"/>
        </w:rPr>
        <w:t xml:space="preserve">最终报价超过最高限价的为无效投标</w:t>
      </w:r>
      <w:r>
        <w:rPr>
          <w:rFonts w:hint="eastAsia" w:ascii="Times New Roman" w:hAnsi="Times New Roman"/>
          <w:color w:val="auto"/>
          <w:sz w:val="24"/>
          <w:szCs w:val="24"/>
          <w:highlight w:val="none"/>
        </w:rPr>
        <w:t xml:space="preserve">。</w:t>
      </w:r>
      <w:r/>
    </w:p>
    <w:tbl>
      <w:tblPr>
        <w:tblStyle w:val="9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6"/>
        <w:gridCol w:w="4666"/>
        <w:gridCol w:w="2545"/>
      </w:tblGrid>
      <w:tr>
        <w:trPr>
          <w:jc w:val="center"/>
        </w:trPr>
        <w:tc>
          <w:tcPr>
            <w:tcW w:w="1566" w:type="dxa"/>
            <w:vAlign w:val="center"/>
            <w:textDirection w:val="lrTb"/>
            <w:noWrap/>
          </w:tcPr>
          <w:p>
            <w:pPr>
              <w:jc w:val="center"/>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4666" w:type="dxa"/>
            <w:vAlign w:val="center"/>
            <w:textDirection w:val="lrTb"/>
            <w:noWrap/>
          </w:tcPr>
          <w:p>
            <w:pPr>
              <w:jc w:val="center"/>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类别</w:t>
            </w:r>
            <w:r/>
          </w:p>
        </w:tc>
        <w:tc>
          <w:tcPr>
            <w:tcW w:w="2545" w:type="dxa"/>
            <w:vAlign w:val="center"/>
            <w:textDirection w:val="lrTb"/>
            <w:noWrap/>
          </w:tcPr>
          <w:p>
            <w:pPr>
              <w:jc w:val="center"/>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金额（万元）</w:t>
            </w:r>
            <w:r/>
          </w:p>
        </w:tc>
      </w:tr>
      <w:tr>
        <w:trPr>
          <w:jc w:val="center"/>
        </w:trPr>
        <w:tc>
          <w:tcPr>
            <w:tcW w:w="1566"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采购包一</w:t>
            </w:r>
            <w:r/>
          </w:p>
        </w:tc>
        <w:tc>
          <w:tcPr>
            <w:tcW w:w="4666" w:type="dxa"/>
            <w:vAlign w:val="center"/>
            <w:textDirection w:val="lrTb"/>
            <w:noWrap/>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用地信息核准及系统填报</w:t>
            </w:r>
            <w:r/>
          </w:p>
        </w:tc>
        <w:tc>
          <w:tcPr>
            <w:tcW w:w="2545" w:type="dxa"/>
            <w:vAlign w:val="center"/>
            <w:textDirection w:val="lrTb"/>
            <w:noWrap/>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30</w:t>
            </w:r>
            <w:r/>
          </w:p>
        </w:tc>
      </w:tr>
      <w:tr>
        <w:trPr>
          <w:jc w:val="center"/>
        </w:trPr>
        <w:tc>
          <w:tcPr>
            <w:tcW w:w="1566"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采购包二</w:t>
            </w:r>
            <w:r/>
          </w:p>
        </w:tc>
        <w:tc>
          <w:tcPr>
            <w:tcW w:w="4666" w:type="dxa"/>
            <w:vAlign w:val="center"/>
            <w:textDirection w:val="lrTb"/>
            <w:noWrap/>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用地勘测定界及手续补办</w:t>
            </w:r>
            <w:r/>
          </w:p>
        </w:tc>
        <w:tc>
          <w:tcPr>
            <w:tcW w:w="2545" w:type="dxa"/>
            <w:vAlign w:val="center"/>
            <w:textDirection w:val="lrTb"/>
            <w:noWrap/>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r>
    </w:tbl>
    <w:p>
      <w:pPr>
        <w:ind w:firstLine="482"/>
        <w:spacing w:line="4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特别说明：本项目分为两个</w:t>
      </w:r>
      <w:r>
        <w:rPr>
          <w:rFonts w:hint="eastAsia" w:ascii="Times New Roman" w:hAnsi="Times New Roman"/>
          <w:b/>
          <w:bCs/>
          <w:color w:val="auto"/>
          <w:sz w:val="24"/>
          <w:szCs w:val="24"/>
          <w:highlight w:val="none"/>
          <w:lang w:val="en-US" w:eastAsia="zh-CN"/>
        </w:rPr>
        <w:t xml:space="preserve">采购包</w:t>
      </w:r>
      <w:r>
        <w:rPr>
          <w:rFonts w:hint="eastAsia" w:ascii="Times New Roman" w:hAnsi="Times New Roman"/>
          <w:b/>
          <w:bCs/>
          <w:color w:val="auto"/>
          <w:sz w:val="24"/>
          <w:szCs w:val="24"/>
          <w:highlight w:val="none"/>
        </w:rPr>
        <w:t xml:space="preserve">，按采购包一至采购包</w:t>
      </w:r>
      <w:r>
        <w:rPr>
          <w:rFonts w:hint="eastAsia" w:ascii="Times New Roman" w:hAnsi="Times New Roman"/>
          <w:b/>
          <w:bCs/>
          <w:color w:val="auto"/>
          <w:sz w:val="24"/>
          <w:szCs w:val="24"/>
          <w:highlight w:val="none"/>
          <w:lang w:val="en-US" w:eastAsia="zh-CN"/>
        </w:rPr>
        <w:t xml:space="preserve">二</w:t>
      </w:r>
      <w:r>
        <w:rPr>
          <w:rFonts w:hint="eastAsia" w:ascii="Times New Roman" w:hAnsi="Times New Roman"/>
          <w:b/>
          <w:bCs/>
          <w:color w:val="auto"/>
          <w:sz w:val="24"/>
          <w:szCs w:val="24"/>
          <w:highlight w:val="none"/>
        </w:rPr>
        <w:t xml:space="preserve">的顺序开标，供应商可自行选定</w:t>
      </w:r>
      <w:r>
        <w:rPr>
          <w:rFonts w:hint="eastAsia" w:ascii="Times New Roman" w:hAnsi="Times New Roman"/>
          <w:b/>
          <w:bCs/>
          <w:color w:val="auto"/>
          <w:sz w:val="24"/>
          <w:szCs w:val="24"/>
          <w:highlight w:val="none"/>
          <w:lang w:val="en-US" w:eastAsia="zh-CN"/>
        </w:rPr>
        <w:t xml:space="preserve">采购包</w:t>
      </w:r>
      <w:r>
        <w:rPr>
          <w:rFonts w:hint="eastAsia" w:ascii="Times New Roman" w:hAnsi="Times New Roman"/>
          <w:b/>
          <w:bCs/>
          <w:color w:val="auto"/>
          <w:sz w:val="24"/>
          <w:szCs w:val="24"/>
          <w:highlight w:val="none"/>
        </w:rPr>
        <w:t xml:space="preserve">参加，</w:t>
      </w:r>
      <w:r>
        <w:rPr>
          <w:rFonts w:hint="eastAsia" w:ascii="Times New Roman" w:hAnsi="Times New Roman"/>
          <w:b/>
          <w:bCs/>
          <w:color w:val="auto"/>
          <w:sz w:val="24"/>
          <w:szCs w:val="24"/>
          <w:highlight w:val="none"/>
        </w:rPr>
        <w:t xml:space="preserve">兼投</w:t>
      </w:r>
      <w:r>
        <w:rPr>
          <w:rFonts w:hint="eastAsia" w:ascii="Times New Roman" w:hAnsi="Times New Roman"/>
          <w:b/>
          <w:bCs/>
          <w:color w:val="auto"/>
          <w:sz w:val="24"/>
          <w:szCs w:val="24"/>
          <w:highlight w:val="none"/>
          <w:lang w:val="en-US" w:eastAsia="zh-CN"/>
        </w:rPr>
        <w:t xml:space="preserve">但不</w:t>
      </w:r>
      <w:r>
        <w:rPr>
          <w:rFonts w:hint="eastAsia" w:ascii="Times New Roman" w:hAnsi="Times New Roman"/>
          <w:b/>
          <w:bCs/>
          <w:color w:val="auto"/>
          <w:sz w:val="24"/>
          <w:szCs w:val="24"/>
          <w:highlight w:val="none"/>
        </w:rPr>
        <w:t xml:space="preserve">可兼中，</w:t>
      </w:r>
      <w:r>
        <w:rPr>
          <w:rFonts w:hint="eastAsia" w:ascii="Times New Roman" w:hAnsi="Times New Roman"/>
          <w:b/>
          <w:bCs/>
          <w:color w:val="auto"/>
          <w:sz w:val="24"/>
          <w:szCs w:val="24"/>
          <w:highlight w:val="none"/>
        </w:rPr>
        <w:t xml:space="preserve">参与某一</w:t>
      </w:r>
      <w:r>
        <w:rPr>
          <w:rFonts w:hint="eastAsia" w:ascii="Times New Roman" w:hAnsi="Times New Roman"/>
          <w:b/>
          <w:bCs/>
          <w:color w:val="auto"/>
          <w:sz w:val="24"/>
          <w:szCs w:val="24"/>
          <w:highlight w:val="none"/>
          <w:lang w:val="en-US" w:eastAsia="zh-CN"/>
        </w:rPr>
        <w:t xml:space="preserve">采购包</w:t>
      </w:r>
      <w:r>
        <w:rPr>
          <w:rFonts w:hint="eastAsia" w:ascii="Times New Roman" w:hAnsi="Times New Roman"/>
          <w:b/>
          <w:bCs/>
          <w:color w:val="auto"/>
          <w:sz w:val="24"/>
          <w:szCs w:val="24"/>
          <w:highlight w:val="none"/>
        </w:rPr>
        <w:t xml:space="preserve">时，必须响应该</w:t>
      </w:r>
      <w:r>
        <w:rPr>
          <w:rFonts w:hint="eastAsia" w:ascii="Times New Roman" w:hAnsi="Times New Roman"/>
          <w:b/>
          <w:bCs/>
          <w:color w:val="auto"/>
          <w:sz w:val="24"/>
          <w:szCs w:val="24"/>
          <w:highlight w:val="none"/>
          <w:lang w:val="en-US" w:eastAsia="zh-CN"/>
        </w:rPr>
        <w:t xml:space="preserve">采购包</w:t>
      </w:r>
      <w:r>
        <w:rPr>
          <w:rFonts w:hint="eastAsia" w:ascii="Times New Roman" w:hAnsi="Times New Roman"/>
          <w:b/>
          <w:bCs/>
          <w:color w:val="auto"/>
          <w:sz w:val="24"/>
          <w:szCs w:val="24"/>
          <w:highlight w:val="none"/>
        </w:rPr>
        <w:t xml:space="preserve">的全部内容，并在响应文件中注明</w:t>
      </w:r>
      <w:r>
        <w:rPr>
          <w:rFonts w:hint="eastAsia" w:ascii="Times New Roman" w:hAnsi="Times New Roman"/>
          <w:b/>
          <w:bCs/>
          <w:color w:val="auto"/>
          <w:sz w:val="24"/>
          <w:szCs w:val="24"/>
          <w:highlight w:val="none"/>
          <w:lang w:val="en-US" w:eastAsia="zh-CN"/>
        </w:rPr>
        <w:t xml:space="preserve">采购包</w:t>
      </w:r>
      <w:r>
        <w:rPr>
          <w:rFonts w:hint="eastAsia" w:ascii="Times New Roman" w:hAnsi="Times New Roman"/>
          <w:b/>
          <w:bCs/>
          <w:color w:val="auto"/>
          <w:sz w:val="24"/>
          <w:szCs w:val="24"/>
          <w:highlight w:val="none"/>
        </w:rPr>
        <w:t xml:space="preserve">号。若某一</w:t>
      </w:r>
      <w:r>
        <w:rPr>
          <w:rFonts w:hint="eastAsia" w:ascii="Times New Roman" w:hAnsi="Times New Roman"/>
          <w:b/>
          <w:bCs/>
          <w:color w:val="auto"/>
          <w:sz w:val="24"/>
          <w:szCs w:val="24"/>
          <w:highlight w:val="none"/>
          <w:lang w:val="en-US" w:eastAsia="zh-CN"/>
        </w:rPr>
        <w:t xml:space="preserve">采购包</w:t>
      </w:r>
      <w:r>
        <w:rPr>
          <w:rFonts w:hint="eastAsia" w:ascii="Times New Roman" w:hAnsi="Times New Roman"/>
          <w:b/>
          <w:bCs/>
          <w:color w:val="auto"/>
          <w:sz w:val="24"/>
          <w:szCs w:val="24"/>
          <w:highlight w:val="none"/>
        </w:rPr>
        <w:t xml:space="preserve">符合条件的供应商或者对采购文件作实质性响应的供应商不足三家的则此</w:t>
      </w:r>
      <w:r>
        <w:rPr>
          <w:rFonts w:hint="eastAsia" w:ascii="Times New Roman" w:hAnsi="Times New Roman"/>
          <w:b/>
          <w:bCs/>
          <w:color w:val="auto"/>
          <w:sz w:val="24"/>
          <w:szCs w:val="24"/>
          <w:highlight w:val="none"/>
          <w:lang w:val="en-US" w:eastAsia="zh-CN"/>
        </w:rPr>
        <w:t xml:space="preserve">采购包</w:t>
      </w:r>
      <w:r>
        <w:rPr>
          <w:rFonts w:hint="eastAsia" w:ascii="Times New Roman" w:hAnsi="Times New Roman"/>
          <w:b/>
          <w:bCs/>
          <w:color w:val="auto"/>
          <w:sz w:val="24"/>
          <w:szCs w:val="24"/>
          <w:highlight w:val="none"/>
        </w:rPr>
        <w:t xml:space="preserve">流标。  </w:t>
      </w:r>
      <w:r/>
    </w:p>
    <w:p>
      <w:pPr>
        <w:ind w:firstLine="480"/>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7.采购需求（简介）：</w:t>
      </w:r>
      <w:r>
        <w:rPr>
          <w:rFonts w:ascii="Times New Roman" w:hAnsi="Times New Roman"/>
          <w:color w:val="auto"/>
          <w:sz w:val="24"/>
          <w:szCs w:val="24"/>
          <w:highlight w:val="none"/>
        </w:rPr>
        <w:t xml:space="preserve">详见磋商文件第四章,请仔细研究。</w:t>
      </w:r>
      <w:r/>
    </w:p>
    <w:p>
      <w:pPr>
        <w:contextualSpacing/>
        <w:ind w:firstLine="480"/>
        <w:spacing w:line="400" w:lineRule="exact"/>
        <w:rPr>
          <w:rFonts w:ascii="Times New Roman" w:hAnsi="Times New Roman" w:eastAsia="仿宋"/>
          <w:b/>
          <w:color w:val="auto"/>
          <w:sz w:val="28"/>
          <w:szCs w:val="28"/>
          <w:highlight w:val="none"/>
          <w:lang w:val="zh-CN"/>
        </w:rPr>
      </w:pPr>
      <w:r>
        <w:rPr>
          <w:rFonts w:ascii="Times New Roman" w:hAnsi="Times New Roman"/>
          <w:color w:val="auto"/>
          <w:sz w:val="24"/>
          <w:szCs w:val="24"/>
          <w:highlight w:val="none"/>
        </w:rPr>
        <w:t xml:space="preserve">8.合同履行期限：</w:t>
      </w:r>
      <w:r>
        <w:rPr>
          <w:rFonts w:ascii="Times New Roman" w:hAnsi="Times New Roman"/>
          <w:color w:val="auto"/>
          <w:sz w:val="24"/>
          <w:szCs w:val="24"/>
          <w:highlight w:val="none"/>
          <w:lang w:val="zh-CN"/>
        </w:rPr>
        <w:t xml:space="preserve">详见采购文件。</w:t>
      </w:r>
      <w:r/>
    </w:p>
    <w:p>
      <w:pPr>
        <w:contextualSpacing/>
        <w:ind w:firstLine="482"/>
        <w:spacing w:line="400" w:lineRule="exact"/>
        <w:rPr>
          <w:rFonts w:ascii="Times New Roman" w:hAnsi="Times New Roman"/>
          <w:b/>
          <w:bCs/>
          <w:color w:val="auto"/>
          <w:sz w:val="24"/>
          <w:szCs w:val="24"/>
          <w:highlight w:val="none"/>
          <w:lang w:val="zh-CN"/>
        </w:rPr>
      </w:pPr>
      <w:r>
        <w:rPr>
          <w:rFonts w:ascii="Times New Roman" w:hAnsi="Times New Roman"/>
          <w:b/>
          <w:bCs/>
          <w:color w:val="auto"/>
          <w:sz w:val="24"/>
          <w:szCs w:val="24"/>
          <w:highlight w:val="none"/>
        </w:rPr>
        <w:t xml:space="preserve">9.</w:t>
      </w:r>
      <w:r>
        <w:rPr>
          <w:rFonts w:ascii="Times New Roman" w:hAnsi="Times New Roman"/>
          <w:b/>
          <w:bCs/>
          <w:color w:val="auto"/>
          <w:sz w:val="24"/>
          <w:szCs w:val="24"/>
          <w:highlight w:val="none"/>
          <w:lang w:val="zh-CN"/>
        </w:rPr>
        <w:t xml:space="preserve">本项目</w:t>
      </w:r>
      <w:r>
        <w:rPr>
          <w:rFonts w:ascii="Times New Roman" w:hAnsi="Times New Roman"/>
          <w:b/>
          <w:bCs/>
          <w:color w:val="auto"/>
          <w:sz w:val="24"/>
          <w:szCs w:val="24"/>
          <w:highlight w:val="none"/>
        </w:rPr>
        <w:t xml:space="preserve">是否</w:t>
      </w:r>
      <w:r>
        <w:rPr>
          <w:rFonts w:ascii="Times New Roman" w:hAnsi="Times New Roman"/>
          <w:b/>
          <w:bCs/>
          <w:color w:val="auto"/>
          <w:sz w:val="24"/>
          <w:szCs w:val="24"/>
          <w:highlight w:val="none"/>
          <w:lang w:val="zh-CN"/>
        </w:rPr>
        <w:t xml:space="preserve">接受联合体投标：</w:t>
      </w:r>
      <w:r>
        <w:rPr>
          <w:rFonts w:hint="eastAsia" w:ascii="Times New Roman" w:hAnsi="Times New Roman"/>
          <w:b/>
          <w:bCs/>
          <w:color w:val="auto"/>
          <w:sz w:val="24"/>
          <w:szCs w:val="24"/>
          <w:highlight w:val="none"/>
        </w:rPr>
        <w:t xml:space="preserve">是</w:t>
      </w:r>
      <w:r>
        <w:rPr>
          <w:rFonts w:ascii="Times New Roman" w:hAnsi="Times New Roman"/>
          <w:b/>
          <w:bCs/>
          <w:color w:val="auto"/>
          <w:sz w:val="24"/>
          <w:szCs w:val="24"/>
          <w:highlight w:val="none"/>
          <w:lang w:val="zh-CN"/>
        </w:rPr>
        <w:t xml:space="preserve">。</w:t>
      </w:r>
      <w:r/>
    </w:p>
    <w:p>
      <w:pPr>
        <w:contextualSpacing/>
        <w:ind w:firstLine="480"/>
        <w:spacing w:line="4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rPr>
        <w:t xml:space="preserve">10.</w:t>
      </w:r>
      <w:r>
        <w:rPr>
          <w:rFonts w:ascii="Times New Roman" w:hAnsi="Times New Roman"/>
          <w:color w:val="auto"/>
          <w:sz w:val="24"/>
          <w:szCs w:val="24"/>
          <w:highlight w:val="none"/>
          <w:lang w:val="zh-CN"/>
        </w:rPr>
        <w:t xml:space="preserve">本项目是否专门面向中小企业采购: </w:t>
      </w:r>
      <w:r>
        <w:rPr>
          <w:rFonts w:hint="eastAsia" w:ascii="Times New Roman" w:hAnsi="Times New Roman"/>
          <w:color w:val="auto"/>
          <w:sz w:val="24"/>
          <w:szCs w:val="24"/>
          <w:highlight w:val="none"/>
        </w:rPr>
        <w:t xml:space="preserve">否</w:t>
      </w:r>
      <w:r>
        <w:rPr>
          <w:rFonts w:ascii="Times New Roman" w:hAnsi="Times New Roman"/>
          <w:color w:val="auto"/>
          <w:sz w:val="24"/>
          <w:szCs w:val="24"/>
          <w:highlight w:val="none"/>
          <w:lang w:val="zh-CN"/>
        </w:rPr>
        <w:t xml:space="preserve">。</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 w:name="_Toc35393791"/>
      <w:r/>
      <w:bookmarkStart w:id="13" w:name="_Toc28359080"/>
      <w:r/>
      <w:bookmarkStart w:id="14" w:name="_Toc38985264"/>
      <w:r/>
      <w:bookmarkStart w:id="15" w:name="_Toc35393622"/>
      <w:r/>
      <w:bookmarkStart w:id="16" w:name="_Toc28359003"/>
      <w:r>
        <w:rPr>
          <w:rFonts w:ascii="Times New Roman" w:hAnsi="Times New Roman"/>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400" w:lineRule="exact"/>
        <w:rPr>
          <w:rFonts w:ascii="Times New Roman" w:hAnsi="Times New Roman"/>
          <w:color w:val="auto"/>
          <w:sz w:val="24"/>
          <w:szCs w:val="24"/>
          <w:highlight w:val="none"/>
        </w:rPr>
      </w:pPr>
      <w:r/>
      <w:bookmarkStart w:id="17" w:name="_Toc28359081"/>
      <w:r/>
      <w:bookmarkStart w:id="18" w:name="_Toc38985265"/>
      <w:r/>
      <w:bookmarkStart w:id="19" w:name="_Toc35393623"/>
      <w:r/>
      <w:bookmarkStart w:id="20" w:name="_Toc35393792"/>
      <w:r/>
      <w:bookmarkStart w:id="21" w:name="_Toc28359004"/>
      <w:r>
        <w:rPr>
          <w:rFonts w:ascii="Times New Roman" w:hAnsi="Times New Roman"/>
          <w:color w:val="auto"/>
          <w:sz w:val="24"/>
          <w:szCs w:val="24"/>
          <w:highlight w:val="none"/>
        </w:rPr>
        <w:t xml:space="preserve">（一）通用资格要求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1.满足《中华人民共和国政府采购法》第二十二条规定。</w:t>
      </w:r>
      <w:bookmarkStart w:id="187" w:name="_GoBack"/>
      <w:r/>
      <w:bookmarkEnd w:id="187"/>
      <w:r/>
      <w:r/>
    </w:p>
    <w:p>
      <w:pPr>
        <w:ind w:firstLine="480"/>
        <w:spacing w:line="400" w:lineRule="exact"/>
        <w:rPr>
          <w:rFonts w:ascii="Times New Roman" w:hAnsi="Times New Roman" w:eastAsia="华文新魏"/>
          <w:color w:val="auto"/>
          <w:sz w:val="36"/>
          <w:szCs w:val="36"/>
          <w:highlight w:val="none"/>
        </w:rPr>
      </w:pPr>
      <w:r>
        <w:rPr>
          <w:rFonts w:ascii="Times New Roman" w:hAnsi="Times New Roman"/>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b/>
          <w:bCs/>
          <w:color w:val="auto"/>
          <w:sz w:val="24"/>
          <w:szCs w:val="24"/>
          <w:highlight w:val="none"/>
        </w:rPr>
        <w:t xml:space="preserve">（响应文件中无需提供证明材料）</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3.落实政府采购政策需满足的资格要求：</w:t>
      </w:r>
      <w:r>
        <w:rPr>
          <w:rFonts w:hint="eastAsia" w:ascii="Times New Roman" w:hAnsi="Times New Roman"/>
          <w:b/>
          <w:bCs/>
          <w:color w:val="auto"/>
          <w:sz w:val="24"/>
          <w:szCs w:val="24"/>
          <w:highlight w:val="none"/>
        </w:rPr>
        <w:t xml:space="preserve">无。</w:t>
      </w:r>
      <w:r/>
    </w:p>
    <w:p>
      <w:pPr>
        <w:ind w:firstLine="482"/>
        <w:spacing w:line="400" w:lineRule="exact"/>
        <w:rPr>
          <w:rFonts w:hint="eastAsia" w:ascii="Times New Roman" w:hAnsi="Times New Roman" w:eastAsia="宋体"/>
          <w:b/>
          <w:bCs/>
          <w:color w:val="auto"/>
          <w:sz w:val="24"/>
          <w:szCs w:val="24"/>
          <w:highlight w:val="none"/>
          <w:lang w:eastAsia="zh-CN"/>
        </w:rPr>
      </w:pPr>
      <w:r>
        <w:rPr>
          <w:rFonts w:ascii="Times New Roman" w:hAnsi="Times New Roman"/>
          <w:b/>
          <w:bCs/>
          <w:color w:val="auto"/>
          <w:sz w:val="24"/>
          <w:szCs w:val="24"/>
          <w:highlight w:val="none"/>
        </w:rPr>
        <w:t xml:space="preserve">（二）本项目的特定资格要求</w:t>
      </w:r>
      <w:r/>
    </w:p>
    <w:p>
      <w:pPr>
        <w:ind w:firstLine="723"/>
        <w:spacing w:line="400" w:lineRule="exac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采购包一：</w:t>
      </w:r>
      <w:r>
        <w:rPr>
          <w:rFonts w:hint="eastAsia" w:ascii="Times New Roman" w:hAnsi="Times New Roman"/>
          <w:b/>
          <w:bCs/>
          <w:color w:val="auto"/>
          <w:sz w:val="24"/>
          <w:szCs w:val="24"/>
          <w:highlight w:val="none"/>
        </w:rPr>
        <w:t xml:space="preserve">投标供应商须</w:t>
      </w:r>
      <w:r>
        <w:rPr>
          <w:rFonts w:hint="eastAsia" w:ascii="Times New Roman" w:hAnsi="Times New Roman"/>
          <w:b/>
          <w:bCs/>
          <w:color w:val="auto"/>
          <w:sz w:val="24"/>
          <w:szCs w:val="24"/>
          <w:highlight w:val="none"/>
          <w:lang w:val="en-US" w:eastAsia="zh-CN"/>
        </w:rPr>
        <w:t xml:space="preserve">同时</w:t>
      </w:r>
      <w:r>
        <w:rPr>
          <w:rFonts w:hint="eastAsia" w:ascii="Times New Roman" w:hAnsi="Times New Roman"/>
          <w:b/>
          <w:bCs/>
          <w:color w:val="auto"/>
          <w:sz w:val="24"/>
          <w:szCs w:val="24"/>
          <w:highlight w:val="none"/>
        </w:rPr>
        <w:t xml:space="preserve">具</w:t>
      </w:r>
      <w:r>
        <w:rPr>
          <w:rFonts w:hint="eastAsia" w:ascii="Times New Roman" w:hAnsi="Times New Roman"/>
          <w:b/>
          <w:bCs/>
          <w:color w:val="auto"/>
          <w:sz w:val="24"/>
          <w:szCs w:val="24"/>
          <w:highlight w:val="none"/>
          <w:lang w:val="en-US" w:eastAsia="zh-CN"/>
        </w:rPr>
        <w:t xml:space="preserve">有</w:t>
      </w:r>
      <w:r>
        <w:rPr>
          <w:rFonts w:hint="eastAsia" w:ascii="Times New Roman" w:hAnsi="Times New Roman"/>
          <w:b/>
          <w:bCs/>
          <w:color w:val="auto"/>
          <w:sz w:val="24"/>
          <w:szCs w:val="24"/>
          <w:highlight w:val="none"/>
        </w:rPr>
        <w:t xml:space="preserve">有效期内的测绘乙级及以上资质和土地整治项目规划设计三级及以上</w:t>
      </w:r>
      <w:r>
        <w:rPr>
          <w:rFonts w:hint="eastAsia" w:ascii="Times New Roman" w:hAnsi="Times New Roman"/>
          <w:b/>
          <w:bCs/>
          <w:color w:val="auto"/>
          <w:sz w:val="24"/>
          <w:szCs w:val="24"/>
          <w:highlight w:val="none"/>
          <w:lang w:val="en-US" w:eastAsia="zh-CN"/>
        </w:rPr>
        <w:t xml:space="preserve">资质</w:t>
      </w:r>
      <w:r>
        <w:rPr>
          <w:rFonts w:hint="eastAsia" w:ascii="Times New Roman" w:hAnsi="Times New Roman"/>
          <w:b/>
          <w:bCs/>
          <w:color w:val="auto"/>
          <w:sz w:val="24"/>
          <w:szCs w:val="24"/>
          <w:highlight w:val="none"/>
        </w:rPr>
        <w:t xml:space="preserve">。</w:t>
      </w:r>
      <w:r/>
    </w:p>
    <w:p>
      <w:pPr>
        <w:ind w:firstLine="723"/>
        <w:spacing w:line="400" w:lineRule="exac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采购包二：</w:t>
      </w:r>
      <w:r>
        <w:rPr>
          <w:rFonts w:hint="eastAsia" w:ascii="Times New Roman" w:hAnsi="Times New Roman"/>
          <w:b/>
          <w:bCs/>
          <w:color w:val="auto"/>
          <w:sz w:val="24"/>
          <w:szCs w:val="24"/>
          <w:highlight w:val="none"/>
        </w:rPr>
        <w:t xml:space="preserve">投标供应商具有测绘地理信息行政主管部门颁发的测绘乙级及以上资质且专业范围须涵盖地理信息系统工程、界线与不动产测绘。</w:t>
      </w:r>
      <w:r/>
    </w:p>
    <w:p>
      <w:pPr>
        <w:ind w:firstLine="482"/>
        <w:keepLines/>
        <w:keepNext/>
        <w:spacing w:before="120" w:after="120" w:line="400" w:lineRule="exact"/>
        <w:rPr>
          <w:rFonts w:ascii="Times New Roman" w:hAnsi="Times New Roman"/>
          <w:b/>
          <w:bCs/>
          <w:color w:val="auto"/>
          <w:sz w:val="32"/>
          <w:szCs w:val="32"/>
          <w:highlight w:val="none"/>
        </w:rPr>
        <w:outlineLvl w:val="2"/>
      </w:pPr>
      <w:r>
        <w:rPr>
          <w:rFonts w:hint="eastAsia" w:ascii="Times New Roman" w:hAnsi="Times New Roman"/>
          <w:b/>
          <w:bCs/>
          <w:color w:val="auto"/>
          <w:sz w:val="24"/>
          <w:szCs w:val="24"/>
          <w:highlight w:val="none"/>
        </w:rPr>
        <w:t xml:space="preserve">（三）本项目各</w:t>
      </w:r>
      <w:r>
        <w:rPr>
          <w:rFonts w:hint="eastAsia" w:ascii="Times New Roman" w:hAnsi="Times New Roman"/>
          <w:b/>
          <w:bCs/>
          <w:color w:val="auto"/>
          <w:sz w:val="24"/>
          <w:szCs w:val="24"/>
          <w:highlight w:val="none"/>
          <w:lang w:val="en-US" w:eastAsia="zh-CN"/>
        </w:rPr>
        <w:t xml:space="preserve">采购包</w:t>
      </w:r>
      <w:r>
        <w:rPr>
          <w:rFonts w:hint="eastAsia" w:ascii="Times New Roman" w:hAnsi="Times New Roman"/>
          <w:b/>
          <w:bCs/>
          <w:color w:val="auto"/>
          <w:sz w:val="24"/>
          <w:szCs w:val="24"/>
          <w:highlight w:val="none"/>
        </w:rPr>
        <w:t xml:space="preserve">均接受联合体投标，联合体投标要求如下：</w:t>
      </w:r>
      <w:r/>
    </w:p>
    <w:p>
      <w:pPr>
        <w:ind w:firstLine="480"/>
        <w:keepLines/>
        <w:keepNext/>
        <w:spacing w:before="120" w:after="120" w:line="400" w:lineRule="exact"/>
        <w:rPr>
          <w:rFonts w:hint="eastAsia" w:asciiTheme="minorEastAsia" w:hAnsiTheme="minorEastAsia" w:eastAsiaTheme="minorEastAsia" w:cstheme="minorEastAsia"/>
          <w:color w:val="auto"/>
          <w:sz w:val="24"/>
          <w:szCs w:val="24"/>
          <w:highlight w:val="none"/>
        </w:rPr>
        <w:outlineLvl w:val="2"/>
      </w:pPr>
      <w:r>
        <w:rPr>
          <w:rFonts w:hint="eastAsia" w:asciiTheme="minorEastAsia" w:hAnsiTheme="minorEastAsia" w:eastAsiaTheme="minorEastAsia" w:cstheme="minorEastAsia"/>
          <w:color w:val="auto"/>
          <w:sz w:val="24"/>
          <w:szCs w:val="24"/>
          <w:highlight w:val="none"/>
        </w:rPr>
        <w:t xml:space="preserve">（1）投标人为联合体的，每个联合体投标人最多由两家单位组成。</w:t>
      </w:r>
      <w:r/>
    </w:p>
    <w:p>
      <w:pPr>
        <w:ind w:firstLine="480"/>
        <w:keepLines/>
        <w:keepNext/>
        <w:spacing w:before="120" w:after="120" w:line="400" w:lineRule="exact"/>
        <w:rPr>
          <w:rFonts w:hint="eastAsia" w:asciiTheme="minorEastAsia" w:hAnsiTheme="minorEastAsia" w:eastAsiaTheme="minorEastAsia" w:cstheme="minorEastAsia"/>
          <w:color w:val="auto"/>
          <w:sz w:val="24"/>
          <w:szCs w:val="24"/>
          <w:highlight w:val="none"/>
        </w:rPr>
        <w:outlineLvl w:val="2"/>
      </w:pPr>
      <w:r>
        <w:rPr>
          <w:rFonts w:hint="eastAsia" w:asciiTheme="minorEastAsia" w:hAnsiTheme="minorEastAsia" w:eastAsiaTheme="minorEastAsia" w:cstheme="minorEastAsia"/>
          <w:color w:val="auto"/>
          <w:sz w:val="24"/>
          <w:szCs w:val="24"/>
          <w:highlight w:val="none"/>
        </w:rPr>
        <w:t xml:space="preserve">（2）联合体中有同类资质的供应商按照联合体分工承担相同工作的，应当按照资质等级较低的供应商确定资质等级。    </w:t>
      </w:r>
      <w:r/>
    </w:p>
    <w:p>
      <w:pPr>
        <w:ind w:firstLine="480"/>
        <w:keepLines/>
        <w:keepNext/>
        <w:spacing w:before="120" w:after="120" w:line="400" w:lineRule="exact"/>
        <w:rPr>
          <w:rFonts w:hint="eastAsia" w:asciiTheme="minorEastAsia" w:hAnsiTheme="minorEastAsia" w:eastAsiaTheme="minorEastAsia" w:cstheme="minorEastAsia"/>
          <w:color w:val="auto"/>
          <w:sz w:val="24"/>
          <w:szCs w:val="24"/>
          <w:highlight w:val="none"/>
        </w:rPr>
        <w:outlineLvl w:val="2"/>
      </w:pPr>
      <w:r>
        <w:rPr>
          <w:rFonts w:hint="eastAsia" w:asciiTheme="minorEastAsia" w:hAnsiTheme="minorEastAsia" w:eastAsiaTheme="minorEastAsia" w:cstheme="minorEastAsia"/>
          <w:color w:val="auto"/>
          <w:sz w:val="24"/>
          <w:szCs w:val="24"/>
          <w:highlight w:val="none"/>
        </w:rPr>
        <w:t xml:space="preserve">（3）联合体投标的，必须提供联合体协议，明确联合体牵头人和各方权利义务（联合体协议由投标人自拟）。</w:t>
      </w:r>
      <w:r/>
    </w:p>
    <w:p>
      <w:pPr>
        <w:ind w:firstLine="480"/>
        <w:keepLines/>
        <w:keepNext/>
        <w:spacing w:before="120" w:after="120" w:line="400" w:lineRule="exact"/>
        <w:rPr>
          <w:rFonts w:hint="eastAsia" w:asciiTheme="minorEastAsia" w:hAnsiTheme="minorEastAsia" w:eastAsiaTheme="minorEastAsia" w:cstheme="minorEastAsia"/>
          <w:color w:val="auto"/>
          <w:sz w:val="24"/>
          <w:szCs w:val="24"/>
          <w:highlight w:val="none"/>
        </w:rPr>
        <w:outlineLvl w:val="2"/>
      </w:pPr>
      <w:r>
        <w:rPr>
          <w:rFonts w:hint="eastAsia" w:asciiTheme="minorEastAsia" w:hAnsiTheme="minorEastAsia" w:eastAsiaTheme="minorEastAsia" w:cstheme="minorEastAsia"/>
          <w:color w:val="auto"/>
          <w:sz w:val="24"/>
          <w:szCs w:val="24"/>
          <w:highlight w:val="none"/>
        </w:rPr>
        <w:t xml:space="preserve">（4）联合体各方不得再以自己名义单独或参加其他联合体在同一项目中的投标。</w:t>
      </w:r>
      <w:r/>
    </w:p>
    <w:p>
      <w:pPr>
        <w:ind w:firstLine="480"/>
        <w:keepLines/>
        <w:keepNext/>
        <w:spacing w:before="120" w:after="120" w:line="400" w:lineRule="exact"/>
        <w:rPr>
          <w:rFonts w:hint="eastAsia" w:asciiTheme="minorEastAsia" w:hAnsiTheme="minorEastAsia" w:eastAsiaTheme="minorEastAsia" w:cstheme="minorEastAsia"/>
          <w:color w:val="auto"/>
          <w:sz w:val="24"/>
          <w:szCs w:val="24"/>
          <w:highlight w:val="none"/>
        </w:rPr>
        <w:outlineLvl w:val="2"/>
      </w:pPr>
      <w:r>
        <w:rPr>
          <w:rFonts w:hint="eastAsia" w:asciiTheme="minorEastAsia" w:hAnsiTheme="minorEastAsia" w:eastAsiaTheme="minorEastAsia" w:cstheme="minorEastAsia"/>
          <w:color w:val="auto"/>
          <w:sz w:val="24"/>
          <w:szCs w:val="24"/>
          <w:highlight w:val="none"/>
        </w:rPr>
        <w:t xml:space="preserve">（5）联合体各方应共同与采购人签订合同协议书。</w:t>
      </w:r>
      <w:r/>
    </w:p>
    <w:p>
      <w:pPr>
        <w:ind w:firstLine="480"/>
        <w:keepLines/>
        <w:keepNext/>
        <w:spacing w:before="120" w:after="120" w:line="400" w:lineRule="exact"/>
        <w:rPr>
          <w:rFonts w:hint="eastAsia" w:asciiTheme="minorEastAsia" w:hAnsiTheme="minorEastAsia" w:eastAsiaTheme="minorEastAsia" w:cstheme="minorEastAsia"/>
          <w:color w:val="auto"/>
          <w:sz w:val="24"/>
          <w:szCs w:val="24"/>
          <w:highlight w:val="none"/>
        </w:rPr>
        <w:outlineLvl w:val="2"/>
      </w:pPr>
      <w:r>
        <w:rPr>
          <w:rFonts w:hint="eastAsia" w:asciiTheme="minorEastAsia" w:hAnsiTheme="minorEastAsia" w:eastAsiaTheme="minorEastAsia" w:cstheme="minorEastAsia"/>
          <w:color w:val="auto"/>
          <w:sz w:val="24"/>
          <w:szCs w:val="24"/>
          <w:highlight w:val="none"/>
        </w:rPr>
        <w:t xml:space="preserve">（6）联合体协议经采购人确认后作为合同附件。在履行合同过程中，未经采购人同意，不得修改联合体协议。</w:t>
      </w:r>
      <w:r/>
    </w:p>
    <w:p>
      <w:pPr>
        <w:ind w:firstLine="480"/>
        <w:keepLines/>
        <w:keepNext/>
        <w:spacing w:before="120" w:after="120" w:line="400" w:lineRule="exact"/>
        <w:rPr>
          <w:rFonts w:hint="eastAsia" w:asciiTheme="minorEastAsia" w:hAnsiTheme="minorEastAsia" w:eastAsiaTheme="minorEastAsia" w:cstheme="minorEastAsia"/>
          <w:color w:val="auto"/>
          <w:sz w:val="24"/>
          <w:szCs w:val="24"/>
          <w:highlight w:val="none"/>
        </w:rPr>
        <w:outlineLvl w:val="2"/>
      </w:pPr>
      <w:r>
        <w:rPr>
          <w:rFonts w:hint="eastAsia" w:asciiTheme="minorEastAsia" w:hAnsiTheme="minorEastAsia" w:eastAsiaTheme="minorEastAsia" w:cstheme="minorEastAsia"/>
          <w:color w:val="auto"/>
          <w:sz w:val="24"/>
          <w:szCs w:val="24"/>
          <w:highlight w:val="none"/>
        </w:rPr>
        <w:t xml:space="preserve">（7）投标文件由联合体牵头人编制并盖章，对联合体各成员具有约束力。</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三、获取</w:t>
      </w:r>
      <w:bookmarkEnd w:id="17"/>
      <w:r/>
      <w:bookmarkEnd w:id="18"/>
      <w:r/>
      <w:bookmarkEnd w:id="19"/>
      <w:r/>
      <w:bookmarkEnd w:id="20"/>
      <w:r/>
      <w:bookmarkEnd w:id="21"/>
      <w:r>
        <w:rPr>
          <w:rFonts w:ascii="Times New Roman" w:hAnsi="Times New Roman"/>
          <w:b/>
          <w:bCs/>
          <w:color w:val="auto"/>
          <w:sz w:val="32"/>
          <w:szCs w:val="32"/>
          <w:highlight w:val="none"/>
        </w:rPr>
        <w:t xml:space="preserve">采购文件</w:t>
      </w:r>
      <w:r/>
    </w:p>
    <w:p>
      <w:pPr>
        <w:ind w:firstLine="480"/>
        <w:jc w:val="left"/>
        <w:spacing w:line="400" w:lineRule="exact"/>
        <w:rPr>
          <w:rFonts w:ascii="Times New Roman" w:hAnsi="Times New Roman"/>
          <w:color w:val="auto"/>
          <w:sz w:val="24"/>
          <w:szCs w:val="24"/>
          <w:highlight w:val="none"/>
        </w:rPr>
      </w:pPr>
      <w:r/>
      <w:bookmarkStart w:id="22" w:name="_Toc38985266"/>
      <w:r/>
      <w:bookmarkStart w:id="23" w:name="_Toc35393793"/>
      <w:r/>
      <w:bookmarkStart w:id="24" w:name="_Toc28359005"/>
      <w:r/>
      <w:bookmarkStart w:id="25" w:name="_Toc35393624"/>
      <w:r/>
      <w:bookmarkStart w:id="26" w:name="_Toc28359082"/>
      <w:r>
        <w:rPr>
          <w:rFonts w:ascii="Times New Roman" w:hAnsi="Times New Roman"/>
          <w:color w:val="auto"/>
          <w:sz w:val="24"/>
          <w:szCs w:val="24"/>
          <w:highlight w:val="none"/>
        </w:rPr>
        <w:t xml:space="preserve">1.时间</w:t>
      </w:r>
      <w:r>
        <w:rPr>
          <w:rFonts w:ascii="Times New Roman" w:hAnsi="Times New Roman"/>
          <w:b/>
          <w:bCs/>
          <w:color w:val="auto"/>
          <w:sz w:val="24"/>
          <w:szCs w:val="24"/>
          <w:highlight w:val="none"/>
        </w:rPr>
        <w:t xml:space="preserve">：</w:t>
      </w:r>
      <w:r>
        <w:rPr>
          <w:rFonts w:hint="eastAsia" w:ascii="Times New Roman" w:hAnsi="Times New Roman"/>
          <w:b/>
          <w:bCs/>
          <w:color w:val="auto"/>
          <w:sz w:val="24"/>
          <w:szCs w:val="24"/>
          <w:highlight w:val="none"/>
        </w:rPr>
        <w:t xml:space="preserve">自磋商文件公告发布之日起5个工作日。</w:t>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2.方式：在“江苏政府采购网”自行免费下载磋商文件。</w:t>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3.获取方式：本项目采用网上注册登记方式。</w:t>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4.方式：凡有意参与投标的供应商须登录江苏政府采购网首页点击“苏采云”→ 通 过CA锁进行响应确认，并自行在磋商文件有效获取期内及时下载获取。</w:t>
      </w:r>
      <w:r/>
    </w:p>
    <w:p>
      <w:pPr>
        <w:ind w:firstLine="480"/>
        <w:jc w:val="left"/>
        <w:spacing w:line="400" w:lineRule="exact"/>
        <w:rPr>
          <w:rFonts w:ascii="Times New Roman" w:hAnsi="Times New Roman"/>
          <w:b/>
          <w:bCs/>
          <w:color w:val="auto"/>
          <w:sz w:val="32"/>
          <w:szCs w:val="32"/>
          <w:highlight w:val="none"/>
        </w:rPr>
      </w:pPr>
      <w:r>
        <w:rPr>
          <w:rFonts w:hint="eastAsia" w:ascii="宋体" w:hAnsi="宋体" w:cs="宋体"/>
          <w:color w:val="auto"/>
          <w:sz w:val="24"/>
          <w:szCs w:val="24"/>
          <w:highlight w:val="none"/>
        </w:rPr>
        <w:t xml:space="preserve">5.售价：免费</w:t>
      </w:r>
      <w:bookmarkEnd w:id="22"/>
      <w:r/>
      <w:bookmarkEnd w:id="23"/>
      <w:r/>
      <w:bookmarkEnd w:id="24"/>
      <w:r/>
      <w:bookmarkEnd w:id="25"/>
      <w:r/>
      <w:bookmarkEnd w:id="26"/>
      <w:r/>
      <w:r/>
    </w:p>
    <w:p>
      <w:pPr>
        <w:ind w:firstLine="643"/>
        <w:spacing w:line="500" w:lineRule="exact"/>
        <w:rPr>
          <w:rFonts w:ascii="Times New Roman" w:hAnsi="Times New Roman"/>
          <w:b/>
          <w:bCs/>
          <w:color w:val="auto"/>
          <w:sz w:val="32"/>
          <w:szCs w:val="32"/>
          <w:highlight w:val="none"/>
        </w:rPr>
      </w:pPr>
      <w:r/>
      <w:bookmarkStart w:id="27" w:name="_Toc35393625"/>
      <w:r/>
      <w:bookmarkStart w:id="28" w:name="_Toc38985267"/>
      <w:r/>
      <w:bookmarkStart w:id="29" w:name="_Toc28359007"/>
      <w:r/>
      <w:bookmarkStart w:id="30" w:name="_Toc35393794"/>
      <w:r/>
      <w:bookmarkStart w:id="31" w:name="_Toc28359084"/>
      <w:r>
        <w:rPr>
          <w:rFonts w:hint="eastAsia" w:ascii="Times New Roman" w:hAnsi="Times New Roman"/>
          <w:b/>
          <w:bCs/>
          <w:color w:val="auto"/>
          <w:sz w:val="32"/>
          <w:szCs w:val="32"/>
          <w:highlight w:val="none"/>
        </w:rPr>
        <w:t xml:space="preserve">四、响应文件提交</w:t>
      </w:r>
      <w:r/>
    </w:p>
    <w:p>
      <w:pPr>
        <w:ind w:firstLine="480"/>
        <w:jc w:val="left"/>
        <w:spacing w:line="40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b/>
          <w:bCs/>
          <w:color w:val="auto"/>
          <w:sz w:val="24"/>
          <w:szCs w:val="24"/>
          <w:highlight w:val="none"/>
        </w:rPr>
        <w:t xml:space="preserve">.截止时间2026年</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日上午9时00分（北京时间）。逾时，系统将拒绝接受上传响应文件电子文档。</w:t>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五、公告期限</w:t>
      </w:r>
      <w:bookmarkEnd w:id="27"/>
      <w:r/>
      <w:bookmarkEnd w:id="28"/>
      <w:r/>
      <w:bookmarkEnd w:id="29"/>
      <w:r/>
      <w:bookmarkEnd w:id="30"/>
      <w:r/>
      <w:bookmarkEnd w:id="31"/>
      <w:r/>
      <w:r/>
    </w:p>
    <w:p>
      <w:pPr>
        <w:ind w:firstLine="480"/>
        <w:jc w:val="left"/>
        <w:spacing w:line="400" w:lineRule="exact"/>
        <w:rPr>
          <w:rFonts w:ascii="Times New Roman" w:hAnsi="Times New Roman"/>
          <w:color w:val="auto"/>
          <w:sz w:val="24"/>
          <w:szCs w:val="24"/>
          <w:highlight w:val="none"/>
        </w:rPr>
      </w:pPr>
      <w:r/>
      <w:bookmarkStart w:id="32" w:name="_Toc38985268"/>
      <w:r/>
      <w:bookmarkStart w:id="33" w:name="_Toc35393626"/>
      <w:r/>
      <w:bookmarkStart w:id="34" w:name="_Toc35393795"/>
      <w:r>
        <w:rPr>
          <w:rFonts w:ascii="Times New Roman" w:hAnsi="Times New Roman"/>
          <w:color w:val="auto"/>
          <w:sz w:val="24"/>
          <w:szCs w:val="24"/>
          <w:highlight w:val="none"/>
        </w:rPr>
        <w:t xml:space="preserve">自本公告发布之日起3个工作日。</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六、其他补充事宜</w:t>
      </w:r>
      <w:bookmarkEnd w:id="32"/>
      <w:r/>
      <w:bookmarkEnd w:id="33"/>
      <w:r/>
      <w:bookmarkEnd w:id="34"/>
      <w:r/>
      <w:r/>
    </w:p>
    <w:p>
      <w:pPr>
        <w:ind w:firstLine="480"/>
        <w:jc w:val="left"/>
        <w:spacing w:line="400" w:lineRule="exact"/>
        <w:rPr>
          <w:rFonts w:ascii="Times New Roman" w:hAnsi="Times New Roman"/>
          <w:color w:val="auto"/>
          <w:sz w:val="24"/>
          <w:szCs w:val="24"/>
          <w:highlight w:val="none"/>
        </w:rPr>
      </w:pPr>
      <w:r/>
      <w:bookmarkStart w:id="35" w:name="_Toc35393796"/>
      <w:r/>
      <w:bookmarkStart w:id="36" w:name="_Toc38985269"/>
      <w:r/>
      <w:bookmarkStart w:id="37" w:name="_Toc28359008"/>
      <w:r/>
      <w:bookmarkStart w:id="38" w:name="_Toc28359085"/>
      <w:r/>
      <w:bookmarkStart w:id="39" w:name="_Toc35393627"/>
      <w:r>
        <w:rPr>
          <w:rFonts w:ascii="Times New Roman" w:hAnsi="Times New Roman"/>
          <w:color w:val="auto"/>
          <w:sz w:val="24"/>
          <w:szCs w:val="24"/>
          <w:highlight w:val="none"/>
        </w:rPr>
        <w:t xml:space="preserve">1.项目磋商活动模式：不见面远程磋商模式。</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4.开标当天投标供应商应及时登录“苏采云”政府采购一体化平台，并在规定时</w:t>
      </w:r>
      <w:r>
        <w:rPr>
          <w:rFonts w:ascii="Times New Roman" w:hAnsi="Times New Roman"/>
          <w:color w:val="auto"/>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ind w:firstLine="480"/>
        <w:jc w:val="left"/>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节能环保产品：依据财政部、发展改革委发布的《节能产品政府采购品目清单》，本项目如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321"/>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七、本次磋商联系方式</w:t>
      </w:r>
      <w:bookmarkEnd w:id="35"/>
      <w:r/>
      <w:bookmarkEnd w:id="36"/>
      <w:r/>
      <w:bookmarkEnd w:id="37"/>
      <w:r/>
      <w:bookmarkEnd w:id="38"/>
      <w:r/>
      <w:bookmarkEnd w:id="39"/>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1.采购人信息</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称：如东县自然资源和规划局</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地址：如东县城中街道长江路25号 </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联系人：缪蔡晨 </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联系方式：18994160681</w:t>
      </w:r>
      <w:r/>
    </w:p>
    <w:p>
      <w:pPr>
        <w:ind w:firstLine="480"/>
        <w:jc w:val="left"/>
        <w:spacing w:line="440" w:lineRule="exact"/>
        <w:shd w:val="clear" w:color="auto" w:fill="ffffff"/>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2.代理机构信息</w:t>
      </w:r>
      <w:r/>
    </w:p>
    <w:p>
      <w:pPr>
        <w:ind w:firstLine="480"/>
        <w:jc w:val="left"/>
        <w:spacing w:line="440" w:lineRule="exact"/>
        <w:shd w:val="clear" w:color="auto" w:fill="ffffff"/>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称：江苏衡晟项目管理咨询有限公司</w:t>
      </w:r>
      <w:r/>
    </w:p>
    <w:p>
      <w:pPr>
        <w:ind w:firstLine="480"/>
        <w:jc w:val="left"/>
        <w:spacing w:line="440" w:lineRule="exact"/>
        <w:shd w:val="clear" w:color="auto" w:fill="ffffff"/>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地址：如东县城中街道长江路</w:t>
      </w:r>
      <w:r/>
    </w:p>
    <w:p>
      <w:pPr>
        <w:ind w:firstLine="480"/>
        <w:jc w:val="left"/>
        <w:spacing w:line="440" w:lineRule="exact"/>
        <w:shd w:val="clear" w:color="auto" w:fill="ffffff"/>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联系人：王海军</w:t>
      </w:r>
      <w:r/>
    </w:p>
    <w:p>
      <w:pPr>
        <w:ind w:firstLine="480"/>
        <w:jc w:val="left"/>
        <w:spacing w:line="440" w:lineRule="exact"/>
        <w:shd w:val="clear" w:color="auto" w:fill="ffffff"/>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联系方式：18662855686/15906291850      </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3.项目联系方式</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项目联系人:缪蔡晨     </w:t>
      </w:r>
      <w:r/>
    </w:p>
    <w:p>
      <w:pPr>
        <w:ind w:firstLine="480"/>
        <w:jc w:val="left"/>
        <w:spacing w:line="440" w:lineRule="exact"/>
        <w:shd w:val="clear" w:color="auto" w:fill="ffffff"/>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联系电话：18994160681</w:t>
      </w:r>
      <w:r/>
    </w:p>
    <w:p>
      <w:pPr>
        <w:ind w:firstLine="480"/>
        <w:jc w:val="left"/>
        <w:spacing w:line="440" w:lineRule="exact"/>
        <w:shd w:val="clear" w:color="auto" w:fill="ffffff"/>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4.软件维护人员</w:t>
      </w:r>
      <w:r/>
    </w:p>
    <w:p>
      <w:pPr>
        <w:ind w:firstLine="480"/>
        <w:jc w:val="left"/>
        <w:spacing w:line="440" w:lineRule="exact"/>
        <w:shd w:val="clear" w:color="auto" w:fill="ffffff"/>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联系方式：0519-86722801、0519-86722806  </w:t>
      </w:r>
      <w:r/>
    </w:p>
    <w:p>
      <w:pPr>
        <w:ind w:firstLine="480"/>
        <w:jc w:val="left"/>
        <w:spacing w:line="440" w:lineRule="exact"/>
        <w:shd w:val="clear" w:color="auto" w:fill="ffffff"/>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5.CA联系方式</w:t>
      </w:r>
      <w:r/>
    </w:p>
    <w:p>
      <w:pPr>
        <w:ind w:firstLine="480"/>
        <w:jc w:val="left"/>
        <w:spacing w:line="440" w:lineRule="exact"/>
        <w:shd w:val="clear" w:color="auto" w:fill="ffffff"/>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联系人：朱工 </w:t>
      </w:r>
      <w:r/>
    </w:p>
    <w:p>
      <w:pPr>
        <w:ind w:firstLine="480"/>
        <w:jc w:val="left"/>
        <w:spacing w:line="440" w:lineRule="exact"/>
        <w:shd w:val="clear" w:color="auto" w:fill="ffffff"/>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联系方式：18951314963  </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八、其他</w:t>
      </w:r>
      <w:r/>
    </w:p>
    <w:p>
      <w:pPr>
        <w:ind w:firstLine="480"/>
        <w:jc w:val="left"/>
        <w:spacing w:line="560" w:lineRule="exact"/>
        <w:tabs>
          <w:tab w:val="left" w:pos="900" w:leader="none"/>
        </w:tabs>
        <w:rPr>
          <w:rFonts w:ascii="Times New Roman" w:hAnsi="Times New Roman"/>
          <w:bCs/>
          <w:color w:val="auto"/>
          <w:sz w:val="24"/>
          <w:szCs w:val="24"/>
          <w:highlight w:val="none"/>
        </w:rPr>
      </w:pPr>
      <w:r/>
      <w:bookmarkStart w:id="40" w:name="_Toc120614211"/>
      <w:r>
        <w:rPr>
          <w:rFonts w:ascii="Times New Roman" w:hAnsi="Times New Roman"/>
          <w:color w:val="auto"/>
          <w:sz w:val="24"/>
          <w:szCs w:val="21"/>
          <w:highlight w:val="none"/>
        </w:rPr>
        <w:t xml:space="preserve">1.</w:t>
      </w:r>
      <w:r>
        <w:rPr>
          <w:rFonts w:ascii="Times New Roman" w:hAnsi="Times New Roman"/>
          <w:bCs/>
          <w:color w:val="auto"/>
          <w:sz w:val="24"/>
          <w:szCs w:val="24"/>
          <w:highlight w:val="none"/>
        </w:rPr>
        <w:t xml:space="preserve">根据省财政厅《关于更换全省政府采购交易系统C A数字证书和电子签章的通知》（苏财购〔2023〕101号），</w:t>
      </w:r>
      <w:r>
        <w:rPr>
          <w:rFonts w:ascii="Times New Roman" w:hAnsi="Times New Roman"/>
          <w:color w:val="auto"/>
          <w:sz w:val="24"/>
          <w:szCs w:val="24"/>
          <w:highlight w:val="none"/>
        </w:rPr>
        <w:t xml:space="preserve">“苏采云”政府采购交易系统（以下简称苏采云系统）</w:t>
      </w:r>
      <w:r>
        <w:rPr>
          <w:rFonts w:ascii="Times New Roman" w:hAnsi="Times New Roman"/>
          <w:bCs/>
          <w:color w:val="auto"/>
          <w:sz w:val="24"/>
          <w:szCs w:val="24"/>
          <w:highlight w:val="none"/>
        </w:rPr>
        <w:t xml:space="preserve">的CA数字证书、电子签章已更换为江苏省电子政务证书认证中心C A和方正国际软件（北京）有限公司电子签章。如果供应商通过</w:t>
      </w:r>
      <w:r>
        <w:rPr>
          <w:rFonts w:ascii="Times New Roman" w:hAnsi="Times New Roman"/>
          <w:color w:val="auto"/>
          <w:sz w:val="24"/>
          <w:szCs w:val="24"/>
          <w:highlight w:val="none"/>
        </w:rPr>
        <w:t xml:space="preserve">苏采云系统</w:t>
      </w:r>
      <w:r>
        <w:rPr>
          <w:rFonts w:ascii="Times New Roman" w:hAnsi="Times New Roman"/>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jc w:val="left"/>
        <w:spacing w:line="560" w:lineRule="exact"/>
        <w:tabs>
          <w:tab w:val="left" w:pos="900" w:leader="none"/>
        </w:tabs>
        <w:rPr>
          <w:rFonts w:ascii="Times New Roman" w:hAnsi="Times New Roman"/>
          <w:color w:val="auto"/>
          <w:sz w:val="24"/>
          <w:szCs w:val="24"/>
          <w:highlight w:val="none"/>
        </w:rPr>
      </w:pPr>
      <w:r>
        <w:rPr>
          <w:rFonts w:ascii="Times New Roman" w:hAnsi="Times New Roman"/>
          <w:bCs/>
          <w:color w:val="auto"/>
          <w:sz w:val="24"/>
          <w:szCs w:val="24"/>
          <w:highlight w:val="none"/>
        </w:rPr>
        <w:t xml:space="preserve">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 有关本次磋商的事项若存在变动或修改，敬请及时关注在“江苏政府采购网”发布的更正公告。</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 本次磋商不收取磋商保证金。</w:t>
      </w:r>
      <w:r/>
    </w:p>
    <w:p>
      <w:pPr>
        <w:ind w:right="84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left"/>
        <w:widowControl/>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第二章</w:t>
      </w:r>
      <w:bookmarkEnd w:id="1"/>
      <w:r/>
      <w:bookmarkEnd w:id="2"/>
      <w:r/>
      <w:bookmarkEnd w:id="3"/>
      <w:r/>
      <w:bookmarkEnd w:id="4"/>
      <w:r/>
      <w:bookmarkEnd w:id="5"/>
      <w:r/>
      <w:bookmarkEnd w:id="40"/>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供应商须知</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41" w:name="_Toc120614214"/>
      <w:r/>
      <w:bookmarkStart w:id="42" w:name="_Toc16938519"/>
      <w:r/>
      <w:bookmarkStart w:id="43" w:name="_Toc20823275"/>
      <w:r/>
      <w:bookmarkStart w:id="44" w:name="_Toc513029203"/>
      <w:r>
        <w:rPr>
          <w:rFonts w:ascii="Times New Roman" w:hAnsi="Times New Roman"/>
          <w:b/>
          <w:bCs/>
          <w:color w:val="auto"/>
          <w:sz w:val="32"/>
          <w:szCs w:val="32"/>
          <w:highlight w:val="none"/>
        </w:rPr>
        <w:t xml:space="preserve">一、总则</w:t>
      </w:r>
      <w:bookmarkEnd w:id="41"/>
      <w:r/>
      <w:bookmarkEnd w:id="42"/>
      <w:r/>
      <w:bookmarkEnd w:id="43"/>
      <w:r/>
      <w:bookmarkEnd w:id="44"/>
      <w:r/>
      <w:r/>
    </w:p>
    <w:p>
      <w:pPr>
        <w:ind w:firstLine="560"/>
        <w:keepLines/>
        <w:keepNext/>
        <w:spacing w:line="400" w:lineRule="exact"/>
        <w:rPr>
          <w:rFonts w:ascii="Times New Roman" w:hAnsi="Times New Roman" w:eastAsia="黑体"/>
          <w:color w:val="auto"/>
          <w:sz w:val="28"/>
          <w:szCs w:val="28"/>
          <w:highlight w:val="none"/>
        </w:rPr>
        <w:outlineLvl w:val="3"/>
      </w:pPr>
      <w:r/>
      <w:bookmarkStart w:id="45" w:name="_Hlt16619475"/>
      <w:r/>
      <w:bookmarkEnd w:id="45"/>
      <w:r/>
      <w:bookmarkStart w:id="46" w:name="_Toc458694821"/>
      <w:r/>
      <w:bookmarkStart w:id="47" w:name="_Toc513029204"/>
      <w:r/>
      <w:bookmarkStart w:id="48" w:name="_Toc16938520"/>
      <w:r/>
      <w:bookmarkStart w:id="49" w:name="_Toc20823276"/>
      <w:r>
        <w:rPr>
          <w:rFonts w:ascii="Times New Roman" w:hAnsi="Times New Roman" w:eastAsia="黑体"/>
          <w:color w:val="auto"/>
          <w:sz w:val="28"/>
          <w:szCs w:val="28"/>
          <w:highlight w:val="none"/>
        </w:rPr>
        <w:t xml:space="preserve">1</w:t>
      </w:r>
      <w:bookmarkEnd w:id="46"/>
      <w:r>
        <w:rPr>
          <w:rFonts w:ascii="Times New Roman" w:hAnsi="Times New Roman" w:eastAsia="黑体"/>
          <w:color w:val="auto"/>
          <w:sz w:val="28"/>
          <w:szCs w:val="28"/>
          <w:highlight w:val="none"/>
        </w:rPr>
        <w:t xml:space="preserve">、采购方式</w:t>
      </w:r>
      <w:bookmarkEnd w:id="47"/>
      <w:r/>
      <w:bookmarkEnd w:id="48"/>
      <w:r/>
      <w:bookmarkEnd w:id="49"/>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1.1 本次政府采购活动采取竞争性磋商(以下简称磋商)方式，本磋商文件仅适用于磋商公告中所述项目。</w:t>
      </w:r>
      <w:r/>
    </w:p>
    <w:p>
      <w:pPr>
        <w:ind w:firstLine="560"/>
        <w:keepLines/>
        <w:keepNext/>
        <w:spacing w:line="400" w:lineRule="exact"/>
        <w:rPr>
          <w:rFonts w:ascii="Times New Roman" w:hAnsi="Times New Roman" w:eastAsia="黑体"/>
          <w:color w:val="auto"/>
          <w:sz w:val="28"/>
          <w:szCs w:val="28"/>
          <w:highlight w:val="none"/>
        </w:rPr>
        <w:outlineLvl w:val="3"/>
      </w:pPr>
      <w:r/>
      <w:bookmarkStart w:id="50" w:name="_Toc513029205"/>
      <w:r/>
      <w:bookmarkStart w:id="51" w:name="_Toc20823277"/>
      <w:r/>
      <w:bookmarkStart w:id="52" w:name="_Toc16938521"/>
      <w:r>
        <w:rPr>
          <w:rFonts w:ascii="Times New Roman" w:hAnsi="Times New Roman" w:eastAsia="黑体"/>
          <w:color w:val="auto"/>
          <w:sz w:val="28"/>
          <w:szCs w:val="28"/>
          <w:highlight w:val="none"/>
        </w:rPr>
        <w:t xml:space="preserve">2、合格的</w:t>
      </w:r>
      <w:bookmarkEnd w:id="50"/>
      <w:r/>
      <w:bookmarkEnd w:id="51"/>
      <w:r/>
      <w:bookmarkEnd w:id="52"/>
      <w:r>
        <w:rPr>
          <w:rFonts w:ascii="Times New Roman" w:hAnsi="Times New Roman" w:eastAsia="黑体"/>
          <w:color w:val="auto"/>
          <w:sz w:val="28"/>
          <w:szCs w:val="28"/>
          <w:highlight w:val="none"/>
        </w:rPr>
        <w:t xml:space="preserve">供应商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2.1满足磋商公告中供应商资格要求的规定。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 满足本磋商文件实质性要求和条件的规定。</w:t>
      </w:r>
      <w:r/>
    </w:p>
    <w:p>
      <w:pPr>
        <w:ind w:firstLine="560"/>
        <w:keepLines/>
        <w:keepNext/>
        <w:spacing w:line="400" w:lineRule="exact"/>
        <w:rPr>
          <w:rFonts w:ascii="Times New Roman" w:hAnsi="Times New Roman" w:eastAsia="黑体"/>
          <w:color w:val="auto"/>
          <w:sz w:val="28"/>
          <w:szCs w:val="28"/>
          <w:highlight w:val="none"/>
        </w:rPr>
        <w:outlineLvl w:val="3"/>
      </w:pPr>
      <w:r/>
      <w:bookmarkStart w:id="53" w:name="_Toc513029206"/>
      <w:r/>
      <w:bookmarkStart w:id="54" w:name="_Toc16938522"/>
      <w:r/>
      <w:bookmarkStart w:id="55" w:name="_Toc20823278"/>
      <w:r>
        <w:rPr>
          <w:rFonts w:ascii="Times New Roman" w:hAnsi="Times New Roman" w:eastAsia="黑体"/>
          <w:color w:val="auto"/>
          <w:sz w:val="28"/>
          <w:szCs w:val="28"/>
          <w:highlight w:val="none"/>
        </w:rPr>
        <w:t xml:space="preserve">3、适用法律</w:t>
      </w:r>
      <w:bookmarkEnd w:id="53"/>
      <w:r/>
      <w:bookmarkEnd w:id="54"/>
      <w:r/>
      <w:bookmarkEnd w:id="55"/>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3.1 本次磋商及由此产生的合同受中华人民共和国有关的法律法规制约和保护。</w:t>
      </w:r>
      <w:r/>
    </w:p>
    <w:p>
      <w:pPr>
        <w:ind w:firstLine="560"/>
        <w:keepLines/>
        <w:keepNext/>
        <w:spacing w:line="400" w:lineRule="exact"/>
        <w:rPr>
          <w:rFonts w:ascii="Times New Roman" w:hAnsi="Times New Roman" w:eastAsia="黑体"/>
          <w:color w:val="auto"/>
          <w:sz w:val="28"/>
          <w:szCs w:val="28"/>
          <w:highlight w:val="none"/>
        </w:rPr>
        <w:outlineLvl w:val="3"/>
      </w:pPr>
      <w:r/>
      <w:bookmarkStart w:id="56" w:name="_Toc462564067"/>
      <w:r/>
      <w:bookmarkStart w:id="57" w:name="_Toc16938523"/>
      <w:r/>
      <w:bookmarkStart w:id="58" w:name="_Toc513029207"/>
      <w:r/>
      <w:bookmarkStart w:id="59" w:name="_Toc20823279"/>
      <w:r>
        <w:rPr>
          <w:rFonts w:ascii="Times New Roman" w:hAnsi="Times New Roman" w:eastAsia="黑体"/>
          <w:color w:val="auto"/>
          <w:sz w:val="28"/>
          <w:szCs w:val="28"/>
          <w:highlight w:val="none"/>
        </w:rPr>
        <w:t xml:space="preserve">4、磋商费用</w:t>
      </w:r>
      <w:bookmarkEnd w:id="56"/>
      <w:r/>
      <w:bookmarkEnd w:id="57"/>
      <w:r/>
      <w:bookmarkEnd w:id="58"/>
      <w:r/>
      <w:bookmarkEnd w:id="59"/>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4.1</w:t>
      </w:r>
      <w:r>
        <w:rPr>
          <w:rFonts w:ascii="Times New Roman" w:hAnsi="Times New Roman"/>
          <w:color w:val="auto"/>
          <w:sz w:val="24"/>
          <w:szCs w:val="21"/>
          <w:highlight w:val="none"/>
        </w:rPr>
        <w:t xml:space="preserve">供应商应自行承担所有与参加本次磋商有关的费用，无论磋商过程中的做法和结果如何，代理机构人员在任何情况下均无义务和责任承担这些费用。</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4.2本次磋商代理机构人员和采购人不收取标书工本费</w:t>
      </w:r>
      <w:r>
        <w:rPr>
          <w:rFonts w:hint="eastAsia"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4.3</w:t>
      </w:r>
      <w:r>
        <w:rPr>
          <w:rFonts w:ascii="Times New Roman" w:hAnsi="Times New Roman"/>
          <w:b/>
          <w:bCs/>
          <w:color w:val="auto"/>
          <w:sz w:val="24"/>
          <w:szCs w:val="24"/>
          <w:highlight w:val="none"/>
        </w:rPr>
        <w:t xml:space="preserve">根据财政部关于《政府采购代理机构管理暂行办法》的通知，本项目招标代理费由中标单位支付，支付金额按</w:t>
      </w:r>
      <w:r>
        <w:rPr>
          <w:rFonts w:hint="eastAsia" w:ascii="Times New Roman" w:hAnsi="Times New Roman"/>
          <w:b/>
          <w:bCs/>
          <w:color w:val="auto"/>
          <w:sz w:val="24"/>
          <w:szCs w:val="24"/>
          <w:highlight w:val="none"/>
          <w:u w:val="single"/>
          <w:lang w:val="en-US" w:eastAsia="zh-CN"/>
        </w:rPr>
        <w:t xml:space="preserve">采购包</w:t>
      </w:r>
      <w:r>
        <w:rPr>
          <w:rFonts w:hint="eastAsia" w:ascii="Times New Roman" w:hAnsi="Times New Roman"/>
          <w:b/>
          <w:bCs/>
          <w:color w:val="auto"/>
          <w:sz w:val="24"/>
          <w:szCs w:val="24"/>
          <w:highlight w:val="none"/>
          <w:u w:val="single"/>
        </w:rPr>
        <w:t xml:space="preserve">一：中标价*</w:t>
      </w:r>
      <w:r>
        <w:rPr>
          <w:rFonts w:hint="eastAsia" w:ascii="Times New Roman" w:hAnsi="Times New Roman"/>
          <w:b/>
          <w:bCs/>
          <w:color w:val="auto"/>
          <w:sz w:val="24"/>
          <w:szCs w:val="24"/>
          <w:highlight w:val="none"/>
          <w:u w:val="single"/>
          <w:lang w:val="en-US" w:eastAsia="zh-CN"/>
        </w:rPr>
        <w:t xml:space="preserve">1.13</w:t>
      </w:r>
      <w:r>
        <w:rPr>
          <w:rFonts w:hint="eastAsia" w:ascii="Times New Roman" w:hAnsi="Times New Roman"/>
          <w:b/>
          <w:bCs/>
          <w:color w:val="auto"/>
          <w:sz w:val="24"/>
          <w:szCs w:val="24"/>
          <w:highlight w:val="none"/>
          <w:u w:val="single"/>
        </w:rPr>
        <w:t xml:space="preserve">%计。</w:t>
      </w:r>
      <w:r>
        <w:rPr>
          <w:rFonts w:hint="eastAsia" w:ascii="Times New Roman" w:hAnsi="Times New Roman"/>
          <w:b/>
          <w:bCs/>
          <w:color w:val="auto"/>
          <w:sz w:val="24"/>
          <w:szCs w:val="24"/>
          <w:highlight w:val="none"/>
          <w:u w:val="single"/>
          <w:lang w:val="en-US" w:eastAsia="zh-CN"/>
        </w:rPr>
        <w:t xml:space="preserve">采购包</w:t>
      </w:r>
      <w:r>
        <w:rPr>
          <w:rFonts w:hint="eastAsia" w:ascii="Times New Roman" w:hAnsi="Times New Roman"/>
          <w:b/>
          <w:bCs/>
          <w:color w:val="auto"/>
          <w:sz w:val="24"/>
          <w:szCs w:val="24"/>
          <w:highlight w:val="none"/>
          <w:u w:val="single"/>
        </w:rPr>
        <w:t xml:space="preserve">二：中标价*</w:t>
      </w:r>
      <w:r>
        <w:rPr>
          <w:rFonts w:hint="eastAsia" w:ascii="Times New Roman" w:hAnsi="Times New Roman"/>
          <w:b/>
          <w:bCs/>
          <w:color w:val="auto"/>
          <w:sz w:val="24"/>
          <w:szCs w:val="24"/>
          <w:highlight w:val="none"/>
          <w:u w:val="single"/>
          <w:lang w:val="en-US" w:eastAsia="zh-CN"/>
        </w:rPr>
        <w:t xml:space="preserve">0.70</w:t>
      </w:r>
      <w:r>
        <w:rPr>
          <w:rFonts w:hint="eastAsia" w:ascii="Times New Roman" w:hAnsi="Times New Roman"/>
          <w:b/>
          <w:bCs/>
          <w:color w:val="auto"/>
          <w:sz w:val="24"/>
          <w:szCs w:val="24"/>
          <w:highlight w:val="none"/>
          <w:u w:val="single"/>
        </w:rPr>
        <w:t xml:space="preserve">%计</w:t>
      </w:r>
      <w:r>
        <w:rPr>
          <w:rFonts w:ascii="Times New Roman" w:hAnsi="Times New Roman"/>
          <w:b/>
          <w:bCs/>
          <w:color w:val="auto"/>
          <w:sz w:val="24"/>
          <w:szCs w:val="24"/>
          <w:highlight w:val="none"/>
        </w:rPr>
        <w:t xml:space="preserve">。请各投标供应商将此费用一并考虑在投标报价中</w:t>
      </w:r>
      <w:r>
        <w:rPr>
          <w:rFonts w:hint="eastAsia" w:ascii="Times New Roman" w:hAnsi="Times New Roman"/>
          <w:b/>
          <w:bCs/>
          <w:color w:val="auto"/>
          <w:sz w:val="24"/>
          <w:szCs w:val="24"/>
          <w:highlight w:val="none"/>
        </w:rPr>
        <w:t xml:space="preserve">，在领取中标通知书前缴纳至招标代理处。</w:t>
      </w:r>
      <w:r/>
    </w:p>
    <w:p>
      <w:pPr>
        <w:ind w:firstLine="602"/>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b/>
          <w:bCs/>
          <w:color w:val="auto"/>
          <w:sz w:val="30"/>
          <w:szCs w:val="28"/>
          <w:highlight w:val="none"/>
        </w:rPr>
        <w:t xml:space="preserve">5、</w:t>
      </w:r>
      <w:r>
        <w:rPr>
          <w:rFonts w:ascii="Times New Roman" w:hAnsi="Times New Roman" w:eastAsia="黑体"/>
          <w:color w:val="auto"/>
          <w:sz w:val="28"/>
          <w:szCs w:val="28"/>
          <w:highlight w:val="none"/>
        </w:rPr>
        <w:t xml:space="preserve">磋商文件的约束力</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5.1</w:t>
      </w:r>
      <w:r>
        <w:rPr>
          <w:rFonts w:ascii="Times New Roman" w:hAnsi="Times New Roman"/>
          <w:color w:val="auto"/>
          <w:sz w:val="24"/>
          <w:szCs w:val="24"/>
          <w:highlight w:val="none"/>
        </w:rPr>
        <w:t xml:space="preserve">供应商一旦参加本项目采购活动，即被认为接受了本磋商文件的规定和约束。</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60" w:name="_Toc120614215"/>
      <w:r/>
      <w:bookmarkStart w:id="61" w:name="_Toc20823281"/>
      <w:r/>
      <w:bookmarkStart w:id="62" w:name="_Toc513029209"/>
      <w:r/>
      <w:bookmarkStart w:id="63" w:name="_Toc16938525"/>
      <w:r>
        <w:rPr>
          <w:rFonts w:ascii="Times New Roman" w:hAnsi="Times New Roman"/>
          <w:b/>
          <w:bCs/>
          <w:color w:val="auto"/>
          <w:sz w:val="32"/>
          <w:szCs w:val="32"/>
          <w:highlight w:val="none"/>
        </w:rPr>
        <w:t xml:space="preserve">二、</w:t>
      </w:r>
      <w:bookmarkEnd w:id="60"/>
      <w:r/>
      <w:bookmarkEnd w:id="61"/>
      <w:r/>
      <w:bookmarkEnd w:id="62"/>
      <w:r/>
      <w:bookmarkEnd w:id="63"/>
      <w:r>
        <w:rPr>
          <w:rFonts w:ascii="Times New Roman" w:hAnsi="Times New Roman"/>
          <w:b/>
          <w:bCs/>
          <w:color w:val="auto"/>
          <w:sz w:val="32"/>
          <w:szCs w:val="32"/>
          <w:highlight w:val="none"/>
        </w:rPr>
        <w:t xml:space="preserve">磋商文件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64" w:name="_Toc16938526"/>
      <w:r/>
      <w:bookmarkStart w:id="65" w:name="_Toc513029210"/>
      <w:r/>
      <w:bookmarkStart w:id="66" w:name="_Toc20823282"/>
      <w:r>
        <w:rPr>
          <w:rFonts w:ascii="Times New Roman" w:hAnsi="Times New Roman" w:eastAsia="黑体"/>
          <w:color w:val="auto"/>
          <w:sz w:val="28"/>
          <w:szCs w:val="28"/>
          <w:highlight w:val="none"/>
        </w:rPr>
        <w:t xml:space="preserve">6、磋商文件构成</w:t>
      </w:r>
      <w:bookmarkEnd w:id="64"/>
      <w:r/>
      <w:bookmarkEnd w:id="65"/>
      <w:r/>
      <w:bookmarkEnd w:id="66"/>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6.1</w:t>
      </w:r>
      <w:r>
        <w:rPr>
          <w:rFonts w:ascii="Times New Roman" w:hAnsi="Times New Roman"/>
          <w:color w:val="auto"/>
          <w:sz w:val="24"/>
          <w:szCs w:val="21"/>
          <w:highlight w:val="none"/>
        </w:rPr>
        <w:t xml:space="preserve">磋商文件由以下部分组成：</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（1）磋商邀请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（2）供应商须知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（3）合同文本</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（4）采购需求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（5）评审方法与评审标准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（6）响应文件格式</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请仔细检查磋商文件是否齐全，如有缺漏请立即与代理机构人员联系解决。</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6.2</w:t>
      </w:r>
      <w:r>
        <w:rPr>
          <w:rFonts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67" w:name="_Toc462564070"/>
      <w:r/>
      <w:bookmarkStart w:id="68" w:name="_Toc20823283"/>
      <w:r/>
      <w:bookmarkStart w:id="69" w:name="_Toc513029211"/>
      <w:r/>
      <w:bookmarkStart w:id="70" w:name="_Toc16938527"/>
      <w:r>
        <w:rPr>
          <w:rFonts w:ascii="Times New Roman" w:hAnsi="Times New Roman" w:eastAsia="黑体"/>
          <w:color w:val="auto"/>
          <w:sz w:val="28"/>
          <w:szCs w:val="28"/>
          <w:highlight w:val="none"/>
        </w:rPr>
        <w:t xml:space="preserve">7、磋商文件的澄清</w:t>
      </w:r>
      <w:bookmarkEnd w:id="67"/>
      <w:r/>
      <w:bookmarkEnd w:id="68"/>
      <w:r/>
      <w:bookmarkEnd w:id="69"/>
      <w:r/>
      <w:bookmarkEnd w:id="70"/>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1"/>
          <w:highlight w:val="none"/>
        </w:rPr>
        <w:t xml:space="preserve">7.1</w:t>
      </w:r>
      <w:r>
        <w:rPr>
          <w:rFonts w:ascii="Times New Roman" w:hAnsi="Times New Roman"/>
          <w:color w:val="auto"/>
          <w:sz w:val="24"/>
          <w:szCs w:val="21"/>
          <w:highlight w:val="none"/>
        </w:rPr>
        <w:t xml:space="preserve">任何要求对磋商文件进行澄清的供应商，应在磋商截止期5日</w:t>
      </w:r>
      <w:r>
        <w:rPr>
          <w:rFonts w:ascii="Times New Roman" w:hAnsi="Times New Roman"/>
          <w:color w:val="auto"/>
          <w:sz w:val="24"/>
          <w:szCs w:val="24"/>
          <w:highlight w:val="none"/>
        </w:rPr>
        <w:t xml:space="preserve">前</w:t>
      </w:r>
      <w:r>
        <w:rPr>
          <w:rFonts w:ascii="Times New Roman" w:hAnsi="Times New Roman"/>
          <w:color w:val="auto"/>
          <w:sz w:val="24"/>
          <w:szCs w:val="21"/>
          <w:highlight w:val="none"/>
        </w:rPr>
        <w:t xml:space="preserve">按磋商公告中的通讯地址，以书面形式通知代理机构人员。</w:t>
      </w:r>
      <w:r/>
    </w:p>
    <w:p>
      <w:pPr>
        <w:ind w:firstLine="560"/>
        <w:keepLines/>
        <w:keepNext/>
        <w:spacing w:line="400" w:lineRule="exact"/>
        <w:rPr>
          <w:rFonts w:ascii="Times New Roman" w:hAnsi="Times New Roman" w:eastAsia="黑体"/>
          <w:color w:val="auto"/>
          <w:sz w:val="28"/>
          <w:szCs w:val="28"/>
          <w:highlight w:val="none"/>
        </w:rPr>
        <w:outlineLvl w:val="3"/>
      </w:pPr>
      <w:r/>
      <w:bookmarkStart w:id="71" w:name="_Toc20823284"/>
      <w:r/>
      <w:bookmarkStart w:id="72" w:name="_Toc513029212"/>
      <w:r/>
      <w:bookmarkStart w:id="73" w:name="_Toc462564071"/>
      <w:r/>
      <w:bookmarkStart w:id="74" w:name="_Toc16938528"/>
      <w:r>
        <w:rPr>
          <w:rFonts w:ascii="Times New Roman" w:hAnsi="Times New Roman" w:eastAsia="黑体"/>
          <w:color w:val="auto"/>
          <w:sz w:val="28"/>
          <w:szCs w:val="28"/>
          <w:highlight w:val="none"/>
        </w:rPr>
        <w:t xml:space="preserve">8、磋商文件的澄清和修改</w:t>
      </w:r>
      <w:bookmarkEnd w:id="71"/>
      <w:r/>
      <w:bookmarkEnd w:id="72"/>
      <w:r/>
      <w:bookmarkEnd w:id="73"/>
      <w:r/>
      <w:bookmarkEnd w:id="74"/>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8.1</w:t>
      </w:r>
      <w:r>
        <w:rPr>
          <w:rFonts w:ascii="Times New Roman" w:hAnsi="Times New Roman"/>
          <w:color w:val="auto"/>
          <w:sz w:val="24"/>
          <w:szCs w:val="21"/>
          <w:highlight w:val="none"/>
        </w:rPr>
        <w:t xml:space="preserve">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8.2代理机构人员可以视采购项目的具体情况，组织供应商进行现场考察或召开磋商前答疑会，但不单独或分别组织只有一个供应商参加的现场考察和答疑会。</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75" w:name="_Toc120614216"/>
      <w:r/>
      <w:bookmarkStart w:id="76" w:name="_Toc513029213"/>
      <w:r/>
      <w:bookmarkStart w:id="77" w:name="_Toc462564072"/>
      <w:r/>
      <w:bookmarkStart w:id="78" w:name="_Toc20823285"/>
      <w:r/>
      <w:bookmarkStart w:id="79" w:name="_Toc16938529"/>
      <w:r>
        <w:rPr>
          <w:rFonts w:ascii="Times New Roman" w:hAnsi="Times New Roman"/>
          <w:b/>
          <w:bCs/>
          <w:color w:val="auto"/>
          <w:sz w:val="32"/>
          <w:szCs w:val="32"/>
          <w:highlight w:val="none"/>
        </w:rPr>
        <w:t xml:space="preserve">三、响应文件的编制</w:t>
      </w:r>
      <w:bookmarkEnd w:id="75"/>
      <w:r/>
      <w:bookmarkEnd w:id="76"/>
      <w:r/>
      <w:bookmarkEnd w:id="77"/>
      <w:r/>
      <w:bookmarkEnd w:id="78"/>
      <w:r/>
      <w:bookmarkEnd w:id="79"/>
      <w:r/>
      <w:r/>
    </w:p>
    <w:p>
      <w:pPr>
        <w:ind w:firstLine="560"/>
        <w:keepLines/>
        <w:keepNext/>
        <w:spacing w:line="400" w:lineRule="exact"/>
        <w:rPr>
          <w:rFonts w:ascii="Times New Roman" w:hAnsi="Times New Roman" w:eastAsia="黑体"/>
          <w:b/>
          <w:color w:val="auto"/>
          <w:sz w:val="28"/>
          <w:szCs w:val="28"/>
          <w:highlight w:val="none"/>
        </w:rPr>
        <w:outlineLvl w:val="3"/>
      </w:pPr>
      <w:r/>
      <w:bookmarkStart w:id="80" w:name="_Toc513029214"/>
      <w:r/>
      <w:bookmarkStart w:id="81" w:name="_Toc16938530"/>
      <w:r/>
      <w:bookmarkStart w:id="82" w:name="_Toc20823286"/>
      <w:r/>
      <w:bookmarkStart w:id="83" w:name="_Toc462564073"/>
      <w:r>
        <w:rPr>
          <w:rFonts w:ascii="Times New Roman" w:hAnsi="Times New Roman" w:eastAsia="黑体"/>
          <w:color w:val="auto"/>
          <w:sz w:val="28"/>
          <w:szCs w:val="28"/>
          <w:highlight w:val="none"/>
        </w:rPr>
        <w:t xml:space="preserve">9、响应文件的语言及度量衡单位</w:t>
      </w:r>
      <w:bookmarkEnd w:id="80"/>
      <w:r/>
      <w:bookmarkEnd w:id="81"/>
      <w:r/>
      <w:bookmarkEnd w:id="82"/>
      <w:r/>
      <w:bookmarkEnd w:id="83"/>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9.1</w:t>
      </w:r>
      <w:r>
        <w:rPr>
          <w:rFonts w:ascii="Times New Roman" w:hAnsi="Times New Roman"/>
          <w:color w:val="auto"/>
          <w:sz w:val="24"/>
          <w:szCs w:val="21"/>
          <w:highlight w:val="none"/>
        </w:rPr>
        <w:t xml:space="preserve">供应商提交的响应文件以及供应商与代理机构人员就有关磋商的所有来往通知、函件和文件均应使用</w:t>
      </w:r>
      <w:r>
        <w:rPr>
          <w:rFonts w:ascii="Times New Roman" w:hAnsi="Times New Roman"/>
          <w:b/>
          <w:bCs/>
          <w:color w:val="auto"/>
          <w:sz w:val="24"/>
          <w:szCs w:val="21"/>
          <w:highlight w:val="none"/>
        </w:rPr>
        <w:t xml:space="preserve">简体中文</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9.2</w:t>
      </w:r>
      <w:r>
        <w:rPr>
          <w:rFonts w:ascii="Times New Roman" w:hAnsi="Times New Roman"/>
          <w:color w:val="auto"/>
          <w:sz w:val="24"/>
          <w:szCs w:val="21"/>
          <w:highlight w:val="none"/>
        </w:rPr>
        <w:t xml:space="preserve">除技术性能另有规定外，响应文件所使用的度量衡单位，均须采用国家法定计量单位。</w:t>
      </w:r>
      <w:r/>
    </w:p>
    <w:p>
      <w:pPr>
        <w:ind w:firstLine="560"/>
        <w:keepLines/>
        <w:keepNext/>
        <w:spacing w:line="400" w:lineRule="exact"/>
        <w:rPr>
          <w:rFonts w:ascii="Times New Roman" w:hAnsi="Times New Roman" w:eastAsia="黑体"/>
          <w:color w:val="auto"/>
          <w:sz w:val="28"/>
          <w:szCs w:val="28"/>
          <w:highlight w:val="none"/>
        </w:rPr>
        <w:outlineLvl w:val="3"/>
      </w:pPr>
      <w:r/>
      <w:bookmarkStart w:id="84" w:name="_Toc16938531"/>
      <w:r/>
      <w:bookmarkStart w:id="85" w:name="_Toc20823287"/>
      <w:r/>
      <w:bookmarkStart w:id="86" w:name="_Toc462564074"/>
      <w:r/>
      <w:bookmarkStart w:id="87" w:name="_Toc513029215"/>
      <w:r>
        <w:rPr>
          <w:rFonts w:ascii="Times New Roman" w:hAnsi="Times New Roman" w:eastAsia="黑体"/>
          <w:color w:val="auto"/>
          <w:sz w:val="28"/>
          <w:szCs w:val="28"/>
          <w:highlight w:val="none"/>
        </w:rPr>
        <w:t xml:space="preserve">10、响应文件构成</w:t>
      </w:r>
      <w:bookmarkEnd w:id="84"/>
      <w:r/>
      <w:bookmarkEnd w:id="85"/>
      <w:r/>
      <w:bookmarkEnd w:id="86"/>
      <w:r/>
      <w:bookmarkEnd w:id="87"/>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10.1</w:t>
      </w:r>
      <w:r>
        <w:rPr>
          <w:rFonts w:ascii="Times New Roman" w:hAnsi="Times New Roman"/>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88" w:name="_Hlt26954838"/>
      <w:r/>
      <w:bookmarkEnd w:id="88"/>
      <w:r/>
      <w:bookmarkStart w:id="89" w:name="_Hlt26670360"/>
      <w:r/>
      <w:bookmarkEnd w:id="89"/>
      <w:r/>
      <w:bookmarkStart w:id="90" w:name="_Hlt26668975"/>
      <w:r/>
      <w:bookmarkEnd w:id="90"/>
      <w:r/>
      <w:bookmarkStart w:id="91" w:name="_Toc14577357"/>
      <w:r/>
      <w:bookmarkStart w:id="92" w:name="_Toc513029219"/>
      <w:r/>
      <w:bookmarkStart w:id="93" w:name="_Toc49090509"/>
      <w:r/>
      <w:bookmarkStart w:id="94" w:name="_Toc14577354"/>
      <w:r/>
      <w:bookmarkStart w:id="95" w:name="_Toc49090507"/>
      <w:r/>
      <w:bookmarkStart w:id="96" w:name="_Toc513029216"/>
      <w:r/>
      <w:bookmarkStart w:id="97" w:name="_Toc14577355"/>
      <w:r/>
      <w:bookmarkStart w:id="98" w:name="_Toc49090508"/>
      <w:r>
        <w:rPr>
          <w:rFonts w:ascii="Times New Roman" w:hAnsi="Times New Roman" w:eastAsia="黑体"/>
          <w:color w:val="auto"/>
          <w:sz w:val="28"/>
          <w:szCs w:val="28"/>
          <w:highlight w:val="none"/>
        </w:rPr>
        <w:t xml:space="preserve">11、证明磋商响应标的符合磋商文件规定的文件</w:t>
      </w:r>
      <w:bookmarkEnd w:id="91"/>
      <w:r/>
      <w:bookmarkEnd w:id="92"/>
      <w:r/>
      <w:bookmarkEnd w:id="93"/>
      <w:r/>
      <w:bookmarkEnd w:id="94"/>
      <w:r/>
      <w:bookmarkEnd w:id="95"/>
      <w:r/>
      <w:bookmarkEnd w:id="96"/>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11.1供应商应按照磋商文件要求提交证明文件，证明其及磋商响应标的符合磋商文件规定。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11.2磋商文件对证明文件无明确形式要求的，证明文件可以以文字资料、图纸和数据等形式提交。</w:t>
      </w:r>
      <w:bookmarkEnd w:id="97"/>
      <w:r/>
      <w:bookmarkEnd w:id="98"/>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12、分项报价表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12.1</w:t>
      </w:r>
      <w:r>
        <w:rPr>
          <w:rFonts w:ascii="Times New Roman" w:hAnsi="Times New Roman"/>
          <w:color w:val="auto"/>
          <w:sz w:val="24"/>
          <w:szCs w:val="21"/>
          <w:highlight w:val="none"/>
        </w:rPr>
        <w:t xml:space="preserve">供应商应按照磋商文件规定格式填报分项报价表。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12.2</w:t>
      </w:r>
      <w:r>
        <w:rPr>
          <w:rFonts w:ascii="Times New Roman" w:hAnsi="Times New Roman"/>
          <w:bCs/>
          <w:color w:val="auto"/>
          <w:sz w:val="24"/>
          <w:szCs w:val="21"/>
          <w:highlight w:val="none"/>
        </w:rPr>
        <w:t xml:space="preserve">磋商货币。响应文件中的单价和总价无特殊规定的采用人民币报价，以元为单位标注。</w:t>
      </w:r>
      <w:r>
        <w:rPr>
          <w:rFonts w:ascii="Times New Roman" w:hAnsi="Times New Roman"/>
          <w:color w:val="auto"/>
          <w:sz w:val="24"/>
          <w:szCs w:val="21"/>
          <w:highlight w:val="none"/>
        </w:rPr>
        <w:t xml:space="preserve">磋商文件中另有规定的按规定执行。</w:t>
      </w:r>
      <w:r/>
    </w:p>
    <w:p>
      <w:pPr>
        <w:ind w:firstLine="560"/>
        <w:keepLines/>
        <w:keepNext/>
        <w:spacing w:line="400" w:lineRule="exact"/>
        <w:rPr>
          <w:rFonts w:ascii="Times New Roman" w:hAnsi="Times New Roman" w:eastAsia="黑体"/>
          <w:color w:val="auto"/>
          <w:sz w:val="28"/>
          <w:szCs w:val="28"/>
          <w:highlight w:val="none"/>
        </w:rPr>
        <w:outlineLvl w:val="3"/>
      </w:pPr>
      <w:r/>
      <w:bookmarkStart w:id="99" w:name="_Hlt26670486"/>
      <w:r/>
      <w:bookmarkEnd w:id="99"/>
      <w:r/>
      <w:bookmarkStart w:id="100" w:name="_Hlt26954731"/>
      <w:r/>
      <w:bookmarkEnd w:id="100"/>
      <w:r/>
      <w:bookmarkStart w:id="101" w:name="_Hlt26670482"/>
      <w:r/>
      <w:bookmarkEnd w:id="101"/>
      <w:r/>
      <w:bookmarkStart w:id="102" w:name="_Hlt26954848"/>
      <w:r/>
      <w:bookmarkEnd w:id="102"/>
      <w:r/>
      <w:bookmarkStart w:id="103" w:name="_Hlt26954846"/>
      <w:r/>
      <w:bookmarkEnd w:id="103"/>
      <w:r>
        <w:rPr>
          <w:rFonts w:ascii="Times New Roman" w:hAnsi="Times New Roman" w:eastAsia="黑体"/>
          <w:color w:val="auto"/>
          <w:sz w:val="28"/>
          <w:szCs w:val="28"/>
          <w:highlight w:val="none"/>
        </w:rPr>
        <w:t xml:space="preserve">13、技术要求响应及偏离表、商务要求响应及偏离表</w:t>
      </w:r>
      <w:r/>
    </w:p>
    <w:p>
      <w:pPr>
        <w:ind w:firstLine="480"/>
        <w:spacing w:line="400" w:lineRule="exact"/>
        <w:rPr>
          <w:rFonts w:ascii="Times New Roman" w:hAnsi="Times New Roman"/>
          <w:color w:val="auto"/>
          <w:sz w:val="24"/>
          <w:szCs w:val="21"/>
          <w:highlight w:val="none"/>
          <w:lang w:val="zh-CN"/>
        </w:rPr>
      </w:pPr>
      <w:r>
        <w:rPr>
          <w:rFonts w:ascii="Times New Roman" w:hAnsi="Times New Roman"/>
          <w:bCs/>
          <w:color w:val="auto"/>
          <w:sz w:val="24"/>
          <w:szCs w:val="21"/>
          <w:highlight w:val="none"/>
          <w:lang w:val="zh-CN"/>
        </w:rPr>
        <w:t xml:space="preserve">13.1</w:t>
      </w:r>
      <w:r>
        <w:rPr>
          <w:rFonts w:ascii="Times New Roman" w:hAnsi="Times New Roman"/>
          <w:color w:val="auto"/>
          <w:sz w:val="24"/>
          <w:szCs w:val="21"/>
          <w:highlight w:val="none"/>
          <w:lang w:val="zh-CN"/>
        </w:rPr>
        <w:t xml:space="preserve">供应商需对磋商文件中的技术要求与商务要求逐项作出响应或偏离，并说明原因。</w:t>
      </w:r>
      <w:r/>
    </w:p>
    <w:p>
      <w:pPr>
        <w:ind w:firstLine="480"/>
        <w:spacing w:line="400" w:lineRule="exact"/>
        <w:rPr>
          <w:rFonts w:ascii="Times New Roman" w:hAnsi="Times New Roman"/>
          <w:color w:val="auto"/>
          <w:sz w:val="24"/>
          <w:szCs w:val="21"/>
          <w:highlight w:val="none"/>
          <w:lang w:val="zh-CN"/>
        </w:rPr>
      </w:pPr>
      <w:r>
        <w:rPr>
          <w:rFonts w:ascii="Times New Roman" w:hAnsi="Times New Roman"/>
          <w:color w:val="auto"/>
          <w:sz w:val="24"/>
          <w:szCs w:val="21"/>
          <w:highlight w:val="none"/>
          <w:lang w:val="zh-CN"/>
        </w:rPr>
        <w:t xml:space="preserve">13.2供应商可在响应文件中提供认为需要的其他技术文件或说明。</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14、服务承诺、培训计划、人员安排及其他</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14.1</w:t>
      </w:r>
      <w:r>
        <w:rPr>
          <w:rFonts w:ascii="Times New Roman" w:hAnsi="Times New Roman"/>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14.2供应商需根据磋商文件要求提供培训计划。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14.3供应商需根据磋商文件要求提供</w:t>
      </w:r>
      <w:r>
        <w:rPr>
          <w:rFonts w:ascii="Times New Roman" w:hAnsi="Times New Roman"/>
          <w:color w:val="auto"/>
          <w:sz w:val="24"/>
          <w:szCs w:val="21"/>
          <w:highlight w:val="none"/>
          <w:lang w:val="zh-CN"/>
        </w:rPr>
        <w:t xml:space="preserve">磋商响应标的的主要组成部分、功能设计、实现思路及关键技术等。</w:t>
      </w:r>
      <w:r/>
    </w:p>
    <w:p>
      <w:pPr>
        <w:ind w:firstLine="560"/>
        <w:keepLines/>
        <w:keepNext/>
        <w:spacing w:line="400" w:lineRule="exact"/>
        <w:rPr>
          <w:rFonts w:ascii="Times New Roman" w:hAnsi="Times New Roman" w:eastAsia="黑体"/>
          <w:color w:val="auto"/>
          <w:sz w:val="28"/>
          <w:szCs w:val="28"/>
          <w:highlight w:val="none"/>
        </w:rPr>
        <w:outlineLvl w:val="3"/>
      </w:pPr>
      <w:r/>
      <w:bookmarkStart w:id="104" w:name="_Toc14577359"/>
      <w:r/>
      <w:bookmarkStart w:id="105" w:name="_Toc49090510"/>
      <w:r>
        <w:rPr>
          <w:rFonts w:ascii="Times New Roman" w:hAnsi="Times New Roman" w:eastAsia="黑体"/>
          <w:color w:val="auto"/>
          <w:sz w:val="28"/>
          <w:szCs w:val="28"/>
          <w:highlight w:val="none"/>
        </w:rPr>
        <w:t xml:space="preserve">15、磋商响应函</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15.1</w:t>
      </w:r>
      <w:r>
        <w:rPr>
          <w:rFonts w:ascii="Times New Roman" w:hAnsi="Times New Roman"/>
          <w:color w:val="auto"/>
          <w:sz w:val="24"/>
          <w:szCs w:val="21"/>
          <w:highlight w:val="none"/>
        </w:rPr>
        <w:t xml:space="preserve">供应商应按照磋商文件中提供的格式完整、正确填写磋商响应函。</w:t>
      </w:r>
      <w:bookmarkEnd w:id="104"/>
      <w:r/>
      <w:bookmarkEnd w:id="105"/>
      <w:r/>
      <w:r/>
    </w:p>
    <w:p>
      <w:pPr>
        <w:ind w:firstLine="560"/>
        <w:keepLines/>
        <w:keepNext/>
        <w:spacing w:line="400" w:lineRule="exact"/>
        <w:rPr>
          <w:rFonts w:ascii="Times New Roman" w:hAnsi="Times New Roman" w:eastAsia="黑体"/>
          <w:color w:val="auto"/>
          <w:sz w:val="28"/>
          <w:szCs w:val="28"/>
          <w:highlight w:val="none"/>
        </w:rPr>
        <w:outlineLvl w:val="3"/>
      </w:pPr>
      <w:r/>
      <w:bookmarkStart w:id="106" w:name="_Toc14577360"/>
      <w:r/>
      <w:bookmarkStart w:id="107" w:name="_Toc49090511"/>
      <w:r>
        <w:rPr>
          <w:rFonts w:ascii="Times New Roman" w:hAnsi="Times New Roman" w:eastAsia="黑体"/>
          <w:color w:val="auto"/>
          <w:sz w:val="28"/>
          <w:szCs w:val="28"/>
          <w:highlight w:val="none"/>
        </w:rPr>
        <w:t xml:space="preserve">16、磋商有效期</w:t>
      </w:r>
      <w:bookmarkEnd w:id="106"/>
      <w:r/>
      <w:bookmarkEnd w:id="107"/>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16.1磋商有效期为代理机构人员规定的提交响应文件截止之日后</w:t>
      </w:r>
      <w:r>
        <w:rPr>
          <w:rFonts w:ascii="Times New Roman" w:hAnsi="Times New Roman"/>
          <w:b/>
          <w:color w:val="auto"/>
          <w:sz w:val="24"/>
          <w:szCs w:val="21"/>
          <w:highlight w:val="none"/>
          <w:u w:val="single"/>
        </w:rPr>
        <w:t xml:space="preserve">六十（60）天</w:t>
      </w:r>
      <w:r>
        <w:rPr>
          <w:rFonts w:ascii="Times New Roman" w:hAnsi="Times New Roman"/>
          <w:bCs/>
          <w:color w:val="auto"/>
          <w:sz w:val="24"/>
          <w:szCs w:val="21"/>
          <w:highlight w:val="none"/>
        </w:rPr>
        <w:t xml:space="preserve">。磋商有效期比规定短的将被视为非实质性响应磋商文件而予以拒绝。</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17、磋商有效期的延长</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ascii="Times New Roman" w:hAnsi="Times New Roman"/>
          <w:color w:val="auto"/>
          <w:sz w:val="24"/>
          <w:szCs w:val="24"/>
          <w:highlight w:val="none"/>
        </w:rPr>
        <w:t xml:space="preserve">受磋商有效期约束的所有权利与义务均延长至新的有效期</w:t>
      </w:r>
      <w:r>
        <w:rPr>
          <w:rFonts w:ascii="Times New Roman" w:hAnsi="Times New Roman"/>
          <w:bCs/>
          <w:color w:val="auto"/>
          <w:sz w:val="24"/>
          <w:szCs w:val="21"/>
          <w:highlight w:val="none"/>
        </w:rPr>
        <w:t xml:space="preserve">。</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08" w:name="_Hlt26954739"/>
      <w:r/>
      <w:bookmarkEnd w:id="108"/>
      <w:r/>
      <w:bookmarkStart w:id="109" w:name="_Hlt26954852"/>
      <w:r/>
      <w:bookmarkEnd w:id="109"/>
      <w:r/>
      <w:bookmarkStart w:id="110" w:name="_Toc20823296"/>
      <w:r/>
      <w:bookmarkStart w:id="111" w:name="_Toc120614217"/>
      <w:r/>
      <w:bookmarkStart w:id="112" w:name="_Toc16938540"/>
      <w:r/>
      <w:bookmarkStart w:id="113" w:name="_Toc513029224"/>
      <w:r>
        <w:rPr>
          <w:rFonts w:ascii="Times New Roman" w:hAnsi="Times New Roman"/>
          <w:b/>
          <w:bCs/>
          <w:color w:val="auto"/>
          <w:sz w:val="32"/>
          <w:szCs w:val="32"/>
          <w:highlight w:val="none"/>
        </w:rPr>
        <w:t xml:space="preserve">四、响应文件的递交</w:t>
      </w:r>
      <w:bookmarkEnd w:id="110"/>
      <w:r/>
      <w:bookmarkEnd w:id="111"/>
      <w:r/>
      <w:bookmarkEnd w:id="112"/>
      <w:r/>
      <w:bookmarkEnd w:id="113"/>
      <w:r/>
      <w:r/>
    </w:p>
    <w:p>
      <w:pPr>
        <w:ind w:firstLine="560"/>
        <w:keepLines/>
        <w:keepNext/>
        <w:spacing w:line="400" w:lineRule="exact"/>
        <w:rPr>
          <w:rFonts w:ascii="Times New Roman" w:hAnsi="Times New Roman" w:eastAsia="黑体"/>
          <w:color w:val="auto"/>
          <w:sz w:val="28"/>
          <w:szCs w:val="28"/>
          <w:highlight w:val="none"/>
        </w:rPr>
        <w:outlineLvl w:val="3"/>
      </w:pPr>
      <w:r/>
      <w:bookmarkStart w:id="114" w:name="_Toc513029225"/>
      <w:r/>
      <w:bookmarkStart w:id="115" w:name="_Toc16938541"/>
      <w:r/>
      <w:bookmarkStart w:id="116" w:name="_Toc20823297"/>
      <w:r/>
      <w:bookmarkStart w:id="117" w:name="_Toc462564084"/>
      <w:r>
        <w:rPr>
          <w:rFonts w:ascii="Times New Roman" w:hAnsi="Times New Roman" w:eastAsia="黑体"/>
          <w:color w:val="auto"/>
          <w:sz w:val="28"/>
          <w:szCs w:val="28"/>
          <w:highlight w:val="none"/>
        </w:rPr>
        <w:t xml:space="preserve">18、电子磋商</w:t>
      </w:r>
      <w:bookmarkEnd w:id="114"/>
      <w:r/>
      <w:bookmarkEnd w:id="115"/>
      <w:r/>
      <w:bookmarkEnd w:id="116"/>
      <w:r/>
      <w:bookmarkEnd w:id="117"/>
      <w:r>
        <w:rPr>
          <w:rFonts w:ascii="Times New Roman" w:hAnsi="Times New Roman" w:eastAsia="黑体"/>
          <w:color w:val="auto"/>
          <w:sz w:val="28"/>
          <w:szCs w:val="28"/>
          <w:highlight w:val="none"/>
        </w:rPr>
        <w:t xml:space="preserve">响应文件的递交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18.1供应商应当按照《操作手册》规定，在提交响应文件截止时间前制作并上传电子响应文件。</w:t>
      </w:r>
      <w:bookmarkStart w:id="118" w:name="_Toc513029226"/>
      <w:r/>
      <w:bookmarkStart w:id="119" w:name="_Toc20823298"/>
      <w:r/>
      <w:bookmarkStart w:id="120" w:name="_Toc16938542"/>
      <w:r/>
      <w:r/>
    </w:p>
    <w:p>
      <w:pPr>
        <w:ind w:firstLine="560"/>
        <w:keepLines/>
        <w:keepNext/>
        <w:spacing w:before="280" w:after="290" w:line="400" w:lineRule="exact"/>
        <w:rPr>
          <w:rFonts w:ascii="Times New Roman" w:hAnsi="Times New Roman" w:eastAsia="黑体"/>
          <w:bCs/>
          <w:color w:val="auto"/>
          <w:sz w:val="24"/>
          <w:szCs w:val="28"/>
          <w:highlight w:val="none"/>
        </w:rPr>
        <w:outlineLvl w:val="3"/>
      </w:pPr>
      <w:r>
        <w:rPr>
          <w:rFonts w:ascii="Times New Roman" w:hAnsi="Times New Roman" w:eastAsia="黑体"/>
          <w:bCs/>
          <w:color w:val="auto"/>
          <w:sz w:val="28"/>
          <w:szCs w:val="28"/>
          <w:highlight w:val="none"/>
        </w:rPr>
        <w:t xml:space="preserve">19、提交响应文件截止时间</w:t>
      </w:r>
      <w:bookmarkEnd w:id="118"/>
      <w:r/>
      <w:bookmarkEnd w:id="119"/>
      <w:r/>
      <w:bookmarkEnd w:id="120"/>
      <w:r/>
      <w:r/>
    </w:p>
    <w:p>
      <w:pPr>
        <w:ind w:firstLine="480"/>
        <w:spacing w:line="520" w:lineRule="exact"/>
        <w:rPr>
          <w:rFonts w:ascii="Times New Roman" w:hAnsi="Times New Roman"/>
          <w:b/>
          <w:bCs/>
          <w:color w:val="auto"/>
          <w:sz w:val="24"/>
          <w:szCs w:val="21"/>
          <w:highlight w:val="none"/>
          <w:u w:val="single"/>
        </w:rPr>
      </w:pPr>
      <w:r>
        <w:rPr>
          <w:rFonts w:ascii="Times New Roman" w:hAnsi="Times New Roman"/>
          <w:b/>
          <w:bCs/>
          <w:color w:val="auto"/>
          <w:sz w:val="24"/>
          <w:szCs w:val="21"/>
          <w:highlight w:val="none"/>
          <w:u w:val="single"/>
        </w:rPr>
        <w:t xml:space="preserve">19.1供应商上传电子响应文件的时间不得迟于磋商公告中规定的提交响应文件截止时间。</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19.2</w:t>
      </w:r>
      <w:r>
        <w:rPr>
          <w:rFonts w:ascii="Times New Roman" w:hAnsi="Times New Roman"/>
          <w:bCs/>
          <w:color w:val="auto"/>
          <w:sz w:val="24"/>
          <w:szCs w:val="21"/>
          <w:highlight w:val="none"/>
        </w:rPr>
        <w:t xml:space="preserve">代理机构人员可以按照规定，通过修改磋商文件酌情延长提交响应文件截止日期，在此情况下，供应商的所有权利和义务以及供应商受制的截止日期均应以延长后新的截止日期为准。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121" w:name="_Toc16938543"/>
      <w:r/>
      <w:bookmarkStart w:id="122" w:name="_Toc513029227"/>
      <w:r/>
      <w:bookmarkStart w:id="123" w:name="_Toc20823299"/>
      <w:r>
        <w:rPr>
          <w:rFonts w:ascii="Times New Roman" w:hAnsi="Times New Roman" w:eastAsia="黑体"/>
          <w:color w:val="auto"/>
          <w:sz w:val="28"/>
          <w:szCs w:val="28"/>
          <w:highlight w:val="none"/>
        </w:rPr>
        <w:t xml:space="preserve">20、响应文件</w:t>
      </w:r>
      <w:bookmarkEnd w:id="121"/>
      <w:r/>
      <w:bookmarkEnd w:id="122"/>
      <w:r/>
      <w:bookmarkEnd w:id="123"/>
      <w:r>
        <w:rPr>
          <w:rFonts w:ascii="Times New Roman" w:hAnsi="Times New Roman" w:eastAsia="黑体"/>
          <w:color w:val="auto"/>
          <w:sz w:val="28"/>
          <w:szCs w:val="28"/>
          <w:highlight w:val="none"/>
        </w:rPr>
        <w:t xml:space="preserve">的拒收</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20.1代理机构人员拒绝接收在其规定的提交响应文件截止时间后上传的任何电子响应文件。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124" w:name="_Toc513029228"/>
      <w:r/>
      <w:bookmarkStart w:id="125" w:name="_Toc20823300"/>
      <w:r/>
      <w:bookmarkStart w:id="126" w:name="_Toc16938544"/>
      <w:r>
        <w:rPr>
          <w:rFonts w:ascii="Times New Roman" w:hAnsi="Times New Roman" w:eastAsia="黑体"/>
          <w:color w:val="auto"/>
          <w:sz w:val="28"/>
          <w:szCs w:val="28"/>
          <w:highlight w:val="none"/>
        </w:rPr>
        <w:t xml:space="preserve">21、响应文件的撤回和修改</w:t>
      </w:r>
      <w:bookmarkEnd w:id="124"/>
      <w:r/>
      <w:bookmarkEnd w:id="125"/>
      <w:r/>
      <w:bookmarkEnd w:id="126"/>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21.1.1 电子响应文件的撤回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截止时间前，撤回其电子响应文件，具体操作方法见《操作手册》。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21.1.2供应商撤回电子响应文件，则认为其不再参与本项目磋商活动。</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21.2响应文件的修改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截止时间前，对其电子响应文件进行修改，具体操作方法见《操作手册》。</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21.3</w:t>
      </w:r>
      <w:r>
        <w:rPr>
          <w:rFonts w:ascii="Times New Roman" w:hAnsi="Times New Roman"/>
          <w:bCs/>
          <w:color w:val="auto"/>
          <w:sz w:val="24"/>
          <w:szCs w:val="21"/>
          <w:highlight w:val="none"/>
        </w:rPr>
        <w:t xml:space="preserve">在提交响应文件截止时间之后，供应商不得对其电子响应文件作任何修改。</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21.4</w:t>
      </w:r>
      <w:r>
        <w:rPr>
          <w:rFonts w:ascii="Times New Roman" w:hAnsi="Times New Roman"/>
          <w:bCs/>
          <w:color w:val="auto"/>
          <w:sz w:val="24"/>
          <w:szCs w:val="21"/>
          <w:highlight w:val="none"/>
        </w:rPr>
        <w:t xml:space="preserve">在提交响应文件截止时间至磋商文件中规定的磋商有效期满之间的这段时间内，供应商不得撤回其响应文件。</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7" w:name="_Toc513029229"/>
      <w:r/>
      <w:bookmarkStart w:id="128" w:name="_Toc16938545"/>
      <w:r/>
      <w:bookmarkStart w:id="129" w:name="_Toc20823301"/>
      <w:r/>
      <w:bookmarkStart w:id="130" w:name="_Toc120614218"/>
      <w:r>
        <w:rPr>
          <w:rFonts w:ascii="Times New Roman" w:hAnsi="Times New Roman"/>
          <w:b/>
          <w:bCs/>
          <w:color w:val="auto"/>
          <w:sz w:val="32"/>
          <w:szCs w:val="32"/>
          <w:highlight w:val="none"/>
        </w:rPr>
        <w:t xml:space="preserve">五、响应文件的解密与评审</w:t>
      </w:r>
      <w:bookmarkEnd w:id="127"/>
      <w:r/>
      <w:bookmarkEnd w:id="128"/>
      <w:r/>
      <w:bookmarkEnd w:id="129"/>
      <w:r/>
      <w:bookmarkEnd w:id="130"/>
      <w:r/>
      <w:r/>
    </w:p>
    <w:p>
      <w:pPr>
        <w:ind w:firstLine="560"/>
        <w:keepLines/>
        <w:keepNext/>
        <w:spacing w:line="400" w:lineRule="exact"/>
        <w:rPr>
          <w:rFonts w:ascii="Times New Roman" w:hAnsi="Times New Roman" w:eastAsia="黑体"/>
          <w:color w:val="auto"/>
          <w:sz w:val="28"/>
          <w:szCs w:val="28"/>
          <w:highlight w:val="none"/>
        </w:rPr>
        <w:outlineLvl w:val="3"/>
      </w:pPr>
      <w:r/>
      <w:bookmarkStart w:id="131" w:name="_Toc20823302"/>
      <w:r/>
      <w:bookmarkStart w:id="132" w:name="_Toc513029230"/>
      <w:r/>
      <w:bookmarkStart w:id="133" w:name="_Toc16938546"/>
      <w:r>
        <w:rPr>
          <w:rFonts w:ascii="Times New Roman" w:hAnsi="Times New Roman" w:eastAsia="黑体"/>
          <w:color w:val="auto"/>
          <w:sz w:val="28"/>
          <w:szCs w:val="28"/>
          <w:highlight w:val="none"/>
        </w:rPr>
        <w:t xml:space="preserve">22、</w:t>
      </w:r>
      <w:bookmarkEnd w:id="131"/>
      <w:r/>
      <w:bookmarkEnd w:id="132"/>
      <w:r/>
      <w:bookmarkEnd w:id="133"/>
      <w:r>
        <w:rPr>
          <w:rFonts w:ascii="Times New Roman" w:hAnsi="Times New Roman" w:eastAsia="黑体"/>
          <w:color w:val="auto"/>
          <w:sz w:val="28"/>
          <w:szCs w:val="28"/>
          <w:highlight w:val="none"/>
        </w:rPr>
        <w:t xml:space="preserve">响应文件解密</w:t>
      </w:r>
      <w:r/>
    </w:p>
    <w:p>
      <w:pPr>
        <w:ind w:firstLine="480"/>
        <w:spacing w:line="400" w:lineRule="exact"/>
        <w:rPr>
          <w:rFonts w:ascii="Times New Roman" w:hAnsi="Times New Roman"/>
          <w:color w:val="auto"/>
          <w:szCs w:val="21"/>
          <w:highlight w:val="none"/>
        </w:rPr>
      </w:pPr>
      <w:r>
        <w:rPr>
          <w:rFonts w:ascii="Times New Roman" w:hAnsi="Times New Roman"/>
          <w:color w:val="auto"/>
          <w:sz w:val="24"/>
          <w:szCs w:val="21"/>
          <w:highlight w:val="none"/>
        </w:rPr>
        <w:t xml:space="preserve">22.1</w:t>
      </w:r>
      <w:r>
        <w:rPr>
          <w:rFonts w:ascii="Times New Roman" w:hAnsi="Times New Roman"/>
          <w:color w:val="auto"/>
          <w:sz w:val="24"/>
          <w:szCs w:val="24"/>
          <w:highlight w:val="none"/>
        </w:rPr>
        <w:t xml:space="preserve">供应商应当按照《操作手册》规定，在苏采云系统规定的时间内对磋商响应文件进行解密。</w:t>
      </w:r>
      <w:r/>
    </w:p>
    <w:p>
      <w:pPr>
        <w:ind w:firstLine="560"/>
        <w:keepLines/>
        <w:keepNext/>
        <w:spacing w:line="400" w:lineRule="exact"/>
        <w:rPr>
          <w:rFonts w:ascii="Times New Roman" w:hAnsi="Times New Roman" w:eastAsia="黑体"/>
          <w:color w:val="auto"/>
          <w:sz w:val="28"/>
          <w:szCs w:val="28"/>
          <w:highlight w:val="none"/>
        </w:rPr>
        <w:outlineLvl w:val="3"/>
      </w:pPr>
      <w:r/>
      <w:bookmarkStart w:id="134" w:name="_Toc513029231"/>
      <w:r/>
      <w:bookmarkStart w:id="135" w:name="_Toc16938547"/>
      <w:r/>
      <w:bookmarkStart w:id="136" w:name="_Toc20823303"/>
      <w:r>
        <w:rPr>
          <w:rFonts w:ascii="Times New Roman" w:hAnsi="Times New Roman" w:eastAsia="黑体"/>
          <w:color w:val="auto"/>
          <w:sz w:val="28"/>
          <w:szCs w:val="28"/>
          <w:highlight w:val="none"/>
        </w:rPr>
        <w:t xml:space="preserve">23、磋商小组</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 23.1</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23.2磋商小组独立工作，负责评审所有响应文件并确定成交侯选人。</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24、评审过程的保密与公正</w:t>
      </w:r>
      <w:bookmarkEnd w:id="134"/>
      <w:r/>
      <w:bookmarkEnd w:id="135"/>
      <w:r/>
      <w:bookmarkEnd w:id="136"/>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24.1</w:t>
      </w:r>
      <w:r>
        <w:rPr>
          <w:rFonts w:ascii="Times New Roman" w:hAnsi="Times New Roman"/>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24.2</w:t>
      </w:r>
      <w:r>
        <w:rPr>
          <w:rFonts w:ascii="Times New Roman" w:hAnsi="Times New Roman"/>
          <w:color w:val="auto"/>
          <w:sz w:val="24"/>
          <w:szCs w:val="24"/>
          <w:highlight w:val="none"/>
        </w:rPr>
        <w:t xml:space="preserve">在评审过程中，供应商不得以任何行为影响磋商评审过程，否则其响应文件将被作为无效响应文件。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24.3</w:t>
      </w:r>
      <w:r>
        <w:rPr>
          <w:rFonts w:ascii="Times New Roman" w:hAnsi="Times New Roman"/>
          <w:color w:val="auto"/>
          <w:sz w:val="24"/>
          <w:szCs w:val="24"/>
          <w:highlight w:val="none"/>
        </w:rPr>
        <w:t xml:space="preserve">在项目评审期间，</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将设专门人员与供应商联系。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24.4 </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和磋商小组不向未成交的供应商解释未成交原因，也不公布评审过程中的相关细节。</w:t>
      </w:r>
      <w:r/>
    </w:p>
    <w:p>
      <w:pPr>
        <w:ind w:firstLine="560"/>
        <w:keepLines/>
        <w:keepNext/>
        <w:spacing w:line="400" w:lineRule="exact"/>
        <w:rPr>
          <w:rFonts w:ascii="Times New Roman" w:hAnsi="Times New Roman" w:eastAsia="黑体"/>
          <w:color w:val="auto"/>
          <w:sz w:val="28"/>
          <w:szCs w:val="28"/>
          <w:highlight w:val="none"/>
        </w:rPr>
        <w:outlineLvl w:val="3"/>
      </w:pPr>
      <w:r/>
      <w:bookmarkStart w:id="137" w:name="_Toc20823304"/>
      <w:r/>
      <w:bookmarkStart w:id="138" w:name="_Toc16938548"/>
      <w:r/>
      <w:bookmarkStart w:id="139" w:name="_Toc513029232"/>
      <w:r>
        <w:rPr>
          <w:rFonts w:ascii="Times New Roman" w:hAnsi="Times New Roman" w:eastAsia="黑体"/>
          <w:color w:val="auto"/>
          <w:sz w:val="28"/>
          <w:szCs w:val="28"/>
          <w:highlight w:val="none"/>
        </w:rPr>
        <w:t xml:space="preserve">25、评审过程中的的澄清</w:t>
      </w:r>
      <w:bookmarkEnd w:id="137"/>
      <w:r/>
      <w:bookmarkEnd w:id="138"/>
      <w:r/>
      <w:bookmarkEnd w:id="139"/>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磋商小组并非对每个供应商都作澄清要求。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25.3 接到磋商小组澄清、说明和更正要求的供应商如未按规定做出澄清、说明和更正，其风险由供应商自行承担。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140" w:name="_Toc513029233"/>
      <w:r/>
      <w:bookmarkStart w:id="141" w:name="_Toc20823305"/>
      <w:r/>
      <w:bookmarkStart w:id="142" w:name="_Toc16938549"/>
      <w:r>
        <w:rPr>
          <w:rFonts w:ascii="Times New Roman" w:hAnsi="Times New Roman" w:eastAsia="黑体"/>
          <w:color w:val="auto"/>
          <w:sz w:val="28"/>
          <w:szCs w:val="28"/>
          <w:highlight w:val="none"/>
        </w:rPr>
        <w:t xml:space="preserve">26、对响应文件的审</w:t>
      </w:r>
      <w:bookmarkEnd w:id="140"/>
      <w:r/>
      <w:bookmarkEnd w:id="141"/>
      <w:r/>
      <w:bookmarkEnd w:id="142"/>
      <w:r>
        <w:rPr>
          <w:rFonts w:ascii="Times New Roman" w:hAnsi="Times New Roman" w:eastAsia="黑体"/>
          <w:color w:val="auto"/>
          <w:sz w:val="28"/>
          <w:szCs w:val="28"/>
          <w:highlight w:val="none"/>
        </w:rPr>
        <w:t xml:space="preserve">查</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26.1</w:t>
      </w:r>
      <w:r>
        <w:rPr>
          <w:rFonts w:ascii="Times New Roman" w:hAnsi="Times New Roman"/>
          <w:bCs/>
          <w:color w:val="auto"/>
          <w:sz w:val="24"/>
          <w:szCs w:val="21"/>
          <w:highlight w:val="none"/>
        </w:rPr>
        <w:t xml:space="preserve">响应文件审查分为资格审查和符合性审查。</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26.1.3 未通过资格审查或符合性审查的供应商，磋商小组将在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26.2</w:t>
      </w:r>
      <w:r>
        <w:rPr>
          <w:rFonts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26.3未实质性响应磋商文件的情形</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26.3.1供应商在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规定的时间内未成功解密电子响应文件的。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26.3.2供应商未按照磋商文件要求上传电子响应文件的。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26.3.3同一供应商提交两个（含两个）以上不同的响应文件或者最后报价的。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26.3.4供应商不具备磋商文件中规定资格要求的。</w:t>
      </w:r>
      <w:r/>
    </w:p>
    <w:p>
      <w:pPr>
        <w:ind w:firstLine="480"/>
        <w:spacing w:line="400" w:lineRule="exact"/>
        <w:rPr>
          <w:rFonts w:ascii="Times New Roman" w:hAnsi="Times New Roman"/>
          <w:b/>
          <w:color w:val="auto"/>
          <w:sz w:val="24"/>
          <w:szCs w:val="21"/>
          <w:highlight w:val="none"/>
        </w:rPr>
      </w:pPr>
      <w:r>
        <w:rPr>
          <w:rFonts w:ascii="Times New Roman" w:hAnsi="Times New Roman"/>
          <w:bCs/>
          <w:color w:val="auto"/>
          <w:sz w:val="24"/>
          <w:szCs w:val="21"/>
          <w:highlight w:val="none"/>
        </w:rPr>
        <w:t xml:space="preserve">26.3.5</w:t>
      </w:r>
      <w:r>
        <w:rPr>
          <w:rFonts w:ascii="Times New Roman" w:hAnsi="Times New Roman"/>
          <w:b/>
          <w:color w:val="auto"/>
          <w:sz w:val="24"/>
          <w:szCs w:val="21"/>
          <w:highlight w:val="none"/>
        </w:rPr>
        <w:t xml:space="preserve">供应商的最后报价超过了最高限价的。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26.3.6不符合磋商文件中规定的实质性要求和条件的</w:t>
      </w:r>
      <w:r>
        <w:rPr>
          <w:rFonts w:ascii="Times New Roman" w:hAnsi="Times New Roman"/>
          <w:bCs/>
          <w:i/>
          <w:color w:val="auto"/>
          <w:sz w:val="24"/>
          <w:szCs w:val="21"/>
          <w:highlight w:val="none"/>
        </w:rPr>
        <w:t xml:space="preserve">。</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26.3.8  响应文件含有采购人不能接受的附加条件的。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26.3.10响应文件未按照磋商文件要求加盖CA电子公章的。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w:t>
      </w:r>
      <w:r>
        <w:rPr>
          <w:rFonts w:hint="eastAsia" w:ascii="Times New Roman" w:hAnsi="Times New Roman"/>
          <w:bCs/>
          <w:color w:val="auto"/>
          <w:sz w:val="24"/>
          <w:szCs w:val="21"/>
          <w:highlight w:val="none"/>
        </w:rPr>
        <w:t xml:space="preserve">1异常低价审查</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（3）投标（响应）报价低于采购项目最高限价45%的，即投标（响应）报价&lt;采购项目最高限价×45%；</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基于专业判断，认为供应商报价过低，有可能影响产品质量或者不能诚信履约的其他情形。</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（5）</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应当将其作为无效投标（响应）处理。</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采购人、采购代理机构应当为</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在评审现场及时获取同类项目中标（成交）价格、类似产品市场价格水平、行业人工费用标准、国家有关部门指导行业协会发布的行业平均成本等相关信息资料提供便利。</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借助互联网等渠道查询相关信息的，应当严格遵守评审工作纪律，不得实施影响评审公正的行为。</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异常低价投标（响应）审查的启动原因、审查意见和审查结果应当在评审报告中记录，并随供应商提供的相关书面说明及证明材料，以及</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有关互联网浏览、查询历史一并归档。</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26.4未实质性响应磋商文件的响应文件按无效响应处理。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26.5</w:t>
      </w:r>
      <w:r>
        <w:rPr>
          <w:rFonts w:ascii="Times New Roman" w:hAnsi="Times New Roman"/>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Times New Roman" w:hAnsi="Times New Roman"/>
          <w:color w:val="auto"/>
          <w:sz w:val="24"/>
          <w:szCs w:val="21"/>
          <w:highlight w:val="none"/>
        </w:rPr>
      </w:pPr>
      <w:r/>
      <w:bookmarkStart w:id="143" w:name="_Toc513029234"/>
      <w:r/>
      <w:bookmarkStart w:id="144" w:name="_Toc16938550"/>
      <w:r/>
      <w:bookmarkStart w:id="145" w:name="_Toc20823306"/>
      <w:r>
        <w:rPr>
          <w:rFonts w:ascii="Times New Roman" w:hAnsi="Times New Roman"/>
          <w:color w:val="auto"/>
          <w:sz w:val="24"/>
          <w:szCs w:val="21"/>
          <w:highlight w:val="none"/>
        </w:rPr>
        <w:t xml:space="preserve">26.6供应商在项目评审全过程中应保持通讯畅通，并安排专人与</w:t>
      </w:r>
      <w:r>
        <w:rPr>
          <w:rFonts w:ascii="Times New Roman" w:hAnsi="Times New Roman"/>
          <w:bCs/>
          <w:color w:val="auto"/>
          <w:sz w:val="24"/>
          <w:szCs w:val="21"/>
          <w:highlight w:val="none"/>
        </w:rPr>
        <w:t xml:space="preserve">代理机构人员</w:t>
      </w:r>
      <w:r>
        <w:rPr>
          <w:rFonts w:ascii="Times New Roman" w:hAnsi="Times New Roman"/>
          <w:color w:val="auto"/>
          <w:sz w:val="24"/>
          <w:szCs w:val="21"/>
          <w:highlight w:val="none"/>
        </w:rPr>
        <w:t xml:space="preserve">及磋商小组联系。</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27、</w:t>
      </w:r>
      <w:bookmarkEnd w:id="143"/>
      <w:r/>
      <w:bookmarkEnd w:id="144"/>
      <w:r/>
      <w:bookmarkEnd w:id="145"/>
      <w:r>
        <w:rPr>
          <w:rFonts w:ascii="Times New Roman" w:hAnsi="Times New Roman" w:eastAsia="黑体"/>
          <w:color w:val="auto"/>
          <w:sz w:val="28"/>
          <w:szCs w:val="28"/>
          <w:highlight w:val="none"/>
        </w:rPr>
        <w:t xml:space="preserve">磋商程序及评审方法和评审标准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27.1磋商程序</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120" w:line="400" w:lineRule="exact"/>
        <w:tabs>
          <w:tab w:val="left" w:pos="900" w:leader="none"/>
        </w:tabs>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 27.1.2磋商文件能够详细列明采购标的的技术、服务要求的，磋商结束后，</w:t>
      </w:r>
      <w:r>
        <w:rPr>
          <w:rFonts w:ascii="Times New Roman" w:hAnsi="Times New Roman"/>
          <w:b/>
          <w:bCs/>
          <w:color w:val="auto"/>
          <w:sz w:val="24"/>
          <w:szCs w:val="24"/>
          <w:highlight w:val="none"/>
        </w:rPr>
        <w:t xml:space="preserve">磋商小组将在苏采云系统向所有实质性响应的供应商发布“最后报价要求函”及最后报价格式表，要求所有实质性响应的供应商在规定时间内（</w:t>
      </w:r>
      <w:r>
        <w:rPr>
          <w:rFonts w:hint="eastAsia" w:ascii="Times New Roman" w:hAnsi="Times New Roman"/>
          <w:b/>
          <w:bCs/>
          <w:color w:val="auto"/>
          <w:sz w:val="24"/>
          <w:szCs w:val="24"/>
          <w:highlight w:val="none"/>
        </w:rPr>
        <w:t xml:space="preserve">10</w:t>
      </w:r>
      <w:r>
        <w:rPr>
          <w:rFonts w:ascii="Times New Roman" w:hAnsi="Times New Roman"/>
          <w:b/>
          <w:bCs/>
          <w:color w:val="auto"/>
          <w:sz w:val="24"/>
          <w:szCs w:val="24"/>
          <w:highlight w:val="none"/>
        </w:rPr>
        <w:t xml:space="preserve">分钟）提交最后报价。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 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27.2.2评审标准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见本磋商文件第五章规定。</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27.3采购活动终止的情况</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出现下列情形之一的，本次竞争性磋商采购活动将被终止：</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27.3.1因情况变化，不再符合规定的竞争性磋商采购方式适用情形的。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27.3.2出现影响采购公正的违法、违规行为的。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27.3.4在苏采云系统规定时间内成功解密电子响应文件的供应商不足3家的。</w:t>
      </w:r>
      <w:r/>
    </w:p>
    <w:p>
      <w:pPr>
        <w:ind w:firstLine="420"/>
        <w:spacing w:after="120" w:line="460" w:lineRule="exact"/>
        <w:tabs>
          <w:tab w:val="left" w:pos="900" w:leader="none"/>
        </w:tabs>
        <w:rPr>
          <w:rFonts w:ascii="Times New Roman" w:hAnsi="Times New Roman"/>
          <w:color w:val="auto"/>
          <w:sz w:val="24"/>
          <w:szCs w:val="24"/>
          <w:highlight w:val="none"/>
        </w:rPr>
      </w:pPr>
      <w:r/>
      <w:bookmarkStart w:id="146" w:name="_Toc20823307"/>
      <w:r/>
      <w:bookmarkStart w:id="147" w:name="_Toc120614219"/>
      <w:r/>
      <w:bookmarkStart w:id="148" w:name="_Toc513029235"/>
      <w:r/>
      <w:bookmarkStart w:id="149" w:name="_Toc16938551"/>
      <w:r>
        <w:rPr>
          <w:rFonts w:ascii="Times New Roman" w:hAnsi="Times New Roman"/>
          <w:color w:val="auto"/>
          <w:sz w:val="24"/>
          <w:szCs w:val="24"/>
          <w:highlight w:val="none"/>
        </w:rPr>
        <w:t xml:space="preserve">27.3.5因重大变故，采购任务取消的。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27.3.6磋商小组认定磋商文件存在歧义、重大缺陷导致评审工作无法进行。</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27.3.7因系统故障原因造成磋商无法继续进行的。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27.4响应文件提交截止时间结束后参加磋商的供应商不足三家的处理：</w:t>
      </w:r>
      <w:r/>
    </w:p>
    <w:p>
      <w:pPr>
        <w:ind w:firstLine="420"/>
        <w:spacing w:after="120" w:line="460" w:lineRule="exact"/>
        <w:tabs>
          <w:tab w:val="left" w:pos="900" w:leader="none"/>
        </w:tabs>
        <w:rPr>
          <w:rFonts w:ascii="Times New Roman" w:hAnsi="Times New Roman"/>
          <w:b/>
          <w:bCs/>
          <w:color w:val="auto"/>
          <w:sz w:val="32"/>
          <w:szCs w:val="32"/>
          <w:highlight w:val="none"/>
        </w:rPr>
      </w:pPr>
      <w:r>
        <w:rPr>
          <w:rFonts w:ascii="Times New Roman" w:hAnsi="Times New Roman"/>
          <w:color w:val="auto"/>
          <w:sz w:val="24"/>
          <w:szCs w:val="24"/>
          <w:highlight w:val="none"/>
        </w:rPr>
        <w:t xml:space="preserve">27.4.1如出现响应文件提交截止时间结束后参加磋商的供应商或者在评审期间对磋商文件做出实质响应的供应商不足三家情况，按政府采购相关规定执行。</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w:t>
      </w:r>
      <w:bookmarkEnd w:id="146"/>
      <w:r/>
      <w:bookmarkEnd w:id="147"/>
      <w:r/>
      <w:bookmarkEnd w:id="148"/>
      <w:r/>
      <w:bookmarkEnd w:id="149"/>
      <w:r>
        <w:rPr>
          <w:rFonts w:ascii="Times New Roman" w:hAnsi="Times New Roman"/>
          <w:b/>
          <w:bCs/>
          <w:color w:val="auto"/>
          <w:sz w:val="32"/>
          <w:szCs w:val="32"/>
          <w:highlight w:val="none"/>
        </w:rPr>
        <w:t xml:space="preserve">成交</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50" w:name="_Toc513029238"/>
      <w:r/>
      <w:bookmarkStart w:id="151" w:name="_Toc20823310"/>
      <w:r/>
      <w:bookmarkStart w:id="152" w:name="_Toc16938554"/>
      <w:r>
        <w:rPr>
          <w:rFonts w:ascii="Times New Roman" w:hAnsi="Times New Roman" w:eastAsia="黑体"/>
          <w:bCs/>
          <w:color w:val="auto"/>
          <w:sz w:val="30"/>
          <w:szCs w:val="30"/>
          <w:highlight w:val="none"/>
        </w:rPr>
        <w:t xml:space="preserve">28、</w:t>
      </w:r>
      <w:bookmarkEnd w:id="150"/>
      <w:r>
        <w:rPr>
          <w:rFonts w:ascii="Times New Roman" w:hAnsi="Times New Roman" w:eastAsia="黑体"/>
          <w:bCs/>
          <w:color w:val="auto"/>
          <w:sz w:val="30"/>
          <w:szCs w:val="30"/>
          <w:highlight w:val="none"/>
        </w:rPr>
        <w:t xml:space="preserve">确定</w:t>
      </w:r>
      <w:bookmarkEnd w:id="151"/>
      <w:r/>
      <w:bookmarkEnd w:id="152"/>
      <w:r>
        <w:rPr>
          <w:rFonts w:ascii="Times New Roman" w:hAnsi="Times New Roman" w:eastAsia="黑体"/>
          <w:bCs/>
          <w:color w:val="auto"/>
          <w:sz w:val="30"/>
          <w:szCs w:val="30"/>
          <w:highlight w:val="none"/>
        </w:rPr>
        <w:t xml:space="preserve">成交单位</w:t>
      </w:r>
      <w:r/>
    </w:p>
    <w:p>
      <w:pPr>
        <w:ind w:firstLine="480"/>
        <w:spacing w:after="120" w:line="400" w:lineRule="exact"/>
        <w:tabs>
          <w:tab w:val="left" w:pos="900" w:leader="none"/>
        </w:tabs>
        <w:rPr>
          <w:rFonts w:ascii="Times New Roman" w:hAnsi="Times New Roman"/>
          <w:color w:val="auto"/>
          <w:sz w:val="24"/>
          <w:szCs w:val="21"/>
          <w:highlight w:val="none"/>
        </w:rPr>
      </w:pPr>
      <w:r>
        <w:rPr>
          <w:rFonts w:ascii="Times New Roman" w:hAnsi="Times New Roman"/>
          <w:bCs/>
          <w:color w:val="auto"/>
          <w:sz w:val="24"/>
          <w:szCs w:val="21"/>
          <w:highlight w:val="none"/>
        </w:rPr>
        <w:t xml:space="preserve">28.1</w:t>
      </w:r>
      <w:r>
        <w:rPr>
          <w:rFonts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非单一产品采购项目，磋商文件中将载明其中的核心产品。多家供应商提供的核心产品品牌型号相同的，按前款规定处理。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28.2采购人授权磋商小组直接确定排名第一的成交候选供应商为成交供应商。确定成交供应商之日起2个工作日内，采购人或代理机构将在“江苏政府采购网”发布成交结果公告，公告期限为1个工作日。</w:t>
      </w:r>
      <w:r/>
    </w:p>
    <w:p>
      <w:pPr>
        <w:ind w:firstLine="480"/>
        <w:spacing w:line="400" w:lineRule="exact"/>
        <w:tabs>
          <w:tab w:val="left" w:pos="4410" w:leader="none"/>
        </w:tabs>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28.3若有充分证据证明，成交供应商出现下列情况之一的，一经查实，将被取消成交资格：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28.3.1提供虚假材料谋取成交的。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28.3.2与评审专家、采购人、其他供应商或者代理机构工作人员恶意串通的。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28.3.3向评审专家、采购人或代理机构工作人员行贿或者提供其他不正当利益的。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28.3.4恶意竞争，最后报价明显低于其自身合理成本且又无法提供证明的。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28.3.5不满足本磋商文件规定的实质性要求，但在评审过程中又未被磋商小组发现的。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28.3.7将政府采购合同转包的。</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53" w:name="_Toc200451960"/>
      <w:r>
        <w:rPr>
          <w:rFonts w:ascii="Times New Roman" w:hAnsi="Times New Roman" w:eastAsia="黑体"/>
          <w:bCs/>
          <w:color w:val="auto"/>
          <w:sz w:val="30"/>
          <w:szCs w:val="30"/>
          <w:highlight w:val="none"/>
        </w:rPr>
        <w:t xml:space="preserve">29、质疑处理</w:t>
      </w:r>
      <w:bookmarkEnd w:id="153"/>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29.2.1</w:t>
      </w:r>
      <w:r>
        <w:rPr>
          <w:rFonts w:ascii="Times New Roman" w:hAnsi="Times New Roman"/>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29.2.2</w:t>
      </w:r>
      <w:r>
        <w:rPr>
          <w:rFonts w:ascii="Times New Roman" w:hAnsi="Times New Roman"/>
          <w:color w:val="auto"/>
          <w:sz w:val="24"/>
          <w:szCs w:val="24"/>
          <w:highlight w:val="none"/>
        </w:rPr>
        <w:t xml:space="preserve">对采购过程提出质疑的，为各采购程序环节结束之日。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29.2.3</w:t>
      </w:r>
      <w:r>
        <w:rPr>
          <w:rFonts w:ascii="Times New Roman" w:hAnsi="Times New Roman"/>
          <w:color w:val="auto"/>
          <w:sz w:val="24"/>
          <w:szCs w:val="24"/>
          <w:highlight w:val="none"/>
        </w:rPr>
        <w:t xml:space="preserve">对成交结果提出质疑的，为成交结果公告期限届满之日。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、采购人将只对供应商第一次质疑作出答复。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采购人及代理机构人员只接收以纸质原件形式送达的质疑,建议供应商尽量通过邮寄方式提交质疑</w:t>
      </w:r>
      <w:r>
        <w:rPr>
          <w:rFonts w:ascii="Times New Roman" w:hAnsi="Times New Roman"/>
          <w:b/>
          <w:bCs/>
          <w:color w:val="auto"/>
          <w:sz w:val="24"/>
          <w:szCs w:val="24"/>
          <w:highlight w:val="none"/>
        </w:rPr>
        <w:t xml:space="preserve">（采购人和代理机构不接受无快递运单号的快递）。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采购人或代理机构质疑接收人及联系方式见本磋商文件第一章。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 以下情形的质疑不予受理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29.5.1 内容不符合《政府采购质疑和投诉办法》第十二条规定的质疑。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29.5.2 超出政府采购法定期限的质疑。</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29.5.3 以传真、电子邮件等方式递交的非原件形式的质疑。</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29.5.4 未参加磋商活动的供应商或在磋商活动中自身权益未受到损害的供应商所提出的质疑。</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29.5.5供应商组成联合体参加磋商，联合体中任何一方或多方未按要求签字、盖章、加盖公章的质疑。</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600"/>
        <w:keepLines/>
        <w:keepNext/>
        <w:spacing w:line="38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30、成交通知书</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380" w:lineRule="exact"/>
        <w:rPr>
          <w:rFonts w:ascii="Times New Roman" w:hAnsi="Times New Roman"/>
          <w:b/>
          <w:bCs/>
          <w:color w:val="auto"/>
          <w:sz w:val="32"/>
          <w:szCs w:val="32"/>
          <w:highlight w:val="none"/>
        </w:rPr>
        <w:outlineLvl w:val="2"/>
      </w:pPr>
      <w:r/>
      <w:bookmarkStart w:id="154" w:name="_Toc120614220"/>
      <w:r/>
      <w:bookmarkStart w:id="155" w:name="_Toc16938552"/>
      <w:r/>
      <w:bookmarkStart w:id="156" w:name="_Toc20823308"/>
      <w:r/>
      <w:bookmarkStart w:id="157" w:name="_Toc513029236"/>
      <w:r>
        <w:rPr>
          <w:rFonts w:ascii="Times New Roman" w:hAnsi="Times New Roman"/>
          <w:b/>
          <w:bCs/>
          <w:color w:val="auto"/>
          <w:sz w:val="32"/>
          <w:szCs w:val="32"/>
          <w:highlight w:val="none"/>
        </w:rPr>
        <w:t xml:space="preserve">七、授予合同</w:t>
      </w:r>
      <w:bookmarkEnd w:id="154"/>
      <w:r/>
      <w:bookmarkEnd w:id="155"/>
      <w:r/>
      <w:bookmarkEnd w:id="156"/>
      <w:r/>
      <w:bookmarkEnd w:id="157"/>
      <w:r/>
      <w:r/>
    </w:p>
    <w:p>
      <w:pPr>
        <w:ind w:firstLine="600"/>
        <w:keepLines/>
        <w:keepNext/>
        <w:spacing w:line="380" w:lineRule="exact"/>
        <w:rPr>
          <w:rFonts w:ascii="Times New Roman" w:hAnsi="Times New Roman" w:eastAsia="黑体"/>
          <w:bCs/>
          <w:color w:val="auto"/>
          <w:sz w:val="30"/>
          <w:szCs w:val="30"/>
          <w:highlight w:val="none"/>
        </w:rPr>
        <w:outlineLvl w:val="3"/>
      </w:pPr>
      <w:r/>
      <w:bookmarkStart w:id="158" w:name="_Toc20823309"/>
      <w:r/>
      <w:bookmarkStart w:id="159" w:name="_Toc513029237"/>
      <w:r/>
      <w:bookmarkStart w:id="160" w:name="_Toc16938553"/>
      <w:r>
        <w:rPr>
          <w:rFonts w:ascii="Times New Roman" w:hAnsi="Times New Roman" w:eastAsia="黑体"/>
          <w:bCs/>
          <w:color w:val="auto"/>
          <w:sz w:val="30"/>
          <w:szCs w:val="30"/>
          <w:highlight w:val="none"/>
        </w:rPr>
        <w:t xml:space="preserve">31. 签订合同</w:t>
      </w:r>
      <w:r/>
    </w:p>
    <w:p>
      <w:pPr>
        <w:ind w:firstLine="480"/>
        <w:spacing w:line="38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31</w:t>
      </w:r>
      <w:r>
        <w:rPr>
          <w:rFonts w:ascii="Times New Roman" w:hAnsi="Times New Roman"/>
          <w:color w:val="auto"/>
          <w:sz w:val="24"/>
          <w:szCs w:val="24"/>
          <w:highlight w:val="none"/>
        </w:rPr>
        <w:t xml:space="preserve">.l成交供应商应当在成交通知书发出之日起三十日内，按照磋商文件确定的事项与采购人签订政府采购合同。</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31.2磋商文件、成交供应商的响应文件及磋商过程中有关澄清、承诺文件均应作为合同附件。</w:t>
      </w:r>
      <w:r/>
    </w:p>
    <w:p>
      <w:pPr>
        <w:ind w:firstLine="60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spacing w:line="38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32、标的物的追加</w:t>
      </w:r>
      <w:bookmarkEnd w:id="158"/>
      <w:r/>
      <w:bookmarkEnd w:id="159"/>
      <w:r/>
      <w:bookmarkEnd w:id="160"/>
      <w:r/>
      <w:r/>
    </w:p>
    <w:p>
      <w:pPr>
        <w:ind w:firstLine="600"/>
        <w:spacing w:line="380" w:lineRule="exact"/>
        <w:rPr>
          <w:rFonts w:ascii="Times New Roman" w:hAnsi="Times New Roman"/>
          <w:color w:val="auto"/>
          <w:sz w:val="24"/>
          <w:szCs w:val="24"/>
          <w:highlight w:val="none"/>
        </w:rPr>
      </w:pPr>
      <w:r/>
      <w:bookmarkStart w:id="161" w:name="_Toc479757207"/>
      <w:r/>
      <w:bookmarkStart w:id="162" w:name="_Toc120614221"/>
      <w:r/>
      <w:bookmarkStart w:id="163" w:name="_Toc16938558"/>
      <w:r/>
      <w:bookmarkStart w:id="164" w:name="_Toc20823314"/>
      <w:r/>
      <w:bookmarkStart w:id="165" w:name="_Toc513029242"/>
      <w:r>
        <w:rPr>
          <w:rFonts w:ascii="Times New Roman" w:hAnsi="Times New Roman"/>
          <w:color w:val="auto"/>
          <w:sz w:val="24"/>
          <w:szCs w:val="24"/>
          <w:highlight w:val="none"/>
        </w:rPr>
        <w:t xml:space="preserve">32.1政府采购合同履行中，采购人需追加与合同标的相同的货物和服务的，在不改变合同其他条款的前提下，可以与成交供应商协商签订补充合同，但所有补充合同的采购金额不超过原合同金额10%。</w:t>
      </w:r>
      <w:r/>
    </w:p>
    <w:p>
      <w:pPr>
        <w:ind w:firstLine="60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60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33、政府采购履约资金扶持政策</w:t>
      </w:r>
      <w:r/>
    </w:p>
    <w:p>
      <w:pPr>
        <w:ind w:firstLine="480"/>
        <w:keepNext/>
        <w:spacing w:line="380" w:lineRule="exact"/>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成交供应商如需获得履约保证金支持，可凭政府采购合同办理融资贷款，详情请见江苏政府采购网“政采贷”专栏。</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rPr>
          <w:color w:val="auto"/>
          <w:highlight w:val="none"/>
        </w:rPr>
      </w:pPr>
      <w:r>
        <w:rPr>
          <w:color w:val="auto"/>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第三章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合同</w:t>
      </w:r>
      <w:bookmarkEnd w:id="161"/>
      <w:r/>
      <w:bookmarkEnd w:id="162"/>
      <w:r/>
      <w:bookmarkEnd w:id="163"/>
      <w:r/>
      <w:bookmarkEnd w:id="164"/>
      <w:r/>
      <w:bookmarkEnd w:id="165"/>
      <w:r>
        <w:rPr>
          <w:rFonts w:ascii="Times New Roman" w:hAnsi="Times New Roman"/>
          <w:b/>
          <w:bCs/>
          <w:color w:val="auto"/>
          <w:sz w:val="36"/>
          <w:szCs w:val="36"/>
          <w:highlight w:val="none"/>
        </w:rPr>
        <w:t xml:space="preserve">文本</w:t>
      </w:r>
      <w:r/>
    </w:p>
    <w:p>
      <w:pPr>
        <w:ind w:firstLine="480"/>
        <w:spacing w:line="400" w:lineRule="exact"/>
        <w:rPr>
          <w:rFonts w:ascii="Times New Roman" w:hAnsi="Times New Roman"/>
          <w:b/>
          <w:color w:val="auto"/>
          <w:sz w:val="30"/>
          <w:szCs w:val="21"/>
          <w:highlight w:val="none"/>
        </w:rPr>
      </w:pPr>
      <w:r/>
      <w:bookmarkStart w:id="166" w:name="_Toc513029243"/>
      <w:r/>
      <w:bookmarkStart w:id="167" w:name="_Toc16938559"/>
      <w:r/>
      <w:bookmarkStart w:id="168" w:name="_Toc20823315"/>
      <w:r>
        <w:rPr>
          <w:rFonts w:ascii="Times New Roman" w:hAnsi="Times New Roman"/>
          <w:bCs/>
          <w:color w:val="auto"/>
          <w:sz w:val="24"/>
          <w:szCs w:val="21"/>
          <w:highlight w:val="none"/>
        </w:rPr>
        <w:t xml:space="preserve">以下为成交后签定本项目合同的通用条款，成交供应商不得提出实质性的修改。</w:t>
      </w:r>
      <w:r/>
    </w:p>
    <w:p>
      <w:pPr>
        <w:ind w:firstLine="643"/>
        <w:jc w:val="center"/>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江苏省政府采购合同（合同编号）</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项目名称：</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项目编号：</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甲方：（买方）</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乙方：（卖方）</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根据《中华人民共和国民法典（合同编）》、《中华人民共和国政府采购法》等法律法规的规定以及项目采购结果，甲乙双方遵循平等、自愿、公平、诚实信用的原则，就</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项目事宜经双方协商一致，订立本合同。</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一、合同内容</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 标的名称：</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1.2标的质量：</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 服务内容及范围（规模）：</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 履行时间（期限）：</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1.5 履行地点：</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1.6履行方式：</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二、合同金额</w:t>
      </w:r>
      <w:r/>
    </w:p>
    <w:p>
      <w:pPr>
        <w:ind w:left="410" w:hanging="41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 本合同金额为（大写）：____________________________________圆（_______________元）人民币。</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三、技术资料</w:t>
      </w:r>
      <w:r/>
    </w:p>
    <w:p>
      <w:pPr>
        <w:ind w:left="492" w:hanging="49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 乙方应按采购文件规定的时间向甲方提供服务（包含与服务相关的产品）的有关技术资料。</w:t>
      </w:r>
      <w:r/>
    </w:p>
    <w:p>
      <w:pPr>
        <w:ind w:left="492" w:hanging="49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四、知识产权</w:t>
      </w:r>
      <w:r/>
    </w:p>
    <w:p>
      <w:pPr>
        <w:ind w:left="492" w:hanging="49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4.1 乙方应保证甲方在使用、接受本合同服务（包含与服务相关的产品）或其任何一部分时不受第三方提出侵犯其专利权、版权、商标权和工业设计权等知识产权的起诉。一旦出现侵权，由乙方负全部责任。</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五、产权担保</w:t>
      </w:r>
      <w:r/>
    </w:p>
    <w:p>
      <w:pPr>
        <w:ind w:left="492" w:hanging="492"/>
        <w:spacing w:before="120" w:after="120"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5.1 乙方保证所交付的服务（包含与服务相关的产品）的所有权完全属于乙方且无任何抵押、查封等产权瑕疵。</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六、合同转包</w:t>
      </w:r>
      <w:r/>
    </w:p>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6.1 乙方不得将合同标的转包给他人履行。</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七、合同款项支付</w:t>
      </w:r>
      <w:r/>
    </w:p>
    <w:p>
      <w:pPr>
        <w:jc w:val="left"/>
        <w:spacing w:line="400" w:lineRule="exact"/>
        <w:rPr>
          <w:rFonts w:ascii="Times New Roman" w:hAnsi="Times New Roman"/>
          <w:color w:val="auto"/>
          <w:sz w:val="24"/>
          <w:szCs w:val="24"/>
          <w:highlight w:val="none"/>
          <w:lang w:val="zh-CN"/>
        </w:rPr>
      </w:pPr>
      <w:r>
        <w:rPr>
          <w:rFonts w:ascii="Times New Roman" w:hAnsi="Times New Roman"/>
          <w:bCs/>
          <w:color w:val="auto"/>
          <w:sz w:val="24"/>
          <w:szCs w:val="24"/>
          <w:highlight w:val="none"/>
        </w:rPr>
        <w:t xml:space="preserve">7.1</w:t>
      </w:r>
      <w:r>
        <w:rPr>
          <w:rFonts w:ascii="Times New Roman" w:hAnsi="Times New Roman"/>
          <w:color w:val="auto"/>
          <w:sz w:val="24"/>
          <w:szCs w:val="24"/>
          <w:highlight w:val="none"/>
          <w:lang w:val="zh-CN"/>
        </w:rPr>
        <w:t xml:space="preserve">付款：</w:t>
      </w:r>
      <w:r/>
    </w:p>
    <w:p>
      <w:pPr>
        <w:pStyle w:val="954"/>
        <w:ind w:firstLine="482"/>
        <w:spacing w:line="400" w:lineRule="exact"/>
        <w:rPr>
          <w:rFonts w:ascii="Times New Roman" w:hAnsi="Times New Roman"/>
          <w:b/>
          <w:color w:val="auto"/>
          <w:sz w:val="24"/>
          <w:szCs w:val="24"/>
          <w:highlight w:val="none"/>
        </w:rPr>
      </w:pPr>
      <w:r>
        <w:rPr>
          <w:rFonts w:hint="eastAsia"/>
          <w:b/>
          <w:bCs/>
          <w:color w:val="auto"/>
          <w:sz w:val="24"/>
          <w:szCs w:val="24"/>
          <w:highlight w:val="none"/>
        </w:rPr>
        <w:t xml:space="preserve">合同签订后</w:t>
      </w:r>
      <w:r>
        <w:rPr>
          <w:rFonts w:hint="eastAsia"/>
          <w:b/>
          <w:bCs/>
          <w:color w:val="auto"/>
          <w:sz w:val="24"/>
          <w:szCs w:val="24"/>
          <w:highlight w:val="none"/>
          <w:lang w:val="en-US" w:eastAsia="zh-CN"/>
        </w:rPr>
        <w:t xml:space="preserve">30</w:t>
      </w:r>
      <w:r>
        <w:rPr>
          <w:rFonts w:hint="eastAsia"/>
          <w:b/>
          <w:bCs/>
          <w:color w:val="auto"/>
          <w:sz w:val="24"/>
          <w:szCs w:val="24"/>
          <w:highlight w:val="none"/>
        </w:rPr>
        <w:t xml:space="preserve">天内，甲方支付乙方第一次付款金额为本项目合同总价的30％，余款待本项目通过验收后一个月后结清。 </w:t>
      </w:r>
      <w:r>
        <w:rPr>
          <w:rFonts w:hint="eastAsia"/>
          <w:b/>
          <w:bCs/>
          <w:color w:val="auto"/>
          <w:sz w:val="24"/>
          <w:szCs w:val="24"/>
          <w:highlight w:val="none"/>
        </w:rPr>
        <w:t xml:space="preserve"> </w:t>
      </w:r>
      <w:r>
        <w:rPr>
          <w:rFonts w:hint="eastAsia" w:ascii="宋体" w:hAnsi="宋体" w:cs="Calibri"/>
          <w:b/>
          <w:color w:val="auto"/>
          <w:sz w:val="24"/>
          <w:szCs w:val="24"/>
          <w:highlight w:val="none"/>
        </w:rPr>
        <w:t xml:space="preserve">  </w:t>
      </w:r>
      <w:r/>
    </w:p>
    <w:p>
      <w:pPr>
        <w:spacing w:before="120" w:after="120"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7.2乙方</w:t>
      </w:r>
      <w:r>
        <w:rPr>
          <w:rFonts w:hint="eastAsia"/>
          <w:color w:val="auto"/>
          <w:sz w:val="24"/>
          <w:szCs w:val="24"/>
          <w:highlight w:val="none"/>
        </w:rPr>
        <w:t xml:space="preserve">凭经采购合同、验收单（经验收合格）及正式发票按规定进行资金结算。</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八、税费</w:t>
      </w:r>
      <w:r/>
    </w:p>
    <w:p>
      <w:pPr>
        <w:spacing w:before="143" w:after="143"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8.1 本合同执行中相关的一切税费均由乙方负担。</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九、项目验收</w:t>
      </w:r>
      <w:r/>
    </w:p>
    <w:p>
      <w:pPr>
        <w:spacing w:before="143" w:after="143"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9.1 甲方依法组织履约验收工作。</w:t>
      </w:r>
      <w:r/>
    </w:p>
    <w:p>
      <w:pPr>
        <w:spacing w:before="143" w:after="143"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9.2 甲方在组织履约验收前，乙方应做好相应配合工作。</w:t>
      </w:r>
      <w:r/>
    </w:p>
    <w:p>
      <w:pPr>
        <w:spacing w:before="143" w:after="143"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9.3 甲方按照采购合同的约定对乙方的履约情况进行验收。验收时,甲方按照采购合同的约定对履约情况进行确认。验收结束后,验收小组出具验收意见,列明验收情况及项目总体评价。验收结果与采购合同约定的资金支付条件挂钩。</w:t>
      </w:r>
      <w:r/>
    </w:p>
    <w:p>
      <w:pPr>
        <w:ind w:left="492" w:hanging="492"/>
        <w:spacing w:before="143" w:after="143"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9.4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十、违约责任</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0</w:t>
      </w:r>
      <w:r>
        <w:rPr>
          <w:rFonts w:ascii="Times New Roman" w:hAnsi="Times New Roman"/>
          <w:color w:val="auto"/>
          <w:sz w:val="24"/>
          <w:szCs w:val="24"/>
          <w:highlight w:val="none"/>
        </w:rPr>
        <w:t xml:space="preserve">.1 甲方无正当理由拒绝接受乙方提供服务的，甲方向乙方偿付拒绝接受服务合同价款总值</w:t>
      </w:r>
      <w:r>
        <w:rPr>
          <w:rFonts w:hint="eastAsia" w:ascii="宋体" w:hAnsi="宋体" w:cs="宋体"/>
          <w:color w:val="auto"/>
          <w:sz w:val="24"/>
          <w:szCs w:val="24"/>
          <w:highlight w:val="none"/>
          <w:lang w:val="en-US" w:eastAsia="zh-CN"/>
        </w:rPr>
        <w:t xml:space="preserve">5%</w:t>
      </w:r>
      <w:r>
        <w:rPr>
          <w:rFonts w:ascii="Times New Roman" w:hAnsi="Times New Roman"/>
          <w:color w:val="auto"/>
          <w:sz w:val="24"/>
          <w:szCs w:val="24"/>
          <w:highlight w:val="none"/>
        </w:rPr>
        <w:t xml:space="preserve">的违约金。</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0</w:t>
      </w:r>
      <w:r>
        <w:rPr>
          <w:rFonts w:ascii="Times New Roman" w:hAnsi="Times New Roman"/>
          <w:color w:val="auto"/>
          <w:sz w:val="24"/>
          <w:szCs w:val="24"/>
          <w:highlight w:val="none"/>
        </w:rPr>
        <w:t xml:space="preserve">.2 甲方无故逾期验收和办理合同款项支付手续的,甲方应按逾期付款总额每日</w:t>
      </w:r>
      <w:r>
        <w:rPr>
          <w:rFonts w:hint="eastAsia" w:ascii="宋体" w:hAnsi="宋体" w:cs="宋体"/>
          <w:color w:val="auto"/>
          <w:sz w:val="24"/>
          <w:szCs w:val="24"/>
          <w:highlight w:val="none"/>
          <w:lang w:val="en-US" w:eastAsia="zh-CN"/>
        </w:rPr>
        <w:t xml:space="preserve">1‰</w:t>
      </w:r>
      <w:r>
        <w:rPr>
          <w:rFonts w:ascii="Times New Roman" w:hAnsi="Times New Roman"/>
          <w:color w:val="auto"/>
          <w:sz w:val="24"/>
          <w:szCs w:val="24"/>
          <w:highlight w:val="none"/>
        </w:rPr>
        <w:t xml:space="preserve">向乙方支付违约金。</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0</w:t>
      </w:r>
      <w:r>
        <w:rPr>
          <w:rFonts w:ascii="Times New Roman" w:hAnsi="Times New Roman"/>
          <w:color w:val="auto"/>
          <w:sz w:val="24"/>
          <w:szCs w:val="24"/>
          <w:highlight w:val="none"/>
        </w:rPr>
        <w:t xml:space="preserve">.3 乙方逾期提供服务的，乙方应按逾期提供服务合同总额每日</w:t>
      </w:r>
      <w:r>
        <w:rPr>
          <w:rFonts w:hint="eastAsia" w:ascii="宋体" w:hAnsi="宋体" w:cs="宋体"/>
          <w:color w:val="auto"/>
          <w:sz w:val="24"/>
          <w:szCs w:val="24"/>
          <w:highlight w:val="none"/>
          <w:lang w:val="en-US" w:eastAsia="zh-CN"/>
        </w:rPr>
        <w:t xml:space="preserve">1‰</w:t>
      </w:r>
      <w:r>
        <w:rPr>
          <w:rFonts w:ascii="Times New Roman" w:hAnsi="Times New Roman"/>
          <w:color w:val="auto"/>
          <w:sz w:val="24"/>
          <w:szCs w:val="24"/>
          <w:highlight w:val="none"/>
        </w:rPr>
        <w:t xml:space="preserve">向甲方支付违约金，由甲方从待付合同款项中扣除。逾期超过约定日期个工作日不能提供服务的，甲方可解除本合同。乙方因逾期提供服务或因其他违约行为导致甲方解除合同的，乙方应向甲方支付合同价款总额</w:t>
      </w:r>
      <w:r>
        <w:rPr>
          <w:rFonts w:hint="eastAsia" w:ascii="宋体" w:hAnsi="宋体" w:cs="宋体"/>
          <w:color w:val="auto"/>
          <w:sz w:val="24"/>
          <w:szCs w:val="24"/>
          <w:highlight w:val="none"/>
          <w:lang w:val="en-US" w:eastAsia="zh-CN"/>
        </w:rPr>
        <w:t xml:space="preserve">5%</w:t>
      </w:r>
      <w:r>
        <w:rPr>
          <w:rFonts w:ascii="Times New Roman" w:hAnsi="Times New Roman"/>
          <w:color w:val="auto"/>
          <w:sz w:val="24"/>
          <w:szCs w:val="24"/>
          <w:highlight w:val="none"/>
        </w:rPr>
        <w:t xml:space="preserve">的违约金，如造成甲方损失超过违约金的，超出部分由乙方继续承担赔偿责任。</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0</w:t>
      </w:r>
      <w:r>
        <w:rPr>
          <w:rFonts w:ascii="Times New Roman" w:hAnsi="Times New Roman"/>
          <w:color w:val="auto"/>
          <w:sz w:val="24"/>
          <w:szCs w:val="24"/>
          <w:highlight w:val="none"/>
        </w:rPr>
        <w:t xml:space="preserve">.4 乙方所提供服务的标准不符合合同规定及采购文件规定标准的，甲方有权拒绝接受服务，并可单方面解除合同。</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十一、不可抗力事件处理</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11.1 在合同有效期内，任何一方因不可抗力事件导致不能履行合同，则合同履行期可延长，其延长期与不可抗力影响期相同。</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11.2 不可抗力事件发生后，应立即通知对方，并寄送有关权威机构出具的证明。</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11.3 不可抗力事件延续120天以上，双方应通过友好协商，确定是否继续履行合同。</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十二、诉讼</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12.1 双方在执行合同中所发生的一切争议，应通过协商解决。如协商不成，可向合同签订地法院起诉，合同签订地在此约定为。</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十三、其他</w:t>
      </w:r>
      <w:r/>
    </w:p>
    <w:p>
      <w:pPr>
        <w:ind w:left="624" w:hanging="624"/>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13.1 本合同所有附件、招标文件、投标文件、中标通知书均为合同的有效组成部分，与本合同具有同等法律效力。</w:t>
      </w:r>
      <w:r/>
    </w:p>
    <w:p>
      <w:pPr>
        <w:ind w:left="624" w:hanging="624"/>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13.3 除甲方事先书面同意外，乙方不得部分或全部转让其应履行的合同项下的义务。</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13.4本合同未尽事宜，遵照《中华人民共和国民法典》有关条文执行。</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十四、合同生效</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14.1 合同经双方法定代表人或授权委托代表人签字并加盖单位公章后生效。</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 本合同一式</w:t>
      </w:r>
      <w:r>
        <w:rPr>
          <w:rFonts w:hint="eastAsia" w:ascii="Times New Roman" w:hAnsi="Times New Roman"/>
          <w:color w:val="auto"/>
          <w:sz w:val="24"/>
          <w:szCs w:val="24"/>
          <w:highlight w:val="none"/>
        </w:rPr>
        <w:t xml:space="preserve">陆</w:t>
      </w:r>
      <w:r>
        <w:rPr>
          <w:rFonts w:ascii="Times New Roman" w:hAnsi="Times New Roman"/>
          <w:color w:val="auto"/>
          <w:sz w:val="24"/>
          <w:szCs w:val="24"/>
          <w:highlight w:val="none"/>
        </w:rPr>
        <w:t xml:space="preserve">份</w:t>
      </w:r>
      <w:r>
        <w:rPr>
          <w:rFonts w:hint="eastAsia" w:ascii="Times New Roman" w:hAnsi="Times New Roman"/>
          <w:color w:val="auto"/>
          <w:sz w:val="24"/>
          <w:szCs w:val="24"/>
          <w:highlight w:val="none"/>
        </w:rPr>
        <w:t xml:space="preserve">，甲乙双方各执叁份，具有同等法律效力。</w:t>
      </w:r>
      <w:r/>
    </w:p>
    <w:p>
      <w:pPr>
        <w:ind w:left="480" w:hanging="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left="480" w:hanging="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甲方：</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乙方：</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地址：</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地址：</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法定代表人或授权代表：</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法定代表人或授权代表：</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联系电话：</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签订日期：年月日</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签订日期：年月日</w:t>
      </w:r>
      <w:r/>
    </w:p>
    <w:p>
      <w:pPr>
        <w:pStyle w:val="987"/>
        <w:spacing w:line="400" w:lineRule="exact"/>
        <w:rPr>
          <w:rFonts w:ascii="Times New Roman" w:hAnsi="Times New Roman"/>
          <w:color w:val="auto"/>
          <w:highlight w:val="none"/>
        </w:rPr>
      </w:pPr>
      <w:r>
        <w:rPr>
          <w:rFonts w:ascii="Times New Roman" w:hAnsi="Times New Roman"/>
          <w:color w:val="auto"/>
          <w:highlight w:val="none"/>
        </w:rPr>
        <w:br w:type="page" w:clear="all"/>
      </w:r>
      <w:bookmarkEnd w:id="166"/>
      <w:r/>
      <w:bookmarkEnd w:id="167"/>
      <w:r/>
      <w:bookmarkEnd w:id="168"/>
      <w:r/>
      <w:r/>
    </w:p>
    <w:p>
      <w:pPr>
        <w:ind w:firstLine="723"/>
        <w:jc w:val="center"/>
        <w:keepNext/>
        <w:spacing w:line="400" w:lineRule="exact"/>
        <w:rPr>
          <w:rFonts w:ascii="Times New Roman" w:hAnsi="Times New Roman"/>
          <w:b/>
          <w:bCs/>
          <w:color w:val="auto"/>
          <w:sz w:val="36"/>
          <w:szCs w:val="36"/>
          <w:highlight w:val="none"/>
        </w:rPr>
        <w:outlineLvl w:val="0"/>
      </w:pPr>
      <w:r/>
      <w:bookmarkStart w:id="169" w:name="_Hlt16619350"/>
      <w:r/>
      <w:bookmarkStart w:id="170" w:name="_Toc120614244"/>
      <w:r/>
      <w:bookmarkStart w:id="171" w:name="_Toc16938590"/>
      <w:r/>
      <w:bookmarkStart w:id="172" w:name="_Toc20823346"/>
      <w:r/>
      <w:bookmarkStart w:id="173" w:name="_Toc462564139"/>
      <w:r/>
      <w:bookmarkStart w:id="174" w:name="_Toc479757211"/>
      <w:r>
        <w:rPr>
          <w:rFonts w:ascii="Times New Roman" w:hAnsi="Times New Roman"/>
          <w:b/>
          <w:bCs/>
          <w:color w:val="auto"/>
          <w:sz w:val="36"/>
          <w:szCs w:val="36"/>
          <w:highlight w:val="none"/>
        </w:rPr>
        <w:t xml:space="preserve">第</w:t>
      </w:r>
      <w:bookmarkEnd w:id="169"/>
      <w:r>
        <w:rPr>
          <w:rFonts w:ascii="Times New Roman" w:hAnsi="Times New Roman"/>
          <w:b/>
          <w:bCs/>
          <w:color w:val="auto"/>
          <w:sz w:val="36"/>
          <w:szCs w:val="36"/>
          <w:highlight w:val="none"/>
        </w:rPr>
        <w:t xml:space="preserve">四章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采购需求</w:t>
      </w:r>
      <w:bookmarkEnd w:id="170"/>
      <w:r/>
      <w:bookmarkEnd w:id="171"/>
      <w:r/>
      <w:bookmarkEnd w:id="172"/>
      <w:r/>
      <w:bookmarkStart w:id="175" w:name="_Toc26554093"/>
      <w:r/>
      <w:bookmarkStart w:id="176" w:name="_Toc49090575"/>
      <w:r/>
      <w:r/>
    </w:p>
    <w:p>
      <w:pPr>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供应商在制作响应文件时仔细研究采购需求说明。采购需求包括技术要求和商务要求:</w:t>
      </w:r>
      <w:r/>
    </w:p>
    <w:p>
      <w:pPr>
        <w:ind w:firstLine="480"/>
        <w:spacing w:line="400" w:lineRule="exact"/>
        <w:rPr>
          <w:rFonts w:hint="eastAsia" w:ascii="宋体" w:hAnsi="宋体"/>
          <w:b/>
          <w:i/>
          <w:iCs/>
          <w:color w:val="auto"/>
          <w:sz w:val="24"/>
          <w:szCs w:val="24"/>
          <w:highlight w:val="none"/>
          <w:u w:val="single"/>
        </w:rPr>
      </w:pPr>
      <w:r>
        <w:rPr>
          <w:rFonts w:hint="eastAsia" w:ascii="宋体" w:hAnsi="宋体"/>
          <w:bCs/>
          <w:color w:val="auto"/>
          <w:sz w:val="24"/>
          <w:szCs w:val="24"/>
          <w:highlight w:val="none"/>
        </w:rPr>
        <w:t xml:space="preserve">技术要求是指对采购标的功能和质量要求，包括性能、材料、结构、外观、安全，或者服务内容和标准等。</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商务要求是指取得采购标的的时间、地点、财务和服务要求，包括交付（实施）的时间（期限）和地点（范围），付款条件（进度和方法），包装和运输，售后服务，保险等。</w:t>
      </w:r>
      <w:r/>
    </w:p>
    <w:p>
      <w:pPr>
        <w:pStyle w:val="946"/>
        <w:spacing w:before="0" w:after="0" w:line="460" w:lineRule="exact"/>
        <w:tabs>
          <w:tab w:val="left" w:pos="1134" w:leader="none"/>
          <w:tab w:val="right" w:pos="7371"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项目概况</w:t>
      </w:r>
      <w:r/>
    </w:p>
    <w:p>
      <w:pPr>
        <w:pStyle w:val="1058"/>
        <w:ind w:left="0" w:firstLine="420"/>
        <w:rPr>
          <w:rFonts w:hint="eastAsia" w:eastAsia="宋体"/>
          <w:color w:val="auto"/>
          <w:highlight w:val="none"/>
          <w:lang w:eastAsia="zh-CN"/>
        </w:rPr>
      </w:pPr>
      <w:r>
        <w:rPr>
          <w:color w:val="auto"/>
          <w:sz w:val="24"/>
          <w:highlight w:val="none"/>
        </w:rPr>
        <w:t xml:space="preserve">为深入贯彻落实党中央、国务院关于开展农村乱占耕地建房问题整治的决策部署，根据《自然资源部农业农村部关于农村乱占耕地建房“八不准”的通知》（自然资发〔2020〕127号）《自然资源部办公厅关于开展非住宅类房屋信息补充摸排等工作的通知》（自然资办函〔2022〕1718号）、《自然资源部 农业农村部关于严格遵守“八不准”要求坚决遏制新增农村乱占耕地建房问题的通知》（自然资发〔2025〕10号）、</w:t>
      </w:r>
      <w:r>
        <w:rPr>
          <w:rFonts w:hint="eastAsia"/>
          <w:bCs/>
          <w:color w:val="auto"/>
          <w:sz w:val="24"/>
          <w:highlight w:val="none"/>
          <w:lang w:val="en-US"/>
        </w:rPr>
        <w:t xml:space="preserve">《江苏省自然资源厅办公室关于开展我省非住宅类房屋信息补充摸排工作的通知》（苏自然资办发〔2022〕157号）</w:t>
      </w:r>
      <w:r>
        <w:rPr>
          <w:color w:val="auto"/>
          <w:sz w:val="24"/>
          <w:highlight w:val="none"/>
        </w:rPr>
        <w:t xml:space="preserve">等文件要求，落实</w:t>
      </w:r>
      <w:r>
        <w:rPr>
          <w:rFonts w:hint="eastAsia"/>
          <w:color w:val="auto"/>
          <w:sz w:val="24"/>
          <w:highlight w:val="none"/>
          <w:lang w:eastAsia="zh-CN"/>
        </w:rPr>
        <w:t xml:space="preserve">县委县政府</w:t>
      </w:r>
      <w:r>
        <w:rPr>
          <w:color w:val="auto"/>
          <w:sz w:val="24"/>
          <w:highlight w:val="none"/>
        </w:rPr>
        <w:t xml:space="preserve">高质量发展战略部署，</w:t>
      </w:r>
      <w:r>
        <w:rPr>
          <w:rFonts w:hint="eastAsia"/>
          <w:color w:val="auto"/>
          <w:sz w:val="24"/>
          <w:highlight w:val="none"/>
          <w:lang w:eastAsia="zh-CN"/>
        </w:rPr>
        <w:t xml:space="preserve">如东县</w:t>
      </w:r>
      <w:r>
        <w:rPr>
          <w:rFonts w:hint="eastAsia"/>
          <w:color w:val="auto"/>
          <w:sz w:val="24"/>
          <w:highlight w:val="none"/>
          <w:lang w:val="en-US" w:eastAsia="zh-CN"/>
        </w:rPr>
        <w:t xml:space="preserve">计划</w:t>
      </w:r>
      <w:r>
        <w:rPr>
          <w:color w:val="auto"/>
          <w:sz w:val="24"/>
          <w:highlight w:val="none"/>
        </w:rPr>
        <w:t xml:space="preserve">开展非住宅类农村乱占耕地建房问题专项整治工作</w:t>
      </w:r>
      <w:r>
        <w:rPr>
          <w:rFonts w:hint="eastAsia"/>
          <w:color w:val="auto"/>
          <w:sz w:val="24"/>
          <w:highlight w:val="none"/>
          <w:lang w:eastAsia="zh-CN"/>
        </w:rPr>
        <w:t xml:space="preserve">。</w:t>
      </w:r>
      <w:r/>
    </w:p>
    <w:p>
      <w:pPr>
        <w:pStyle w:val="946"/>
        <w:spacing w:before="0" w:after="0" w:line="460" w:lineRule="exact"/>
        <w:tabs>
          <w:tab w:val="left" w:pos="1134" w:leader="none"/>
          <w:tab w:val="right" w:pos="7371"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en-US" w:eastAsia="zh-CN"/>
        </w:rPr>
        <w:t xml:space="preserve">工作内容</w:t>
      </w:r>
      <w:r/>
    </w:p>
    <w:p>
      <w:pPr>
        <w:ind w:left="178" w:right="178" w:firstLine="437"/>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本项目旨在为</w:t>
      </w:r>
      <w:r>
        <w:rPr>
          <w:rFonts w:hint="eastAsia" w:ascii="宋体" w:hAnsi="宋体" w:cs="宋体"/>
          <w:color w:val="auto"/>
          <w:sz w:val="24"/>
          <w:highlight w:val="none"/>
          <w:lang w:eastAsia="zh-CN"/>
        </w:rPr>
        <w:t xml:space="preserve">如东县</w:t>
      </w:r>
      <w:r>
        <w:rPr>
          <w:rFonts w:hint="eastAsia" w:ascii="宋体" w:hAnsi="宋体" w:cs="宋体"/>
          <w:color w:val="auto"/>
          <w:sz w:val="24"/>
          <w:highlight w:val="none"/>
        </w:rPr>
        <w:t xml:space="preserve">非住宅类农村乱占耕地建房问题专项整治工作提供全方位、全流程的技术支撑与服务，具体建设内容包括以下方面</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其中采购包一包含：以下序号1、2、9、10；采购包二包含：以下序号3、4、5、6、7、8、10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left="178" w:right="178" w:firstLine="43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1、资料收集。收集自然资源相关部门提供的业务数据、历史摸排台账、规划资料及相关政策文件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配合采购单位确定整改方案</w:t>
      </w:r>
      <w:r>
        <w:rPr>
          <w:rFonts w:hint="eastAsia" w:ascii="宋体" w:hAnsi="宋体" w:cs="宋体"/>
          <w:color w:val="auto"/>
          <w:sz w:val="24"/>
          <w:highlight w:val="none"/>
        </w:rPr>
        <w:t xml:space="preserve">。</w:t>
      </w:r>
      <w:r/>
    </w:p>
    <w:p>
      <w:pPr>
        <w:ind w:left="178" w:right="178" w:firstLine="43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2、内业数据分析。利用最新遥感影像、非住宅类</w:t>
      </w:r>
      <w:r>
        <w:rPr>
          <w:rFonts w:hint="eastAsia" w:ascii="宋体" w:hAnsi="宋体" w:cs="宋体"/>
          <w:color w:val="auto"/>
          <w:sz w:val="24"/>
          <w:highlight w:val="none"/>
          <w:lang w:val="en-US" w:eastAsia="zh-CN"/>
        </w:rPr>
        <w:t xml:space="preserve">乱占耕地</w:t>
      </w:r>
      <w:r>
        <w:rPr>
          <w:rFonts w:hint="eastAsia" w:ascii="宋体" w:hAnsi="宋体" w:cs="宋体"/>
          <w:color w:val="auto"/>
          <w:sz w:val="24"/>
          <w:highlight w:val="none"/>
        </w:rPr>
        <w:t xml:space="preserve">图斑</w:t>
      </w:r>
      <w:r>
        <w:rPr>
          <w:rFonts w:hint="eastAsia" w:ascii="宋体" w:hAnsi="宋体" w:cs="宋体"/>
          <w:color w:val="auto"/>
          <w:sz w:val="24"/>
          <w:highlight w:val="none"/>
          <w:lang w:val="en-US" w:eastAsia="zh-CN"/>
        </w:rPr>
        <w:t xml:space="preserve">数据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国土变更调查数据</w:t>
      </w:r>
      <w:r>
        <w:rPr>
          <w:rFonts w:hint="eastAsia" w:ascii="宋体" w:hAnsi="宋体" w:cs="宋体"/>
          <w:color w:val="auto"/>
          <w:sz w:val="24"/>
          <w:highlight w:val="none"/>
        </w:rPr>
        <w:t xml:space="preserve">、国土空间规划数据等，</w:t>
      </w:r>
      <w:r>
        <w:rPr>
          <w:rFonts w:hint="eastAsia" w:ascii="宋体" w:hAnsi="宋体" w:cs="宋体"/>
          <w:color w:val="auto"/>
          <w:sz w:val="24"/>
          <w:highlight w:val="none"/>
          <w:lang w:val="en-US" w:eastAsia="zh-CN"/>
        </w:rPr>
        <w:t xml:space="preserve">结合实际情况</w:t>
      </w:r>
      <w:r>
        <w:rPr>
          <w:rFonts w:hint="eastAsia" w:ascii="宋体" w:hAnsi="宋体" w:cs="宋体"/>
          <w:color w:val="auto"/>
          <w:sz w:val="24"/>
          <w:highlight w:val="none"/>
        </w:rPr>
        <w:t xml:space="preserve">逐图斑研判</w:t>
      </w:r>
      <w:r>
        <w:rPr>
          <w:rFonts w:hint="eastAsia" w:ascii="宋体" w:hAnsi="宋体" w:cs="宋体"/>
          <w:color w:val="auto"/>
          <w:sz w:val="24"/>
          <w:highlight w:val="none"/>
          <w:lang w:val="en-US" w:eastAsia="zh-CN"/>
        </w:rPr>
        <w:t xml:space="preserve">确认非住宅类乱占建房问题实际范围、核准用地信息及报批红线范围并上传系统通过审查。</w:t>
      </w:r>
      <w:r/>
    </w:p>
    <w:p>
      <w:pPr>
        <w:ind w:left="178" w:right="178" w:firstLine="437"/>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3、按照审查确认过后的红线范围分析地类，调查权属，形成最终满足上报的勘界报告。</w:t>
      </w:r>
      <w:r/>
    </w:p>
    <w:p>
      <w:pPr>
        <w:ind w:left="178" w:right="178" w:firstLine="437"/>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4、非住宅类乱占建房报建过程中，如涉及征地稳评，还需完成征地社会稳定风险评估报告的编制、组织评审，并取得稳评备案文件；</w:t>
      </w:r>
      <w:r/>
    </w:p>
    <w:p>
      <w:pPr>
        <w:ind w:left="178" w:right="178" w:firstLine="437"/>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5、非住宅类乱占建房报建过程中，如涉及林地专题，还需完成林地可行性研究报告（或使用林地现状调查表）的编制，并取得林业主管部门的批复；如涉及自然保护地、生态管控区等，按照要求</w:t>
      </w:r>
      <w:r>
        <w:rPr>
          <w:rFonts w:hint="eastAsia" w:ascii="宋体" w:hAnsi="宋体" w:eastAsia="宋体" w:cs="宋体"/>
          <w:color w:val="auto"/>
          <w:sz w:val="24"/>
          <w:szCs w:val="21"/>
          <w:highlight w:val="none"/>
          <w:lang w:val="en-US" w:eastAsia="zh-CN"/>
        </w:rPr>
        <w:t xml:space="preserve">完成相关批前准备工作</w:t>
      </w:r>
      <w:r>
        <w:rPr>
          <w:rFonts w:hint="eastAsia" w:ascii="宋体" w:hAnsi="宋体" w:cs="宋体"/>
          <w:color w:val="auto"/>
          <w:sz w:val="24"/>
          <w:highlight w:val="none"/>
          <w:lang w:val="en-US" w:eastAsia="zh-CN"/>
        </w:rPr>
        <w:t xml:space="preserve">。</w:t>
      </w:r>
      <w:r/>
    </w:p>
    <w:p>
      <w:pPr>
        <w:ind w:left="178" w:right="178" w:firstLine="437"/>
        <w:jc w:val="left"/>
        <w:keepLines w:val="0"/>
        <w:keepNext w:val="0"/>
        <w:spacing w:before="0" w:beforeAutospacing="0" w:after="0" w:afterAutospacing="0" w:line="360" w:lineRule="auto"/>
        <w:widowControl/>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6、非住宅类乱占建房报建过程中，</w:t>
      </w:r>
      <w:r>
        <w:rPr>
          <w:rFonts w:hint="eastAsia" w:ascii="宋体" w:hAnsi="宋体" w:cs="宋体"/>
          <w:color w:val="auto"/>
          <w:sz w:val="24"/>
          <w:highlight w:val="none"/>
          <w:lang w:val="en-US" w:eastAsia="zh-CN"/>
        </w:rPr>
        <w:t xml:space="preserve">按需</w:t>
      </w:r>
      <w:r>
        <w:rPr>
          <w:rFonts w:hint="eastAsia" w:ascii="宋体" w:hAnsi="宋体" w:cs="宋体"/>
          <w:color w:val="auto"/>
          <w:sz w:val="24"/>
          <w:highlight w:val="none"/>
          <w:lang w:val="en-US" w:eastAsia="zh-CN"/>
        </w:rPr>
        <w:t xml:space="preserve">完成项目所需的</w:t>
      </w:r>
      <w:r>
        <w:rPr>
          <w:rFonts w:hint="eastAsia" w:ascii="宋体" w:hAnsi="宋体" w:eastAsia="宋体" w:cs="宋体"/>
          <w:color w:val="auto"/>
          <w:sz w:val="24"/>
          <w:szCs w:val="21"/>
          <w:highlight w:val="none"/>
          <w:lang w:val="en-US" w:eastAsia="zh-CN" w:bidi="ar"/>
        </w:rPr>
        <w:t xml:space="preserve">增减挂钩实施方案</w:t>
      </w:r>
      <w:r>
        <w:rPr>
          <w:rFonts w:hint="eastAsia" w:ascii="宋体" w:hAnsi="宋体" w:cs="宋体"/>
          <w:color w:val="auto"/>
          <w:sz w:val="24"/>
          <w:szCs w:val="21"/>
          <w:highlight w:val="none"/>
          <w:lang w:val="en-US" w:eastAsia="zh-CN" w:bidi="ar"/>
        </w:rPr>
        <w:t xml:space="preserve">。</w:t>
      </w:r>
      <w:r>
        <w:rPr>
          <w:rFonts w:hint="eastAsia" w:ascii="宋体" w:hAnsi="宋体" w:eastAsia="宋体" w:cs="宋体"/>
          <w:color w:val="auto"/>
          <w:sz w:val="24"/>
          <w:szCs w:val="21"/>
          <w:highlight w:val="none"/>
          <w:lang w:val="en-US" w:eastAsia="zh-CN" w:bidi="ar"/>
        </w:rPr>
        <w:t xml:space="preserve">确定拆旧地块，现场实地踏勘</w:t>
      </w:r>
      <w:r>
        <w:rPr>
          <w:rFonts w:hint="eastAsia" w:ascii="宋体" w:hAnsi="宋体" w:cs="宋体"/>
          <w:color w:val="auto"/>
          <w:sz w:val="24"/>
          <w:szCs w:val="21"/>
          <w:highlight w:val="none"/>
          <w:lang w:val="en-US" w:eastAsia="zh-CN" w:bidi="ar"/>
        </w:rPr>
        <w:t xml:space="preserve">，</w:t>
      </w:r>
      <w:r>
        <w:rPr>
          <w:rFonts w:hint="eastAsia" w:ascii="宋体" w:hAnsi="宋体" w:eastAsia="宋体" w:cs="宋体"/>
          <w:color w:val="auto"/>
          <w:sz w:val="24"/>
          <w:szCs w:val="21"/>
          <w:highlight w:val="none"/>
          <w:lang w:val="en-US" w:eastAsia="zh-CN" w:bidi="ar"/>
        </w:rPr>
        <w:t xml:space="preserve">编制增减挂钩实施方案，主要包括专项规划实施情况、增减挂钩复垦项目的验收及使用情况、增减挂钩项目区实施方案、土地权属调整方案、资金保障方案、规划实施保障措施，实施规划成果录入“城乡建设用地增减挂钩在线监管系统”。</w:t>
      </w:r>
      <w:r/>
    </w:p>
    <w:p>
      <w:pPr>
        <w:numPr>
          <w:ilvl w:val="-1"/>
          <w:numId w:val="0"/>
        </w:numPr>
        <w:ind w:left="178" w:right="178" w:firstLine="437"/>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7、按照省、市级相关要求，系统形成建设用地报征所需材料，包括相关资料的收集与整理、请示、审查报告文件的草拟，以及“一方案三信息”电子报盘资料的制作等，并取得用地批复。</w:t>
      </w:r>
      <w:r/>
    </w:p>
    <w:p>
      <w:pPr>
        <w:numPr>
          <w:ilvl w:val="-1"/>
          <w:numId w:val="0"/>
        </w:numPr>
        <w:ind w:left="0" w:right="178"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8、提供建设用地报征组卷全过程技术服务，包括对报征数据及资料的技术审查、系统填报与录入、各环节对上跟踪审件情况，并根据要求及时完善和修改报征资料，直至最终取得征地批准文件。</w:t>
      </w:r>
      <w:r/>
    </w:p>
    <w:p>
      <w:pPr>
        <w:numPr>
          <w:ilvl w:val="0"/>
          <w:numId w:val="5"/>
        </w:numPr>
        <w:ind w:left="178" w:right="178" w:firstLine="437"/>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对照整改方案配合采购单位开展整改材料收集、准备完善和归档，并完成系统填报和审查跟踪工作，直至上级主管部门完成核查销号。</w:t>
      </w:r>
      <w:r/>
    </w:p>
    <w:p>
      <w:pPr>
        <w:pStyle w:val="964"/>
        <w:numPr>
          <w:ilvl w:val="-1"/>
          <w:numId w:val="0"/>
        </w:numPr>
        <w:ind w:left="0" w:firstLine="480"/>
        <w:rPr>
          <w:rFonts w:hint="eastAsia"/>
          <w:color w:val="auto"/>
          <w:highlight w:val="none"/>
          <w:lang w:val="en-US" w:eastAsia="zh-CN"/>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售后服务。项目最终验收通过后，提供为期</w:t>
      </w:r>
      <w:r>
        <w:rPr>
          <w:rFonts w:hint="eastAsia" w:ascii="宋体" w:hAnsi="宋体" w:cs="宋体"/>
          <w:color w:val="auto"/>
          <w:sz w:val="24"/>
          <w:highlight w:val="none"/>
          <w:u w:val="single"/>
          <w:lang w:val="en-US" w:eastAsia="zh-CN"/>
        </w:rPr>
        <w:t xml:space="preserve">12</w:t>
      </w:r>
      <w:r>
        <w:rPr>
          <w:rFonts w:hint="eastAsia" w:ascii="宋体" w:hAnsi="宋体" w:cs="宋体"/>
          <w:color w:val="auto"/>
          <w:sz w:val="24"/>
          <w:highlight w:val="none"/>
        </w:rPr>
        <w:t xml:space="preserve">个月的免费售后服务期。服务期内，负责对成果数据进行必要更新与修正，并提供相关技术咨询、培训支持，确保成果持续有效应用。售后服务所涉人工、差旅、材料等全部费用由供应商承担。</w:t>
      </w:r>
      <w:r/>
    </w:p>
    <w:p>
      <w:pPr>
        <w:pStyle w:val="946"/>
        <w:ind w:firstLine="482"/>
        <w:spacing w:before="0" w:after="0" w:line="460" w:lineRule="exact"/>
        <w:tabs>
          <w:tab w:val="left" w:pos="1134" w:leader="none"/>
          <w:tab w:val="right" w:pos="737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预期成果</w:t>
      </w:r>
      <w:r/>
    </w:p>
    <w:p>
      <w:pPr>
        <w:ind w:firstLine="480"/>
        <w:spacing w:line="360" w:lineRule="auto"/>
        <w:rPr>
          <w:rFonts w:hint="eastAsia" w:eastAsia="宋体"/>
          <w:bCs/>
          <w:color w:val="auto"/>
          <w:sz w:val="24"/>
          <w:highlight w:val="none"/>
          <w:lang w:val="en-US" w:eastAsia="zh-CN"/>
        </w:rPr>
      </w:pPr>
      <w:r>
        <w:rPr>
          <w:rFonts w:hint="eastAsia"/>
          <w:bCs/>
          <w:color w:val="auto"/>
          <w:sz w:val="24"/>
          <w:highlight w:val="none"/>
        </w:rPr>
        <w:t xml:space="preserve">本项目提交的全部技术成果，</w:t>
      </w:r>
      <w:r>
        <w:rPr>
          <w:rFonts w:hint="eastAsia"/>
          <w:bCs/>
          <w:color w:val="auto"/>
          <w:sz w:val="24"/>
          <w:highlight w:val="none"/>
          <w:lang w:val="en-US" w:eastAsia="zh-CN"/>
        </w:rPr>
        <w:t xml:space="preserve">应</w:t>
      </w:r>
      <w:r>
        <w:rPr>
          <w:rFonts w:hint="eastAsia"/>
          <w:bCs/>
          <w:color w:val="auto"/>
          <w:sz w:val="24"/>
          <w:highlight w:val="none"/>
        </w:rPr>
        <w:t xml:space="preserve">符合部、省自然资源管理部门的</w:t>
      </w:r>
      <w:r>
        <w:rPr>
          <w:rFonts w:hint="eastAsia"/>
          <w:bCs/>
          <w:color w:val="auto"/>
          <w:sz w:val="24"/>
          <w:highlight w:val="none"/>
          <w:lang w:val="en-US" w:eastAsia="zh-CN"/>
        </w:rPr>
        <w:t xml:space="preserve">工作</w:t>
      </w:r>
      <w:r>
        <w:rPr>
          <w:rFonts w:hint="eastAsia"/>
          <w:bCs/>
          <w:color w:val="auto"/>
          <w:sz w:val="24"/>
          <w:highlight w:val="none"/>
        </w:rPr>
        <w:t xml:space="preserve">要求</w:t>
      </w:r>
      <w:r>
        <w:rPr>
          <w:rFonts w:hint="eastAsia"/>
          <w:bCs/>
          <w:color w:val="auto"/>
          <w:sz w:val="24"/>
          <w:highlight w:val="none"/>
          <w:lang w:eastAsia="zh-CN"/>
        </w:rPr>
        <w:t xml:space="preserve">，</w:t>
      </w:r>
      <w:r>
        <w:rPr>
          <w:rFonts w:hint="eastAsia"/>
          <w:bCs/>
          <w:color w:val="auto"/>
          <w:sz w:val="24"/>
          <w:highlight w:val="none"/>
          <w:lang w:val="en-US" w:eastAsia="zh-CN"/>
        </w:rPr>
        <w:t xml:space="preserve">且</w:t>
      </w:r>
      <w:r>
        <w:rPr>
          <w:rFonts w:hint="eastAsia"/>
          <w:bCs/>
          <w:color w:val="auto"/>
          <w:sz w:val="24"/>
          <w:highlight w:val="none"/>
        </w:rPr>
        <w:t xml:space="preserve">必须能通过采购人组织的成果审核，并确保在规定时间内通过上级</w:t>
      </w:r>
      <w:r>
        <w:rPr>
          <w:rFonts w:hint="eastAsia"/>
          <w:bCs/>
          <w:color w:val="auto"/>
          <w:sz w:val="24"/>
          <w:highlight w:val="none"/>
          <w:lang w:val="en-US" w:eastAsia="zh-CN"/>
        </w:rPr>
        <w:t xml:space="preserve">主管部门</w:t>
      </w:r>
      <w:r>
        <w:rPr>
          <w:rFonts w:hint="eastAsia"/>
          <w:bCs/>
          <w:color w:val="auto"/>
          <w:sz w:val="24"/>
          <w:highlight w:val="none"/>
        </w:rPr>
        <w:t xml:space="preserve">的</w:t>
      </w:r>
      <w:r>
        <w:rPr>
          <w:rFonts w:hint="eastAsia"/>
          <w:bCs/>
          <w:color w:val="auto"/>
          <w:sz w:val="24"/>
          <w:highlight w:val="none"/>
          <w:lang w:val="en-US" w:eastAsia="zh-CN"/>
        </w:rPr>
        <w:t xml:space="preserve">最终核查并确认销号</w:t>
      </w:r>
      <w:r>
        <w:rPr>
          <w:bCs/>
          <w:color w:val="auto"/>
          <w:sz w:val="24"/>
          <w:highlight w:val="none"/>
        </w:rPr>
        <w:t xml:space="preserve">。</w:t>
      </w:r>
      <w:r/>
    </w:p>
    <w:p>
      <w:pPr>
        <w:ind w:firstLine="480"/>
        <w:spacing w:before="0"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服务期</w:t>
      </w:r>
      <w:r/>
    </w:p>
    <w:p>
      <w:pPr>
        <w:ind w:firstLine="480"/>
        <w:spacing w:line="360" w:lineRule="auto"/>
        <w:rPr>
          <w:rFonts w:hint="eastAsia"/>
          <w:bCs/>
          <w:color w:val="auto"/>
          <w:sz w:val="24"/>
          <w:highlight w:val="none"/>
        </w:rPr>
      </w:pPr>
      <w:r>
        <w:rPr>
          <w:rFonts w:hint="eastAsia"/>
          <w:bCs/>
          <w:color w:val="auto"/>
          <w:sz w:val="24"/>
          <w:highlight w:val="none"/>
          <w:lang w:val="en-US" w:eastAsia="zh-CN"/>
        </w:rPr>
        <w:t xml:space="preserve">项目服务期从合同签订之日起至2027年7月31日，项目实施期间，如遇上级主管部门要求分批提交项目成果，中标供应商应予以配合</w:t>
      </w:r>
      <w:r>
        <w:rPr>
          <w:rFonts w:hint="eastAsia"/>
          <w:bCs/>
          <w:color w:val="auto"/>
          <w:sz w:val="24"/>
          <w:highlight w:val="none"/>
        </w:rPr>
        <w:t xml:space="preserve">。</w:t>
      </w:r>
      <w:r/>
    </w:p>
    <w:p>
      <w:pPr>
        <w:ind w:firstLine="241"/>
        <w:spacing w:line="560" w:lineRule="exact"/>
        <w:rPr>
          <w:rFonts w:hint="eastAsia"/>
          <w:b/>
          <w:bCs/>
          <w:color w:val="auto"/>
          <w:sz w:val="24"/>
          <w:szCs w:val="24"/>
          <w:highlight w:val="none"/>
        </w:rPr>
      </w:pPr>
      <w:r>
        <w:rPr>
          <w:rFonts w:hint="eastAsia"/>
          <w:b/>
          <w:bCs/>
          <w:color w:val="auto"/>
          <w:sz w:val="24"/>
          <w:szCs w:val="24"/>
          <w:highlight w:val="none"/>
          <w:lang w:val="en-US" w:eastAsia="zh-CN"/>
        </w:rPr>
        <w:t xml:space="preserve">五</w:t>
      </w:r>
      <w:r>
        <w:rPr>
          <w:rFonts w:hint="eastAsia"/>
          <w:b/>
          <w:bCs/>
          <w:color w:val="auto"/>
          <w:sz w:val="24"/>
          <w:szCs w:val="24"/>
          <w:highlight w:val="none"/>
        </w:rPr>
        <w:t xml:space="preserve">、付款方式</w:t>
      </w:r>
      <w:r/>
    </w:p>
    <w:p>
      <w:pPr>
        <w:ind w:firstLine="723"/>
        <w:spacing w:line="300" w:lineRule="auto"/>
        <w:tabs>
          <w:tab w:val="left" w:pos="5325" w:leader="none"/>
        </w:tabs>
        <w:rPr>
          <w:rFonts w:hint="eastAsia"/>
          <w:b/>
          <w:color w:val="auto"/>
          <w:sz w:val="24"/>
          <w:szCs w:val="24"/>
          <w:highlight w:val="none"/>
        </w:rPr>
      </w:pPr>
      <w:r>
        <w:rPr>
          <w:rFonts w:hint="eastAsia"/>
          <w:b/>
          <w:color w:val="auto"/>
          <w:sz w:val="24"/>
          <w:szCs w:val="24"/>
          <w:highlight w:val="none"/>
        </w:rPr>
        <w:t xml:space="preserve">1、分期付款：</w:t>
      </w:r>
      <w:r/>
    </w:p>
    <w:p>
      <w:pPr>
        <w:ind w:firstLine="720"/>
        <w:spacing w:line="560" w:lineRule="exact"/>
        <w:rPr>
          <w:rFonts w:hint="eastAsia"/>
          <w:color w:val="auto"/>
          <w:sz w:val="24"/>
          <w:szCs w:val="24"/>
          <w:highlight w:val="none"/>
        </w:rPr>
      </w:pPr>
      <w:r>
        <w:rPr>
          <w:rFonts w:hint="eastAsia"/>
          <w:color w:val="auto"/>
          <w:sz w:val="24"/>
          <w:szCs w:val="24"/>
          <w:highlight w:val="none"/>
          <w:lang w:val="en-US" w:eastAsia="zh-CN"/>
        </w:rPr>
        <w:t xml:space="preserve">合同签订后30天内</w:t>
      </w:r>
      <w:r>
        <w:rPr>
          <w:rFonts w:hint="eastAsia"/>
          <w:color w:val="auto"/>
          <w:sz w:val="24"/>
          <w:szCs w:val="24"/>
          <w:highlight w:val="none"/>
        </w:rPr>
        <w:t xml:space="preserve">，</w:t>
      </w:r>
      <w:r>
        <w:rPr>
          <w:rFonts w:hint="eastAsia"/>
          <w:color w:val="auto"/>
          <w:sz w:val="24"/>
          <w:szCs w:val="24"/>
          <w:highlight w:val="none"/>
          <w:lang w:val="en-US" w:eastAsia="zh-CN"/>
        </w:rPr>
        <w:t xml:space="preserve">采购人支付</w:t>
      </w:r>
      <w:r>
        <w:rPr>
          <w:rFonts w:hint="eastAsia"/>
          <w:bCs/>
          <w:color w:val="auto"/>
          <w:sz w:val="24"/>
          <w:highlight w:val="none"/>
          <w:lang w:val="en-US" w:eastAsia="zh-CN"/>
        </w:rPr>
        <w:t xml:space="preserve">中标供应商</w:t>
      </w:r>
      <w:r>
        <w:rPr>
          <w:rFonts w:hint="eastAsia"/>
          <w:color w:val="auto"/>
          <w:sz w:val="24"/>
          <w:szCs w:val="24"/>
          <w:highlight w:val="none"/>
        </w:rPr>
        <w:t xml:space="preserve">第一次付款金额为本项目合同总价的</w:t>
      </w:r>
      <w:r>
        <w:rPr>
          <w:rFonts w:hint="eastAsia"/>
          <w:color w:val="auto"/>
          <w:sz w:val="24"/>
          <w:szCs w:val="24"/>
          <w:highlight w:val="none"/>
          <w:lang w:val="en-US" w:eastAsia="zh-CN"/>
        </w:rPr>
        <w:t xml:space="preserve">3</w:t>
      </w:r>
      <w:r>
        <w:rPr>
          <w:rFonts w:hint="eastAsia"/>
          <w:color w:val="auto"/>
          <w:sz w:val="24"/>
          <w:szCs w:val="24"/>
          <w:highlight w:val="none"/>
        </w:rPr>
        <w:t xml:space="preserve">0％，余款待本项目</w:t>
      </w:r>
      <w:r>
        <w:rPr>
          <w:rFonts w:hint="eastAsia"/>
          <w:color w:val="auto"/>
          <w:sz w:val="24"/>
          <w:szCs w:val="24"/>
          <w:highlight w:val="none"/>
          <w:lang w:val="en-US" w:eastAsia="zh-CN"/>
        </w:rPr>
        <w:t xml:space="preserve">通过验收后</w:t>
      </w:r>
      <w:r>
        <w:rPr>
          <w:rFonts w:hint="eastAsia"/>
          <w:color w:val="auto"/>
          <w:sz w:val="24"/>
          <w:szCs w:val="24"/>
          <w:highlight w:val="none"/>
        </w:rPr>
        <w:t xml:space="preserve">一个月后结清。</w:t>
      </w:r>
      <w:r/>
    </w:p>
    <w:p>
      <w:pPr>
        <w:ind w:firstLine="720"/>
        <w:spacing w:line="560" w:lineRule="exact"/>
        <w:rPr>
          <w:rFonts w:hint="eastAsia"/>
          <w:color w:val="auto"/>
          <w:sz w:val="24"/>
          <w:szCs w:val="24"/>
          <w:highlight w:val="none"/>
        </w:rPr>
      </w:pPr>
      <w:r>
        <w:rPr>
          <w:rFonts w:hint="eastAsia"/>
          <w:color w:val="auto"/>
          <w:sz w:val="24"/>
          <w:szCs w:val="24"/>
          <w:highlight w:val="none"/>
        </w:rPr>
        <w:t xml:space="preserve">2、中标供应商凭经采购合同及正式发票按规定进行资金结算。</w:t>
      </w:r>
      <w:r/>
    </w:p>
    <w:p>
      <w:pPr>
        <w:ind w:firstLine="241"/>
        <w:keepLines w:val="0"/>
        <w:keepNext w:val="0"/>
        <w:pageBreakBefore w:val="0"/>
        <w:spacing w:line="500" w:lineRule="exact"/>
        <w:widowControl w:val="off"/>
        <w:rPr>
          <w:rFonts w:hint="eastAsia" w:ascii="宋体" w:hAnsi="宋体" w:eastAsia="宋体" w:cs="宋体"/>
          <w:b/>
          <w:color w:val="auto"/>
          <w:sz w:val="24"/>
          <w:szCs w:val="24"/>
          <w:highlight w:val="none"/>
          <w:lang w:val="zh-CN"/>
        </w:rPr>
      </w:pPr>
      <w:r>
        <w:rPr>
          <w:rFonts w:hint="eastAsia"/>
          <w:b/>
          <w:bCs/>
          <w:color w:val="auto"/>
          <w:sz w:val="24"/>
          <w:szCs w:val="24"/>
          <w:highlight w:val="none"/>
          <w:lang w:val="en-US" w:eastAsia="zh-CN"/>
        </w:rPr>
        <w:t xml:space="preserve">六、</w:t>
      </w:r>
      <w:r>
        <w:rPr>
          <w:rFonts w:hint="eastAsia" w:ascii="宋体" w:hAnsi="宋体" w:eastAsia="宋体" w:cs="宋体"/>
          <w:b/>
          <w:color w:val="auto"/>
          <w:sz w:val="24"/>
          <w:szCs w:val="24"/>
          <w:highlight w:val="none"/>
          <w:lang w:val="zh-CN"/>
        </w:rPr>
        <w:t xml:space="preserve">履约保证金</w:t>
      </w:r>
      <w:r/>
    </w:p>
    <w:p>
      <w:pPr>
        <w:ind w:firstLine="480"/>
        <w:keepLines w:val="0"/>
        <w:keepNext w:val="0"/>
        <w:pageBreakBefore w:val="0"/>
        <w:spacing w:line="44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本项目免收履约保证金。</w:t>
      </w:r>
      <w:r/>
    </w:p>
    <w:p>
      <w:pPr>
        <w:ind w:firstLine="241"/>
        <w:keepLines w:val="0"/>
        <w:keepNext w:val="0"/>
        <w:pageBreakBefore w:val="0"/>
        <w:spacing w:line="440" w:lineRule="exact"/>
        <w:widowControl w:val="off"/>
        <w:rPr>
          <w:rFonts w:hint="eastAsia"/>
          <w:b/>
          <w:bCs/>
          <w:color w:val="auto"/>
          <w:sz w:val="24"/>
          <w:szCs w:val="24"/>
          <w:highlight w:val="none"/>
        </w:rPr>
      </w:pPr>
      <w:r>
        <w:rPr>
          <w:rFonts w:hint="eastAsia"/>
          <w:b/>
          <w:bCs/>
          <w:color w:val="auto"/>
          <w:sz w:val="24"/>
          <w:szCs w:val="24"/>
          <w:highlight w:val="none"/>
          <w:lang w:val="en-US" w:eastAsia="zh-CN"/>
        </w:rPr>
        <w:t xml:space="preserve">七</w:t>
      </w:r>
      <w:r>
        <w:rPr>
          <w:rFonts w:hint="eastAsia"/>
          <w:b/>
          <w:bCs/>
          <w:color w:val="auto"/>
          <w:sz w:val="24"/>
          <w:szCs w:val="24"/>
          <w:highlight w:val="none"/>
        </w:rPr>
        <w:t xml:space="preserve">、约定事项</w:t>
      </w:r>
      <w:r/>
    </w:p>
    <w:p>
      <w:pPr>
        <w:ind w:firstLine="480"/>
        <w:keepLines w:val="0"/>
        <w:keepNext w:val="0"/>
        <w:pageBreakBefore w:val="0"/>
        <w:spacing w:line="440" w:lineRule="exact"/>
        <w:widowControl w:val="off"/>
        <w:rPr>
          <w:rFonts w:ascii="宋体" w:hAnsi="宋体" w:cs="宋体"/>
          <w:color w:val="auto"/>
          <w:sz w:val="24"/>
          <w:szCs w:val="24"/>
          <w:highlight w:val="none"/>
        </w:rPr>
      </w:pPr>
      <w:r>
        <w:rPr>
          <w:rFonts w:hint="eastAsia"/>
          <w:color w:val="auto"/>
          <w:sz w:val="24"/>
          <w:szCs w:val="24"/>
          <w:highlight w:val="none"/>
        </w:rPr>
        <w:t xml:space="preserve">1、</w:t>
      </w:r>
      <w:r>
        <w:rPr>
          <w:rFonts w:hint="eastAsia" w:ascii="宋体" w:hAnsi="宋体" w:cs="宋体"/>
          <w:color w:val="auto"/>
          <w:sz w:val="24"/>
          <w:szCs w:val="24"/>
          <w:highlight w:val="none"/>
        </w:rPr>
        <w:t xml:space="preserve">本项目实施人员必须是投标文件中提供的人员，中标供应商不得以任何原因和方式将合同转包、分包或雇用其他作业人员进行生产。一经发现有上述情况的，将按违约处理，采购人有权拒付合同额。</w:t>
      </w:r>
      <w:r/>
    </w:p>
    <w:p>
      <w:pPr>
        <w:ind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color w:val="auto"/>
          <w:sz w:val="24"/>
          <w:szCs w:val="24"/>
          <w:highlight w:val="none"/>
        </w:rPr>
        <w:t xml:space="preserve">2、</w:t>
      </w:r>
      <w:r>
        <w:rPr>
          <w:rFonts w:hint="eastAsia" w:ascii="宋体" w:hAnsi="宋体" w:cs="宋体"/>
          <w:color w:val="auto"/>
          <w:sz w:val="24"/>
          <w:szCs w:val="24"/>
          <w:highlight w:val="none"/>
        </w:rPr>
        <w:t xml:space="preserve">采购人向中标供应商提供的全部资料及中标供应商生产的全部成果资料（包括中间资料）其版权归采购人所有，中标供应商不得自留使用或以任何方式转让或提供给第三方使用。</w:t>
      </w:r>
      <w:r/>
    </w:p>
    <w:p>
      <w:pPr>
        <w:pStyle w:val="1066"/>
        <w:keepLines w:val="0"/>
        <w:keepNext w:val="0"/>
        <w:pageBreakBefore w:val="0"/>
        <w:spacing w:before="0"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3、本项目最终成果的检查验收由采购人组织，其经费由中标供应商承担。</w:t>
      </w:r>
      <w:r/>
    </w:p>
    <w:p>
      <w:pPr>
        <w:pStyle w:val="1066"/>
        <w:keepLines w:val="0"/>
        <w:keepNext w:val="0"/>
        <w:pageBreakBefore w:val="0"/>
        <w:spacing w:before="0" w:after="0"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4、由于中标方责任造成的项目违约，由中标供应商向</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人支付合同最高金额的</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作为违约金。  </w:t>
      </w:r>
      <w:r/>
    </w:p>
    <w:p>
      <w:pPr>
        <w:ind w:firstLine="480"/>
        <w:keepLines w:val="0"/>
        <w:keepNext w:val="0"/>
        <w:pageBreakBefore w:val="0"/>
        <w:spacing w:line="440" w:lineRule="exact"/>
        <w:widowControl w:val="off"/>
        <w:rPr>
          <w:rFonts w:hint="eastAsia"/>
          <w:color w:val="auto"/>
          <w:sz w:val="24"/>
          <w:szCs w:val="24"/>
          <w:highlight w:val="none"/>
        </w:rPr>
      </w:pPr>
      <w:r>
        <w:rPr>
          <w:rFonts w:hint="eastAsia"/>
          <w:color w:val="auto"/>
          <w:sz w:val="24"/>
          <w:szCs w:val="24"/>
          <w:highlight w:val="none"/>
        </w:rPr>
        <w:t xml:space="preserve">5、投标人的投标报价，在合同实施期间，中标价不随国家政策或法规、标准及任何市场因素的变化而进行调整。</w:t>
      </w:r>
      <w:r/>
    </w:p>
    <w:p>
      <w:pPr>
        <w:ind w:firstLine="480"/>
        <w:keepLines w:val="0"/>
        <w:keepNext w:val="0"/>
        <w:pageBreakBefore w:val="0"/>
        <w:spacing w:line="440" w:lineRule="exact"/>
        <w:widowControl w:val="off"/>
        <w:rPr>
          <w:rFonts w:hint="eastAsia" w:ascii="宋体" w:hAnsi="宋体" w:eastAsia="宋体" w:cs="Arial"/>
          <w:color w:val="auto"/>
          <w:highlight w:val="none"/>
        </w:rPr>
      </w:pPr>
      <w:r>
        <w:rPr>
          <w:rFonts w:hint="eastAsia"/>
          <w:color w:val="auto"/>
          <w:sz w:val="24"/>
          <w:szCs w:val="24"/>
          <w:highlight w:val="none"/>
        </w:rPr>
        <w:t xml:space="preserve">6、中标供应商在履行合同过程中，一切事故其责任由中标供应商承担，采购人不承担任何责任。</w:t>
      </w:r>
      <w:r/>
    </w:p>
    <w:p>
      <w:pPr>
        <w:spacing w:line="400" w:lineRule="exact"/>
        <w:rPr>
          <w:rFonts w:ascii="Times New Roman" w:hAnsi="Times New Roman"/>
          <w:color w:val="auto"/>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rPr>
        <w:br w:type="page" w:clear="all"/>
      </w:r>
      <w:r/>
    </w:p>
    <w:p>
      <w:pPr>
        <w:ind w:firstLine="2530"/>
        <w:keepNext/>
        <w:spacing w:line="400" w:lineRule="exact"/>
        <w:rPr>
          <w:rFonts w:ascii="Times New Roman" w:hAnsi="Times New Roman"/>
          <w:color w:val="auto"/>
          <w:szCs w:val="21"/>
          <w:highlight w:val="none"/>
        </w:rPr>
        <w:outlineLvl w:val="0"/>
      </w:pPr>
      <w:r/>
      <w:bookmarkStart w:id="177" w:name="_Toc120614281"/>
      <w:r>
        <w:rPr>
          <w:rFonts w:ascii="Times New Roman" w:hAnsi="Times New Roman"/>
          <w:b/>
          <w:bCs/>
          <w:color w:val="auto"/>
          <w:sz w:val="36"/>
          <w:szCs w:val="36"/>
          <w:highlight w:val="none"/>
        </w:rPr>
        <w:t xml:space="preserve">第五章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评审方法与评审标准</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一、评审方法：</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采用综合评分法，经磋商确定最终采购需求和提交最后报价的供应商后，由磋商小组采用综合评分法对提交最后报价的供应商的响应文件和最后报价进行综合评分。</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二、政府采购政策功能落实</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1、小微型企业价格扣除</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（1）本项目对小型和微型企业产品/本项目对小型和微型企业提供的服务给予10%的扣除价格，用扣除后的价格参与评审。</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（2）供应商需按照《政府采购促进中小企业发展管理办法》（财库﹝2020﹞46 号）的规定提供相应的《中小企业声明函》。</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（3）企业标准请参照《关于印发中小企业划型标准规定的通知》（工信部联企业[2011]300号）文件规定自行填写。</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2、残疾人福利单位价格扣除</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（1）本项目对残疾人福利性单位视同小型、微型企业，给予10%的价格扣除，用扣除后的价格参与评审。</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（2）残疾人福利单位需按照采购文件的要求提供《残疾人福利性单位声明函》。</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（3）残疾人福利单位标准请参照《关于促进残疾人就业政府采购政策的通知》（财库〔2017〕141号）。</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3、监狱和戒毒企业价格扣除</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（1）本项目对监狱和戒毒企业（简称监狱企业）视同小型、微型企业，给予10%的价格扣除，用扣除后的价格参与评审。</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（3）监狱企业标准请参照《关于政府采购支持监狱企业发展有关问题的通知》（财库[2014]68号）。</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4、残疾人福利单位、监狱企业属于小型、微型企业的，不重复享受政策。</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%的扣除，用扣除后的价格参与评审。</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6、联合体各方均为小型、微型企业（残疾人福利单位、监狱企业）的，联合体享受上述同类价格扣除，用扣除后的价格参与评审。</w:t>
      </w:r>
      <w:r/>
    </w:p>
    <w:p>
      <w:pPr>
        <w:pStyle w:val="98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7、专门面向中小企业采购的项目或者采购包，不再执行价格评审优惠的扶持政策。</w:t>
      </w:r>
      <w:r/>
    </w:p>
    <w:p>
      <w:pPr>
        <w:pStyle w:val="987"/>
        <w:ind w:firstLine="482"/>
        <w:spacing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8、采购本国产品的支持政策</w:t>
      </w:r>
      <w:r/>
    </w:p>
    <w:p>
      <w:pPr>
        <w:pStyle w:val="987"/>
        <w:ind w:firstLine="482"/>
        <w:spacing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987"/>
        <w:ind w:firstLine="482"/>
        <w:spacing w:line="400" w:lineRule="exact"/>
        <w:rPr>
          <w:rFonts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7"/>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三、评审方法与评审标准</w:t>
      </w:r>
      <w:r/>
    </w:p>
    <w:p>
      <w:pPr>
        <w:pStyle w:val="987"/>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本项目采用综合评分法，磋商小组将按下列评审方法与评审标准进行评分，总分值为100分。</w:t>
      </w:r>
      <w:r/>
    </w:p>
    <w:p>
      <w:pPr>
        <w:ind w:left="241"/>
        <w:spacing w:line="4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（一）商务技术</w:t>
      </w:r>
      <w:r>
        <w:rPr>
          <w:rFonts w:hint="eastAsia" w:ascii="宋体" w:hAnsi="宋体" w:cs="宋体"/>
          <w:b/>
          <w:bCs/>
          <w:color w:val="auto"/>
          <w:sz w:val="28"/>
          <w:szCs w:val="28"/>
          <w:highlight w:val="none"/>
        </w:rPr>
        <w:t xml:space="preserve">分（85分）</w:t>
      </w:r>
      <w:r/>
    </w:p>
    <w:p>
      <w:pPr>
        <w:ind w:firstLine="241"/>
        <w:jc w:val="left"/>
        <w:spacing w:line="400" w:lineRule="exact"/>
        <w:widowControl/>
        <w:rPr>
          <w:rFonts w:hint="eastAsia" w:ascii="宋体" w:hAnsi="宋体" w:cs="宋体"/>
          <w:b/>
          <w:bCs/>
          <w:color w:val="auto"/>
          <w:sz w:val="32"/>
          <w:szCs w:val="32"/>
          <w:highlight w:val="none"/>
          <w:lang w:val="en-US" w:eastAsia="zh-CN"/>
        </w:rPr>
      </w:pPr>
      <w:r>
        <w:rPr>
          <w:rFonts w:hint="eastAsia" w:ascii="宋体" w:hAnsi="宋体" w:cs="宋体"/>
          <w:b/>
          <w:color w:val="auto"/>
          <w:sz w:val="24"/>
          <w:szCs w:val="24"/>
          <w:highlight w:val="none"/>
        </w:rPr>
        <w:t xml:space="preserve">商务技术分是所有评委评分的算术平均值，分值保留小数点后两位。</w:t>
      </w:r>
      <w:r/>
    </w:p>
    <w:p>
      <w:pPr>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采购包一：</w:t>
      </w:r>
      <w:r/>
    </w:p>
    <w:tbl>
      <w:tblPr>
        <w:tblStyle w:val="988"/>
        <w:tblW w:w="9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127"/>
        <w:gridCol w:w="7054"/>
      </w:tblGrid>
      <w:tr>
        <w:trPr>
          <w:jc w:val="center"/>
          <w:trHeight w:val="615"/>
        </w:trPr>
        <w:tc>
          <w:tcPr>
            <w:gridSpan w:val="2"/>
            <w:tcW w:w="2063" w:type="dxa"/>
            <w:vAlign w:val="center"/>
            <w:textDirection w:val="lrTb"/>
            <w:noWrap w:val="false"/>
          </w:tcPr>
          <w:p>
            <w:pPr>
              <w:ind w:firstLine="0"/>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7054" w:type="dxa"/>
            <w:vAlign w:val="center"/>
            <w:textDirection w:val="lrTb"/>
            <w:noWrap w:val="false"/>
          </w:tcPr>
          <w:p>
            <w:pPr>
              <w:ind w:firstLine="2891"/>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jc w:val="center"/>
        </w:trPr>
        <w:tc>
          <w:tcPr>
            <w:tcW w:w="936" w:type="dxa"/>
            <w:vAlign w:val="center"/>
            <w:vMerge w:val="restart"/>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企业综合实力（</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c>
          <w:tcPr>
            <w:tcW w:w="1127" w:type="dxa"/>
            <w:vAlign w:val="center"/>
            <w:textDirection w:val="lrTb"/>
            <w:noWrap w:val="false"/>
          </w:tcPr>
          <w:p>
            <w:pPr>
              <w:ind w:firstLine="24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7054"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2023年1月1日</w:t>
            </w:r>
            <w:r>
              <w:rPr>
                <w:rFonts w:hint="eastAsia" w:ascii="宋体" w:hAnsi="宋体" w:eastAsia="宋体" w:cs="宋体"/>
                <w:color w:val="auto"/>
                <w:sz w:val="24"/>
                <w:szCs w:val="24"/>
                <w:highlight w:val="none"/>
                <w:lang w:val="en-US" w:eastAsia="zh-CN"/>
              </w:rPr>
              <w:t xml:space="preserve">以来</w:t>
            </w:r>
            <w:r>
              <w:rPr>
                <w:rFonts w:hint="eastAsia" w:ascii="宋体" w:hAnsi="宋体" w:eastAsia="宋体" w:cs="宋体"/>
                <w:color w:val="auto"/>
                <w:sz w:val="24"/>
                <w:szCs w:val="24"/>
                <w:highlight w:val="none"/>
              </w:rPr>
              <w:t xml:space="preserve">（以合同签订时间为准）供应商承担过</w:t>
            </w:r>
            <w:r>
              <w:rPr>
                <w:rFonts w:hint="eastAsia" w:ascii="宋体" w:hAnsi="宋体" w:eastAsia="宋体" w:cs="宋体"/>
                <w:color w:val="auto"/>
                <w:sz w:val="24"/>
                <w:szCs w:val="24"/>
                <w:highlight w:val="none"/>
              </w:rPr>
              <w:t xml:space="preserve">自然资源重点执法检查项目的，每有1个的2分，本项最多得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没有不得分；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2023年1月1日</w:t>
            </w:r>
            <w:r>
              <w:rPr>
                <w:rFonts w:hint="eastAsia" w:ascii="宋体" w:hAnsi="宋体" w:eastAsia="宋体" w:cs="宋体"/>
                <w:color w:val="auto"/>
                <w:sz w:val="24"/>
                <w:szCs w:val="24"/>
                <w:highlight w:val="none"/>
                <w:lang w:val="en-US" w:eastAsia="zh-CN"/>
              </w:rPr>
              <w:t xml:space="preserve">以来</w:t>
            </w:r>
            <w:r>
              <w:rPr>
                <w:rFonts w:hint="eastAsia" w:ascii="宋体" w:hAnsi="宋体" w:eastAsia="宋体" w:cs="宋体"/>
                <w:color w:val="auto"/>
                <w:sz w:val="24"/>
                <w:szCs w:val="24"/>
                <w:highlight w:val="none"/>
              </w:rPr>
              <w:t xml:space="preserve">（以合同签订时间为准）供应商承担过国土变更调查</w:t>
            </w:r>
            <w:r>
              <w:rPr>
                <w:rFonts w:hint="eastAsia" w:ascii="宋体" w:hAnsi="宋体" w:cs="宋体"/>
                <w:color w:val="auto"/>
                <w:sz w:val="24"/>
                <w:szCs w:val="24"/>
                <w:highlight w:val="none"/>
                <w:lang w:val="en-US" w:eastAsia="zh-CN"/>
              </w:rPr>
              <w:t xml:space="preserve">检查</w:t>
            </w:r>
            <w:r>
              <w:rPr>
                <w:rFonts w:hint="eastAsia" w:ascii="宋体" w:hAnsi="宋体" w:eastAsia="宋体" w:cs="宋体"/>
                <w:color w:val="auto"/>
                <w:sz w:val="24"/>
                <w:szCs w:val="24"/>
                <w:highlight w:val="none"/>
              </w:rPr>
              <w:t xml:space="preserve">类项目的，每有1个的2分，本项最多得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没有不得分；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2023年1月1日</w:t>
            </w:r>
            <w:r>
              <w:rPr>
                <w:rFonts w:hint="eastAsia" w:ascii="宋体" w:hAnsi="宋体" w:eastAsia="宋体" w:cs="宋体"/>
                <w:color w:val="auto"/>
                <w:sz w:val="24"/>
                <w:szCs w:val="24"/>
                <w:highlight w:val="none"/>
                <w:lang w:val="en-US" w:eastAsia="zh-CN"/>
              </w:rPr>
              <w:t xml:space="preserve">以来</w:t>
            </w:r>
            <w:r>
              <w:rPr>
                <w:rFonts w:hint="eastAsia" w:ascii="宋体" w:hAnsi="宋体" w:eastAsia="宋体" w:cs="宋体"/>
                <w:color w:val="auto"/>
                <w:sz w:val="24"/>
                <w:szCs w:val="24"/>
                <w:highlight w:val="none"/>
              </w:rPr>
              <w:t xml:space="preserve">（以合同签订时间为准）供应商承担过永久基本农田或国土空间规划相关业务的，每有1个得2分，本项最多得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没有不得分；</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均须</w:t>
            </w:r>
            <w:r>
              <w:rPr>
                <w:rFonts w:hint="eastAsia" w:ascii="宋体" w:hAnsi="宋体" w:eastAsia="宋体" w:cs="宋体"/>
                <w:b/>
                <w:bCs/>
                <w:color w:val="auto"/>
                <w:sz w:val="24"/>
                <w:szCs w:val="24"/>
                <w:highlight w:val="none"/>
              </w:rPr>
              <w:t xml:space="preserve">提供合同</w:t>
            </w:r>
            <w:r>
              <w:rPr>
                <w:rFonts w:hint="eastAsia" w:ascii="宋体" w:hAnsi="宋体" w:eastAsia="宋体" w:cs="宋体"/>
                <w:b/>
                <w:bCs/>
                <w:color w:val="auto"/>
                <w:sz w:val="24"/>
                <w:szCs w:val="24"/>
                <w:highlight w:val="none"/>
                <w:lang w:val="en-US" w:eastAsia="zh-CN"/>
              </w:rPr>
              <w:t xml:space="preserve">扫描件，否则不得分</w:t>
            </w:r>
            <w:r>
              <w:rPr>
                <w:rFonts w:hint="eastAsia" w:ascii="宋体" w:hAnsi="宋体" w:eastAsia="宋体" w:cs="宋体"/>
                <w:b/>
                <w:bCs/>
                <w:color w:val="auto"/>
                <w:sz w:val="24"/>
                <w:szCs w:val="24"/>
                <w:highlight w:val="none"/>
              </w:rPr>
              <w:t xml:space="preserve">。</w:t>
            </w:r>
            <w:r/>
          </w:p>
        </w:tc>
      </w:tr>
      <w:tr>
        <w:trPr>
          <w:jc w:val="center"/>
        </w:trPr>
        <w:tc>
          <w:tcPr>
            <w:tcW w:w="936" w:type="dxa"/>
            <w:vAlign w:val="center"/>
            <w:vMerge w:val="continue"/>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项目组人员配备</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W w:w="705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1、本项目拟派项目负责人同时具有测绘类正高级工程师</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注册测绘师资格得3分，没有或缺少不得分。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2、本项目拟派项目技术负责人同时具有测绘类正高级工程师</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注册测绘师资格得3分，没有或缺少不得分。</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3、其他拟派项目参与人员中，</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高级工程师</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以上得2分，中级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以上得1分，本项最高得9分。</w:t>
            </w:r>
            <w:r>
              <w:rPr>
                <w:rFonts w:hint="eastAsia" w:ascii="宋体" w:hAnsi="宋体" w:eastAsia="宋体" w:cs="宋体"/>
                <w:color w:val="auto"/>
                <w:sz w:val="24"/>
                <w:szCs w:val="24"/>
                <w:highlight w:val="none"/>
                <w:lang w:val="en-US" w:eastAsia="zh-CN"/>
              </w:rPr>
              <w:t xml:space="preserve">没有不得分；</w:t>
            </w:r>
            <w:r/>
          </w:p>
          <w:p>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rPr>
              <w:t xml:space="preserve">须提供以上</w:t>
            </w:r>
            <w:r>
              <w:rPr>
                <w:rFonts w:hint="eastAsia" w:ascii="宋体" w:hAnsi="宋体" w:eastAsia="宋体" w:cs="宋体"/>
                <w:b/>
                <w:bCs/>
                <w:color w:val="auto"/>
                <w:sz w:val="24"/>
                <w:szCs w:val="24"/>
                <w:highlight w:val="none"/>
                <w:lang w:val="en-US" w:eastAsia="zh-CN"/>
              </w:rPr>
              <w:t xml:space="preserve">所有</w:t>
            </w:r>
            <w:r>
              <w:rPr>
                <w:rFonts w:hint="eastAsia" w:ascii="宋体" w:hAnsi="宋体" w:eastAsia="宋体" w:cs="宋体"/>
                <w:b/>
                <w:bCs/>
                <w:color w:val="auto"/>
                <w:sz w:val="24"/>
                <w:szCs w:val="24"/>
                <w:highlight w:val="none"/>
              </w:rPr>
              <w:t xml:space="preserve">人员证书</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，以上</w:t>
            </w:r>
            <w:r>
              <w:rPr>
                <w:rFonts w:hint="eastAsia" w:ascii="宋体" w:hAnsi="宋体" w:eastAsia="宋体" w:cs="宋体"/>
                <w:b/>
                <w:bCs/>
                <w:color w:val="auto"/>
                <w:sz w:val="24"/>
                <w:szCs w:val="24"/>
                <w:highlight w:val="none"/>
                <w:lang w:val="en-US" w:eastAsia="zh-CN"/>
              </w:rPr>
              <w:t xml:space="preserve">所有</w:t>
            </w:r>
            <w:r>
              <w:rPr>
                <w:rFonts w:hint="eastAsia" w:ascii="宋体" w:hAnsi="宋体" w:eastAsia="宋体" w:cs="宋体"/>
                <w:b/>
                <w:bCs/>
                <w:color w:val="auto"/>
                <w:sz w:val="24"/>
                <w:szCs w:val="24"/>
                <w:highlight w:val="none"/>
              </w:rPr>
              <w:t xml:space="preserve">人员均为本单位正式员工</w:t>
            </w:r>
            <w:r>
              <w:rPr>
                <w:rFonts w:hint="eastAsia" w:ascii="宋体" w:hAnsi="宋体" w:eastAsia="宋体" w:cs="宋体"/>
                <w:b/>
                <w:bCs/>
                <w:color w:val="auto"/>
                <w:sz w:val="24"/>
                <w:szCs w:val="24"/>
                <w:highlight w:val="none"/>
                <w:lang w:val="en-US" w:eastAsia="zh-CN"/>
              </w:rPr>
              <w:t xml:space="preserve">且以上所有人员不得重复计分</w:t>
            </w:r>
            <w:r>
              <w:rPr>
                <w:rFonts w:hint="eastAsia" w:ascii="宋体" w:hAnsi="宋体" w:eastAsia="宋体" w:cs="宋体"/>
                <w:b/>
                <w:bCs/>
                <w:color w:val="auto"/>
                <w:sz w:val="24"/>
                <w:szCs w:val="24"/>
                <w:highlight w:val="none"/>
              </w:rPr>
              <w:t xml:space="preserve">，且在开标时提供</w:t>
            </w:r>
            <w:r>
              <w:rPr>
                <w:rFonts w:hint="eastAsia" w:ascii="宋体" w:hAnsi="宋体" w:eastAsia="宋体" w:cs="宋体"/>
                <w:b/>
                <w:bCs/>
                <w:color w:val="auto"/>
                <w:sz w:val="24"/>
                <w:szCs w:val="24"/>
                <w:highlight w:val="none"/>
                <w:lang w:val="en-US" w:eastAsia="zh-CN"/>
              </w:rPr>
              <w:t xml:space="preserve">2026年3月份-5月份中</w:t>
            </w:r>
            <w:r>
              <w:rPr>
                <w:rFonts w:hint="eastAsia" w:ascii="宋体" w:hAnsi="宋体" w:eastAsia="宋体" w:cs="宋体"/>
                <w:b/>
                <w:bCs/>
                <w:color w:val="auto"/>
                <w:sz w:val="24"/>
                <w:szCs w:val="24"/>
                <w:highlight w:val="none"/>
              </w:rPr>
              <w:t xml:space="preserve">任意一个月社保部门出具的投标人为其缴纳养老保险缴纳证明材料</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；不缴纳养老保险或养老保险改革过渡期的事业单位需提供其上级主管部门出具的证明文件</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w:t>
            </w:r>
            <w:r/>
          </w:p>
        </w:tc>
      </w:tr>
      <w:tr>
        <w:trPr>
          <w:jc w:val="center"/>
          <w:trHeight w:val="522"/>
        </w:trPr>
        <w:tc>
          <w:tcPr>
            <w:tcW w:w="936" w:type="dxa"/>
            <w:vAlign w:val="center"/>
            <w:vMerge w:val="restart"/>
            <w:textDirection w:val="lrTb"/>
            <w:noWrap w:val="false"/>
          </w:tcPr>
          <w:p>
            <w:pPr>
              <w:ind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项目实施方案（</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分）</w:t>
            </w:r>
            <w:r/>
          </w:p>
        </w:tc>
        <w:tc>
          <w:tcPr>
            <w:tcW w:w="1127"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对本项目的理解、认识</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705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根据供应商对本项目的相关描述，考察是否对项目充分了解，是否对本项目需求分析透彻、正确理解本项目设立背景、业务需求及相关政策法规。</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项目描述与分析全面、透彻、精准，完全适应本项目实施需要的得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分；项目描述与分析较为全面、较为透彻、较为精准，较适应本项目实施需要的得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分；项目描述与分析一般，基本适应本项目实施需要的得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分；项目描述与分析较差的得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没有内容不得分。</w:t>
            </w:r>
            <w:r/>
          </w:p>
        </w:tc>
      </w:tr>
      <w:tr>
        <w:trPr>
          <w:jc w:val="center"/>
        </w:trPr>
        <w:tc>
          <w:tcPr>
            <w:tcW w:w="936" w:type="dxa"/>
            <w:vAlign w:val="center"/>
            <w:vMerge w:val="continue"/>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pStyle w:val="1066"/>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组织机构分工（1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705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根据供应商对本项目特点提出的项目组织机构和分工是否合理、健全、明确，评审小组进行横向比较后打分。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分工合理、健全、明确</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分；分工较合理、较健全、较明确</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分；分工一般的得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分；分工较差的得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分。没有内容不得分。</w:t>
            </w:r>
            <w:r/>
          </w:p>
        </w:tc>
      </w:tr>
      <w:tr>
        <w:trPr>
          <w:jc w:val="center"/>
          <w:trHeight w:val="1175"/>
        </w:trPr>
        <w:tc>
          <w:tcPr>
            <w:tcW w:w="936" w:type="dxa"/>
            <w:vAlign w:val="center"/>
            <w:vMerge w:val="continue"/>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pStyle w:val="1066"/>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技术路线及技术方法（</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05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根据供应商对本项目提出的项目具体技术路线，技术方法是否科学合理、完善，评审小组进行横向比较后打分。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技术方法科学合理、完善得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分；技术方法较科学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较合理、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完善</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分；技术方法一般</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分；技术方法较差的得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分。没有内容不得分。</w:t>
            </w:r>
            <w:r/>
          </w:p>
        </w:tc>
      </w:tr>
      <w:tr>
        <w:trPr>
          <w:jc w:val="center"/>
          <w:trHeight w:val="1139"/>
        </w:trPr>
        <w:tc>
          <w:tcPr>
            <w:tcW w:w="936" w:type="dxa"/>
            <w:vAlign w:val="center"/>
            <w:vMerge w:val="continue"/>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pStyle w:val="1066"/>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项目的重点和难点分析（12分）</w:t>
            </w:r>
            <w:r/>
          </w:p>
        </w:tc>
        <w:tc>
          <w:tcPr>
            <w:tcW w:w="705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根据供应商对本项目的熟悉程度，对本项目的难点和重点的分析是否全面，条理是否清晰，评审小组进行横向比较后打分。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分析全面，条理清晰</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分；分析较全面，条理较清晰</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分；分析不够全面，条理清晰一般的得6</w:t>
            </w:r>
            <w:r>
              <w:rPr>
                <w:rFonts w:hint="eastAsia" w:ascii="宋体" w:hAnsi="宋体" w:eastAsia="宋体" w:cs="宋体"/>
                <w:color w:val="auto"/>
                <w:sz w:val="24"/>
                <w:szCs w:val="24"/>
                <w:highlight w:val="none"/>
              </w:rPr>
              <w:t xml:space="preserve">分；分析较差的得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分。没有内容不得分。</w:t>
            </w:r>
            <w:r/>
          </w:p>
        </w:tc>
      </w:tr>
      <w:tr>
        <w:trPr>
          <w:jc w:val="center"/>
          <w:trHeight w:val="926"/>
        </w:trPr>
        <w:tc>
          <w:tcPr>
            <w:tcW w:w="936" w:type="dxa"/>
            <w:vAlign w:val="center"/>
            <w:vMerge w:val="continue"/>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工期计划及合理有效的保障措施</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w:t>
            </w:r>
            <w:r/>
          </w:p>
        </w:tc>
        <w:tc>
          <w:tcPr>
            <w:tcW w:w="705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根据供应商提供的项目计划和进度安排，考察各供应商的安排是否科学合理、工期保障措施是否健全等进行评分。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安排科学合理、工期保障措施健全</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得12分；安排较科学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较合理、工期保障措施较健全良好</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分；安排</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、工期保障措施一般的得6</w:t>
            </w:r>
            <w:r>
              <w:rPr>
                <w:rFonts w:hint="eastAsia" w:ascii="宋体" w:hAnsi="宋体" w:eastAsia="宋体" w:cs="宋体"/>
                <w:color w:val="auto"/>
                <w:sz w:val="24"/>
                <w:szCs w:val="24"/>
                <w:highlight w:val="none"/>
              </w:rPr>
              <w:t xml:space="preserve">分；工期安排、保障措施较差的得3</w:t>
            </w:r>
            <w:r>
              <w:rPr>
                <w:rFonts w:hint="eastAsia" w:ascii="宋体" w:hAnsi="宋体" w:eastAsia="宋体" w:cs="宋体"/>
                <w:color w:val="auto"/>
                <w:sz w:val="24"/>
                <w:szCs w:val="24"/>
                <w:highlight w:val="none"/>
              </w:rPr>
              <w:t xml:space="preserve">分。没有内容不得分。</w:t>
            </w:r>
            <w:r/>
          </w:p>
        </w:tc>
      </w:tr>
    </w:tbl>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采购包二</w:t>
      </w:r>
      <w:r>
        <w:rPr>
          <w:rFonts w:hint="eastAsia" w:ascii="宋体" w:hAnsi="宋体" w:cs="宋体"/>
          <w:b/>
          <w:bCs/>
          <w:color w:val="auto"/>
          <w:sz w:val="32"/>
          <w:szCs w:val="32"/>
          <w:highlight w:val="none"/>
        </w:rPr>
        <w:t xml:space="preserve">：</w:t>
      </w:r>
      <w:r/>
    </w:p>
    <w:tbl>
      <w:tblPr>
        <w:tblStyle w:val="953"/>
        <w:tblW w:w="9781"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53"/>
        <w:gridCol w:w="1275"/>
        <w:gridCol w:w="5955"/>
        <w:gridCol w:w="851"/>
        <w:gridCol w:w="847"/>
      </w:tblGrid>
      <w:tr>
        <w:trPr>
          <w:tblHeader/>
        </w:trPr>
        <w:tc>
          <w:tcPr>
            <w:gridSpan w:val="2"/>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评审因素</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评审标准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单项分值</w:t>
            </w:r>
            <w:r/>
          </w:p>
        </w:tc>
        <w:tc>
          <w:tcPr>
            <w:tcBorders>
              <w:top w:val="single" w:color="auto" w:sz="6" w:space="0"/>
              <w:left w:val="single" w:color="auto" w:sz="6" w:space="0"/>
              <w:bottom w:val="single" w:color="auto" w:sz="6" w:space="0"/>
              <w:right w:val="single" w:color="auto" w:sz="6" w:space="0"/>
            </w:tcBorders>
            <w:tcW w:w="84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分值小计</w:t>
            </w:r>
            <w:r/>
          </w:p>
        </w:tc>
      </w:tr>
      <w:tr>
        <w:trPr>
          <w:trHeight w:val="1161"/>
        </w:trPr>
        <w:tc>
          <w:tcPr>
            <w:tcBorders>
              <w:top w:val="single" w:color="auto" w:sz="6" w:space="0"/>
              <w:left w:val="single" w:color="auto" w:sz="6" w:space="0"/>
              <w:right w:val="single" w:color="auto" w:sz="6" w:space="0"/>
            </w:tcBorders>
            <w:tcW w:w="853" w:type="dxa"/>
            <w:vAlign w:val="center"/>
            <w:vMerge w:val="restart"/>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w:t>
            </w:r>
            <w:r>
              <w:rPr>
                <w:rFonts w:hint="eastAsia"/>
                <w:color w:val="auto"/>
                <w:highlight w:val="none"/>
              </w:rPr>
              <w:t xml:space="preserve"> </w:t>
            </w:r>
            <w:r>
              <w:rPr>
                <w:rFonts w:hint="eastAsia" w:ascii="宋体" w:hAnsi="宋体" w:cs="宋体"/>
                <w:color w:val="auto"/>
                <w:highlight w:val="none"/>
              </w:rPr>
              <w:t xml:space="preserve">企业综合实力</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认证证书</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rPr>
                <w:rFonts w:hint="eastAsia"/>
                <w:color w:val="auto"/>
                <w:highlight w:val="none"/>
              </w:rPr>
            </w:pPr>
            <w:r>
              <w:rPr>
                <w:rFonts w:hint="eastAsia"/>
                <w:color w:val="auto"/>
                <w:highlight w:val="none"/>
                <w:lang w:eastAsia="zh-CN"/>
              </w:rPr>
              <w:t xml:space="preserve">供应商</w:t>
            </w:r>
            <w:r>
              <w:rPr>
                <w:rFonts w:hint="eastAsia"/>
                <w:color w:val="auto"/>
                <w:highlight w:val="none"/>
              </w:rPr>
              <w:t xml:space="preserve">具有有效期内的质量管理体系认证证书、职业健康体系认证证书</w:t>
            </w:r>
            <w:r>
              <w:rPr>
                <w:rFonts w:hint="eastAsia"/>
                <w:color w:val="auto"/>
                <w:highlight w:val="none"/>
                <w:lang w:eastAsia="zh-CN"/>
              </w:rPr>
              <w:t xml:space="preserve">、</w:t>
            </w:r>
            <w:r>
              <w:rPr>
                <w:rFonts w:hint="eastAsia"/>
                <w:color w:val="auto"/>
                <w:highlight w:val="none"/>
              </w:rPr>
              <w:t xml:space="preserve">环境管理体系认证证书</w:t>
            </w:r>
            <w:r>
              <w:rPr>
                <w:rFonts w:hint="eastAsia"/>
                <w:color w:val="auto"/>
                <w:highlight w:val="none"/>
                <w:lang w:eastAsia="zh-CN"/>
              </w:rPr>
              <w:t xml:space="preserve">、</w:t>
            </w:r>
            <w:r>
              <w:rPr>
                <w:rFonts w:hint="eastAsia"/>
                <w:color w:val="auto"/>
                <w:highlight w:val="none"/>
                <w:lang w:val="en-US" w:eastAsia="zh-CN"/>
              </w:rPr>
              <w:t xml:space="preserve">售后服务认证证书，</w:t>
            </w:r>
            <w:r>
              <w:rPr>
                <w:rFonts w:hint="eastAsia"/>
                <w:color w:val="auto"/>
                <w:highlight w:val="none"/>
              </w:rPr>
              <w:t xml:space="preserve">每有一个得1分，最多得</w:t>
            </w:r>
            <w:r>
              <w:rPr>
                <w:rFonts w:hint="eastAsia"/>
                <w:color w:val="auto"/>
                <w:highlight w:val="none"/>
                <w:lang w:val="en-US" w:eastAsia="zh-CN"/>
              </w:rPr>
              <w:t xml:space="preserve">4</w:t>
            </w:r>
            <w:r>
              <w:rPr>
                <w:rFonts w:hint="eastAsia"/>
                <w:color w:val="auto"/>
                <w:highlight w:val="none"/>
              </w:rPr>
              <w:t xml:space="preserve">分。没有不得分；</w:t>
            </w:r>
            <w:r/>
          </w:p>
          <w:p>
            <w:pPr>
              <w:pStyle w:val="1066"/>
              <w:ind w:firstLine="0"/>
              <w:rPr>
                <w:color w:val="auto"/>
                <w:highlight w:val="none"/>
              </w:rPr>
            </w:pPr>
            <w:r>
              <w:rPr>
                <w:rFonts w:hint="eastAsia"/>
                <w:b/>
                <w:bCs/>
                <w:color w:val="auto"/>
                <w:highlight w:val="none"/>
              </w:rPr>
              <w:t xml:space="preserve">注：须提供证书</w:t>
            </w:r>
            <w:r>
              <w:rPr>
                <w:rFonts w:hint="eastAsia"/>
                <w:b/>
                <w:bCs/>
                <w:color w:val="auto"/>
                <w:highlight w:val="none"/>
                <w:lang w:val="en-US" w:eastAsia="zh-CN"/>
              </w:rPr>
              <w:t xml:space="preserve">扫描件</w:t>
            </w:r>
            <w:r>
              <w:rPr>
                <w:rFonts w:hint="eastAsia"/>
                <w:b/>
                <w:bCs/>
                <w:color w:val="auto"/>
                <w:highlight w:val="none"/>
              </w:rPr>
              <w:t xml:space="preserve">，否则对应项不得分。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.00分</w:t>
            </w:r>
            <w:r/>
          </w:p>
        </w:tc>
        <w:tc>
          <w:tcPr>
            <w:tcBorders>
              <w:top w:val="single" w:color="auto" w:sz="6" w:space="0"/>
              <w:left w:val="single" w:color="auto" w:sz="6" w:space="0"/>
              <w:right w:val="single" w:color="auto" w:sz="6" w:space="0"/>
            </w:tcBorders>
            <w:tcW w:w="847" w:type="dxa"/>
            <w:vAlign w:val="center"/>
            <w:vMerge w:val="restart"/>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30</w:t>
            </w:r>
            <w:r>
              <w:rPr>
                <w:rFonts w:hint="eastAsia"/>
                <w:color w:val="auto"/>
                <w:highlight w:val="none"/>
              </w:rPr>
              <w:t xml:space="preserve">.00分</w:t>
            </w:r>
            <w:r/>
          </w:p>
        </w:tc>
      </w:tr>
      <w:t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拟投入项目技术力量</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rPr>
                <w:rFonts w:hint="eastAsia"/>
                <w:color w:val="auto"/>
                <w:sz w:val="22"/>
                <w:szCs w:val="24"/>
                <w:highlight w:val="none"/>
              </w:rPr>
            </w:pPr>
            <w:r>
              <w:rPr>
                <w:rFonts w:hint="eastAsia"/>
                <w:color w:val="auto"/>
                <w:highlight w:val="none"/>
              </w:rPr>
              <w:t xml:space="preserve">1</w:t>
            </w:r>
            <w:r>
              <w:rPr>
                <w:rFonts w:hint="eastAsia"/>
                <w:color w:val="auto"/>
                <w:sz w:val="22"/>
                <w:szCs w:val="24"/>
                <w:highlight w:val="none"/>
              </w:rPr>
              <w:t xml:space="preserve">、项目负责人同时具有测绘高级工程师</w:t>
            </w:r>
            <w:r>
              <w:rPr>
                <w:rFonts w:hint="eastAsia"/>
                <w:color w:val="auto"/>
                <w:sz w:val="22"/>
                <w:szCs w:val="24"/>
                <w:highlight w:val="none"/>
                <w:lang w:val="en-US" w:eastAsia="zh-CN"/>
              </w:rPr>
              <w:t xml:space="preserve">以上（含）职称</w:t>
            </w:r>
            <w:r>
              <w:rPr>
                <w:rFonts w:hint="eastAsia"/>
                <w:color w:val="auto"/>
                <w:sz w:val="22"/>
                <w:szCs w:val="24"/>
                <w:highlight w:val="none"/>
              </w:rPr>
              <w:t xml:space="preserve">、注册测绘师、</w:t>
            </w:r>
            <w:r>
              <w:rPr>
                <w:rFonts w:hint="eastAsia"/>
                <w:color w:val="auto"/>
                <w:sz w:val="22"/>
                <w:szCs w:val="24"/>
                <w:highlight w:val="none"/>
                <w:lang w:val="en-US" w:eastAsia="zh-CN"/>
              </w:rPr>
              <w:t xml:space="preserve">项目管理师（PMP）证书</w:t>
            </w:r>
            <w:r>
              <w:rPr>
                <w:rFonts w:hint="eastAsia"/>
                <w:color w:val="auto"/>
                <w:sz w:val="22"/>
                <w:szCs w:val="24"/>
                <w:highlight w:val="none"/>
              </w:rPr>
              <w:t xml:space="preserve">的得3分，缺项或没有不得分；</w:t>
            </w:r>
            <w:r/>
          </w:p>
          <w:p>
            <w:pPr>
              <w:jc w:val="center"/>
              <w:rPr>
                <w:rFonts w:hint="eastAsia"/>
                <w:color w:val="auto"/>
                <w:sz w:val="22"/>
                <w:szCs w:val="24"/>
                <w:highlight w:val="none"/>
              </w:rPr>
            </w:pPr>
            <w:r>
              <w:rPr>
                <w:rFonts w:hint="eastAsia"/>
                <w:color w:val="auto"/>
                <w:sz w:val="22"/>
                <w:szCs w:val="24"/>
                <w:highlight w:val="none"/>
              </w:rPr>
              <w:t xml:space="preserve">2、技术负责人同时具有测绘高级工程师</w:t>
            </w:r>
            <w:r>
              <w:rPr>
                <w:rFonts w:hint="eastAsia"/>
                <w:color w:val="auto"/>
                <w:sz w:val="22"/>
                <w:szCs w:val="24"/>
                <w:highlight w:val="none"/>
                <w:lang w:val="en-US" w:eastAsia="zh-CN"/>
              </w:rPr>
              <w:t xml:space="preserve">以上（含）职称</w:t>
            </w:r>
            <w:r>
              <w:rPr>
                <w:rFonts w:hint="eastAsia"/>
                <w:color w:val="auto"/>
                <w:sz w:val="22"/>
                <w:szCs w:val="24"/>
                <w:highlight w:val="none"/>
              </w:rPr>
              <w:t xml:space="preserve">、注册测绘师</w:t>
            </w:r>
            <w:r>
              <w:rPr>
                <w:rFonts w:hint="eastAsia"/>
                <w:color w:val="auto"/>
                <w:sz w:val="22"/>
                <w:szCs w:val="24"/>
                <w:highlight w:val="none"/>
                <w:lang w:eastAsia="zh-CN"/>
              </w:rPr>
              <w:t xml:space="preserve">、</w:t>
            </w:r>
            <w:r>
              <w:rPr>
                <w:rFonts w:hint="eastAsia"/>
                <w:color w:val="auto"/>
                <w:sz w:val="22"/>
                <w:szCs w:val="24"/>
                <w:highlight w:val="none"/>
              </w:rPr>
              <w:t xml:space="preserve">核心涉密人员保培密训合格证书的得</w:t>
            </w:r>
            <w:r>
              <w:rPr>
                <w:rFonts w:hint="eastAsia"/>
                <w:color w:val="auto"/>
                <w:sz w:val="22"/>
                <w:szCs w:val="24"/>
                <w:highlight w:val="none"/>
                <w:lang w:val="en-US" w:eastAsia="zh-CN"/>
              </w:rPr>
              <w:t xml:space="preserve">3</w:t>
            </w:r>
            <w:r>
              <w:rPr>
                <w:rFonts w:hint="eastAsia"/>
                <w:color w:val="auto"/>
                <w:sz w:val="22"/>
                <w:szCs w:val="24"/>
                <w:highlight w:val="none"/>
              </w:rPr>
              <w:t xml:space="preserve">分，缺项或没有不得分；   </w:t>
            </w:r>
            <w:r/>
          </w:p>
          <w:p>
            <w:pPr>
              <w:jc w:val="center"/>
              <w:rPr>
                <w:rFonts w:hint="eastAsia"/>
                <w:color w:val="auto"/>
                <w:highlight w:val="none"/>
              </w:rPr>
            </w:pPr>
            <w:r>
              <w:rPr>
                <w:rFonts w:hint="eastAsia"/>
                <w:color w:val="auto"/>
                <w:highlight w:val="none"/>
              </w:rPr>
              <w:t xml:space="preserve">3、拟投入的其他项目人员中</w:t>
            </w:r>
            <w:r>
              <w:rPr>
                <w:rFonts w:hint="eastAsia"/>
                <w:color w:val="auto"/>
                <w:highlight w:val="none"/>
                <w:lang w:val="en-US" w:eastAsia="zh-CN"/>
              </w:rPr>
              <w:t xml:space="preserve">同时具</w:t>
            </w:r>
            <w:r>
              <w:rPr>
                <w:rFonts w:hint="eastAsia"/>
                <w:color w:val="auto"/>
                <w:highlight w:val="none"/>
              </w:rPr>
              <w:t xml:space="preserve">有高级工程师</w:t>
            </w:r>
            <w:r>
              <w:rPr>
                <w:rFonts w:hint="eastAsia"/>
                <w:color w:val="auto"/>
                <w:highlight w:val="none"/>
                <w:lang w:val="en-US" w:eastAsia="zh-CN"/>
              </w:rPr>
              <w:t xml:space="preserve">以上（含）职称、</w:t>
            </w:r>
            <w:r>
              <w:rPr>
                <w:rFonts w:hint="eastAsia"/>
                <w:color w:val="auto"/>
                <w:highlight w:val="none"/>
              </w:rPr>
              <w:t xml:space="preserve">注册测绘师</w:t>
            </w:r>
            <w:r>
              <w:rPr>
                <w:rFonts w:hint="eastAsia"/>
                <w:color w:val="auto"/>
                <w:highlight w:val="none"/>
                <w:lang w:val="en-US" w:eastAsia="zh-CN"/>
              </w:rPr>
              <w:t xml:space="preserve">证书</w:t>
            </w:r>
            <w:r>
              <w:rPr>
                <w:rFonts w:hint="eastAsia"/>
                <w:color w:val="auto"/>
                <w:highlight w:val="none"/>
              </w:rPr>
              <w:t xml:space="preserve">的每有1人得</w:t>
            </w:r>
            <w:r>
              <w:rPr>
                <w:rFonts w:hint="eastAsia"/>
                <w:color w:val="auto"/>
                <w:highlight w:val="none"/>
                <w:lang w:val="en-US" w:eastAsia="zh-CN"/>
              </w:rPr>
              <w:t xml:space="preserve">0.5</w:t>
            </w:r>
            <w:r>
              <w:rPr>
                <w:rFonts w:hint="eastAsia"/>
                <w:color w:val="auto"/>
                <w:highlight w:val="none"/>
              </w:rPr>
              <w:t xml:space="preserve">分，最多得</w:t>
            </w:r>
            <w:r>
              <w:rPr>
                <w:rFonts w:hint="eastAsia"/>
                <w:color w:val="auto"/>
                <w:highlight w:val="none"/>
                <w:lang w:val="en-US" w:eastAsia="zh-CN"/>
              </w:rPr>
              <w:t xml:space="preserve">6</w:t>
            </w:r>
            <w:r>
              <w:rPr>
                <w:rFonts w:hint="eastAsia"/>
                <w:color w:val="auto"/>
                <w:highlight w:val="none"/>
              </w:rPr>
              <w:t xml:space="preserve">分。 没有不得分；      </w:t>
            </w:r>
            <w:r/>
          </w:p>
          <w:p>
            <w:pPr>
              <w:jc w:val="center"/>
              <w:rPr>
                <w:color w:val="auto"/>
                <w:highlight w:val="none"/>
              </w:rPr>
            </w:pPr>
            <w:r>
              <w:rPr>
                <w:rFonts w:hint="eastAsia"/>
                <w:b/>
                <w:bCs/>
                <w:color w:val="auto"/>
                <w:highlight w:val="none"/>
              </w:rPr>
              <w:t xml:space="preserve">注：须提供以上</w:t>
            </w:r>
            <w:r>
              <w:rPr>
                <w:rFonts w:hint="eastAsia"/>
                <w:b/>
                <w:bCs/>
                <w:color w:val="auto"/>
                <w:highlight w:val="none"/>
                <w:lang w:val="en-US" w:eastAsia="zh-CN"/>
              </w:rPr>
              <w:t xml:space="preserve">所有</w:t>
            </w:r>
            <w:r>
              <w:rPr>
                <w:rFonts w:hint="eastAsia"/>
                <w:b/>
                <w:bCs/>
                <w:color w:val="auto"/>
                <w:highlight w:val="none"/>
              </w:rPr>
              <w:t xml:space="preserve">人员证书</w:t>
            </w:r>
            <w:r>
              <w:rPr>
                <w:rFonts w:hint="eastAsia"/>
                <w:b/>
                <w:bCs/>
                <w:color w:val="auto"/>
                <w:highlight w:val="none"/>
                <w:lang w:val="en-US" w:eastAsia="zh-CN"/>
              </w:rPr>
              <w:t xml:space="preserve">扫描件</w:t>
            </w:r>
            <w:r>
              <w:rPr>
                <w:rFonts w:hint="eastAsia"/>
                <w:b/>
                <w:bCs/>
                <w:color w:val="auto"/>
                <w:highlight w:val="none"/>
              </w:rPr>
              <w:t xml:space="preserve">，以上</w:t>
            </w:r>
            <w:r>
              <w:rPr>
                <w:rFonts w:hint="eastAsia"/>
                <w:b/>
                <w:bCs/>
                <w:color w:val="auto"/>
                <w:highlight w:val="none"/>
                <w:lang w:val="en-US" w:eastAsia="zh-CN"/>
              </w:rPr>
              <w:t xml:space="preserve">所有</w:t>
            </w:r>
            <w:r>
              <w:rPr>
                <w:rFonts w:hint="eastAsia"/>
                <w:b/>
                <w:bCs/>
                <w:color w:val="auto"/>
                <w:highlight w:val="none"/>
              </w:rPr>
              <w:t xml:space="preserve">人员均为本单位正式员工</w:t>
            </w:r>
            <w:r>
              <w:rPr>
                <w:rFonts w:hint="eastAsia"/>
                <w:b/>
                <w:bCs/>
                <w:color w:val="auto"/>
                <w:highlight w:val="none"/>
                <w:lang w:val="en-US" w:eastAsia="zh-CN"/>
              </w:rPr>
              <w:t xml:space="preserve">且以上所有人员不得重复计分</w:t>
            </w:r>
            <w:r>
              <w:rPr>
                <w:rFonts w:hint="eastAsia"/>
                <w:b/>
                <w:bCs/>
                <w:color w:val="auto"/>
                <w:highlight w:val="none"/>
              </w:rPr>
              <w:t xml:space="preserve">，且在开标时提供</w:t>
            </w:r>
            <w:r>
              <w:rPr>
                <w:rFonts w:hint="eastAsia"/>
                <w:b/>
                <w:bCs/>
                <w:color w:val="auto"/>
                <w:highlight w:val="none"/>
                <w:lang w:val="en-US" w:eastAsia="zh-CN"/>
              </w:rPr>
              <w:t xml:space="preserve">2026年3月份-5月份中</w:t>
            </w:r>
            <w:r>
              <w:rPr>
                <w:rFonts w:hint="eastAsia"/>
                <w:b/>
                <w:bCs/>
                <w:color w:val="auto"/>
                <w:highlight w:val="none"/>
              </w:rPr>
              <w:t xml:space="preserve">任意一个月社保部门出具的</w:t>
            </w:r>
            <w:r>
              <w:rPr>
                <w:rFonts w:hint="eastAsia"/>
                <w:b/>
                <w:bCs/>
                <w:color w:val="auto"/>
                <w:highlight w:val="none"/>
                <w:lang w:eastAsia="zh-CN"/>
              </w:rPr>
              <w:t xml:space="preserve">供应商</w:t>
            </w:r>
            <w:r>
              <w:rPr>
                <w:rFonts w:hint="eastAsia"/>
                <w:b/>
                <w:bCs/>
                <w:color w:val="auto"/>
                <w:highlight w:val="none"/>
              </w:rPr>
              <w:t xml:space="preserve">为其缴纳养老保险缴纳证明材料</w:t>
            </w:r>
            <w:r>
              <w:rPr>
                <w:rFonts w:hint="eastAsia"/>
                <w:b/>
                <w:bCs/>
                <w:color w:val="auto"/>
                <w:highlight w:val="none"/>
                <w:lang w:val="en-US" w:eastAsia="zh-CN"/>
              </w:rPr>
              <w:t xml:space="preserve">扫描件</w:t>
            </w:r>
            <w:r>
              <w:rPr>
                <w:rFonts w:hint="eastAsia"/>
                <w:b/>
                <w:bCs/>
                <w:color w:val="auto"/>
                <w:highlight w:val="none"/>
              </w:rPr>
              <w:t xml:space="preserve">；不缴纳养老保险或养老保险改革过渡期的事业单位需提供其上级主管部门出具的证明文件</w:t>
            </w:r>
            <w:r>
              <w:rPr>
                <w:rFonts w:hint="eastAsia"/>
                <w:b/>
                <w:bCs/>
                <w:color w:val="auto"/>
                <w:highlight w:val="none"/>
                <w:lang w:val="en-US" w:eastAsia="zh-CN"/>
              </w:rPr>
              <w:t xml:space="preserve">扫描件</w:t>
            </w:r>
            <w:r>
              <w:rPr>
                <w:rFonts w:hint="eastAsia"/>
                <w:b/>
                <w:bCs/>
                <w:color w:val="auto"/>
                <w:highlight w:val="none"/>
              </w:rPr>
              <w:t xml:space="preserve">。</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center"/>
            <w:vMerge w:val="continue"/>
            <w:textDirection w:val="lrTb"/>
            <w:noWrap w:val="false"/>
          </w:tcPr>
          <w:p>
            <w:pPr>
              <w:jc w:val="center"/>
              <w:rPr>
                <w:rFonts w:hint="eastAsia"/>
                <w:color w:val="auto"/>
                <w:highlight w:val="none"/>
              </w:rPr>
            </w:pPr>
            <w:r>
              <w:rPr>
                <w:rFonts w:hint="eastAsia"/>
                <w:color w:val="auto"/>
                <w:highlight w:val="none"/>
              </w:rPr>
            </w:r>
            <w:r/>
          </w:p>
        </w:tc>
      </w:tr>
      <w:t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企业业绩</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eastAsia="zh-CN"/>
              </w:rPr>
              <w:t xml:space="preserve">2021年</w:t>
            </w:r>
            <w:r>
              <w:rPr>
                <w:rFonts w:hint="eastAsia" w:ascii="宋体" w:hAnsi="宋体" w:cs="宋体"/>
                <w:color w:val="auto"/>
                <w:highlight w:val="none"/>
                <w:lang w:val="en-US" w:eastAsia="zh-CN"/>
              </w:rPr>
              <w:t xml:space="preserve">1月1日</w:t>
            </w:r>
            <w:r>
              <w:rPr>
                <w:rFonts w:hint="eastAsia" w:ascii="宋体" w:hAnsi="宋体" w:cs="宋体"/>
                <w:color w:val="auto"/>
                <w:highlight w:val="none"/>
              </w:rPr>
              <w:t xml:space="preserve">以来</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以合同签订日期为准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承担过</w:t>
            </w:r>
            <w:r>
              <w:rPr>
                <w:rFonts w:hint="eastAsia" w:ascii="宋体" w:hAnsi="宋体" w:cs="宋体"/>
                <w:color w:val="auto"/>
                <w:highlight w:val="none"/>
                <w:lang w:val="en-US" w:eastAsia="zh-CN"/>
              </w:rPr>
              <w:t xml:space="preserve">农村乱占耕地建房类型</w:t>
            </w:r>
            <w:r>
              <w:rPr>
                <w:rFonts w:hint="eastAsia" w:ascii="宋体" w:hAnsi="宋体" w:cs="宋体"/>
                <w:color w:val="auto"/>
                <w:highlight w:val="none"/>
              </w:rPr>
              <w:t xml:space="preserve">项目的每有1个得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分，最多得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rPr>
                <w:rFonts w:hint="eastAsia"/>
                <w:color w:val="auto"/>
                <w:highlight w:val="none"/>
              </w:rPr>
              <w:t xml:space="preserve">没有不得分；</w:t>
            </w:r>
            <w:r/>
          </w:p>
          <w:p>
            <w:pPr>
              <w:jc w:val="left"/>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2021年</w:t>
            </w:r>
            <w:r>
              <w:rPr>
                <w:rFonts w:hint="eastAsia" w:ascii="宋体" w:hAnsi="宋体" w:cs="宋体"/>
                <w:color w:val="auto"/>
                <w:highlight w:val="none"/>
                <w:lang w:val="en-US" w:eastAsia="zh-CN"/>
              </w:rPr>
              <w:t xml:space="preserve">1月1日</w:t>
            </w:r>
            <w:r>
              <w:rPr>
                <w:rFonts w:hint="eastAsia" w:ascii="宋体" w:hAnsi="宋体" w:cs="宋体"/>
                <w:color w:val="auto"/>
                <w:highlight w:val="none"/>
              </w:rPr>
              <w:t xml:space="preserve">以来</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以合同签订日期为准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承担过</w:t>
            </w:r>
            <w:r>
              <w:rPr>
                <w:rFonts w:hint="eastAsia" w:ascii="宋体" w:hAnsi="宋体" w:cs="宋体"/>
                <w:color w:val="auto"/>
                <w:highlight w:val="none"/>
                <w:lang w:val="en-US" w:eastAsia="zh-CN"/>
              </w:rPr>
              <w:t xml:space="preserve">用地报批服务类型项目</w:t>
            </w:r>
            <w:r>
              <w:rPr>
                <w:rFonts w:hint="eastAsia" w:ascii="宋体" w:hAnsi="宋体" w:cs="宋体"/>
                <w:color w:val="auto"/>
                <w:highlight w:val="none"/>
              </w:rPr>
              <w:t xml:space="preserve">的每有一个得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分，最多得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rPr>
                <w:rFonts w:hint="eastAsia"/>
                <w:color w:val="auto"/>
                <w:highlight w:val="none"/>
              </w:rPr>
              <w:t xml:space="preserve">没有不得分；</w:t>
            </w:r>
            <w:r/>
          </w:p>
          <w:p>
            <w:pPr>
              <w:jc w:val="left"/>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2021年</w:t>
            </w:r>
            <w:r>
              <w:rPr>
                <w:rFonts w:hint="eastAsia" w:ascii="宋体" w:hAnsi="宋体" w:cs="宋体"/>
                <w:color w:val="auto"/>
                <w:highlight w:val="none"/>
                <w:lang w:val="en-US" w:eastAsia="zh-CN"/>
              </w:rPr>
              <w:t xml:space="preserve">1月1日</w:t>
            </w:r>
            <w:r>
              <w:rPr>
                <w:rFonts w:hint="eastAsia" w:ascii="宋体" w:hAnsi="宋体" w:cs="宋体"/>
                <w:color w:val="auto"/>
                <w:highlight w:val="none"/>
              </w:rPr>
              <w:t xml:space="preserve">以来</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以合同签订日期为准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承担过自然资源</w:t>
            </w:r>
            <w:r>
              <w:rPr>
                <w:rFonts w:hint="eastAsia" w:ascii="宋体" w:hAnsi="宋体" w:cs="宋体"/>
                <w:color w:val="auto"/>
                <w:highlight w:val="none"/>
                <w:lang w:val="en-US" w:eastAsia="zh-CN"/>
              </w:rPr>
              <w:t xml:space="preserve">日常执法检查类型</w:t>
            </w:r>
            <w:r>
              <w:rPr>
                <w:rFonts w:hint="eastAsia" w:ascii="宋体" w:hAnsi="宋体" w:cs="宋体"/>
                <w:color w:val="auto"/>
                <w:highlight w:val="none"/>
              </w:rPr>
              <w:t xml:space="preserve">项目，每有1个得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分，最多得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rPr>
                <w:rFonts w:hint="eastAsia"/>
                <w:color w:val="auto"/>
                <w:highlight w:val="none"/>
              </w:rPr>
              <w:t xml:space="preserve">没有不得分；    </w:t>
            </w:r>
            <w:r>
              <w:rPr>
                <w:rFonts w:hint="eastAsia" w:ascii="宋体" w:hAnsi="宋体" w:cs="宋体"/>
                <w:color w:val="auto"/>
                <w:highlight w:val="none"/>
              </w:rPr>
              <w:t xml:space="preserve">    </w:t>
            </w:r>
            <w:r/>
          </w:p>
          <w:p>
            <w:pPr>
              <w:jc w:val="center"/>
              <w:rPr>
                <w:b/>
                <w:color w:val="auto"/>
                <w:highlight w:val="none"/>
              </w:rPr>
            </w:pPr>
            <w:r>
              <w:rPr>
                <w:rFonts w:hint="eastAsia"/>
                <w:b/>
                <w:color w:val="auto"/>
                <w:highlight w:val="none"/>
              </w:rPr>
              <w:t xml:space="preserve">注：</w:t>
            </w:r>
            <w:r>
              <w:rPr>
                <w:rFonts w:hint="eastAsia"/>
                <w:b/>
                <w:color w:val="auto"/>
                <w:highlight w:val="none"/>
                <w:lang w:eastAsia="zh-CN"/>
              </w:rPr>
              <w:t xml:space="preserve">供应商</w:t>
            </w:r>
            <w:r>
              <w:rPr>
                <w:rFonts w:hint="eastAsia"/>
                <w:b/>
                <w:color w:val="auto"/>
                <w:highlight w:val="none"/>
              </w:rPr>
              <w:t xml:space="preserve">须在投标文件中提供以上业绩合同</w:t>
            </w:r>
            <w:r>
              <w:rPr>
                <w:rFonts w:hint="eastAsia"/>
                <w:b/>
                <w:color w:val="auto"/>
                <w:highlight w:val="none"/>
                <w:lang w:val="en-US" w:eastAsia="zh-CN"/>
              </w:rPr>
              <w:t xml:space="preserve">扫描件</w:t>
            </w:r>
            <w:r>
              <w:rPr>
                <w:rFonts w:hint="eastAsia"/>
                <w:b/>
                <w:color w:val="auto"/>
                <w:highlight w:val="none"/>
              </w:rPr>
              <w:t xml:space="preserve">，转包、分包合同无效，未按要求提供证明材料的不得分。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center"/>
            <w:vMerge w:val="continue"/>
            <w:textDirection w:val="lrTb"/>
            <w:noWrap w:val="false"/>
          </w:tcPr>
          <w:p>
            <w:pPr>
              <w:jc w:val="center"/>
              <w:rPr>
                <w:rFonts w:hint="eastAsia"/>
                <w:color w:val="auto"/>
                <w:highlight w:val="none"/>
              </w:rPr>
            </w:pPr>
            <w:r>
              <w:rPr>
                <w:rFonts w:hint="eastAsia"/>
                <w:color w:val="auto"/>
                <w:highlight w:val="none"/>
              </w:rPr>
            </w:r>
            <w:r/>
          </w:p>
        </w:tc>
      </w:tr>
      <w:tr>
        <w:trPr>
          <w:trHeight w:val="970"/>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lang w:val="en-US" w:eastAsia="zh-CN"/>
              </w:rPr>
              <w:t xml:space="preserve">获奖证书</w:t>
            </w:r>
            <w:r/>
          </w:p>
        </w:tc>
        <w:tc>
          <w:tcPr>
            <w:shd w:val="clear" w:color="auto" w:fill="auto"/>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供应商获得过政府部门颁发的科学技术奖的，每有一个得1分，本项最高得4分。没有不得分。</w:t>
            </w:r>
            <w:r/>
          </w:p>
          <w:p>
            <w:pPr>
              <w:jc w:val="both"/>
              <w:rPr>
                <w:rFonts w:hint="default" w:ascii="宋体" w:hAnsi="宋体" w:eastAsia="宋体" w:cs="宋体"/>
                <w:color w:val="auto"/>
                <w:sz w:val="24"/>
                <w:szCs w:val="24"/>
                <w:highlight w:val="none"/>
                <w:lang w:val="en-US" w:eastAsia="zh-CN" w:bidi="ar-SA"/>
              </w:rPr>
            </w:pPr>
            <w:r>
              <w:rPr>
                <w:rFonts w:hint="eastAsia"/>
                <w:b/>
                <w:color w:val="auto"/>
                <w:highlight w:val="none"/>
                <w:lang w:val="en-US" w:eastAsia="zh-CN"/>
              </w:rPr>
              <w:t xml:space="preserve">注：须提供以上获奖证书扫描件，否则不得分。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center"/>
            <w:vMerge w:val="continue"/>
            <w:textDirection w:val="lrTb"/>
            <w:noWrap w:val="false"/>
          </w:tcPr>
          <w:p>
            <w:pPr>
              <w:jc w:val="center"/>
              <w:rPr>
                <w:rFonts w:hint="eastAsia"/>
                <w:color w:val="auto"/>
                <w:highlight w:val="none"/>
              </w:rPr>
            </w:pPr>
            <w:r>
              <w:rPr>
                <w:rFonts w:hint="eastAsia"/>
                <w:color w:val="auto"/>
                <w:highlight w:val="none"/>
              </w:rPr>
            </w:r>
            <w:r/>
          </w:p>
        </w:tc>
      </w:tr>
      <w:tr>
        <w:trPr/>
        <w:tc>
          <w:tcPr>
            <w:tcBorders>
              <w:top w:val="single" w:color="auto" w:sz="6" w:space="0"/>
              <w:left w:val="single" w:color="auto" w:sz="6" w:space="0"/>
              <w:right w:val="single" w:color="auto" w:sz="6" w:space="0"/>
            </w:tcBorders>
            <w:tcW w:w="853" w:type="dxa"/>
            <w:vAlign w:val="center"/>
            <w:vMerge w:val="restart"/>
            <w:textDirection w:val="lrTb"/>
            <w:noWrap w:val="false"/>
          </w:tcPr>
          <w:p>
            <w:pPr>
              <w:jc w:val="center"/>
              <w:spacing w:line="4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jc w:val="center"/>
              <w:spacing w:line="4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jc w:val="center"/>
              <w:spacing w:line="4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jc w:val="center"/>
              <w:spacing w:line="4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jc w:val="center"/>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w:t>
            </w:r>
            <w:r>
              <w:rPr>
                <w:rFonts w:hint="eastAsia"/>
                <w:color w:val="auto"/>
                <w:highlight w:val="none"/>
              </w:rPr>
              <w:t xml:space="preserve"> </w:t>
            </w:r>
            <w:r>
              <w:rPr>
                <w:rFonts w:hint="eastAsia" w:ascii="宋体" w:hAnsi="宋体" w:cs="宋体"/>
                <w:color w:val="auto"/>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整体思路</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rPr>
                <w:color w:val="auto"/>
                <w:highlight w:val="none"/>
              </w:rPr>
            </w:pPr>
            <w:r>
              <w:rPr>
                <w:rFonts w:hint="eastAsia"/>
                <w:color w:val="auto"/>
                <w:highlight w:val="none"/>
              </w:rPr>
              <w:t xml:space="preserve">根据</w:t>
            </w:r>
            <w:r>
              <w:rPr>
                <w:rFonts w:hint="eastAsia"/>
                <w:color w:val="auto"/>
                <w:highlight w:val="none"/>
                <w:lang w:eastAsia="zh-CN"/>
              </w:rPr>
              <w:t xml:space="preserve">供应商</w:t>
            </w:r>
            <w:r>
              <w:rPr>
                <w:rFonts w:hint="eastAsia"/>
                <w:color w:val="auto"/>
                <w:highlight w:val="none"/>
              </w:rPr>
              <w:t xml:space="preserve">对本项目整体思路的理解，项目实施方案是否设计全面、符合实际、思路清晰合理，可操作性强等内容进行评审。方案优于项目采购需求，要素完整、思路清晰明了、合理、便于执行的得10分；方案满足采购需求，基本完整且可执行的得</w:t>
            </w:r>
            <w:r>
              <w:rPr>
                <w:rFonts w:hint="eastAsia"/>
                <w:color w:val="auto"/>
                <w:highlight w:val="none"/>
                <w:lang w:val="en-US" w:eastAsia="zh-CN"/>
              </w:rPr>
              <w:t xml:space="preserve">6</w:t>
            </w:r>
            <w:r>
              <w:rPr>
                <w:rFonts w:hint="eastAsia"/>
                <w:color w:val="auto"/>
                <w:highlight w:val="none"/>
              </w:rPr>
              <w:t xml:space="preserve">分；方案虽存在缺陷，但通过后期优化，能够满足采购需求的得</w:t>
            </w:r>
            <w:r>
              <w:rPr>
                <w:rFonts w:hint="eastAsia"/>
                <w:color w:val="auto"/>
                <w:highlight w:val="none"/>
                <w:lang w:val="en-US" w:eastAsia="zh-CN"/>
              </w:rPr>
              <w:t xml:space="preserve">3</w:t>
            </w:r>
            <w:r>
              <w:rPr>
                <w:rFonts w:hint="eastAsia"/>
                <w:color w:val="auto"/>
                <w:highlight w:val="none"/>
              </w:rPr>
              <w:t xml:space="preserve">分，没有内容不得分。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rPr>
              <w:t xml:space="preserve">10.00分</w:t>
            </w:r>
            <w:r/>
          </w:p>
        </w:tc>
        <w:tc>
          <w:tcPr>
            <w:tcBorders>
              <w:top w:val="single" w:color="auto" w:sz="6" w:space="0"/>
              <w:left w:val="single" w:color="auto" w:sz="6" w:space="0"/>
              <w:right w:val="single" w:color="auto" w:sz="6" w:space="0"/>
            </w:tcBorders>
            <w:tcW w:w="847" w:type="dxa"/>
            <w:vAlign w:val="center"/>
            <w:vMerge w:val="restart"/>
            <w:textDirection w:val="lrTb"/>
            <w:noWrap w:val="false"/>
          </w:tcPr>
          <w:p>
            <w:pPr>
              <w:jc w:val="center"/>
              <w:rPr>
                <w:rFonts w:hint="default" w:eastAsia="宋体"/>
                <w:color w:val="auto"/>
                <w:highlight w:val="none"/>
                <w:lang w:val="en-US" w:eastAsia="zh-CN"/>
              </w:rPr>
            </w:pPr>
            <w:r>
              <w:rPr>
                <w:rFonts w:hint="eastAsia"/>
                <w:color w:val="auto"/>
                <w:highlight w:val="none"/>
              </w:rPr>
              <w:t xml:space="preserve">5</w:t>
            </w:r>
            <w:r>
              <w:rPr>
                <w:rFonts w:hint="eastAsia"/>
                <w:color w:val="auto"/>
                <w:highlight w:val="none"/>
                <w:lang w:val="en-US" w:eastAsia="zh-CN"/>
              </w:rPr>
              <w:t xml:space="preserve">5</w:t>
            </w:r>
            <w:r>
              <w:rPr>
                <w:rFonts w:hint="eastAsia"/>
                <w:color w:val="auto"/>
                <w:highlight w:val="none"/>
              </w:rPr>
              <w:t xml:space="preserve">.00分</w:t>
            </w:r>
            <w:r/>
          </w:p>
        </w:tc>
      </w:tr>
      <w:t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项目管理</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rPr>
                <w:color w:val="auto"/>
                <w:highlight w:val="none"/>
              </w:rPr>
            </w:pPr>
            <w:r>
              <w:rPr>
                <w:rFonts w:hint="eastAsia"/>
                <w:color w:val="auto"/>
                <w:highlight w:val="none"/>
              </w:rPr>
              <w:t xml:space="preserve">根据</w:t>
            </w:r>
            <w:r>
              <w:rPr>
                <w:rFonts w:hint="eastAsia"/>
                <w:color w:val="auto"/>
                <w:highlight w:val="none"/>
                <w:lang w:eastAsia="zh-CN"/>
              </w:rPr>
              <w:t xml:space="preserve">供应商</w:t>
            </w:r>
            <w:r>
              <w:rPr>
                <w:rFonts w:hint="eastAsia"/>
                <w:color w:val="auto"/>
                <w:highlight w:val="none"/>
              </w:rPr>
              <w:t xml:space="preserve">针对本项目采购需求中专业技术操作的规范性、对本项目人员及质量保障措施进行评审。方案完整、合理、优于采购需求便于执行的得 10分；方案满足采购需求，且可执行的得</w:t>
            </w:r>
            <w:r>
              <w:rPr>
                <w:rFonts w:hint="eastAsia"/>
                <w:color w:val="auto"/>
                <w:highlight w:val="none"/>
                <w:lang w:val="en-US" w:eastAsia="zh-CN"/>
              </w:rPr>
              <w:t xml:space="preserve">6</w:t>
            </w:r>
            <w:r>
              <w:rPr>
                <w:rFonts w:hint="eastAsia"/>
                <w:color w:val="auto"/>
                <w:highlight w:val="none"/>
              </w:rPr>
              <w:t xml:space="preserve">分；方案虽然存在缺陷，但通过后期优化，能够满足采购需求的得</w:t>
            </w:r>
            <w:r>
              <w:rPr>
                <w:rFonts w:hint="eastAsia"/>
                <w:color w:val="auto"/>
                <w:highlight w:val="none"/>
                <w:lang w:val="en-US" w:eastAsia="zh-CN"/>
              </w:rPr>
              <w:t xml:space="preserve">3</w:t>
            </w:r>
            <w:r>
              <w:rPr>
                <w:rFonts w:hint="eastAsia"/>
                <w:color w:val="auto"/>
                <w:highlight w:val="none"/>
              </w:rPr>
              <w:t xml:space="preserve">分，没有内容不得分。   </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rPr>
              <w:t xml:space="preserve">10.00分</w:t>
            </w:r>
            <w:r/>
          </w:p>
        </w:tc>
        <w:tc>
          <w:tcPr>
            <w:tcBorders>
              <w:left w:val="single" w:color="auto" w:sz="6" w:space="0"/>
              <w:right w:val="single" w:color="auto" w:sz="6" w:space="0"/>
            </w:tcBorders>
            <w:tcW w:w="847" w:type="dxa"/>
            <w:vAlign w:val="top"/>
            <w:vMerge w:val="continue"/>
            <w:textDirection w:val="lrTb"/>
            <w:noWrap w:val="false"/>
          </w:tcPr>
          <w:p>
            <w:pPr>
              <w:jc w:val="center"/>
              <w:rPr>
                <w:rFonts w:hint="eastAsia"/>
                <w:color w:val="auto"/>
                <w:highlight w:val="none"/>
              </w:rPr>
            </w:pPr>
            <w:r>
              <w:rPr>
                <w:rFonts w:hint="eastAsia"/>
                <w:color w:val="auto"/>
                <w:highlight w:val="none"/>
              </w:rPr>
            </w:r>
            <w:r/>
          </w:p>
        </w:tc>
      </w:tr>
      <w:t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进度安排</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rPr>
                <w:color w:val="auto"/>
                <w:highlight w:val="none"/>
              </w:rPr>
            </w:pPr>
            <w:r>
              <w:rPr>
                <w:rFonts w:hint="eastAsia"/>
                <w:color w:val="auto"/>
                <w:highlight w:val="none"/>
              </w:rPr>
              <w:t xml:space="preserve">进度安排。视项目进度安排合理性、工序管理措施科学性、工期滞后弥补办法可行性等进行综合评定，安排合理、科学、可行性强的得10分；安排较合理、较科学、可行性较强的得</w:t>
            </w:r>
            <w:r>
              <w:rPr>
                <w:rFonts w:hint="eastAsia"/>
                <w:color w:val="auto"/>
                <w:highlight w:val="none"/>
                <w:lang w:val="en-US" w:eastAsia="zh-CN"/>
              </w:rPr>
              <w:t xml:space="preserve">6</w:t>
            </w:r>
            <w:r>
              <w:rPr>
                <w:rFonts w:hint="eastAsia"/>
                <w:color w:val="auto"/>
                <w:highlight w:val="none"/>
              </w:rPr>
              <w:t xml:space="preserve">分；安排</w:t>
            </w:r>
            <w:r>
              <w:rPr>
                <w:rFonts w:hint="eastAsia"/>
                <w:color w:val="auto"/>
                <w:highlight w:val="none"/>
                <w:lang w:val="en-US" w:eastAsia="zh-CN"/>
              </w:rPr>
              <w:t xml:space="preserve">一般</w:t>
            </w:r>
            <w:r>
              <w:rPr>
                <w:rFonts w:hint="eastAsia"/>
                <w:color w:val="auto"/>
                <w:highlight w:val="none"/>
              </w:rPr>
              <w:t xml:space="preserve">、可行性</w:t>
            </w:r>
            <w:r>
              <w:rPr>
                <w:rFonts w:hint="eastAsia"/>
                <w:color w:val="auto"/>
                <w:highlight w:val="none"/>
                <w:lang w:val="en-US" w:eastAsia="zh-CN"/>
              </w:rPr>
              <w:t xml:space="preserve">一般</w:t>
            </w:r>
            <w:r>
              <w:rPr>
                <w:rFonts w:hint="eastAsia"/>
                <w:color w:val="auto"/>
                <w:highlight w:val="none"/>
              </w:rPr>
              <w:t xml:space="preserve">的得</w:t>
            </w:r>
            <w:r>
              <w:rPr>
                <w:rFonts w:hint="eastAsia"/>
                <w:color w:val="auto"/>
                <w:highlight w:val="none"/>
                <w:lang w:val="en-US" w:eastAsia="zh-CN"/>
              </w:rPr>
              <w:t xml:space="preserve">3</w:t>
            </w:r>
            <w:r>
              <w:rPr>
                <w:rFonts w:hint="eastAsia"/>
                <w:color w:val="auto"/>
                <w:highlight w:val="none"/>
              </w:rPr>
              <w:t xml:space="preserve">分，没有内容不得分。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rPr>
              <w:t xml:space="preserve">10.00分</w:t>
            </w:r>
            <w:r/>
          </w:p>
        </w:tc>
        <w:tc>
          <w:tcPr>
            <w:tcBorders>
              <w:left w:val="single" w:color="auto" w:sz="6" w:space="0"/>
              <w:right w:val="single" w:color="auto" w:sz="6" w:space="0"/>
            </w:tcBorders>
            <w:tcW w:w="847" w:type="dxa"/>
            <w:vAlign w:val="top"/>
            <w:vMerge w:val="continue"/>
            <w:textDirection w:val="lrTb"/>
            <w:noWrap w:val="false"/>
          </w:tcPr>
          <w:p>
            <w:pPr>
              <w:jc w:val="center"/>
              <w:rPr>
                <w:rFonts w:hint="eastAsia"/>
                <w:color w:val="auto"/>
                <w:highlight w:val="none"/>
              </w:rPr>
            </w:pPr>
            <w:r>
              <w:rPr>
                <w:rFonts w:hint="eastAsia"/>
                <w:color w:val="auto"/>
                <w:highlight w:val="none"/>
              </w:rPr>
            </w:r>
            <w:r/>
          </w:p>
        </w:tc>
      </w:tr>
      <w:t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合理化建议</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rPr>
                <w:color w:val="auto"/>
                <w:highlight w:val="none"/>
              </w:rPr>
            </w:pPr>
            <w:r>
              <w:rPr>
                <w:rFonts w:hint="eastAsia"/>
                <w:color w:val="auto"/>
                <w:highlight w:val="none"/>
                <w:lang w:eastAsia="zh-CN"/>
              </w:rPr>
              <w:t xml:space="preserve">供应商</w:t>
            </w:r>
            <w:r>
              <w:rPr>
                <w:rFonts w:hint="eastAsia"/>
                <w:color w:val="auto"/>
                <w:highlight w:val="none"/>
              </w:rPr>
              <w:t xml:space="preserve">在分析项目重点与难点的基础上，就如何协调、统筹推进项目的各项工作任务，已有成果资料的分析利用，设备仪器和人员投入数量能否满足工期要求，</w:t>
            </w:r>
            <w:r>
              <w:rPr>
                <w:rFonts w:hint="eastAsia"/>
                <w:color w:val="auto"/>
                <w:highlight w:val="none"/>
                <w:lang w:val="en-US" w:eastAsia="zh-CN"/>
              </w:rPr>
              <w:t xml:space="preserve">工作</w:t>
            </w:r>
            <w:r>
              <w:rPr>
                <w:rFonts w:hint="eastAsia"/>
                <w:color w:val="auto"/>
                <w:highlight w:val="none"/>
              </w:rPr>
              <w:t xml:space="preserve">衔接等方面，提出创新、创优等合理化建议，视建议的合理化、可行性等程度进行综合评定，建议方案合理，可行性强的得</w:t>
            </w:r>
            <w:r>
              <w:rPr>
                <w:rFonts w:hint="eastAsia"/>
                <w:color w:val="auto"/>
                <w:highlight w:val="none"/>
                <w:lang w:val="en-US" w:eastAsia="zh-CN"/>
              </w:rPr>
              <w:t xml:space="preserve">10</w:t>
            </w:r>
            <w:r>
              <w:rPr>
                <w:rFonts w:hint="eastAsia"/>
                <w:color w:val="auto"/>
                <w:highlight w:val="none"/>
              </w:rPr>
              <w:t xml:space="preserve">分；建议方案较合理，可行性较强的得</w:t>
            </w:r>
            <w:r>
              <w:rPr>
                <w:rFonts w:hint="eastAsia"/>
                <w:color w:val="auto"/>
                <w:highlight w:val="none"/>
                <w:lang w:val="en-US" w:eastAsia="zh-CN"/>
              </w:rPr>
              <w:t xml:space="preserve">6</w:t>
            </w:r>
            <w:r>
              <w:rPr>
                <w:rFonts w:hint="eastAsia"/>
                <w:color w:val="auto"/>
                <w:highlight w:val="none"/>
              </w:rPr>
              <w:t xml:space="preserve">分；建议方案</w:t>
            </w:r>
            <w:r>
              <w:rPr>
                <w:rFonts w:hint="eastAsia"/>
                <w:color w:val="auto"/>
                <w:highlight w:val="none"/>
                <w:lang w:val="en-US" w:eastAsia="zh-CN"/>
              </w:rPr>
              <w:t xml:space="preserve">一般</w:t>
            </w:r>
            <w:r>
              <w:rPr>
                <w:rFonts w:hint="eastAsia"/>
                <w:color w:val="auto"/>
                <w:highlight w:val="none"/>
              </w:rPr>
              <w:t xml:space="preserve">，可行性</w:t>
            </w:r>
            <w:r>
              <w:rPr>
                <w:rFonts w:hint="eastAsia"/>
                <w:color w:val="auto"/>
                <w:highlight w:val="none"/>
                <w:lang w:val="en-US" w:eastAsia="zh-CN"/>
              </w:rPr>
              <w:t xml:space="preserve">一般</w:t>
            </w:r>
            <w:r>
              <w:rPr>
                <w:rFonts w:hint="eastAsia"/>
                <w:color w:val="auto"/>
                <w:highlight w:val="none"/>
              </w:rPr>
              <w:t xml:space="preserve">的得</w:t>
            </w:r>
            <w:r>
              <w:rPr>
                <w:rFonts w:hint="eastAsia"/>
                <w:color w:val="auto"/>
                <w:highlight w:val="none"/>
                <w:lang w:val="en-US" w:eastAsia="zh-CN"/>
              </w:rPr>
              <w:t xml:space="preserve">3</w:t>
            </w:r>
            <w:r>
              <w:rPr>
                <w:rFonts w:hint="eastAsia"/>
                <w:color w:val="auto"/>
                <w:highlight w:val="none"/>
              </w:rPr>
              <w:t xml:space="preserve">分，没有内容不得分。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rFonts w:hint="eastAsia"/>
                <w:color w:val="auto"/>
                <w:highlight w:val="none"/>
              </w:rPr>
            </w:pPr>
            <w:r>
              <w:rPr>
                <w:rFonts w:hint="eastAsia"/>
                <w:color w:val="auto"/>
                <w:highlight w:val="none"/>
              </w:rPr>
            </w:r>
            <w:r/>
          </w:p>
        </w:tc>
      </w:tr>
      <w:t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安全保密措施</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rPr>
                <w:rFonts w:hint="eastAsia"/>
                <w:color w:val="auto"/>
                <w:highlight w:val="none"/>
              </w:rPr>
            </w:pPr>
            <w:r>
              <w:rPr>
                <w:rFonts w:hint="eastAsia"/>
                <w:color w:val="auto"/>
                <w:highlight w:val="none"/>
              </w:rPr>
              <w:t xml:space="preserve">1、投入的项目人员具有由</w:t>
            </w:r>
            <w:r>
              <w:rPr>
                <w:rFonts w:hint="eastAsia"/>
                <w:color w:val="auto"/>
                <w:highlight w:val="none"/>
                <w:lang w:val="en-US" w:eastAsia="zh-CN"/>
              </w:rPr>
              <w:t xml:space="preserve">主管部门</w:t>
            </w:r>
            <w:r>
              <w:rPr>
                <w:rFonts w:hint="eastAsia"/>
                <w:color w:val="auto"/>
                <w:highlight w:val="none"/>
              </w:rPr>
              <w:t xml:space="preserve">颁发的涉密测绘成果管理人员岗位培训证书得，每有1个得0.5分，最高得</w:t>
            </w:r>
            <w:r>
              <w:rPr>
                <w:rFonts w:hint="eastAsia"/>
                <w:color w:val="auto"/>
                <w:highlight w:val="none"/>
                <w:lang w:val="en-US" w:eastAsia="zh-CN"/>
              </w:rPr>
              <w:t xml:space="preserve">4</w:t>
            </w:r>
            <w:r>
              <w:rPr>
                <w:rFonts w:hint="eastAsia"/>
                <w:color w:val="auto"/>
                <w:highlight w:val="none"/>
              </w:rPr>
              <w:t xml:space="preserve">分，没有不得分；（须提供证书</w:t>
            </w:r>
            <w:r>
              <w:rPr>
                <w:rFonts w:hint="eastAsia"/>
                <w:color w:val="auto"/>
                <w:highlight w:val="none"/>
                <w:lang w:val="en-US" w:eastAsia="zh-CN"/>
              </w:rPr>
              <w:t xml:space="preserve">扫描件，否则不得分</w:t>
            </w:r>
            <w:r>
              <w:rPr>
                <w:rFonts w:hint="eastAsia"/>
                <w:color w:val="auto"/>
                <w:highlight w:val="none"/>
              </w:rPr>
              <w:t xml:space="preserve">）；</w:t>
            </w:r>
            <w:r/>
          </w:p>
          <w:p>
            <w:pPr>
              <w:jc w:val="center"/>
              <w:rPr>
                <w:color w:val="auto"/>
                <w:highlight w:val="none"/>
              </w:rPr>
            </w:pPr>
            <w:r>
              <w:rPr>
                <w:rFonts w:hint="eastAsia"/>
                <w:color w:val="auto"/>
                <w:highlight w:val="none"/>
              </w:rPr>
              <w:t xml:space="preserve">2、涉密管理制度齐全、保密方案合规、严谨、可控、提供保密承诺的得</w:t>
            </w:r>
            <w:r>
              <w:rPr>
                <w:rFonts w:hint="eastAsia"/>
                <w:color w:val="auto"/>
                <w:highlight w:val="none"/>
                <w:lang w:val="en-US" w:eastAsia="zh-CN"/>
              </w:rPr>
              <w:t xml:space="preserve">5</w:t>
            </w:r>
            <w:r>
              <w:rPr>
                <w:rFonts w:hint="eastAsia"/>
                <w:color w:val="auto"/>
                <w:highlight w:val="none"/>
              </w:rPr>
              <w:t xml:space="preserve">分，保密方案一般的得</w:t>
            </w:r>
            <w:r>
              <w:rPr>
                <w:rFonts w:hint="eastAsia"/>
                <w:color w:val="auto"/>
                <w:highlight w:val="none"/>
                <w:lang w:val="en-US" w:eastAsia="zh-CN"/>
              </w:rPr>
              <w:t xml:space="preserve">3</w:t>
            </w:r>
            <w:r>
              <w:rPr>
                <w:rFonts w:hint="eastAsia"/>
                <w:color w:val="auto"/>
                <w:highlight w:val="none"/>
              </w:rPr>
              <w:t xml:space="preserve">分，较差的得</w:t>
            </w:r>
            <w:r>
              <w:rPr>
                <w:rFonts w:hint="eastAsia"/>
                <w:color w:val="auto"/>
                <w:highlight w:val="none"/>
                <w:lang w:val="en-US" w:eastAsia="zh-CN"/>
              </w:rPr>
              <w:t xml:space="preserve">1</w:t>
            </w:r>
            <w:r>
              <w:rPr>
                <w:rFonts w:hint="eastAsia"/>
                <w:color w:val="auto"/>
                <w:highlight w:val="none"/>
              </w:rPr>
              <w:t xml:space="preserve">分。没有内容不得分。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rFonts w:hint="eastAsia"/>
                <w:color w:val="auto"/>
                <w:highlight w:val="none"/>
              </w:rPr>
            </w:pPr>
            <w:r>
              <w:rPr>
                <w:rFonts w:hint="eastAsia"/>
                <w:color w:val="auto"/>
                <w:highlight w:val="none"/>
              </w:rPr>
            </w:r>
            <w:r/>
          </w:p>
        </w:tc>
      </w:tr>
      <w:tr>
        <w:trPr/>
        <w:tc>
          <w:tcPr>
            <w:tcBorders>
              <w:left w:val="single" w:color="auto" w:sz="6" w:space="0"/>
              <w:bottom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hint="eastAsia" w:ascii="宋体" w:hAnsi="宋体" w:cs="宋体"/>
                <w:color w:val="auto"/>
                <w:highlight w:val="none"/>
              </w:rPr>
            </w:pPr>
            <w:r>
              <w:rPr>
                <w:rFonts w:hint="eastAsia" w:ascii="宋体" w:hAnsi="宋体" w:cs="宋体"/>
                <w:color w:val="auto"/>
                <w:highlight w:val="none"/>
              </w:rPr>
              <w:t xml:space="preserve">售后服务</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rPr>
                <w:rFonts w:hint="eastAsia"/>
                <w:color w:val="auto"/>
                <w:highlight w:val="none"/>
              </w:rPr>
            </w:pPr>
            <w:r>
              <w:rPr>
                <w:rFonts w:hint="eastAsia"/>
                <w:color w:val="auto"/>
                <w:highlight w:val="none"/>
              </w:rPr>
              <w:t xml:space="preserve">根据</w:t>
            </w:r>
            <w:r>
              <w:rPr>
                <w:rFonts w:hint="eastAsia"/>
                <w:color w:val="auto"/>
                <w:highlight w:val="none"/>
                <w:lang w:eastAsia="zh-CN"/>
              </w:rPr>
              <w:t xml:space="preserve">供应商</w:t>
            </w:r>
            <w:r>
              <w:rPr>
                <w:rFonts w:hint="eastAsia"/>
                <w:color w:val="auto"/>
                <w:highlight w:val="none"/>
              </w:rPr>
              <w:t xml:space="preserve">提供的服务承诺、服务响应时间、服务方式、服务内容、人员配备力量等进行评分。方案详细、响应及时、服务体系完整、人员配备力量充足且优于采购需求</w:t>
            </w:r>
            <w:r>
              <w:rPr>
                <w:rFonts w:hint="eastAsia"/>
                <w:color w:val="auto"/>
                <w:highlight w:val="none"/>
                <w:lang w:val="en-US" w:eastAsia="zh-CN"/>
              </w:rPr>
              <w:t xml:space="preserve">的</w:t>
            </w:r>
            <w:r>
              <w:rPr>
                <w:rFonts w:hint="eastAsia"/>
                <w:color w:val="auto"/>
                <w:highlight w:val="none"/>
              </w:rPr>
              <w:t xml:space="preserve">得</w:t>
            </w:r>
            <w:r>
              <w:rPr>
                <w:rFonts w:hint="eastAsia"/>
                <w:color w:val="auto"/>
                <w:highlight w:val="none"/>
                <w:lang w:val="en-US" w:eastAsia="zh-CN"/>
              </w:rPr>
              <w:t xml:space="preserve">6</w:t>
            </w:r>
            <w:r>
              <w:rPr>
                <w:rFonts w:hint="eastAsia"/>
                <w:color w:val="auto"/>
                <w:highlight w:val="none"/>
              </w:rPr>
              <w:t xml:space="preserve">分；方案</w:t>
            </w:r>
            <w:r>
              <w:rPr>
                <w:rFonts w:hint="eastAsia"/>
                <w:color w:val="auto"/>
                <w:highlight w:val="none"/>
                <w:lang w:val="en-US" w:eastAsia="zh-CN"/>
              </w:rPr>
              <w:t xml:space="preserve">较</w:t>
            </w:r>
            <w:r>
              <w:rPr>
                <w:rFonts w:hint="eastAsia"/>
                <w:color w:val="auto"/>
                <w:highlight w:val="none"/>
              </w:rPr>
              <w:t xml:space="preserve">详细、响应虽有滞后服务体系尚算完整，能基本确保业务稳定运行的，能够满足采购需求</w:t>
            </w:r>
            <w:r>
              <w:rPr>
                <w:rFonts w:hint="eastAsia"/>
                <w:color w:val="auto"/>
                <w:highlight w:val="none"/>
                <w:lang w:val="en-US" w:eastAsia="zh-CN"/>
              </w:rPr>
              <w:t xml:space="preserve">的</w:t>
            </w:r>
            <w:r>
              <w:rPr>
                <w:rFonts w:hint="eastAsia"/>
                <w:color w:val="auto"/>
                <w:highlight w:val="none"/>
              </w:rPr>
              <w:t xml:space="preserve">得</w:t>
            </w:r>
            <w:r>
              <w:rPr>
                <w:rFonts w:hint="eastAsia"/>
                <w:color w:val="auto"/>
                <w:highlight w:val="none"/>
                <w:lang w:val="en-US" w:eastAsia="zh-CN"/>
              </w:rPr>
              <w:t xml:space="preserve">4</w:t>
            </w:r>
            <w:r>
              <w:rPr>
                <w:rFonts w:hint="eastAsia"/>
                <w:color w:val="auto"/>
                <w:highlight w:val="none"/>
              </w:rPr>
              <w:t xml:space="preserve">分；方案笼统、响应滞后、人员配备一般、服务体系虽完整，但缺乏有效保障业务稳定运行的措施，承诺经过优化可实现采购需求</w:t>
            </w:r>
            <w:r>
              <w:rPr>
                <w:rFonts w:hint="eastAsia"/>
                <w:color w:val="auto"/>
                <w:highlight w:val="none"/>
                <w:lang w:val="en-US" w:eastAsia="zh-CN"/>
              </w:rPr>
              <w:t xml:space="preserve">的</w:t>
            </w:r>
            <w:r>
              <w:rPr>
                <w:rFonts w:hint="eastAsia"/>
                <w:color w:val="auto"/>
                <w:highlight w:val="none"/>
              </w:rPr>
              <w:t xml:space="preserve">得 </w:t>
            </w:r>
            <w:r>
              <w:rPr>
                <w:rFonts w:hint="eastAsia"/>
                <w:color w:val="auto"/>
                <w:highlight w:val="none"/>
                <w:lang w:val="en-US" w:eastAsia="zh-CN"/>
              </w:rPr>
              <w:t xml:space="preserve">2</w:t>
            </w:r>
            <w:r>
              <w:rPr>
                <w:rFonts w:hint="eastAsia"/>
                <w:color w:val="auto"/>
                <w:highlight w:val="none"/>
              </w:rPr>
              <w:t xml:space="preserve">分。没有内容或其情况不满足磋商文件需求的不得分。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.00分</w:t>
            </w:r>
            <w:r/>
          </w:p>
        </w:tc>
        <w:tc>
          <w:tcPr>
            <w:tcBorders>
              <w:left w:val="single" w:color="auto" w:sz="6" w:space="0"/>
              <w:bottom w:val="single" w:color="auto" w:sz="6" w:space="0"/>
              <w:right w:val="single" w:color="auto" w:sz="6" w:space="0"/>
            </w:tcBorders>
            <w:tcW w:w="847" w:type="dxa"/>
            <w:vAlign w:val="top"/>
            <w:vMerge w:val="continue"/>
            <w:textDirection w:val="lrTb"/>
            <w:noWrap w:val="false"/>
          </w:tcPr>
          <w:p>
            <w:pPr>
              <w:jc w:val="center"/>
              <w:rPr>
                <w:rFonts w:hint="eastAsia"/>
                <w:color w:val="auto"/>
                <w:highlight w:val="none"/>
              </w:rPr>
            </w:pPr>
            <w:r>
              <w:rPr>
                <w:rFonts w:hint="eastAsia"/>
                <w:color w:val="auto"/>
                <w:highlight w:val="none"/>
              </w:rPr>
            </w:r>
            <w:r/>
          </w:p>
        </w:tc>
      </w:tr>
    </w:tbl>
    <w:p>
      <w:pPr>
        <w:pStyle w:val="987"/>
        <w:ind w:firstLine="0"/>
        <w:spacing w:line="320" w:lineRule="exact"/>
        <w:rPr>
          <w:rFonts w:hint="eastAsia" w:cs="宋体"/>
          <w:b/>
          <w:color w:val="auto"/>
          <w:sz w:val="24"/>
          <w:szCs w:val="24"/>
          <w:highlight w:val="none"/>
        </w:rPr>
      </w:pPr>
      <w:r>
        <w:rPr>
          <w:b/>
          <w:bCs/>
          <w:color w:val="auto"/>
          <w:sz w:val="24"/>
          <w:szCs w:val="24"/>
          <w:highlight w:val="none"/>
        </w:rPr>
        <w:t xml:space="preserve">注：</w:t>
      </w:r>
      <w:r>
        <w:rPr>
          <w:rFonts w:hint="eastAsia"/>
          <w:b/>
          <w:bCs/>
          <w:color w:val="auto"/>
          <w:sz w:val="24"/>
          <w:szCs w:val="24"/>
          <w:highlight w:val="none"/>
        </w:rPr>
        <w:t xml:space="preserve">1、</w:t>
      </w:r>
      <w:r>
        <w:rPr>
          <w:rFonts w:hint="eastAsia" w:cs="宋体"/>
          <w:b/>
          <w:color w:val="auto"/>
          <w:sz w:val="24"/>
          <w:szCs w:val="24"/>
          <w:highlight w:val="none"/>
        </w:rPr>
        <w:t xml:space="preserve">请各供应商根据评分标准制作评分索引并放在评审内容的前面，评分索引中应标明每个评分点的页码范围，如响应文件内容顺序混乱，导致磋商小组无法查看，后果自负。</w:t>
      </w:r>
      <w:r/>
    </w:p>
    <w:p>
      <w:pPr>
        <w:ind w:firstLine="241"/>
        <w:spacing w:line="3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2、如为联合体投标，以上</w:t>
      </w:r>
      <w:r>
        <w:rPr>
          <w:rFonts w:hint="eastAsia" w:ascii="宋体" w:hAnsi="宋体" w:cs="宋体"/>
          <w:b/>
          <w:color w:val="auto"/>
          <w:sz w:val="24"/>
          <w:szCs w:val="24"/>
          <w:highlight w:val="none"/>
          <w:lang w:val="en-US" w:eastAsia="zh-CN"/>
        </w:rPr>
        <w:t xml:space="preserve">采购包</w:t>
      </w:r>
      <w:r>
        <w:rPr>
          <w:rFonts w:hint="eastAsia" w:ascii="宋体" w:hAnsi="宋体" w:cs="宋体"/>
          <w:b/>
          <w:color w:val="auto"/>
          <w:sz w:val="24"/>
          <w:szCs w:val="24"/>
          <w:highlight w:val="none"/>
        </w:rPr>
        <w:t xml:space="preserve">一和</w:t>
      </w:r>
      <w:r>
        <w:rPr>
          <w:rFonts w:hint="eastAsia" w:ascii="宋体" w:hAnsi="宋体" w:cs="宋体"/>
          <w:b/>
          <w:color w:val="auto"/>
          <w:sz w:val="24"/>
          <w:szCs w:val="24"/>
          <w:highlight w:val="none"/>
          <w:lang w:val="en-US" w:eastAsia="zh-CN"/>
        </w:rPr>
        <w:t xml:space="preserve">采购包</w:t>
      </w:r>
      <w:r>
        <w:rPr>
          <w:rFonts w:hint="eastAsia" w:ascii="宋体" w:hAnsi="宋体" w:cs="宋体"/>
          <w:b/>
          <w:color w:val="auto"/>
          <w:sz w:val="24"/>
          <w:szCs w:val="24"/>
          <w:highlight w:val="none"/>
        </w:rPr>
        <w:t xml:space="preserve">二评分内容中关于企业综合实力</w:t>
      </w:r>
      <w:r>
        <w:rPr>
          <w:rFonts w:hint="eastAsia" w:ascii="宋体" w:hAnsi="宋体" w:cs="宋体"/>
          <w:b/>
          <w:color w:val="auto"/>
          <w:sz w:val="24"/>
          <w:szCs w:val="24"/>
          <w:highlight w:val="none"/>
          <w:lang w:val="en-US" w:eastAsia="zh-CN"/>
        </w:rPr>
        <w:t xml:space="preserve">要求</w:t>
      </w:r>
      <w:r>
        <w:rPr>
          <w:rFonts w:hint="eastAsia" w:ascii="宋体" w:hAnsi="宋体" w:cs="宋体"/>
          <w:b/>
          <w:color w:val="auto"/>
          <w:sz w:val="24"/>
          <w:szCs w:val="24"/>
          <w:highlight w:val="none"/>
        </w:rPr>
        <w:t xml:space="preserve">所有的证明材料均</w:t>
      </w:r>
      <w:r>
        <w:rPr>
          <w:rFonts w:hint="eastAsia" w:ascii="宋体" w:hAnsi="宋体" w:cs="宋体"/>
          <w:b/>
          <w:color w:val="auto"/>
          <w:sz w:val="24"/>
          <w:szCs w:val="24"/>
          <w:highlight w:val="none"/>
          <w:lang w:val="en-US" w:eastAsia="zh-CN"/>
        </w:rPr>
        <w:t xml:space="preserve">可</w:t>
      </w:r>
      <w:r>
        <w:rPr>
          <w:rFonts w:hint="eastAsia" w:ascii="宋体" w:hAnsi="宋体" w:cs="宋体"/>
          <w:b/>
          <w:color w:val="auto"/>
          <w:sz w:val="24"/>
          <w:szCs w:val="24"/>
          <w:highlight w:val="none"/>
        </w:rPr>
        <w:t xml:space="preserve">以联合体牵头单位</w:t>
      </w:r>
      <w:r>
        <w:rPr>
          <w:rFonts w:hint="eastAsia" w:ascii="宋体" w:hAnsi="宋体" w:cs="宋体"/>
          <w:b/>
          <w:color w:val="auto"/>
          <w:sz w:val="24"/>
          <w:szCs w:val="24"/>
          <w:highlight w:val="none"/>
          <w:lang w:val="en-US" w:eastAsia="zh-CN"/>
        </w:rPr>
        <w:t xml:space="preserve">或成员单位</w:t>
      </w:r>
      <w:r>
        <w:rPr>
          <w:rFonts w:hint="eastAsia" w:ascii="宋体" w:hAnsi="宋体" w:cs="宋体"/>
          <w:b/>
          <w:color w:val="auto"/>
          <w:sz w:val="24"/>
          <w:szCs w:val="24"/>
          <w:highlight w:val="none"/>
        </w:rPr>
        <w:t xml:space="preserve">提供的证明资料作为评分依据。</w:t>
      </w:r>
      <w:r/>
    </w:p>
    <w:p>
      <w:pPr>
        <w:ind w:firstLine="281"/>
        <w:spacing w:line="320" w:lineRule="exact"/>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（二）</w:t>
      </w:r>
      <w:r>
        <w:rPr>
          <w:rFonts w:ascii="Times New Roman" w:hAnsi="Times New Roman"/>
          <w:b/>
          <w:color w:val="auto"/>
          <w:sz w:val="28"/>
          <w:szCs w:val="28"/>
          <w:highlight w:val="none"/>
        </w:rPr>
        <w:t xml:space="preserve">价格分：</w:t>
      </w:r>
      <w:r>
        <w:rPr>
          <w:rFonts w:hint="eastAsia" w:ascii="Times New Roman" w:hAnsi="Times New Roman"/>
          <w:b/>
          <w:color w:val="auto"/>
          <w:sz w:val="28"/>
          <w:szCs w:val="28"/>
          <w:highlight w:val="none"/>
        </w:rPr>
        <w:t xml:space="preserve">15</w:t>
      </w:r>
      <w:r>
        <w:rPr>
          <w:rFonts w:ascii="Times New Roman" w:hAnsi="Times New Roman"/>
          <w:b/>
          <w:color w:val="auto"/>
          <w:sz w:val="28"/>
          <w:szCs w:val="28"/>
          <w:highlight w:val="none"/>
        </w:rPr>
        <w:t xml:space="preserve">分</w:t>
      </w:r>
      <w:r/>
    </w:p>
    <w:p>
      <w:pPr>
        <w:ind w:firstLine="556"/>
        <w:spacing w:line="32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p>
    <w:p>
      <w:pPr>
        <w:ind w:firstLine="555"/>
        <w:spacing w:line="320" w:lineRule="exact"/>
        <w:rPr>
          <w:color w:val="auto"/>
          <w:highlight w:val="none"/>
        </w:rPr>
      </w:pPr>
      <w:r>
        <w:rPr>
          <w:rFonts w:ascii="Times New Roman" w:hAnsi="Times New Roman"/>
          <w:b/>
          <w:color w:val="auto"/>
          <w:sz w:val="24"/>
          <w:szCs w:val="24"/>
          <w:highlight w:val="none"/>
        </w:rPr>
        <w:t xml:space="preserve">磋商报价得分=（磋商基准价/最后磋商报价）×</w:t>
      </w:r>
      <w:r>
        <w:rPr>
          <w:rFonts w:hint="eastAsia" w:ascii="Times New Roman" w:hAnsi="Times New Roman"/>
          <w:b/>
          <w:color w:val="auto"/>
          <w:sz w:val="24"/>
          <w:szCs w:val="24"/>
          <w:highlight w:val="none"/>
        </w:rPr>
        <w:t xml:space="preserve">15</w:t>
      </w:r>
      <w:r/>
    </w:p>
    <w:p>
      <w:pPr>
        <w:ind w:firstLine="555"/>
        <w:spacing w:line="320" w:lineRule="exact"/>
        <w:rPr>
          <w:rFonts w:ascii="Times New Roman" w:hAnsi="Times New Roman"/>
          <w:b/>
          <w:color w:val="auto"/>
          <w:sz w:val="24"/>
          <w:szCs w:val="24"/>
          <w:highlight w:val="none"/>
        </w:rPr>
        <w:sectPr>
          <w:footerReference w:type="default" r:id="rId11"/>
          <w:footnotePr/>
          <w:endnotePr/>
          <w:type w:val="nextPage"/>
          <w:pgSz w:w="11906" w:h="16839" w:orient="portrait"/>
          <w:pgMar w:top="1431" w:right="1404" w:bottom="1061" w:left="1182" w:header="0" w:footer="902" w:gutter="0"/>
          <w:pgNumType w:start="1"/>
          <w:cols w:num="1" w:sep="0" w:space="720" w:equalWidth="1"/>
          <w:docGrid w:linePitch="360"/>
        </w:sectPr>
      </w:pPr>
      <w:r>
        <w:rPr>
          <w:rFonts w:hint="eastAsia" w:ascii="Times New Roman" w:hAnsi="Times New Roman"/>
          <w:b/>
          <w:color w:val="auto"/>
          <w:sz w:val="24"/>
          <w:szCs w:val="24"/>
          <w:highlight w:val="none"/>
        </w:rPr>
        <w:t xml:space="preserve">注：上述“最低的投标报价”必须是合理的。如果最低报价属于恶意竞争或明显低于成本价，评审专家将认定为无效投标。</w:t>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第六章</w:t>
      </w:r>
      <w:bookmarkEnd w:id="175"/>
      <w:r/>
      <w:bookmarkEnd w:id="176"/>
      <w:r/>
      <w:bookmarkEnd w:id="177"/>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响应文件格式</w:t>
      </w:r>
      <w:r/>
    </w:p>
    <w:p>
      <w:pPr>
        <w:rPr>
          <w:rFonts w:ascii="Times New Roman" w:hAnsi="Times New Roman"/>
          <w:color w:val="auto"/>
          <w:highlight w:val="none"/>
        </w:rPr>
      </w:pPr>
      <w:r/>
      <w:bookmarkStart w:id="178" w:name="_Hlt26955039"/>
      <w:r/>
      <w:bookmarkEnd w:id="178"/>
      <w:r/>
      <w:bookmarkStart w:id="179" w:name="_Hlt26671244"/>
      <w:r/>
      <w:bookmarkEnd w:id="179"/>
      <w:r/>
      <w:bookmarkStart w:id="180" w:name="_Toc120614282"/>
      <w:r/>
      <w:bookmarkStart w:id="181" w:name="_Toc49090576"/>
      <w:r/>
      <w:bookmarkStart w:id="182" w:name="_Toc26554094"/>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t xml:space="preserve">响应文件</w:t>
      </w:r>
      <w:r/>
    </w:p>
    <w:p>
      <w:pPr>
        <w:ind w:firstLine="1446"/>
        <w:jc w:val="center"/>
        <w:spacing w:line="400" w:lineRule="exact"/>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446"/>
        <w:jc w:val="center"/>
        <w:spacing w:line="400" w:lineRule="exact"/>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987"/>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987"/>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t xml:space="preserve">项目名称：</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项目编号：</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供应商名称：</w:t>
      </w:r>
      <w:r>
        <w:rPr>
          <w:rFonts w:ascii="Times New Roman" w:hAnsi="Times New Roman"/>
          <w:b/>
          <w:color w:val="auto"/>
          <w:sz w:val="36"/>
          <w:szCs w:val="21"/>
          <w:highlight w:val="none"/>
          <w:u w:val="single"/>
        </w:rPr>
        <w:t xml:space="preserve">（加盖CA电子公章）</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日期：</w:t>
      </w:r>
      <w:r/>
    </w:p>
    <w:p>
      <w:pPr>
        <w:spacing w:line="400" w:lineRule="exact"/>
        <w:rPr>
          <w:rFonts w:ascii="Times New Roman" w:hAnsi="Times New Roman"/>
          <w:b/>
          <w:color w:val="auto"/>
          <w:sz w:val="36"/>
          <w:szCs w:val="21"/>
          <w:highlight w:val="none"/>
          <w:u w:val="single"/>
        </w:rPr>
        <w:sectPr>
          <w:footnotePr/>
          <w:endnotePr/>
          <w:type w:val="nextPage"/>
          <w:pgSz w:w="11906" w:h="16839" w:orient="portrait"/>
          <w:pgMar w:top="1431" w:right="1404" w:bottom="1061" w:left="1182" w:header="0" w:footer="902" w:gutter="0"/>
          <w:cols w:num="1" w:sep="0" w:space="720" w:equalWidth="1"/>
          <w:docGrid w:linePitch="360"/>
        </w:sectPr>
      </w:pPr>
      <w:r>
        <w:rPr>
          <w:rFonts w:ascii="Times New Roman" w:hAnsi="Times New Roman"/>
          <w:b/>
          <w:color w:val="auto"/>
          <w:sz w:val="36"/>
          <w:szCs w:val="21"/>
          <w:highlight w:val="none"/>
          <w:u w:val="single"/>
        </w:rPr>
      </w:r>
      <w:r/>
    </w:p>
    <w:p>
      <w:pPr>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响应文件目录</w:t>
      </w:r>
      <w:r>
        <w:rPr>
          <w:rFonts w:hint="eastAsia" w:ascii="Times New Roman" w:hAnsi="Times New Roman"/>
          <w:b/>
          <w:bCs/>
          <w:color w:val="auto"/>
          <w:sz w:val="32"/>
          <w:szCs w:val="32"/>
          <w:highlight w:val="none"/>
        </w:rPr>
        <w:t xml:space="preserve">（须分</w:t>
      </w:r>
      <w:r>
        <w:rPr>
          <w:rFonts w:hint="eastAsia" w:ascii="Times New Roman" w:hAnsi="Times New Roman"/>
          <w:b/>
          <w:bCs/>
          <w:color w:val="auto"/>
          <w:sz w:val="32"/>
          <w:szCs w:val="32"/>
          <w:highlight w:val="none"/>
          <w:lang w:val="en-US" w:eastAsia="zh-CN"/>
        </w:rPr>
        <w:t xml:space="preserve">采购包</w:t>
      </w:r>
      <w:r>
        <w:rPr>
          <w:rFonts w:hint="eastAsia" w:ascii="Times New Roman" w:hAnsi="Times New Roman"/>
          <w:b/>
          <w:bCs/>
          <w:color w:val="auto"/>
          <w:sz w:val="32"/>
          <w:szCs w:val="32"/>
          <w:highlight w:val="none"/>
        </w:rPr>
        <w:t xml:space="preserve">提供，注明所投</w:t>
      </w:r>
      <w:r>
        <w:rPr>
          <w:rFonts w:hint="eastAsia" w:ascii="Times New Roman" w:hAnsi="Times New Roman"/>
          <w:b/>
          <w:bCs/>
          <w:color w:val="auto"/>
          <w:sz w:val="32"/>
          <w:szCs w:val="32"/>
          <w:highlight w:val="none"/>
          <w:lang w:val="en-US" w:eastAsia="zh-CN"/>
        </w:rPr>
        <w:t xml:space="preserve">采购包</w:t>
      </w:r>
      <w:r>
        <w:rPr>
          <w:rFonts w:hint="eastAsia" w:ascii="Times New Roman" w:hAnsi="Times New Roman"/>
          <w:b/>
          <w:bCs/>
          <w:color w:val="auto"/>
          <w:sz w:val="32"/>
          <w:szCs w:val="32"/>
          <w:highlight w:val="none"/>
        </w:rPr>
        <w:t xml:space="preserve">号）</w:t>
      </w:r>
      <w:r/>
    </w:p>
    <w:p>
      <w:pPr>
        <w:ind w:firstLine="643"/>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numPr>
          <w:ilvl w:val="0"/>
          <w:numId w:val="6"/>
        </w:num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基本目录</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1.磋商报价表</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二、资格审查内容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1.投标人符合《政府采购法》第二十二条规定条件的声明函（</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rPr>
        <w:t xml:space="preserve">1</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.法定代表人身份证明（格式见附件</w:t>
      </w: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w:t>
      </w:r>
      <w:r>
        <w:rPr>
          <w:rFonts w:ascii="Times New Roman" w:hAnsi="Times New Roman"/>
          <w:color w:val="auto"/>
          <w:sz w:val="24"/>
          <w:szCs w:val="21"/>
          <w:highlight w:val="none"/>
        </w:rPr>
        <w:t xml:space="preserve">.法人授权书（格式见附件</w:t>
      </w:r>
      <w:r>
        <w:rPr>
          <w:rFonts w:hint="eastAsia" w:ascii="Times New Roman" w:hAnsi="Times New Roman"/>
          <w:color w:val="auto"/>
          <w:sz w:val="24"/>
          <w:szCs w:val="21"/>
          <w:highlight w:val="none"/>
        </w:rPr>
        <w:t xml:space="preserve">3</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w:t>
      </w:r>
      <w:r>
        <w:rPr>
          <w:rFonts w:ascii="Times New Roman" w:hAnsi="Times New Roman"/>
          <w:color w:val="auto"/>
          <w:sz w:val="24"/>
          <w:szCs w:val="21"/>
          <w:highlight w:val="none"/>
        </w:rPr>
        <w:t xml:space="preserve">.磋商响应函（格式见附件</w:t>
      </w:r>
      <w:r>
        <w:rPr>
          <w:rFonts w:hint="eastAsia" w:ascii="Times New Roman" w:hAnsi="Times New Roman"/>
          <w:color w:val="auto"/>
          <w:sz w:val="24"/>
          <w:szCs w:val="21"/>
          <w:highlight w:val="none"/>
        </w:rPr>
        <w:t xml:space="preserve">4</w:t>
      </w:r>
      <w:r>
        <w:rPr>
          <w:rFonts w:ascii="Times New Roman" w:hAnsi="Times New Roman"/>
          <w:color w:val="auto"/>
          <w:sz w:val="24"/>
          <w:szCs w:val="21"/>
          <w:highlight w:val="none"/>
        </w:rPr>
        <w:t xml:space="preserve">）</w:t>
      </w:r>
      <w:r/>
    </w:p>
    <w:p>
      <w:pPr>
        <w:ind w:firstLine="482"/>
        <w:spacing w:line="400" w:lineRule="exact"/>
        <w:rPr>
          <w:rFonts w:hint="eastAsia" w:ascii="宋体" w:hAnsi="宋体"/>
          <w:b/>
          <w:bCs/>
          <w:color w:val="auto"/>
          <w:sz w:val="24"/>
          <w:szCs w:val="21"/>
          <w:highlight w:val="none"/>
        </w:rPr>
      </w:pPr>
      <w:r>
        <w:rPr>
          <w:rFonts w:hint="eastAsia" w:ascii="宋体" w:hAnsi="宋体"/>
          <w:b/>
          <w:bCs/>
          <w:color w:val="auto"/>
          <w:sz w:val="24"/>
          <w:szCs w:val="21"/>
          <w:highlight w:val="none"/>
        </w:rPr>
        <w:t xml:space="preserve">5.提供本项目特定资格要求的所有证明文件</w:t>
      </w:r>
      <w:r>
        <w:rPr>
          <w:rFonts w:hint="eastAsia" w:ascii="宋体" w:hAnsi="宋体" w:cs="Arial"/>
          <w:b/>
          <w:bCs/>
          <w:color w:val="auto"/>
          <w:sz w:val="24"/>
          <w:highlight w:val="none"/>
        </w:rPr>
        <w:t xml:space="preserve">；</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s="宋体"/>
          <w:b/>
          <w:color w:val="auto"/>
          <w:sz w:val="24"/>
          <w:szCs w:val="24"/>
          <w:highlight w:val="none"/>
        </w:rPr>
        <w:t xml:space="preserve">如为联合体投标，须提供联合体协议，格式自拟，相关要求须满足本项目磋商邀请中联合体投标要求（如为联合体投标，联合体协议须分</w:t>
      </w:r>
      <w:r>
        <w:rPr>
          <w:rFonts w:hint="eastAsia" w:ascii="宋体" w:hAnsi="宋体" w:cs="宋体"/>
          <w:b/>
          <w:color w:val="auto"/>
          <w:sz w:val="24"/>
          <w:szCs w:val="24"/>
          <w:highlight w:val="none"/>
          <w:lang w:val="en-US" w:eastAsia="zh-CN"/>
        </w:rPr>
        <w:t xml:space="preserve">采购包</w:t>
      </w:r>
      <w:r>
        <w:rPr>
          <w:rFonts w:hint="eastAsia" w:ascii="宋体" w:hAnsi="宋体" w:cs="宋体"/>
          <w:b/>
          <w:color w:val="auto"/>
          <w:sz w:val="24"/>
          <w:szCs w:val="24"/>
          <w:highlight w:val="none"/>
        </w:rPr>
        <w:t xml:space="preserve">提供） </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4"/>
          <w:highlight w:val="none"/>
        </w:rPr>
        <w:t xml:space="preserve">7.其它需要提交的资格审查证明材料。</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三、符合性审查内容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1.商务要求响应及偏离表（格式见附件</w:t>
      </w:r>
      <w:r>
        <w:rPr>
          <w:rFonts w:hint="eastAsia" w:ascii="Times New Roman" w:hAnsi="Times New Roman"/>
          <w:color w:val="auto"/>
          <w:sz w:val="24"/>
          <w:szCs w:val="21"/>
          <w:highlight w:val="none"/>
        </w:rPr>
        <w:t xml:space="preserve">5</w:t>
      </w:r>
      <w:r>
        <w:rPr>
          <w:rFonts w:ascii="Times New Roman" w:hAnsi="Times New Roman"/>
          <w:color w:val="auto"/>
          <w:sz w:val="24"/>
          <w:szCs w:val="21"/>
          <w:highlight w:val="none"/>
        </w:rPr>
        <w:t xml:space="preserve">）</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2.技术要求响应及偏离表（格式见附件</w:t>
      </w:r>
      <w:r>
        <w:rPr>
          <w:rFonts w:hint="eastAsia" w:ascii="Times New Roman" w:hAnsi="Times New Roman"/>
          <w:color w:val="auto"/>
          <w:sz w:val="24"/>
          <w:szCs w:val="21"/>
          <w:highlight w:val="none"/>
        </w:rPr>
        <w:t xml:space="preserve">6</w:t>
      </w:r>
      <w:r>
        <w:rPr>
          <w:rFonts w:ascii="Times New Roman" w:hAnsi="Times New Roman"/>
          <w:color w:val="auto"/>
          <w:sz w:val="24"/>
          <w:szCs w:val="21"/>
          <w:highlight w:val="none"/>
        </w:rPr>
        <w:t xml:space="preserve">）</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四、</w:t>
      </w:r>
      <w:r>
        <w:rPr>
          <w:rFonts w:ascii="Times New Roman" w:hAnsi="Times New Roman"/>
          <w:b/>
          <w:color w:val="auto"/>
          <w:sz w:val="24"/>
          <w:szCs w:val="21"/>
          <w:highlight w:val="none"/>
          <w:lang w:val="zh-CN"/>
        </w:rPr>
        <w:t xml:space="preserve">商务技术</w:t>
      </w:r>
      <w:r>
        <w:rPr>
          <w:rFonts w:ascii="Times New Roman" w:hAnsi="Times New Roman"/>
          <w:b/>
          <w:color w:val="auto"/>
          <w:sz w:val="24"/>
          <w:szCs w:val="21"/>
          <w:highlight w:val="none"/>
        </w:rPr>
        <w:t xml:space="preserve">内容</w:t>
      </w:r>
      <w:r/>
    </w:p>
    <w:p>
      <w:pPr>
        <w:ind w:firstLine="480"/>
        <w:spacing w:line="400" w:lineRule="exact"/>
        <w:rPr>
          <w:rFonts w:ascii="Times New Roman" w:hAnsi="Times New Roman"/>
          <w:b/>
          <w:bCs/>
          <w:color w:val="auto"/>
          <w:sz w:val="24"/>
          <w:szCs w:val="21"/>
          <w:highlight w:val="none"/>
        </w:rPr>
      </w:pPr>
      <w:r>
        <w:rPr>
          <w:rFonts w:ascii="Times New Roman" w:hAnsi="Times New Roman"/>
          <w:color w:val="auto"/>
          <w:sz w:val="24"/>
          <w:szCs w:val="21"/>
          <w:highlight w:val="none"/>
        </w:rPr>
        <w:t xml:space="preserve">1.</w:t>
      </w:r>
      <w:r>
        <w:rPr>
          <w:rFonts w:ascii="Times New Roman" w:hAnsi="Times New Roman"/>
          <w:color w:val="auto"/>
          <w:sz w:val="24"/>
          <w:szCs w:val="21"/>
          <w:highlight w:val="none"/>
          <w:lang w:val="zh-CN"/>
        </w:rPr>
        <w:t xml:space="preserve">商务技术评分标准中须提供的相关得分佐证材料</w:t>
      </w:r>
      <w:r>
        <w:rPr>
          <w:rFonts w:hint="eastAsia" w:ascii="Times New Roman" w:hAnsi="Times New Roman"/>
          <w:b/>
          <w:bCs/>
          <w:color w:val="auto"/>
          <w:sz w:val="24"/>
          <w:szCs w:val="21"/>
          <w:highlight w:val="none"/>
          <w:lang w:val="zh-CN"/>
        </w:rPr>
        <w:t xml:space="preserve">（根据“第五章 评审方法与评审标准”要求的内容分</w:t>
      </w:r>
      <w:r>
        <w:rPr>
          <w:rFonts w:hint="eastAsia" w:ascii="Times New Roman" w:hAnsi="Times New Roman"/>
          <w:b/>
          <w:bCs/>
          <w:color w:val="auto"/>
          <w:sz w:val="24"/>
          <w:szCs w:val="21"/>
          <w:highlight w:val="none"/>
          <w:lang w:val="en-US" w:eastAsia="zh-CN"/>
        </w:rPr>
        <w:t xml:space="preserve">采购包</w:t>
      </w:r>
      <w:r>
        <w:rPr>
          <w:rFonts w:hint="eastAsia" w:ascii="Times New Roman" w:hAnsi="Times New Roman"/>
          <w:b/>
          <w:bCs/>
          <w:color w:val="auto"/>
          <w:sz w:val="24"/>
          <w:szCs w:val="21"/>
          <w:highlight w:val="none"/>
          <w:lang w:val="zh-CN"/>
        </w:rPr>
        <w:t xml:space="preserve">自行制作）</w:t>
      </w:r>
      <w:r/>
    </w:p>
    <w:p>
      <w:pPr>
        <w:ind w:firstLine="480"/>
        <w:spacing w:line="400" w:lineRule="exact"/>
        <w:rPr>
          <w:rFonts w:ascii="Times New Roman" w:hAnsi="Times New Roman"/>
          <w:color w:val="auto"/>
          <w:highlight w:val="none"/>
        </w:rPr>
      </w:pPr>
      <w:r>
        <w:rPr>
          <w:rFonts w:ascii="Times New Roman" w:hAnsi="Times New Roman"/>
          <w:color w:val="auto"/>
          <w:sz w:val="24"/>
          <w:szCs w:val="21"/>
          <w:highlight w:val="none"/>
        </w:rPr>
        <w:t xml:space="preserve">2.</w:t>
      </w:r>
      <w:r>
        <w:rPr>
          <w:rFonts w:ascii="Times New Roman" w:hAnsi="Times New Roman"/>
          <w:color w:val="auto"/>
          <w:sz w:val="24"/>
          <w:szCs w:val="21"/>
          <w:highlight w:val="none"/>
          <w:lang w:val="zh-CN"/>
        </w:rPr>
        <w:t xml:space="preserve">供应商认为需要提交的其他材料。</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五、价格扣除证明文件</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1.中小企业声明函（格式见附件</w:t>
      </w:r>
      <w:r>
        <w:rPr>
          <w:rFonts w:hint="eastAsia" w:ascii="Times New Roman" w:hAnsi="Times New Roman"/>
          <w:color w:val="auto"/>
          <w:sz w:val="24"/>
          <w:szCs w:val="21"/>
          <w:highlight w:val="none"/>
        </w:rPr>
        <w:t xml:space="preserve">7</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2.残疾人福利性单位声明函（格式见附件</w:t>
      </w:r>
      <w:r>
        <w:rPr>
          <w:rFonts w:hint="eastAsia" w:ascii="Times New Roman" w:hAnsi="Times New Roman"/>
          <w:color w:val="auto"/>
          <w:sz w:val="24"/>
          <w:szCs w:val="21"/>
          <w:highlight w:val="none"/>
        </w:rPr>
        <w:t xml:space="preserve">8</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3.监狱和戒毒企业证明材料</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rPr>
        <w:t xml:space="preserve">9</w:t>
      </w:r>
      <w:r>
        <w:rPr>
          <w:rFonts w:ascii="Times New Roman" w:hAnsi="Times New Roman"/>
          <w:color w:val="auto"/>
          <w:sz w:val="24"/>
          <w:szCs w:val="21"/>
          <w:highlight w:val="none"/>
          <w:lang w:val="zh-CN"/>
        </w:rPr>
        <w:t xml:space="preserve">）</w:t>
      </w:r>
      <w:r/>
    </w:p>
    <w:p>
      <w:pPr>
        <w:ind w:firstLine="480"/>
        <w:spacing w:line="400" w:lineRule="exact"/>
        <w:rPr>
          <w:rFonts w:ascii="Times New Roman" w:hAnsi="Times New Roman"/>
          <w:i/>
          <w:color w:val="auto"/>
          <w:sz w:val="24"/>
          <w:szCs w:val="21"/>
          <w:highlight w:val="none"/>
          <w:u w:val="single"/>
        </w:rPr>
      </w:pPr>
      <w:r>
        <w:rPr>
          <w:rFonts w:ascii="Times New Roman" w:hAnsi="Times New Roman"/>
          <w:i/>
          <w:color w:val="auto"/>
          <w:sz w:val="24"/>
          <w:szCs w:val="21"/>
          <w:highlight w:val="none"/>
          <w:u w:val="singl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pStyle w:val="960"/>
        <w:rPr>
          <w:color w:val="auto"/>
          <w:highlight w:val="none"/>
        </w:rPr>
      </w:pPr>
      <w:r>
        <w:rPr>
          <w:color w:val="auto"/>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bookmarkEnd w:id="173"/>
      <w:r/>
      <w:bookmarkEnd w:id="174"/>
      <w:r/>
      <w:bookmarkEnd w:id="180"/>
      <w:r/>
      <w:bookmarkEnd w:id="181"/>
      <w:r/>
      <w:bookmarkEnd w:id="182"/>
      <w:r/>
      <w:r/>
    </w:p>
    <w:p>
      <w:pPr>
        <w:pStyle w:val="960"/>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60"/>
        <w:jc w:val="left"/>
        <w:rPr>
          <w:rFonts w:ascii="Times New Roman" w:hAnsi="Times New Roman"/>
          <w:b/>
          <w:color w:val="auto"/>
          <w:sz w:val="24"/>
          <w:szCs w:val="24"/>
          <w:highlight w:val="none"/>
        </w:rPr>
      </w:pPr>
      <w:r>
        <w:rPr>
          <w:rFonts w:hint="eastAsia" w:ascii="宋体" w:hAnsi="宋体" w:eastAsia="宋体"/>
          <w:b/>
          <w:color w:val="auto"/>
          <w:sz w:val="24"/>
          <w:szCs w:val="24"/>
          <w:highlight w:val="none"/>
        </w:rPr>
        <w:t xml:space="preserve">附件1     </w:t>
      </w:r>
      <w:r/>
    </w:p>
    <w:p>
      <w:pPr>
        <w:ind w:firstLine="1446"/>
        <w:rPr>
          <w:rFonts w:ascii="Times New Roman" w:hAnsi="Times New Roman"/>
          <w:b/>
          <w:color w:val="auto"/>
          <w:sz w:val="24"/>
          <w:szCs w:val="24"/>
          <w:highlight w:val="none"/>
        </w:rPr>
      </w:pPr>
      <w:r>
        <w:rPr>
          <w:rFonts w:ascii="Times New Roman" w:hAnsi="Times New Roman"/>
          <w:b/>
          <w:color w:val="auto"/>
          <w:sz w:val="24"/>
          <w:szCs w:val="24"/>
          <w:highlight w:val="none"/>
        </w:rPr>
        <w:t xml:space="preserve">投标人符合《政府采购法》第二十二条规定条件的声明函</w:t>
      </w:r>
      <w:r/>
    </w:p>
    <w:p>
      <w:pPr>
        <w:ind w:firstLine="480"/>
        <w:spacing w:line="520" w:lineRule="exact"/>
        <w:rPr>
          <w:rFonts w:ascii="Times New Roman" w:hAnsi="Times New Roman"/>
          <w:b/>
          <w:bCs/>
          <w:color w:val="auto"/>
          <w:sz w:val="24"/>
          <w:highlight w:val="none"/>
        </w:rPr>
      </w:pPr>
      <w:r>
        <w:rPr>
          <w:rFonts w:ascii="Times New Roman" w:hAnsi="Times New Roman"/>
          <w:bCs/>
          <w:color w:val="auto"/>
          <w:sz w:val="24"/>
          <w:highlight w:val="none"/>
        </w:rPr>
        <w:t xml:space="preserve">我单位参加</w:t>
      </w:r>
      <w:r>
        <w:rPr>
          <w:rFonts w:ascii="Times New Roman" w:hAnsi="Times New Roman"/>
          <w:bCs/>
          <w:color w:val="auto"/>
          <w:sz w:val="24"/>
          <w:szCs w:val="21"/>
          <w:highlight w:val="none"/>
        </w:rPr>
        <w:t xml:space="preserve">________________ （项目名称），_________（项目编号）投标活动。针对《中华人民共和国政府采购法》第二十二条规定做出如下声明：</w:t>
      </w:r>
      <w:r/>
    </w:p>
    <w:p>
      <w:pPr>
        <w:ind w:firstLine="482"/>
        <w:spacing w:line="520" w:lineRule="exact"/>
        <w:rPr>
          <w:rFonts w:ascii="Times New Roman" w:hAnsi="Times New Roman"/>
          <w:color w:val="auto"/>
          <w:sz w:val="24"/>
          <w:highlight w:val="none"/>
        </w:rPr>
      </w:pPr>
      <w:r>
        <w:rPr>
          <w:rFonts w:ascii="Times New Roman" w:hAnsi="Times New Roman"/>
          <w:bCs/>
          <w:color w:val="auto"/>
          <w:sz w:val="24"/>
          <w:szCs w:val="21"/>
          <w:highlight w:val="none"/>
        </w:rPr>
        <w:t xml:space="preserve">1.我单位具有独立承担民事责任的能力；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2.我单位具有良好的商业信誉和健全的财务会计制度；</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3.我单位具有履行合同所必需的设备和专业技术能力；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4.我单位有依法缴纳税收和社会保障资金的良好记录；</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6.我单位满足法律、行政法规规定的其他条件。</w:t>
      </w:r>
      <w:r/>
    </w:p>
    <w:p>
      <w:pPr>
        <w:ind w:firstLine="482"/>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承诺人名称（</w:t>
      </w:r>
      <w:r>
        <w:rPr>
          <w:rFonts w:ascii="等线" w:hAnsi="等线" w:eastAsia="等线" w:cs="等线"/>
          <w:color w:val="auto"/>
          <w:spacing w:val="-2"/>
          <w:sz w:val="24"/>
          <w:szCs w:val="24"/>
          <w:highlight w:val="none"/>
        </w:rPr>
        <w:t xml:space="preserve">加盖CA电子公章</w:t>
      </w:r>
      <w:r>
        <w:rPr>
          <w:rFonts w:ascii="Times New Roman" w:hAnsi="Times New Roman"/>
          <w:bCs/>
          <w:color w:val="auto"/>
          <w:sz w:val="24"/>
          <w:szCs w:val="21"/>
          <w:highlight w:val="none"/>
        </w:rPr>
        <w:t xml:space="preserve">）：</w:t>
      </w:r>
      <w:r/>
    </w:p>
    <w:p>
      <w:pPr>
        <w:jc w:val="right"/>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日期：</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年</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月</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日</w:t>
      </w:r>
      <w:r/>
    </w:p>
    <w:p>
      <w:pPr>
        <w:rPr>
          <w:rFonts w:ascii="Times New Roman" w:hAnsi="Times New Roman"/>
          <w:b/>
          <w:color w:val="auto"/>
          <w:sz w:val="24"/>
          <w:szCs w:val="24"/>
          <w:highlight w:val="none"/>
        </w:rPr>
      </w:pPr>
      <w:r>
        <w:rPr>
          <w:rFonts w:ascii="Times New Roman" w:hAnsi="Times New Roman" w:eastAsia="黑体"/>
          <w:i/>
          <w:color w:val="auto"/>
          <w:sz w:val="32"/>
          <w:szCs w:val="32"/>
          <w:highlight w:val="none"/>
          <w:u w:val="single"/>
        </w:rPr>
        <w:br w:type="page" w:clear="all"/>
      </w:r>
      <w:bookmarkStart w:id="183" w:name="_Toc120614284"/>
      <w:r>
        <w:rPr>
          <w:rFonts w:ascii="Times New Roman" w:hAnsi="Times New Roman"/>
          <w:b/>
          <w:color w:val="auto"/>
          <w:sz w:val="24"/>
          <w:szCs w:val="24"/>
          <w:highlight w:val="none"/>
          <w:lang w:val="zh-CN"/>
        </w:rPr>
        <w:t xml:space="preserve">附件</w:t>
      </w:r>
      <w:r>
        <w:rPr>
          <w:rFonts w:hint="eastAsia" w:ascii="Times New Roman" w:hAnsi="Times New Roman"/>
          <w:b/>
          <w:color w:val="auto"/>
          <w:sz w:val="24"/>
          <w:szCs w:val="24"/>
          <w:highlight w:val="none"/>
        </w:rPr>
        <w:t xml:space="preserve">2</w:t>
      </w:r>
      <w:r/>
    </w:p>
    <w:p>
      <w:pPr>
        <w:jc w:val="center"/>
        <w:spacing w:line="56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法定代表人身份证明</w:t>
      </w:r>
      <w:r/>
    </w:p>
    <w:p>
      <w:pP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先生/女士：现任我单位职务，为法定代表人，特此证明。</w:t>
      </w:r>
      <w:r/>
    </w:p>
    <w:p>
      <w:pPr>
        <w:ind w:firstLine="480"/>
        <w:spacing w:line="48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身份证号码：</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81" w:line="222" w:lineRule="auto"/>
        <w:rPr>
          <w:rFonts w:hint="eastAsia" w:ascii="等线" w:hAnsi="等线" w:eastAsia="等线" w:cs="等线"/>
          <w:color w:val="auto"/>
          <w:sz w:val="24"/>
          <w:szCs w:val="24"/>
          <w:highlight w:val="none"/>
        </w:rPr>
      </w:pPr>
      <w:r>
        <w:rPr>
          <w:rFonts w:ascii="Times New Roman" w:hAnsi="Times New Roman"/>
          <w:b/>
          <w:color w:val="auto"/>
          <w:sz w:val="24"/>
          <w:szCs w:val="24"/>
          <w:highlight w:val="none"/>
        </w:rPr>
        <w:t xml:space="preserve">注：</w:t>
      </w:r>
      <w:r>
        <w:rPr>
          <w:rFonts w:ascii="等线" w:hAnsi="等线" w:eastAsia="等线" w:cs="等线"/>
          <w:b/>
          <w:bCs/>
          <w:color w:val="auto"/>
          <w:spacing w:val="-2"/>
          <w:sz w:val="24"/>
          <w:szCs w:val="24"/>
          <w:highlight w:val="none"/>
        </w:rPr>
        <w:t xml:space="preserve">注：提供法定代表人的身份证扫描件</w:t>
      </w:r>
      <w:r>
        <w:rPr>
          <w:rFonts w:ascii="等线" w:hAnsi="等线" w:eastAsia="等线" w:cs="等线"/>
          <w:color w:val="auto"/>
          <w:spacing w:val="-2"/>
          <w:sz w:val="24"/>
          <w:szCs w:val="24"/>
          <w:highlight w:val="none"/>
        </w:rPr>
        <w:t xml:space="preserve">（加盖CA电子公章）</w:t>
      </w:r>
      <w:r/>
    </w:p>
    <w:p>
      <w:pPr>
        <w:spacing w:line="6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left"/>
        <w:rPr>
          <w:rFonts w:ascii="Times New Roman" w:hAnsi="Times New Roman"/>
          <w:b/>
          <w:color w:val="auto"/>
          <w:sz w:val="24"/>
          <w:szCs w:val="21"/>
          <w:highlight w:val="none"/>
        </w:rPr>
      </w:pPr>
      <w:r>
        <w:rPr>
          <w:rFonts w:ascii="Times New Roman" w:hAnsi="Times New Roman" w:eastAsia="黑体"/>
          <w:i/>
          <w:color w:val="auto"/>
          <w:sz w:val="32"/>
          <w:szCs w:val="32"/>
          <w:highlight w:val="none"/>
          <w:u w:val="singl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rPr>
        <w:t xml:space="preserve">3</w:t>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t xml:space="preserve">法人授权书</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本授权书声明：____________（供应商名称）授权________________（被授权人的姓名）为我方就</w:t>
      </w:r>
      <w:r>
        <w:rPr>
          <w:rFonts w:hint="eastAsia" w:ascii="等线" w:hAnsi="等线" w:eastAsia="等线" w:cs="等线"/>
          <w:color w:val="auto"/>
          <w:spacing w:val="-1"/>
          <w:sz w:val="24"/>
          <w:szCs w:val="24"/>
          <w:highlight w:val="none"/>
          <w:u w:val="single"/>
        </w:rPr>
        <w:t xml:space="preserve">       </w:t>
      </w:r>
      <w:r>
        <w:rPr>
          <w:rFonts w:ascii="等线" w:hAnsi="等线" w:eastAsia="等线" w:cs="等线"/>
          <w:color w:val="auto"/>
          <w:spacing w:val="-1"/>
          <w:sz w:val="24"/>
          <w:szCs w:val="24"/>
          <w:highlight w:val="none"/>
          <w:u w:val="single"/>
        </w:rPr>
        <w:t xml:space="preserve">（项目编</w:t>
      </w:r>
      <w:r>
        <w:rPr>
          <w:rFonts w:ascii="等线" w:hAnsi="等线" w:eastAsia="等线" w:cs="等线"/>
          <w:color w:val="auto"/>
          <w:spacing w:val="-1"/>
          <w:sz w:val="24"/>
          <w:szCs w:val="24"/>
          <w:highlight w:val="none"/>
        </w:rPr>
        <w:t xml:space="preserve">号</w:t>
      </w:r>
      <w:r>
        <w:rPr>
          <w:rFonts w:ascii="等线" w:hAnsi="等线" w:eastAsia="等线" w:cs="等线"/>
          <w:color w:val="auto"/>
          <w:spacing w:val="-1"/>
          <w:sz w:val="24"/>
          <w:szCs w:val="24"/>
          <w:highlight w:val="none"/>
          <w:u w:val="single"/>
        </w:rPr>
        <w:t xml:space="preserve">）</w:t>
      </w:r>
      <w:r>
        <w:rPr>
          <w:rFonts w:hint="eastAsia" w:ascii="Times New Roman" w:hAnsi="Times New Roman"/>
          <w:color w:val="auto"/>
          <w:sz w:val="24"/>
          <w:szCs w:val="24"/>
          <w:highlight w:val="none"/>
        </w:rPr>
        <w:t xml:space="preserve">项目</w:t>
      </w:r>
      <w:r>
        <w:rPr>
          <w:rFonts w:ascii="Times New Roman" w:hAnsi="Times New Roman"/>
          <w:color w:val="auto"/>
          <w:sz w:val="24"/>
          <w:szCs w:val="24"/>
          <w:highlight w:val="none"/>
        </w:rPr>
        <w:t xml:space="preserve">采购活动的合法代理人，以本单位名义全权处理一切与该项目采购有关的事务。</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本授权书于______年____月____日起生效，特此声明。</w:t>
      </w:r>
      <w:r/>
    </w:p>
    <w:p>
      <w:pPr>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被授权人身份证号码：</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被授权人联系电话：（手机）</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授权单位名称：</w:t>
      </w:r>
      <w:r>
        <w:rPr>
          <w:rFonts w:ascii="Times New Roman" w:hAnsi="Times New Roman"/>
          <w:color w:val="auto"/>
          <w:sz w:val="24"/>
          <w:szCs w:val="24"/>
          <w:highlight w:val="none"/>
          <w:u w:val="single"/>
        </w:rPr>
        <w:t xml:space="preserve">（加盖CA电子公章）</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单位地址：</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日期：</w:t>
      </w:r>
      <w:bookmarkStart w:id="184" w:name="_Hlt26671380"/>
      <w:r/>
      <w:bookmarkEnd w:id="184"/>
      <w:r/>
      <w:bookmarkStart w:id="185" w:name="_Hlt26955070"/>
      <w:r/>
      <w:bookmarkEnd w:id="185"/>
      <w:r/>
      <w:bookmarkStart w:id="186" w:name="_格式3__银行出具的资信证明"/>
      <w:r/>
      <w:bookmarkEnd w:id="186"/>
      <w:r/>
      <w:r/>
    </w:p>
    <w:p>
      <w:pPr>
        <w:ind w:firstLine="480"/>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rPr>
          <w:rFonts w:ascii="Times New Roman" w:hAnsi="Times New Roman"/>
          <w:color w:val="auto"/>
          <w:szCs w:val="21"/>
          <w:highlight w:val="none"/>
        </w:rPr>
      </w:pPr>
      <w:r>
        <w:rPr>
          <w:rFonts w:ascii="Times New Roman" w:hAnsi="Times New Roman"/>
          <w:color w:val="auto"/>
          <w:szCs w:val="21"/>
          <w:highlight w:val="none"/>
        </w:rPr>
      </w:r>
      <w:r/>
    </w:p>
    <w:p>
      <w:pPr>
        <w:ind w:left="484"/>
        <w:spacing w:before="82" w:line="221" w:lineRule="auto"/>
        <w:rPr>
          <w:rFonts w:hint="eastAsia" w:ascii="宋体" w:hAnsi="宋体" w:cs="宋体"/>
          <w:color w:val="auto"/>
          <w:sz w:val="24"/>
          <w:szCs w:val="24"/>
          <w:highlight w:val="none"/>
        </w:rPr>
      </w:pPr>
      <w:r>
        <w:rPr>
          <w:rFonts w:hint="eastAsia" w:ascii="宋体" w:hAnsi="宋体" w:cs="宋体"/>
          <w:color w:val="auto"/>
          <w:spacing w:val="-3"/>
          <w:sz w:val="24"/>
          <w:szCs w:val="24"/>
          <w:highlight w:val="none"/>
        </w:rPr>
        <w:t xml:space="preserve">注：提供被授权人身份证扫描件（加盖CA电子公章）</w:t>
      </w:r>
      <w:r/>
    </w:p>
    <w:p>
      <w:pPr>
        <w:spacing w:line="0" w:lineRule="atLeast"/>
        <w:tabs>
          <w:tab w:val="left" w:pos="360" w:leader="none"/>
        </w:tabs>
        <w:rPr>
          <w:rFonts w:ascii="Times New Roman" w:hAnsi="Times New Roman"/>
          <w:b/>
          <w:color w:val="auto"/>
          <w:sz w:val="24"/>
          <w:szCs w:val="21"/>
          <w:highlight w:val="none"/>
        </w:rPr>
      </w:pPr>
      <w:r>
        <w:rPr>
          <w:rFonts w:ascii="Times New Roman" w:hAnsi="Times New Roman"/>
          <w:color w:val="auto"/>
          <w:sz w:val="24"/>
          <w:szCs w:val="24"/>
          <w:highlight w:val="non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rPr>
        <w:t xml:space="preserve">4</w:t>
      </w:r>
      <w:r>
        <w:rPr>
          <w:rFonts w:ascii="Times New Roman" w:hAnsi="Times New Roman"/>
          <w:b/>
          <w:color w:val="auto"/>
          <w:sz w:val="24"/>
          <w:szCs w:val="21"/>
          <w:highlight w:val="none"/>
        </w:rPr>
        <w:t xml:space="preserve">  </w:t>
      </w:r>
      <w:r/>
    </w:p>
    <w:p>
      <w:pPr>
        <w:jc w:val="center"/>
        <w:rPr>
          <w:rFonts w:ascii="Times New Roman" w:hAnsi="Times New Roman" w:eastAsia="黑体"/>
          <w:b/>
          <w:i/>
          <w:color w:val="auto"/>
          <w:sz w:val="32"/>
          <w:szCs w:val="32"/>
          <w:highlight w:val="none"/>
          <w:u w:val="single"/>
        </w:rPr>
      </w:pPr>
      <w:r>
        <w:rPr>
          <w:rFonts w:ascii="Times New Roman" w:hAnsi="Times New Roman"/>
          <w:b/>
          <w:color w:val="auto"/>
          <w:sz w:val="24"/>
          <w:szCs w:val="21"/>
          <w:highlight w:val="none"/>
        </w:rPr>
        <w:t xml:space="preserve">磋商响应函</w:t>
      </w:r>
      <w:r/>
    </w:p>
    <w:p>
      <w:pPr>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致：</w:t>
      </w:r>
      <w:r>
        <w:rPr>
          <w:rFonts w:hint="eastAsia" w:ascii="宋体" w:hAnsi="宋体"/>
          <w:color w:val="auto"/>
          <w:sz w:val="24"/>
          <w:szCs w:val="24"/>
          <w:highlight w:val="none"/>
          <w:u w:val="single"/>
        </w:rPr>
        <w:t xml:space="preserve">如东县自然资源和规划局</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根据贵方的</w:t>
      </w:r>
      <w:r>
        <w:rPr>
          <w:rFonts w:hint="eastAsia" w:ascii="等线" w:hAnsi="等线" w:eastAsia="等线" w:cs="等线"/>
          <w:color w:val="auto"/>
          <w:spacing w:val="-1"/>
          <w:sz w:val="24"/>
          <w:szCs w:val="24"/>
          <w:highlight w:val="none"/>
          <w:u w:val="single"/>
          <w:lang w:val="en-US" w:eastAsia="zh-CN"/>
        </w:rPr>
        <w:t xml:space="preserve">             </w:t>
      </w:r>
      <w:r>
        <w:rPr>
          <w:rFonts w:ascii="等线" w:hAnsi="等线" w:eastAsia="等线" w:cs="等线"/>
          <w:color w:val="auto"/>
          <w:spacing w:val="-1"/>
          <w:sz w:val="24"/>
          <w:szCs w:val="24"/>
          <w:highlight w:val="none"/>
        </w:rPr>
        <w:t xml:space="preserve">（项目编号</w:t>
      </w:r>
      <w:r>
        <w:rPr>
          <w:rFonts w:hint="eastAsia" w:ascii="等线" w:hAnsi="等线" w:eastAsia="等线" w:cs="等线"/>
          <w:color w:val="auto"/>
          <w:spacing w:val="-1"/>
          <w:sz w:val="24"/>
          <w:szCs w:val="24"/>
          <w:highlight w:val="none"/>
        </w:rPr>
        <w:t xml:space="preserve">）</w:t>
      </w:r>
      <w:r>
        <w:rPr>
          <w:rFonts w:ascii="Times New Roman" w:hAnsi="Times New Roman"/>
          <w:color w:val="auto"/>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据此函，__________签字人兹宣布同意如下：</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2.我们完全理解贵方不一定将合同授予最低报价的供应商。</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7.我方与本磋商有关的正式通讯地址为：</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地址：</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邮编：</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电话：</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传真：</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供应商开户行：</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账号：</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日期：________年____月____日</w:t>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pStyle w:val="987"/>
        <w:rPr>
          <w:rFonts w:hint="eastAsia"/>
          <w:color w:val="auto"/>
          <w:highlight w:val="none"/>
        </w:rPr>
      </w:pPr>
      <w:r>
        <w:rPr>
          <w:rFonts w:hint="eastAsia"/>
          <w:color w:val="auto"/>
          <w:highlight w:val="none"/>
        </w:rPr>
      </w:r>
      <w:r/>
    </w:p>
    <w:p>
      <w:pPr>
        <w:jc w:val="center"/>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rPr>
        <w:t xml:space="preserve">5</w:t>
      </w:r>
      <w:r>
        <w:rPr>
          <w:rFonts w:ascii="Times New Roman" w:hAnsi="Times New Roman"/>
          <w:b/>
          <w:color w:val="auto"/>
          <w:sz w:val="24"/>
          <w:szCs w:val="21"/>
          <w:highlight w:val="none"/>
        </w:rPr>
        <w:t xml:space="preserve">  </w:t>
      </w:r>
      <w:r/>
    </w:p>
    <w:p>
      <w:pPr>
        <w:contextualSpacing/>
        <w:jc w:val="center"/>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商务部分正负偏离表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95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 供应商提交的响应文件中与磋商文件第四章“采购需求”中的商务部分的要求如有偏离的，应逐条填列在偏离表中。如果磋商</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供应商需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cs="宋体"/>
          <w:color w:val="auto"/>
          <w:sz w:val="24"/>
          <w:szCs w:val="24"/>
          <w:highlight w:val="none"/>
        </w:rPr>
      </w:pPr>
      <w:r>
        <w:rPr>
          <w:rFonts w:hint="eastAsia" w:ascii="宋体" w:hAnsi="宋体"/>
          <w:b/>
          <w:color w:val="auto"/>
          <w:sz w:val="24"/>
          <w:szCs w:val="21"/>
          <w:highlight w:val="none"/>
        </w:rPr>
        <w:t xml:space="preserve">3.</w:t>
      </w:r>
      <w:r>
        <w:rPr>
          <w:rFonts w:ascii="宋体" w:hAnsi="宋体" w:cs="宋体"/>
          <w:color w:val="auto"/>
          <w:spacing w:val="-2"/>
          <w:sz w:val="24"/>
          <w:szCs w:val="24"/>
          <w:highlight w:val="none"/>
        </w:rPr>
        <w:t xml:space="preserve">供应商若提供其他增值服务，可以在表中自行据实填写。</w:t>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ind w:left="57" w:right="5365" w:hanging="36"/>
        <w:spacing w:before="83" w:line="472" w:lineRule="auto"/>
        <w:rPr>
          <w:rFonts w:hint="eastAsia" w:ascii="等线" w:hAnsi="等线" w:eastAsia="等线" w:cs="等线"/>
          <w:color w:val="auto"/>
          <w:spacing w:val="1"/>
          <w:sz w:val="24"/>
          <w:szCs w:val="24"/>
          <w:highlight w:val="none"/>
        </w:rPr>
      </w:pPr>
      <w:r>
        <w:rPr>
          <w:rFonts w:ascii="等线" w:hAnsi="等线" w:eastAsia="等线" w:cs="等线"/>
          <w:color w:val="auto"/>
          <w:spacing w:val="-5"/>
          <w:sz w:val="24"/>
          <w:szCs w:val="24"/>
          <w:highlight w:val="none"/>
        </w:rPr>
        <w:t xml:space="preserve">供应商全称（加盖CA电子公章</w:t>
      </w:r>
      <w:r>
        <w:rPr>
          <w:rFonts w:ascii="等线" w:hAnsi="等线" w:eastAsia="等线" w:cs="等线"/>
          <w:color w:val="auto"/>
          <w:spacing w:val="1"/>
          <w:sz w:val="24"/>
          <w:szCs w:val="24"/>
          <w:highlight w:val="none"/>
        </w:rPr>
        <w:t xml:space="preserve">）： </w:t>
      </w:r>
      <w:r/>
    </w:p>
    <w:p>
      <w:pPr>
        <w:ind w:left="57" w:right="5365" w:hanging="36"/>
        <w:spacing w:before="83" w:line="472" w:lineRule="auto"/>
        <w:rPr>
          <w:rFonts w:hint="eastAsia" w:ascii="等线" w:hAnsi="等线" w:eastAsia="等线" w:cs="等线"/>
          <w:color w:val="auto"/>
          <w:sz w:val="24"/>
          <w:szCs w:val="24"/>
          <w:highlight w:val="none"/>
        </w:rPr>
      </w:pPr>
      <w:r>
        <w:rPr>
          <w:rFonts w:ascii="等线" w:hAnsi="等线" w:eastAsia="等线" w:cs="等线"/>
          <w:color w:val="auto"/>
          <w:spacing w:val="-27"/>
          <w:sz w:val="24"/>
          <w:szCs w:val="24"/>
          <w:highlight w:val="none"/>
        </w:rPr>
        <w:t xml:space="preserve">日期</w:t>
      </w:r>
      <w:r>
        <w:rPr>
          <w:rFonts w:hint="eastAsia" w:ascii="等线" w:hAnsi="等线" w:eastAsia="等线" w:cs="等线"/>
          <w:color w:val="auto"/>
          <w:spacing w:val="-27"/>
          <w:sz w:val="24"/>
          <w:szCs w:val="24"/>
          <w:highlight w:val="none"/>
        </w:rPr>
        <w:t xml:space="preserve"> ：   年  月  日</w:t>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color w:val="auto"/>
          <w:sz w:val="24"/>
          <w:highlight w:val="none"/>
        </w:rPr>
      </w:pPr>
      <w:r>
        <w:rPr>
          <w:rFonts w:ascii="Times New Roman" w:hAnsi="Times New Roman"/>
          <w:color w:val="auto"/>
          <w:sz w:val="24"/>
          <w:highlight w:val="none"/>
        </w:rPr>
      </w:r>
      <w:r/>
    </w:p>
    <w:p>
      <w:pPr>
        <w:pStyle w:val="987"/>
        <w:rPr>
          <w:rFonts w:ascii="Times New Roman" w:hAnsi="Times New Roman"/>
          <w:color w:val="auto"/>
          <w:highlight w:val="none"/>
        </w:rPr>
      </w:pPr>
      <w:r>
        <w:rPr>
          <w:rFonts w:ascii="Times New Roman" w:hAnsi="Times New Roman"/>
          <w:color w:val="auto"/>
          <w:highlight w:val="none"/>
        </w:rPr>
      </w:r>
      <w:r/>
    </w:p>
    <w:p>
      <w:pPr>
        <w:ind w:left="480"/>
        <w:rPr>
          <w:rFonts w:ascii="Times New Roman" w:hAnsi="Times New Roman"/>
          <w:b/>
          <w:i/>
          <w:color w:val="auto"/>
          <w:sz w:val="24"/>
          <w:szCs w:val="21"/>
          <w:highlight w:val="none"/>
          <w:u w:val="single"/>
        </w:rPr>
      </w:pPr>
      <w:r>
        <w:rPr>
          <w:rFonts w:ascii="Times New Roman" w:hAnsi="Times New Roman"/>
          <w:b/>
          <w:i/>
          <w:color w:val="auto"/>
          <w:sz w:val="24"/>
          <w:szCs w:val="21"/>
          <w:highlight w:val="none"/>
          <w:u w:val="single"/>
        </w:rPr>
      </w:r>
      <w:r/>
    </w:p>
    <w:p>
      <w:pPr>
        <w:rPr>
          <w:rFonts w:ascii="Times New Roman" w:hAnsi="Times New Roman"/>
          <w:b/>
          <w:color w:val="auto"/>
          <w:sz w:val="24"/>
          <w:szCs w:val="24"/>
          <w:highlight w:val="none"/>
        </w:rPr>
      </w:pPr>
      <w:r>
        <w:rPr>
          <w:rFonts w:ascii="Times New Roman" w:hAnsi="Times New Roman"/>
          <w:b/>
          <w:color w:val="auto"/>
          <w:sz w:val="24"/>
          <w:szCs w:val="24"/>
          <w:highlight w:val="non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rPr>
        <w:t xml:space="preserve">6</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ind w:firstLine="3534"/>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技术部分正负偏离表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95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1. 供应商提交的响应文件中与磋商文件第四章“采购需求”中的技术部分的要求如有偏离的，应逐条填列在偏离表中。如果磋商文件要求提供证明材料，供应商需将证明材料列于该表之下。</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cs="宋体"/>
          <w:color w:val="auto"/>
          <w:sz w:val="24"/>
          <w:szCs w:val="24"/>
          <w:highlight w:val="none"/>
        </w:rPr>
      </w:pPr>
      <w:r>
        <w:rPr>
          <w:rFonts w:ascii="宋体" w:hAnsi="宋体" w:cs="宋体"/>
          <w:color w:val="auto"/>
          <w:spacing w:val="-2"/>
          <w:sz w:val="24"/>
          <w:szCs w:val="24"/>
          <w:highlight w:val="none"/>
        </w:rPr>
        <w:t xml:space="preserve">3.供应商若提供其他增值服务，可以在表中自行据实填写。</w:t>
      </w:r>
      <w:r/>
    </w:p>
    <w:p>
      <w:pPr>
        <w:rPr>
          <w:rFonts w:hint="eastAsia" w:ascii="宋体" w:hAnsi="宋体"/>
          <w:b/>
          <w:color w:val="auto"/>
          <w:sz w:val="24"/>
          <w:szCs w:val="21"/>
          <w:highlight w:val="none"/>
        </w:rPr>
      </w:pPr>
      <w:r>
        <w:rPr>
          <w:rFonts w:hint="eastAsia" w:ascii="宋体" w:hAnsi="宋体"/>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987"/>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987"/>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987"/>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987"/>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contextualSpacing/>
        <w:spacing w:line="300" w:lineRule="auto"/>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spacing w:line="300" w:lineRule="auto"/>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spacing w:line="300" w:lineRule="auto"/>
        <w:rPr>
          <w:rFonts w:ascii="Times New Roman" w:hAnsi="Times New Roman"/>
          <w:b/>
          <w:color w:val="auto"/>
          <w:sz w:val="32"/>
          <w:szCs w:val="32"/>
          <w:highlight w:val="none"/>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rPr>
        <w:t xml:space="preserve">7</w:t>
      </w:r>
      <w:r/>
    </w:p>
    <w:p>
      <w:pPr>
        <w:contextualSpacing/>
        <w:jc w:val="center"/>
        <w:spacing w:line="30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中小企业声明函（服务）</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      人，营业收入为      万元，资产总额为       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      人，营业收入为      万元，资产总额为       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80" w:firstLine="360"/>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right="480" w:firstLine="58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1、如项目类型为“服务”，请按照此格式填写。</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2、从业人员、营业收入、资产总额填报上一年度数据，无上一年度数据的新成立企业可不填报。</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4、供应商</w:t>
      </w:r>
      <w:r>
        <w:rPr>
          <w:rFonts w:hint="eastAsia" w:ascii="宋体" w:hAnsi="宋体" w:cs="宋体"/>
          <w:b/>
          <w:bCs/>
          <w:color w:val="auto"/>
          <w:sz w:val="24"/>
          <w:szCs w:val="24"/>
          <w:highlight w:val="none"/>
        </w:rPr>
        <w:t xml:space="preserve">自行勾选</w:t>
      </w:r>
      <w:r>
        <w:rPr>
          <w:rFonts w:hint="eastAsia" w:ascii="宋体" w:hAnsi="宋体" w:cs="宋体"/>
          <w:color w:val="auto"/>
          <w:sz w:val="24"/>
          <w:szCs w:val="24"/>
          <w:highlight w:val="none"/>
        </w:rPr>
        <w:t xml:space="preserve">承接企业的企业规模类型。</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50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right="1559" w:firstLine="480"/>
        <w:jc w:val="center"/>
        <w:spacing w:line="0" w:lineRule="atLeas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32"/>
          <w:szCs w:val="32"/>
          <w:highlight w:val="none"/>
        </w:rPr>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rPr>
        <w:t xml:space="preserve">8</w:t>
      </w:r>
      <w:r/>
    </w:p>
    <w:p>
      <w:pPr>
        <w:jc w:val="center"/>
        <w:spacing w:line="460" w:lineRule="exact"/>
        <w:rPr>
          <w:rFonts w:ascii="Times New Roman" w:hAnsi="Times New Roman"/>
          <w:b/>
          <w:color w:val="auto"/>
          <w:sz w:val="32"/>
          <w:szCs w:val="32"/>
          <w:highlight w:val="none"/>
        </w:rPr>
      </w:pPr>
      <w:r>
        <w:rPr>
          <w:rFonts w:ascii="Times New Roman" w:hAnsi="Times New Roman"/>
          <w:b/>
          <w:color w:val="auto"/>
          <w:sz w:val="32"/>
          <w:szCs w:val="32"/>
          <w:highlight w:val="none"/>
        </w:rPr>
      </w:r>
      <w:r/>
    </w:p>
    <w:p>
      <w:pPr>
        <w:jc w:val="center"/>
        <w:spacing w:line="460" w:lineRule="exact"/>
        <w:rPr>
          <w:rFonts w:ascii="Times New Roman" w:hAnsi="Times New Roman"/>
          <w:b/>
          <w:color w:val="auto"/>
          <w:sz w:val="32"/>
          <w:szCs w:val="32"/>
          <w:highlight w:val="none"/>
        </w:rPr>
      </w:pPr>
      <w:r>
        <w:rPr>
          <w:rFonts w:ascii="Times New Roman" w:hAnsi="Times New Roman"/>
          <w:b/>
          <w:color w:val="auto"/>
          <w:sz w:val="32"/>
          <w:szCs w:val="32"/>
          <w:highlight w:val="none"/>
        </w:rPr>
        <w:t xml:space="preserve">残疾人福利性单位声明函</w:t>
      </w:r>
      <w:r>
        <w:rPr>
          <w:rFonts w:hint="eastAsia" w:ascii="Times New Roman" w:hAnsi="Times New Roman"/>
          <w:b/>
          <w:color w:val="auto"/>
          <w:sz w:val="32"/>
          <w:szCs w:val="32"/>
          <w:highlight w:val="none"/>
        </w:rPr>
        <w:t xml:space="preserve">（服务）</w:t>
      </w:r>
      <w:r/>
    </w:p>
    <w:p>
      <w:pPr>
        <w:pStyle w:val="987"/>
        <w:rPr>
          <w:rFonts w:hint="eastAsia"/>
          <w:color w:val="auto"/>
          <w:highlight w:val="none"/>
        </w:rPr>
      </w:pPr>
      <w:r>
        <w:rPr>
          <w:rFonts w:hint="eastAsia"/>
          <w:color w:val="auto"/>
          <w:highlight w:val="none"/>
        </w:rPr>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单位的</w:t>
      </w:r>
      <w:r>
        <w:rPr>
          <w:rFonts w:hint="eastAsia" w:ascii="宋体" w:hAnsi="宋体" w:cs="宋体"/>
          <w:b/>
          <w:bCs/>
          <w:color w:val="auto"/>
          <w:sz w:val="24"/>
          <w:szCs w:val="24"/>
          <w:highlight w:val="none"/>
        </w:rPr>
        <w:t xml:space="preserve">采购文件编号</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项目采购活动由本单位提供服务。</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7"/>
        <w:ind w:firstLine="480"/>
        <w:rPr>
          <w:rFonts w:hint="eastAsia" w:cs="宋体"/>
          <w:color w:val="auto"/>
          <w:sz w:val="24"/>
          <w:szCs w:val="24"/>
          <w:highlight w:val="none"/>
        </w:rPr>
      </w:pPr>
      <w:r>
        <w:rPr>
          <w:rFonts w:hint="eastAsia" w:cs="宋体"/>
          <w:color w:val="auto"/>
          <w:sz w:val="24"/>
          <w:szCs w:val="24"/>
          <w:highlight w:val="none"/>
        </w:rPr>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1、如项目类型为“服务”，请按照此格式填写。</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2、专门面向中小微型企业采购的项目，供应商为残疾人福利性单位并提供服务的必须提供此声明函，否则将不能通过资格审查。</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非专门面向中小微型企业采购的项目，供应商如不提供此声明函，价格将不做相应扣除。</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4、成交供应商为残疾人福利性单位的，此声明函将随成交结果同时公告，接受社会监督。</w:t>
      </w:r>
      <w:r/>
    </w:p>
    <w:p>
      <w:pPr>
        <w:ind w:firstLine="50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right="1559" w:firstLine="480"/>
        <w:jc w:val="center"/>
        <w:spacing w:line="0" w:lineRule="atLeas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r/>
    </w:p>
    <w:p>
      <w:pPr>
        <w:ind w:right="1559" w:firstLine="480"/>
        <w:jc w:val="center"/>
        <w:spacing w:line="0" w:lineRule="atLeas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  年  月  日</w:t>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rPr>
        <w:t xml:space="preserve">9</w:t>
      </w:r>
      <w:r/>
    </w:p>
    <w:p>
      <w:pPr>
        <w:jc w:val="center"/>
        <w:spacing w:line="420" w:lineRule="exact"/>
        <w:rPr>
          <w:rFonts w:ascii="Times New Roman" w:hAnsi="Times New Roman"/>
          <w:b/>
          <w:bCs/>
          <w:color w:val="auto"/>
          <w:sz w:val="32"/>
          <w:szCs w:val="32"/>
          <w:highlight w:val="none"/>
        </w:rPr>
        <w:outlineLvl w:val="3"/>
      </w:pPr>
      <w:r>
        <w:rPr>
          <w:rFonts w:ascii="Times New Roman" w:hAnsi="Times New Roman"/>
          <w:b/>
          <w:bCs/>
          <w:color w:val="auto"/>
          <w:sz w:val="32"/>
          <w:szCs w:val="32"/>
          <w:highlight w:val="none"/>
        </w:rPr>
        <w:t xml:space="preserve">监狱和戒毒企业证明材料</w:t>
      </w:r>
      <w:r/>
    </w:p>
    <w:p>
      <w:pPr>
        <w:ind w:firstLine="495"/>
        <w:spacing w:line="420" w:lineRule="exact"/>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426"/>
        <w:spacing w:line="42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（格式自拟）</w:t>
      </w:r>
      <w:r/>
    </w:p>
    <w:p>
      <w:pPr>
        <w:ind w:firstLine="424"/>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Times New Roman" w:hAnsi="Times New Roman"/>
          <w:color w:val="auto"/>
          <w:sz w:val="24"/>
          <w:szCs w:val="24"/>
          <w:highlight w:val="none"/>
        </w:rPr>
        <w:outlineLvl w:val="0"/>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ascii="Times New Roman" w:hAnsi="Times New Roman"/>
          <w:b/>
          <w:color w:val="auto"/>
          <w:sz w:val="24"/>
          <w:szCs w:val="24"/>
          <w:highlight w:val="none"/>
        </w:rPr>
      </w:pPr>
      <w:r>
        <w:rPr>
          <w:rFonts w:ascii="Times New Roman" w:hAnsi="Times New Roman"/>
          <w:b/>
          <w:color w:val="auto"/>
          <w:sz w:val="24"/>
          <w:szCs w:val="24"/>
          <w:highlight w:val="none"/>
        </w:rPr>
        <w:br w:type="page" w:clear="all"/>
      </w:r>
      <w:r>
        <w:rPr>
          <w:rFonts w:ascii="Times New Roman" w:hAnsi="Times New Roman"/>
          <w:b/>
          <w:color w:val="auto"/>
          <w:sz w:val="24"/>
          <w:szCs w:val="24"/>
          <w:highlight w:val="none"/>
        </w:rPr>
        <w:t xml:space="preserve">附件</w:t>
      </w:r>
      <w:bookmarkEnd w:id="183"/>
      <w:r>
        <w:rPr>
          <w:rFonts w:ascii="Times New Roman" w:hAnsi="Times New Roman"/>
          <w:b/>
          <w:color w:val="auto"/>
          <w:sz w:val="24"/>
          <w:szCs w:val="24"/>
          <w:highlight w:val="none"/>
        </w:rPr>
        <w:t xml:space="preserve">1</w:t>
      </w:r>
      <w:r>
        <w:rPr>
          <w:rFonts w:hint="eastAsia" w:ascii="Times New Roman" w:hAnsi="Times New Roman"/>
          <w:b/>
          <w:color w:val="auto"/>
          <w:sz w:val="24"/>
          <w:szCs w:val="24"/>
          <w:highlight w:val="none"/>
        </w:rPr>
        <w:t xml:space="preserve">0</w:t>
      </w:r>
      <w:r/>
    </w:p>
    <w:p>
      <w:pPr>
        <w:jc w:val="lef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质疑函范本</w:t>
      </w:r>
      <w:r/>
    </w:p>
    <w:p>
      <w:pPr>
        <w:spacing w:before="290"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一、质疑供应商基本信息</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质疑供应商：</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联系人：联系电话：</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授权代表：</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二、质疑项目基本情况</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质疑项目的编号：包号：</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采购人名称：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采购文件获取日期：</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三、质疑事项具体内容</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质疑事项1：</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事实依据：</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法律依据：</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质疑事项2</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四、与质疑事项相关的质疑请求</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请求：</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签字(签章)：</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公章：</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日期：</w:t>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质疑函制作说明：</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2.质疑供应商若委托代理人进行质疑的，质疑函应按要求列明“授权代表”的有关内容，并在附件中提交由质疑</w:t>
      </w:r>
      <w:r>
        <w:rPr>
          <w:rFonts w:ascii="Times New Roman" w:hAnsi="Times New Roman"/>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5.质疑函的质疑请求应与质疑事项相关。</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8"/>
          <w:szCs w:val="28"/>
          <w:highlight w:val="none"/>
        </w:rPr>
      </w:pPr>
      <w:r>
        <w:rPr>
          <w:rFonts w:ascii="Times New Roman" w:hAnsi="Times New Roman"/>
          <w:color w:val="auto"/>
          <w:sz w:val="28"/>
          <w:szCs w:val="28"/>
          <w:highlight w:val="none"/>
        </w:rPr>
      </w:r>
      <w:r/>
    </w:p>
    <w:p>
      <w:pPr>
        <w:rPr>
          <w:rFonts w:ascii="Times New Roman" w:hAnsi="Times New Roman"/>
          <w:b/>
          <w:color w:val="auto"/>
          <w:sz w:val="24"/>
          <w:szCs w:val="24"/>
          <w:highlight w:val="none"/>
        </w:rPr>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rPr>
        <w:t xml:space="preserve">11</w:t>
      </w:r>
      <w:r/>
    </w:p>
    <w:p>
      <w:pPr>
        <w:jc w:val="center"/>
        <w:widowControl/>
        <w:rPr>
          <w:rFonts w:ascii="Times New Roman" w:hAnsi="Times New Roman" w:eastAsia="微软雅黑"/>
          <w:color w:val="auto"/>
          <w:sz w:val="28"/>
          <w:szCs w:val="28"/>
          <w:highlight w:val="none"/>
        </w:rPr>
      </w:pPr>
      <w:r>
        <w:rPr>
          <w:rFonts w:ascii="Times New Roman" w:hAnsi="Times New Roman" w:eastAsia="微软雅黑"/>
          <w:color w:val="auto"/>
          <w:sz w:val="28"/>
          <w:szCs w:val="28"/>
          <w:highlight w:val="none"/>
        </w:rPr>
        <w:t xml:space="preserve">南通市政府采购履约保证保险政策告知函</w:t>
      </w:r>
      <w:r/>
    </w:p>
    <w:p>
      <w:pPr>
        <w:jc w:val="left"/>
        <w:widowControl/>
        <w:rPr>
          <w:rFonts w:ascii="Times New Roman" w:hAnsi="Times New Roman" w:eastAsia="仿宋_GB2312"/>
          <w:color w:val="auto"/>
          <w:sz w:val="28"/>
          <w:szCs w:val="28"/>
          <w:highlight w:val="none"/>
          <w:lang w:val="zh-CN"/>
        </w:rPr>
      </w:pPr>
      <w:r>
        <w:rPr>
          <w:rFonts w:ascii="Times New Roman" w:hAnsi="Times New Roman" w:eastAsia="仿宋_GB2312"/>
          <w:color w:val="auto"/>
          <w:sz w:val="28"/>
          <w:szCs w:val="28"/>
          <w:highlight w:val="none"/>
          <w:lang w:val="zh-CN"/>
        </w:rPr>
      </w:r>
      <w:r/>
    </w:p>
    <w:p>
      <w:pPr>
        <w:jc w:val="left"/>
        <w:spacing w:line="700" w:lineRule="exac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各政府采购供应商：</w:t>
      </w:r>
      <w:r/>
    </w:p>
    <w:p>
      <w:pPr>
        <w:ind w:firstLine="560"/>
        <w:jc w:val="left"/>
        <w:spacing w:line="700" w:lineRule="exac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欢迎贵公司参与南通市政府采购活动！</w:t>
      </w:r>
      <w:r/>
    </w:p>
    <w:p>
      <w:pPr>
        <w:ind w:firstLine="560"/>
        <w:jc w:val="left"/>
        <w:spacing w:line="700" w:lineRule="exac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560"/>
        <w:jc w:val="left"/>
        <w:spacing w:line="700" w:lineRule="exac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贵公司若成为本次政府采购项目的中标（成交）供应商，可自愿选择履约保证保险形式替代履约保证金。集中采购项目可线下自主选择或在南通市公共资源交易金融服务平台（</w:t>
      </w:r>
      <w:r>
        <w:rPr>
          <w:rFonts w:hint="eastAsia" w:ascii="宋体" w:hAnsi="宋体" w:cs="宋体"/>
          <w:color w:val="auto"/>
          <w:spacing w:val="1"/>
          <w:sz w:val="28"/>
          <w:szCs w:val="28"/>
          <w:highlight w:val="none"/>
          <w:lang w:val="zh-CN"/>
        </w:rPr>
        <w:t xml:space="preserve">http：</w:t>
      </w:r>
      <w:r>
        <w:rPr>
          <w:rFonts w:hint="eastAsia" w:ascii="宋体" w:hAnsi="宋体" w:cs="宋体"/>
          <w:color w:val="auto"/>
          <w:spacing w:val="1"/>
          <w:sz w:val="28"/>
          <w:szCs w:val="28"/>
          <w:highlight w:val="none"/>
        </w:rPr>
        <w:t xml:space="preserve">//</w:t>
      </w:r>
      <w:r>
        <w:rPr>
          <w:rFonts w:hint="eastAsia" w:ascii="宋体" w:hAnsi="宋体" w:cs="宋体"/>
          <w:color w:val="auto"/>
          <w:spacing w:val="1"/>
          <w:sz w:val="28"/>
          <w:szCs w:val="28"/>
          <w:highlight w:val="none"/>
          <w:lang w:val="zh-CN"/>
        </w:rPr>
        <w:t xml:space="preserve">ggzyjy.nantong.gov.cn／NTdzbhweb／supermarket</w:t>
      </w:r>
      <w:r>
        <w:rPr>
          <w:rFonts w:hint="eastAsia" w:ascii="宋体" w:hAnsi="宋体" w:cs="宋体"/>
          <w:color w:val="auto"/>
          <w:spacing w:val="7"/>
          <w:sz w:val="28"/>
          <w:szCs w:val="28"/>
          <w:highlight w:val="none"/>
          <w:lang w:val="zh-CN"/>
        </w:rPr>
        <w:t xml:space="preserve">／</w:t>
      </w:r>
      <w:r>
        <w:rPr>
          <w:rFonts w:hint="eastAsia" w:ascii="宋体" w:hAnsi="宋体" w:cs="宋体"/>
          <w:color w:val="auto"/>
          <w:sz w:val="28"/>
          <w:szCs w:val="28"/>
          <w:highlight w:val="none"/>
          <w:lang w:val="zh-CN"/>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pStyle w:val="987"/>
        <w:ind w:firstLine="560"/>
        <w:rPr>
          <w:rFonts w:ascii="Times New Roman" w:hAnsi="Times New Roman"/>
          <w:color w:val="auto"/>
          <w:sz w:val="28"/>
          <w:szCs w:val="28"/>
          <w:highlight w:val="none"/>
          <w:lang w:val="zh-CN"/>
        </w:rPr>
      </w:pPr>
      <w:r>
        <w:rPr>
          <w:rFonts w:ascii="Times New Roman" w:hAnsi="Times New Roman"/>
          <w:color w:val="auto"/>
          <w:sz w:val="28"/>
          <w:szCs w:val="28"/>
          <w:highlight w:val="none"/>
          <w:lang w:val="zh-CN"/>
        </w:rPr>
      </w:r>
      <w:r/>
    </w:p>
    <w:p>
      <w:pPr>
        <w:rPr>
          <w:rFonts w:ascii="Times New Roman" w:hAnsi="Times New Roman"/>
          <w:color w:val="auto"/>
          <w:sz w:val="28"/>
          <w:szCs w:val="28"/>
          <w:highlight w:val="none"/>
          <w:lang w:val="zh-CN"/>
        </w:rPr>
      </w:pPr>
      <w:r>
        <w:rPr>
          <w:rFonts w:ascii="Times New Roman" w:hAnsi="Times New Roman"/>
          <w:color w:val="auto"/>
          <w:sz w:val="28"/>
          <w:szCs w:val="28"/>
          <w:highlight w:val="none"/>
          <w:lang w:val="zh-CN"/>
        </w:rPr>
      </w:r>
      <w:r/>
    </w:p>
    <w:p>
      <w:pPr>
        <w:rPr>
          <w:rFonts w:ascii="Times New Roman" w:hAnsi="Times New Roman"/>
          <w:color w:val="auto"/>
          <w:sz w:val="28"/>
          <w:szCs w:val="28"/>
          <w:highlight w:val="none"/>
          <w:lang w:val="zh-CN"/>
        </w:rPr>
      </w:pPr>
      <w:r>
        <w:rPr>
          <w:rFonts w:ascii="Times New Roman" w:hAnsi="Times New Roman"/>
          <w:color w:val="auto"/>
          <w:sz w:val="28"/>
          <w:szCs w:val="28"/>
          <w:highlight w:val="none"/>
          <w:lang w:val="zh-CN"/>
        </w:rPr>
      </w:r>
      <w:r/>
    </w:p>
    <w:p>
      <w:pPr>
        <w:jc w:val="left"/>
        <w:spacing w:line="700" w:lineRule="exact"/>
        <w:widowControl/>
        <w:rPr>
          <w:rFonts w:ascii="Times New Roman" w:hAnsi="Times New Roman"/>
          <w:color w:val="auto"/>
          <w:sz w:val="28"/>
          <w:szCs w:val="28"/>
          <w:highlight w:val="none"/>
        </w:rPr>
      </w:pPr>
      <w:r>
        <w:rPr>
          <w:rFonts w:ascii="Times New Roman" w:hAnsi="Times New Roman" w:eastAsia="仿宋_GB2312"/>
          <w:b/>
          <w:bCs/>
          <w:color w:val="auto"/>
          <w:sz w:val="28"/>
          <w:szCs w:val="28"/>
          <w:highlight w:val="none"/>
          <w:lang w:val="zh-CN"/>
        </w:rPr>
        <w:br w:type="page" w:clear="all"/>
      </w:r>
      <w:r>
        <w:rPr>
          <w:rFonts w:ascii="Times New Roman" w:hAnsi="Times New Roman"/>
          <w:b/>
          <w:color w:val="auto"/>
          <w:sz w:val="24"/>
          <w:szCs w:val="24"/>
          <w:highlight w:val="none"/>
          <w:lang w:val="zh-CN"/>
        </w:rPr>
        <w:t xml:space="preserve">附件</w:t>
      </w:r>
      <w:r>
        <w:rPr>
          <w:rFonts w:ascii="Times New Roman" w:hAnsi="Times New Roman"/>
          <w:b/>
          <w:color w:val="auto"/>
          <w:sz w:val="24"/>
          <w:szCs w:val="24"/>
          <w:highlight w:val="none"/>
        </w:rPr>
        <w:t xml:space="preserve">1</w:t>
      </w:r>
      <w:r>
        <w:rPr>
          <w:rFonts w:hint="eastAsia" w:ascii="Times New Roman" w:hAnsi="Times New Roman"/>
          <w:b/>
          <w:color w:val="auto"/>
          <w:sz w:val="24"/>
          <w:szCs w:val="24"/>
          <w:highlight w:val="none"/>
        </w:rPr>
        <w:t xml:space="preserve">2</w:t>
      </w:r>
      <w:r/>
    </w:p>
    <w:p>
      <w:pPr>
        <w:ind w:firstLine="2249"/>
        <w:jc w:val="left"/>
        <w:spacing w:line="700" w:lineRule="exact"/>
        <w:widowControl/>
        <w:rPr>
          <w:rFonts w:ascii="Times New Roman" w:hAnsi="Times New Roman" w:eastAsia="仿宋_GB2312"/>
          <w:color w:val="auto"/>
          <w:sz w:val="28"/>
          <w:szCs w:val="28"/>
          <w:highlight w:val="none"/>
        </w:rPr>
      </w:pPr>
      <w:r>
        <w:rPr>
          <w:rFonts w:ascii="Times New Roman" w:hAnsi="Times New Roman"/>
          <w:b/>
          <w:bCs/>
          <w:color w:val="auto"/>
          <w:sz w:val="28"/>
          <w:szCs w:val="28"/>
          <w:highlight w:val="none"/>
        </w:rPr>
        <w:t xml:space="preserve">南通市政府采购线上合同信用融资政策告知函</w:t>
      </w:r>
      <w:r/>
    </w:p>
    <w:p>
      <w:pPr>
        <w:ind w:firstLine="560"/>
        <w:jc w:val="left"/>
        <w:spacing w:line="700" w:lineRule="exac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各政府采购供应商：</w:t>
      </w:r>
      <w:r/>
    </w:p>
    <w:p>
      <w:pPr>
        <w:ind w:firstLine="560"/>
        <w:jc w:val="left"/>
        <w:spacing w:line="7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欢迎贵公</w:t>
      </w:r>
      <w:r>
        <w:rPr>
          <w:rFonts w:hint="eastAsia" w:ascii="宋体" w:hAnsi="宋体" w:cs="宋体"/>
          <w:color w:val="auto"/>
          <w:sz w:val="28"/>
          <w:szCs w:val="28"/>
          <w:highlight w:val="none"/>
        </w:rPr>
        <w:t xml:space="preserve">司参与南通市政府采购活动！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p>
    <w:p>
      <w:pPr>
        <w:pStyle w:val="987"/>
        <w:ind w:firstLine="560"/>
        <w:rPr>
          <w:rFonts w:hint="eastAsia" w:cs="宋体"/>
          <w:color w:val="auto"/>
          <w:sz w:val="28"/>
          <w:szCs w:val="28"/>
          <w:highlight w:val="none"/>
          <w:lang w:val="zh-CN"/>
        </w:rPr>
      </w:pPr>
      <w:r>
        <w:rPr>
          <w:rFonts w:hint="eastAsia" w:cs="宋体"/>
          <w:color w:val="auto"/>
          <w:sz w:val="28"/>
          <w:szCs w:val="28"/>
          <w:highlight w:val="none"/>
          <w:lang w:val="zh-CN"/>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ascii="Times New Roman" w:hAnsi="Times New Roman"/>
          <w:color w:val="auto"/>
          <w:sz w:val="28"/>
          <w:szCs w:val="28"/>
          <w:highlight w:val="none"/>
        </w:rPr>
        <w:outlineLvl w:val="0"/>
      </w:pPr>
      <w:r>
        <w:rPr>
          <w:rFonts w:ascii="Times New Roman" w:hAnsi="Times New Roman"/>
          <w:color w:val="auto"/>
          <w:sz w:val="28"/>
          <w:szCs w:val="28"/>
          <w:highlight w:val="none"/>
        </w:rPr>
      </w:r>
      <w:r/>
    </w:p>
    <w:p>
      <w:pPr>
        <w:spacing w:line="500" w:lineRule="exact"/>
        <w:rPr>
          <w:rFonts w:ascii="Times New Roman" w:hAnsi="Times New Roman"/>
          <w:b/>
          <w:color w:val="auto"/>
          <w:sz w:val="28"/>
          <w:szCs w:val="28"/>
          <w:highlight w:val="none"/>
        </w:rPr>
      </w:pPr>
      <w:r>
        <w:rPr>
          <w:rFonts w:ascii="Times New Roman" w:hAnsi="Times New Roman"/>
          <w:b/>
          <w:color w:val="auto"/>
          <w:sz w:val="28"/>
          <w:szCs w:val="28"/>
          <w:highlight w:val="none"/>
        </w:rPr>
      </w:r>
      <w:r/>
    </w:p>
    <w:p>
      <w:pPr>
        <w:contextualSpacing/>
        <w:spacing w:line="500" w:lineRule="exact"/>
        <w:rPr>
          <w:rFonts w:ascii="Times New Roman" w:hAnsi="Times New Roman" w:eastAsia="仿宋"/>
          <w:b/>
          <w:bCs/>
          <w:color w:val="auto"/>
          <w:sz w:val="28"/>
          <w:szCs w:val="28"/>
          <w:highlight w:val="none"/>
        </w:rPr>
      </w:pPr>
      <w:r>
        <w:rPr>
          <w:rFonts w:ascii="Times New Roman" w:hAnsi="Times New Roman" w:eastAsia="仿宋"/>
          <w:b/>
          <w:bCs/>
          <w:color w:val="auto"/>
          <w:sz w:val="28"/>
          <w:szCs w:val="28"/>
          <w:highlight w:val="none"/>
        </w:rPr>
      </w:r>
      <w:r/>
    </w:p>
    <w:p>
      <w:pPr>
        <w:contextualSpacing/>
        <w:ind w:firstLine="562"/>
        <w:spacing w:line="500" w:lineRule="exact"/>
        <w:rPr>
          <w:rFonts w:ascii="Times New Roman" w:hAnsi="Times New Roman" w:eastAsia="仿宋"/>
          <w:b/>
          <w:color w:val="auto"/>
          <w:sz w:val="28"/>
          <w:szCs w:val="28"/>
          <w:highlight w:val="none"/>
        </w:rPr>
        <w:outlineLvl w:val="0"/>
      </w:pPr>
      <w:r>
        <w:rPr>
          <w:rFonts w:ascii="Times New Roman" w:hAnsi="Times New Roman" w:eastAsia="仿宋"/>
          <w:b/>
          <w:color w:val="auto"/>
          <w:sz w:val="28"/>
          <w:szCs w:val="28"/>
          <w:highlight w:val="none"/>
        </w:rPr>
      </w:r>
      <w:r/>
    </w:p>
    <w:p>
      <w:pPr>
        <w:ind w:firstLine="420"/>
        <w:spacing w:line="400" w:lineRule="exact"/>
        <w:rPr>
          <w:rFonts w:ascii="Times New Roman" w:hAnsi="Times New Roman"/>
          <w:color w:val="auto"/>
          <w:highlight w:val="none"/>
        </w:rPr>
      </w:pPr>
      <w:r>
        <w:rPr>
          <w:rFonts w:ascii="Times New Roman" w:hAnsi="Times New Roman"/>
          <w:color w:val="auto"/>
          <w:highlight w:val="none"/>
        </w:rPr>
      </w:r>
      <w:r/>
    </w:p>
    <w:p>
      <w:pPr>
        <w:rPr>
          <w:color w:val="auto"/>
          <w:highlight w:val="none"/>
        </w:rPr>
      </w:pPr>
      <w:r>
        <w:rPr>
          <w:color w:val="auto"/>
          <w:highlight w:val="none"/>
        </w:rPr>
      </w:r>
      <w:r/>
    </w:p>
    <w:sectPr>
      <w:headerReference w:type="default" r:id="rId9"/>
      <w:footerReference w:type="default" r:id="rId12"/>
      <w:footerReference w:type="even" r:id="rId13"/>
      <w:footerReference w:type="first" r:id="rId14"/>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p>
  <w:p>
    <w:pPr>
      <w:pStyle w:val="97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48"/>
      <w:isLgl w:val="false"/>
      <w:suff w:val="nothing"/>
      <w:lvlText w:val=""/>
      <w:lvlJc w:val="left"/>
      <w:pPr>
        <w:ind w:left="0" w:firstLine="0"/>
      </w:pPr>
      <w:rPr>
        <w:rFonts w:hint="eastAsia"/>
      </w:rPr>
    </w:lvl>
    <w:lvl w:ilvl="6">
      <w:start w:val="1"/>
      <w:numFmt w:val="none"/>
      <w:pStyle w:val="949"/>
      <w:isLgl w:val="false"/>
      <w:suff w:val="nothing"/>
      <w:lvlText w:val=""/>
      <w:lvlJc w:val="left"/>
      <w:pPr>
        <w:ind w:left="0" w:firstLine="0"/>
      </w:pPr>
      <w:rPr>
        <w:rFonts w:hint="eastAsia"/>
      </w:rPr>
    </w:lvl>
    <w:lvl w:ilvl="7">
      <w:start w:val="1"/>
      <w:numFmt w:val="none"/>
      <w:pStyle w:val="950"/>
      <w:isLgl w:val="false"/>
      <w:suff w:val="nothing"/>
      <w:lvlText w:val=""/>
      <w:lvlJc w:val="left"/>
      <w:pPr>
        <w:ind w:left="0" w:firstLine="0"/>
      </w:pPr>
      <w:rPr>
        <w:rFonts w:hint="eastAsia"/>
      </w:rPr>
    </w:lvl>
    <w:lvl w:ilvl="8">
      <w:start w:val="1"/>
      <w:numFmt w:val="none"/>
      <w:pStyle w:val="951"/>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1 Char"/>
    <w:basedOn w:val="952"/>
    <w:link w:val="943"/>
    <w:uiPriority w:val="9"/>
    <w:rPr>
      <w:rFonts w:ascii="Arial" w:hAnsi="Arial" w:eastAsia="Arial" w:cs="Arial"/>
      <w:sz w:val="40"/>
      <w:szCs w:val="40"/>
    </w:rPr>
  </w:style>
  <w:style w:type="character" w:styleId="790">
    <w:name w:val="Heading 2 Char"/>
    <w:basedOn w:val="952"/>
    <w:link w:val="944"/>
    <w:uiPriority w:val="9"/>
    <w:rPr>
      <w:rFonts w:ascii="Arial" w:hAnsi="Arial" w:eastAsia="Arial" w:cs="Arial"/>
      <w:sz w:val="34"/>
    </w:rPr>
  </w:style>
  <w:style w:type="character" w:styleId="791">
    <w:name w:val="Heading 3 Char"/>
    <w:basedOn w:val="952"/>
    <w:link w:val="945"/>
    <w:uiPriority w:val="9"/>
    <w:rPr>
      <w:rFonts w:ascii="Arial" w:hAnsi="Arial" w:eastAsia="Arial" w:cs="Arial"/>
      <w:sz w:val="30"/>
      <w:szCs w:val="30"/>
    </w:rPr>
  </w:style>
  <w:style w:type="character" w:styleId="792">
    <w:name w:val="Heading 4 Char"/>
    <w:basedOn w:val="952"/>
    <w:link w:val="946"/>
    <w:uiPriority w:val="9"/>
    <w:rPr>
      <w:rFonts w:ascii="Arial" w:hAnsi="Arial" w:eastAsia="Arial" w:cs="Arial"/>
      <w:b/>
      <w:bCs/>
      <w:sz w:val="26"/>
      <w:szCs w:val="26"/>
    </w:rPr>
  </w:style>
  <w:style w:type="character" w:styleId="793">
    <w:name w:val="Heading 5 Char"/>
    <w:basedOn w:val="952"/>
    <w:link w:val="947"/>
    <w:uiPriority w:val="9"/>
    <w:rPr>
      <w:rFonts w:ascii="Arial" w:hAnsi="Arial" w:eastAsia="Arial" w:cs="Arial"/>
      <w:b/>
      <w:bCs/>
      <w:sz w:val="24"/>
      <w:szCs w:val="24"/>
    </w:rPr>
  </w:style>
  <w:style w:type="character" w:styleId="794">
    <w:name w:val="Heading 6 Char"/>
    <w:basedOn w:val="952"/>
    <w:link w:val="948"/>
    <w:uiPriority w:val="9"/>
    <w:rPr>
      <w:rFonts w:ascii="Arial" w:hAnsi="Arial" w:eastAsia="Arial" w:cs="Arial"/>
      <w:b/>
      <w:bCs/>
      <w:sz w:val="22"/>
      <w:szCs w:val="22"/>
    </w:rPr>
  </w:style>
  <w:style w:type="character" w:styleId="795">
    <w:name w:val="Heading 7 Char"/>
    <w:basedOn w:val="952"/>
    <w:link w:val="949"/>
    <w:uiPriority w:val="9"/>
    <w:rPr>
      <w:rFonts w:ascii="Arial" w:hAnsi="Arial" w:eastAsia="Arial" w:cs="Arial"/>
      <w:b/>
      <w:bCs/>
      <w:i/>
      <w:iCs/>
      <w:sz w:val="22"/>
      <w:szCs w:val="22"/>
    </w:rPr>
  </w:style>
  <w:style w:type="character" w:styleId="796">
    <w:name w:val="Heading 8 Char"/>
    <w:basedOn w:val="952"/>
    <w:link w:val="950"/>
    <w:uiPriority w:val="9"/>
    <w:rPr>
      <w:rFonts w:ascii="Arial" w:hAnsi="Arial" w:eastAsia="Arial" w:cs="Arial"/>
      <w:i/>
      <w:iCs/>
      <w:sz w:val="22"/>
      <w:szCs w:val="22"/>
    </w:rPr>
  </w:style>
  <w:style w:type="character" w:styleId="797">
    <w:name w:val="Heading 9 Char"/>
    <w:basedOn w:val="952"/>
    <w:link w:val="951"/>
    <w:uiPriority w:val="9"/>
    <w:rPr>
      <w:rFonts w:ascii="Arial" w:hAnsi="Arial" w:eastAsia="Arial" w:cs="Arial"/>
      <w:i/>
      <w:iCs/>
      <w:sz w:val="21"/>
      <w:szCs w:val="21"/>
    </w:rPr>
  </w:style>
  <w:style w:type="paragraph" w:styleId="798">
    <w:name w:val="Title"/>
    <w:basedOn w:val="942"/>
    <w:next w:val="942"/>
    <w:link w:val="799"/>
    <w:uiPriority w:val="10"/>
    <w:qFormat/>
    <w:pPr>
      <w:contextualSpacing/>
      <w:spacing w:before="300" w:after="200"/>
    </w:pPr>
    <w:rPr>
      <w:sz w:val="48"/>
      <w:szCs w:val="48"/>
    </w:rPr>
  </w:style>
  <w:style w:type="character" w:styleId="799">
    <w:name w:val="Title Char"/>
    <w:basedOn w:val="952"/>
    <w:link w:val="798"/>
    <w:uiPriority w:val="10"/>
    <w:rPr>
      <w:sz w:val="48"/>
      <w:szCs w:val="48"/>
    </w:rPr>
  </w:style>
  <w:style w:type="paragraph" w:styleId="800">
    <w:name w:val="Subtitle"/>
    <w:basedOn w:val="942"/>
    <w:next w:val="942"/>
    <w:link w:val="801"/>
    <w:uiPriority w:val="11"/>
    <w:qFormat/>
    <w:pPr>
      <w:spacing w:before="200" w:after="200"/>
    </w:pPr>
    <w:rPr>
      <w:sz w:val="24"/>
      <w:szCs w:val="24"/>
    </w:rPr>
  </w:style>
  <w:style w:type="character" w:styleId="801">
    <w:name w:val="Subtitle Char"/>
    <w:basedOn w:val="952"/>
    <w:link w:val="800"/>
    <w:uiPriority w:val="11"/>
    <w:rPr>
      <w:sz w:val="24"/>
      <w:szCs w:val="24"/>
    </w:rPr>
  </w:style>
  <w:style w:type="paragraph" w:styleId="802">
    <w:name w:val="Quote"/>
    <w:basedOn w:val="942"/>
    <w:next w:val="942"/>
    <w:link w:val="803"/>
    <w:uiPriority w:val="29"/>
    <w:qFormat/>
    <w:pPr>
      <w:ind w:left="720" w:right="720"/>
    </w:pPr>
    <w:rPr>
      <w:i/>
    </w:rPr>
  </w:style>
  <w:style w:type="character" w:styleId="803">
    <w:name w:val="Quote Char"/>
    <w:link w:val="802"/>
    <w:uiPriority w:val="29"/>
    <w:rPr>
      <w:i/>
    </w:rPr>
  </w:style>
  <w:style w:type="paragraph" w:styleId="804">
    <w:name w:val="Intense Quote"/>
    <w:basedOn w:val="942"/>
    <w:next w:val="942"/>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character" w:styleId="806">
    <w:name w:val="Header Char"/>
    <w:basedOn w:val="952"/>
    <w:link w:val="973"/>
    <w:uiPriority w:val="99"/>
  </w:style>
  <w:style w:type="character" w:styleId="807">
    <w:name w:val="Footer Char"/>
    <w:basedOn w:val="952"/>
    <w:link w:val="972"/>
    <w:uiPriority w:val="99"/>
  </w:style>
  <w:style w:type="paragraph" w:styleId="808">
    <w:name w:val="Caption"/>
    <w:basedOn w:val="942"/>
    <w:next w:val="942"/>
    <w:uiPriority w:val="35"/>
    <w:semiHidden/>
    <w:unhideWhenUsed/>
    <w:qFormat/>
    <w:pPr>
      <w:spacing w:line="276" w:lineRule="auto"/>
    </w:pPr>
    <w:rPr>
      <w:b/>
      <w:bCs/>
      <w:color w:val="4f81bd" w:themeColor="accent1"/>
      <w:sz w:val="18"/>
      <w:szCs w:val="18"/>
    </w:rPr>
  </w:style>
  <w:style w:type="character" w:styleId="809">
    <w:name w:val="Caption Char"/>
    <w:basedOn w:val="808"/>
    <w:link w:val="972"/>
    <w:uiPriority w:val="99"/>
  </w:style>
  <w:style w:type="table" w:styleId="810">
    <w:name w:val="Table Grid Light"/>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9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9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9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basedOn w:val="9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basedOn w:val="9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basedOn w:val="9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basedOn w:val="9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basedOn w:val="9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basedOn w:val="9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basedOn w:val="9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basedOn w:val="9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basedOn w:val="9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basedOn w:val="9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basedOn w:val="9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basedOn w:val="9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basedOn w:val="9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basedOn w:val="9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basedOn w:val="9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basedOn w:val="9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basedOn w:val="9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basedOn w:val="9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basedOn w:val="9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basedOn w:val="9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basedOn w:val="9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basedOn w:val="9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basedOn w:val="9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basedOn w:val="9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basedOn w:val="9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basedOn w:val="9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basedOn w:val="9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basedOn w:val="9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basedOn w:val="9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basedOn w:val="9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basedOn w:val="9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basedOn w:val="9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basedOn w:val="9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basedOn w:val="9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basedOn w:val="9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basedOn w:val="9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basedOn w:val="9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basedOn w:val="9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basedOn w:val="9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basedOn w:val="9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basedOn w:val="9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basedOn w:val="9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basedOn w:val="9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basedOn w:val="9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basedOn w:val="9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basedOn w:val="9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basedOn w:val="9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basedOn w:val="9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basedOn w:val="9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basedOn w:val="9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basedOn w:val="9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basedOn w:val="9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basedOn w:val="9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basedOn w:val="9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basedOn w:val="9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basedOn w:val="9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basedOn w:val="9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basedOn w:val="9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basedOn w:val="9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basedOn w:val="9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basedOn w:val="9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basedOn w:val="9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basedOn w:val="9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basedOn w:val="9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basedOn w:val="9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basedOn w:val="9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basedOn w:val="9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basedOn w:val="9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basedOn w:val="9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5">
    <w:name w:val="footnote text"/>
    <w:basedOn w:val="942"/>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basedOn w:val="952"/>
    <w:uiPriority w:val="99"/>
    <w:unhideWhenUsed/>
    <w:rPr>
      <w:vertAlign w:val="superscript"/>
    </w:rPr>
  </w:style>
  <w:style w:type="paragraph" w:styleId="938">
    <w:name w:val="endnote text"/>
    <w:basedOn w:val="942"/>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basedOn w:val="952"/>
    <w:uiPriority w:val="99"/>
    <w:semiHidden/>
    <w:unhideWhenUsed/>
    <w:rPr>
      <w:vertAlign w:val="superscript"/>
    </w:rPr>
  </w:style>
  <w:style w:type="paragraph" w:styleId="941">
    <w:name w:val="TOC Heading"/>
    <w:uiPriority w:val="39"/>
    <w:unhideWhenUsed/>
  </w:style>
  <w:style w:type="paragraph" w:styleId="94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43">
    <w:name w:val="Heading 1"/>
    <w:basedOn w:val="942"/>
    <w:next w:val="942"/>
    <w:link w:val="997"/>
    <w:uiPriority w:val="0"/>
    <w:qFormat/>
    <w:pPr>
      <w:jc w:val="center"/>
      <w:keepNext/>
      <w:outlineLvl w:val="0"/>
    </w:pPr>
    <w:rPr>
      <w:rFonts w:ascii="楷体_GB2312" w:hAnsi="Times New Roman" w:eastAsia="楷体_GB2312"/>
      <w:sz w:val="28"/>
      <w:szCs w:val="28"/>
    </w:rPr>
  </w:style>
  <w:style w:type="paragraph" w:styleId="944">
    <w:name w:val="Heading 2"/>
    <w:basedOn w:val="942"/>
    <w:next w:val="942"/>
    <w:link w:val="9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5">
    <w:name w:val="Heading 3"/>
    <w:basedOn w:val="942"/>
    <w:next w:val="954"/>
    <w:link w:val="1000"/>
    <w:uiPriority w:val="0"/>
    <w:qFormat/>
    <w:pPr>
      <w:keepLines/>
      <w:keepNext/>
      <w:spacing w:before="260" w:after="260" w:line="416" w:lineRule="auto"/>
      <w:outlineLvl w:val="2"/>
    </w:pPr>
    <w:rPr>
      <w:rFonts w:ascii="Times New Roman" w:hAnsi="Times New Roman"/>
      <w:b/>
      <w:bCs/>
      <w:sz w:val="32"/>
      <w:szCs w:val="32"/>
    </w:rPr>
  </w:style>
  <w:style w:type="paragraph" w:styleId="946">
    <w:name w:val="Heading 4"/>
    <w:basedOn w:val="942"/>
    <w:next w:val="942"/>
    <w:link w:val="1001"/>
    <w:uiPriority w:val="0"/>
    <w:qFormat/>
    <w:pPr>
      <w:keepLines/>
      <w:keepNext/>
      <w:spacing w:before="280" w:after="290" w:line="376" w:lineRule="auto"/>
      <w:outlineLvl w:val="3"/>
    </w:pPr>
    <w:rPr>
      <w:rFonts w:ascii="Arial" w:hAnsi="Arial" w:eastAsia="黑体" w:cs="Arial"/>
      <w:b/>
      <w:bCs/>
      <w:sz w:val="28"/>
      <w:szCs w:val="28"/>
    </w:rPr>
  </w:style>
  <w:style w:type="paragraph" w:styleId="947">
    <w:name w:val="Heading 5"/>
    <w:basedOn w:val="942"/>
    <w:next w:val="954"/>
    <w:link w:val="1002"/>
    <w:uiPriority w:val="0"/>
    <w:qFormat/>
    <w:pPr>
      <w:keepNext/>
      <w:outlineLvl w:val="4"/>
    </w:pPr>
    <w:rPr>
      <w:rFonts w:ascii="宋体" w:hAnsi="Times New Roman"/>
      <w:color w:val="000000"/>
      <w:sz w:val="28"/>
      <w:szCs w:val="28"/>
    </w:rPr>
  </w:style>
  <w:style w:type="paragraph" w:styleId="948">
    <w:name w:val="Heading 6"/>
    <w:basedOn w:val="942"/>
    <w:next w:val="942"/>
    <w:link w:val="100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9">
    <w:name w:val="Heading 7"/>
    <w:basedOn w:val="942"/>
    <w:next w:val="942"/>
    <w:link w:val="1004"/>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50">
    <w:name w:val="Heading 8"/>
    <w:basedOn w:val="942"/>
    <w:next w:val="942"/>
    <w:link w:val="10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1">
    <w:name w:val="Heading 9"/>
    <w:basedOn w:val="942"/>
    <w:next w:val="942"/>
    <w:link w:val="1006"/>
    <w:uiPriority w:val="0"/>
    <w:qFormat/>
    <w:pPr>
      <w:numPr>
        <w:ilvl w:val="8"/>
        <w:numId w:val="1"/>
      </w:numPr>
      <w:keepLines/>
      <w:keepNext/>
      <w:spacing w:before="240" w:after="64" w:line="320" w:lineRule="auto"/>
      <w:outlineLvl w:val="8"/>
    </w:pPr>
    <w:rPr>
      <w:rFonts w:ascii="Arial" w:hAnsi="Arial" w:eastAsia="黑体"/>
      <w:szCs w:val="21"/>
    </w:rPr>
  </w:style>
  <w:style w:type="character" w:styleId="952" w:default="1">
    <w:name w:val="Default Paragraph Font"/>
    <w:uiPriority w:val="1"/>
    <w:semiHidden/>
    <w:unhideWhenUsed/>
    <w:qFormat/>
  </w:style>
  <w:style w:type="table" w:styleId="953" w:default="1">
    <w:name w:val="Normal Table"/>
    <w:uiPriority w:val="99"/>
    <w:semiHidden/>
    <w:unhideWhenUsed/>
    <w:qFormat/>
    <w:tblPr>
      <w:tblCellMar>
        <w:left w:w="108" w:type="dxa"/>
        <w:top w:w="0" w:type="dxa"/>
        <w:right w:w="108" w:type="dxa"/>
        <w:bottom w:w="0" w:type="dxa"/>
      </w:tblCellMar>
    </w:tblPr>
  </w:style>
  <w:style w:type="paragraph" w:styleId="954">
    <w:name w:val="Normal Indent"/>
    <w:basedOn w:val="942"/>
    <w:link w:val="999"/>
    <w:uiPriority w:val="0"/>
    <w:qFormat/>
    <w:pPr>
      <w:ind w:firstLine="420"/>
    </w:pPr>
    <w:rPr>
      <w:szCs w:val="21"/>
    </w:rPr>
  </w:style>
  <w:style w:type="paragraph" w:styleId="955">
    <w:name w:val="List 3"/>
    <w:basedOn w:val="942"/>
    <w:uiPriority w:val="0"/>
    <w:qFormat/>
    <w:pPr>
      <w:ind w:left="100" w:hanging="200"/>
    </w:pPr>
    <w:rPr>
      <w:rFonts w:ascii="Times New Roman" w:hAnsi="Times New Roman"/>
      <w:szCs w:val="21"/>
    </w:rPr>
  </w:style>
  <w:style w:type="paragraph" w:styleId="956">
    <w:name w:val="toc 7"/>
    <w:basedOn w:val="942"/>
    <w:next w:val="942"/>
    <w:uiPriority w:val="0"/>
    <w:semiHidden/>
    <w:qFormat/>
    <w:pPr>
      <w:ind w:left="1260"/>
      <w:jc w:val="left"/>
    </w:pPr>
    <w:rPr>
      <w:rFonts w:ascii="Times New Roman" w:hAnsi="Times New Roman"/>
      <w:szCs w:val="21"/>
    </w:rPr>
  </w:style>
  <w:style w:type="paragraph" w:styleId="957">
    <w:name w:val="Document Map"/>
    <w:basedOn w:val="942"/>
    <w:link w:val="1007"/>
    <w:uiPriority w:val="0"/>
    <w:semiHidden/>
    <w:qFormat/>
    <w:pPr>
      <w:shd w:val="clear" w:color="auto" w:fill="000080"/>
    </w:pPr>
    <w:rPr>
      <w:rFonts w:ascii="Times New Roman" w:hAnsi="Times New Roman"/>
      <w:szCs w:val="21"/>
    </w:rPr>
  </w:style>
  <w:style w:type="paragraph" w:styleId="958">
    <w:name w:val="annotation text"/>
    <w:basedOn w:val="942"/>
    <w:link w:val="1008"/>
    <w:uiPriority w:val="0"/>
    <w:unhideWhenUsed/>
    <w:qFormat/>
    <w:pPr>
      <w:jc w:val="left"/>
    </w:pPr>
  </w:style>
  <w:style w:type="paragraph" w:styleId="959">
    <w:name w:val="Body Text 3"/>
    <w:basedOn w:val="942"/>
    <w:link w:val="1009"/>
    <w:uiPriority w:val="0"/>
    <w:qFormat/>
    <w:rPr>
      <w:rFonts w:ascii="仿宋_GB2312" w:hAnsi="Arial" w:eastAsia="仿宋_GB2312"/>
      <w:sz w:val="32"/>
      <w:szCs w:val="32"/>
    </w:rPr>
  </w:style>
  <w:style w:type="paragraph" w:styleId="960">
    <w:name w:val="Body Text"/>
    <w:basedOn w:val="942"/>
    <w:next w:val="942"/>
    <w:link w:val="1010"/>
    <w:uiPriority w:val="0"/>
    <w:qFormat/>
    <w:rPr>
      <w:rFonts w:ascii="楷体_GB2312" w:hAnsi="Arial" w:eastAsia="楷体_GB2312"/>
      <w:sz w:val="28"/>
      <w:szCs w:val="28"/>
    </w:rPr>
  </w:style>
  <w:style w:type="paragraph" w:styleId="961">
    <w:name w:val="Body Text Indent"/>
    <w:basedOn w:val="942"/>
    <w:next w:val="962"/>
    <w:link w:val="995"/>
    <w:uiPriority w:val="0"/>
    <w:unhideWhenUsed/>
    <w:qFormat/>
    <w:pPr>
      <w:ind w:left="420"/>
      <w:spacing w:after="120"/>
    </w:pPr>
  </w:style>
  <w:style w:type="paragraph" w:styleId="962">
    <w:name w:val="envelope return"/>
    <w:basedOn w:val="942"/>
    <w:uiPriority w:val="99"/>
    <w:unhideWhenUsed/>
    <w:qFormat/>
    <w:rPr>
      <w:rFonts w:ascii="Arial" w:hAnsi="Arial" w:eastAsia="楷体_GB2312"/>
      <w:sz w:val="26"/>
      <w:szCs w:val="20"/>
    </w:rPr>
  </w:style>
  <w:style w:type="paragraph" w:styleId="963">
    <w:name w:val="List 2"/>
    <w:basedOn w:val="942"/>
    <w:uiPriority w:val="0"/>
    <w:qFormat/>
    <w:pPr>
      <w:ind w:left="100" w:hanging="200"/>
    </w:pPr>
    <w:rPr>
      <w:rFonts w:ascii="Times New Roman" w:hAnsi="Times New Roman"/>
      <w:szCs w:val="21"/>
    </w:rPr>
  </w:style>
  <w:style w:type="paragraph" w:styleId="964">
    <w:name w:val="Block Text"/>
    <w:basedOn w:val="942"/>
    <w:uiPriority w:val="0"/>
    <w:qFormat/>
    <w:pPr>
      <w:ind w:left="525" w:right="-1" w:firstLine="525"/>
      <w:spacing w:line="312" w:lineRule="atLeast"/>
    </w:pPr>
    <w:rPr>
      <w:sz w:val="28"/>
      <w:szCs w:val="28"/>
    </w:rPr>
  </w:style>
  <w:style w:type="paragraph" w:styleId="965">
    <w:name w:val="toc 5"/>
    <w:basedOn w:val="942"/>
    <w:next w:val="942"/>
    <w:uiPriority w:val="0"/>
    <w:semiHidden/>
    <w:qFormat/>
    <w:pPr>
      <w:ind w:left="840"/>
      <w:jc w:val="left"/>
    </w:pPr>
    <w:rPr>
      <w:rFonts w:ascii="Times New Roman" w:hAnsi="Times New Roman"/>
      <w:szCs w:val="21"/>
    </w:rPr>
  </w:style>
  <w:style w:type="paragraph" w:styleId="966">
    <w:name w:val="toc 3"/>
    <w:basedOn w:val="942"/>
    <w:next w:val="942"/>
    <w:uiPriority w:val="0"/>
    <w:semiHidden/>
    <w:qFormat/>
    <w:pPr>
      <w:ind w:left="420"/>
      <w:jc w:val="left"/>
    </w:pPr>
    <w:rPr>
      <w:rFonts w:ascii="Times New Roman" w:hAnsi="Times New Roman"/>
      <w:i/>
      <w:iCs/>
      <w:szCs w:val="24"/>
    </w:rPr>
  </w:style>
  <w:style w:type="paragraph" w:styleId="967">
    <w:name w:val="Plain Text"/>
    <w:basedOn w:val="942"/>
    <w:link w:val="1011"/>
    <w:uiPriority w:val="0"/>
    <w:qFormat/>
    <w:rPr>
      <w:rFonts w:ascii="宋体" w:hAnsi="Courier New" w:cs="Courier New"/>
      <w:szCs w:val="21"/>
    </w:rPr>
  </w:style>
  <w:style w:type="paragraph" w:styleId="968">
    <w:name w:val="toc 8"/>
    <w:basedOn w:val="942"/>
    <w:next w:val="942"/>
    <w:uiPriority w:val="0"/>
    <w:semiHidden/>
    <w:qFormat/>
    <w:pPr>
      <w:ind w:left="1470"/>
      <w:jc w:val="left"/>
    </w:pPr>
    <w:rPr>
      <w:rFonts w:ascii="Times New Roman" w:hAnsi="Times New Roman"/>
      <w:szCs w:val="21"/>
    </w:rPr>
  </w:style>
  <w:style w:type="paragraph" w:styleId="969">
    <w:name w:val="Date"/>
    <w:basedOn w:val="942"/>
    <w:next w:val="942"/>
    <w:link w:val="1012"/>
    <w:uiPriority w:val="0"/>
    <w:qFormat/>
    <w:rPr>
      <w:rFonts w:ascii="Times New Roman" w:hAnsi="Times New Roman"/>
      <w:sz w:val="24"/>
      <w:szCs w:val="24"/>
    </w:rPr>
  </w:style>
  <w:style w:type="paragraph" w:styleId="970">
    <w:name w:val="Body Text Indent 2"/>
    <w:basedOn w:val="942"/>
    <w:link w:val="1013"/>
    <w:uiPriority w:val="0"/>
    <w:qFormat/>
    <w:pPr>
      <w:ind w:left="630" w:firstLine="645"/>
    </w:pPr>
    <w:rPr>
      <w:rFonts w:ascii="Arial" w:hAnsi="Arial" w:eastAsia="仿宋_GB2312" w:cs="Arial"/>
      <w:sz w:val="32"/>
      <w:szCs w:val="32"/>
    </w:rPr>
  </w:style>
  <w:style w:type="paragraph" w:styleId="971">
    <w:name w:val="Balloon Text"/>
    <w:basedOn w:val="942"/>
    <w:link w:val="1014"/>
    <w:uiPriority w:val="0"/>
    <w:semiHidden/>
    <w:qFormat/>
    <w:rPr>
      <w:rFonts w:ascii="Times New Roman" w:hAnsi="Times New Roman"/>
      <w:sz w:val="18"/>
      <w:szCs w:val="18"/>
    </w:rPr>
  </w:style>
  <w:style w:type="paragraph" w:styleId="972">
    <w:name w:val="Footer"/>
    <w:basedOn w:val="942"/>
    <w:link w:val="1015"/>
    <w:uiPriority w:val="0"/>
    <w:qFormat/>
    <w:pPr>
      <w:jc w:val="left"/>
      <w:tabs>
        <w:tab w:val="center" w:pos="4153" w:leader="none"/>
        <w:tab w:val="right" w:pos="8306" w:leader="none"/>
      </w:tabs>
    </w:pPr>
    <w:rPr>
      <w:rFonts w:ascii="Times New Roman" w:hAnsi="Times New Roman"/>
      <w:sz w:val="18"/>
      <w:szCs w:val="18"/>
    </w:rPr>
  </w:style>
  <w:style w:type="paragraph" w:styleId="973">
    <w:name w:val="Header"/>
    <w:basedOn w:val="942"/>
    <w:link w:val="1016"/>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74">
    <w:name w:val="toc 1"/>
    <w:basedOn w:val="942"/>
    <w:next w:val="942"/>
    <w:uiPriority w:val="0"/>
    <w:semiHidden/>
    <w:qFormat/>
    <w:pPr>
      <w:jc w:val="left"/>
      <w:spacing w:before="120" w:after="120" w:line="400" w:lineRule="exact"/>
      <w:tabs>
        <w:tab w:val="right" w:pos="8720" w:leader="dot"/>
      </w:tabs>
    </w:pPr>
    <w:rPr>
      <w:rFonts w:ascii="宋体" w:hAnsi="宋体"/>
      <w:caps/>
      <w:sz w:val="24"/>
      <w:szCs w:val="24"/>
    </w:rPr>
  </w:style>
  <w:style w:type="paragraph" w:styleId="975">
    <w:name w:val="toc 4"/>
    <w:basedOn w:val="942"/>
    <w:next w:val="942"/>
    <w:uiPriority w:val="0"/>
    <w:semiHidden/>
    <w:qFormat/>
    <w:pPr>
      <w:ind w:left="630"/>
      <w:jc w:val="left"/>
    </w:pPr>
    <w:rPr>
      <w:rFonts w:ascii="Times New Roman" w:hAnsi="Times New Roman"/>
      <w:szCs w:val="21"/>
    </w:rPr>
  </w:style>
  <w:style w:type="paragraph" w:styleId="976">
    <w:name w:val="List"/>
    <w:basedOn w:val="942"/>
    <w:uiPriority w:val="0"/>
    <w:qFormat/>
    <w:pPr>
      <w:ind w:left="200" w:hanging="200"/>
    </w:pPr>
    <w:rPr>
      <w:rFonts w:ascii="Times New Roman" w:hAnsi="Times New Roman"/>
      <w:szCs w:val="21"/>
    </w:rPr>
  </w:style>
  <w:style w:type="paragraph" w:styleId="977">
    <w:name w:val="toc 6"/>
    <w:basedOn w:val="942"/>
    <w:next w:val="942"/>
    <w:uiPriority w:val="0"/>
    <w:semiHidden/>
    <w:qFormat/>
    <w:pPr>
      <w:ind w:left="1050"/>
      <w:jc w:val="left"/>
    </w:pPr>
    <w:rPr>
      <w:rFonts w:ascii="Times New Roman" w:hAnsi="Times New Roman"/>
      <w:szCs w:val="21"/>
    </w:rPr>
  </w:style>
  <w:style w:type="paragraph" w:styleId="978">
    <w:name w:val="Body Text Indent 3"/>
    <w:basedOn w:val="942"/>
    <w:link w:val="1017"/>
    <w:uiPriority w:val="0"/>
    <w:qFormat/>
    <w:pPr>
      <w:ind w:left="645" w:firstLine="645"/>
    </w:pPr>
    <w:rPr>
      <w:rFonts w:ascii="Arial" w:hAnsi="Arial" w:eastAsia="仿宋_GB2312" w:cs="Arial"/>
      <w:color w:val="ffff00"/>
      <w:sz w:val="32"/>
      <w:szCs w:val="32"/>
    </w:rPr>
  </w:style>
  <w:style w:type="paragraph" w:styleId="979">
    <w:name w:val="table of figures"/>
    <w:basedOn w:val="942"/>
    <w:next w:val="942"/>
    <w:uiPriority w:val="0"/>
    <w:semiHidden/>
    <w:qFormat/>
    <w:pPr>
      <w:ind w:left="840" w:hanging="420"/>
    </w:pPr>
    <w:rPr>
      <w:rFonts w:ascii="Times New Roman" w:hAnsi="Times New Roman"/>
      <w:szCs w:val="21"/>
    </w:rPr>
  </w:style>
  <w:style w:type="paragraph" w:styleId="980">
    <w:name w:val="toc 2"/>
    <w:basedOn w:val="942"/>
    <w:next w:val="942"/>
    <w:uiPriority w:val="0"/>
    <w:semiHidden/>
    <w:qFormat/>
    <w:pPr>
      <w:ind w:left="210"/>
      <w:jc w:val="left"/>
    </w:pPr>
    <w:rPr>
      <w:rFonts w:ascii="Times New Roman" w:hAnsi="Times New Roman"/>
      <w:smallCaps/>
      <w:szCs w:val="24"/>
    </w:rPr>
  </w:style>
  <w:style w:type="paragraph" w:styleId="981">
    <w:name w:val="toc 9"/>
    <w:basedOn w:val="942"/>
    <w:next w:val="942"/>
    <w:uiPriority w:val="0"/>
    <w:semiHidden/>
    <w:qFormat/>
    <w:pPr>
      <w:ind w:left="1680"/>
      <w:jc w:val="left"/>
    </w:pPr>
    <w:rPr>
      <w:rFonts w:ascii="Times New Roman" w:hAnsi="Times New Roman"/>
      <w:szCs w:val="21"/>
    </w:rPr>
  </w:style>
  <w:style w:type="paragraph" w:styleId="982">
    <w:name w:val="Body Text 2"/>
    <w:basedOn w:val="942"/>
    <w:link w:val="1018"/>
    <w:uiPriority w:val="0"/>
    <w:qFormat/>
    <w:pPr>
      <w:jc w:val="center"/>
      <w:widowControl/>
    </w:pPr>
    <w:rPr>
      <w:rFonts w:ascii="楷体_GB2312" w:hAnsi="Times New Roman" w:eastAsia="楷体_GB2312"/>
      <w:sz w:val="28"/>
      <w:szCs w:val="28"/>
    </w:rPr>
  </w:style>
  <w:style w:type="paragraph" w:styleId="983">
    <w:name w:val="Normal (Web)"/>
    <w:basedOn w:val="942"/>
    <w:uiPriority w:val="99"/>
    <w:qFormat/>
    <w:pPr>
      <w:jc w:val="left"/>
      <w:spacing w:before="100" w:beforeAutospacing="1" w:after="100" w:afterAutospacing="1"/>
      <w:widowControl/>
    </w:pPr>
    <w:rPr>
      <w:rFonts w:ascii="宋体" w:hAnsi="宋体" w:cs="宋体"/>
      <w:sz w:val="24"/>
      <w:szCs w:val="24"/>
    </w:rPr>
  </w:style>
  <w:style w:type="paragraph" w:styleId="984">
    <w:name w:val="index 1"/>
    <w:basedOn w:val="942"/>
    <w:next w:val="942"/>
    <w:uiPriority w:val="0"/>
    <w:semiHidden/>
    <w:qFormat/>
    <w:pPr>
      <w:spacing w:line="240" w:lineRule="atLeast"/>
    </w:pPr>
    <w:rPr>
      <w:rFonts w:ascii="Times New Roman" w:hAnsi="Times New Roman"/>
      <w:b/>
      <w:bCs/>
      <w:szCs w:val="21"/>
    </w:rPr>
  </w:style>
  <w:style w:type="paragraph" w:styleId="985">
    <w:name w:val="annotation subject"/>
    <w:basedOn w:val="958"/>
    <w:next w:val="958"/>
    <w:link w:val="1019"/>
    <w:uiPriority w:val="0"/>
    <w:semiHidden/>
    <w:qFormat/>
    <w:rPr>
      <w:rFonts w:ascii="Times New Roman" w:hAnsi="Times New Roman"/>
      <w:b/>
      <w:bCs/>
      <w:szCs w:val="21"/>
    </w:rPr>
  </w:style>
  <w:style w:type="paragraph" w:styleId="986">
    <w:name w:val="Body Text First Indent"/>
    <w:basedOn w:val="960"/>
    <w:link w:val="1020"/>
    <w:uiPriority w:val="0"/>
    <w:qFormat/>
    <w:pPr>
      <w:ind w:firstLine="200"/>
      <w:spacing w:line="360" w:lineRule="auto"/>
    </w:pPr>
    <w:rPr>
      <w:rFonts w:ascii="仿宋_GB2312" w:hAnsi="Times New Roman" w:eastAsia="仿宋_GB2312"/>
      <w:sz w:val="30"/>
      <w:szCs w:val="30"/>
    </w:rPr>
  </w:style>
  <w:style w:type="paragraph" w:styleId="987">
    <w:name w:val="Body Text First Indent 2"/>
    <w:basedOn w:val="961"/>
    <w:next w:val="942"/>
    <w:link w:val="996"/>
    <w:uiPriority w:val="0"/>
    <w:qFormat/>
    <w:pPr>
      <w:ind w:left="0" w:firstLine="420"/>
      <w:spacing w:after="0" w:line="360" w:lineRule="auto"/>
    </w:pPr>
    <w:rPr>
      <w:rFonts w:ascii="宋体" w:hAnsi="宋体"/>
      <w:szCs w:val="20"/>
    </w:rPr>
  </w:style>
  <w:style w:type="table" w:styleId="988">
    <w:name w:val="Table Grid"/>
    <w:basedOn w:val="9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9">
    <w:name w:val="Strong"/>
    <w:uiPriority w:val="0"/>
    <w:qFormat/>
    <w:rPr>
      <w:b/>
      <w:bCs/>
    </w:rPr>
  </w:style>
  <w:style w:type="character" w:styleId="990">
    <w:name w:val="page number"/>
    <w:uiPriority w:val="0"/>
    <w:qFormat/>
  </w:style>
  <w:style w:type="character" w:styleId="991">
    <w:name w:val="FollowedHyperlink"/>
    <w:uiPriority w:val="0"/>
    <w:qFormat/>
    <w:rPr>
      <w:color w:val="800080"/>
      <w:u w:val="single"/>
    </w:rPr>
  </w:style>
  <w:style w:type="character" w:styleId="992">
    <w:name w:val="Emphasis"/>
    <w:basedOn w:val="952"/>
    <w:uiPriority w:val="20"/>
    <w:qFormat/>
    <w:rPr>
      <w:i/>
      <w:iCs/>
    </w:rPr>
  </w:style>
  <w:style w:type="character" w:styleId="993">
    <w:name w:val="Hyperlink"/>
    <w:uiPriority w:val="0"/>
    <w:qFormat/>
    <w:rPr>
      <w:color w:val="0000ff"/>
      <w:u w:val="single"/>
    </w:rPr>
  </w:style>
  <w:style w:type="character" w:styleId="994">
    <w:name w:val="annotation reference"/>
    <w:uiPriority w:val="0"/>
    <w:semiHidden/>
    <w:qFormat/>
    <w:rPr>
      <w:sz w:val="21"/>
      <w:szCs w:val="21"/>
    </w:rPr>
  </w:style>
  <w:style w:type="character" w:styleId="995" w:customStyle="1">
    <w:name w:val="正文文本缩进 字符"/>
    <w:basedOn w:val="952"/>
    <w:link w:val="961"/>
    <w:uiPriority w:val="99"/>
    <w:semiHidden/>
    <w:qFormat/>
  </w:style>
  <w:style w:type="character" w:styleId="996" w:customStyle="1">
    <w:name w:val="正文文本首行缩进 2 字符"/>
    <w:link w:val="987"/>
    <w:uiPriority w:val="0"/>
    <w:qFormat/>
    <w:rPr>
      <w:rFonts w:ascii="宋体" w:hAnsi="宋体" w:eastAsia="宋体" w:cs="Times New Roman"/>
      <w:szCs w:val="20"/>
    </w:rPr>
  </w:style>
  <w:style w:type="character" w:styleId="997" w:customStyle="1">
    <w:name w:val="标题 1 字符"/>
    <w:link w:val="943"/>
    <w:uiPriority w:val="0"/>
    <w:qFormat/>
    <w:rPr>
      <w:rFonts w:ascii="楷体_GB2312" w:hAnsi="Times New Roman" w:eastAsia="楷体_GB2312" w:cs="Times New Roman"/>
      <w:sz w:val="28"/>
      <w:szCs w:val="28"/>
    </w:rPr>
  </w:style>
  <w:style w:type="character" w:styleId="998" w:customStyle="1">
    <w:name w:val="标题 2 字符"/>
    <w:link w:val="944"/>
    <w:uiPriority w:val="0"/>
    <w:qFormat/>
    <w:rPr>
      <w:rFonts w:ascii="Arial" w:hAnsi="Arial" w:eastAsia="幼圆" w:cs="Arial"/>
      <w:b/>
      <w:bCs/>
      <w:sz w:val="44"/>
      <w:szCs w:val="44"/>
    </w:rPr>
  </w:style>
  <w:style w:type="character" w:styleId="999" w:customStyle="1">
    <w:name w:val="正文缩进 字符"/>
    <w:link w:val="954"/>
    <w:uiPriority w:val="0"/>
    <w:qFormat/>
    <w:rPr>
      <w:szCs w:val="21"/>
    </w:rPr>
  </w:style>
  <w:style w:type="character" w:styleId="1000" w:customStyle="1">
    <w:name w:val="标题 3 字符"/>
    <w:link w:val="945"/>
    <w:uiPriority w:val="0"/>
    <w:qFormat/>
    <w:rPr>
      <w:rFonts w:ascii="Times New Roman" w:hAnsi="Times New Roman" w:eastAsia="宋体" w:cs="Times New Roman"/>
      <w:b/>
      <w:bCs/>
      <w:sz w:val="32"/>
      <w:szCs w:val="32"/>
    </w:rPr>
  </w:style>
  <w:style w:type="character" w:styleId="1001" w:customStyle="1">
    <w:name w:val="标题 4 字符"/>
    <w:link w:val="946"/>
    <w:uiPriority w:val="0"/>
    <w:qFormat/>
    <w:rPr>
      <w:rFonts w:ascii="Arial" w:hAnsi="Arial" w:eastAsia="黑体" w:cs="Arial"/>
      <w:b/>
      <w:bCs/>
      <w:sz w:val="28"/>
      <w:szCs w:val="28"/>
    </w:rPr>
  </w:style>
  <w:style w:type="character" w:styleId="1002" w:customStyle="1">
    <w:name w:val="标题 5 字符"/>
    <w:link w:val="947"/>
    <w:uiPriority w:val="0"/>
    <w:qFormat/>
    <w:rPr>
      <w:rFonts w:ascii="宋体" w:hAnsi="Times New Roman" w:eastAsia="宋体" w:cs="Times New Roman"/>
      <w:color w:val="000000"/>
      <w:sz w:val="28"/>
      <w:szCs w:val="28"/>
    </w:rPr>
  </w:style>
  <w:style w:type="character" w:styleId="1003" w:customStyle="1">
    <w:name w:val="标题 6 字符"/>
    <w:link w:val="948"/>
    <w:uiPriority w:val="0"/>
    <w:qFormat/>
    <w:rPr>
      <w:rFonts w:ascii="Arial" w:hAnsi="Arial" w:eastAsia="黑体" w:cs="Times New Roman"/>
      <w:b/>
      <w:bCs/>
      <w:sz w:val="24"/>
      <w:szCs w:val="24"/>
    </w:rPr>
  </w:style>
  <w:style w:type="character" w:styleId="1004" w:customStyle="1">
    <w:name w:val="标题 7 字符"/>
    <w:link w:val="949"/>
    <w:uiPriority w:val="0"/>
    <w:qFormat/>
    <w:rPr>
      <w:rFonts w:ascii="Times New Roman" w:hAnsi="Times New Roman" w:eastAsia="宋体" w:cs="Times New Roman"/>
      <w:b/>
      <w:bCs/>
      <w:sz w:val="24"/>
      <w:szCs w:val="24"/>
    </w:rPr>
  </w:style>
  <w:style w:type="character" w:styleId="1005" w:customStyle="1">
    <w:name w:val="标题 8 字符"/>
    <w:link w:val="950"/>
    <w:uiPriority w:val="0"/>
    <w:qFormat/>
    <w:rPr>
      <w:rFonts w:ascii="Arial" w:hAnsi="Arial" w:eastAsia="黑体" w:cs="Times New Roman"/>
      <w:sz w:val="24"/>
      <w:szCs w:val="24"/>
    </w:rPr>
  </w:style>
  <w:style w:type="character" w:styleId="1006" w:customStyle="1">
    <w:name w:val="标题 9 字符"/>
    <w:link w:val="951"/>
    <w:uiPriority w:val="0"/>
    <w:qFormat/>
    <w:rPr>
      <w:rFonts w:ascii="Arial" w:hAnsi="Arial" w:eastAsia="黑体" w:cs="Times New Roman"/>
      <w:szCs w:val="21"/>
    </w:rPr>
  </w:style>
  <w:style w:type="character" w:styleId="1007" w:customStyle="1">
    <w:name w:val="文档结构图 字符"/>
    <w:link w:val="957"/>
    <w:uiPriority w:val="0"/>
    <w:semiHidden/>
    <w:qFormat/>
    <w:rPr>
      <w:rFonts w:ascii="Times New Roman" w:hAnsi="Times New Roman" w:eastAsia="宋体" w:cs="Times New Roman"/>
      <w:szCs w:val="21"/>
      <w:shd w:val="clear" w:color="auto" w:fill="000080"/>
    </w:rPr>
  </w:style>
  <w:style w:type="character" w:styleId="1008" w:customStyle="1">
    <w:name w:val="批注文字 字符"/>
    <w:basedOn w:val="952"/>
    <w:link w:val="958"/>
    <w:uiPriority w:val="99"/>
    <w:semiHidden/>
    <w:qFormat/>
  </w:style>
  <w:style w:type="character" w:styleId="1009" w:customStyle="1">
    <w:name w:val="正文文本 3 字符"/>
    <w:link w:val="959"/>
    <w:uiPriority w:val="0"/>
    <w:qFormat/>
    <w:rPr>
      <w:rFonts w:ascii="仿宋_GB2312" w:hAnsi="Arial" w:eastAsia="仿宋_GB2312" w:cs="Times New Roman"/>
      <w:sz w:val="32"/>
      <w:szCs w:val="32"/>
    </w:rPr>
  </w:style>
  <w:style w:type="character" w:styleId="1010" w:customStyle="1">
    <w:name w:val="正文文本 字符"/>
    <w:link w:val="960"/>
    <w:uiPriority w:val="0"/>
    <w:qFormat/>
    <w:rPr>
      <w:rFonts w:ascii="楷体_GB2312" w:hAnsi="Arial" w:eastAsia="楷体_GB2312" w:cs="Times New Roman"/>
      <w:sz w:val="28"/>
      <w:szCs w:val="28"/>
    </w:rPr>
  </w:style>
  <w:style w:type="character" w:styleId="1011" w:customStyle="1">
    <w:name w:val="纯文本 字符"/>
    <w:link w:val="967"/>
    <w:uiPriority w:val="0"/>
    <w:qFormat/>
    <w:rPr>
      <w:rFonts w:ascii="宋体" w:hAnsi="Courier New" w:eastAsia="宋体" w:cs="Courier New"/>
      <w:szCs w:val="21"/>
    </w:rPr>
  </w:style>
  <w:style w:type="character" w:styleId="1012" w:customStyle="1">
    <w:name w:val="日期 字符"/>
    <w:link w:val="969"/>
    <w:uiPriority w:val="0"/>
    <w:qFormat/>
    <w:rPr>
      <w:rFonts w:ascii="Times New Roman" w:hAnsi="Times New Roman" w:eastAsia="宋体" w:cs="Times New Roman"/>
      <w:sz w:val="24"/>
      <w:szCs w:val="24"/>
    </w:rPr>
  </w:style>
  <w:style w:type="character" w:styleId="1013" w:customStyle="1">
    <w:name w:val="正文文本缩进 2 字符"/>
    <w:link w:val="970"/>
    <w:uiPriority w:val="0"/>
    <w:qFormat/>
    <w:rPr>
      <w:rFonts w:ascii="Arial" w:hAnsi="Arial" w:eastAsia="仿宋_GB2312" w:cs="Arial"/>
      <w:sz w:val="32"/>
      <w:szCs w:val="32"/>
    </w:rPr>
  </w:style>
  <w:style w:type="character" w:styleId="1014" w:customStyle="1">
    <w:name w:val="批注框文本 字符"/>
    <w:link w:val="971"/>
    <w:uiPriority w:val="0"/>
    <w:semiHidden/>
    <w:qFormat/>
    <w:rPr>
      <w:rFonts w:ascii="Times New Roman" w:hAnsi="Times New Roman" w:eastAsia="宋体" w:cs="Times New Roman"/>
      <w:sz w:val="18"/>
      <w:szCs w:val="18"/>
    </w:rPr>
  </w:style>
  <w:style w:type="character" w:styleId="1015" w:customStyle="1">
    <w:name w:val="页脚 字符"/>
    <w:link w:val="972"/>
    <w:uiPriority w:val="0"/>
    <w:qFormat/>
    <w:rPr>
      <w:rFonts w:ascii="Times New Roman" w:hAnsi="Times New Roman" w:eastAsia="宋体" w:cs="Times New Roman"/>
      <w:sz w:val="18"/>
      <w:szCs w:val="18"/>
    </w:rPr>
  </w:style>
  <w:style w:type="character" w:styleId="1016" w:customStyle="1">
    <w:name w:val="页眉 字符"/>
    <w:link w:val="973"/>
    <w:uiPriority w:val="0"/>
    <w:qFormat/>
    <w:rPr>
      <w:rFonts w:ascii="Times New Roman" w:hAnsi="Times New Roman" w:eastAsia="宋体" w:cs="Times New Roman"/>
      <w:sz w:val="18"/>
      <w:szCs w:val="18"/>
    </w:rPr>
  </w:style>
  <w:style w:type="character" w:styleId="1017" w:customStyle="1">
    <w:name w:val="正文文本缩进 3 字符"/>
    <w:link w:val="978"/>
    <w:uiPriority w:val="0"/>
    <w:qFormat/>
    <w:rPr>
      <w:rFonts w:ascii="Arial" w:hAnsi="Arial" w:eastAsia="仿宋_GB2312" w:cs="Arial"/>
      <w:color w:val="ffff00"/>
      <w:sz w:val="32"/>
      <w:szCs w:val="32"/>
    </w:rPr>
  </w:style>
  <w:style w:type="character" w:styleId="1018" w:customStyle="1">
    <w:name w:val="正文文本 2 字符"/>
    <w:link w:val="982"/>
    <w:uiPriority w:val="0"/>
    <w:qFormat/>
    <w:rPr>
      <w:rFonts w:ascii="楷体_GB2312" w:hAnsi="Times New Roman" w:eastAsia="楷体_GB2312" w:cs="Times New Roman"/>
      <w:sz w:val="28"/>
      <w:szCs w:val="28"/>
    </w:rPr>
  </w:style>
  <w:style w:type="character" w:styleId="1019" w:customStyle="1">
    <w:name w:val="批注主题 字符"/>
    <w:link w:val="985"/>
    <w:uiPriority w:val="0"/>
    <w:semiHidden/>
    <w:qFormat/>
    <w:rPr>
      <w:rFonts w:ascii="Times New Roman" w:hAnsi="Times New Roman" w:eastAsia="宋体" w:cs="Times New Roman"/>
      <w:b/>
      <w:bCs/>
      <w:szCs w:val="21"/>
    </w:rPr>
  </w:style>
  <w:style w:type="character" w:styleId="1020" w:customStyle="1">
    <w:name w:val="正文文本首行缩进 字符"/>
    <w:link w:val="986"/>
    <w:uiPriority w:val="0"/>
    <w:qFormat/>
    <w:rPr>
      <w:rFonts w:ascii="仿宋_GB2312" w:hAnsi="Times New Roman" w:eastAsia="仿宋_GB2312" w:cs="Times New Roman"/>
      <w:sz w:val="30"/>
      <w:szCs w:val="30"/>
    </w:rPr>
  </w:style>
  <w:style w:type="character" w:styleId="1021" w:customStyle="1">
    <w:name w:val="font5 Char"/>
    <w:uiPriority w:val="0"/>
    <w:qFormat/>
    <w:rPr>
      <w:rFonts w:ascii="宋体" w:hAnsi="宋体" w:eastAsia="宋体"/>
      <w:sz w:val="28"/>
      <w:szCs w:val="28"/>
      <w:lang w:val="en-US" w:eastAsia="zh-CN" w:bidi="ar-SA"/>
    </w:rPr>
  </w:style>
  <w:style w:type="character" w:styleId="1022" w:customStyle="1">
    <w:name w:val="二级目录 Char"/>
    <w:link w:val="1023"/>
    <w:uiPriority w:val="0"/>
    <w:qFormat/>
    <w:rPr>
      <w:rFonts w:ascii="Calibri" w:hAnsi="Calibri"/>
      <w:b/>
      <w:sz w:val="30"/>
      <w:szCs w:val="28"/>
    </w:rPr>
  </w:style>
  <w:style w:type="paragraph" w:styleId="1023" w:customStyle="1">
    <w:name w:val="二级目录"/>
    <w:next w:val="942"/>
    <w:link w:val="1022"/>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24" w:customStyle="1">
    <w:name w:val="列出段落 Char"/>
    <w:link w:val="1025"/>
    <w:uiPriority w:val="0"/>
    <w:qFormat/>
    <w:rPr>
      <w:rFonts w:ascii="Calibri" w:hAnsi="Calibri"/>
      <w:sz w:val="24"/>
      <w:szCs w:val="24"/>
      <w:lang w:eastAsia="en-US" w:bidi="en-US"/>
    </w:rPr>
  </w:style>
  <w:style w:type="paragraph" w:styleId="1025" w:customStyle="1">
    <w:name w:val="列出段落1"/>
    <w:basedOn w:val="942"/>
    <w:link w:val="1024"/>
    <w:uiPriority w:val="0"/>
    <w:qFormat/>
    <w:pPr>
      <w:contextualSpacing/>
      <w:ind w:left="720"/>
      <w:jc w:val="left"/>
      <w:widowControl/>
    </w:pPr>
    <w:rPr>
      <w:sz w:val="24"/>
      <w:szCs w:val="24"/>
      <w:lang w:eastAsia="en-US" w:bidi="en-US"/>
    </w:rPr>
  </w:style>
  <w:style w:type="paragraph" w:styleId="1026" w:customStyle="1">
    <w:name w:val="Body Text(ch)"/>
    <w:basedOn w:val="942"/>
    <w:next w:val="960"/>
    <w:uiPriority w:val="0"/>
    <w:qFormat/>
    <w:pPr>
      <w:spacing w:after="120"/>
    </w:pPr>
    <w:rPr>
      <w:rFonts w:ascii="宋体" w:hAnsi="Arial"/>
      <w:bCs/>
      <w:iCs/>
      <w:szCs w:val="24"/>
    </w:rPr>
  </w:style>
  <w:style w:type="paragraph" w:styleId="1027" w:customStyle="1">
    <w:name w:val="xl27"/>
    <w:basedOn w:val="9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8" w:customStyle="1">
    <w:name w:val="xl26"/>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9" w:customStyle="1">
    <w:name w:val="Char"/>
    <w:basedOn w:val="942"/>
    <w:uiPriority w:val="0"/>
    <w:qFormat/>
    <w:pPr>
      <w:ind w:firstLine="200"/>
      <w:tabs>
        <w:tab w:val="left" w:pos="360" w:leader="none"/>
      </w:tabs>
    </w:pPr>
    <w:rPr>
      <w:rFonts w:ascii="Times New Roman" w:hAnsi="Times New Roman"/>
      <w:sz w:val="28"/>
      <w:szCs w:val="30"/>
    </w:rPr>
  </w:style>
  <w:style w:type="paragraph" w:styleId="1030" w:customStyle="1">
    <w:name w:val="Char1"/>
    <w:basedOn w:val="957"/>
    <w:uiPriority w:val="0"/>
    <w:qFormat/>
    <w:rPr>
      <w:rFonts w:ascii="Tahoma" w:hAnsi="Tahoma"/>
      <w:sz w:val="24"/>
      <w:szCs w:val="24"/>
    </w:rPr>
  </w:style>
  <w:style w:type="paragraph" w:styleId="1031" w:customStyle="1">
    <w:name w:val="普通正文"/>
    <w:basedOn w:val="942"/>
    <w:uiPriority w:val="0"/>
    <w:qFormat/>
    <w:pPr>
      <w:ind w:firstLine="480"/>
      <w:jc w:val="left"/>
      <w:spacing w:before="120" w:after="120" w:line="360" w:lineRule="auto"/>
    </w:pPr>
    <w:rPr>
      <w:rFonts w:ascii="Arial" w:hAnsi="Arial"/>
      <w:sz w:val="24"/>
      <w:szCs w:val="24"/>
    </w:rPr>
  </w:style>
  <w:style w:type="paragraph" w:styleId="1032" w:customStyle="1">
    <w:name w:val="table_lines"/>
    <w:basedOn w:val="942"/>
    <w:uiPriority w:val="0"/>
    <w:qFormat/>
    <w:pPr>
      <w:jc w:val="left"/>
      <w:widowControl/>
    </w:pPr>
    <w:rPr>
      <w:rFonts w:ascii="Times New Roman" w:hAnsi="Times New Roman"/>
      <w:sz w:val="20"/>
      <w:szCs w:val="20"/>
      <w:lang w:val="de-DE" w:eastAsia="de-DE"/>
    </w:rPr>
  </w:style>
  <w:style w:type="paragraph" w:styleId="103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34" w:customStyle="1">
    <w:name w:val="font7"/>
    <w:basedOn w:val="942"/>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Char Char Char Char"/>
    <w:basedOn w:val="957"/>
    <w:uiPriority w:val="0"/>
    <w:qFormat/>
    <w:pPr>
      <w:spacing w:line="360" w:lineRule="auto"/>
    </w:pPr>
    <w:rPr>
      <w:rFonts w:ascii="Tahoma" w:hAnsi="Tahoma"/>
      <w:sz w:val="24"/>
      <w:szCs w:val="24"/>
    </w:rPr>
  </w:style>
  <w:style w:type="paragraph" w:styleId="1036">
    <w:name w:val="List Paragraph"/>
    <w:basedOn w:val="942"/>
    <w:uiPriority w:val="34"/>
    <w:qFormat/>
    <w:pPr>
      <w:contextualSpacing/>
      <w:ind w:left="720"/>
      <w:jc w:val="left"/>
      <w:widowControl/>
    </w:pPr>
    <w:rPr>
      <w:sz w:val="24"/>
      <w:szCs w:val="24"/>
      <w:lang w:eastAsia="en-US" w:bidi="en-US"/>
    </w:rPr>
  </w:style>
  <w:style w:type="paragraph" w:styleId="1037" w:customStyle="1">
    <w:name w:val="4"/>
    <w:basedOn w:val="942"/>
    <w:next w:val="978"/>
    <w:uiPriority w:val="0"/>
    <w:qFormat/>
    <w:pPr>
      <w:ind w:firstLine="420"/>
      <w:spacing w:line="360" w:lineRule="auto"/>
    </w:pPr>
    <w:rPr>
      <w:rFonts w:ascii="Times New Roman" w:hAnsi="Times New Roman"/>
      <w:color w:val="ff0000"/>
      <w:sz w:val="24"/>
      <w:szCs w:val="24"/>
    </w:rPr>
  </w:style>
  <w:style w:type="paragraph" w:styleId="1038" w:customStyle="1">
    <w:name w:val="普通 (Web)"/>
    <w:basedOn w:val="942"/>
    <w:uiPriority w:val="0"/>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942"/>
    <w:uiPriority w:val="0"/>
    <w:qFormat/>
    <w:pPr>
      <w:spacing w:line="360" w:lineRule="auto"/>
    </w:pPr>
    <w:rPr>
      <w:rFonts w:ascii="Times New Roman" w:hAnsi="Times New Roman"/>
      <w:sz w:val="24"/>
      <w:szCs w:val="20"/>
    </w:rPr>
  </w:style>
  <w:style w:type="paragraph" w:styleId="1040" w:customStyle="1">
    <w:name w:val="样式1"/>
    <w:basedOn w:val="942"/>
    <w:uiPriority w:val="0"/>
    <w:qFormat/>
    <w:pPr>
      <w:numPr>
        <w:ilvl w:val="0"/>
        <w:numId w:val="3"/>
      </w:numPr>
    </w:pPr>
    <w:rPr>
      <w:rFonts w:ascii="宋体" w:hAnsi="宋体"/>
      <w:szCs w:val="21"/>
    </w:rPr>
  </w:style>
  <w:style w:type="paragraph" w:styleId="1041" w:customStyle="1">
    <w:name w:val="font6"/>
    <w:basedOn w:val="942"/>
    <w:uiPriority w:val="0"/>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9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942"/>
    <w:next w:val="94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4" w:customStyle="1">
    <w:name w:val="标题3"/>
    <w:basedOn w:val="942"/>
    <w:next w:val="942"/>
    <w:uiPriority w:val="0"/>
    <w:qFormat/>
    <w:pPr>
      <w:ind w:firstLine="624"/>
      <w:spacing w:line="590" w:lineRule="atLeast"/>
    </w:pPr>
    <w:rPr>
      <w:rFonts w:ascii="方正黑体_GBK" w:hAnsi="Times New Roman" w:eastAsia="方正黑体_GBK"/>
      <w:sz w:val="32"/>
      <w:szCs w:val="32"/>
    </w:rPr>
  </w:style>
  <w:style w:type="paragraph" w:styleId="1045" w:customStyle="1">
    <w:name w:val="xl24"/>
    <w:basedOn w:val="9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6" w:customStyle="1">
    <w:name w:val="xl29"/>
    <w:basedOn w:val="94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7" w:customStyle="1">
    <w:name w:val="Char Char Char Char Char Char Char Char"/>
    <w:basedOn w:val="942"/>
    <w:uiPriority w:val="0"/>
    <w:qFormat/>
    <w:pPr>
      <w:jc w:val="left"/>
      <w:spacing w:after="160" w:line="240" w:lineRule="exact"/>
      <w:widowControl/>
    </w:pPr>
    <w:rPr>
      <w:rFonts w:ascii="Verdana" w:hAnsi="Verdana"/>
      <w:sz w:val="20"/>
      <w:szCs w:val="20"/>
      <w:lang w:eastAsia="en-US"/>
    </w:rPr>
  </w:style>
  <w:style w:type="paragraph" w:styleId="1048" w:customStyle="1">
    <w:name w:val="xl28"/>
    <w:basedOn w:val="9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9" w:customStyle="1">
    <w:name w:val="Char Char Char Char Char Char Char Char1"/>
    <w:basedOn w:val="942"/>
    <w:uiPriority w:val="0"/>
    <w:qFormat/>
    <w:pPr>
      <w:jc w:val="left"/>
      <w:spacing w:after="160" w:line="240" w:lineRule="exact"/>
      <w:widowControl/>
    </w:pPr>
    <w:rPr>
      <w:rFonts w:ascii="Verdana" w:hAnsi="Verdana"/>
      <w:sz w:val="20"/>
      <w:szCs w:val="20"/>
      <w:lang w:eastAsia="en-US"/>
    </w:rPr>
  </w:style>
  <w:style w:type="paragraph" w:styleId="1050" w:customStyle="1">
    <w:name w:val="xl30"/>
    <w:basedOn w:val="942"/>
    <w:uiPriority w:val="0"/>
    <w:qFormat/>
    <w:pPr>
      <w:jc w:val="center"/>
      <w:spacing w:before="100" w:beforeAutospacing="1" w:after="100" w:afterAutospacing="1"/>
      <w:widowControl/>
    </w:pPr>
    <w:rPr>
      <w:rFonts w:ascii="宋体" w:hAnsi="宋体"/>
      <w:b/>
      <w:bCs/>
      <w:sz w:val="36"/>
      <w:szCs w:val="36"/>
    </w:rPr>
  </w:style>
  <w:style w:type="paragraph" w:styleId="1051" w:customStyle="1">
    <w:name w:val="Char Char Char Char1"/>
    <w:basedOn w:val="957"/>
    <w:uiPriority w:val="0"/>
    <w:qFormat/>
    <w:pPr>
      <w:spacing w:line="360" w:lineRule="auto"/>
    </w:pPr>
    <w:rPr>
      <w:rFonts w:ascii="Tahoma" w:hAnsi="Tahoma"/>
      <w:sz w:val="24"/>
      <w:szCs w:val="24"/>
    </w:rPr>
  </w:style>
  <w:style w:type="paragraph" w:styleId="1052" w:customStyle="1">
    <w:name w:val="table_1stline"/>
    <w:basedOn w:val="942"/>
    <w:uiPriority w:val="0"/>
    <w:qFormat/>
    <w:pPr>
      <w:jc w:val="left"/>
      <w:spacing w:before="120"/>
      <w:widowControl/>
    </w:pPr>
    <w:rPr>
      <w:rFonts w:ascii="Times New Roman" w:hAnsi="Times New Roman"/>
      <w:bCs/>
      <w:sz w:val="20"/>
      <w:szCs w:val="20"/>
      <w:lang w:val="de-DE" w:eastAsia="de-DE"/>
    </w:rPr>
  </w:style>
  <w:style w:type="paragraph" w:styleId="1053" w:customStyle="1">
    <w:name w:val="font5"/>
    <w:basedOn w:val="942"/>
    <w:uiPriority w:val="0"/>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942"/>
    <w:next w:val="94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55" w:customStyle="1">
    <w:name w:val="_Style 111"/>
    <w:uiPriority w:val="99"/>
    <w:semiHidden/>
    <w:qFormat/>
    <w:rPr>
      <w:rFonts w:ascii="Times New Roman" w:hAnsi="Times New Roman" w:eastAsia="宋体" w:cs="Times New Roman"/>
      <w:sz w:val="21"/>
      <w:szCs w:val="21"/>
      <w:lang w:val="en-US" w:eastAsia="zh-CN" w:bidi="ar-SA"/>
    </w:rPr>
  </w:style>
  <w:style w:type="paragraph" w:styleId="105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57" w:customStyle="1">
    <w:name w:val="目录 82"/>
    <w:next w:val="942"/>
    <w:uiPriority w:val="0"/>
    <w:qFormat/>
    <w:pPr>
      <w:ind w:left="2550"/>
      <w:jc w:val="both"/>
    </w:pPr>
    <w:rPr>
      <w:rFonts w:ascii="Calibri" w:hAnsi="Calibri" w:eastAsia="宋体" w:cs="Times New Roman"/>
      <w:sz w:val="21"/>
      <w:lang w:val="en-US" w:eastAsia="zh-CN" w:bidi="ar-SA"/>
    </w:rPr>
  </w:style>
  <w:style w:type="paragraph" w:styleId="1058" w:customStyle="1">
    <w:name w:val="段"/>
    <w:next w:val="1059"/>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59" w:customStyle="1">
    <w:name w:val="正文 A"/>
    <w:next w:val="1058"/>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60" w:customStyle="1">
    <w:name w:val="修订1"/>
    <w:hidden/>
    <w:uiPriority w:val="99"/>
    <w:unhideWhenUsed/>
    <w:qFormat/>
    <w:rPr>
      <w:rFonts w:ascii="Calibri" w:hAnsi="Calibri" w:eastAsia="宋体" w:cs="Times New Roman"/>
      <w:sz w:val="21"/>
      <w:szCs w:val="22"/>
      <w:lang w:val="en-US" w:eastAsia="zh-CN" w:bidi="ar-SA"/>
    </w:rPr>
  </w:style>
  <w:style w:type="paragraph" w:styleId="1061" w:customStyle="1">
    <w:name w:val="DAS正文"/>
    <w:basedOn w:val="942"/>
    <w:uiPriority w:val="0"/>
    <w:qFormat/>
    <w:pPr>
      <w:ind w:right="181" w:firstLine="480"/>
      <w:spacing w:line="360" w:lineRule="auto"/>
    </w:pPr>
    <w:rPr>
      <w:rFonts w:ascii="Verdana" w:hAnsi="Verdana"/>
      <w:szCs w:val="24"/>
    </w:rPr>
  </w:style>
  <w:style w:type="table" w:styleId="1062" w:customStyle="1">
    <w:name w:val="Table Normal"/>
    <w:uiPriority w:val="0"/>
    <w:semiHidden/>
    <w:unhideWhenUsed/>
    <w:qFormat/>
    <w:tblPr>
      <w:tblCellMar>
        <w:left w:w="0" w:type="dxa"/>
        <w:top w:w="0" w:type="dxa"/>
        <w:right w:w="0" w:type="dxa"/>
        <w:bottom w:w="0" w:type="dxa"/>
      </w:tblCellMar>
    </w:tblPr>
  </w:style>
  <w:style w:type="paragraph" w:styleId="1063" w:customStyle="1">
    <w:name w:val="修订2"/>
    <w:hidden/>
    <w:uiPriority w:val="99"/>
    <w:unhideWhenUsed/>
    <w:qFormat/>
    <w:rPr>
      <w:rFonts w:ascii="Calibri" w:hAnsi="Calibri" w:eastAsia="宋体" w:cs="Times New Roman"/>
      <w:sz w:val="21"/>
      <w:szCs w:val="22"/>
      <w:lang w:val="en-US" w:eastAsia="zh-CN" w:bidi="ar-SA"/>
    </w:rPr>
  </w:style>
  <w:style w:type="paragraph" w:styleId="1064" w:customStyle="1">
    <w:name w:val="修订3"/>
    <w:hidden/>
    <w:uiPriority w:val="99"/>
    <w:unhideWhenUsed/>
    <w:qFormat/>
    <w:rPr>
      <w:rFonts w:ascii="Calibri" w:hAnsi="Calibri" w:eastAsia="宋体" w:cs="Times New Roman"/>
      <w:sz w:val="21"/>
      <w:szCs w:val="22"/>
      <w:lang w:val="en-US" w:eastAsia="zh-CN" w:bidi="ar-SA"/>
    </w:rPr>
  </w:style>
  <w:style w:type="paragraph" w:styleId="1065" w:customStyle="1">
    <w:name w:val="纯文本11"/>
    <w:basedOn w:val="942"/>
    <w:uiPriority w:val="0"/>
    <w:qFormat/>
    <w:rPr>
      <w:rFonts w:ascii="宋体" w:hAnsi="Courier New" w:eastAsia="楷体_GB2312"/>
      <w:sz w:val="26"/>
      <w:szCs w:val="24"/>
    </w:rPr>
  </w:style>
  <w:style w:type="paragraph" w:styleId="1066" w:customStyle="1">
    <w:name w:val="正文（缩进）"/>
    <w:basedOn w:val="942"/>
    <w:uiPriority w:val="0"/>
    <w:qFormat/>
    <w:pPr>
      <w:ind w:firstLine="480"/>
      <w:spacing w:before="156" w:after="156"/>
    </w:p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周春柳</cp:lastModifiedBy>
  <cp:revision>78</cp:revision>
  <dcterms:created xsi:type="dcterms:W3CDTF">2024-10-10T07:27:00Z</dcterms:created>
  <dcterms:modified xsi:type="dcterms:W3CDTF">2026-06-16T08:40:09Z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8CA9C117438140D79D544406B4393F29_13</vt:lpwstr>
  </property>
  <property fmtid="{D5CDD505-2E9C-101B-9397-08002B2CF9AE}" pid="4" name="KSOTemplateDocerSaveRecord">
    <vt:lpwstr>eyJoZGlkIjoiNTM2NWY3NTI2NWEwZGFhYmVjNDM4YWU5MjJiOGY2YjYiLCJ1c2VySWQiOiIzNTg2MTcxNDAifQ==</vt:lpwstr>
  </property>
</Properties>
</file>