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center"/>
        <w:rPr>
          <w:rFonts w:hint="eastAsia" w:ascii="微软雅黑" w:hAnsi="微软雅黑" w:cs="微软雅黑"/>
          <w:sz w:val="52"/>
          <w:szCs w:val="52"/>
        </w:rPr>
      </w:pPr>
      <w:r/>
      <w:bookmarkStart w:id="0" w:name="_Toc19040"/>
      <w:r/>
      <w:bookmarkStart w:id="1" w:name="__x000F_第一章_公开招标公告"/>
      <w:r/>
      <w:bookmarkStart w:id="2" w:name="_Toc452384169"/>
      <w:r>
        <w:rPr>
          <w:rFonts w:hint="eastAsia" w:ascii="微软雅黑" w:hAnsi="微软雅黑" w:cs="微软雅黑"/>
          <w:sz w:val="52"/>
          <w:szCs w:val="52"/>
        </w:rPr>
      </w:r>
      <w:r/>
    </w:p>
    <w:p>
      <w:pPr>
        <w:pStyle w:val="947"/>
        <w:ind w:left="1260"/>
        <w:rPr>
          <w:rFonts w:hint="eastAsia"/>
        </w:rPr>
      </w:pPr>
      <w:r>
        <w:rPr>
          <w:rFonts w:hint="eastAsia"/>
        </w:rPr>
      </w:r>
      <w:r/>
    </w:p>
    <w:p>
      <w:pPr>
        <w:pStyle w:val="928"/>
        <w:rPr>
          <w:rFonts w:hint="eastAsia"/>
        </w:rPr>
      </w:pPr>
      <w:r>
        <w:rPr>
          <w:rFonts w:hint="eastAsia"/>
        </w:rPr>
      </w:r>
      <w:r/>
    </w:p>
    <w:p>
      <w:pPr>
        <w:pStyle w:val="947"/>
        <w:ind w:left="1260"/>
        <w:rPr>
          <w:rFonts w:hint="eastAsia"/>
        </w:rPr>
      </w:pPr>
      <w:r>
        <w:rPr>
          <w:rFonts w:hint="eastAsia"/>
        </w:rPr>
      </w:r>
      <w:r/>
    </w:p>
    <w:p>
      <w:pPr>
        <w:pStyle w:val="928"/>
        <w:jc w:val="center"/>
        <w:rPr>
          <w:rFonts w:hint="eastAsia" w:ascii="微软雅黑" w:hAnsi="微软雅黑" w:cs="微软雅黑"/>
          <w:sz w:val="84"/>
          <w:szCs w:val="84"/>
        </w:rPr>
      </w:pPr>
      <w:r>
        <w:rPr>
          <w:rFonts w:hint="eastAsia" w:ascii="微软雅黑" w:hAnsi="微软雅黑" w:cs="微软雅黑"/>
          <w:sz w:val="84"/>
          <w:szCs w:val="84"/>
        </w:rPr>
        <w:t xml:space="preserve">采 购 文 件</w:t>
      </w:r>
      <w:r>
        <w:rPr>
          <w:rFonts w:hint="eastAsia" w:ascii="微软雅黑" w:hAnsi="微软雅黑" w:cs="微软雅黑"/>
          <w:sz w:val="84"/>
          <w:szCs w:val="84"/>
        </w:rPr>
      </w:r>
      <w:r/>
    </w:p>
    <w:p>
      <w:pPr>
        <w:pStyle w:val="928"/>
        <w:jc w:val="center"/>
        <w:rPr>
          <w:rFonts w:ascii="微软雅黑" w:hAnsi="微软雅黑" w:cs="微软雅黑"/>
          <w:color w:val="000000"/>
          <w:sz w:val="52"/>
          <w:szCs w:val="52"/>
        </w:rPr>
      </w:pPr>
      <w:r>
        <w:rPr>
          <w:rFonts w:hint="eastAsia" w:ascii="微软雅黑" w:hAnsi="微软雅黑" w:cs="微软雅黑"/>
          <w:color w:val="000000"/>
          <w:sz w:val="52"/>
          <w:szCs w:val="52"/>
        </w:rPr>
        <w:t xml:space="preserve">（竞争性磋商）</w:t>
      </w:r>
      <w:r>
        <w:rPr>
          <w:rFonts w:ascii="微软雅黑" w:hAnsi="微软雅黑" w:cs="微软雅黑"/>
          <w:color w:val="000000"/>
          <w:sz w:val="52"/>
          <w:szCs w:val="52"/>
        </w:rPr>
      </w:r>
      <w:r/>
    </w:p>
    <w:p>
      <w:pPr>
        <w:pStyle w:val="928"/>
        <w:rPr>
          <w:rStyle w:val="1173"/>
          <w:rFonts w:hint="eastAsia" w:ascii="微软雅黑" w:hAnsi="微软雅黑" w:cs="微软雅黑"/>
          <w:color w:val="000000"/>
        </w:rPr>
      </w:pPr>
      <w:r>
        <w:rPr>
          <w:rStyle w:val="1173"/>
          <w:rFonts w:hint="eastAsia" w:ascii="微软雅黑" w:hAnsi="微软雅黑" w:cs="微软雅黑"/>
          <w:color w:val="000000"/>
        </w:rPr>
      </w:r>
      <w:r/>
    </w:p>
    <w:p>
      <w:pPr>
        <w:pStyle w:val="928"/>
        <w:jc w:val="left"/>
        <w:rPr>
          <w:rFonts w:hint="eastAsia" w:ascii="微软雅黑" w:hAnsi="微软雅黑" w:cs="微软雅黑"/>
          <w:sz w:val="36"/>
        </w:rPr>
      </w:pPr>
      <w:r>
        <w:rPr>
          <w:rFonts w:hint="eastAsia" w:ascii="微软雅黑" w:hAnsi="微软雅黑" w:cs="微软雅黑"/>
          <w:sz w:val="36"/>
        </w:rPr>
        <w:t xml:space="preserve">          </w:t>
      </w:r>
      <w:r>
        <w:rPr>
          <w:rFonts w:hint="eastAsia" w:ascii="微软雅黑" w:hAnsi="微软雅黑" w:cs="微软雅黑"/>
          <w:sz w:val="36"/>
        </w:rPr>
      </w:r>
      <w:r/>
    </w:p>
    <w:p>
      <w:pPr>
        <w:pStyle w:val="928"/>
        <w:jc w:val="left"/>
        <w:rPr>
          <w:rFonts w:hint="eastAsia" w:ascii="微软雅黑" w:hAnsi="微软雅黑" w:cs="微软雅黑"/>
          <w:sz w:val="36"/>
        </w:rPr>
      </w:pPr>
      <w:r>
        <w:rPr>
          <w:rFonts w:hint="eastAsia" w:ascii="微软雅黑" w:hAnsi="微软雅黑" w:cs="微软雅黑"/>
          <w:sz w:val="36"/>
        </w:rPr>
      </w:r>
      <w:r/>
    </w:p>
    <w:p>
      <w:pPr>
        <w:pStyle w:val="932"/>
        <w:rPr>
          <w:rFonts w:hint="eastAsia" w:ascii="微软雅黑" w:hAnsi="微软雅黑" w:cs="微软雅黑"/>
          <w:sz w:val="36"/>
        </w:rPr>
      </w:pPr>
      <w:r>
        <w:rPr>
          <w:rFonts w:hint="eastAsia" w:ascii="微软雅黑" w:hAnsi="微软雅黑" w:cs="微软雅黑"/>
          <w:sz w:val="36"/>
        </w:rPr>
      </w:r>
      <w:r/>
    </w:p>
    <w:p>
      <w:pPr>
        <w:pStyle w:val="928"/>
        <w:rPr>
          <w:rFonts w:hint="eastAsia"/>
        </w:rPr>
      </w:pPr>
      <w:r>
        <w:rPr>
          <w:rFonts w:hint="eastAsia"/>
        </w:rPr>
      </w:r>
      <w:r/>
    </w:p>
    <w:p>
      <w:pPr>
        <w:pStyle w:val="947"/>
        <w:ind w:left="1260"/>
      </w:pPr>
      <w:r/>
      <w:r/>
    </w:p>
    <w:p>
      <w:pPr>
        <w:pStyle w:val="928"/>
        <w:ind w:left="2340" w:hanging="1500"/>
        <w:jc w:val="left"/>
        <w:spacing w:before="120"/>
        <w:rPr>
          <w:rFonts w:ascii="微软雅黑" w:hAnsi="微软雅黑" w:cs="微软雅黑"/>
          <w:sz w:val="30"/>
          <w:szCs w:val="30"/>
        </w:rPr>
      </w:pPr>
      <w:r>
        <w:rPr>
          <w:rFonts w:hint="eastAsia" w:ascii="微软雅黑" w:hAnsi="微软雅黑" w:cs="微软雅黑"/>
          <w:sz w:val="30"/>
          <w:szCs w:val="30"/>
        </w:rPr>
        <w:t xml:space="preserve">项目编号：</w:t>
      </w:r>
      <w:r>
        <w:rPr>
          <w:rFonts w:hint="eastAsia" w:ascii="微软雅黑" w:hAnsi="微软雅黑" w:cs="微软雅黑"/>
          <w:color w:val="000000"/>
          <w:sz w:val="30"/>
          <w:szCs w:val="30"/>
        </w:rPr>
        <w:t xml:space="preserve">JSZC-320115-JSHC-C2026-0019</w:t>
      </w:r>
      <w:r>
        <w:rPr>
          <w:rFonts w:ascii="微软雅黑" w:hAnsi="微软雅黑" w:cs="微软雅黑"/>
          <w:color w:val="000000"/>
          <w:sz w:val="30"/>
          <w:szCs w:val="30"/>
        </w:rPr>
        <w:tab/>
      </w:r>
      <w:r>
        <w:rPr>
          <w:rFonts w:ascii="微软雅黑" w:hAnsi="微软雅黑" w:cs="微软雅黑"/>
          <w:sz w:val="30"/>
          <w:szCs w:val="30"/>
        </w:rPr>
      </w:r>
      <w:r/>
    </w:p>
    <w:p>
      <w:pPr>
        <w:pStyle w:val="928"/>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代理机构内部编号：JSHC-2026050359B2</w:t>
      </w:r>
      <w:r>
        <w:rPr>
          <w:rFonts w:hint="eastAsia" w:ascii="微软雅黑" w:hAnsi="微软雅黑" w:cs="微软雅黑"/>
          <w:sz w:val="30"/>
          <w:szCs w:val="30"/>
        </w:rPr>
      </w:r>
      <w:r/>
    </w:p>
    <w:p>
      <w:pPr>
        <w:pStyle w:val="928"/>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项目名称：江宁经济技术开发区人民法院无纸化外包服务</w:t>
      </w:r>
      <w:r>
        <w:rPr>
          <w:rFonts w:hint="eastAsia" w:ascii="微软雅黑" w:hAnsi="微软雅黑" w:cs="微软雅黑"/>
          <w:sz w:val="30"/>
          <w:szCs w:val="30"/>
        </w:rPr>
      </w:r>
      <w:r/>
    </w:p>
    <w:p>
      <w:pPr>
        <w:pStyle w:val="928"/>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采 购 人：江宁经济技术开发区人民法院</w:t>
      </w:r>
      <w:r>
        <w:rPr>
          <w:rFonts w:hint="eastAsia" w:ascii="微软雅黑" w:hAnsi="微软雅黑" w:cs="微软雅黑"/>
          <w:sz w:val="30"/>
          <w:szCs w:val="30"/>
        </w:rPr>
      </w:r>
      <w:r/>
    </w:p>
    <w:p>
      <w:pPr>
        <w:pStyle w:val="928"/>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hint="eastAsia" w:ascii="微软雅黑" w:hAnsi="微软雅黑" w:cs="微软雅黑"/>
          <w:sz w:val="30"/>
          <w:szCs w:val="30"/>
        </w:rPr>
      </w:r>
      <w:r/>
    </w:p>
    <w:p>
      <w:pPr>
        <w:pStyle w:val="928"/>
        <w:ind w:left="2550" w:hanging="1500"/>
        <w:jc w:val="left"/>
        <w:spacing w:line="360" w:lineRule="auto"/>
        <w:rPr>
          <w:rFonts w:hint="eastAsia" w:ascii="微软雅黑" w:hAnsi="微软雅黑" w:cs="微软雅黑"/>
          <w:sz w:val="30"/>
          <w:szCs w:val="30"/>
        </w:rPr>
      </w:pPr>
      <w:r>
        <w:rPr>
          <w:rFonts w:hint="eastAsia" w:ascii="微软雅黑" w:hAnsi="微软雅黑" w:cs="微软雅黑"/>
          <w:sz w:val="30"/>
          <w:szCs w:val="30"/>
        </w:rPr>
      </w:r>
      <w:r/>
    </w:p>
    <w:p>
      <w:pPr>
        <w:pStyle w:val="928"/>
        <w:ind w:left="2580" w:hanging="2580"/>
        <w:jc w:val="center"/>
        <w:rPr>
          <w:rFonts w:hint="eastAsia" w:ascii="微软雅黑" w:hAnsi="微软雅黑" w:cs="微软雅黑"/>
          <w:sz w:val="30"/>
          <w:szCs w:val="30"/>
        </w:rPr>
      </w:pPr>
      <w:r>
        <w:rPr>
          <w:rFonts w:hint="eastAsia" w:ascii="微软雅黑" w:hAnsi="微软雅黑" w:cs="微软雅黑"/>
          <w:sz w:val="30"/>
          <w:szCs w:val="30"/>
        </w:rPr>
      </w:r>
      <w:r/>
    </w:p>
    <w:p>
      <w:pPr>
        <w:pStyle w:val="947"/>
        <w:ind w:left="1260"/>
      </w:pPr>
      <w:r/>
      <w:r/>
    </w:p>
    <w:p>
      <w:pPr>
        <w:pStyle w:val="947"/>
        <w:ind w:left="0"/>
      </w:pPr>
      <w:r/>
      <w:r/>
    </w:p>
    <w:p>
      <w:pPr>
        <w:pStyle w:val="928"/>
        <w:jc w:val="center"/>
        <w:rPr>
          <w:rFonts w:hint="eastAsia" w:ascii="微软雅黑" w:hAnsi="微软雅黑" w:cs="微软雅黑"/>
          <w:sz w:val="30"/>
          <w:szCs w:val="3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2026年6月</w:t>
      </w:r>
      <w:r>
        <w:rPr>
          <w:rFonts w:hint="eastAsia" w:ascii="微软雅黑" w:hAnsi="微软雅黑" w:cs="微软雅黑"/>
          <w:sz w:val="30"/>
          <w:szCs w:val="30"/>
        </w:rPr>
      </w:r>
      <w:r/>
    </w:p>
    <w:p>
      <w:pPr>
        <w:pStyle w:val="928"/>
        <w:jc w:val="center"/>
        <w:rPr>
          <w:rFonts w:hint="eastAsia" w:ascii="微软雅黑" w:hAnsi="微软雅黑" w:cs="微软雅黑"/>
          <w:b/>
          <w:bCs/>
          <w:sz w:val="30"/>
          <w:szCs w:val="30"/>
        </w:rPr>
      </w:pPr>
      <w:r>
        <w:rPr>
          <w:rFonts w:hint="eastAsia" w:ascii="微软雅黑" w:hAnsi="微软雅黑" w:cs="微软雅黑"/>
          <w:b/>
          <w:bCs/>
          <w:sz w:val="30"/>
          <w:szCs w:val="30"/>
        </w:rPr>
        <w:t xml:space="preserve">目  录</w:t>
      </w:r>
      <w:r>
        <w:rPr>
          <w:rFonts w:hint="eastAsia" w:ascii="微软雅黑" w:hAnsi="微软雅黑" w:cs="微软雅黑"/>
          <w:b/>
          <w:bCs/>
          <w:sz w:val="30"/>
          <w:szCs w:val="30"/>
        </w:rPr>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rPr>
          <w:rFonts w:hint="eastAsia" w:ascii="微软雅黑" w:hAnsi="微软雅黑" w:cs="微软雅黑"/>
        </w:rPr>
        <w:fldChar w:fldCharType="begin"/>
      </w:r>
      <w:r>
        <w:rPr>
          <w:rFonts w:hint="eastAsia" w:ascii="微软雅黑" w:hAnsi="微软雅黑" w:cs="微软雅黑"/>
        </w:rPr>
        <w:instrText xml:space="preserve"> HYPERLINK \l _Toc19242 </w:instrText>
      </w:r>
      <w:r>
        <w:rPr>
          <w:rFonts w:hint="eastAsia" w:ascii="微软雅黑" w:hAnsi="微软雅黑" w:cs="微软雅黑"/>
        </w:rPr>
        <w:fldChar w:fldCharType="separate"/>
      </w:r>
      <w:r>
        <w:rPr>
          <w:rFonts w:hint="eastAsia" w:ascii="微软雅黑" w:hAnsi="微软雅黑" w:cs="微软雅黑"/>
          <w:bCs w:val="0"/>
          <w:szCs w:val="32"/>
        </w:rPr>
        <w:t xml:space="preserve">第一章 磋商邀请（采购公告）</w:t>
      </w:r>
      <w:r>
        <w:tab/>
      </w:r>
      <w:r>
        <w:fldChar w:fldCharType="begin"/>
      </w:r>
      <w:r>
        <w:instrText xml:space="preserve"> PAGEREF _Toc19242 \h </w:instrText>
      </w:r>
      <w:r>
        <w:fldChar w:fldCharType="separate"/>
      </w:r>
      <w:r>
        <w:t xml:space="preserve">4</w:t>
      </w:r>
      <w:r>
        <w:fldChar w:fldCharType="end"/>
      </w:r>
      <w:r>
        <w:rPr>
          <w:rFonts w:hint="eastAsia" w:ascii="微软雅黑" w:hAnsi="微软雅黑" w:cs="微软雅黑"/>
        </w:rPr>
        <w:fldChar w:fldCharType="end"/>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_Toc6049 </w:instrText>
      </w:r>
      <w:r>
        <w:rPr>
          <w:rFonts w:hint="eastAsia" w:ascii="微软雅黑" w:hAnsi="微软雅黑" w:cs="微软雅黑"/>
        </w:rPr>
        <w:fldChar w:fldCharType="separate"/>
      </w:r>
      <w:r>
        <w:rPr>
          <w:rFonts w:hint="eastAsia" w:ascii="微软雅黑" w:hAnsi="微软雅黑" w:cs="微软雅黑"/>
          <w:lang w:eastAsia="zh-CN"/>
        </w:rPr>
        <w:t xml:space="preserve">第二章</w:t>
      </w:r>
      <w:r>
        <w:rPr>
          <w:rFonts w:hint="eastAsia" w:ascii="微软雅黑" w:hAnsi="微软雅黑" w:cs="微软雅黑"/>
          <w:lang w:val="en-US" w:eastAsia="zh-CN"/>
        </w:rPr>
        <w:t xml:space="preserve"> </w:t>
      </w:r>
      <w:r>
        <w:rPr>
          <w:rFonts w:hint="eastAsia" w:ascii="微软雅黑" w:hAnsi="微软雅黑" w:cs="微软雅黑"/>
        </w:rPr>
        <w:t xml:space="preserve">供应商须知</w:t>
      </w:r>
      <w:r>
        <w:tab/>
      </w:r>
      <w:r>
        <w:fldChar w:fldCharType="begin"/>
      </w:r>
      <w:r>
        <w:instrText xml:space="preserve"> PAGEREF _Toc6049 \h </w:instrText>
      </w:r>
      <w:r>
        <w:fldChar w:fldCharType="separate"/>
      </w:r>
      <w:r>
        <w:t xml:space="preserve">7</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_Toc6314 </w:instrText>
      </w:r>
      <w:r>
        <w:rPr>
          <w:rFonts w:hint="eastAsia" w:ascii="微软雅黑" w:hAnsi="微软雅黑" w:cs="微软雅黑"/>
        </w:rPr>
        <w:fldChar w:fldCharType="separate"/>
      </w:r>
      <w:r>
        <w:rPr>
          <w:rFonts w:hint="eastAsia" w:ascii="微软雅黑" w:hAnsi="微软雅黑" w:cs="微软雅黑"/>
        </w:rPr>
        <w:t xml:space="preserve">一、总则</w:t>
      </w:r>
      <w:r>
        <w:tab/>
      </w:r>
      <w:r>
        <w:fldChar w:fldCharType="begin"/>
      </w:r>
      <w:r>
        <w:instrText xml:space="preserve"> PAGEREF _Toc6314 \h </w:instrText>
      </w:r>
      <w:r>
        <w:fldChar w:fldCharType="separate"/>
      </w:r>
      <w:r>
        <w:t xml:space="preserve">10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_Toc7409 </w:instrText>
      </w:r>
      <w:r>
        <w:rPr>
          <w:rFonts w:hint="eastAsia" w:ascii="微软雅黑" w:hAnsi="微软雅黑" w:cs="微软雅黑"/>
        </w:rPr>
        <w:fldChar w:fldCharType="separate"/>
      </w:r>
      <w:r>
        <w:rPr>
          <w:rFonts w:hint="eastAsia" w:ascii="微软雅黑" w:hAnsi="微软雅黑" w:cs="微软雅黑"/>
          <w:bCs w:val="0"/>
          <w:szCs w:val="24"/>
        </w:rPr>
        <w:t xml:space="preserve">1.1 适用范围</w:t>
      </w:r>
      <w:r>
        <w:tab/>
      </w:r>
      <w:r>
        <w:fldChar w:fldCharType="begin"/>
      </w:r>
      <w:r>
        <w:instrText xml:space="preserve"> PAGEREF _Toc7409 \h </w:instrText>
      </w:r>
      <w:r>
        <w:fldChar w:fldCharType="separate"/>
      </w:r>
      <w:r>
        <w:t xml:space="preserve">10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_Toc2532 </w:instrText>
      </w:r>
      <w:r>
        <w:rPr>
          <w:rFonts w:hint="eastAsia" w:ascii="微软雅黑" w:hAnsi="微软雅黑" w:cs="微软雅黑"/>
        </w:rPr>
        <w:fldChar w:fldCharType="separate"/>
      </w:r>
      <w:r>
        <w:rPr>
          <w:rFonts w:hint="eastAsia" w:ascii="微软雅黑" w:hAnsi="微软雅黑" w:cs="微软雅黑"/>
          <w:bCs w:val="0"/>
          <w:szCs w:val="24"/>
        </w:rPr>
        <w:t xml:space="preserve">1.2 合格的供应商</w:t>
      </w:r>
      <w:r>
        <w:tab/>
      </w:r>
      <w:r>
        <w:fldChar w:fldCharType="begin"/>
      </w:r>
      <w:r>
        <w:instrText xml:space="preserve"> PAGEREF _Toc2532 \h </w:instrText>
      </w:r>
      <w:r>
        <w:fldChar w:fldCharType="separate"/>
      </w:r>
      <w:r>
        <w:t xml:space="preserve">10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_Toc26087 </w:instrText>
      </w:r>
      <w:r>
        <w:rPr>
          <w:rFonts w:hint="eastAsia" w:ascii="微软雅黑" w:hAnsi="微软雅黑" w:cs="微软雅黑"/>
        </w:rPr>
        <w:fldChar w:fldCharType="separate"/>
      </w:r>
      <w:r>
        <w:rPr>
          <w:rFonts w:hint="eastAsia" w:ascii="微软雅黑" w:hAnsi="微软雅黑" w:cs="微软雅黑"/>
          <w:bCs w:val="0"/>
          <w:szCs w:val="24"/>
        </w:rPr>
        <w:t xml:space="preserve">1.3 参加采购活动费用</w:t>
      </w:r>
      <w:r>
        <w:tab/>
      </w:r>
      <w:r>
        <w:fldChar w:fldCharType="begin"/>
      </w:r>
      <w:r>
        <w:instrText xml:space="preserve"> PAGEREF _Toc26087 \h </w:instrText>
      </w:r>
      <w:r>
        <w:fldChar w:fldCharType="separate"/>
      </w:r>
      <w:r>
        <w:t xml:space="preserve">10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_Toc30904 </w:instrText>
      </w:r>
      <w:r>
        <w:rPr>
          <w:rFonts w:hint="eastAsia" w:ascii="微软雅黑" w:hAnsi="微软雅黑" w:cs="微软雅黑"/>
        </w:rPr>
        <w:fldChar w:fldCharType="separate"/>
      </w:r>
      <w:r>
        <w:rPr>
          <w:rFonts w:hint="eastAsia" w:ascii="微软雅黑" w:hAnsi="微软雅黑" w:cs="微软雅黑"/>
          <w:bCs w:val="0"/>
          <w:szCs w:val="24"/>
        </w:rPr>
        <w:t xml:space="preserve">1.4 法律适用</w:t>
      </w:r>
      <w:r>
        <w:tab/>
      </w:r>
      <w:r>
        <w:fldChar w:fldCharType="begin"/>
      </w:r>
      <w:r>
        <w:instrText xml:space="preserve"> PAGEREF _Toc30904 \h </w:instrText>
      </w:r>
      <w:r>
        <w:fldChar w:fldCharType="separate"/>
      </w:r>
      <w:r>
        <w:t xml:space="preserve">10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_Toc23915 </w:instrText>
      </w:r>
      <w:r>
        <w:rPr>
          <w:rFonts w:hint="eastAsia" w:ascii="微软雅黑" w:hAnsi="微软雅黑" w:cs="微软雅黑"/>
        </w:rPr>
        <w:fldChar w:fldCharType="separate"/>
      </w:r>
      <w:r>
        <w:rPr>
          <w:rFonts w:hint="eastAsia" w:ascii="微软雅黑" w:hAnsi="微软雅黑" w:cs="微软雅黑"/>
          <w:bCs w:val="0"/>
          <w:szCs w:val="24"/>
        </w:rPr>
        <w:t xml:space="preserve">1.5 采购文件的约束力</w:t>
      </w:r>
      <w:r>
        <w:tab/>
      </w:r>
      <w:r>
        <w:fldChar w:fldCharType="begin"/>
      </w:r>
      <w:r>
        <w:instrText xml:space="preserve"> PAGEREF _Toc23915 \h </w:instrText>
      </w:r>
      <w:r>
        <w:fldChar w:fldCharType="separate"/>
      </w:r>
      <w:r>
        <w:t xml:space="preserve">11</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_Toc25294 </w:instrText>
      </w:r>
      <w:r>
        <w:rPr>
          <w:rFonts w:hint="eastAsia" w:ascii="微软雅黑" w:hAnsi="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_Toc25294 \h </w:instrText>
      </w:r>
      <w:r>
        <w:fldChar w:fldCharType="separate"/>
      </w:r>
      <w:r>
        <w:t xml:space="preserve">11</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_Toc22364 </w:instrText>
      </w:r>
      <w:r>
        <w:rPr>
          <w:rFonts w:hint="eastAsia" w:ascii="微软雅黑" w:hAnsi="微软雅黑" w:cs="微软雅黑"/>
        </w:rPr>
        <w:fldChar w:fldCharType="separate"/>
      </w:r>
      <w:r>
        <w:rPr>
          <w:rFonts w:hint="eastAsia" w:ascii="微软雅黑" w:hAnsi="微软雅黑" w:cs="微软雅黑"/>
          <w:bCs w:val="0"/>
          <w:szCs w:val="24"/>
        </w:rPr>
        <w:t xml:space="preserve">2.1 采购文件的组成</w:t>
      </w:r>
      <w:r>
        <w:tab/>
      </w:r>
      <w:r>
        <w:fldChar w:fldCharType="begin"/>
      </w:r>
      <w:r>
        <w:instrText xml:space="preserve"> PAGEREF _Toc22364 \h </w:instrText>
      </w:r>
      <w:r>
        <w:fldChar w:fldCharType="separate"/>
      </w:r>
      <w:r>
        <w:t xml:space="preserve">11</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_Toc19968 </w:instrText>
      </w:r>
      <w:r>
        <w:rPr>
          <w:rFonts w:hint="eastAsia" w:ascii="微软雅黑" w:hAnsi="微软雅黑" w:cs="微软雅黑"/>
        </w:rPr>
        <w:fldChar w:fldCharType="separate"/>
      </w:r>
      <w:r>
        <w:rPr>
          <w:rFonts w:hint="eastAsia" w:ascii="微软雅黑" w:hAnsi="微软雅黑" w:cs="微软雅黑"/>
          <w:bCs w:val="0"/>
          <w:szCs w:val="24"/>
        </w:rPr>
        <w:t xml:space="preserve">2.2 采购文件的更正或补充</w:t>
      </w:r>
      <w:r>
        <w:tab/>
      </w:r>
      <w:r>
        <w:fldChar w:fldCharType="begin"/>
      </w:r>
      <w:r>
        <w:instrText xml:space="preserve"> PAGEREF _Toc19968 \h </w:instrText>
      </w:r>
      <w:r>
        <w:fldChar w:fldCharType="separate"/>
      </w:r>
      <w:r>
        <w:t xml:space="preserve">11</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_Toc1496 </w:instrText>
      </w:r>
      <w:r>
        <w:rPr>
          <w:rFonts w:hint="eastAsia" w:ascii="微软雅黑" w:hAnsi="微软雅黑" w:cs="微软雅黑"/>
        </w:rPr>
        <w:fldChar w:fldCharType="separate"/>
      </w:r>
      <w:r>
        <w:rPr>
          <w:rFonts w:hint="eastAsia" w:ascii="微软雅黑" w:hAnsi="微软雅黑" w:cs="微软雅黑"/>
        </w:rPr>
        <w:t xml:space="preserve">三、响应文件</w:t>
      </w:r>
      <w:r>
        <w:tab/>
      </w:r>
      <w:r>
        <w:fldChar w:fldCharType="begin"/>
      </w:r>
      <w:r>
        <w:instrText xml:space="preserve"> PAGEREF _Toc1496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_Toc243 </w:instrText>
      </w:r>
      <w:r>
        <w:rPr>
          <w:rFonts w:hint="eastAsia" w:ascii="微软雅黑" w:hAnsi="微软雅黑" w:cs="微软雅黑"/>
        </w:rPr>
        <w:fldChar w:fldCharType="separate"/>
      </w:r>
      <w:r>
        <w:rPr>
          <w:rFonts w:hint="eastAsia" w:ascii="微软雅黑" w:hAnsi="微软雅黑" w:cs="微软雅黑"/>
          <w:bCs w:val="0"/>
          <w:szCs w:val="24"/>
        </w:rPr>
        <w:t xml:space="preserve">3.1 响应文件的语言及度量衡</w:t>
      </w:r>
      <w:r>
        <w:tab/>
      </w:r>
      <w:r>
        <w:fldChar w:fldCharType="begin"/>
      </w:r>
      <w:r>
        <w:instrText xml:space="preserve"> PAGEREF _Toc243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_Toc1518 </w:instrText>
      </w:r>
      <w:r>
        <w:rPr>
          <w:rFonts w:hint="eastAsia" w:ascii="微软雅黑" w:hAnsi="微软雅黑" w:cs="微软雅黑"/>
        </w:rPr>
        <w:fldChar w:fldCharType="separate"/>
      </w:r>
      <w:r>
        <w:rPr>
          <w:rFonts w:hint="eastAsia" w:ascii="微软雅黑" w:hAnsi="微软雅黑" w:cs="微软雅黑"/>
          <w:bCs w:val="0"/>
          <w:szCs w:val="24"/>
        </w:rPr>
        <w:t xml:space="preserve">3.2 响应文件的组成</w:t>
      </w:r>
      <w:r>
        <w:tab/>
      </w:r>
      <w:r>
        <w:fldChar w:fldCharType="begin"/>
      </w:r>
      <w:r>
        <w:instrText xml:space="preserve"> PAGEREF _Toc1518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_Toc14732 </w:instrText>
      </w:r>
      <w:r>
        <w:rPr>
          <w:rFonts w:hint="eastAsia" w:ascii="微软雅黑" w:hAnsi="微软雅黑" w:cs="微软雅黑"/>
        </w:rPr>
        <w:fldChar w:fldCharType="separate"/>
      </w:r>
      <w:r>
        <w:rPr>
          <w:rFonts w:hint="eastAsia" w:ascii="微软雅黑" w:hAnsi="微软雅黑" w:cs="微软雅黑"/>
          <w:bCs w:val="0"/>
          <w:szCs w:val="24"/>
        </w:rPr>
        <w:t xml:space="preserve">3.3 响应报价</w:t>
      </w:r>
      <w:r>
        <w:tab/>
      </w:r>
      <w:r>
        <w:fldChar w:fldCharType="begin"/>
      </w:r>
      <w:r>
        <w:instrText xml:space="preserve"> PAGEREF _Toc14732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_Toc9904 </w:instrText>
      </w:r>
      <w:r>
        <w:rPr>
          <w:rFonts w:hint="eastAsia" w:ascii="微软雅黑" w:hAnsi="微软雅黑" w:cs="微软雅黑"/>
        </w:rPr>
        <w:fldChar w:fldCharType="separate"/>
      </w:r>
      <w:r>
        <w:rPr>
          <w:rFonts w:hint="eastAsia" w:ascii="微软雅黑" w:hAnsi="微软雅黑" w:cs="微软雅黑"/>
          <w:bCs w:val="0"/>
          <w:szCs w:val="24"/>
        </w:rPr>
        <w:t xml:space="preserve">3.4 响应报价中的货币</w:t>
      </w:r>
      <w:r>
        <w:tab/>
      </w:r>
      <w:r>
        <w:fldChar w:fldCharType="begin"/>
      </w:r>
      <w:r>
        <w:instrText xml:space="preserve"> PAGEREF _Toc9904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_Toc6199 </w:instrText>
      </w:r>
      <w:r>
        <w:rPr>
          <w:rFonts w:hint="eastAsia" w:ascii="微软雅黑" w:hAnsi="微软雅黑" w:cs="微软雅黑"/>
        </w:rPr>
        <w:fldChar w:fldCharType="separate"/>
      </w:r>
      <w:r>
        <w:rPr>
          <w:rFonts w:hint="eastAsia" w:ascii="微软雅黑" w:hAnsi="微软雅黑" w:cs="微软雅黑"/>
          <w:bCs w:val="0"/>
          <w:szCs w:val="24"/>
        </w:rPr>
        <w:t xml:space="preserve">3.5 响应保证金</w:t>
      </w:r>
      <w:r>
        <w:t xml:space="preserve">:</w:t>
      </w:r>
      <w:r>
        <w:rPr>
          <w:szCs w:val="24"/>
        </w:rPr>
        <w:t xml:space="preserve">无</w:t>
      </w:r>
      <w:r>
        <w:t xml:space="preserve">。</w:t>
        <w:tab/>
      </w:r>
      <w:r>
        <w:fldChar w:fldCharType="begin"/>
      </w:r>
      <w:r>
        <w:instrText xml:space="preserve"> PAGEREF _Toc6199 \h </w:instrText>
      </w:r>
      <w:r>
        <w:fldChar w:fldCharType="separate"/>
      </w:r>
      <w:r>
        <w:t xml:space="preserve">12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_Toc26110 </w:instrText>
      </w:r>
      <w:r>
        <w:rPr>
          <w:rFonts w:hint="eastAsia" w:ascii="微软雅黑" w:hAnsi="微软雅黑" w:cs="微软雅黑"/>
        </w:rPr>
        <w:fldChar w:fldCharType="separate"/>
      </w:r>
      <w:r>
        <w:rPr>
          <w:rFonts w:hint="eastAsia" w:ascii="微软雅黑" w:hAnsi="微软雅黑" w:cs="微软雅黑"/>
          <w:bCs w:val="0"/>
          <w:szCs w:val="24"/>
        </w:rPr>
        <w:t xml:space="preserve">3.6 响应有效期</w:t>
      </w:r>
      <w:r>
        <w:tab/>
      </w:r>
      <w:r>
        <w:fldChar w:fldCharType="begin"/>
      </w:r>
      <w:r>
        <w:instrText xml:space="preserve"> PAGEREF _Toc26110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_Toc28167 </w:instrText>
      </w:r>
      <w:r>
        <w:rPr>
          <w:rFonts w:hint="eastAsia" w:ascii="微软雅黑" w:hAnsi="微软雅黑" w:cs="微软雅黑"/>
        </w:rPr>
        <w:fldChar w:fldCharType="separate"/>
      </w:r>
      <w:r>
        <w:rPr>
          <w:rFonts w:hint="eastAsia" w:ascii="微软雅黑" w:hAnsi="微软雅黑" w:cs="微软雅黑"/>
          <w:bCs w:val="0"/>
          <w:szCs w:val="24"/>
        </w:rPr>
        <w:t xml:space="preserve">3.7 响应文件的签署、形式及装订</w:t>
      </w:r>
      <w:r>
        <w:tab/>
      </w:r>
      <w:r>
        <w:fldChar w:fldCharType="begin"/>
      </w:r>
      <w:r>
        <w:instrText xml:space="preserve"> PAGEREF _Toc28167 \h </w:instrText>
      </w:r>
      <w:r>
        <w:fldChar w:fldCharType="separate"/>
      </w:r>
      <w:r>
        <w:t xml:space="preserve">13</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_Toc14466 </w:instrText>
      </w:r>
      <w:r>
        <w:rPr>
          <w:rFonts w:hint="eastAsia" w:ascii="微软雅黑" w:hAnsi="微软雅黑" w:cs="微软雅黑"/>
        </w:rPr>
        <w:fldChar w:fldCharType="separate"/>
      </w:r>
      <w:r>
        <w:rPr>
          <w:rFonts w:hint="eastAsia" w:ascii="微软雅黑" w:hAnsi="微软雅黑" w:cs="微软雅黑"/>
        </w:rPr>
        <w:t xml:space="preserve">四、响应文件的递交</w:t>
      </w:r>
      <w:r>
        <w:tab/>
      </w:r>
      <w:r>
        <w:fldChar w:fldCharType="begin"/>
      </w:r>
      <w:r>
        <w:instrText xml:space="preserve"> PAGEREF _Toc14466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_Toc19773 </w:instrText>
      </w:r>
      <w:r>
        <w:rPr>
          <w:rFonts w:hint="eastAsia" w:ascii="微软雅黑" w:hAnsi="微软雅黑" w:cs="微软雅黑"/>
        </w:rPr>
        <w:fldChar w:fldCharType="separate"/>
      </w:r>
      <w:r>
        <w:rPr>
          <w:rFonts w:hint="eastAsia" w:ascii="微软雅黑" w:hAnsi="微软雅黑" w:cs="微软雅黑"/>
          <w:bCs w:val="0"/>
          <w:szCs w:val="21"/>
        </w:rPr>
        <w:t xml:space="preserve">4.1供应商应当按照《操作手册》规定，在采购公告规定的响应截止时间前制作并上传电子响应文件。招标代理机构拒绝接收提交响应文件截止时间后上传的任何电子响应文件。</w:t>
      </w:r>
      <w:r>
        <w:tab/>
      </w:r>
      <w:r>
        <w:fldChar w:fldCharType="begin"/>
      </w:r>
      <w:r>
        <w:instrText xml:space="preserve"> PAGEREF _Toc19773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_Toc7862 </w:instrText>
      </w:r>
      <w:r>
        <w:rPr>
          <w:rFonts w:hint="eastAsia" w:ascii="微软雅黑" w:hAnsi="微软雅黑" w:cs="微软雅黑"/>
        </w:rPr>
        <w:fldChar w:fldCharType="separate"/>
      </w:r>
      <w:r>
        <w:rPr>
          <w:rFonts w:hint="eastAsia" w:ascii="微软雅黑" w:hAnsi="微软雅黑" w:cs="微软雅黑"/>
          <w:bCs w:val="0"/>
          <w:szCs w:val="21"/>
        </w:rPr>
        <w:t xml:space="preserve">4.2有下列情形的响应文件将被拒收</w:t>
      </w:r>
      <w:r>
        <w:tab/>
      </w:r>
      <w:r>
        <w:fldChar w:fldCharType="begin"/>
      </w:r>
      <w:r>
        <w:instrText xml:space="preserve"> PAGEREF _Toc7862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_Toc30401 </w:instrText>
      </w:r>
      <w:r>
        <w:rPr>
          <w:rFonts w:hint="eastAsia" w:ascii="微软雅黑" w:hAnsi="微软雅黑" w:cs="微软雅黑"/>
        </w:rPr>
        <w:fldChar w:fldCharType="separate"/>
      </w:r>
      <w:r>
        <w:rPr>
          <w:rFonts w:hint="eastAsia" w:ascii="微软雅黑" w:hAnsi="微软雅黑" w:cs="微软雅黑"/>
          <w:bCs w:val="0"/>
          <w:szCs w:val="21"/>
        </w:rPr>
        <w:t xml:space="preserve">4.2.1供应商应当按照《操作手册》规定，在“苏采云”系统规定的时间内对响应文件进行解密。</w:t>
      </w:r>
      <w:r>
        <w:tab/>
      </w:r>
      <w:r>
        <w:fldChar w:fldCharType="begin"/>
      </w:r>
      <w:r>
        <w:instrText xml:space="preserve"> PAGEREF _Toc30401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_Toc22249 </w:instrText>
      </w:r>
      <w:r>
        <w:rPr>
          <w:rFonts w:hint="eastAsia" w:ascii="微软雅黑" w:hAnsi="微软雅黑" w:cs="微软雅黑"/>
        </w:rPr>
        <w:fldChar w:fldCharType="separate"/>
      </w:r>
      <w:r>
        <w:rPr>
          <w:rFonts w:hint="eastAsia" w:ascii="微软雅黑" w:hAnsi="微软雅黑" w:cs="微软雅黑"/>
          <w:bCs w:val="0"/>
          <w:szCs w:val="21"/>
        </w:rPr>
        <w:t xml:space="preserve">4.2.2供应商应充分考虑网络环境、网络带宽等因素可能对响应产生的影响，如因供应商自身原因造成的电子响应文件解密不成功的，做无效响应处理。</w:t>
      </w:r>
      <w:r>
        <w:tab/>
      </w:r>
      <w:r>
        <w:fldChar w:fldCharType="begin"/>
      </w:r>
      <w:r>
        <w:instrText xml:space="preserve"> PAGEREF _Toc22249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_Toc21639 </w:instrText>
      </w:r>
      <w:r>
        <w:rPr>
          <w:rFonts w:hint="eastAsia" w:ascii="微软雅黑" w:hAnsi="微软雅黑" w:cs="微软雅黑"/>
        </w:rPr>
        <w:fldChar w:fldCharType="separate"/>
      </w:r>
      <w:r>
        <w:rPr>
          <w:rFonts w:hint="eastAsia" w:ascii="微软雅黑" w:hAnsi="微软雅黑" w:cs="微软雅黑"/>
          <w:bCs w:val="0"/>
          <w:szCs w:val="21"/>
        </w:rPr>
        <w:t xml:space="preserve">4.3 响应截止时间</w:t>
      </w:r>
      <w:r>
        <w:tab/>
      </w:r>
      <w:r>
        <w:fldChar w:fldCharType="begin"/>
      </w:r>
      <w:r>
        <w:instrText xml:space="preserve"> PAGEREF _Toc21639 \h </w:instrText>
      </w:r>
      <w:r>
        <w:fldChar w:fldCharType="separate"/>
      </w:r>
      <w:r>
        <w:t xml:space="preserve">13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_Toc15517 </w:instrText>
      </w:r>
      <w:r>
        <w:rPr>
          <w:rFonts w:hint="eastAsia" w:ascii="微软雅黑" w:hAnsi="微软雅黑" w:cs="微软雅黑"/>
        </w:rPr>
        <w:fldChar w:fldCharType="separate"/>
      </w:r>
      <w:r>
        <w:rPr>
          <w:rFonts w:hint="eastAsia" w:ascii="微软雅黑" w:hAnsi="微软雅黑" w:cs="微软雅黑"/>
          <w:bCs w:val="0"/>
          <w:szCs w:val="21"/>
        </w:rPr>
        <w:t xml:space="preserve">4.4 迟交的响应文件</w:t>
      </w:r>
      <w:r>
        <w:tab/>
      </w:r>
      <w:r>
        <w:fldChar w:fldCharType="begin"/>
      </w:r>
      <w:r>
        <w:instrText xml:space="preserve"> PAGEREF _Toc15517 \h </w:instrText>
      </w:r>
      <w:r>
        <w:fldChar w:fldCharType="separate"/>
      </w:r>
      <w:r>
        <w:t xml:space="preserve">14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_Toc28666 </w:instrText>
      </w:r>
      <w:r>
        <w:rPr>
          <w:rFonts w:hint="eastAsia" w:ascii="微软雅黑" w:hAnsi="微软雅黑" w:cs="微软雅黑"/>
        </w:rPr>
        <w:fldChar w:fldCharType="separate"/>
      </w:r>
      <w:r>
        <w:rPr>
          <w:rFonts w:hint="eastAsia" w:ascii="微软雅黑" w:hAnsi="微软雅黑" w:cs="微软雅黑"/>
          <w:bCs w:val="0"/>
          <w:szCs w:val="21"/>
        </w:rPr>
        <w:t xml:space="preserve">4.5 响应文件的修改和撤回</w:t>
      </w:r>
      <w:r>
        <w:tab/>
      </w:r>
      <w:r>
        <w:fldChar w:fldCharType="begin"/>
      </w:r>
      <w:r>
        <w:instrText xml:space="preserve"> PAGEREF _Toc28666 \h </w:instrText>
      </w:r>
      <w:r>
        <w:fldChar w:fldCharType="separate"/>
      </w:r>
      <w:r>
        <w:t xml:space="preserve">14</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_Toc10171 </w:instrText>
      </w:r>
      <w:r>
        <w:rPr>
          <w:rFonts w:hint="eastAsia" w:ascii="微软雅黑" w:hAnsi="微软雅黑" w:cs="微软雅黑"/>
        </w:rPr>
        <w:fldChar w:fldCharType="separate"/>
      </w:r>
      <w:r>
        <w:rPr>
          <w:rFonts w:hint="eastAsia" w:ascii="微软雅黑" w:hAnsi="微软雅黑" w:cs="微软雅黑"/>
        </w:rPr>
        <w:t xml:space="preserve">五、响应文件启封及评审</w:t>
      </w:r>
      <w:r>
        <w:tab/>
      </w:r>
      <w:r>
        <w:fldChar w:fldCharType="begin"/>
      </w:r>
      <w:r>
        <w:instrText xml:space="preserve"> PAGEREF _Toc10171 \h </w:instrText>
      </w:r>
      <w:r>
        <w:fldChar w:fldCharType="separate"/>
      </w:r>
      <w:r>
        <w:t xml:space="preserve">14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_Toc3295 </w:instrText>
      </w:r>
      <w:r>
        <w:rPr>
          <w:rFonts w:hint="eastAsia" w:ascii="微软雅黑" w:hAnsi="微软雅黑" w:cs="微软雅黑"/>
        </w:rPr>
        <w:fldChar w:fldCharType="separate"/>
      </w:r>
      <w:r>
        <w:rPr>
          <w:rFonts w:hint="eastAsia" w:ascii="微软雅黑" w:hAnsi="微软雅黑" w:cs="微软雅黑"/>
          <w:bCs w:val="0"/>
          <w:szCs w:val="24"/>
        </w:rPr>
        <w:t xml:space="preserve">5.1 响应文件启封</w:t>
      </w:r>
      <w:r>
        <w:tab/>
      </w:r>
      <w:r>
        <w:fldChar w:fldCharType="begin"/>
      </w:r>
      <w:r>
        <w:instrText xml:space="preserve"> PAGEREF _Toc3295 \h </w:instrText>
      </w:r>
      <w:r>
        <w:fldChar w:fldCharType="separate"/>
      </w:r>
      <w:r>
        <w:t xml:space="preserve">14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_Toc29288 </w:instrText>
      </w:r>
      <w:r>
        <w:rPr>
          <w:rFonts w:hint="eastAsia" w:ascii="微软雅黑" w:hAnsi="微软雅黑" w:cs="微软雅黑"/>
        </w:rPr>
        <w:fldChar w:fldCharType="separate"/>
      </w:r>
      <w:r>
        <w:rPr>
          <w:rFonts w:hint="eastAsia" w:ascii="微软雅黑" w:hAnsi="微软雅黑" w:cs="微软雅黑"/>
          <w:bCs w:val="0"/>
          <w:szCs w:val="24"/>
        </w:rPr>
        <w:t xml:space="preserve">5.2 磋商小组</w:t>
      </w:r>
      <w:r>
        <w:tab/>
      </w:r>
      <w:r>
        <w:fldChar w:fldCharType="begin"/>
      </w:r>
      <w:r>
        <w:instrText xml:space="preserve"> PAGEREF _Toc29288 \h </w:instrText>
      </w:r>
      <w:r>
        <w:fldChar w:fldCharType="separate"/>
      </w:r>
      <w:r>
        <w:t xml:space="preserve">14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_Toc5212 </w:instrText>
      </w:r>
      <w:r>
        <w:rPr>
          <w:rFonts w:hint="eastAsia" w:ascii="微软雅黑" w:hAnsi="微软雅黑" w:cs="微软雅黑"/>
        </w:rPr>
        <w:fldChar w:fldCharType="separate"/>
      </w:r>
      <w:r>
        <w:rPr>
          <w:rFonts w:hint="eastAsia" w:ascii="微软雅黑" w:hAnsi="微软雅黑" w:cs="微软雅黑"/>
          <w:bCs w:val="0"/>
          <w:szCs w:val="24"/>
        </w:rPr>
        <w:t xml:space="preserve">5.3 对响应文件的资格性审查和符合性审查</w:t>
      </w:r>
      <w:r>
        <w:tab/>
      </w:r>
      <w:r>
        <w:fldChar w:fldCharType="begin"/>
      </w:r>
      <w:r>
        <w:instrText xml:space="preserve"> PAGEREF _Toc5212 \h </w:instrText>
      </w:r>
      <w:r>
        <w:fldChar w:fldCharType="separate"/>
      </w:r>
      <w:r>
        <w:t xml:space="preserve">14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_Toc17027 </w:instrText>
      </w:r>
      <w:r>
        <w:rPr>
          <w:rFonts w:hint="eastAsia" w:ascii="微软雅黑" w:hAnsi="微软雅黑" w:cs="微软雅黑"/>
        </w:rPr>
        <w:fldChar w:fldCharType="separate"/>
      </w:r>
      <w:r>
        <w:rPr>
          <w:rFonts w:hint="eastAsia" w:ascii="微软雅黑" w:hAnsi="微软雅黑" w:cs="微软雅黑"/>
          <w:bCs w:val="0"/>
          <w:szCs w:val="24"/>
        </w:rPr>
        <w:t xml:space="preserve">5.4 响应文件的澄清</w:t>
      </w:r>
      <w:r>
        <w:tab/>
      </w:r>
      <w:r>
        <w:fldChar w:fldCharType="begin"/>
      </w:r>
      <w:r>
        <w:instrText xml:space="preserve"> PAGEREF _Toc17027 \h </w:instrText>
      </w:r>
      <w:r>
        <w:fldChar w:fldCharType="separate"/>
      </w:r>
      <w:r>
        <w:t xml:space="preserve">15</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_Toc6390 </w:instrText>
      </w:r>
      <w:r>
        <w:rPr>
          <w:rFonts w:hint="eastAsia" w:ascii="微软雅黑" w:hAnsi="微软雅黑" w:cs="微软雅黑"/>
        </w:rPr>
        <w:fldChar w:fldCharType="separate"/>
      </w:r>
      <w:r>
        <w:rPr>
          <w:rFonts w:hint="eastAsia" w:ascii="微软雅黑" w:hAnsi="微软雅黑" w:cs="微软雅黑"/>
          <w:bCs w:val="0"/>
          <w:szCs w:val="24"/>
        </w:rPr>
        <w:t xml:space="preserve">5.5 评审及成交</w:t>
      </w:r>
      <w:r>
        <w:tab/>
      </w:r>
      <w:r>
        <w:fldChar w:fldCharType="begin"/>
      </w:r>
      <w:r>
        <w:instrText xml:space="preserve"> PAGEREF _Toc6390 \h </w:instrText>
      </w:r>
      <w:r>
        <w:fldChar w:fldCharType="separate"/>
      </w:r>
      <w:r>
        <w:t xml:space="preserve">15</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_Toc23572 </w:instrText>
      </w:r>
      <w:r>
        <w:rPr>
          <w:rFonts w:hint="eastAsia" w:ascii="微软雅黑" w:hAnsi="微软雅黑" w:cs="微软雅黑"/>
        </w:rPr>
        <w:fldChar w:fldCharType="separate"/>
      </w:r>
      <w:r>
        <w:rPr>
          <w:rFonts w:hint="eastAsia" w:ascii="微软雅黑" w:hAnsi="微软雅黑" w:cs="微软雅黑"/>
          <w:bCs w:val="0"/>
          <w:szCs w:val="24"/>
        </w:rPr>
        <w:t xml:space="preserve">5.6 评审过程保密</w:t>
      </w:r>
      <w:r>
        <w:tab/>
      </w:r>
      <w:r>
        <w:fldChar w:fldCharType="begin"/>
      </w:r>
      <w:r>
        <w:instrText xml:space="preserve"> PAGEREF _Toc23572 \h </w:instrText>
      </w:r>
      <w:r>
        <w:fldChar w:fldCharType="separate"/>
      </w:r>
      <w:r>
        <w:t xml:space="preserve">16</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_Toc17353 </w:instrText>
      </w:r>
      <w:r>
        <w:rPr>
          <w:rFonts w:hint="eastAsia" w:ascii="微软雅黑" w:hAnsi="微软雅黑" w:cs="微软雅黑"/>
        </w:rPr>
        <w:fldChar w:fldCharType="separate"/>
      </w:r>
      <w:r>
        <w:rPr>
          <w:rFonts w:hint="eastAsia" w:ascii="微软雅黑" w:hAnsi="微软雅黑" w:cs="微软雅黑"/>
          <w:bCs w:val="0"/>
          <w:szCs w:val="24"/>
        </w:rPr>
        <w:t xml:space="preserve">5.7 响应截止时间结束后参加供应商不足三家情况的处理</w:t>
      </w:r>
      <w:r>
        <w:tab/>
      </w:r>
      <w:r>
        <w:fldChar w:fldCharType="begin"/>
      </w:r>
      <w:r>
        <w:instrText xml:space="preserve"> PAGEREF _Toc17353 \h </w:instrText>
      </w:r>
      <w:r>
        <w:fldChar w:fldCharType="separate"/>
      </w:r>
      <w:r>
        <w:t xml:space="preserve">16</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_Toc11314 </w:instrText>
      </w:r>
      <w:r>
        <w:rPr>
          <w:rFonts w:hint="eastAsia" w:ascii="微软雅黑" w:hAnsi="微软雅黑" w:cs="微软雅黑"/>
        </w:rPr>
        <w:fldChar w:fldCharType="separate"/>
      </w:r>
      <w:r>
        <w:rPr>
          <w:rFonts w:hint="eastAsia" w:ascii="微软雅黑" w:hAnsi="微软雅黑" w:cs="微软雅黑"/>
          <w:bCs w:val="0"/>
          <w:szCs w:val="24"/>
        </w:rPr>
        <w:t xml:space="preserve">5.8 废标（终止磋商活动）</w:t>
      </w:r>
      <w:r>
        <w:tab/>
      </w:r>
      <w:r>
        <w:fldChar w:fldCharType="begin"/>
      </w:r>
      <w:r>
        <w:instrText xml:space="preserve"> PAGEREF _Toc11314 \h </w:instrText>
      </w:r>
      <w:r>
        <w:fldChar w:fldCharType="separate"/>
      </w:r>
      <w:r>
        <w:t xml:space="preserve">16</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_Toc15436 </w:instrText>
      </w:r>
      <w:r>
        <w:rPr>
          <w:rFonts w:hint="eastAsia" w:ascii="微软雅黑" w:hAnsi="微软雅黑" w:cs="微软雅黑"/>
        </w:rPr>
        <w:fldChar w:fldCharType="separate"/>
      </w:r>
      <w:r>
        <w:rPr>
          <w:rFonts w:hint="eastAsia" w:ascii="微软雅黑" w:hAnsi="微软雅黑" w:cs="微软雅黑"/>
          <w:bCs w:val="0"/>
          <w:szCs w:val="24"/>
        </w:rPr>
        <w:t xml:space="preserve">5.9 有下列情形之一的，视为响应供应商串通响应，其响应无效：</w:t>
      </w:r>
      <w:r>
        <w:tab/>
      </w:r>
      <w:r>
        <w:fldChar w:fldCharType="begin"/>
      </w:r>
      <w:r>
        <w:instrText xml:space="preserve"> PAGEREF _Toc15436 \h </w:instrText>
      </w:r>
      <w:r>
        <w:fldChar w:fldCharType="separate"/>
      </w:r>
      <w:r>
        <w:t xml:space="preserve">17</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_Toc30769 </w:instrText>
      </w:r>
      <w:r>
        <w:rPr>
          <w:rFonts w:hint="eastAsia" w:ascii="微软雅黑" w:hAnsi="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_Toc30769 \h </w:instrText>
      </w:r>
      <w:r>
        <w:fldChar w:fldCharType="separate"/>
      </w:r>
      <w:r>
        <w:t xml:space="preserve">17</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_Toc26455 </w:instrText>
      </w:r>
      <w:r>
        <w:rPr>
          <w:rFonts w:hint="eastAsia" w:ascii="微软雅黑" w:hAnsi="微软雅黑" w:cs="微软雅黑"/>
        </w:rPr>
        <w:fldChar w:fldCharType="separate"/>
      </w:r>
      <w:r>
        <w:rPr>
          <w:rFonts w:hint="eastAsia" w:ascii="微软雅黑" w:hAnsi="微软雅黑" w:cs="微软雅黑"/>
          <w:bCs w:val="0"/>
          <w:szCs w:val="24"/>
        </w:rPr>
        <w:t xml:space="preserve">6.1 确定成交供应商</w:t>
      </w:r>
      <w:r>
        <w:tab/>
      </w:r>
      <w:r>
        <w:fldChar w:fldCharType="begin"/>
      </w:r>
      <w:r>
        <w:instrText xml:space="preserve"> PAGEREF _Toc26455 \h </w:instrText>
      </w:r>
      <w:r>
        <w:fldChar w:fldCharType="separate"/>
      </w:r>
      <w:r>
        <w:t xml:space="preserve">17</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_Toc15121 </w:instrText>
      </w:r>
      <w:r>
        <w:rPr>
          <w:rFonts w:hint="eastAsia" w:ascii="微软雅黑" w:hAnsi="微软雅黑" w:cs="微软雅黑"/>
        </w:rPr>
        <w:fldChar w:fldCharType="separate"/>
      </w:r>
      <w:r>
        <w:rPr>
          <w:rFonts w:hint="eastAsia" w:ascii="微软雅黑" w:hAnsi="微软雅黑" w:cs="微软雅黑"/>
          <w:bCs w:val="0"/>
          <w:szCs w:val="24"/>
        </w:rPr>
        <w:t xml:space="preserve">6.2 质疑处理</w:t>
      </w:r>
      <w:r>
        <w:tab/>
      </w:r>
      <w:r>
        <w:fldChar w:fldCharType="begin"/>
      </w:r>
      <w:r>
        <w:instrText xml:space="preserve"> PAGEREF _Toc15121 \h </w:instrText>
      </w:r>
      <w:r>
        <w:fldChar w:fldCharType="separate"/>
      </w:r>
      <w:r>
        <w:t xml:space="preserve">17</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_Toc32591 </w:instrText>
      </w:r>
      <w:r>
        <w:rPr>
          <w:rFonts w:hint="eastAsia" w:ascii="微软雅黑" w:hAnsi="微软雅黑" w:cs="微软雅黑"/>
        </w:rPr>
        <w:fldChar w:fldCharType="separate"/>
      </w:r>
      <w:r>
        <w:rPr>
          <w:rFonts w:hint="eastAsia" w:ascii="微软雅黑" w:hAnsi="微软雅黑" w:cs="微软雅黑"/>
          <w:bCs w:val="0"/>
          <w:szCs w:val="24"/>
        </w:rPr>
        <w:t xml:space="preserve">6.3 成交通知书</w:t>
      </w:r>
      <w:r>
        <w:tab/>
      </w:r>
      <w:r>
        <w:fldChar w:fldCharType="begin"/>
      </w:r>
      <w:r>
        <w:instrText xml:space="preserve"> PAGEREF _Toc32591 \h </w:instrText>
      </w:r>
      <w:r>
        <w:fldChar w:fldCharType="separate"/>
      </w:r>
      <w:r>
        <w:t xml:space="preserve">18</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_Toc19329 </w:instrText>
      </w:r>
      <w:r>
        <w:rPr>
          <w:rFonts w:hint="eastAsia" w:ascii="微软雅黑" w:hAnsi="微软雅黑" w:cs="微软雅黑"/>
        </w:rPr>
        <w:fldChar w:fldCharType="separate"/>
      </w:r>
      <w:r>
        <w:rPr>
          <w:rFonts w:hint="eastAsia" w:ascii="微软雅黑" w:hAnsi="微软雅黑" w:cs="微软雅黑"/>
          <w:bCs w:val="0"/>
          <w:szCs w:val="24"/>
        </w:rPr>
        <w:t xml:space="preserve">6.4 签订合同</w:t>
      </w:r>
      <w:r>
        <w:tab/>
      </w:r>
      <w:r>
        <w:fldChar w:fldCharType="begin"/>
      </w:r>
      <w:r>
        <w:instrText xml:space="preserve"> PAGEREF _Toc19329 \h </w:instrText>
      </w:r>
      <w:r>
        <w:fldChar w:fldCharType="separate"/>
      </w:r>
      <w:r>
        <w:t xml:space="preserve">18</w:t>
      </w:r>
      <w:r>
        <w:fldChar w:fldCharType="end"/>
      </w:r>
      <w:r>
        <w:rPr>
          <w:rFonts w:hint="eastAsia" w:ascii="微软雅黑" w:hAnsi="微软雅黑" w:cs="微软雅黑"/>
        </w:rPr>
        <w:fldChar w:fldCharType="end"/>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_Toc22169 </w:instrText>
      </w:r>
      <w:r>
        <w:rPr>
          <w:rFonts w:hint="eastAsia" w:ascii="微软雅黑" w:hAnsi="微软雅黑" w:cs="微软雅黑"/>
        </w:rPr>
        <w:fldChar w:fldCharType="separate"/>
      </w:r>
      <w:r>
        <w:rPr>
          <w:rFonts w:hint="eastAsia" w:ascii="微软雅黑" w:hAnsi="微软雅黑" w:cs="微软雅黑"/>
        </w:rPr>
        <w:t xml:space="preserve">第三章 评审办法和成交原则</w:t>
      </w:r>
      <w:r>
        <w:tab/>
      </w:r>
      <w:r>
        <w:fldChar w:fldCharType="begin"/>
      </w:r>
      <w:r>
        <w:instrText xml:space="preserve"> PAGEREF _Toc22169 \h </w:instrText>
      </w:r>
      <w:r>
        <w:fldChar w:fldCharType="separate"/>
      </w:r>
      <w:r>
        <w:t xml:space="preserve">20</w:t>
      </w:r>
      <w:r>
        <w:fldChar w:fldCharType="end"/>
      </w:r>
      <w:r>
        <w:rPr>
          <w:rFonts w:hint="eastAsia" w:ascii="微软雅黑" w:hAnsi="微软雅黑" w:cs="微软雅黑"/>
        </w:rPr>
        <w:fldChar w:fldCharType="end"/>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_Toc30458 </w:instrText>
      </w:r>
      <w:r>
        <w:rPr>
          <w:rFonts w:hint="eastAsia" w:ascii="微软雅黑" w:hAnsi="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_Toc30458 \h </w:instrText>
      </w:r>
      <w:r>
        <w:fldChar w:fldCharType="separate"/>
      </w:r>
      <w:r>
        <w:t xml:space="preserve">26</w:t>
      </w:r>
      <w:r>
        <w:fldChar w:fldCharType="end"/>
      </w:r>
      <w:r>
        <w:rPr>
          <w:rFonts w:hint="eastAsia" w:ascii="微软雅黑" w:hAnsi="微软雅黑" w:cs="微软雅黑"/>
        </w:rPr>
        <w:fldChar w:fldCharType="end"/>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_Toc24263 </w:instrText>
      </w:r>
      <w:r>
        <w:rPr>
          <w:rFonts w:hint="eastAsia" w:ascii="微软雅黑" w:hAnsi="微软雅黑" w:cs="微软雅黑"/>
        </w:rPr>
        <w:fldChar w:fldCharType="separate"/>
      </w:r>
      <w:r>
        <w:rPr>
          <w:rFonts w:hint="eastAsia" w:ascii="微软雅黑" w:hAnsi="微软雅黑" w:cs="微软雅黑"/>
        </w:rPr>
        <w:t xml:space="preserve">第五章 采购合同</w:t>
      </w:r>
      <w:r>
        <w:tab/>
      </w:r>
      <w:r>
        <w:fldChar w:fldCharType="begin"/>
      </w:r>
      <w:r>
        <w:instrText xml:space="preserve"> PAGEREF _Toc24263 \h </w:instrText>
      </w:r>
      <w:r>
        <w:fldChar w:fldCharType="separate"/>
      </w:r>
      <w:r>
        <w:t xml:space="preserve">31</w:t>
      </w:r>
      <w:r>
        <w:fldChar w:fldCharType="end"/>
      </w:r>
      <w:r>
        <w:rPr>
          <w:rFonts w:hint="eastAsia" w:ascii="微软雅黑" w:hAnsi="微软雅黑" w:cs="微软雅黑"/>
        </w:rPr>
        <w:fldChar w:fldCharType="end"/>
      </w:r>
      <w:r/>
    </w:p>
    <w:p>
      <w:pPr>
        <w:pStyle w:val="964"/>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_Toc25281 </w:instrText>
      </w:r>
      <w:r>
        <w:rPr>
          <w:rFonts w:hint="eastAsia" w:ascii="微软雅黑" w:hAnsi="微软雅黑" w:cs="微软雅黑"/>
        </w:rPr>
        <w:fldChar w:fldCharType="separate"/>
      </w:r>
      <w:r>
        <w:rPr>
          <w:rFonts w:hint="eastAsia" w:ascii="微软雅黑" w:hAnsi="微软雅黑" w:cs="微软雅黑"/>
        </w:rPr>
        <w:t xml:space="preserve">第六章 响应文件格式及附件</w:t>
      </w:r>
      <w:r>
        <w:tab/>
      </w:r>
      <w:r>
        <w:fldChar w:fldCharType="begin"/>
      </w:r>
      <w:r>
        <w:instrText xml:space="preserve"> PAGEREF _Toc25281 \h </w:instrText>
      </w:r>
      <w:r>
        <w:fldChar w:fldCharType="separate"/>
      </w:r>
      <w:r>
        <w:t xml:space="preserve">36</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_Toc8737 </w:instrText>
      </w:r>
      <w:r>
        <w:rPr>
          <w:rFonts w:hint="eastAsia" w:ascii="微软雅黑" w:hAnsi="微软雅黑" w:cs="微软雅黑"/>
        </w:rPr>
        <w:fldChar w:fldCharType="separate"/>
      </w:r>
      <w:r>
        <w:rPr>
          <w:rFonts w:hint="eastAsia" w:ascii="微软雅黑" w:hAnsi="微软雅黑" w:cs="微软雅黑"/>
        </w:rPr>
        <w:t xml:space="preserve">一、响应函、响应报价及项目相关文件</w:t>
      </w:r>
      <w:r>
        <w:tab/>
      </w:r>
      <w:r>
        <w:fldChar w:fldCharType="begin"/>
      </w:r>
      <w:r>
        <w:instrText xml:space="preserve"> PAGEREF _Toc8737 \h </w:instrText>
      </w:r>
      <w:r>
        <w:fldChar w:fldCharType="separate"/>
      </w:r>
      <w:r>
        <w:t xml:space="preserve">42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_Toc18888 </w:instrText>
      </w:r>
      <w:r>
        <w:rPr>
          <w:rFonts w:hint="eastAsia" w:ascii="微软雅黑" w:hAnsi="微软雅黑" w:cs="微软雅黑"/>
        </w:rPr>
        <w:fldChar w:fldCharType="separate"/>
      </w:r>
      <w:r>
        <w:rPr>
          <w:rFonts w:hint="eastAsia" w:ascii="微软雅黑" w:hAnsi="微软雅黑" w:cs="微软雅黑"/>
          <w:bCs w:val="0"/>
          <w:szCs w:val="24"/>
        </w:rPr>
        <w:t xml:space="preserve">1.响应函</w:t>
      </w:r>
      <w:r>
        <w:tab/>
      </w:r>
      <w:r>
        <w:fldChar w:fldCharType="begin"/>
      </w:r>
      <w:r>
        <w:instrText xml:space="preserve"> PAGEREF _Toc18888 \h </w:instrText>
      </w:r>
      <w:r>
        <w:fldChar w:fldCharType="separate"/>
      </w:r>
      <w:r>
        <w:t xml:space="preserve">42</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_Toc2673 </w:instrText>
      </w:r>
      <w:r>
        <w:rPr>
          <w:rFonts w:hint="eastAsia" w:ascii="微软雅黑" w:hAnsi="微软雅黑" w:cs="微软雅黑"/>
        </w:rPr>
        <w:fldChar w:fldCharType="separate"/>
      </w:r>
      <w:r>
        <w:rPr>
          <w:rFonts w:hint="eastAsia" w:ascii="微软雅黑" w:hAnsi="微软雅黑" w:cs="微软雅黑"/>
          <w:bCs w:val="0"/>
          <w:szCs w:val="24"/>
        </w:rPr>
        <w:t xml:space="preserve">2.报价一览表</w:t>
      </w:r>
      <w:r>
        <w:tab/>
      </w:r>
      <w:r>
        <w:fldChar w:fldCharType="begin"/>
      </w:r>
      <w:r>
        <w:instrText xml:space="preserve"> PAGEREF _Toc2673 \h </w:instrText>
      </w:r>
      <w:r>
        <w:fldChar w:fldCharType="separate"/>
      </w:r>
      <w:r>
        <w:t xml:space="preserve">43</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_Toc9927 </w:instrText>
      </w:r>
      <w:r>
        <w:rPr>
          <w:rFonts w:hint="eastAsia" w:ascii="微软雅黑" w:hAnsi="微软雅黑" w:cs="微软雅黑"/>
        </w:rPr>
        <w:fldChar w:fldCharType="separate"/>
      </w:r>
      <w:r>
        <w:rPr>
          <w:rFonts w:hint="eastAsia" w:ascii="微软雅黑" w:hAnsi="微软雅黑" w:cs="微软雅黑"/>
          <w:bCs w:val="0"/>
          <w:szCs w:val="24"/>
        </w:rPr>
        <w:t xml:space="preserve">3.</w:t>
      </w:r>
      <w:r>
        <w:rPr>
          <w:rFonts w:hint="eastAsia"/>
        </w:rPr>
        <w:t xml:space="preserve">响应报价明细表</w:t>
      </w:r>
      <w:r>
        <w:tab/>
      </w:r>
      <w:r>
        <w:fldChar w:fldCharType="begin"/>
      </w:r>
      <w:r>
        <w:instrText xml:space="preserve"> PAGEREF _Toc9927 \h </w:instrText>
      </w:r>
      <w:r>
        <w:fldChar w:fldCharType="separate"/>
      </w:r>
      <w:r>
        <w:t xml:space="preserve">44</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_Toc26434 </w:instrText>
      </w:r>
      <w:r>
        <w:rPr>
          <w:rFonts w:hint="eastAsia" w:ascii="微软雅黑" w:hAnsi="微软雅黑" w:cs="微软雅黑"/>
        </w:rPr>
        <w:fldChar w:fldCharType="separate"/>
      </w:r>
      <w:r>
        <w:rPr>
          <w:rFonts w:hint="eastAsia" w:ascii="微软雅黑" w:hAnsi="微软雅黑" w:cs="微软雅黑"/>
          <w:bCs w:val="0"/>
          <w:szCs w:val="24"/>
        </w:rPr>
        <w:t xml:space="preserve">4.服务要求响应表</w:t>
      </w:r>
      <w:r>
        <w:tab/>
      </w:r>
      <w:r>
        <w:fldChar w:fldCharType="begin"/>
      </w:r>
      <w:r>
        <w:instrText xml:space="preserve"> PAGEREF _Toc26434 \h </w:instrText>
      </w:r>
      <w:r>
        <w:fldChar w:fldCharType="separate"/>
      </w:r>
      <w:r>
        <w:t xml:space="preserve">45</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_Toc5132 </w:instrText>
      </w:r>
      <w:r>
        <w:rPr>
          <w:rFonts w:hint="eastAsia" w:ascii="微软雅黑" w:hAnsi="微软雅黑" w:cs="微软雅黑"/>
        </w:rPr>
        <w:fldChar w:fldCharType="separate"/>
      </w:r>
      <w:r>
        <w:rPr>
          <w:rFonts w:hint="eastAsia" w:ascii="微软雅黑" w:hAnsi="微软雅黑" w:cs="微软雅黑"/>
          <w:bCs w:val="0"/>
          <w:szCs w:val="24"/>
        </w:rPr>
        <w:t xml:space="preserve">5.商务要求响应表</w:t>
      </w:r>
      <w:r>
        <w:tab/>
      </w:r>
      <w:r>
        <w:fldChar w:fldCharType="begin"/>
      </w:r>
      <w:r>
        <w:instrText xml:space="preserve"> PAGEREF _Toc5132 \h </w:instrText>
      </w:r>
      <w:r>
        <w:fldChar w:fldCharType="separate"/>
      </w:r>
      <w:r>
        <w:t xml:space="preserve">46</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_Toc30442 </w:instrText>
      </w:r>
      <w:r>
        <w:rPr>
          <w:rFonts w:hint="eastAsia" w:ascii="微软雅黑" w:hAnsi="微软雅黑" w:cs="微软雅黑"/>
        </w:rPr>
        <w:fldChar w:fldCharType="separate"/>
      </w:r>
      <w:r>
        <w:rPr>
          <w:rFonts w:hint="eastAsia" w:ascii="微软雅黑" w:hAnsi="微软雅黑" w:cs="微软雅黑"/>
          <w:bCs w:val="0"/>
          <w:szCs w:val="24"/>
        </w:rPr>
        <w:t xml:space="preserve">6.项目实施方案</w:t>
      </w:r>
      <w:r>
        <w:tab/>
      </w:r>
      <w:r>
        <w:fldChar w:fldCharType="begin"/>
      </w:r>
      <w:r>
        <w:instrText xml:space="preserve"> PAGEREF _Toc30442 \h </w:instrText>
      </w:r>
      <w:r>
        <w:fldChar w:fldCharType="separate"/>
      </w:r>
      <w:r>
        <w:t xml:space="preserve">47</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_Toc14029 </w:instrText>
      </w:r>
      <w:r>
        <w:rPr>
          <w:rFonts w:hint="eastAsia" w:ascii="微软雅黑" w:hAnsi="微软雅黑" w:cs="微软雅黑"/>
        </w:rPr>
        <w:fldChar w:fldCharType="separate"/>
      </w:r>
      <w:r>
        <w:rPr>
          <w:rFonts w:hint="eastAsia" w:ascii="微软雅黑" w:hAnsi="微软雅黑" w:cs="微软雅黑"/>
          <w:bCs w:val="0"/>
          <w:szCs w:val="24"/>
        </w:rPr>
        <w:t xml:space="preserve">7.服务方案</w:t>
      </w:r>
      <w:r>
        <w:tab/>
      </w:r>
      <w:r>
        <w:fldChar w:fldCharType="begin"/>
      </w:r>
      <w:r>
        <w:instrText xml:space="preserve"> PAGEREF _Toc14029 \h </w:instrText>
      </w:r>
      <w:r>
        <w:fldChar w:fldCharType="separate"/>
      </w:r>
      <w:r>
        <w:t xml:space="preserve">47</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_Toc4379 </w:instrText>
      </w:r>
      <w:r>
        <w:rPr>
          <w:rFonts w:hint="eastAsia" w:ascii="微软雅黑" w:hAnsi="微软雅黑" w:cs="微软雅黑"/>
        </w:rPr>
        <w:fldChar w:fldCharType="separate"/>
      </w:r>
      <w:r>
        <w:rPr>
          <w:rFonts w:hint="eastAsia" w:ascii="微软雅黑" w:hAnsi="微软雅黑" w:cs="微软雅黑"/>
          <w:bCs w:val="0"/>
          <w:szCs w:val="24"/>
        </w:rPr>
        <w:t xml:space="preserve">8.经营业绩（提供合同复印件）</w:t>
      </w:r>
      <w:r>
        <w:tab/>
      </w:r>
      <w:r>
        <w:fldChar w:fldCharType="begin"/>
      </w:r>
      <w:r>
        <w:instrText xml:space="preserve"> PAGEREF _Toc4379 \h </w:instrText>
      </w:r>
      <w:r>
        <w:fldChar w:fldCharType="separate"/>
      </w:r>
      <w:r>
        <w:t xml:space="preserve">47</w:t>
      </w:r>
      <w:r>
        <w:fldChar w:fldCharType="end"/>
      </w:r>
      <w:r>
        <w:rPr>
          <w:rFonts w:hint="eastAsia" w:ascii="微软雅黑" w:hAnsi="微软雅黑" w:cs="微软雅黑"/>
        </w:rPr>
        <w:fldChar w:fldCharType="end"/>
      </w:r>
      <w:r/>
    </w:p>
    <w:p>
      <w:pPr>
        <w:pStyle w:val="972"/>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_Toc31234 </w:instrText>
      </w:r>
      <w:r>
        <w:rPr>
          <w:rFonts w:hint="eastAsia" w:ascii="微软雅黑" w:hAnsi="微软雅黑" w:cs="微软雅黑"/>
        </w:rPr>
        <w:fldChar w:fldCharType="separate"/>
      </w:r>
      <w:r>
        <w:rPr>
          <w:rFonts w:hint="eastAsia" w:ascii="微软雅黑" w:hAnsi="微软雅黑" w:cs="微软雅黑"/>
        </w:rPr>
        <w:t xml:space="preserve">二、相关附表格式</w:t>
      </w:r>
      <w:r>
        <w:tab/>
      </w:r>
      <w:r>
        <w:fldChar w:fldCharType="begin"/>
      </w:r>
      <w:r>
        <w:instrText xml:space="preserve"> PAGEREF _Toc31234 \h </w:instrText>
      </w:r>
      <w:r>
        <w:fldChar w:fldCharType="separate"/>
      </w:r>
      <w:r>
        <w:t xml:space="preserve">48</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_Toc18127 </w:instrText>
      </w:r>
      <w:r>
        <w:rPr>
          <w:rFonts w:hint="eastAsia" w:ascii="微软雅黑" w:hAnsi="微软雅黑" w:cs="微软雅黑"/>
        </w:rPr>
        <w:fldChar w:fldCharType="separate"/>
      </w:r>
      <w:r>
        <w:rPr>
          <w:rFonts w:hint="eastAsia" w:ascii="微软雅黑" w:hAnsi="微软雅黑" w:cs="微软雅黑"/>
          <w:bCs w:val="0"/>
          <w:szCs w:val="24"/>
        </w:rPr>
        <w:t xml:space="preserve">1.法人授权委托书</w:t>
      </w:r>
      <w:r>
        <w:tab/>
      </w:r>
      <w:r>
        <w:fldChar w:fldCharType="begin"/>
      </w:r>
      <w:r>
        <w:instrText xml:space="preserve"> PAGEREF _Toc18127 \h </w:instrText>
      </w:r>
      <w:r>
        <w:fldChar w:fldCharType="separate"/>
      </w:r>
      <w:r>
        <w:t xml:space="preserve">48</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_Toc15629 </w:instrText>
      </w:r>
      <w:r>
        <w:rPr>
          <w:rFonts w:hint="eastAsia" w:ascii="微软雅黑" w:hAnsi="微软雅黑" w:cs="微软雅黑"/>
        </w:rPr>
        <w:fldChar w:fldCharType="separate"/>
      </w:r>
      <w:r>
        <w:rPr>
          <w:rFonts w:hint="eastAsia" w:ascii="微软雅黑" w:hAnsi="微软雅黑" w:cs="微软雅黑"/>
          <w:bCs w:val="0"/>
          <w:szCs w:val="24"/>
        </w:rPr>
        <w:t xml:space="preserve">2.声明（参考格式）</w:t>
      </w:r>
      <w:r>
        <w:tab/>
      </w:r>
      <w:r>
        <w:fldChar w:fldCharType="begin"/>
      </w:r>
      <w:r>
        <w:instrText xml:space="preserve"> PAGEREF _Toc15629 \h </w:instrText>
      </w:r>
      <w:r>
        <w:fldChar w:fldCharType="separate"/>
      </w:r>
      <w:r>
        <w:t xml:space="preserve">49</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_Toc10960 </w:instrText>
      </w:r>
      <w:r>
        <w:rPr>
          <w:rFonts w:hint="eastAsia" w:ascii="微软雅黑" w:hAnsi="微软雅黑" w:cs="微软雅黑"/>
        </w:rPr>
        <w:fldChar w:fldCharType="separate"/>
      </w:r>
      <w:r>
        <w:rPr>
          <w:rFonts w:hint="eastAsia" w:ascii="微软雅黑" w:hAnsi="微软雅黑" w:cs="微软雅黑"/>
          <w:bCs w:val="0"/>
          <w:szCs w:val="24"/>
        </w:rPr>
        <w:t xml:space="preserve">3.承诺（参考格式）</w:t>
      </w:r>
      <w:r>
        <w:tab/>
      </w:r>
      <w:r>
        <w:fldChar w:fldCharType="begin"/>
      </w:r>
      <w:r>
        <w:instrText xml:space="preserve"> PAGEREF _Toc10960 \h </w:instrText>
      </w:r>
      <w:r>
        <w:fldChar w:fldCharType="separate"/>
      </w:r>
      <w:r>
        <w:t xml:space="preserve">50</w:t>
      </w:r>
      <w:r>
        <w:fldChar w:fldCharType="end"/>
      </w:r>
      <w:r>
        <w:rPr>
          <w:rFonts w:hint="eastAsia" w:ascii="微软雅黑" w:hAnsi="微软雅黑" w:cs="微软雅黑"/>
        </w:rPr>
        <w:fldChar w:fldCharType="end"/>
      </w:r>
      <w:r/>
    </w:p>
    <w:p>
      <w:pPr>
        <w:pStyle w:val="94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_Toc31939 </w:instrText>
      </w:r>
      <w:r>
        <w:rPr>
          <w:rFonts w:hint="eastAsia" w:ascii="微软雅黑" w:hAnsi="微软雅黑" w:cs="微软雅黑"/>
        </w:rPr>
        <w:fldChar w:fldCharType="separate"/>
      </w:r>
      <w:r>
        <w:rPr>
          <w:rFonts w:hint="eastAsia" w:ascii="微软雅黑" w:hAnsi="微软雅黑" w:cs="微软雅黑"/>
          <w:bCs w:val="0"/>
          <w:szCs w:val="24"/>
        </w:rPr>
        <w:t xml:space="preserve">附件1.中小企业声明函</w:t>
      </w:r>
      <w:r>
        <w:tab/>
      </w:r>
      <w:r>
        <w:fldChar w:fldCharType="begin"/>
      </w:r>
      <w:r>
        <w:instrText xml:space="preserve"> PAGEREF _Toc31939 \h </w:instrText>
      </w:r>
      <w:r>
        <w:fldChar w:fldCharType="separate"/>
      </w:r>
      <w:r>
        <w:t xml:space="preserve">51</w:t>
      </w:r>
      <w:r>
        <w:fldChar w:fldCharType="end"/>
      </w:r>
      <w:r>
        <w:rPr>
          <w:rFonts w:hint="eastAsia" w:ascii="微软雅黑" w:hAnsi="微软雅黑" w:cs="微软雅黑"/>
        </w:rPr>
        <w:fldChar w:fldCharType="end"/>
      </w:r>
      <w:r/>
    </w:p>
    <w:p>
      <w:pPr>
        <w:pStyle w:val="928"/>
        <w:spacing w:line="360" w:lineRule="exact"/>
        <w:rPr>
          <w:rFonts w:hint="eastAsia" w:ascii="微软雅黑" w:hAnsi="微软雅黑" w:cs="微软雅黑"/>
        </w:rPr>
      </w:pPr>
      <w:r>
        <w:rPr>
          <w:rFonts w:hint="eastAsia" w:ascii="微软雅黑" w:hAnsi="微软雅黑" w:cs="微软雅黑"/>
        </w:rPr>
        <w:fldChar w:fldCharType="end"/>
      </w:r>
      <w:r>
        <w:rPr>
          <w:rFonts w:hint="eastAsia" w:ascii="微软雅黑" w:hAnsi="微软雅黑" w:cs="微软雅黑"/>
        </w:rPr>
      </w:r>
      <w:r/>
    </w:p>
    <w:p>
      <w:pPr>
        <w:pStyle w:val="1141"/>
        <w:spacing w:line="360" w:lineRule="exact"/>
        <w:rPr>
          <w:rStyle w:val="986"/>
          <w:rFonts w:hint="eastAsia" w:ascii="微软雅黑" w:hAnsi="微软雅黑" w:cs="微软雅黑"/>
          <w:bCs/>
          <w:sz w:val="32"/>
          <w:szCs w:val="32"/>
        </w:rPr>
      </w:pPr>
      <w:r>
        <w:rPr>
          <w:rFonts w:hint="eastAsia" w:ascii="微软雅黑" w:hAnsi="微软雅黑" w:cs="微软雅黑"/>
          <w:sz w:val="24"/>
          <w:szCs w:val="24"/>
        </w:rPr>
        <w:br w:type="page" w:clear="all"/>
      </w:r>
      <w:bookmarkStart w:id="3" w:name="_Toc19242"/>
      <w:r>
        <w:rPr>
          <w:rFonts w:hint="eastAsia" w:ascii="微软雅黑" w:hAnsi="微软雅黑" w:cs="微软雅黑"/>
          <w:bCs w:val="0"/>
          <w:szCs w:val="32"/>
        </w:rPr>
        <w:t xml:space="preserve">第一章 磋商邀请（采购公告</w:t>
      </w:r>
      <w:bookmarkEnd w:id="0"/>
      <w:r>
        <w:rPr>
          <w:rFonts w:hint="eastAsia" w:ascii="微软雅黑" w:hAnsi="微软雅黑" w:cs="微软雅黑"/>
          <w:bCs w:val="0"/>
          <w:szCs w:val="32"/>
        </w:rPr>
        <w:t xml:space="preserve">）</w:t>
      </w:r>
      <w:bookmarkEnd w:id="1"/>
      <w:r/>
      <w:bookmarkEnd w:id="3"/>
      <w:r>
        <w:rPr>
          <w:rStyle w:val="986"/>
          <w:rFonts w:hint="eastAsia" w:ascii="微软雅黑" w:hAnsi="微软雅黑" w:cs="微软雅黑"/>
          <w:bCs/>
          <w:sz w:val="32"/>
          <w:szCs w:val="32"/>
        </w:rPr>
      </w:r>
      <w:r/>
    </w:p>
    <w:p>
      <w:pPr>
        <w:pStyle w:val="928"/>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rPr>
          <w:rFonts w:hint="eastAsia" w:ascii="微软雅黑" w:hAnsi="微软雅黑" w:cs="微软雅黑"/>
          <w:szCs w:val="21"/>
        </w:rPr>
      </w:r>
      <w:r/>
    </w:p>
    <w:p>
      <w:pPr>
        <w:pStyle w:val="928"/>
        <w:ind w:firstLine="420"/>
        <w:spacing w:line="44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szCs w:val="21"/>
          <w:u w:val="single"/>
        </w:rPr>
        <w:t xml:space="preserve">（江宁经济技术开发区人民法院无纸</w:t>
      </w:r>
      <w:r>
        <w:rPr>
          <w:rFonts w:hint="eastAsia" w:ascii="微软雅黑" w:hAnsi="微软雅黑" w:cs="微软雅黑"/>
          <w:color w:val="000000"/>
          <w:szCs w:val="21"/>
          <w:highlight w:val="none"/>
          <w:u w:val="single"/>
        </w:rPr>
        <w:t xml:space="preserve">化外包服务）</w:t>
      </w:r>
      <w:r>
        <w:rPr>
          <w:rFonts w:hint="eastAsia" w:ascii="微软雅黑" w:hAnsi="微软雅黑" w:cs="微软雅黑"/>
          <w:color w:val="000000"/>
          <w:szCs w:val="21"/>
          <w:highlight w:val="none"/>
        </w:rPr>
        <w:t xml:space="preserve">项目的潜在响应供应商应在</w:t>
      </w:r>
      <w:r>
        <w:rPr>
          <w:rFonts w:hint="eastAsia" w:ascii="微软雅黑" w:hAnsi="微软雅黑" w:cs="微软雅黑"/>
          <w:color w:val="000000"/>
          <w:szCs w:val="21"/>
          <w:highlight w:val="none"/>
          <w:u w:val="single"/>
        </w:rPr>
        <w:t xml:space="preserve">江苏省政府采购管理交易系统（苏采云）</w:t>
      </w:r>
      <w:r>
        <w:rPr>
          <w:rFonts w:hint="eastAsia" w:ascii="微软雅黑" w:hAnsi="微软雅黑" w:cs="微软雅黑"/>
          <w:color w:val="000000"/>
          <w:szCs w:val="21"/>
          <w:highlight w:val="none"/>
        </w:rPr>
        <w:t xml:space="preserve">获取采购文件，并于2026年06月</w:t>
      </w:r>
      <w:r>
        <w:rPr>
          <w:rFonts w:hint="eastAsia" w:ascii="微软雅黑" w:hAnsi="微软雅黑" w:cs="微软雅黑"/>
          <w:color w:val="000000"/>
          <w:szCs w:val="21"/>
          <w:highlight w:val="none"/>
          <w:lang w:val="en-US" w:eastAsia="zh-CN"/>
        </w:rPr>
        <w:t xml:space="preserve">23</w:t>
      </w: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09</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30</w:t>
      </w:r>
      <w:r>
        <w:rPr>
          <w:rFonts w:hint="eastAsia" w:ascii="微软雅黑" w:hAnsi="微软雅黑" w:cs="微软雅黑"/>
          <w:color w:val="000000"/>
          <w:szCs w:val="21"/>
          <w:highlight w:val="none"/>
        </w:rPr>
        <w:t xml:space="preserve">:00</w:t>
      </w:r>
      <w:r>
        <w:rPr>
          <w:rFonts w:hint="eastAsia" w:ascii="微软雅黑" w:hAnsi="微软雅黑" w:cs="微软雅黑"/>
          <w:bCs/>
          <w:color w:val="000000"/>
          <w:szCs w:val="21"/>
          <w:highlight w:val="none"/>
        </w:rPr>
        <w:t xml:space="preserve">（北京时间）前递交响应文件</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928"/>
        <w:shd w:val="clear" w:color="auto" w:fill="auto"/>
        <w:rPr>
          <w:rFonts w:hint="eastAsia" w:ascii="微软雅黑" w:hAnsi="微软雅黑" w:cs="微软雅黑"/>
          <w:b/>
          <w:bCs/>
          <w:color w:val="000000"/>
          <w:highlight w:val="none"/>
        </w:rPr>
      </w:pPr>
      <w:r/>
      <w:bookmarkStart w:id="4" w:name="_Toc35393790"/>
      <w:r/>
      <w:bookmarkStart w:id="5" w:name="_Toc35393621"/>
      <w:r/>
      <w:bookmarkStart w:id="6" w:name="_Toc28359079"/>
      <w:r/>
      <w:bookmarkStart w:id="7" w:name="_Toc5452"/>
      <w:r/>
      <w:bookmarkStart w:id="8" w:name="_Toc28359002"/>
      <w:r/>
      <w:bookmarkStart w:id="9" w:name="_Hlk24379207"/>
      <w:r>
        <w:rPr>
          <w:rFonts w:hint="eastAsia" w:ascii="微软雅黑" w:hAnsi="微软雅黑" w:cs="微软雅黑"/>
          <w:b/>
          <w:bCs/>
          <w:color w:val="000000"/>
          <w:highlight w:val="none"/>
        </w:rPr>
        <w:t xml:space="preserve">一、项目基本情况</w:t>
      </w:r>
      <w:bookmarkEnd w:id="4"/>
      <w:r/>
      <w:bookmarkEnd w:id="5"/>
      <w:r/>
      <w:bookmarkEnd w:id="6"/>
      <w:r/>
      <w:bookmarkEnd w:id="7"/>
      <w:r/>
      <w:bookmarkEnd w:id="8"/>
      <w:r>
        <w:rPr>
          <w:rFonts w:hint="eastAsia" w:ascii="微软雅黑" w:hAnsi="微软雅黑" w:cs="微软雅黑"/>
          <w:b/>
          <w:bCs/>
          <w:color w:val="000000"/>
          <w:highlight w:val="none"/>
        </w:rPr>
      </w:r>
      <w:r/>
    </w:p>
    <w:p>
      <w:pPr>
        <w:pStyle w:val="928"/>
        <w:ind w:firstLine="420"/>
        <w:spacing w:line="420" w:lineRule="exact"/>
        <w:shd w:val="clear" w:color="auto" w:fill="auto"/>
        <w:rPr>
          <w:rFonts w:hint="eastAsia" w:ascii="微软雅黑" w:hAnsi="微软雅黑" w:eastAsia="微软雅黑" w:cs="微软雅黑"/>
          <w:color w:val="000000"/>
          <w:szCs w:val="21"/>
          <w:highlight w:val="none"/>
          <w:lang w:eastAsia="zh-CN"/>
        </w:rPr>
      </w:pPr>
      <w:r>
        <w:rPr>
          <w:rFonts w:hint="eastAsia" w:ascii="微软雅黑" w:hAnsi="微软雅黑" w:cs="微软雅黑"/>
          <w:color w:val="000000"/>
          <w:szCs w:val="21"/>
          <w:highlight w:val="none"/>
        </w:rPr>
        <w:t xml:space="preserve">项目编号：</w:t>
      </w:r>
      <w:r>
        <w:rPr>
          <w:rFonts w:hint="eastAsia" w:ascii="微软雅黑" w:hAnsi="微软雅黑" w:cs="微软雅黑"/>
          <w:color w:val="000000"/>
          <w:szCs w:val="21"/>
          <w:highlight w:val="none"/>
          <w:lang w:eastAsia="zh-CN"/>
        </w:rPr>
        <w:t xml:space="preserve">JSZC-320115-JSHC-C2026-0019</w:t>
      </w:r>
      <w:r>
        <w:rPr>
          <w:rFonts w:hint="eastAsia" w:ascii="微软雅黑" w:hAnsi="微软雅黑" w:eastAsia="微软雅黑" w:cs="微软雅黑"/>
          <w:color w:val="000000"/>
          <w:szCs w:val="21"/>
          <w:highlight w:val="none"/>
          <w:lang w:eastAsia="zh-CN"/>
        </w:rPr>
      </w:r>
      <w:r/>
    </w:p>
    <w:p>
      <w:pPr>
        <w:pStyle w:val="928"/>
        <w:ind w:firstLine="126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（代理机构内部编号：JSHC-2026050359B2）</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项目名称：江宁经济技术开发区人民法院无纸化外包服务</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bookmarkEnd w:id="9"/>
      <w:r>
        <w:rPr>
          <w:rFonts w:hint="eastAsia" w:ascii="微软雅黑" w:hAnsi="微软雅黑" w:cs="微软雅黑"/>
          <w:color w:val="000000"/>
          <w:szCs w:val="21"/>
          <w:highlight w:val="none"/>
        </w:rPr>
        <w:t xml:space="preserve">预算金额：</w:t>
      </w:r>
      <w:bookmarkStart w:id="10" w:name="OLE_LINK4"/>
      <w:r>
        <w:rPr>
          <w:rFonts w:hint="eastAsia" w:ascii="微软雅黑" w:hAnsi="微软雅黑" w:cs="微软雅黑"/>
          <w:color w:val="000000"/>
          <w:szCs w:val="21"/>
          <w:highlight w:val="none"/>
        </w:rPr>
        <w:t xml:space="preserve">人民币壹佰玖拾壹万元整/年（￥191万元/年）</w:t>
      </w:r>
      <w:bookmarkEnd w:id="10"/>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最高限价：人民币壹佰玖拾壹万元整/年（￥191万元/年）</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资金来源：财政性资金</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购需求：江宁经济技术开发区人民法院总结各地法院建设经验的基础，并结合自身工作实际需要，采用“集中扫描、集中管理、集中归档”模式，对法院的卷宗材料进行全流程“无纸化”集约式管理。由供应商提供全院所有案件立案阶段纸质材料数字化、审理过程中纸质材料数字化、中间库材料保管、结案卷宗整理质检、归档装订等五个环节集约化服务。</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合同履行期限：自合同签订之日起一年。本项目采取一次招标三年沿用、实行一年一签合同的办法。</w:t>
      </w:r>
      <w:r>
        <w:rPr>
          <w:rFonts w:hint="eastAsia" w:ascii="微软雅黑" w:hAnsi="微软雅黑" w:cs="微软雅黑"/>
          <w:color w:val="000000"/>
          <w:szCs w:val="21"/>
          <w:highlight w:val="none"/>
        </w:rPr>
      </w:r>
      <w:r/>
    </w:p>
    <w:p>
      <w:pPr>
        <w:pStyle w:val="928"/>
        <w:ind w:firstLine="420"/>
        <w:spacing w:line="420" w:lineRule="exact"/>
        <w:shd w:val="clear" w:color="auto" w:fill="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w:t>
      </w:r>
      <w:r>
        <w:rPr>
          <w:rFonts w:hint="eastAsia" w:ascii="微软雅黑" w:hAnsi="微软雅黑" w:cs="微软雅黑"/>
          <w:i/>
          <w:color w:val="000000"/>
          <w:szCs w:val="21"/>
          <w:highlight w:val="none"/>
        </w:rPr>
        <w:t xml:space="preserve">是/否</w:t>
      </w:r>
      <w:r>
        <w:rPr>
          <w:rFonts w:hint="eastAsia" w:ascii="微软雅黑" w:hAnsi="微软雅黑" w:cs="微软雅黑"/>
          <w:color w:val="000000"/>
          <w:szCs w:val="21"/>
          <w:highlight w:val="none"/>
        </w:rPr>
        <w:t xml:space="preserve">）接受联合体：</w:t>
      </w:r>
      <w:r>
        <w:rPr>
          <w:rFonts w:hint="eastAsia" w:ascii="微软雅黑" w:hAnsi="微软雅黑" w:cs="微软雅黑"/>
          <w:b/>
          <w:bCs/>
          <w:color w:val="000000"/>
          <w:szCs w:val="21"/>
          <w:highlight w:val="none"/>
        </w:rPr>
        <w:t xml:space="preserve">否</w:t>
      </w:r>
      <w:r>
        <w:rPr>
          <w:rFonts w:hint="eastAsia" w:ascii="微软雅黑" w:hAnsi="微软雅黑" w:cs="微软雅黑"/>
          <w:color w:val="000000"/>
          <w:szCs w:val="21"/>
          <w:highlight w:val="none"/>
        </w:rPr>
      </w:r>
      <w:r/>
    </w:p>
    <w:p>
      <w:pPr>
        <w:pStyle w:val="928"/>
        <w:numPr>
          <w:ilvl w:val="0"/>
          <w:numId w:val="5"/>
        </w:numPr>
        <w:rPr>
          <w:rFonts w:hint="eastAsia" w:ascii="微软雅黑" w:hAnsi="微软雅黑" w:cs="微软雅黑"/>
          <w:b/>
          <w:bCs/>
        </w:rPr>
      </w:pPr>
      <w:r/>
      <w:bookmarkStart w:id="11" w:name="_Toc35393622"/>
      <w:r/>
      <w:bookmarkStart w:id="12" w:name="_Toc28359003"/>
      <w:r/>
      <w:bookmarkStart w:id="13" w:name="_Toc35393791"/>
      <w:r/>
      <w:bookmarkStart w:id="14" w:name="_Toc18689"/>
      <w:r/>
      <w:bookmarkStart w:id="15" w:name="_Toc28359080"/>
      <w:r>
        <w:rPr>
          <w:rFonts w:hint="eastAsia" w:ascii="微软雅黑" w:hAnsi="微软雅黑" w:cs="微软雅黑"/>
          <w:b/>
          <w:bCs/>
        </w:rPr>
        <w:t xml:space="preserve">申请人的资格要求：</w:t>
      </w:r>
      <w:bookmarkEnd w:id="11"/>
      <w:r/>
      <w:bookmarkEnd w:id="12"/>
      <w:r/>
      <w:bookmarkEnd w:id="13"/>
      <w:r/>
      <w:bookmarkEnd w:id="14"/>
      <w:r/>
      <w:bookmarkEnd w:id="15"/>
      <w:r>
        <w:rPr>
          <w:rFonts w:hint="eastAsia" w:ascii="微软雅黑" w:hAnsi="微软雅黑" w:cs="微软雅黑"/>
          <w:b/>
          <w:bCs/>
        </w:rPr>
      </w:r>
      <w:r/>
    </w:p>
    <w:p>
      <w:pPr>
        <w:pStyle w:val="928"/>
        <w:rPr>
          <w:rFonts w:hint="eastAsia" w:ascii="微软雅黑" w:hAnsi="微软雅黑" w:cs="微软雅黑"/>
          <w:b/>
          <w:bCs/>
        </w:rPr>
      </w:pPr>
      <w:r>
        <w:rPr>
          <w:rFonts w:hint="eastAsia" w:ascii="微软雅黑" w:hAnsi="微软雅黑" w:cs="微软雅黑"/>
          <w:szCs w:val="21"/>
        </w:rPr>
        <w:t xml:space="preserve">（一）满足《中华人民共和国政府采购法》第二十二条规定；</w:t>
      </w:r>
      <w:r>
        <w:rPr>
          <w:rFonts w:hint="eastAsia" w:ascii="微软雅黑" w:hAnsi="微软雅黑" w:cs="微软雅黑"/>
          <w:b/>
          <w:bCs/>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1.符合《政府采购法》第二十二条的相关规定，供应商提供《南京市政府采购供应商信用记录表暨信用承诺书》。</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其中不适用信用承诺的情形：</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（一）供应商被列入严重失信主体名单：</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（二）被相关监督部门作出行政处罚且尚处在处罚有效期内：</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（三）其他法律、行政法规规定的不适用信用承诺的情形。</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凡在南京地区参加政府采购活动的供应商，在参加政府采购活动前应当在“南京政府采购供应商诚信档案管理系统”内进行注册登记。供应商应在递交响应文件的同时，提交供应商诚信档案管理系统中打印的“南京市政府采购供应商信用记录表暨信用承诺书”。</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2.响应供应商须提供法定代表人授权书原件、法定代表人身份证复印件、授权代表身份证复印件（如果是法定代表人直接参与响应的可以不提供授权书）。</w:t>
      </w:r>
      <w:r>
        <w:rPr>
          <w:rFonts w:hint="eastAsia" w:ascii="微软雅黑" w:hAnsi="微软雅黑" w:cs="微软雅黑"/>
          <w:szCs w:val="21"/>
        </w:rPr>
      </w:r>
      <w:r/>
    </w:p>
    <w:p>
      <w:pPr>
        <w:pStyle w:val="928"/>
        <w:ind w:firstLine="420"/>
        <w:spacing w:line="420" w:lineRule="exact"/>
        <w:rPr>
          <w:rFonts w:hint="eastAsia" w:ascii="微软雅黑" w:hAnsi="微软雅黑" w:cs="微软雅黑"/>
          <w:color w:val="000000"/>
          <w:szCs w:val="21"/>
          <w:highlight w:val="none"/>
        </w:rPr>
      </w:pPr>
      <w:r/>
      <w:bookmarkStart w:id="16" w:name="_Toc28359004"/>
      <w:r/>
      <w:bookmarkStart w:id="17" w:name="_Toc28359081"/>
      <w:r>
        <w:rPr>
          <w:rFonts w:hint="eastAsia" w:ascii="微软雅黑" w:hAnsi="微软雅黑" w:cs="微软雅黑"/>
          <w:szCs w:val="21"/>
        </w:rPr>
        <w:t xml:space="preserve">（二）落实政府采购政策需满足的资格要求</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92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本项目为专门面向中小企业采购的项目，响应供应商须提供《中小企业声明函》，残疾人福利单位、监狱企业视同为小型和微型企业（提供相应证明材料）。</w:t>
      </w:r>
      <w:r>
        <w:rPr>
          <w:rFonts w:hint="eastAsia" w:ascii="微软雅黑" w:hAnsi="微软雅黑" w:cs="微软雅黑"/>
          <w:color w:val="000000"/>
          <w:szCs w:val="21"/>
          <w:highlight w:val="none"/>
        </w:rPr>
      </w:r>
      <w:r/>
    </w:p>
    <w:p>
      <w:pPr>
        <w:pStyle w:val="974"/>
        <w:ind w:firstLine="420"/>
        <w:spacing w:before="0" w:beforeAutospacing="0" w:after="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（三）本项目的特定资格要求： </w:t>
      </w:r>
      <w:r>
        <w:rPr>
          <w:rFonts w:hint="eastAsia" w:ascii="微软雅黑" w:hAnsi="微软雅黑" w:eastAsia="微软雅黑" w:cs="微软雅黑"/>
          <w:color w:val="000000"/>
          <w:sz w:val="21"/>
          <w:szCs w:val="21"/>
          <w:highlight w:val="none"/>
        </w:rPr>
      </w:r>
      <w:r/>
    </w:p>
    <w:p>
      <w:pPr>
        <w:pStyle w:val="92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1.拒绝下述供应商参加本次采购活动：</w:t>
      </w:r>
      <w:r>
        <w:rPr>
          <w:rFonts w:hint="eastAsia" w:ascii="微软雅黑" w:hAnsi="微软雅黑" w:cs="微软雅黑"/>
          <w:color w:val="000000"/>
          <w:szCs w:val="21"/>
          <w:highlight w:val="none"/>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color w:val="000000"/>
          <w:szCs w:val="21"/>
          <w:highlight w:val="none"/>
        </w:rPr>
        <w:t xml:space="preserve">1.1为采购项目提供整体设计、规范编制或者项目</w:t>
      </w:r>
      <w:r>
        <w:rPr>
          <w:rFonts w:hint="eastAsia" w:ascii="微软雅黑" w:hAnsi="微软雅黑" w:cs="微软雅黑"/>
          <w:szCs w:val="21"/>
        </w:rPr>
        <w:t xml:space="preserve">管理、监理、检测等服务的；</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1.2供应商单位负责人为同一人或者存在直接控股、管理关系的不同供应商，不得参加同一合同项下的采购活动；</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1.3被“信用中国”网站(www.creditchina.gov.cn)或中国政府采购网(www.ccgp.gov.cn)列入失信被执行人、重大税收违法失信主体、政府采购严重违法失信行为记录名单的。</w:t>
      </w:r>
      <w:r>
        <w:rPr>
          <w:rFonts w:hint="eastAsia" w:ascii="微软雅黑" w:hAnsi="微软雅黑" w:cs="微软雅黑"/>
          <w:szCs w:val="21"/>
        </w:rPr>
      </w:r>
      <w:r/>
    </w:p>
    <w:p>
      <w:pPr>
        <w:pStyle w:val="928"/>
        <w:rPr>
          <w:rFonts w:hint="eastAsia" w:ascii="微软雅黑" w:hAnsi="微软雅黑" w:cs="微软雅黑"/>
          <w:b/>
          <w:bCs/>
        </w:rPr>
      </w:pPr>
      <w:r/>
      <w:bookmarkStart w:id="18" w:name="_Toc35393792"/>
      <w:r/>
      <w:bookmarkStart w:id="19" w:name="_Toc15914"/>
      <w:r/>
      <w:bookmarkStart w:id="20" w:name="_Toc35393623"/>
      <w:r>
        <w:rPr>
          <w:rFonts w:hint="eastAsia" w:ascii="微软雅黑" w:hAnsi="微软雅黑" w:cs="微软雅黑"/>
          <w:b/>
          <w:bCs/>
        </w:rPr>
        <w:t xml:space="preserve">三、获取采购文件</w:t>
      </w:r>
      <w:bookmarkEnd w:id="16"/>
      <w:r/>
      <w:bookmarkEnd w:id="17"/>
      <w:r/>
      <w:bookmarkEnd w:id="18"/>
      <w:r/>
      <w:bookmarkEnd w:id="19"/>
      <w:r/>
      <w:bookmarkEnd w:id="20"/>
      <w:r>
        <w:rPr>
          <w:rFonts w:hint="eastAsia" w:ascii="微软雅黑" w:hAnsi="微软雅黑" w:cs="微软雅黑"/>
          <w:b/>
          <w:bCs/>
        </w:rPr>
      </w:r>
      <w:r/>
    </w:p>
    <w:p>
      <w:pPr>
        <w:pStyle w:val="928"/>
        <w:ind w:firstLine="420"/>
        <w:spacing w:line="420" w:lineRule="exact"/>
        <w:rPr>
          <w:rFonts w:hint="eastAsia" w:ascii="微软雅黑" w:hAnsi="微软雅黑" w:cs="微软雅黑"/>
          <w:szCs w:val="21"/>
        </w:rPr>
      </w:pPr>
      <w:r/>
      <w:bookmarkStart w:id="21" w:name="_Toc28359082"/>
      <w:r/>
      <w:bookmarkStart w:id="22" w:name="_Toc35393624"/>
      <w:r/>
      <w:bookmarkStart w:id="23" w:name="_Toc35393793"/>
      <w:r/>
      <w:bookmarkStart w:id="24" w:name="_Toc28359005"/>
      <w:r>
        <w:rPr>
          <w:rFonts w:hint="eastAsia" w:ascii="微软雅黑" w:hAnsi="微软雅黑" w:cs="微软雅黑"/>
          <w:szCs w:val="21"/>
        </w:rPr>
        <w:t xml:space="preserve">时间：自公告发布之日起5个工作日</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地点：江苏省政府采购管理交易系统（苏采云）</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方式：自行下载。</w:t>
      </w:r>
      <w:r>
        <w:rPr>
          <w:rFonts w:hint="eastAsia" w:ascii="微软雅黑" w:hAnsi="微软雅黑" w:cs="微软雅黑"/>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售价：0.00元</w:t>
      </w:r>
      <w:r>
        <w:rPr>
          <w:rFonts w:hint="eastAsia" w:ascii="微软雅黑" w:hAnsi="微软雅黑" w:cs="微软雅黑"/>
          <w:szCs w:val="21"/>
        </w:rPr>
      </w:r>
      <w:r/>
    </w:p>
    <w:p>
      <w:pPr>
        <w:pStyle w:val="928"/>
        <w:spacing w:line="420" w:lineRule="exact"/>
        <w:rPr>
          <w:rFonts w:hint="eastAsia" w:ascii="微软雅黑" w:hAnsi="微软雅黑" w:cs="微软雅黑"/>
          <w:b/>
          <w:szCs w:val="21"/>
        </w:rPr>
      </w:pPr>
      <w:r/>
      <w:bookmarkStart w:id="25" w:name="_Toc1219"/>
      <w:r>
        <w:rPr>
          <w:rFonts w:hint="eastAsia" w:ascii="微软雅黑" w:hAnsi="微软雅黑" w:cs="微软雅黑"/>
          <w:b/>
          <w:szCs w:val="21"/>
        </w:rPr>
        <w:t xml:space="preserve">四、</w:t>
      </w:r>
      <w:bookmarkEnd w:id="21"/>
      <w:r/>
      <w:bookmarkEnd w:id="22"/>
      <w:r/>
      <w:bookmarkEnd w:id="23"/>
      <w:r/>
      <w:bookmarkEnd w:id="24"/>
      <w:r/>
      <w:bookmarkEnd w:id="25"/>
      <w:r>
        <w:rPr>
          <w:rFonts w:hint="eastAsia" w:ascii="微软雅黑" w:hAnsi="微软雅黑" w:cs="微软雅黑"/>
          <w:b/>
          <w:szCs w:val="21"/>
        </w:rPr>
        <w:t xml:space="preserve">提交响应文件截止时间、开启时间和地点</w:t>
      </w:r>
      <w:r>
        <w:rPr>
          <w:rFonts w:hint="eastAsia" w:ascii="微软雅黑" w:hAnsi="微软雅黑" w:cs="微软雅黑"/>
          <w:b/>
          <w:szCs w:val="21"/>
        </w:rPr>
      </w:r>
      <w:r/>
    </w:p>
    <w:p>
      <w:pPr>
        <w:pStyle w:val="928"/>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截止时间：</w:t>
      </w:r>
      <w:r>
        <w:rPr>
          <w:rFonts w:hint="eastAsia" w:ascii="微软雅黑" w:hAnsi="微软雅黑" w:cs="微软雅黑"/>
          <w:color w:val="000000"/>
          <w:szCs w:val="21"/>
          <w:highlight w:val="none"/>
        </w:rPr>
        <w:t xml:space="preserve">2026年06月</w:t>
      </w:r>
      <w:r>
        <w:rPr>
          <w:rFonts w:hint="eastAsia" w:ascii="微软雅黑" w:hAnsi="微软雅黑" w:cs="微软雅黑"/>
          <w:color w:val="000000"/>
          <w:szCs w:val="21"/>
          <w:highlight w:val="none"/>
          <w:lang w:val="en-US" w:eastAsia="zh-CN"/>
        </w:rPr>
        <w:t xml:space="preserve">23</w:t>
      </w: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09</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30</w:t>
      </w:r>
      <w:r>
        <w:rPr>
          <w:rFonts w:hint="eastAsia" w:ascii="微软雅黑" w:hAnsi="微软雅黑" w:cs="微软雅黑"/>
          <w:color w:val="000000"/>
          <w:szCs w:val="21"/>
          <w:highlight w:val="none"/>
        </w:rPr>
        <w:t xml:space="preserve">:00</w:t>
      </w:r>
      <w:r>
        <w:rPr>
          <w:rFonts w:hint="eastAsia" w:ascii="微软雅黑" w:hAnsi="微软雅黑" w:cs="微软雅黑"/>
          <w:bCs/>
          <w:szCs w:val="21"/>
        </w:rPr>
        <w:t xml:space="preserve">（北京时间）</w:t>
      </w:r>
      <w:r>
        <w:rPr>
          <w:rFonts w:hint="eastAsia" w:ascii="微软雅黑" w:hAnsi="微软雅黑" w:cs="微软雅黑"/>
          <w:bCs/>
          <w:szCs w:val="21"/>
        </w:rPr>
      </w:r>
      <w:r/>
    </w:p>
    <w:p>
      <w:pPr>
        <w:pStyle w:val="928"/>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开启时间：</w:t>
      </w:r>
      <w:r>
        <w:rPr>
          <w:rFonts w:hint="eastAsia" w:ascii="微软雅黑" w:hAnsi="微软雅黑" w:cs="微软雅黑"/>
          <w:color w:val="000000"/>
          <w:szCs w:val="21"/>
          <w:highlight w:val="none"/>
        </w:rPr>
        <w:t xml:space="preserve">2026年06月</w:t>
      </w:r>
      <w:r>
        <w:rPr>
          <w:rFonts w:hint="eastAsia" w:ascii="微软雅黑" w:hAnsi="微软雅黑" w:cs="微软雅黑"/>
          <w:color w:val="000000"/>
          <w:szCs w:val="21"/>
          <w:highlight w:val="none"/>
          <w:lang w:val="en-US" w:eastAsia="zh-CN"/>
        </w:rPr>
        <w:t xml:space="preserve">23</w:t>
      </w: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09</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30</w:t>
      </w:r>
      <w:r>
        <w:rPr>
          <w:rFonts w:hint="eastAsia" w:ascii="微软雅黑" w:hAnsi="微软雅黑" w:cs="微软雅黑"/>
          <w:color w:val="000000"/>
          <w:szCs w:val="21"/>
          <w:highlight w:val="none"/>
        </w:rPr>
        <w:t xml:space="preserve">:00</w:t>
      </w:r>
      <w:r>
        <w:rPr>
          <w:rFonts w:hint="eastAsia" w:ascii="微软雅黑" w:hAnsi="微软雅黑" w:cs="微软雅黑"/>
          <w:bCs/>
          <w:szCs w:val="21"/>
        </w:rPr>
        <w:t xml:space="preserve">（北京时间）</w:t>
      </w:r>
      <w:r>
        <w:rPr>
          <w:rFonts w:hint="eastAsia" w:ascii="微软雅黑" w:hAnsi="微软雅黑" w:cs="微软雅黑"/>
          <w:bCs/>
          <w:szCs w:val="21"/>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地点：“苏采云”政府采购交易系统网上开标大厅</w:t>
      </w:r>
      <w:r>
        <w:rPr>
          <w:rFonts w:hint="eastAsia" w:ascii="微软雅黑" w:hAnsi="微软雅黑" w:cs="微软雅黑"/>
          <w:szCs w:val="21"/>
        </w:rPr>
      </w:r>
      <w:r/>
    </w:p>
    <w:p>
      <w:pPr>
        <w:pStyle w:val="928"/>
        <w:rPr>
          <w:rFonts w:hint="eastAsia" w:ascii="微软雅黑" w:hAnsi="微软雅黑" w:cs="微软雅黑"/>
          <w:b/>
          <w:bCs/>
        </w:rPr>
      </w:pPr>
      <w:r/>
      <w:bookmarkStart w:id="26" w:name="_Toc31210"/>
      <w:r/>
      <w:bookmarkStart w:id="27" w:name="_Toc35393794"/>
      <w:r/>
      <w:bookmarkStart w:id="28" w:name="_Toc28359007"/>
      <w:r/>
      <w:bookmarkStart w:id="29" w:name="_Toc28359084"/>
      <w:r/>
      <w:bookmarkStart w:id="30" w:name="_Toc35393625"/>
      <w:r>
        <w:rPr>
          <w:rFonts w:hint="eastAsia" w:ascii="微软雅黑" w:hAnsi="微软雅黑" w:cs="微软雅黑"/>
          <w:b/>
          <w:bCs/>
        </w:rPr>
        <w:t xml:space="preserve">五、公告期限</w:t>
      </w:r>
      <w:bookmarkEnd w:id="26"/>
      <w:r/>
      <w:bookmarkEnd w:id="27"/>
      <w:r/>
      <w:bookmarkEnd w:id="28"/>
      <w:r/>
      <w:bookmarkEnd w:id="29"/>
      <w:r/>
      <w:bookmarkEnd w:id="30"/>
      <w:r>
        <w:rPr>
          <w:rFonts w:hint="eastAsia" w:ascii="微软雅黑" w:hAnsi="微软雅黑" w:cs="微软雅黑"/>
          <w:b/>
          <w:bCs/>
        </w:rPr>
      </w:r>
      <w:r/>
    </w:p>
    <w:p>
      <w:pPr>
        <w:pStyle w:val="928"/>
        <w:ind w:firstLine="420"/>
        <w:spacing w:line="420" w:lineRule="exact"/>
        <w:rPr>
          <w:rFonts w:hint="eastAsia" w:ascii="微软雅黑" w:hAnsi="微软雅黑" w:cs="微软雅黑"/>
          <w:szCs w:val="21"/>
        </w:rPr>
      </w:pPr>
      <w:r>
        <w:rPr>
          <w:rFonts w:hint="eastAsia" w:ascii="微软雅黑" w:hAnsi="微软雅黑" w:cs="微软雅黑"/>
          <w:szCs w:val="21"/>
        </w:rPr>
        <w:t xml:space="preserve">自本公告发布之日起3个工作日。</w:t>
      </w:r>
      <w:r>
        <w:rPr>
          <w:rFonts w:hint="eastAsia" w:ascii="微软雅黑" w:hAnsi="微软雅黑" w:cs="微软雅黑"/>
          <w:szCs w:val="21"/>
        </w:rPr>
      </w:r>
      <w:r/>
    </w:p>
    <w:p>
      <w:pPr>
        <w:pStyle w:val="928"/>
        <w:rPr>
          <w:rFonts w:hint="eastAsia" w:ascii="微软雅黑" w:hAnsi="微软雅黑" w:cs="微软雅黑"/>
          <w:b/>
          <w:bCs/>
        </w:rPr>
      </w:pPr>
      <w:r/>
      <w:bookmarkStart w:id="31" w:name="_Toc35393795"/>
      <w:r/>
      <w:bookmarkStart w:id="32" w:name="_Toc35393626"/>
      <w:r/>
      <w:bookmarkStart w:id="33" w:name="_Toc19985"/>
      <w:r>
        <w:rPr>
          <w:rFonts w:hint="eastAsia" w:ascii="微软雅黑" w:hAnsi="微软雅黑" w:cs="微软雅黑"/>
          <w:b/>
          <w:bCs/>
        </w:rPr>
        <w:t xml:space="preserve">六、其他补充事宜</w:t>
      </w:r>
      <w:bookmarkEnd w:id="31"/>
      <w:r/>
      <w:bookmarkEnd w:id="32"/>
      <w:r/>
      <w:bookmarkEnd w:id="33"/>
      <w:r>
        <w:rPr>
          <w:rFonts w:hint="eastAsia" w:ascii="微软雅黑" w:hAnsi="微软雅黑" w:cs="微软雅黑"/>
          <w:b/>
          <w:bCs/>
        </w:rPr>
      </w:r>
      <w:r/>
    </w:p>
    <w:p>
      <w:pPr>
        <w:pStyle w:val="947"/>
        <w:ind w:left="0" w:firstLine="420"/>
        <w:spacing w:line="400" w:lineRule="exact"/>
        <w:rPr>
          <w:rFonts w:hint="eastAsia" w:ascii="微软雅黑" w:hAnsi="微软雅黑" w:cs="微软雅黑"/>
          <w:szCs w:val="21"/>
        </w:rPr>
      </w:pPr>
      <w:r/>
      <w:bookmarkStart w:id="34" w:name="_Toc35393796"/>
      <w:r/>
      <w:bookmarkStart w:id="35" w:name="_Toc28359008"/>
      <w:r/>
      <w:bookmarkStart w:id="36" w:name="_Toc35393627"/>
      <w:r/>
      <w:bookmarkStart w:id="37" w:name="_Toc28359085"/>
      <w:r/>
      <w:bookmarkStart w:id="38" w:name="_Toc19317"/>
      <w:r>
        <w:rPr>
          <w:rFonts w:hint="eastAsia" w:ascii="微软雅黑" w:hAnsi="微软雅黑" w:cs="微软雅黑"/>
          <w:szCs w:val="21"/>
        </w:rPr>
        <w:t xml:space="preserve">1. 评审方法和标准：采用综合评分法。</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2. 此采购公告在江苏政府采购网（http://www.ccgp-jiangsu.gov.cn）发布。 </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3. 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w:t>
      </w:r>
      <w:r>
        <w:rPr>
          <w:rFonts w:hint="eastAsia" w:ascii="微软雅黑" w:hAnsi="微软雅黑" w:cs="微软雅黑"/>
          <w:szCs w:val="21"/>
        </w:rPr>
        <w:t xml:space="preserve">ttps://njgc.jfh.com）‘南京市政府采购供应商诚信档案’系统打开页面（http://180.101.238.212:8280/hodeframe2018_cxda/index.action;jsessionid=769BA9C8E1729422E7173B991C8EC1E5）登录（未注册的供应商应先点击‘供应商注册点这里’并按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4. 苏采云CA办理及登录：</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5.采购文件下载及</w:t>
      </w:r>
      <w:r>
        <w:rPr>
          <w:rFonts w:hint="eastAsia" w:ascii="微软雅黑" w:hAnsi="微软雅黑" w:cs="微软雅黑"/>
          <w:szCs w:val="21"/>
        </w:rPr>
        <w:t xml:space="preserve">响应</w:t>
      </w:r>
      <w:r>
        <w:rPr>
          <w:rFonts w:hint="eastAsia" w:ascii="微软雅黑" w:hAnsi="微软雅黑" w:cs="微软雅黑"/>
          <w:szCs w:val="21"/>
        </w:rPr>
        <w:t xml:space="preserve">文件制作：</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响应文件--导出加密的响应文件（后缀名为zip）--通过“苏采云”系统上传响应文件。详见《江苏省政府采购管理交易系统（苏采云）供应商操作手册》，操作手册可通过“苏采云”系统中相应链接进行下载。</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6. 网上不见面磋商：</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本项目采用不见面远程磋商模式，供应商通过“苏采云”政府采购交易系统网上开标大厅参加磋商，磋商当天响应供应商须使用CA证书至网上开标大厅解密响应文件。在磋商过程中响应单位代表须在网上不见面开标系统中保持在线状态，请供应商确保电脑、系统及其他设备(视频输入输出设备等)无误，直至项目结束始终保持系统在线状态。解密完成后及时关注开标大厅，等待答疑澄清(如有)等提示。由于响应单位代表不在线所造成的一切后果由供应商自行承担。</w:t>
      </w:r>
      <w:r>
        <w:rPr>
          <w:rFonts w:hint="eastAsia" w:ascii="微软雅黑" w:hAnsi="微软雅黑" w:cs="微软雅黑"/>
          <w:szCs w:val="21"/>
        </w:rPr>
      </w:r>
      <w:r/>
    </w:p>
    <w:p>
      <w:pPr>
        <w:pStyle w:val="928"/>
        <w:rPr>
          <w:rFonts w:hint="eastAsia" w:ascii="微软雅黑" w:hAnsi="微软雅黑" w:cs="微软雅黑"/>
          <w:b/>
          <w:bCs/>
        </w:rPr>
      </w:pPr>
      <w:r>
        <w:rPr>
          <w:rFonts w:hint="eastAsia" w:ascii="微软雅黑" w:hAnsi="微软雅黑" w:cs="微软雅黑"/>
          <w:b/>
          <w:bCs/>
        </w:rPr>
        <w:t xml:space="preserve">七、对本次活动提出询问，请按以下方式联系。</w:t>
      </w:r>
      <w:bookmarkEnd w:id="34"/>
      <w:r/>
      <w:bookmarkEnd w:id="35"/>
      <w:r/>
      <w:bookmarkEnd w:id="36"/>
      <w:r/>
      <w:bookmarkEnd w:id="37"/>
      <w:r/>
      <w:bookmarkEnd w:id="38"/>
      <w:r>
        <w:rPr>
          <w:rFonts w:hint="eastAsia" w:ascii="微软雅黑" w:hAnsi="微软雅黑" w:cs="微软雅黑"/>
          <w:b/>
          <w:bCs/>
        </w:rPr>
      </w:r>
      <w:r/>
    </w:p>
    <w:p>
      <w:pPr>
        <w:pStyle w:val="928"/>
        <w:ind w:firstLine="420"/>
        <w:spacing w:line="420" w:lineRule="exact"/>
        <w:rPr>
          <w:rFonts w:hint="eastAsia" w:ascii="微软雅黑" w:hAnsi="微软雅黑" w:cs="微软雅黑"/>
          <w:bCs/>
          <w:szCs w:val="21"/>
        </w:rPr>
      </w:pPr>
      <w:r/>
      <w:bookmarkStart w:id="39" w:name="_Toc28359019"/>
      <w:r/>
      <w:bookmarkStart w:id="40" w:name="_Toc35393637"/>
      <w:r/>
      <w:bookmarkStart w:id="41" w:name="_Toc35393806"/>
      <w:r/>
      <w:bookmarkStart w:id="42" w:name="_Toc28359096"/>
      <w:r>
        <w:rPr>
          <w:rFonts w:hint="eastAsia" w:ascii="微软雅黑" w:hAnsi="微软雅黑" w:cs="微软雅黑"/>
          <w:bCs/>
          <w:szCs w:val="21"/>
        </w:rPr>
        <w:t xml:space="preserve">1.采购人信息</w:t>
      </w:r>
      <w:bookmarkEnd w:id="39"/>
      <w:r/>
      <w:bookmarkEnd w:id="40"/>
      <w:r/>
      <w:bookmarkEnd w:id="41"/>
      <w:r/>
      <w:bookmarkEnd w:id="42"/>
      <w:r>
        <w:rPr>
          <w:rFonts w:hint="eastAsia" w:ascii="微软雅黑" w:hAnsi="微软雅黑" w:cs="微软雅黑"/>
          <w:bCs/>
          <w:szCs w:val="21"/>
        </w:rPr>
      </w:r>
      <w:r/>
    </w:p>
    <w:p>
      <w:pPr>
        <w:pStyle w:val="92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称：江宁经济技术开发区人民法院</w:t>
      </w:r>
      <w:r>
        <w:rPr>
          <w:rFonts w:hint="eastAsia" w:ascii="微软雅黑" w:hAnsi="微软雅黑" w:cs="微软雅黑"/>
          <w:bCs/>
          <w:szCs w:val="21"/>
        </w:rPr>
      </w:r>
      <w:r/>
    </w:p>
    <w:p>
      <w:pPr>
        <w:pStyle w:val="92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址：南京市江宁区将军大道37号</w:t>
      </w:r>
      <w:r>
        <w:rPr>
          <w:rFonts w:hint="eastAsia" w:ascii="微软雅黑" w:hAnsi="微软雅黑" w:cs="微软雅黑"/>
          <w:bCs/>
          <w:szCs w:val="21"/>
        </w:rPr>
      </w:r>
      <w:r/>
    </w:p>
    <w:p>
      <w:pPr>
        <w:pStyle w:val="928"/>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联系方式：025-58998106</w:t>
      </w:r>
      <w:r>
        <w:rPr>
          <w:rFonts w:hint="eastAsia" w:ascii="微软雅黑" w:hAnsi="微软雅黑" w:cs="微软雅黑"/>
          <w:bCs/>
          <w:szCs w:val="21"/>
        </w:rPr>
      </w:r>
      <w:r/>
    </w:p>
    <w:p>
      <w:pPr>
        <w:pStyle w:val="928"/>
        <w:ind w:firstLine="420"/>
        <w:spacing w:line="420" w:lineRule="exact"/>
        <w:rPr>
          <w:rFonts w:hint="eastAsia" w:ascii="微软雅黑" w:hAnsi="微软雅黑" w:cs="微软雅黑"/>
          <w:bCs/>
          <w:szCs w:val="21"/>
        </w:rPr>
      </w:pPr>
      <w:r/>
      <w:bookmarkStart w:id="43" w:name="_Toc28359020"/>
      <w:r/>
      <w:bookmarkStart w:id="44" w:name="_Toc35393638"/>
      <w:r/>
      <w:bookmarkStart w:id="45" w:name="_Toc28359097"/>
      <w:r/>
      <w:bookmarkStart w:id="46" w:name="_Toc35393807"/>
      <w:r>
        <w:rPr>
          <w:rFonts w:hint="eastAsia" w:ascii="微软雅黑" w:hAnsi="微软雅黑" w:cs="微软雅黑"/>
          <w:bCs/>
          <w:szCs w:val="21"/>
        </w:rPr>
        <w:t xml:space="preserve">2.采购代理机构信息</w:t>
      </w:r>
      <w:bookmarkEnd w:id="43"/>
      <w:r/>
      <w:bookmarkEnd w:id="44"/>
      <w:r/>
      <w:bookmarkEnd w:id="45"/>
      <w:r/>
      <w:bookmarkEnd w:id="46"/>
      <w:r>
        <w:rPr>
          <w:rFonts w:hint="eastAsia" w:ascii="微软雅黑" w:hAnsi="微软雅黑" w:cs="微软雅黑"/>
          <w:bCs/>
          <w:szCs w:val="21"/>
        </w:rPr>
      </w:r>
      <w:r/>
    </w:p>
    <w:p>
      <w:pPr>
        <w:pStyle w:val="928"/>
        <w:ind w:firstLine="630"/>
        <w:spacing w:line="420" w:lineRule="exact"/>
        <w:rPr>
          <w:rFonts w:hint="eastAsia" w:ascii="微软雅黑" w:hAnsi="微软雅黑" w:cs="微软雅黑"/>
          <w:bCs/>
          <w:szCs w:val="21"/>
        </w:rPr>
      </w:pPr>
      <w:r/>
      <w:bookmarkStart w:id="47" w:name="_Toc28359021"/>
      <w:r/>
      <w:bookmarkStart w:id="48" w:name="_Toc35393808"/>
      <w:r/>
      <w:bookmarkStart w:id="49" w:name="_Toc35393639"/>
      <w:r/>
      <w:bookmarkStart w:id="50" w:name="_Toc28359098"/>
      <w:r>
        <w:rPr>
          <w:rFonts w:hint="eastAsia" w:ascii="微软雅黑" w:hAnsi="微软雅黑" w:cs="微软雅黑"/>
          <w:bCs/>
          <w:szCs w:val="21"/>
        </w:rPr>
        <w:t xml:space="preserve">名    称：江苏省华采招标有限公司</w:t>
      </w:r>
      <w:r>
        <w:rPr>
          <w:rFonts w:hint="eastAsia" w:ascii="微软雅黑" w:hAnsi="微软雅黑" w:cs="微软雅黑"/>
          <w:bCs/>
          <w:szCs w:val="21"/>
        </w:rPr>
      </w:r>
      <w:r/>
    </w:p>
    <w:p>
      <w:pPr>
        <w:pStyle w:val="928"/>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址：南京市建邺区嘉陵江东街8号综合体B3栋一单元16层</w:t>
      </w:r>
      <w:r>
        <w:rPr>
          <w:rFonts w:hint="eastAsia" w:ascii="微软雅黑" w:hAnsi="微软雅黑" w:cs="微软雅黑"/>
          <w:bCs/>
          <w:szCs w:val="21"/>
        </w:rPr>
      </w:r>
      <w:r/>
    </w:p>
    <w:p>
      <w:pPr>
        <w:pStyle w:val="928"/>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w:t>
      </w:r>
      <w:r>
        <w:rPr>
          <w:rFonts w:hint="eastAsia" w:ascii="微软雅黑" w:hAnsi="微软雅黑" w:cs="微软雅黑"/>
          <w:bCs/>
          <w:szCs w:val="21"/>
        </w:rPr>
      </w:r>
      <w:r/>
    </w:p>
    <w:p>
      <w:pPr>
        <w:pStyle w:val="928"/>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3.项目联系方式</w:t>
      </w:r>
      <w:bookmarkEnd w:id="47"/>
      <w:r/>
      <w:bookmarkEnd w:id="48"/>
      <w:r/>
      <w:bookmarkEnd w:id="49"/>
      <w:r/>
      <w:bookmarkEnd w:id="50"/>
      <w:r>
        <w:rPr>
          <w:rFonts w:hint="eastAsia" w:ascii="微软雅黑" w:hAnsi="微软雅黑" w:cs="微软雅黑"/>
          <w:bCs/>
          <w:szCs w:val="21"/>
        </w:rPr>
      </w:r>
      <w:r/>
    </w:p>
    <w:p>
      <w:pPr>
        <w:pStyle w:val="950"/>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bCs/>
          <w:sz w:val="21"/>
          <w:szCs w:val="21"/>
          <w:lang w:eastAsia="zh-CN"/>
        </w:rPr>
        <w:t xml:space="preserve">徐雪</w:t>
      </w:r>
      <w:r>
        <w:rPr>
          <w:rFonts w:hint="eastAsia" w:ascii="微软雅黑" w:hAnsi="微软雅黑" w:eastAsia="微软雅黑" w:cs="微软雅黑"/>
          <w:sz w:val="21"/>
          <w:szCs w:val="21"/>
        </w:rPr>
      </w:r>
      <w:r/>
    </w:p>
    <w:p>
      <w:pPr>
        <w:pStyle w:val="928"/>
        <w:ind w:firstLine="630"/>
        <w:spacing w:line="420" w:lineRule="exact"/>
        <w:rPr>
          <w:rFonts w:ascii="微软雅黑" w:hAnsi="微软雅黑" w:cs="微软雅黑"/>
        </w:rPr>
        <w:sectPr>
          <w:headerReference w:type="default" r:id="rId12"/>
          <w:footerReference w:type="default" r:id="rId17"/>
          <w:footnotePr/>
          <w:endnotePr/>
          <w:type w:val="nextPage"/>
          <w:pgSz w:w="11906" w:h="16838" w:orient="portrait"/>
          <w:pgMar w:top="1440" w:right="1797" w:bottom="1440" w:left="1797" w:header="851" w:footer="992" w:gutter="0"/>
          <w:pgNumType w:start="2"/>
          <w:cols w:num="1" w:sep="0" w:space="1701" w:equalWidth="1"/>
          <w:docGrid w:linePitch="360"/>
        </w:sectPr>
      </w:pPr>
      <w:r>
        <w:rPr>
          <w:rFonts w:hint="eastAsia" w:ascii="微软雅黑" w:hAnsi="微软雅黑" w:cs="微软雅黑"/>
          <w:szCs w:val="21"/>
        </w:rPr>
        <w:t xml:space="preserve">电　　 话：025-83603368</w:t>
      </w:r>
      <w:r>
        <w:rPr>
          <w:rFonts w:ascii="微软雅黑" w:hAnsi="微软雅黑" w:cs="微软雅黑"/>
        </w:rPr>
      </w:r>
      <w:r/>
    </w:p>
    <w:p>
      <w:pPr>
        <w:pStyle w:val="1141"/>
        <w:rPr>
          <w:rFonts w:hint="eastAsia" w:ascii="微软雅黑" w:hAnsi="微软雅黑" w:cs="微软雅黑"/>
        </w:rPr>
      </w:pPr>
      <w:r/>
      <w:bookmarkStart w:id="51" w:name="_Toc26547"/>
      <w:r/>
      <w:bookmarkStart w:id="52" w:name="_Toc6049"/>
      <w:r>
        <w:rPr>
          <w:rFonts w:hint="eastAsia" w:ascii="微软雅黑" w:hAnsi="微软雅黑" w:cs="微软雅黑"/>
          <w:lang w:eastAsia="zh-CN"/>
        </w:rPr>
        <w:t xml:space="preserve">第二章</w:t>
      </w:r>
      <w:r>
        <w:rPr>
          <w:rFonts w:hint="eastAsia" w:ascii="微软雅黑" w:hAnsi="微软雅黑" w:cs="微软雅黑"/>
          <w:lang w:val="en-US" w:eastAsia="zh-CN"/>
        </w:rPr>
        <w:t xml:space="preserve"> </w:t>
      </w:r>
      <w:r>
        <w:rPr>
          <w:rFonts w:hint="eastAsia" w:ascii="微软雅黑" w:hAnsi="微软雅黑" w:cs="微软雅黑"/>
        </w:rPr>
        <w:t xml:space="preserve">供应商须知</w:t>
      </w:r>
      <w:bookmarkEnd w:id="2"/>
      <w:r/>
      <w:bookmarkEnd w:id="51"/>
      <w:r/>
      <w:bookmarkEnd w:id="52"/>
      <w:r>
        <w:rPr>
          <w:rFonts w:hint="eastAsia" w:ascii="微软雅黑" w:hAnsi="微软雅黑" w:cs="微软雅黑"/>
        </w:rPr>
      </w:r>
      <w:r/>
    </w:p>
    <w:p>
      <w:pPr>
        <w:pStyle w:val="928"/>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117" w:type="dxa"/>
            <w:vAlign w:val="center"/>
            <w:textDirection w:val="lrTb"/>
            <w:noWrap w:val="false"/>
          </w:tcPr>
          <w:p>
            <w:pPr>
              <w:pStyle w:val="928"/>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319"/>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江宁经济技术开发区人民法院无纸化外包服务</w:t>
            </w:r>
            <w:r>
              <w:rPr>
                <w:rFonts w:hint="eastAsia" w:ascii="微软雅黑" w:hAnsi="微软雅黑" w:cs="微软雅黑"/>
                <w:szCs w:val="21"/>
              </w:rPr>
            </w:r>
            <w:r/>
          </w:p>
        </w:tc>
      </w:tr>
      <w:tr>
        <w:trPr>
          <w:trHeight w:val="336"/>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项目编号：</w:t>
            </w:r>
            <w:r>
              <w:rPr>
                <w:rFonts w:hint="eastAsia" w:ascii="微软雅黑" w:hAnsi="微软雅黑" w:cs="微软雅黑"/>
                <w:color w:val="000000"/>
                <w:szCs w:val="21"/>
                <w:lang w:eastAsia="zh-CN"/>
              </w:rPr>
              <w:t xml:space="preserve">JSZC-320115-JSHC-C2026-0019</w:t>
            </w:r>
            <w:r>
              <w:rPr>
                <w:rFonts w:hint="eastAsia" w:ascii="微软雅黑" w:hAnsi="微软雅黑" w:eastAsia="微软雅黑" w:cs="微软雅黑"/>
                <w:color w:val="000000"/>
                <w:szCs w:val="21"/>
                <w:lang w:eastAsia="zh-CN"/>
              </w:rPr>
            </w:r>
            <w:r/>
          </w:p>
          <w:p>
            <w:pPr>
              <w:pStyle w:val="9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（代理机构内部编号：JSHC-2026050359B2）</w:t>
            </w:r>
            <w:r>
              <w:rPr>
                <w:rFonts w:hint="eastAsia" w:ascii="微软雅黑" w:hAnsi="微软雅黑" w:cs="微软雅黑"/>
                <w:color w:val="000000"/>
                <w:szCs w:val="21"/>
              </w:rPr>
            </w:r>
            <w:r/>
          </w:p>
        </w:tc>
      </w:tr>
      <w:tr>
        <w:trPr>
          <w:trHeight w:val="174"/>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竞争性磋商</w:t>
            </w:r>
            <w:r>
              <w:rPr>
                <w:rFonts w:hint="eastAsia" w:ascii="微软雅黑" w:hAnsi="微软雅黑" w:cs="微软雅黑"/>
                <w:color w:val="000000"/>
                <w:szCs w:val="21"/>
              </w:rPr>
            </w:r>
            <w:r/>
          </w:p>
        </w:tc>
      </w:tr>
      <w:tr>
        <w:trPr>
          <w:trHeight w:val="265"/>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财政性资金</w:t>
            </w:r>
            <w:r>
              <w:rPr>
                <w:rFonts w:hint="eastAsia" w:ascii="微软雅黑" w:hAnsi="微软雅黑" w:cs="微软雅黑"/>
                <w:color w:val="000000"/>
                <w:szCs w:val="21"/>
              </w:rPr>
            </w:r>
            <w:r/>
          </w:p>
        </w:tc>
      </w:tr>
      <w:tr>
        <w:trPr>
          <w:trHeight w:val="204"/>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预算金额</w:t>
            </w:r>
            <w:r>
              <w:rPr>
                <w:rFonts w:hint="eastAsia" w:ascii="微软雅黑" w:hAnsi="微软雅黑" w:cs="微软雅黑"/>
                <w:szCs w:val="21"/>
              </w:rPr>
            </w:r>
            <w:r/>
          </w:p>
        </w:tc>
        <w:tc>
          <w:tcPr>
            <w:tcW w:w="6117" w:type="dxa"/>
            <w:vAlign w:val="center"/>
            <w:textDirection w:val="lrTb"/>
            <w:noWrap w:val="false"/>
          </w:tcPr>
          <w:p>
            <w:pPr>
              <w:pStyle w:val="928"/>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人民币壹佰玖拾壹万元整/年（￥191万元/年）</w:t>
            </w:r>
            <w:r>
              <w:rPr>
                <w:rFonts w:ascii="微软雅黑" w:hAnsi="微软雅黑" w:cs="微软雅黑"/>
                <w:color w:val="000000"/>
                <w:szCs w:val="21"/>
                <w:highlight w:val="none"/>
              </w:rPr>
            </w:r>
            <w:r/>
          </w:p>
        </w:tc>
      </w:tr>
      <w:tr>
        <w:trPr>
          <w:trHeight w:val="304"/>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rPr>
            </w:r>
            <w:r/>
          </w:p>
        </w:tc>
        <w:tc>
          <w:tcPr>
            <w:tcW w:w="6117" w:type="dxa"/>
            <w:vAlign w:val="center"/>
            <w:textDirection w:val="lrTb"/>
            <w:noWrap w:val="false"/>
          </w:tcPr>
          <w:p>
            <w:pPr>
              <w:pStyle w:val="928"/>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人民币壹佰玖拾壹万元整/年（￥191万元/年）</w:t>
            </w:r>
            <w:r>
              <w:rPr>
                <w:rFonts w:ascii="微软雅黑" w:hAnsi="微软雅黑" w:cs="微软雅黑"/>
                <w:color w:val="000000"/>
                <w:szCs w:val="21"/>
                <w:highlight w:val="none"/>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rHeight w:val="734"/>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rPr>
              <w:t xml:space="preserve">江宁经济技术开发区人民法院</w:t>
            </w:r>
            <w:r>
              <w:rPr>
                <w:rFonts w:hint="eastAsia" w:ascii="微软雅黑" w:hAnsi="微软雅黑" w:cs="微软雅黑"/>
                <w:szCs w:val="21"/>
              </w:rPr>
            </w:r>
            <w:r/>
          </w:p>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联系人：任亚瑄</w:t>
            </w:r>
            <w:r>
              <w:rPr>
                <w:rFonts w:hint="eastAsia" w:ascii="微软雅黑" w:hAnsi="微软雅黑" w:cs="微软雅黑"/>
                <w:szCs w:val="21"/>
              </w:rPr>
            </w:r>
            <w:r/>
          </w:p>
          <w:p>
            <w:pPr>
              <w:pStyle w:val="928"/>
              <w:spacing w:line="400" w:lineRule="exact"/>
              <w:tabs>
                <w:tab w:val="center" w:pos="2950" w:leader="none"/>
              </w:tabs>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rPr>
              <w:t xml:space="preserve">025-58998106</w:t>
            </w:r>
            <w:r>
              <w:rPr>
                <w:rFonts w:hint="eastAsia" w:ascii="微软雅黑" w:hAnsi="微软雅黑" w:cs="微软雅黑"/>
                <w:szCs w:val="21"/>
              </w:rPr>
            </w:r>
            <w:r/>
          </w:p>
        </w:tc>
      </w:tr>
      <w:tr>
        <w:trPr>
          <w:trHeight w:val="578"/>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代理机构：江苏省华采招标有限公司</w:t>
            </w:r>
            <w:r>
              <w:rPr>
                <w:rFonts w:hint="eastAsia" w:ascii="微软雅黑" w:hAnsi="微软雅黑" w:cs="微软雅黑"/>
                <w:szCs w:val="21"/>
              </w:rPr>
            </w:r>
            <w:r/>
          </w:p>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项目负责人：徐雪</w:t>
            </w:r>
            <w:r>
              <w:rPr>
                <w:rFonts w:hint="eastAsia" w:ascii="微软雅黑" w:hAnsi="微软雅黑" w:cs="微软雅黑"/>
                <w:szCs w:val="21"/>
              </w:rPr>
            </w:r>
            <w:r/>
          </w:p>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响应保证金</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ascii="微软雅黑" w:hAnsi="微软雅黑" w:cs="微软雅黑"/>
                <w:szCs w:val="21"/>
              </w:rPr>
              <w:t xml:space="preserve">无</w:t>
            </w:r>
            <w:r>
              <w:rPr>
                <w:rFonts w:hint="eastAsia" w:ascii="微软雅黑" w:hAnsi="微软雅黑" w:cs="微软雅黑"/>
                <w:szCs w:val="21"/>
              </w:rPr>
            </w:r>
            <w:r/>
          </w:p>
        </w:tc>
      </w:tr>
      <w:tr>
        <w:trPr>
          <w:trHeight w:val="477"/>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755" w:type="dxa"/>
            <w:vAlign w:val="center"/>
            <w:textDirection w:val="lrTb"/>
            <w:noWrap w:val="false"/>
          </w:tcPr>
          <w:p>
            <w:pPr>
              <w:pStyle w:val="928"/>
              <w:jc w:val="center"/>
              <w:spacing w:line="400" w:lineRule="exact"/>
              <w:rPr>
                <w:rFonts w:hint="eastAsia" w:ascii="微软雅黑" w:hAnsi="微软雅黑" w:cs="微软雅黑"/>
                <w:szCs w:val="21"/>
              </w:rPr>
            </w:pPr>
            <w:r>
              <w:rPr>
                <w:rFonts w:hint="eastAsia" w:ascii="微软雅黑" w:hAnsi="微软雅黑" w:cs="微软雅黑"/>
                <w:szCs w:val="21"/>
              </w:rPr>
              <w:t xml:space="preserve">响应文件递交开始时间、截止时间及地点</w:t>
            </w:r>
            <w:r>
              <w:rPr>
                <w:rFonts w:hint="eastAsia" w:ascii="微软雅黑" w:hAnsi="微软雅黑" w:cs="微软雅黑"/>
                <w:szCs w:val="21"/>
              </w:rPr>
            </w:r>
            <w:r/>
          </w:p>
        </w:tc>
        <w:tc>
          <w:tcPr>
            <w:tcW w:w="6117"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t xml:space="preserve">详见第一章磋商邀请（采购公告）</w:t>
            </w:r>
            <w:r>
              <w:rPr>
                <w:rFonts w:hint="eastAsia" w:ascii="微软雅黑" w:hAnsi="微软雅黑" w:cs="微软雅黑"/>
              </w:rPr>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响应文件数量</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电子响应文件上传“苏采云”政府采购交易系统</w:t>
            </w:r>
            <w:r>
              <w:rPr>
                <w:rFonts w:hint="eastAsia" w:ascii="微软雅黑" w:hAnsi="微软雅黑" w:cs="微软雅黑"/>
                <w:szCs w:val="21"/>
              </w:rPr>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磋商注意事项</w:t>
            </w:r>
            <w:r>
              <w:rPr>
                <w:rFonts w:hint="eastAsia" w:ascii="微软雅黑" w:hAnsi="微软雅黑" w:cs="微软雅黑"/>
                <w:szCs w:val="21"/>
              </w:rPr>
            </w:r>
            <w:r/>
          </w:p>
        </w:tc>
        <w:tc>
          <w:tcPr>
            <w:tcW w:w="6117" w:type="dxa"/>
            <w:vAlign w:val="center"/>
            <w:textDirection w:val="lrTb"/>
            <w:noWrap w:val="false"/>
          </w:tcPr>
          <w:p>
            <w:pPr>
              <w:pStyle w:val="928"/>
              <w:spacing w:line="400" w:lineRule="exact"/>
            </w:pPr>
            <w:r>
              <w:rPr>
                <w:rFonts w:hint="eastAsia" w:ascii="微软雅黑" w:hAnsi="微软雅黑" w:cs="微软雅黑"/>
                <w:szCs w:val="21"/>
              </w:rPr>
              <w:t xml:space="preserve">供应商在响应文件递交截止时间前</w:t>
            </w:r>
            <w:r>
              <w:rPr>
                <w:rFonts w:hint="eastAsia"/>
              </w:rPr>
              <w:t xml:space="preserve">将</w:t>
            </w:r>
            <w:r>
              <w:rPr>
                <w:rFonts w:hint="eastAsia" w:ascii="微软雅黑" w:hAnsi="微软雅黑" w:cs="微软雅黑"/>
                <w:szCs w:val="21"/>
              </w:rPr>
              <w:t xml:space="preserve">电子响应文件上传“苏采云”政府采购交易系统，并准时参加线上磋商会。</w:t>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现场演示</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响应文件有效期</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响应截止时间后九十天</w:t>
            </w:r>
            <w:r>
              <w:rPr>
                <w:rFonts w:hint="eastAsia" w:ascii="微软雅黑" w:hAnsi="微软雅黑" w:cs="微软雅黑"/>
                <w:szCs w:val="21"/>
              </w:rPr>
            </w:r>
            <w:r/>
          </w:p>
        </w:tc>
      </w:tr>
      <w:tr>
        <w:trPr>
          <w:trHeight w:val="474"/>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响应报价</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szCs w:val="21"/>
              </w:rPr>
            </w:pPr>
            <w:r>
              <w:rPr>
                <w:rFonts w:hint="eastAsia" w:ascii="微软雅黑" w:hAnsi="微软雅黑" w:cs="微软雅黑"/>
                <w:szCs w:val="21"/>
              </w:rPr>
              <w:t xml:space="preserve">响应报价包括采购文件所规定的采购范围的全部内容。包括但不仅限于全部服务的价格及相关税费、培训、售后服务、招标代理服务费等其他有关的所有费用。</w:t>
            </w:r>
            <w:r>
              <w:rPr>
                <w:rFonts w:hint="eastAsia" w:ascii="微软雅黑" w:hAnsi="微软雅黑" w:cs="微软雅黑"/>
                <w:szCs w:val="21"/>
              </w:rPr>
            </w:r>
            <w:r/>
          </w:p>
        </w:tc>
      </w:tr>
      <w:tr>
        <w:trPr>
          <w:trHeight w:val="746"/>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采购项目需要落实的政府采购政策</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《政府采购促进中小企业发展管理办法》；《关于政府采购支持监狱企业发展有关问题的通知》；《关于促进残疾人就业政府采购政策的通知》。</w:t>
            </w:r>
            <w:r>
              <w:rPr>
                <w:rFonts w:hint="eastAsia" w:ascii="微软雅黑" w:hAnsi="微软雅黑" w:cs="微软雅黑"/>
                <w:szCs w:val="21"/>
              </w:rPr>
            </w:r>
            <w:r/>
          </w:p>
        </w:tc>
      </w:tr>
      <w:tr>
        <w:trPr>
          <w:trHeight w:val="746"/>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20</w:t>
            </w:r>
            <w:r>
              <w:rPr>
                <w:rFonts w:hint="eastAsia" w:ascii="微软雅黑" w:hAnsi="微软雅黑" w:cs="微软雅黑"/>
                <w:szCs w:val="21"/>
              </w:rPr>
            </w:r>
            <w:r/>
          </w:p>
        </w:tc>
        <w:tc>
          <w:tcPr>
            <w:tcW w:w="1755" w:type="dxa"/>
            <w:vAlign w:val="center"/>
            <w:textDirection w:val="lrTb"/>
            <w:noWrap w:val="false"/>
          </w:tcPr>
          <w:p>
            <w:pPr>
              <w:pStyle w:val="928"/>
              <w:jc w:val="center"/>
              <w:spacing w:line="400" w:lineRule="exact"/>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软件和信息技术服务业</w:t>
            </w:r>
            <w:r>
              <w:rPr>
                <w:rFonts w:hint="eastAsia" w:ascii="微软雅黑" w:hAnsi="微软雅黑" w:cs="微软雅黑"/>
                <w:szCs w:val="21"/>
              </w:rPr>
            </w:r>
            <w:r/>
          </w:p>
        </w:tc>
      </w:tr>
      <w:tr>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关于联合体响应</w:t>
            </w:r>
            <w:r>
              <w:rPr>
                <w:rFonts w:hint="eastAsia" w:ascii="微软雅黑" w:hAnsi="微软雅黑" w:cs="微软雅黑"/>
                <w:szCs w:val="21"/>
              </w:rPr>
            </w:r>
            <w:r/>
          </w:p>
        </w:tc>
        <w:tc>
          <w:tcPr>
            <w:tcW w:w="6117" w:type="dxa"/>
            <w:vAlign w:val="center"/>
            <w:textDirection w:val="lrTb"/>
            <w:noWrap w:val="false"/>
          </w:tcPr>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本项目不接受联合体响应</w:t>
            </w:r>
            <w:r>
              <w:rPr>
                <w:rFonts w:hint="eastAsia" w:ascii="微软雅黑" w:hAnsi="微软雅黑" w:cs="微软雅黑"/>
                <w:szCs w:val="21"/>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响应文件有效性</w:t>
            </w:r>
            <w:r>
              <w:rPr>
                <w:rFonts w:hint="eastAsia" w:ascii="微软雅黑" w:hAnsi="微软雅黑" w:cs="微软雅黑"/>
                <w:szCs w:val="21"/>
              </w:rPr>
            </w:r>
            <w:r/>
          </w:p>
        </w:tc>
        <w:tc>
          <w:tcPr>
            <w:tcW w:w="6117" w:type="dxa"/>
            <w:vAlign w:val="center"/>
            <w:textDirection w:val="lrTb"/>
            <w:noWrap w:val="false"/>
          </w:tcPr>
          <w:p>
            <w:pPr>
              <w:pStyle w:val="928"/>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采购文件中有明确规定需要签字和盖章的必须要有签字和盖章，否则作无效响应处理。</w:t>
            </w:r>
            <w:r>
              <w:rPr>
                <w:rFonts w:hint="eastAsia" w:ascii="微软雅黑" w:hAnsi="微软雅黑" w:cs="微软雅黑"/>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23</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117" w:type="dxa"/>
            <w:vAlign w:val="center"/>
            <w:textDirection w:val="lrTb"/>
            <w:noWrap w:val="false"/>
          </w:tcPr>
          <w:p>
            <w:pPr>
              <w:pStyle w:val="928"/>
              <w:numPr>
                <w:ilvl w:val="0"/>
                <w:numId w:val="6"/>
              </w:numPr>
              <w:spacing w:line="400" w:lineRule="exact"/>
              <w:rPr>
                <w:rFonts w:hint="eastAsia" w:ascii="微软雅黑" w:hAnsi="微软雅黑" w:cs="微软雅黑"/>
              </w:rPr>
            </w:pPr>
            <w:r>
              <w:rPr>
                <w:rFonts w:hint="eastAsia" w:ascii="微软雅黑" w:hAnsi="微软雅黑" w:cs="微软雅黑"/>
              </w:rPr>
              <w:t xml:space="preserve">本次采购活动招标代理服务费：参照苏财规〔2026〕1号规定，本项目采购人不支付代理服务费，代理服务费由成交供应商支付，供应商报价应包含代理服务费。代理服务费按“国家计委关于印发《招标代理服务收费管理暂行办法》的通知（计价格[2002]1980号）”中收费标准计算，不足伍仟元的按伍仟元收取。</w:t>
            </w:r>
            <w:r>
              <w:rPr>
                <w:rFonts w:hint="eastAsia" w:ascii="微软雅黑" w:hAnsi="微软雅黑" w:cs="微软雅黑"/>
              </w:rPr>
            </w:r>
            <w:r/>
          </w:p>
          <w:p>
            <w:pPr>
              <w:pStyle w:val="928"/>
              <w:numPr>
                <w:ilvl w:val="0"/>
                <w:numId w:val="6"/>
              </w:numPr>
              <w:spacing w:line="400" w:lineRule="exact"/>
              <w:rPr>
                <w:rFonts w:hint="eastAsia" w:ascii="微软雅黑" w:hAnsi="微软雅黑" w:cs="微软雅黑"/>
              </w:rPr>
            </w:pPr>
            <w:r>
              <w:rPr>
                <w:rFonts w:hint="eastAsia" w:ascii="微软雅黑" w:hAnsi="微软雅黑" w:cs="微软雅黑"/>
              </w:rPr>
              <w:t xml:space="preserve">成交供应商领取《成交通知书》前一次性向采购代理机构缴纳代理服务费。</w:t>
            </w:r>
            <w:r>
              <w:rPr>
                <w:rFonts w:hint="eastAsia" w:ascii="微软雅黑" w:hAnsi="微软雅黑" w:cs="微软雅黑"/>
              </w:rPr>
            </w:r>
            <w:r/>
          </w:p>
          <w:p>
            <w:pPr>
              <w:pStyle w:val="928"/>
              <w:numPr>
                <w:ilvl w:val="0"/>
                <w:numId w:val="6"/>
              </w:numPr>
              <w:spacing w:line="400" w:lineRule="exact"/>
              <w:rPr>
                <w:rFonts w:hint="eastAsia" w:ascii="微软雅黑" w:hAnsi="微软雅黑" w:cs="微软雅黑"/>
              </w:rPr>
            </w:pPr>
            <w:r>
              <w:rPr>
                <w:rFonts w:hint="eastAsia" w:ascii="微软雅黑" w:hAnsi="微软雅黑" w:cs="微软雅黑"/>
              </w:rPr>
              <w:t xml:space="preserve">本次代理服务费不包括有可能产生的专家复议费等，如有产生此项费用由成交供应商额外按实支付。</w:t>
            </w:r>
            <w:r>
              <w:rPr>
                <w:rFonts w:hint="eastAsia" w:ascii="微软雅黑" w:hAnsi="微软雅黑" w:cs="微软雅黑"/>
              </w:rPr>
            </w:r>
            <w:r/>
          </w:p>
          <w:p>
            <w:pPr>
              <w:pStyle w:val="947"/>
              <w:numPr>
                <w:ilvl w:val="0"/>
                <w:numId w:val="6"/>
              </w:numPr>
              <w:spacing w:line="400" w:lineRule="exact"/>
              <w:rPr>
                <w:rFonts w:hint="eastAsia" w:ascii="微软雅黑" w:hAnsi="微软雅黑" w:cs="微软雅黑"/>
              </w:rPr>
            </w:pPr>
            <w:r>
              <w:rPr>
                <w:rFonts w:hint="eastAsia" w:ascii="微软雅黑" w:hAnsi="微软雅黑" w:cs="微软雅黑"/>
              </w:rPr>
              <w:t xml:space="preserve">收款信息：</w:t>
            </w:r>
            <w:r>
              <w:rPr>
                <w:rFonts w:hint="eastAsia" w:ascii="微软雅黑" w:hAnsi="微软雅黑" w:cs="微软雅黑"/>
              </w:rPr>
            </w:r>
            <w:r/>
          </w:p>
          <w:p>
            <w:pPr>
              <w:pStyle w:val="928"/>
              <w:ind w:firstLine="420"/>
              <w:spacing w:line="400" w:lineRule="exact"/>
              <w:rPr>
                <w:rFonts w:hint="eastAsia" w:ascii="微软雅黑" w:hAnsi="微软雅黑" w:cs="微软雅黑"/>
                <w:szCs w:val="21"/>
              </w:rPr>
            </w:pPr>
            <w:r>
              <w:rPr>
                <w:rFonts w:hint="eastAsia" w:ascii="微软雅黑" w:hAnsi="微软雅黑" w:cs="微软雅黑"/>
                <w:szCs w:val="21"/>
              </w:rPr>
              <w:t xml:space="preserve">户  名：江苏省华采招标有限公司</w:t>
            </w:r>
            <w:r>
              <w:rPr>
                <w:rFonts w:hint="eastAsia" w:ascii="微软雅黑" w:hAnsi="微软雅黑" w:cs="微软雅黑"/>
                <w:szCs w:val="21"/>
              </w:rPr>
            </w:r>
            <w:r/>
          </w:p>
          <w:p>
            <w:pPr>
              <w:pStyle w:val="928"/>
              <w:ind w:firstLine="420"/>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928"/>
              <w:ind w:firstLine="420"/>
              <w:spacing w:line="400" w:lineRule="exact"/>
              <w:rPr>
                <w:rFonts w:hint="eastAsia" w:ascii="微软雅黑" w:hAnsi="微软雅黑" w:cs="微软雅黑"/>
                <w:szCs w:val="21"/>
              </w:rPr>
            </w:pPr>
            <w:r>
              <w:rPr>
                <w:rFonts w:hint="eastAsia" w:ascii="微软雅黑" w:hAnsi="微软雅黑" w:cs="微软雅黑"/>
                <w:szCs w:val="21"/>
              </w:rPr>
              <w:t xml:space="preserve">账  号：1259 0737 5810 501</w:t>
            </w:r>
            <w:r>
              <w:rPr>
                <w:rFonts w:hint="eastAsia" w:ascii="微软雅黑" w:hAnsi="微软雅黑" w:cs="微软雅黑"/>
                <w:szCs w:val="21"/>
              </w:rPr>
            </w:r>
            <w:r/>
          </w:p>
          <w:p>
            <w:pPr>
              <w:pStyle w:val="947"/>
              <w:ind w:left="0" w:firstLine="420"/>
              <w:spacing w:line="400" w:lineRule="exact"/>
              <w:rPr>
                <w:rFonts w:hint="eastAsia" w:ascii="微软雅黑" w:hAnsi="微软雅黑" w:cs="微软雅黑"/>
              </w:rPr>
            </w:pPr>
            <w:r>
              <w:rPr>
                <w:rFonts w:hint="eastAsia" w:ascii="微软雅黑" w:hAnsi="微软雅黑" w:cs="微软雅黑"/>
                <w:szCs w:val="21"/>
              </w:rPr>
              <w:t xml:space="preserve">开户行行号：3083 0100 6254</w:t>
            </w:r>
            <w:r>
              <w:rPr>
                <w:rFonts w:hint="eastAsia" w:ascii="微软雅黑" w:hAnsi="微软雅黑" w:cs="微软雅黑"/>
              </w:rPr>
            </w:r>
            <w:r/>
          </w:p>
        </w:tc>
      </w:tr>
      <w:tr>
        <w:trPr>
          <w:trHeight w:val="90"/>
        </w:trPr>
        <w:tc>
          <w:tcPr>
            <w:tcW w:w="650"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24</w:t>
            </w:r>
            <w:r>
              <w:rPr>
                <w:rFonts w:hint="eastAsia" w:ascii="微软雅黑" w:hAnsi="微软雅黑" w:cs="微软雅黑"/>
                <w:szCs w:val="21"/>
              </w:rPr>
            </w:r>
            <w:r/>
          </w:p>
        </w:tc>
        <w:tc>
          <w:tcPr>
            <w:tcW w:w="1755" w:type="dxa"/>
            <w:vAlign w:val="center"/>
            <w:textDirection w:val="lrTb"/>
            <w:noWrap w:val="false"/>
          </w:tcPr>
          <w:p>
            <w:pPr>
              <w:pStyle w:val="928"/>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117" w:type="dxa"/>
            <w:vAlign w:val="center"/>
            <w:textDirection w:val="lrTb"/>
            <w:noWrap w:val="false"/>
          </w:tcPr>
          <w:p>
            <w:pPr>
              <w:pStyle w:val="928"/>
              <w:numPr>
                <w:ilvl w:val="0"/>
                <w:numId w:val="7"/>
              </w:numPr>
              <w:spacing w:line="400" w:lineRule="exact"/>
              <w:rPr>
                <w:rFonts w:hint="eastAsia" w:ascii="微软雅黑" w:hAnsi="微软雅黑" w:cs="微软雅黑"/>
              </w:rPr>
            </w:pPr>
            <w:r>
              <w:rPr>
                <w:rFonts w:hint="eastAsia" w:ascii="微软雅黑" w:hAnsi="微软雅黑" w:cs="微软雅黑"/>
              </w:rPr>
              <w:t xml:space="preserve">有关本项目的相关公告敬请关注江苏省政府采购网，也可以与我公司项目部联系，联系人及电话：徐雪025-8360</w:t>
            </w:r>
            <w:r>
              <w:rPr>
                <w:rFonts w:ascii="微软雅黑" w:hAnsi="微软雅黑" w:cs="微软雅黑"/>
              </w:rPr>
              <w:t xml:space="preserve">33</w:t>
            </w:r>
            <w:r>
              <w:rPr>
                <w:rFonts w:hint="eastAsia" w:ascii="微软雅黑" w:hAnsi="微软雅黑" w:cs="微软雅黑"/>
              </w:rPr>
              <w:t xml:space="preserve">68。</w:t>
            </w:r>
            <w:r>
              <w:rPr>
                <w:rFonts w:hint="eastAsia" w:ascii="微软雅黑" w:hAnsi="微软雅黑" w:cs="微软雅黑"/>
              </w:rPr>
            </w:r>
            <w:r/>
          </w:p>
          <w:p>
            <w:pPr>
              <w:pStyle w:val="928"/>
              <w:numPr>
                <w:ilvl w:val="0"/>
                <w:numId w:val="7"/>
              </w:numPr>
              <w:spacing w:line="400" w:lineRule="exact"/>
              <w:rPr>
                <w:rFonts w:hint="eastAsia" w:ascii="微软雅黑" w:hAnsi="微软雅黑" w:cs="微软雅黑"/>
              </w:rPr>
            </w:pPr>
            <w:r>
              <w:rPr>
                <w:rFonts w:hint="eastAsia" w:ascii="微软雅黑" w:hAnsi="微软雅黑" w:cs="微软雅黑"/>
              </w:rPr>
              <w:t xml:space="preserve">有关保证金退还事项：请填好退保函后盖公章发至财务邮箱：</w:t>
            </w:r>
            <w:r>
              <w:fldChar w:fldCharType="begin"/>
            </w:r>
            <w:r>
              <w:instrText xml:space="preserve"> HYPERLINK "mailto:jshc888888@163.com。（退保函包括项目名称、项目编号及单位的汇款信息等，模板详见江苏省华采招标有限公司官网http:/www.jshczb.cn/）。" </w:instrText>
            </w:r>
            <w:r>
              <w:fldChar w:fldCharType="separate"/>
            </w:r>
            <w:r>
              <w:rPr>
                <w:rFonts w:hint="eastAsia" w:ascii="微软雅黑" w:hAnsi="微软雅黑" w:cs="微软雅黑"/>
              </w:rPr>
              <w:t xml:space="preserve">jshc888888@163.com。（退保函包括项目名称、项目编号及单位的汇款信息等，模板详见江苏省华采招标有限公司官网http://www.jshczb.com/）。</w:t>
            </w:r>
            <w:r>
              <w:rPr>
                <w:rFonts w:hint="eastAsia" w:ascii="微软雅黑" w:hAnsi="微软雅黑" w:cs="微软雅黑"/>
              </w:rPr>
              <w:fldChar w:fldCharType="end"/>
            </w:r>
            <w:r>
              <w:rPr>
                <w:rFonts w:hint="eastAsia" w:ascii="微软雅黑" w:hAnsi="微软雅黑" w:cs="微软雅黑"/>
              </w:rPr>
            </w:r>
            <w:r/>
          </w:p>
          <w:p>
            <w:pPr>
              <w:pStyle w:val="947"/>
              <w:numPr>
                <w:ilvl w:val="0"/>
                <w:numId w:val="7"/>
              </w:numPr>
              <w:spacing w:line="400" w:lineRule="exact"/>
              <w:rPr>
                <w:rFonts w:hint="eastAsia"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ascii="微软雅黑" w:hAnsi="微软雅黑" w:cs="微软雅黑"/>
              </w:rPr>
            </w:r>
            <w:r/>
          </w:p>
          <w:p>
            <w:pPr>
              <w:pStyle w:val="928"/>
              <w:numPr>
                <w:ilvl w:val="0"/>
                <w:numId w:val="7"/>
              </w:numPr>
            </w:pPr>
            <w:r>
              <w:rPr>
                <w:rFonts w:hint="eastAsia" w:ascii="微软雅黑" w:hAnsi="微软雅黑" w:cs="微软雅黑"/>
              </w:rPr>
              <w:t xml:space="preserve">领取发票：电子发票</w:t>
            </w:r>
            <w:r>
              <w:rPr>
                <w:rFonts w:hint="eastAsia"/>
              </w:rPr>
              <w:t xml:space="preserve">。</w:t>
            </w:r>
            <w:r/>
          </w:p>
        </w:tc>
      </w:tr>
    </w:tbl>
    <w:p>
      <w:pPr>
        <w:pStyle w:val="928"/>
        <w:rPr>
          <w:rFonts w:hint="eastAsia" w:ascii="微软雅黑" w:hAnsi="微软雅黑" w:cs="微软雅黑"/>
        </w:rPr>
      </w:pPr>
      <w:r>
        <w:rPr>
          <w:rFonts w:hint="eastAsia" w:ascii="微软雅黑" w:hAnsi="微软雅黑" w:cs="微软雅黑"/>
        </w:rPr>
      </w:r>
      <w:r/>
    </w:p>
    <w:p>
      <w:pPr>
        <w:pStyle w:val="1143"/>
        <w:rPr>
          <w:rFonts w:hint="eastAsia" w:ascii="微软雅黑" w:hAnsi="微软雅黑" w:cs="微软雅黑"/>
        </w:rPr>
      </w:pPr>
      <w:r/>
      <w:bookmarkStart w:id="53" w:name="_Toc452384170"/>
      <w:r/>
      <w:bookmarkStart w:id="54" w:name="_Toc4078"/>
      <w:r>
        <w:rPr>
          <w:rFonts w:hint="eastAsia" w:ascii="微软雅黑" w:hAnsi="微软雅黑" w:cs="微软雅黑"/>
        </w:rPr>
        <w:br w:type="page" w:clear="all"/>
      </w:r>
      <w:bookmarkStart w:id="55" w:name="_Toc6314"/>
      <w:r>
        <w:rPr>
          <w:rFonts w:hint="eastAsia" w:ascii="微软雅黑" w:hAnsi="微软雅黑" w:cs="微软雅黑"/>
        </w:rPr>
        <w:t xml:space="preserve">一、总则</w:t>
      </w:r>
      <w:bookmarkEnd w:id="53"/>
      <w:r/>
      <w:bookmarkEnd w:id="54"/>
      <w:r/>
      <w:bookmarkEnd w:id="55"/>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56" w:name="_Toc13546"/>
      <w:r/>
      <w:bookmarkStart w:id="57" w:name="_Toc452384171"/>
      <w:r/>
      <w:bookmarkStart w:id="58" w:name="_Toc7409"/>
      <w:r>
        <w:rPr>
          <w:rFonts w:hint="eastAsia" w:ascii="微软雅黑" w:hAnsi="微软雅黑" w:cs="微软雅黑"/>
          <w:b/>
          <w:bCs w:val="0"/>
          <w:sz w:val="24"/>
          <w:szCs w:val="24"/>
        </w:rPr>
        <w:t xml:space="preserve">1.1 适用范围</w:t>
      </w:r>
      <w:bookmarkEnd w:id="56"/>
      <w:r/>
      <w:bookmarkEnd w:id="57"/>
      <w:r/>
      <w:bookmarkEnd w:id="58"/>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1.1.1 本采购文件仅适用于江苏省华采招标有限公司（以下简称采购代理机构）组织的采购活动。</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1.1.2 采购人指</w:t>
      </w:r>
      <w:r>
        <w:rPr>
          <w:rFonts w:hint="eastAsia" w:ascii="微软雅黑" w:hAnsi="微软雅黑" w:cs="微软雅黑"/>
          <w:b/>
          <w:bCs/>
        </w:rPr>
        <w:t xml:space="preserve">江宁经济技术开发区人民法院</w:t>
      </w:r>
      <w:r>
        <w:rPr>
          <w:rFonts w:hint="eastAsia" w:ascii="微软雅黑" w:hAnsi="微软雅黑" w:cs="微软雅黑"/>
        </w:rPr>
        <w:t xml:space="preserve">。</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59" w:name="_Toc452384172"/>
      <w:r/>
      <w:bookmarkStart w:id="60" w:name="_Toc5472"/>
      <w:r/>
      <w:bookmarkStart w:id="61" w:name="_Toc12831"/>
      <w:r/>
      <w:bookmarkStart w:id="62" w:name="_Toc2532"/>
      <w:r/>
      <w:bookmarkStart w:id="63" w:name="_Toc12748"/>
      <w:r>
        <w:rPr>
          <w:rFonts w:hint="eastAsia" w:ascii="微软雅黑" w:hAnsi="微软雅黑" w:cs="微软雅黑"/>
          <w:b/>
          <w:bCs w:val="0"/>
          <w:sz w:val="24"/>
          <w:szCs w:val="24"/>
        </w:rPr>
        <w:t xml:space="preserve">1.2 合格的</w:t>
      </w:r>
      <w:bookmarkEnd w:id="59"/>
      <w:r>
        <w:rPr>
          <w:rFonts w:hint="eastAsia" w:ascii="微软雅黑" w:hAnsi="微软雅黑" w:cs="微软雅黑"/>
          <w:b/>
          <w:bCs w:val="0"/>
          <w:sz w:val="24"/>
          <w:szCs w:val="24"/>
        </w:rPr>
        <w:t xml:space="preserve">供应商</w:t>
      </w:r>
      <w:bookmarkEnd w:id="60"/>
      <w:r/>
      <w:bookmarkEnd w:id="61"/>
      <w:r/>
      <w:bookmarkEnd w:id="62"/>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1.2.1 凡有能力按照本采购文件规定的要求提供货物、服务，并符合采购文件第一章 “申请人的资格要求”的响应单位均可成为合格的供应商。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1.2.2 供应商参加本次采购活动应当符合本采购文件的规定。</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1.2.3 供应商应遵守《政府采购竞争性磋商采购方式管理暂行办法》、《中华人民共和国民法典》和《反不正当竞争法》等有关法律、法规，如有违反将视为不合格供应商，其响应文件无效。</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1.2.4 联合体响应</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rPr>
      </w:r>
      <w:r/>
    </w:p>
    <w:p>
      <w:pPr>
        <w:pStyle w:val="928"/>
        <w:spacing w:line="412" w:lineRule="exact"/>
        <w:rPr>
          <w:rFonts w:hint="eastAsia" w:ascii="微软雅黑" w:hAnsi="微软雅黑" w:cs="微软雅黑"/>
          <w:b/>
          <w:i/>
          <w:u w:val="single"/>
        </w:rPr>
      </w:pPr>
      <w:r>
        <w:rPr>
          <w:rFonts w:hint="eastAsia" w:ascii="微软雅黑" w:hAnsi="微软雅黑" w:cs="微软雅黑"/>
        </w:rPr>
        <w:t xml:space="preserve">1.2.5 无论采购文件是否提及，响应供应商所递交的响应文件中所有内容均应是真实有效的；</w:t>
      </w:r>
      <w:r>
        <w:rPr>
          <w:rFonts w:hint="eastAsia" w:ascii="微软雅黑" w:hAnsi="微软雅黑" w:cs="微软雅黑"/>
          <w:b/>
          <w:i/>
          <w:u w:val="single"/>
        </w:rPr>
        <w:t xml:space="preserve">供应商所提供的产品或者服务，必须满足国家相关强制性规定要求，否则，将视为不合格供应商，其响应文件无效。</w:t>
      </w:r>
      <w:r>
        <w:rPr>
          <w:rFonts w:hint="eastAsia" w:ascii="微软雅黑" w:hAnsi="微软雅黑" w:cs="微软雅黑"/>
          <w:b/>
          <w:i/>
          <w:u w:val="single"/>
        </w:rPr>
      </w:r>
      <w:r/>
    </w:p>
    <w:p>
      <w:pPr>
        <w:pStyle w:val="989"/>
        <w:jc w:val="left"/>
        <w:keepLines w:val="0"/>
        <w:keepNext w:val="0"/>
        <w:spacing w:line="412" w:lineRule="exact"/>
        <w:rPr>
          <w:rFonts w:hint="eastAsia" w:ascii="微软雅黑" w:hAnsi="微软雅黑" w:cs="微软雅黑"/>
          <w:b/>
          <w:bCs w:val="0"/>
          <w:sz w:val="24"/>
          <w:szCs w:val="24"/>
        </w:rPr>
      </w:pPr>
      <w:r/>
      <w:bookmarkStart w:id="64" w:name="_Toc9128"/>
      <w:r/>
      <w:bookmarkStart w:id="65" w:name="_Toc452384173"/>
      <w:r/>
      <w:bookmarkStart w:id="66" w:name="_Toc13496"/>
      <w:r/>
      <w:bookmarkStart w:id="67" w:name="_Toc26087"/>
      <w:r/>
      <w:bookmarkStart w:id="68" w:name="_Toc403671109"/>
      <w:r>
        <w:rPr>
          <w:rFonts w:hint="eastAsia" w:ascii="微软雅黑" w:hAnsi="微软雅黑" w:cs="微软雅黑"/>
          <w:b/>
          <w:bCs w:val="0"/>
          <w:sz w:val="24"/>
          <w:szCs w:val="24"/>
        </w:rPr>
        <w:t xml:space="preserve">1.3 </w:t>
      </w:r>
      <w:bookmarkEnd w:id="68"/>
      <w:r>
        <w:rPr>
          <w:rFonts w:hint="eastAsia" w:ascii="微软雅黑" w:hAnsi="微软雅黑" w:cs="微软雅黑"/>
          <w:b/>
          <w:bCs w:val="0"/>
          <w:sz w:val="24"/>
          <w:szCs w:val="24"/>
        </w:rPr>
        <w:t xml:space="preserve">参加采购活动费用</w:t>
      </w:r>
      <w:bookmarkEnd w:id="64"/>
      <w:r/>
      <w:bookmarkEnd w:id="65"/>
      <w:r/>
      <w:bookmarkEnd w:id="66"/>
      <w:r/>
      <w:bookmarkEnd w:id="67"/>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1.3.1 无论采购活动过程中的做法和结果如何，供应商自行承担与参加采购活动有关的全部费用。</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1.3.2 有关费用的收取标准，详见供应商须知前附表。</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69" w:name="_Toc13685"/>
      <w:r/>
      <w:bookmarkStart w:id="70" w:name="_Toc452384174"/>
      <w:r/>
      <w:bookmarkStart w:id="71" w:name="_Toc11764"/>
      <w:r/>
      <w:bookmarkStart w:id="72" w:name="_Toc30904"/>
      <w:r>
        <w:rPr>
          <w:rFonts w:hint="eastAsia" w:ascii="微软雅黑" w:hAnsi="微软雅黑" w:cs="微软雅黑"/>
          <w:b/>
          <w:bCs w:val="0"/>
          <w:sz w:val="24"/>
          <w:szCs w:val="24"/>
        </w:rPr>
        <w:t xml:space="preserve">1.4 法律适用</w:t>
      </w:r>
      <w:bookmarkEnd w:id="69"/>
      <w:r/>
      <w:bookmarkEnd w:id="70"/>
      <w:r/>
      <w:bookmarkEnd w:id="71"/>
      <w:r/>
      <w:bookmarkEnd w:id="72"/>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73" w:name="_Toc339"/>
      <w:r/>
      <w:bookmarkStart w:id="74" w:name="_Toc12314"/>
      <w:r/>
      <w:bookmarkStart w:id="75" w:name="_Toc23915"/>
      <w:r/>
      <w:bookmarkStart w:id="76" w:name="_Toc452384175"/>
      <w:r>
        <w:rPr>
          <w:rFonts w:hint="eastAsia" w:ascii="微软雅黑" w:hAnsi="微软雅黑" w:cs="微软雅黑"/>
          <w:b/>
          <w:bCs w:val="0"/>
          <w:sz w:val="24"/>
          <w:szCs w:val="24"/>
        </w:rPr>
        <w:t xml:space="preserve">1.5 采购文件的约束力</w:t>
      </w:r>
      <w:bookmarkEnd w:id="73"/>
      <w:r/>
      <w:bookmarkEnd w:id="74"/>
      <w:r/>
      <w:bookmarkEnd w:id="75"/>
      <w:r/>
      <w:bookmarkEnd w:id="76"/>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1.5.1 供应商一旦参加本次采购活动，即被认为接受了本采购文件中的所有条款和规定。</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1.5.2 本采购文件由采购代理机构负责解释。</w:t>
      </w:r>
      <w:r>
        <w:rPr>
          <w:rFonts w:hint="eastAsia" w:ascii="微软雅黑" w:hAnsi="微软雅黑" w:cs="微软雅黑"/>
        </w:rPr>
      </w:r>
      <w:r/>
    </w:p>
    <w:p>
      <w:pPr>
        <w:pStyle w:val="1143"/>
        <w:keepLines w:val="0"/>
        <w:keepNext w:val="0"/>
        <w:spacing w:line="412" w:lineRule="exact"/>
        <w:rPr>
          <w:rFonts w:hint="eastAsia" w:ascii="微软雅黑" w:hAnsi="微软雅黑" w:cs="微软雅黑"/>
        </w:rPr>
      </w:pPr>
      <w:r/>
      <w:bookmarkStart w:id="77" w:name="_Toc452384176"/>
      <w:r/>
      <w:bookmarkStart w:id="78" w:name="_Toc25294"/>
      <w:r/>
      <w:bookmarkStart w:id="79" w:name="_Toc13404"/>
      <w:r>
        <w:rPr>
          <w:rFonts w:hint="eastAsia" w:ascii="微软雅黑" w:hAnsi="微软雅黑" w:cs="微软雅黑"/>
        </w:rPr>
        <w:t xml:space="preserve">二、采购文件</w:t>
      </w:r>
      <w:bookmarkEnd w:id="77"/>
      <w:r/>
      <w:bookmarkEnd w:id="78"/>
      <w:r/>
      <w:bookmarkEnd w:id="79"/>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80" w:name="_Toc452384177"/>
      <w:r/>
      <w:bookmarkStart w:id="81" w:name="_Toc18437"/>
      <w:r/>
      <w:bookmarkStart w:id="82" w:name="_Toc832"/>
      <w:r/>
      <w:bookmarkStart w:id="83" w:name="_Toc22364"/>
      <w:r>
        <w:rPr>
          <w:rFonts w:hint="eastAsia" w:ascii="微软雅黑" w:hAnsi="微软雅黑" w:cs="微软雅黑"/>
          <w:b/>
          <w:bCs w:val="0"/>
          <w:sz w:val="24"/>
          <w:szCs w:val="24"/>
        </w:rPr>
        <w:t xml:space="preserve">2.1 采购文件的组成</w:t>
      </w:r>
      <w:bookmarkEnd w:id="80"/>
      <w:r/>
      <w:bookmarkEnd w:id="81"/>
      <w:r/>
      <w:bookmarkEnd w:id="82"/>
      <w:r/>
      <w:bookmarkEnd w:id="83"/>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2.1.1 采购文件由以下部分组成：</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第一章  响应邀请（采购公告）</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第二章  供应商须知</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第三章  评分办法和成交原则</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第四章  项目采购需求</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第五章  采购合同</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第六章  响应文件格式及附件</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2.1.3 供应商必须详阅采购文件的所有条款、文件及表格格式等。供应商若未按采购文件的要求和规范编制、提交响应文件，将有可能导致响应文件被拒绝接受或被视为无效。</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84" w:name="_Toc452384179"/>
      <w:r/>
      <w:bookmarkStart w:id="85" w:name="_Toc29873"/>
      <w:r/>
      <w:bookmarkStart w:id="86" w:name="_Toc3964"/>
      <w:r/>
      <w:bookmarkStart w:id="87" w:name="_Toc19968"/>
      <w:r>
        <w:rPr>
          <w:rFonts w:hint="eastAsia" w:ascii="微软雅黑" w:hAnsi="微软雅黑" w:cs="微软雅黑"/>
          <w:b/>
          <w:bCs w:val="0"/>
          <w:sz w:val="24"/>
          <w:szCs w:val="24"/>
        </w:rPr>
        <w:t xml:space="preserve">2.2 采购文件的更正或补充</w:t>
      </w:r>
      <w:bookmarkEnd w:id="84"/>
      <w:r/>
      <w:bookmarkEnd w:id="85"/>
      <w:r/>
      <w:bookmarkEnd w:id="86"/>
      <w:r/>
      <w:bookmarkEnd w:id="87"/>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2.2.1 在响应截止时间前，采购代理机构可根据有关规定对采购文件用更正公告的方式进行修正。</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2.2.2 对采购文件的更正，将在原公告媒体上以公告的方式通知供应商。更正公告将作为采购文件的组成部分，对所有参加本次采购活动的供应商有约束力。因供应商未能及时全面地关注更正公告而导致其响应文件不符合要求并产生的风险及损失，由供应商自行承担。</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2.2.3 当采购文件与更正公告的内容不一致时，以采购代理机构最后发出的更正公告为准。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2.2.4 为使供应商有足够的时间按采购文件的更正要求修正响应文件，采购代理机构有权决定推迟响应截止时间，并按2.2.2条规定的方式将具体变更情况通知供应商。</w:t>
      </w:r>
      <w:r>
        <w:rPr>
          <w:rFonts w:hint="eastAsia" w:ascii="微软雅黑" w:hAnsi="微软雅黑" w:cs="微软雅黑"/>
        </w:rPr>
      </w:r>
      <w:r/>
    </w:p>
    <w:p>
      <w:pPr>
        <w:pStyle w:val="1143"/>
        <w:keepLines w:val="0"/>
        <w:keepNext w:val="0"/>
        <w:spacing w:line="412" w:lineRule="exact"/>
        <w:rPr>
          <w:rFonts w:hint="eastAsia" w:ascii="微软雅黑" w:hAnsi="微软雅黑" w:cs="微软雅黑"/>
        </w:rPr>
      </w:pPr>
      <w:r/>
      <w:bookmarkStart w:id="88" w:name="_Toc11750"/>
      <w:r/>
      <w:bookmarkStart w:id="89" w:name="_Toc452384180"/>
      <w:r/>
      <w:bookmarkStart w:id="90" w:name="_Toc1496"/>
      <w:r>
        <w:rPr>
          <w:rFonts w:hint="eastAsia" w:ascii="微软雅黑" w:hAnsi="微软雅黑" w:cs="微软雅黑"/>
        </w:rPr>
        <w:t xml:space="preserve">三、响应文件</w:t>
      </w:r>
      <w:bookmarkEnd w:id="88"/>
      <w:r/>
      <w:bookmarkEnd w:id="89"/>
      <w:r/>
      <w:bookmarkEnd w:id="90"/>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91" w:name="_Toc27945"/>
      <w:r/>
      <w:bookmarkStart w:id="92" w:name="_Toc8717"/>
      <w:r/>
      <w:bookmarkStart w:id="93" w:name="_Toc452384181"/>
      <w:r/>
      <w:bookmarkStart w:id="94" w:name="_Toc243"/>
      <w:r>
        <w:rPr>
          <w:rFonts w:hint="eastAsia" w:ascii="微软雅黑" w:hAnsi="微软雅黑" w:cs="微软雅黑"/>
          <w:b/>
          <w:bCs w:val="0"/>
          <w:sz w:val="24"/>
          <w:szCs w:val="24"/>
        </w:rPr>
        <w:t xml:space="preserve">3.1 响应文件的语言及度量衡</w:t>
      </w:r>
      <w:bookmarkEnd w:id="91"/>
      <w:r/>
      <w:bookmarkEnd w:id="92"/>
      <w:r/>
      <w:bookmarkEnd w:id="93"/>
      <w:r/>
      <w:bookmarkEnd w:id="94"/>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3.1.1 响应文件以及供应商与采购代理机构之间的所有书面往来都应用简体中文书写。</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3.1.2 供应商已印刷好的资料如产品样本、说明书等可以用其他语言，但其中要点应附有中文译文。在解释响应文件时，以译文为准。如译文有误，有关风险与责任由供应商承担。</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3.1.3 除在采购文件第六章中另有规定外，度量衡单位应使用国际单位制。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3.1.4 本采购文件所表述的时间均为北京时间。</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95" w:name="_Toc452384182"/>
      <w:r/>
      <w:bookmarkStart w:id="96" w:name="_Toc3573"/>
      <w:r/>
      <w:bookmarkStart w:id="97" w:name="_Toc1518"/>
      <w:r/>
      <w:bookmarkStart w:id="98" w:name="_Toc12262"/>
      <w:r>
        <w:rPr>
          <w:rFonts w:hint="eastAsia" w:ascii="微软雅黑" w:hAnsi="微软雅黑" w:cs="微软雅黑"/>
          <w:b/>
          <w:bCs w:val="0"/>
          <w:sz w:val="24"/>
          <w:szCs w:val="24"/>
        </w:rPr>
        <w:t xml:space="preserve">3.2 响应文件的组成</w:t>
      </w:r>
      <w:bookmarkEnd w:id="95"/>
      <w:r/>
      <w:bookmarkEnd w:id="96"/>
      <w:r/>
      <w:bookmarkEnd w:id="97"/>
      <w:r/>
      <w:bookmarkEnd w:id="98"/>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3.2.1 响应文件应包括下列部分（目录及有关格式按采购文件第六章“响应文件格式”要求）：</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（1）响应函和响应报价及相关证明文件。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（2）供应商资格证明文件。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（3）响应供应商有能力履行合同的证明文件，除必须具有的履行合同所需的提供货物、服务的能力外，还必须具备相应的财务、专业技术方面的能力；</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3.2.2 采购文件第四章中指出的工艺、材料和设备的标准，以及商标、牌号或其目录编号，仅起说明作用并非进行限制。</w:t>
      </w:r>
      <w:r>
        <w:rPr>
          <w:rFonts w:hint="eastAsia" w:ascii="微软雅黑" w:hAnsi="微软雅黑" w:cs="微软雅黑"/>
        </w:rPr>
      </w:r>
      <w:r/>
    </w:p>
    <w:p>
      <w:pPr>
        <w:pStyle w:val="928"/>
        <w:spacing w:line="412" w:lineRule="exact"/>
        <w:rPr>
          <w:rFonts w:hint="eastAsia" w:ascii="微软雅黑" w:hAnsi="微软雅黑" w:cs="微软雅黑"/>
          <w:b/>
          <w:i/>
          <w:u w:val="single"/>
        </w:rPr>
      </w:pPr>
      <w:r>
        <w:rPr>
          <w:rFonts w:hint="eastAsia" w:ascii="微软雅黑" w:hAnsi="微软雅黑" w:cs="微软雅黑"/>
        </w:rPr>
        <w:t xml:space="preserve">3.2.3 </w:t>
      </w:r>
      <w:r>
        <w:rPr>
          <w:rFonts w:hint="eastAsia" w:ascii="微软雅黑" w:hAnsi="微软雅黑" w:cs="微软雅黑"/>
          <w:b/>
          <w:i/>
          <w:u w:val="single"/>
        </w:rPr>
        <w:t xml:space="preserve">若供应商未按采购文件的要求提供资料，或未对采购文件做出实质性响应，将导致响应文件被视为无效。</w:t>
      </w:r>
      <w:r>
        <w:rPr>
          <w:rFonts w:hint="eastAsia" w:ascii="微软雅黑" w:hAnsi="微软雅黑" w:cs="微软雅黑"/>
          <w:b/>
          <w:i/>
          <w:u w:val="single"/>
        </w:rPr>
      </w:r>
      <w:r/>
    </w:p>
    <w:p>
      <w:pPr>
        <w:pStyle w:val="989"/>
        <w:jc w:val="left"/>
        <w:keepLines w:val="0"/>
        <w:keepNext w:val="0"/>
        <w:spacing w:line="412" w:lineRule="exact"/>
        <w:rPr>
          <w:rFonts w:hint="eastAsia" w:ascii="微软雅黑" w:hAnsi="微软雅黑" w:cs="微软雅黑"/>
          <w:b/>
          <w:bCs w:val="0"/>
          <w:sz w:val="24"/>
          <w:szCs w:val="24"/>
        </w:rPr>
      </w:pPr>
      <w:r/>
      <w:bookmarkStart w:id="99" w:name="_Toc14868"/>
      <w:r/>
      <w:bookmarkStart w:id="100" w:name="_Toc452384183"/>
      <w:r/>
      <w:bookmarkStart w:id="101" w:name="_Toc14732"/>
      <w:r/>
      <w:bookmarkStart w:id="102" w:name="_Toc13824"/>
      <w:r>
        <w:rPr>
          <w:rFonts w:hint="eastAsia" w:ascii="微软雅黑" w:hAnsi="微软雅黑" w:cs="微软雅黑"/>
          <w:b/>
          <w:bCs w:val="0"/>
          <w:sz w:val="24"/>
          <w:szCs w:val="24"/>
        </w:rPr>
        <w:t xml:space="preserve">3.3 响应报价</w:t>
      </w:r>
      <w:bookmarkEnd w:id="99"/>
      <w:r/>
      <w:bookmarkEnd w:id="100"/>
      <w:r/>
      <w:bookmarkEnd w:id="101"/>
      <w:r/>
      <w:bookmarkEnd w:id="102"/>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3.3.1 如采购文件无其他特殊说明，本次采购采用总承包方式，因此供应商的报价应包括全部服务的价格及相关税费、培训、售后服务等其他有关的所有费用。</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3.3.2 除非采购文件有特别说明，采购代理机构不接受备选的响应方案或有选择的报价。</w:t>
      </w:r>
      <w:r>
        <w:rPr>
          <w:rFonts w:hint="eastAsia" w:ascii="微软雅黑" w:hAnsi="微软雅黑" w:cs="微软雅黑"/>
        </w:rPr>
      </w:r>
      <w:r/>
    </w:p>
    <w:p>
      <w:pPr>
        <w:pStyle w:val="928"/>
        <w:spacing w:line="412" w:lineRule="exact"/>
        <w:rPr>
          <w:rFonts w:hint="eastAsia" w:ascii="微软雅黑" w:hAnsi="微软雅黑" w:cs="微软雅黑"/>
          <w:b/>
          <w:i/>
          <w:u w:val="single"/>
        </w:rPr>
      </w:pPr>
      <w:r>
        <w:rPr>
          <w:rFonts w:hint="eastAsia" w:ascii="微软雅黑" w:hAnsi="微软雅黑" w:cs="微软雅黑"/>
          <w:b/>
          <w:i/>
          <w:u w:val="single"/>
        </w:rPr>
        <w:t xml:space="preserve">3.3.3 响应报价不得超过采购预算或最高限价，否则响应文件被视为无效。</w:t>
      </w:r>
      <w:r>
        <w:rPr>
          <w:rFonts w:hint="eastAsia" w:ascii="微软雅黑" w:hAnsi="微软雅黑" w:cs="微软雅黑"/>
          <w:b/>
          <w:i/>
          <w:u w:val="single"/>
        </w:rPr>
      </w:r>
      <w:r/>
    </w:p>
    <w:p>
      <w:pPr>
        <w:pStyle w:val="989"/>
        <w:jc w:val="left"/>
        <w:keepLines w:val="0"/>
        <w:keepNext w:val="0"/>
        <w:spacing w:line="412" w:lineRule="exact"/>
        <w:rPr>
          <w:rFonts w:hint="eastAsia" w:ascii="微软雅黑" w:hAnsi="微软雅黑" w:cs="微软雅黑"/>
          <w:b/>
          <w:bCs w:val="0"/>
          <w:sz w:val="24"/>
          <w:szCs w:val="24"/>
        </w:rPr>
      </w:pPr>
      <w:r/>
      <w:bookmarkStart w:id="103" w:name="_Toc19296"/>
      <w:r/>
      <w:bookmarkStart w:id="104" w:name="_Toc12207"/>
      <w:r/>
      <w:bookmarkStart w:id="105" w:name="_Toc452384184"/>
      <w:r/>
      <w:bookmarkStart w:id="106" w:name="_Toc9904"/>
      <w:r>
        <w:rPr>
          <w:rFonts w:hint="eastAsia" w:ascii="微软雅黑" w:hAnsi="微软雅黑" w:cs="微软雅黑"/>
          <w:b/>
          <w:bCs w:val="0"/>
          <w:sz w:val="24"/>
          <w:szCs w:val="24"/>
        </w:rPr>
        <w:t xml:space="preserve">3.4 响应报价中的货币</w:t>
      </w:r>
      <w:bookmarkEnd w:id="103"/>
      <w:r/>
      <w:bookmarkEnd w:id="104"/>
      <w:r/>
      <w:bookmarkEnd w:id="105"/>
      <w:r/>
      <w:bookmarkEnd w:id="106"/>
      <w:r>
        <w:rPr>
          <w:rFonts w:hint="eastAsia" w:ascii="微软雅黑" w:hAnsi="微软雅黑" w:cs="微软雅黑"/>
          <w:b/>
          <w:bCs w:val="0"/>
          <w:sz w:val="24"/>
          <w:szCs w:val="24"/>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响应报价均须以人民币为计算单位，采购文件另有规定的，从其规定。</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07" w:name="_Toc452384185"/>
      <w:r/>
      <w:bookmarkStart w:id="108" w:name="_Toc26353"/>
      <w:r/>
      <w:bookmarkStart w:id="109" w:name="_Toc31194"/>
      <w:r/>
      <w:bookmarkStart w:id="110" w:name="_Toc6199"/>
      <w:r>
        <w:rPr>
          <w:rFonts w:hint="eastAsia" w:ascii="微软雅黑" w:hAnsi="微软雅黑" w:cs="微软雅黑"/>
          <w:b/>
          <w:bCs w:val="0"/>
          <w:sz w:val="24"/>
          <w:szCs w:val="24"/>
        </w:rPr>
        <w:t xml:space="preserve">3.5 响应保证金</w:t>
      </w:r>
      <w:bookmarkEnd w:id="107"/>
      <w:r/>
      <w:bookmarkEnd w:id="108"/>
      <w:r>
        <w:t xml:space="preserve">:</w:t>
      </w:r>
      <w:r>
        <w:rPr>
          <w:b/>
          <w:sz w:val="22"/>
          <w:szCs w:val="24"/>
        </w:rPr>
        <w:t xml:space="preserve">无</w:t>
      </w:r>
      <w:r>
        <w:t xml:space="preserve">。</w:t>
      </w:r>
      <w:bookmarkEnd w:id="109"/>
      <w:r/>
      <w:bookmarkEnd w:id="110"/>
      <w:r>
        <w:rPr>
          <w:rFonts w:hint="eastAsia" w:ascii="微软雅黑" w:hAnsi="微软雅黑" w:cs="微软雅黑"/>
          <w:b/>
          <w:bCs w:val="0"/>
          <w:sz w:val="24"/>
          <w:szCs w:val="24"/>
        </w:rPr>
      </w:r>
      <w:r/>
    </w:p>
    <w:p>
      <w:pPr>
        <w:pStyle w:val="989"/>
        <w:jc w:val="left"/>
        <w:keepLines w:val="0"/>
        <w:keepNext w:val="0"/>
        <w:spacing w:line="412" w:lineRule="exact"/>
        <w:rPr>
          <w:rFonts w:hint="eastAsia" w:ascii="微软雅黑" w:hAnsi="微软雅黑" w:cs="微软雅黑"/>
          <w:b/>
          <w:bCs w:val="0"/>
          <w:sz w:val="24"/>
          <w:szCs w:val="24"/>
        </w:rPr>
      </w:pPr>
      <w:r/>
      <w:bookmarkStart w:id="111" w:name="_Toc9247"/>
      <w:r/>
      <w:bookmarkStart w:id="112" w:name="_Toc13458"/>
      <w:r/>
      <w:bookmarkStart w:id="113" w:name="_Toc26110"/>
      <w:r/>
      <w:bookmarkStart w:id="114" w:name="_Toc452384186"/>
      <w:r>
        <w:rPr>
          <w:rFonts w:hint="eastAsia" w:ascii="微软雅黑" w:hAnsi="微软雅黑" w:cs="微软雅黑"/>
          <w:b/>
          <w:bCs w:val="0"/>
          <w:sz w:val="24"/>
          <w:szCs w:val="24"/>
        </w:rPr>
        <w:t xml:space="preserve">3.6 响应有效期</w:t>
      </w:r>
      <w:bookmarkEnd w:id="111"/>
      <w:r/>
      <w:bookmarkEnd w:id="112"/>
      <w:r/>
      <w:bookmarkEnd w:id="113"/>
      <w:r/>
      <w:bookmarkEnd w:id="114"/>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3.6.1 响应有效期为从响应截止之日起计算的九十天，有效期短于此规定的响应文件将被视为无效。</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3.6.2 在特殊情况下，采购代理机构可于响应有效期满之前，征得供应商同意延长有效期，要求与答复均应以书面形式进行。供应商可以拒绝接受这一要求而放弃响应，保证金将无息退还。同意这一要求的供应商，不得修改其响应文件，但须相应延长保证金的有效期。受响应有效期制约的所有权利和义务均应延长至新的有效期。</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15" w:name="_Toc16303"/>
      <w:r/>
      <w:bookmarkStart w:id="116" w:name="_Toc452384187"/>
      <w:r/>
      <w:bookmarkStart w:id="117" w:name="_Toc28167"/>
      <w:r/>
      <w:bookmarkStart w:id="118" w:name="_Toc32419"/>
      <w:r>
        <w:rPr>
          <w:rFonts w:hint="eastAsia" w:ascii="微软雅黑" w:hAnsi="微软雅黑" w:cs="微软雅黑"/>
          <w:b/>
          <w:bCs w:val="0"/>
          <w:sz w:val="24"/>
          <w:szCs w:val="24"/>
        </w:rPr>
        <w:t xml:space="preserve">3.7 响应文件的签署、形式及装订</w:t>
      </w:r>
      <w:bookmarkEnd w:id="115"/>
      <w:r/>
      <w:bookmarkEnd w:id="116"/>
      <w:r/>
      <w:bookmarkEnd w:id="117"/>
      <w:r/>
      <w:bookmarkEnd w:id="118"/>
      <w:r>
        <w:rPr>
          <w:rFonts w:hint="eastAsia" w:ascii="微软雅黑" w:hAnsi="微软雅黑" w:cs="微软雅黑"/>
          <w:b/>
          <w:bCs w:val="0"/>
          <w:sz w:val="24"/>
          <w:szCs w:val="24"/>
        </w:rPr>
      </w:r>
      <w:r/>
    </w:p>
    <w:p>
      <w:pPr>
        <w:pStyle w:val="928"/>
        <w:jc w:val="left"/>
        <w:spacing w:line="440" w:lineRule="exact"/>
        <w:rPr>
          <w:rFonts w:hint="eastAsia" w:ascii="微软雅黑" w:hAnsi="微软雅黑" w:cs="微软雅黑"/>
          <w:bCs/>
          <w:szCs w:val="21"/>
        </w:rPr>
      </w:pPr>
      <w:r/>
      <w:bookmarkStart w:id="119" w:name="_Toc452384188"/>
      <w:r>
        <w:rPr>
          <w:rFonts w:hint="eastAsia" w:ascii="微软雅黑" w:hAnsi="微软雅黑" w:cs="微软雅黑"/>
          <w:bCs/>
          <w:szCs w:val="21"/>
        </w:rPr>
        <w:t xml:space="preserve">3.7.1响应文件规定盖章的地方，应盖单位公章或电子公章（文件中的单位盖章、印章、公章等处均仅指与供应商全称相一致的标准公章，如供应商为自然人可不加盖公章，仅由本人签字）。</w:t>
      </w:r>
      <w:r>
        <w:rPr>
          <w:rFonts w:hint="eastAsia" w:ascii="微软雅黑" w:hAnsi="微软雅黑" w:cs="微软雅黑"/>
          <w:bCs/>
          <w:szCs w:val="21"/>
        </w:rPr>
      </w:r>
      <w:r/>
    </w:p>
    <w:p>
      <w:pPr>
        <w:pStyle w:val="928"/>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3.7.2 </w:t>
      </w:r>
      <w:r>
        <w:rPr>
          <w:rFonts w:hint="eastAsia" w:ascii="微软雅黑" w:hAnsi="微软雅黑" w:cs="微软雅黑"/>
          <w:b/>
          <w:szCs w:val="21"/>
        </w:rPr>
        <w:t xml:space="preserve">本采购文件所表述（指定）的公章是指刻有供应商法定名称的印章，不包括响应、合同、财务、税务、发票等形式的业务专用章。</w:t>
      </w:r>
      <w:r>
        <w:rPr>
          <w:rFonts w:hint="eastAsia" w:ascii="微软雅黑" w:hAnsi="微软雅黑" w:cs="微软雅黑"/>
          <w:bCs/>
          <w:szCs w:val="21"/>
        </w:rPr>
      </w:r>
      <w:r/>
    </w:p>
    <w:p>
      <w:pPr>
        <w:pStyle w:val="928"/>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3.7.3 除供应商对错处做必要修改外，响应文件不得行间插字、涂改或增删。如有修改错漏处，必须由法定代表人或其授权代表签字或盖章方有效。</w:t>
      </w:r>
      <w:r>
        <w:rPr>
          <w:rFonts w:hint="eastAsia" w:ascii="微软雅黑" w:hAnsi="微软雅黑" w:cs="微软雅黑"/>
          <w:bCs/>
          <w:szCs w:val="21"/>
        </w:rPr>
      </w:r>
      <w:r/>
    </w:p>
    <w:p>
      <w:pPr>
        <w:pStyle w:val="928"/>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3.7.4 响应文件需包含评分索引表、目录及页码。</w:t>
      </w:r>
      <w:r>
        <w:rPr>
          <w:rFonts w:hint="eastAsia" w:ascii="微软雅黑" w:hAnsi="微软雅黑" w:cs="微软雅黑"/>
          <w:bCs/>
          <w:szCs w:val="21"/>
        </w:rPr>
      </w:r>
      <w:r/>
    </w:p>
    <w:p>
      <w:pPr>
        <w:pStyle w:val="1143"/>
        <w:keepLines w:val="0"/>
        <w:keepNext w:val="0"/>
        <w:spacing w:line="412" w:lineRule="exact"/>
        <w:rPr>
          <w:rFonts w:hint="eastAsia" w:ascii="微软雅黑" w:hAnsi="微软雅黑" w:cs="微软雅黑"/>
        </w:rPr>
      </w:pPr>
      <w:r/>
      <w:bookmarkStart w:id="120" w:name="_Toc3013"/>
      <w:r/>
      <w:bookmarkStart w:id="121" w:name="_Toc14466"/>
      <w:r>
        <w:rPr>
          <w:rFonts w:hint="eastAsia" w:ascii="微软雅黑" w:hAnsi="微软雅黑" w:cs="微软雅黑"/>
        </w:rPr>
        <w:t xml:space="preserve">四、响应文件的递交</w:t>
      </w:r>
      <w:bookmarkEnd w:id="119"/>
      <w:r/>
      <w:bookmarkEnd w:id="120"/>
      <w:r/>
      <w:bookmarkEnd w:id="121"/>
      <w:r>
        <w:rPr>
          <w:rFonts w:hint="eastAsia" w:ascii="微软雅黑" w:hAnsi="微软雅黑" w:cs="微软雅黑"/>
        </w:rPr>
      </w:r>
      <w:r/>
    </w:p>
    <w:p>
      <w:pPr>
        <w:pStyle w:val="989"/>
        <w:spacing w:before="0" w:after="0" w:line="420" w:lineRule="exact"/>
        <w:rPr>
          <w:rFonts w:hint="eastAsia" w:ascii="微软雅黑" w:hAnsi="微软雅黑" w:cs="微软雅黑"/>
          <w:szCs w:val="21"/>
        </w:rPr>
      </w:pPr>
      <w:r/>
      <w:bookmarkStart w:id="122" w:name="_Toc8492"/>
      <w:r/>
      <w:bookmarkStart w:id="123" w:name="_Toc21964"/>
      <w:r/>
      <w:bookmarkStart w:id="124" w:name="_Toc19773"/>
      <w:r/>
      <w:bookmarkStart w:id="125" w:name="_Toc452384193"/>
      <w:r>
        <w:rPr>
          <w:rFonts w:hint="eastAsia" w:ascii="微软雅黑" w:hAnsi="微软雅黑" w:cs="微软雅黑"/>
          <w:b/>
          <w:bCs w:val="0"/>
          <w:sz w:val="21"/>
          <w:szCs w:val="21"/>
        </w:rPr>
        <w:t xml:space="preserve">4.1供应商应当按照《操作手册》规定，在采购公告规定的响应截止时间前制作并上传电子响应文件。招标代理机构拒绝接收提交响应文件截止时间后上传的任何电子响应文件。</w:t>
      </w:r>
      <w:bookmarkEnd w:id="122"/>
      <w:r/>
      <w:bookmarkEnd w:id="123"/>
      <w:r/>
      <w:bookmarkEnd w:id="124"/>
      <w:r>
        <w:rPr>
          <w:rFonts w:hint="eastAsia" w:ascii="微软雅黑" w:hAnsi="微软雅黑" w:cs="微软雅黑"/>
          <w:szCs w:val="21"/>
        </w:rPr>
        <w:t xml:space="preserve">    </w:t>
      </w:r>
      <w:r>
        <w:rPr>
          <w:rFonts w:hint="eastAsia" w:ascii="微软雅黑" w:hAnsi="微软雅黑" w:cs="微软雅黑"/>
          <w:szCs w:val="21"/>
        </w:rPr>
      </w:r>
      <w:r/>
    </w:p>
    <w:p>
      <w:pPr>
        <w:pStyle w:val="989"/>
        <w:jc w:val="left"/>
        <w:spacing w:before="0" w:after="0" w:line="420" w:lineRule="exact"/>
        <w:rPr>
          <w:rFonts w:hint="eastAsia" w:ascii="微软雅黑" w:hAnsi="微软雅黑" w:cs="微软雅黑"/>
          <w:b/>
          <w:bCs w:val="0"/>
          <w:sz w:val="21"/>
          <w:szCs w:val="21"/>
        </w:rPr>
      </w:pPr>
      <w:r/>
      <w:bookmarkStart w:id="126" w:name="_Toc6971"/>
      <w:r/>
      <w:bookmarkStart w:id="127" w:name="_Toc18719"/>
      <w:r/>
      <w:bookmarkStart w:id="128" w:name="_Toc2384"/>
      <w:r/>
      <w:bookmarkStart w:id="129" w:name="_Toc7862"/>
      <w:r/>
      <w:bookmarkStart w:id="130" w:name="_Toc452384192"/>
      <w:r/>
      <w:bookmarkStart w:id="131" w:name="_Toc11818"/>
      <w:r>
        <w:rPr>
          <w:rFonts w:hint="eastAsia" w:ascii="微软雅黑" w:hAnsi="微软雅黑" w:cs="微软雅黑"/>
          <w:b/>
          <w:bCs w:val="0"/>
          <w:sz w:val="21"/>
          <w:szCs w:val="21"/>
        </w:rPr>
        <w:t xml:space="preserve">4.2有下列情形的响应文件将被拒收</w:t>
      </w:r>
      <w:bookmarkEnd w:id="126"/>
      <w:r/>
      <w:bookmarkEnd w:id="127"/>
      <w:r/>
      <w:bookmarkEnd w:id="128"/>
      <w:r/>
      <w:bookmarkEnd w:id="129"/>
      <w:r>
        <w:rPr>
          <w:rFonts w:hint="eastAsia" w:ascii="微软雅黑" w:hAnsi="微软雅黑" w:cs="微软雅黑"/>
          <w:b/>
          <w:bCs w:val="0"/>
          <w:sz w:val="21"/>
          <w:szCs w:val="21"/>
        </w:rPr>
      </w:r>
      <w:r/>
    </w:p>
    <w:p>
      <w:pPr>
        <w:pStyle w:val="989"/>
        <w:jc w:val="left"/>
        <w:spacing w:before="0" w:after="0" w:line="440" w:lineRule="exact"/>
        <w:rPr>
          <w:rFonts w:hint="eastAsia" w:ascii="微软雅黑" w:hAnsi="微软雅黑" w:cs="微软雅黑"/>
          <w:b/>
          <w:bCs w:val="0"/>
          <w:sz w:val="21"/>
          <w:szCs w:val="21"/>
        </w:rPr>
      </w:pPr>
      <w:r/>
      <w:bookmarkStart w:id="132" w:name="_Toc18914"/>
      <w:r/>
      <w:bookmarkStart w:id="133" w:name="_Toc22508"/>
      <w:r/>
      <w:bookmarkStart w:id="134" w:name="_Toc30401"/>
      <w:r/>
      <w:bookmarkStart w:id="135" w:name="_Toc32190"/>
      <w:r>
        <w:rPr>
          <w:rFonts w:hint="eastAsia" w:ascii="微软雅黑" w:hAnsi="微软雅黑" w:cs="微软雅黑"/>
          <w:b/>
          <w:bCs w:val="0"/>
          <w:sz w:val="21"/>
          <w:szCs w:val="21"/>
        </w:rPr>
        <w:t xml:space="preserve">4.2.1供应商应当按照《操作手册》规定，在“苏采云”系统规定的时间内对响应文件进行解密。</w:t>
      </w:r>
      <w:bookmarkEnd w:id="132"/>
      <w:r/>
      <w:bookmarkEnd w:id="133"/>
      <w:r/>
      <w:bookmarkEnd w:id="134"/>
      <w:r/>
      <w:bookmarkEnd w:id="135"/>
      <w:r>
        <w:rPr>
          <w:rFonts w:hint="eastAsia" w:ascii="微软雅黑" w:hAnsi="微软雅黑" w:cs="微软雅黑"/>
          <w:b/>
          <w:bCs w:val="0"/>
          <w:sz w:val="21"/>
          <w:szCs w:val="21"/>
        </w:rPr>
      </w:r>
      <w:r/>
    </w:p>
    <w:p>
      <w:pPr>
        <w:pStyle w:val="989"/>
        <w:jc w:val="left"/>
        <w:spacing w:before="0" w:after="0" w:line="440" w:lineRule="exact"/>
        <w:rPr>
          <w:rFonts w:hint="eastAsia" w:ascii="微软雅黑" w:hAnsi="微软雅黑" w:cs="微软雅黑"/>
          <w:b/>
          <w:bCs w:val="0"/>
          <w:sz w:val="21"/>
          <w:szCs w:val="21"/>
        </w:rPr>
      </w:pPr>
      <w:r/>
      <w:bookmarkStart w:id="136" w:name="_Toc2710"/>
      <w:r/>
      <w:bookmarkStart w:id="137" w:name="_Toc5098"/>
      <w:r/>
      <w:bookmarkStart w:id="138" w:name="_Toc18459"/>
      <w:r/>
      <w:bookmarkStart w:id="139" w:name="_Toc22249"/>
      <w:r>
        <w:rPr>
          <w:rFonts w:hint="eastAsia" w:ascii="微软雅黑" w:hAnsi="微软雅黑" w:cs="微软雅黑"/>
          <w:b/>
          <w:bCs w:val="0"/>
          <w:sz w:val="21"/>
          <w:szCs w:val="21"/>
        </w:rPr>
        <w:t xml:space="preserve">4.2.2供应商应充分考虑网络环境、网络带宽等因素可能对响应产生的影响，如因供应商自身原因造成的电子响应文件解密不成功的，做无效响应处理。</w:t>
      </w:r>
      <w:bookmarkEnd w:id="136"/>
      <w:r/>
      <w:bookmarkEnd w:id="137"/>
      <w:r/>
      <w:bookmarkEnd w:id="138"/>
      <w:r/>
      <w:bookmarkEnd w:id="139"/>
      <w:r>
        <w:rPr>
          <w:rFonts w:hint="eastAsia" w:ascii="微软雅黑" w:hAnsi="微软雅黑" w:cs="微软雅黑"/>
          <w:b/>
          <w:bCs w:val="0"/>
          <w:sz w:val="21"/>
          <w:szCs w:val="21"/>
        </w:rPr>
      </w:r>
      <w:r/>
    </w:p>
    <w:p>
      <w:pPr>
        <w:pStyle w:val="989"/>
        <w:jc w:val="left"/>
        <w:spacing w:before="0" w:after="0" w:line="440" w:lineRule="exact"/>
        <w:rPr>
          <w:rFonts w:hint="eastAsia" w:ascii="微软雅黑" w:hAnsi="微软雅黑" w:cs="微软雅黑"/>
          <w:b/>
          <w:bCs w:val="0"/>
          <w:sz w:val="21"/>
          <w:szCs w:val="21"/>
        </w:rPr>
      </w:pPr>
      <w:r/>
      <w:bookmarkStart w:id="140" w:name="_Toc29104"/>
      <w:r/>
      <w:bookmarkStart w:id="141" w:name="_Toc1859"/>
      <w:r/>
      <w:bookmarkStart w:id="142" w:name="_Toc17902"/>
      <w:r/>
      <w:bookmarkStart w:id="143" w:name="_Toc15106"/>
      <w:r/>
      <w:bookmarkStart w:id="144" w:name="_Toc21639"/>
      <w:r/>
      <w:bookmarkStart w:id="145" w:name="_Toc452384190"/>
      <w:r>
        <w:rPr>
          <w:rFonts w:hint="eastAsia" w:ascii="微软雅黑" w:hAnsi="微软雅黑" w:cs="微软雅黑"/>
          <w:b/>
          <w:bCs w:val="0"/>
          <w:sz w:val="21"/>
          <w:szCs w:val="21"/>
        </w:rPr>
        <w:t xml:space="preserve">4.3 响应截止时间</w:t>
      </w:r>
      <w:bookmarkEnd w:id="140"/>
      <w:r/>
      <w:bookmarkEnd w:id="141"/>
      <w:r/>
      <w:bookmarkEnd w:id="142"/>
      <w:r/>
      <w:bookmarkEnd w:id="143"/>
      <w:r/>
      <w:bookmarkEnd w:id="144"/>
      <w:r/>
      <w:bookmarkEnd w:id="145"/>
      <w:r>
        <w:rPr>
          <w:rFonts w:hint="eastAsia" w:ascii="微软雅黑" w:hAnsi="微软雅黑" w:cs="微软雅黑"/>
          <w:b/>
          <w:bCs w:val="0"/>
          <w:sz w:val="21"/>
          <w:szCs w:val="21"/>
        </w:rPr>
      </w:r>
      <w:r/>
    </w:p>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4.3.1 供应商须在采购文件第一章“磋商邀请”规定的响应截止时间前上传电子响应文件。</w:t>
      </w:r>
      <w:r>
        <w:rPr>
          <w:rFonts w:hint="eastAsia" w:ascii="微软雅黑" w:hAnsi="微软雅黑" w:cs="微软雅黑"/>
          <w:szCs w:val="21"/>
        </w:rPr>
      </w:r>
      <w:r/>
    </w:p>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4.3.2 若采购代理机构按3.6.2条规定推迟了响应截止时间，采购代理机构和供应商受响应截止时间制约的所有权利和义务均应以新的截止时间为准。</w:t>
      </w:r>
      <w:r>
        <w:rPr>
          <w:rFonts w:hint="eastAsia" w:ascii="微软雅黑" w:hAnsi="微软雅黑" w:cs="微软雅黑"/>
          <w:szCs w:val="21"/>
        </w:rPr>
      </w:r>
      <w:r/>
    </w:p>
    <w:p>
      <w:pPr>
        <w:pStyle w:val="989"/>
        <w:jc w:val="left"/>
        <w:spacing w:before="0" w:after="0" w:line="440" w:lineRule="exact"/>
        <w:rPr>
          <w:rFonts w:hint="eastAsia" w:ascii="微软雅黑" w:hAnsi="微软雅黑" w:cs="微软雅黑"/>
          <w:b/>
          <w:bCs w:val="0"/>
          <w:sz w:val="21"/>
          <w:szCs w:val="21"/>
        </w:rPr>
      </w:pPr>
      <w:r/>
      <w:bookmarkStart w:id="146" w:name="_Toc18321"/>
      <w:r/>
      <w:bookmarkStart w:id="147" w:name="_Toc15517"/>
      <w:r/>
      <w:bookmarkStart w:id="148" w:name="_Toc13638"/>
      <w:r/>
      <w:bookmarkStart w:id="149" w:name="_Toc452384191"/>
      <w:r/>
      <w:bookmarkStart w:id="150" w:name="_Toc30912"/>
      <w:r/>
      <w:bookmarkStart w:id="151" w:name="_Toc2109"/>
      <w:r>
        <w:rPr>
          <w:rFonts w:hint="eastAsia" w:ascii="微软雅黑" w:hAnsi="微软雅黑" w:cs="微软雅黑"/>
          <w:b/>
          <w:bCs w:val="0"/>
          <w:sz w:val="21"/>
          <w:szCs w:val="21"/>
        </w:rPr>
        <w:t xml:space="preserve">4.4 迟交的</w:t>
      </w:r>
      <w:bookmarkEnd w:id="148"/>
      <w:r/>
      <w:bookmarkEnd w:id="149"/>
      <w:r/>
      <w:bookmarkEnd w:id="150"/>
      <w:r>
        <w:rPr>
          <w:rFonts w:hint="eastAsia" w:ascii="微软雅黑" w:hAnsi="微软雅黑" w:cs="微软雅黑"/>
          <w:b/>
          <w:bCs w:val="0"/>
          <w:sz w:val="21"/>
          <w:szCs w:val="21"/>
        </w:rPr>
        <w:t xml:space="preserve">响应文件</w:t>
      </w:r>
      <w:bookmarkEnd w:id="146"/>
      <w:r/>
      <w:bookmarkEnd w:id="147"/>
      <w:r/>
      <w:bookmarkEnd w:id="151"/>
      <w:r>
        <w:rPr>
          <w:rFonts w:hint="eastAsia" w:ascii="微软雅黑" w:hAnsi="微软雅黑" w:cs="微软雅黑"/>
          <w:b/>
          <w:bCs w:val="0"/>
          <w:sz w:val="21"/>
          <w:szCs w:val="21"/>
        </w:rPr>
      </w:r>
      <w:r/>
    </w:p>
    <w:p>
      <w:pPr>
        <w:pStyle w:val="928"/>
        <w:ind w:firstLine="420"/>
        <w:jc w:val="left"/>
        <w:spacing w:line="440" w:lineRule="exact"/>
        <w:rPr>
          <w:rFonts w:hint="eastAsia" w:ascii="微软雅黑" w:hAnsi="微软雅黑" w:cs="微软雅黑"/>
          <w:b/>
          <w:i/>
          <w:szCs w:val="21"/>
          <w:u w:val="single"/>
        </w:rPr>
      </w:pPr>
      <w:r>
        <w:rPr>
          <w:rFonts w:hint="eastAsia" w:ascii="微软雅黑" w:hAnsi="微软雅黑" w:cs="微软雅黑"/>
          <w:b/>
          <w:i/>
          <w:szCs w:val="21"/>
          <w:u w:val="single"/>
        </w:rPr>
        <w:t xml:space="preserve">在响应截止时间后上传的电子响应文件，采购代理机构将拒绝接收。</w:t>
      </w:r>
      <w:r>
        <w:rPr>
          <w:rFonts w:hint="eastAsia" w:ascii="微软雅黑" w:hAnsi="微软雅黑" w:cs="微软雅黑"/>
          <w:b/>
          <w:i/>
          <w:szCs w:val="21"/>
          <w:u w:val="single"/>
        </w:rPr>
      </w:r>
      <w:r/>
    </w:p>
    <w:p>
      <w:pPr>
        <w:pStyle w:val="989"/>
        <w:jc w:val="left"/>
        <w:spacing w:before="0" w:after="0" w:line="440" w:lineRule="exact"/>
        <w:rPr>
          <w:rFonts w:hint="eastAsia" w:ascii="微软雅黑" w:hAnsi="微软雅黑" w:cs="微软雅黑"/>
          <w:b/>
          <w:bCs w:val="0"/>
          <w:sz w:val="21"/>
          <w:szCs w:val="21"/>
        </w:rPr>
      </w:pPr>
      <w:r/>
      <w:bookmarkStart w:id="152" w:name="_Toc12994"/>
      <w:r/>
      <w:bookmarkStart w:id="153" w:name="_Toc28666"/>
      <w:r/>
      <w:bookmarkStart w:id="154" w:name="_Toc19199"/>
      <w:r/>
      <w:bookmarkStart w:id="155" w:name="_Toc24124"/>
      <w:r>
        <w:rPr>
          <w:rFonts w:hint="eastAsia" w:ascii="微软雅黑" w:hAnsi="微软雅黑" w:cs="微软雅黑"/>
          <w:b/>
          <w:bCs w:val="0"/>
          <w:sz w:val="21"/>
          <w:szCs w:val="21"/>
        </w:rPr>
        <w:t xml:space="preserve">4.5 响应文件的修改和撤回</w:t>
      </w:r>
      <w:bookmarkEnd w:id="130"/>
      <w:r/>
      <w:bookmarkEnd w:id="131"/>
      <w:r/>
      <w:bookmarkEnd w:id="152"/>
      <w:r/>
      <w:bookmarkEnd w:id="153"/>
      <w:r/>
      <w:bookmarkEnd w:id="154"/>
      <w:r/>
      <w:bookmarkEnd w:id="155"/>
      <w:r>
        <w:rPr>
          <w:rFonts w:hint="eastAsia" w:ascii="微软雅黑" w:hAnsi="微软雅黑" w:cs="微软雅黑"/>
          <w:b/>
          <w:bCs w:val="0"/>
          <w:sz w:val="21"/>
          <w:szCs w:val="21"/>
        </w:rPr>
      </w:r>
      <w:r/>
    </w:p>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4.5.1 响应文件的撤回</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（1）供应商可在响应截止时间前撤回其电子响应文件，具体操作方法见《操作手册》。</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（2）供应商撤回电子响应文件，则认为其不再参与本项目响应活动。</w:t>
      </w:r>
      <w:r>
        <w:rPr>
          <w:rFonts w:hint="eastAsia" w:ascii="微软雅黑" w:hAnsi="微软雅黑" w:cs="微软雅黑"/>
          <w:szCs w:val="21"/>
        </w:rPr>
      </w:r>
      <w:r/>
    </w:p>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4.5.2 响应文件的修改</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（1）供应商可在响应截止时间前对其电子响应文件进行修改，具体操作方法见《操作手册》。</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（2）响应截止时间之后，供应商不得对其电子响应文件作任何修改。</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（3）在响应截止时间至采购文件中规定的响应有效期满之间的这段时间内，供应商不得撤回其响应。</w:t>
      </w:r>
      <w:r>
        <w:rPr>
          <w:rFonts w:hint="eastAsia" w:ascii="微软雅黑" w:hAnsi="微软雅黑" w:cs="微软雅黑"/>
          <w:szCs w:val="21"/>
        </w:rPr>
      </w:r>
      <w:r/>
    </w:p>
    <w:p>
      <w:pPr>
        <w:pStyle w:val="1143"/>
        <w:keepLines w:val="0"/>
        <w:keepNext w:val="0"/>
        <w:spacing w:line="412" w:lineRule="exact"/>
        <w:rPr>
          <w:rFonts w:hint="eastAsia" w:ascii="微软雅黑" w:hAnsi="微软雅黑" w:cs="微软雅黑"/>
        </w:rPr>
      </w:pPr>
      <w:r/>
      <w:bookmarkStart w:id="156" w:name="_Toc22435"/>
      <w:r/>
      <w:bookmarkStart w:id="157" w:name="_Toc10171"/>
      <w:r>
        <w:rPr>
          <w:rFonts w:hint="eastAsia" w:ascii="微软雅黑" w:hAnsi="微软雅黑" w:cs="微软雅黑"/>
        </w:rPr>
        <w:t xml:space="preserve">五、响应文件启封及评审</w:t>
      </w:r>
      <w:bookmarkEnd w:id="125"/>
      <w:r/>
      <w:bookmarkEnd w:id="156"/>
      <w:r/>
      <w:bookmarkEnd w:id="157"/>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58" w:name="_Toc11283"/>
      <w:r/>
      <w:bookmarkStart w:id="159" w:name="_Toc452384194"/>
      <w:r/>
      <w:bookmarkStart w:id="160" w:name="_Toc17076"/>
      <w:r/>
      <w:bookmarkStart w:id="161" w:name="_Toc3295"/>
      <w:r>
        <w:rPr>
          <w:rFonts w:hint="eastAsia" w:ascii="微软雅黑" w:hAnsi="微软雅黑" w:cs="微软雅黑"/>
          <w:b/>
          <w:bCs w:val="0"/>
          <w:sz w:val="24"/>
          <w:szCs w:val="24"/>
        </w:rPr>
        <w:t xml:space="preserve">5.1 响应文件启封</w:t>
      </w:r>
      <w:bookmarkEnd w:id="158"/>
      <w:r/>
      <w:bookmarkEnd w:id="159"/>
      <w:r/>
      <w:bookmarkEnd w:id="160"/>
      <w:r/>
      <w:bookmarkEnd w:id="161"/>
      <w:r>
        <w:rPr>
          <w:rFonts w:hint="eastAsia" w:ascii="微软雅黑" w:hAnsi="微软雅黑" w:cs="微软雅黑"/>
          <w:b/>
          <w:bCs w:val="0"/>
          <w:sz w:val="24"/>
          <w:szCs w:val="24"/>
        </w:rPr>
      </w:r>
      <w:r/>
    </w:p>
    <w:p>
      <w:pPr>
        <w:pStyle w:val="928"/>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在采购公告中规定的时间和地点组织磋商。供应商按照《操作手册》规定参加磋商活动，并在“苏采云”系统规定的时间内对响应文件进行解密。</w:t>
      </w:r>
      <w:r>
        <w:rPr>
          <w:rFonts w:hint="eastAsia" w:ascii="微软雅黑" w:hAnsi="微软雅黑" w:cs="微软雅黑"/>
          <w:bCs/>
          <w:szCs w:val="21"/>
        </w:rPr>
      </w:r>
      <w:r/>
    </w:p>
    <w:p>
      <w:pPr>
        <w:pStyle w:val="928"/>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5.1.2 供应商在磋商过程中涉及到的响应文件解密、评审结果确认等工作，应按照《操作手册》规定执行。</w:t>
      </w:r>
      <w:r>
        <w:rPr>
          <w:rFonts w:hint="eastAsia" w:ascii="微软雅黑" w:hAnsi="微软雅黑" w:cs="微软雅黑"/>
          <w:bCs/>
          <w:szCs w:val="21"/>
        </w:rPr>
      </w:r>
      <w:r/>
    </w:p>
    <w:p>
      <w:pPr>
        <w:pStyle w:val="928"/>
        <w:spacing w:line="412" w:lineRule="exact"/>
        <w:rPr>
          <w:rFonts w:hint="eastAsia" w:ascii="微软雅黑" w:hAnsi="微软雅黑" w:cs="微软雅黑"/>
        </w:rPr>
      </w:pPr>
      <w:r>
        <w:rPr>
          <w:rFonts w:hint="eastAsia" w:ascii="微软雅黑" w:hAnsi="微软雅黑" w:cs="微软雅黑"/>
          <w:bCs/>
          <w:szCs w:val="21"/>
        </w:rPr>
        <w:t xml:space="preserve">5.1.4 供应商如果对磋商过程和磋商结果有疑义，应当根据《操作手册》规定提出，“苏采云”系统中《磋商记录表》公布后5分钟内未提出的，视同认可磋商结果。</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62" w:name="_Toc452384195"/>
      <w:r/>
      <w:bookmarkStart w:id="163" w:name="_Toc25009"/>
      <w:r/>
      <w:bookmarkStart w:id="164" w:name="_Toc24418"/>
      <w:r/>
      <w:bookmarkStart w:id="165" w:name="_Toc29288"/>
      <w:r>
        <w:rPr>
          <w:rFonts w:hint="eastAsia" w:ascii="微软雅黑" w:hAnsi="微软雅黑" w:cs="微软雅黑"/>
          <w:b/>
          <w:bCs w:val="0"/>
          <w:sz w:val="24"/>
          <w:szCs w:val="24"/>
        </w:rPr>
        <w:t xml:space="preserve">5.2 </w:t>
      </w:r>
      <w:bookmarkEnd w:id="162"/>
      <w:r>
        <w:rPr>
          <w:rFonts w:hint="eastAsia" w:ascii="微软雅黑" w:hAnsi="微软雅黑" w:cs="微软雅黑"/>
          <w:b/>
          <w:bCs w:val="0"/>
          <w:sz w:val="24"/>
          <w:szCs w:val="24"/>
        </w:rPr>
        <w:t xml:space="preserve">磋商小组</w:t>
      </w:r>
      <w:bookmarkEnd w:id="163"/>
      <w:r/>
      <w:bookmarkEnd w:id="164"/>
      <w:r/>
      <w:bookmarkEnd w:id="165"/>
      <w:r>
        <w:rPr>
          <w:rFonts w:hint="eastAsia" w:ascii="微软雅黑" w:hAnsi="微软雅黑" w:cs="微软雅黑"/>
          <w:b/>
          <w:bCs w:val="0"/>
          <w:sz w:val="24"/>
          <w:szCs w:val="24"/>
        </w:rPr>
      </w:r>
      <w:r/>
    </w:p>
    <w:p>
      <w:pPr>
        <w:pStyle w:val="928"/>
        <w:ind w:firstLine="315"/>
        <w:spacing w:line="412" w:lineRule="exact"/>
        <w:rPr>
          <w:rFonts w:hint="eastAsia" w:ascii="微软雅黑" w:hAnsi="微软雅黑" w:cs="微软雅黑"/>
        </w:rPr>
      </w:pPr>
      <w:r>
        <w:rPr>
          <w:rFonts w:hint="eastAsia" w:ascii="微软雅黑" w:hAnsi="微软雅黑" w:cs="微软雅黑"/>
        </w:rPr>
        <w:t xml:space="preserve">磋商小组按照法律法规及相关文件的规定由采购人代表和有关技术、经济等方面的专家组成，磋商小组独立工作，负责评审所有响应文件并推荐确定成交供应商候选人。</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66" w:name="_Toc1189"/>
      <w:r/>
      <w:bookmarkStart w:id="167" w:name="_Toc452384196"/>
      <w:r/>
      <w:bookmarkStart w:id="168" w:name="_Toc522"/>
      <w:r/>
      <w:bookmarkStart w:id="169" w:name="_Toc5212"/>
      <w:r>
        <w:rPr>
          <w:rFonts w:hint="eastAsia" w:ascii="微软雅黑" w:hAnsi="微软雅黑" w:cs="微软雅黑"/>
          <w:b/>
          <w:bCs w:val="0"/>
          <w:sz w:val="24"/>
          <w:szCs w:val="24"/>
        </w:rPr>
        <w:t xml:space="preserve">5.3 对响应文件的资格性审查和符合性审查</w:t>
      </w:r>
      <w:bookmarkEnd w:id="166"/>
      <w:r/>
      <w:bookmarkEnd w:id="167"/>
      <w:r/>
      <w:bookmarkEnd w:id="168"/>
      <w:r/>
      <w:bookmarkEnd w:id="169"/>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5.3.1 资格性审查的内容包括：</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（1）供应商资质（采购文件第一章要求）；</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（2）响应保证金交纳情况（采购文件第二章供应商须知前附表要求）；</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（3）响应报价是否超过采购预算或最高限价。</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5.3.2 符合性审查的内容包括：</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（1）响应文件的有效性(签署、盖章情况等)；</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（2）响应文件的完整性（正本、副本、内容等）；</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（3）对采购文件的响应程度（是否存在重大负偏离等）。</w:t>
      </w:r>
      <w:r>
        <w:rPr>
          <w:rFonts w:hint="eastAsia" w:ascii="微软雅黑" w:hAnsi="微软雅黑" w:cs="微软雅黑"/>
        </w:rPr>
      </w:r>
      <w:r/>
    </w:p>
    <w:p>
      <w:pPr>
        <w:pStyle w:val="928"/>
        <w:ind w:firstLine="420"/>
        <w:spacing w:line="412" w:lineRule="exact"/>
        <w:rPr>
          <w:rFonts w:hint="eastAsia" w:ascii="微软雅黑" w:hAnsi="微软雅黑" w:cs="微软雅黑"/>
          <w:b/>
          <w:i/>
          <w:u w:val="single"/>
        </w:rPr>
      </w:pPr>
      <w:r>
        <w:rPr>
          <w:rFonts w:hint="eastAsia" w:ascii="微软雅黑" w:hAnsi="微软雅黑" w:cs="微软雅黑"/>
          <w:b/>
          <w:i/>
          <w:u w:val="single"/>
        </w:rPr>
        <w:t xml:space="preserve">磋商小组依法对响应供应商的资格及符合性进行审查，以上资格或符合性审查的内容只要有一条不满足，则响应文件无效。</w:t>
      </w:r>
      <w:r>
        <w:rPr>
          <w:rFonts w:hint="eastAsia" w:ascii="微软雅黑" w:hAnsi="微软雅黑" w:cs="微软雅黑"/>
          <w:b/>
          <w:i/>
          <w:u w:val="single"/>
        </w:rPr>
      </w:r>
      <w:r/>
    </w:p>
    <w:p>
      <w:pPr>
        <w:pStyle w:val="928"/>
        <w:spacing w:line="412" w:lineRule="exact"/>
        <w:rPr>
          <w:rFonts w:hint="eastAsia" w:ascii="微软雅黑" w:hAnsi="微软雅黑" w:cs="微软雅黑"/>
        </w:rPr>
      </w:pPr>
      <w:r>
        <w:rPr>
          <w:rFonts w:hint="eastAsia" w:ascii="微软雅黑" w:hAnsi="微软雅黑" w:cs="微软雅黑"/>
        </w:rPr>
        <w:t xml:space="preserve">5.3.3 所谓偏离是指响应文件的内容高于或低于采购文件的相关要求。所谓重大负偏离是指供应商所响应的范围、质量、数量和服务期限等明显不能满足采购文件的要求。重大负偏离的认定须经多数评标委员会成员同意作出结论。</w:t>
      </w:r>
      <w:r>
        <w:rPr>
          <w:rFonts w:hint="eastAsia" w:ascii="微软雅黑" w:hAnsi="微软雅黑" w:cs="微软雅黑"/>
        </w:rPr>
      </w:r>
      <w:r/>
    </w:p>
    <w:p>
      <w:pPr>
        <w:pStyle w:val="928"/>
        <w:spacing w:line="412" w:lineRule="exact"/>
        <w:rPr>
          <w:rFonts w:hint="eastAsia" w:ascii="微软雅黑" w:hAnsi="微软雅黑" w:cs="微软雅黑"/>
          <w:b/>
          <w:i/>
          <w:u w:val="single"/>
        </w:rPr>
      </w:pPr>
      <w:r>
        <w:rPr>
          <w:rFonts w:hint="eastAsia" w:ascii="微软雅黑" w:hAnsi="微软雅黑" w:cs="微软雅黑"/>
          <w:b/>
          <w:i/>
          <w:u w:val="single"/>
        </w:rPr>
        <w:t xml:space="preserve">判断响应文件的响应与否只根据响应文件本身，而不寻求外部证据。</w:t>
      </w:r>
      <w:r>
        <w:rPr>
          <w:rFonts w:hint="eastAsia" w:ascii="微软雅黑" w:hAnsi="微软雅黑" w:cs="微软雅黑"/>
          <w:b/>
          <w:i/>
          <w:u w:val="single"/>
        </w:rPr>
      </w:r>
      <w:r/>
    </w:p>
    <w:p>
      <w:pPr>
        <w:pStyle w:val="928"/>
        <w:spacing w:line="412" w:lineRule="exact"/>
        <w:rPr>
          <w:rFonts w:hint="eastAsia" w:ascii="微软雅黑" w:hAnsi="微软雅黑" w:cs="微软雅黑"/>
        </w:rPr>
      </w:pPr>
      <w:r>
        <w:rPr>
          <w:rFonts w:hint="eastAsia" w:ascii="微软雅黑" w:hAnsi="微软雅黑" w:cs="微软雅黑"/>
        </w:rPr>
        <w:t xml:space="preserve">5.3.4 磋商小组在初审中，对算术错误的修正原则如下:</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（1）报价一览表内容与响应文件中明细表内容不一致的，以报价一览表为准；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（2）响应文件的大写金额和小写金额不一致的，以大写金额为准；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（5）若供应商不同意以上修正，该响应文件将视为无效。</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70" w:name="_Toc8275"/>
      <w:r/>
      <w:bookmarkStart w:id="171" w:name="_Toc9249"/>
      <w:r/>
      <w:bookmarkStart w:id="172" w:name="_Toc17027"/>
      <w:r>
        <w:rPr>
          <w:rFonts w:hint="eastAsia" w:ascii="微软雅黑" w:hAnsi="微软雅黑" w:cs="微软雅黑"/>
          <w:b/>
          <w:bCs w:val="0"/>
          <w:sz w:val="24"/>
          <w:szCs w:val="24"/>
        </w:rPr>
        <w:t xml:space="preserve">5.4 响应文件的澄清</w:t>
      </w:r>
      <w:bookmarkEnd w:id="170"/>
      <w:r/>
      <w:bookmarkEnd w:id="171"/>
      <w:r/>
      <w:bookmarkEnd w:id="172"/>
      <w:r>
        <w:rPr>
          <w:rFonts w:hint="eastAsia" w:ascii="微软雅黑" w:hAnsi="微软雅黑" w:cs="微软雅黑"/>
          <w:b/>
          <w:bCs w:val="0"/>
          <w:sz w:val="24"/>
          <w:szCs w:val="24"/>
        </w:rPr>
      </w:r>
      <w:r/>
    </w:p>
    <w:p>
      <w:pPr>
        <w:pStyle w:val="928"/>
        <w:spacing w:line="412" w:lineRule="exact"/>
        <w:rPr>
          <w:rFonts w:hint="eastAsia" w:ascii="微软雅黑" w:hAnsi="微软雅黑" w:cs="微软雅黑"/>
          <w:szCs w:val="21"/>
        </w:rPr>
      </w:pPr>
      <w:r>
        <w:rPr>
          <w:rFonts w:hint="eastAsia" w:ascii="微软雅黑" w:hAnsi="微软雅黑" w:cs="微软雅黑"/>
          <w:szCs w:val="21"/>
          <w:lang w:bidi="ar"/>
        </w:rPr>
        <w:t xml:space="preserve">5.4.1 在评审期间，磋商小组有权要求响应供应商对其响应文件中含义不明确、同类问题前后表述不一致或者有明显文字和计算错误的内容进行澄清。响应供应商应派授权代表和技术人员按磋商小组通知的时间和地点接受质询。</w:t>
      </w:r>
      <w:r>
        <w:rPr>
          <w:rFonts w:hint="eastAsia" w:ascii="微软雅黑" w:hAnsi="微软雅黑" w:cs="微软雅黑"/>
          <w:szCs w:val="21"/>
        </w:rPr>
      </w:r>
      <w:r/>
    </w:p>
    <w:p>
      <w:pPr>
        <w:pStyle w:val="928"/>
        <w:spacing w:line="412" w:lineRule="exact"/>
        <w:rPr>
          <w:rFonts w:hint="eastAsia" w:ascii="微软雅黑" w:hAnsi="微软雅黑" w:cs="微软雅黑"/>
          <w:szCs w:val="21"/>
        </w:rPr>
      </w:pPr>
      <w:r>
        <w:rPr>
          <w:rFonts w:hint="eastAsia" w:ascii="微软雅黑" w:hAnsi="微软雅黑" w:cs="微软雅黑"/>
          <w:szCs w:val="21"/>
          <w:lang w:bidi="ar"/>
        </w:rPr>
        <w:t xml:space="preserve">5.4.2 磋商小组认为有必要，可以要求响应供应商对某些问题作出必要的澄清、说明和补正。响应供应商的澄清、说明或者补正应当采用书面形式，并由法定代表人或其授权代表签字，且不得超出响应文件的范围或者改变响应文件的实质性内容(范围仅限磋商需求中的技术、服务要求以及合同草案条款等）。响应供应商的书面澄清材料作为响应文件的补充。</w:t>
      </w:r>
      <w:r>
        <w:rPr>
          <w:rFonts w:hint="eastAsia" w:ascii="微软雅黑" w:hAnsi="微软雅黑" w:cs="微软雅黑"/>
          <w:szCs w:val="21"/>
        </w:rPr>
      </w:r>
      <w:r/>
    </w:p>
    <w:p>
      <w:pPr>
        <w:pStyle w:val="928"/>
        <w:spacing w:line="412" w:lineRule="exact"/>
        <w:rPr>
          <w:rFonts w:hint="eastAsia" w:ascii="微软雅黑" w:hAnsi="微软雅黑" w:cs="微软雅黑"/>
          <w:szCs w:val="21"/>
          <w:lang w:bidi="ar"/>
        </w:rPr>
      </w:pPr>
      <w:r>
        <w:rPr>
          <w:rFonts w:hint="eastAsia" w:ascii="微软雅黑" w:hAnsi="微软雅黑" w:cs="微软雅黑"/>
          <w:szCs w:val="21"/>
          <w:lang w:bidi="ar"/>
        </w:rPr>
        <w:t xml:space="preserve">5.4.3 响应供应商不按磋商小组规定的时间和地点作书面澄清，将视为放弃该权利。</w:t>
      </w:r>
      <w:r>
        <w:rPr>
          <w:rFonts w:hint="eastAsia" w:ascii="微软雅黑" w:hAnsi="微软雅黑" w:cs="微软雅黑"/>
          <w:szCs w:val="21"/>
          <w:lang w:bidi="ar"/>
        </w:rPr>
      </w:r>
      <w:r/>
    </w:p>
    <w:p>
      <w:pPr>
        <w:pStyle w:val="928"/>
        <w:spacing w:line="412" w:lineRule="exact"/>
      </w:pPr>
      <w:r>
        <w:rPr>
          <w:rFonts w:hint="eastAsia" w:ascii="微软雅黑" w:hAnsi="微软雅黑" w:cs="微软雅黑"/>
          <w:szCs w:val="21"/>
          <w:lang w:bidi="ar"/>
        </w:rPr>
        <w:t xml:space="preserve">5.4.4 并非每个响应供应商都将被要求澄清。</w:t>
      </w:r>
      <w:r/>
    </w:p>
    <w:p>
      <w:pPr>
        <w:pStyle w:val="989"/>
        <w:jc w:val="left"/>
        <w:keepLines w:val="0"/>
        <w:keepNext w:val="0"/>
        <w:spacing w:line="412" w:lineRule="exact"/>
        <w:rPr>
          <w:rFonts w:hint="eastAsia" w:ascii="微软雅黑" w:hAnsi="微软雅黑" w:cs="微软雅黑"/>
          <w:b/>
          <w:bCs w:val="0"/>
          <w:sz w:val="24"/>
          <w:szCs w:val="24"/>
        </w:rPr>
      </w:pPr>
      <w:r/>
      <w:bookmarkStart w:id="173" w:name="_Toc452384198"/>
      <w:r/>
      <w:bookmarkStart w:id="174" w:name="_Toc21585"/>
      <w:r/>
      <w:bookmarkStart w:id="175" w:name="_Toc16042"/>
      <w:r/>
      <w:bookmarkStart w:id="176" w:name="_Toc6390"/>
      <w:r>
        <w:rPr>
          <w:rFonts w:hint="eastAsia" w:ascii="微软雅黑" w:hAnsi="微软雅黑" w:cs="微软雅黑"/>
          <w:b/>
          <w:bCs w:val="0"/>
          <w:sz w:val="24"/>
          <w:szCs w:val="24"/>
        </w:rPr>
        <w:t xml:space="preserve">5.5 评审及</w:t>
      </w:r>
      <w:bookmarkEnd w:id="173"/>
      <w:r>
        <w:rPr>
          <w:rFonts w:hint="eastAsia" w:ascii="微软雅黑" w:hAnsi="微软雅黑" w:cs="微软雅黑"/>
          <w:b/>
          <w:bCs w:val="0"/>
          <w:sz w:val="24"/>
          <w:szCs w:val="24"/>
        </w:rPr>
        <w:t xml:space="preserve">成交</w:t>
      </w:r>
      <w:bookmarkEnd w:id="174"/>
      <w:r/>
      <w:bookmarkEnd w:id="175"/>
      <w:r/>
      <w:bookmarkEnd w:id="176"/>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5.5.1 磋商小组将对通过资格性审查和符合性审查的响应文件进行评价和比较。磋商小组集中与单一供应商分别进行磋商，并给予所有参加磋商的供应商平等的磋商机会。</w:t>
      </w:r>
      <w:r>
        <w:rPr>
          <w:rFonts w:ascii="微软雅黑" w:hAnsi="微软雅黑" w:cs="微软雅黑"/>
        </w:rPr>
        <w:t xml:space="preserve">磋商结束后，所有实质性响应的供应商在规定时间内提交最后报价</w:t>
      </w:r>
      <w:r>
        <w:rPr>
          <w:rFonts w:hint="eastAsia" w:ascii="微软雅黑" w:hAnsi="微软雅黑" w:cs="微软雅黑"/>
        </w:rPr>
        <w:t xml:space="preserve">，最后报价是供应商响应文件的有效组成部分。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5.5.2 磋商小组按采购文件第三章中公布的评审办法对每份合格响应文件进行评审，经磋商确定最终采购需求和提交最后报价的供应商后，由磋商小组采用综合评分法对提交最后报价的供应商的响应文件和最后报价进行综合评分确定成交候选人名单，并根据采购人委托直接确定排名第一的供应商为成交供应商，</w:t>
      </w:r>
      <w:r>
        <w:rPr>
          <w:rFonts w:hint="eastAsia" w:ascii="微软雅黑" w:hAnsi="微软雅黑" w:cs="微软雅黑"/>
          <w:b/>
          <w:i/>
          <w:u w:val="single"/>
        </w:rPr>
        <w:t xml:space="preserve">任何单项因素的最优不能作为成交的保证</w:t>
      </w:r>
      <w:r>
        <w:rPr>
          <w:rFonts w:hint="eastAsia" w:ascii="微软雅黑" w:hAnsi="微软雅黑" w:cs="微软雅黑"/>
        </w:rPr>
        <w:t xml:space="preserve">。</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5.5.3 磋商小组发现采购文件存在歧义、重大缺陷导致评审工作无法进行，或者采购文件内容存在违反国家有关规定的，评审工作停止，采购代理机构修改采购文件后重新组织采购活动。</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77" w:name="_Toc8840"/>
      <w:r/>
      <w:bookmarkStart w:id="178" w:name="_Toc21114"/>
      <w:r/>
      <w:bookmarkStart w:id="179" w:name="_Toc452384199"/>
      <w:r/>
      <w:bookmarkStart w:id="180" w:name="_Toc23572"/>
      <w:r>
        <w:rPr>
          <w:rFonts w:hint="eastAsia" w:ascii="微软雅黑" w:hAnsi="微软雅黑" w:cs="微软雅黑"/>
          <w:b/>
          <w:bCs w:val="0"/>
          <w:sz w:val="24"/>
          <w:szCs w:val="24"/>
        </w:rPr>
        <w:t xml:space="preserve">5.6 评审过程保密</w:t>
      </w:r>
      <w:bookmarkEnd w:id="177"/>
      <w:r/>
      <w:bookmarkEnd w:id="178"/>
      <w:r/>
      <w:bookmarkEnd w:id="179"/>
      <w:r/>
      <w:bookmarkEnd w:id="180"/>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5.6.1 在宣布成交结果之前，凡属于审查、澄清、评价、比较响应文件等有关信息，相关当事人均不得泄露给任何供应商或与评审工作无关的人员。</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5.6.2 供应商不得探听上述信息，不得以任何行为影响评审过程，否则其响应文件将被作无效处理。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5.6.3 在评审期间，采购代理机构将有专门人员与供应商进行联络。</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81" w:name="_Toc31550"/>
      <w:r/>
      <w:bookmarkStart w:id="182" w:name="_Toc452384200"/>
      <w:r/>
      <w:bookmarkStart w:id="183" w:name="_Toc15230"/>
      <w:r/>
      <w:bookmarkStart w:id="184" w:name="_Toc17353"/>
      <w:r>
        <w:rPr>
          <w:rFonts w:hint="eastAsia" w:ascii="微软雅黑" w:hAnsi="微软雅黑" w:cs="微软雅黑"/>
          <w:b/>
          <w:bCs w:val="0"/>
          <w:sz w:val="24"/>
          <w:szCs w:val="24"/>
        </w:rPr>
        <w:t xml:space="preserve">5.7 响应截止时间结束后参加供应商不足三家情况的处理</w:t>
      </w:r>
      <w:bookmarkEnd w:id="181"/>
      <w:r/>
      <w:bookmarkEnd w:id="182"/>
      <w:r/>
      <w:bookmarkEnd w:id="183"/>
      <w:r/>
      <w:bookmarkEnd w:id="184"/>
      <w:r>
        <w:rPr>
          <w:rFonts w:hint="eastAsia" w:ascii="微软雅黑" w:hAnsi="微软雅黑" w:cs="微软雅黑"/>
          <w:b/>
          <w:bCs w:val="0"/>
          <w:sz w:val="24"/>
          <w:szCs w:val="24"/>
        </w:rPr>
      </w:r>
      <w:r/>
    </w:p>
    <w:p>
      <w:pPr>
        <w:pStyle w:val="928"/>
        <w:ind w:firstLine="525"/>
        <w:spacing w:line="412" w:lineRule="exact"/>
        <w:rPr>
          <w:rFonts w:hint="eastAsia" w:ascii="微软雅黑" w:hAnsi="微软雅黑" w:cs="微软雅黑"/>
        </w:rPr>
      </w:pPr>
      <w:r>
        <w:rPr>
          <w:rFonts w:hint="eastAsia" w:ascii="微软雅黑" w:hAnsi="微软雅黑" w:cs="微软雅黑"/>
        </w:rPr>
        <w:t xml:space="preserve">响应截止后响应供应商不足3家或者通过资格审查或符合性审查的响应供应商不足3家（服务类项目不足2家的）的，除采购任务取消情形外，按照以下方式处理：</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（一）采购文件存在不合理条款或者采购程序不符合规定的，采购人、采购代理机构改正后依法重新开展磋商活动；</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（二）采购文件没有不合理条款、采购程序符合规定，需要采用其他采购方式采购的，采购人应当依法报财政部门批准（不需要审批的除外）。</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（三）磋商小组如建议对采购方式进行改变，供应商应在规定时间内以书面方式表达自己的意见（是否同意参加竞争性谈判、单一来源采购等），规定时间内不表达意见的，视同不参加。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85" w:name="_Toc586"/>
      <w:r/>
      <w:bookmarkStart w:id="186" w:name="_Toc452384201"/>
      <w:r/>
      <w:bookmarkStart w:id="187" w:name="_Toc11314"/>
      <w:r/>
      <w:bookmarkStart w:id="188" w:name="_Toc17916"/>
      <w:r>
        <w:rPr>
          <w:rFonts w:hint="eastAsia" w:ascii="微软雅黑" w:hAnsi="微软雅黑" w:cs="微软雅黑"/>
          <w:b/>
          <w:bCs w:val="0"/>
          <w:sz w:val="24"/>
          <w:szCs w:val="24"/>
        </w:rPr>
        <w:t xml:space="preserve">5.8 废标（终止磋商活动）</w:t>
      </w:r>
      <w:bookmarkEnd w:id="185"/>
      <w:r/>
      <w:bookmarkEnd w:id="186"/>
      <w:r/>
      <w:bookmarkEnd w:id="187"/>
      <w:r/>
      <w:bookmarkEnd w:id="188"/>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出现下列情形之一的，将予废标（终止磋商活动）：</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5.8.1 需要审批的项目符合专业条件的供应商或者对采购文件作实质响应的供应商不足3家的（服务类项目不足2家）；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5.8.2 出现影响采购公正的违法、违规行为的；</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5.8.3 供应商的报价均超过了采购预算或最高限价，采购人不能支付的；</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5.8.4 因重大变故，采购任务取消的。</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89" w:name="_Toc17870"/>
      <w:r/>
      <w:bookmarkStart w:id="190" w:name="_Toc15436"/>
      <w:r/>
      <w:bookmarkStart w:id="191" w:name="_Toc8015"/>
      <w:r>
        <w:rPr>
          <w:rFonts w:hint="eastAsia" w:ascii="微软雅黑" w:hAnsi="微软雅黑" w:cs="微软雅黑"/>
          <w:b/>
          <w:bCs w:val="0"/>
          <w:sz w:val="24"/>
          <w:szCs w:val="24"/>
        </w:rPr>
        <w:t xml:space="preserve">5.9 有下列情形之一的，视为响应供应商串通响应，其响应无效：</w:t>
      </w:r>
      <w:bookmarkEnd w:id="189"/>
      <w:r/>
      <w:bookmarkEnd w:id="190"/>
      <w:r/>
      <w:bookmarkEnd w:id="191"/>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5.9.1 不同响应供应商的响应文件由同一单位或者个人编制；</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5.9.2 不同响应供应商委托同一单位或者个人办理响应事宜；</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5.9.3 不同响应供应商的响应文件载明的项目管理成员或者联系人员为同一人；</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5.9.4 不同响应供应商的响应文件异常一致或者响应报价呈规律性差异；</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5.9.5 不同响应供应商的响应文件相互混装;</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5.9.6 不同响应供应商的响应保证金从同一单位或者个人的账户转出。</w:t>
      </w:r>
      <w:r>
        <w:rPr>
          <w:rFonts w:hint="eastAsia" w:ascii="微软雅黑" w:hAnsi="微软雅黑" w:cs="微软雅黑"/>
        </w:rPr>
      </w:r>
      <w:r/>
    </w:p>
    <w:p>
      <w:pPr>
        <w:pStyle w:val="1143"/>
        <w:keepLines w:val="0"/>
        <w:keepNext w:val="0"/>
        <w:spacing w:line="412" w:lineRule="exact"/>
        <w:rPr>
          <w:rFonts w:hint="eastAsia" w:ascii="微软雅黑" w:hAnsi="微软雅黑" w:cs="微软雅黑"/>
        </w:rPr>
      </w:pPr>
      <w:r/>
      <w:bookmarkStart w:id="192" w:name="_Toc452384202"/>
      <w:r/>
      <w:bookmarkStart w:id="193" w:name="_Toc18978"/>
      <w:r/>
      <w:bookmarkStart w:id="194" w:name="_Toc30769"/>
      <w:r>
        <w:rPr>
          <w:rFonts w:hint="eastAsia" w:ascii="微软雅黑" w:hAnsi="微软雅黑" w:cs="微软雅黑"/>
        </w:rPr>
        <w:t xml:space="preserve">六、合同授予及签订</w:t>
      </w:r>
      <w:bookmarkEnd w:id="192"/>
      <w:r/>
      <w:bookmarkEnd w:id="193"/>
      <w:r/>
      <w:bookmarkEnd w:id="194"/>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95" w:name="_Toc19641"/>
      <w:r/>
      <w:bookmarkStart w:id="196" w:name="_Toc4686"/>
      <w:r/>
      <w:bookmarkStart w:id="197" w:name="_Toc452384203"/>
      <w:r/>
      <w:bookmarkStart w:id="198" w:name="_Toc26455"/>
      <w:r>
        <w:rPr>
          <w:rFonts w:hint="eastAsia" w:ascii="微软雅黑" w:hAnsi="微软雅黑" w:cs="微软雅黑"/>
          <w:b/>
          <w:bCs w:val="0"/>
          <w:sz w:val="24"/>
          <w:szCs w:val="24"/>
        </w:rPr>
        <w:t xml:space="preserve">6.1 确定成交供应商</w:t>
      </w:r>
      <w:bookmarkEnd w:id="195"/>
      <w:r/>
      <w:bookmarkEnd w:id="196"/>
      <w:r/>
      <w:bookmarkEnd w:id="197"/>
      <w:r/>
      <w:bookmarkEnd w:id="198"/>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6.1.1 采购人严格按照本采购文件的约定和有关规定确定成交供应商。成交供应商将在原公告媒体上公示。</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6.1.2 供应商出现下列情况之一的，将被取消成交供应商资格，没收响应保证金：</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（1）提供虚假材料谋取成交的；</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（5） 恶意竞争，响应总报价明显低于其自身合理成本且又无法提供证明的；</w:t>
      </w:r>
      <w:r>
        <w:rPr>
          <w:rFonts w:hint="eastAsia" w:ascii="微软雅黑" w:hAnsi="微软雅黑" w:cs="微软雅黑"/>
        </w:rPr>
      </w:r>
      <w:r/>
    </w:p>
    <w:p>
      <w:pPr>
        <w:pStyle w:val="928"/>
        <w:ind w:firstLine="210"/>
        <w:spacing w:line="412"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199" w:name="_Toc452384204"/>
      <w:r/>
      <w:bookmarkStart w:id="200" w:name="_Toc22924"/>
      <w:r/>
      <w:bookmarkStart w:id="201" w:name="_Toc1391"/>
      <w:r/>
      <w:bookmarkStart w:id="202" w:name="_Toc15121"/>
      <w:r>
        <w:rPr>
          <w:rFonts w:hint="eastAsia" w:ascii="微软雅黑" w:hAnsi="微软雅黑" w:cs="微软雅黑"/>
          <w:b/>
          <w:bCs w:val="0"/>
          <w:sz w:val="24"/>
          <w:szCs w:val="24"/>
        </w:rPr>
        <w:t xml:space="preserve">6.2 质疑处理</w:t>
      </w:r>
      <w:bookmarkEnd w:id="199"/>
      <w:r/>
      <w:bookmarkEnd w:id="200"/>
      <w:r/>
      <w:bookmarkEnd w:id="201"/>
      <w:r/>
      <w:bookmarkEnd w:id="202"/>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6.2.1 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6.2.2 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6.2.3 质疑必须由供应商的法定代表人或授权代表（响应文件中所确定的，如递交质疑者不是响应文件中确定的授权代表，须由供应商另行出具授权）以送达或邮寄的方式提交，未按上述要求提交的质疑函，采购人或采购代理机构有权不予受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6.2.4 质疑函应当包括下列内容：</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928"/>
        <w:ind w:firstLine="420"/>
        <w:spacing w:line="412"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203" w:name="_Toc452384205"/>
      <w:r/>
      <w:bookmarkStart w:id="204" w:name="_Toc3152"/>
      <w:r/>
      <w:bookmarkStart w:id="205" w:name="_Toc30572"/>
      <w:r/>
      <w:bookmarkStart w:id="206" w:name="_Toc32591"/>
      <w:r>
        <w:rPr>
          <w:rFonts w:hint="eastAsia" w:ascii="微软雅黑" w:hAnsi="微软雅黑" w:cs="微软雅黑"/>
          <w:b/>
          <w:bCs w:val="0"/>
          <w:sz w:val="24"/>
          <w:szCs w:val="24"/>
        </w:rPr>
        <w:t xml:space="preserve">6.3 成交通知书</w:t>
      </w:r>
      <w:bookmarkEnd w:id="203"/>
      <w:r/>
      <w:bookmarkEnd w:id="204"/>
      <w:r/>
      <w:bookmarkEnd w:id="205"/>
      <w:r/>
      <w:bookmarkEnd w:id="206"/>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6.3.1 确定成交供应商后,向成交供应商发出成交通知书。</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6.3.2 成交通知书是合同的组成部分。</w:t>
      </w:r>
      <w:r>
        <w:rPr>
          <w:rFonts w:hint="eastAsia" w:ascii="微软雅黑" w:hAnsi="微软雅黑" w:cs="微软雅黑"/>
        </w:rPr>
      </w:r>
      <w:r/>
    </w:p>
    <w:p>
      <w:pPr>
        <w:pStyle w:val="989"/>
        <w:jc w:val="left"/>
        <w:keepLines w:val="0"/>
        <w:keepNext w:val="0"/>
        <w:spacing w:line="412" w:lineRule="exact"/>
        <w:rPr>
          <w:rFonts w:hint="eastAsia" w:ascii="微软雅黑" w:hAnsi="微软雅黑" w:cs="微软雅黑"/>
          <w:b/>
          <w:bCs w:val="0"/>
          <w:sz w:val="24"/>
          <w:szCs w:val="24"/>
        </w:rPr>
      </w:pPr>
      <w:r/>
      <w:bookmarkStart w:id="207" w:name="_Toc452384206"/>
      <w:r/>
      <w:bookmarkStart w:id="208" w:name="_Toc19796"/>
      <w:r/>
      <w:bookmarkStart w:id="209" w:name="_Toc4978"/>
      <w:r/>
      <w:bookmarkStart w:id="210" w:name="_Toc19329"/>
      <w:r>
        <w:rPr>
          <w:rFonts w:hint="eastAsia" w:ascii="微软雅黑" w:hAnsi="微软雅黑" w:cs="微软雅黑"/>
          <w:b/>
          <w:bCs w:val="0"/>
          <w:sz w:val="24"/>
          <w:szCs w:val="24"/>
        </w:rPr>
        <w:t xml:space="preserve">6.4 签订合同</w:t>
      </w:r>
      <w:bookmarkEnd w:id="207"/>
      <w:r/>
      <w:bookmarkEnd w:id="208"/>
      <w:r/>
      <w:bookmarkEnd w:id="209"/>
      <w:r/>
      <w:bookmarkEnd w:id="210"/>
      <w:r>
        <w:rPr>
          <w:rFonts w:hint="eastAsia" w:ascii="微软雅黑" w:hAnsi="微软雅黑" w:cs="微软雅黑"/>
          <w:b/>
          <w:bCs w:val="0"/>
          <w:sz w:val="24"/>
          <w:szCs w:val="24"/>
        </w:rPr>
      </w:r>
      <w:r/>
    </w:p>
    <w:p>
      <w:pPr>
        <w:pStyle w:val="928"/>
        <w:spacing w:line="412" w:lineRule="exact"/>
        <w:rPr>
          <w:rFonts w:hint="eastAsia" w:ascii="微软雅黑" w:hAnsi="微软雅黑" w:cs="微软雅黑"/>
        </w:rPr>
      </w:pPr>
      <w:r>
        <w:rPr>
          <w:rFonts w:hint="eastAsia" w:ascii="微软雅黑" w:hAnsi="微软雅黑" w:cs="微软雅黑"/>
        </w:rPr>
        <w:t xml:space="preserve">6.4.1 成交供应商应当在成交通知书发出之日起三十日内，按照采购文件确定的事项与采购人签订采购合同,如成交人未按要求签订合同并给采购人和采购代理机构造成损失的，成交供应商还应承担赔偿责任。</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6.4.2 成交供应商放弃成交资格或拒绝与采购人签订合同的，采购人可以按照评审报告推荐的中标（成交）候选人名单排序，确定下一候选人为成交供应商，也可以重新开展政府采购活动。</w:t>
      </w:r>
      <w:r>
        <w:rPr>
          <w:rFonts w:hint="eastAsia" w:ascii="微软雅黑" w:hAnsi="微软雅黑" w:cs="微软雅黑"/>
        </w:rPr>
      </w:r>
      <w:r/>
    </w:p>
    <w:p>
      <w:pPr>
        <w:pStyle w:val="928"/>
        <w:spacing w:line="412" w:lineRule="exact"/>
        <w:rPr>
          <w:rFonts w:hint="eastAsia" w:ascii="微软雅黑" w:hAnsi="微软雅黑" w:cs="微软雅黑"/>
        </w:rPr>
      </w:pPr>
      <w:r>
        <w:rPr>
          <w:rFonts w:hint="eastAsia" w:ascii="微软雅黑" w:hAnsi="微软雅黑" w:cs="微软雅黑"/>
        </w:rPr>
        <w:t xml:space="preserve">6.4.3 采购文件、成交供应商的响应文件及评审过程中有关澄清文件均应作为合同附件。</w:t>
      </w:r>
      <w:r>
        <w:rPr>
          <w:rFonts w:hint="eastAsia" w:ascii="微软雅黑" w:hAnsi="微软雅黑" w:cs="微软雅黑"/>
        </w:rPr>
      </w:r>
      <w:r/>
    </w:p>
    <w:p>
      <w:pPr>
        <w:pStyle w:val="928"/>
        <w:rPr>
          <w:rFonts w:hint="eastAsia" w:ascii="微软雅黑" w:hAnsi="微软雅黑" w:cs="微软雅黑"/>
          <w:szCs w:val="21"/>
        </w:rPr>
      </w:pPr>
      <w:r>
        <w:rPr>
          <w:rFonts w:hint="eastAsia" w:ascii="微软雅黑" w:hAnsi="微软雅黑" w:cs="微软雅黑"/>
        </w:rPr>
        <w:t xml:space="preserve">6.4.4 签订合同后，成交供应商不得将货物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rPr>
          <w:rFonts w:hint="eastAsia" w:ascii="微软雅黑" w:hAnsi="微软雅黑" w:cs="微软雅黑"/>
          <w:szCs w:val="21"/>
        </w:rPr>
      </w:r>
      <w:r/>
    </w:p>
    <w:p>
      <w:pPr>
        <w:pStyle w:val="928"/>
        <w:spacing w:line="412" w:lineRule="exact"/>
        <w:rPr>
          <w:rFonts w:hint="eastAsia" w:ascii="微软雅黑" w:hAnsi="微软雅黑" w:cs="微软雅黑"/>
        </w:rPr>
      </w:pPr>
      <w:r>
        <w:rPr>
          <w:rFonts w:hint="eastAsia" w:ascii="微软雅黑" w:hAnsi="微软雅黑" w:cs="微软雅黑"/>
        </w:rPr>
      </w:r>
      <w:r/>
    </w:p>
    <w:p>
      <w:pPr>
        <w:pStyle w:val="1141"/>
        <w:rPr>
          <w:rFonts w:hint="eastAsia" w:ascii="微软雅黑" w:hAnsi="微软雅黑" w:cs="微软雅黑"/>
        </w:rPr>
      </w:pPr>
      <w:r>
        <w:rPr>
          <w:rFonts w:hint="eastAsia" w:ascii="微软雅黑" w:hAnsi="微软雅黑" w:cs="微软雅黑"/>
        </w:rPr>
        <w:br w:type="page" w:clear="all"/>
      </w:r>
      <w:bookmarkStart w:id="211" w:name="_Toc22169"/>
      <w:r>
        <w:rPr>
          <w:rFonts w:hint="eastAsia" w:ascii="微软雅黑" w:hAnsi="微软雅黑" w:cs="微软雅黑"/>
        </w:rPr>
        <w:t xml:space="preserve">第三章 </w:t>
      </w:r>
      <w:bookmarkEnd w:id="63"/>
      <w:r>
        <w:rPr>
          <w:rFonts w:hint="eastAsia" w:ascii="微软雅黑" w:hAnsi="微软雅黑" w:cs="微软雅黑"/>
        </w:rPr>
        <w:t xml:space="preserve">评审办法和成交原则</w:t>
      </w:r>
      <w:bookmarkEnd w:id="211"/>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本项目采用综合评分法，总分为100分，评审结果按评审后得分由高到低顺序排列。得分相同的，按响应报价由低到高顺序排列。响应文件满足采购文件全部实质性要求，磋商小组按照评审因素的量化指标评审得分由高到低推荐3名供应商为成交候选人，并根据采购人委托直接确定排名第一的供应商为成交供应商。</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（一）政府采购评审中出现下列情形之一的，评审委员会应当启动异常低价投标（响应）审查程序：</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1.投标（响应）报价低于全部通过符合性审查供应商投标（响应）报价平均值50%的，即投标（响应）报价&lt;全部通过符合性审查供应商投标（响应）报价平均值×50%；</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2.投标（响应）报价低于通过符合性审查的次低报价供应商投标（响应）报价50%的，即投标（响应）报价&lt;通过符合性审查的次低报价供应商投标（响应）报价×50%；</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3.投标（响应）报价低于采购项目最高限价45%的，即投标（响应）报价&lt;采购项目最高限价×45%；</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4.评审委员会基于专业判断，认为供应商报价过低，有可能影响产品质量或者不能诚信履约的其他情形。</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微软雅黑" w:hAnsi="微软雅黑" w:cs="微软雅黑"/>
        </w:rPr>
      </w:r>
      <w:r/>
    </w:p>
    <w:p>
      <w:pPr>
        <w:pStyle w:val="928"/>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w:t>
      </w:r>
      <w:r>
        <w:rPr>
          <w:rFonts w:hint="eastAsia" w:ascii="微软雅黑" w:hAnsi="微软雅黑" w:cs="微软雅黑"/>
          <w:b/>
          <w:bCs/>
          <w:sz w:val="28"/>
          <w:szCs w:val="28"/>
        </w:rPr>
        <w:t xml:space="preserve">审</w:t>
      </w:r>
      <w:r>
        <w:rPr>
          <w:rFonts w:hint="eastAsia" w:ascii="微软雅黑" w:hAnsi="微软雅黑" w:cs="微软雅黑"/>
          <w:b/>
          <w:bCs/>
          <w:sz w:val="28"/>
          <w:szCs w:val="28"/>
          <w:lang w:val="zh-CN"/>
        </w:rPr>
        <w:t xml:space="preserve">细则</w:t>
      </w:r>
      <w:r>
        <w:rPr>
          <w:rFonts w:hint="eastAsia" w:ascii="微软雅黑" w:hAnsi="微软雅黑" w:cs="微软雅黑"/>
          <w:sz w:val="24"/>
          <w:szCs w:val="24"/>
        </w:rPr>
      </w:r>
      <w:r/>
    </w:p>
    <w:p>
      <w:pPr>
        <w:pStyle w:val="928"/>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w:t>
            </w:r>
            <w:r>
              <w:rPr>
                <w:rFonts w:hint="eastAsia" w:ascii="微软雅黑" w:hAnsi="微软雅黑" w:cs="微软雅黑"/>
                <w:szCs w:val="21"/>
              </w:rPr>
              <w:t xml:space="preserve">（法定代表人直接参与响应的可以不提供授权书）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t xml:space="preserve">响应报价是否超过采购预算或最高限价</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928"/>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rPr>
            </w:pPr>
            <w:r>
              <w:rPr>
                <w:rFonts w:hint="eastAsia" w:ascii="微软雅黑" w:hAnsi="微软雅黑" w:cs="微软雅黑"/>
                <w:lang w:val="zh-CN"/>
              </w:rPr>
              <w:t xml:space="preserve">响应文件的有效性（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928"/>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928"/>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928"/>
        <w:numPr>
          <w:ilvl w:val="0"/>
          <w:numId w:val="8"/>
        </w:numPr>
        <w:spacing w:line="440" w:lineRule="exact"/>
        <w:rPr>
          <w:rFonts w:hint="eastAsia" w:ascii="微软雅黑" w:hAnsi="微软雅黑" w:cs="微软雅黑"/>
          <w:b/>
          <w:bCs/>
          <w:szCs w:val="21"/>
        </w:rPr>
      </w:pPr>
      <w:r/>
      <w:bookmarkStart w:id="212" w:name="_Hlk72848049"/>
      <w:r>
        <w:rPr>
          <w:rFonts w:hint="eastAsia" w:ascii="微软雅黑" w:hAnsi="微软雅黑" w:cs="微软雅黑"/>
          <w:b/>
          <w:bCs/>
        </w:rPr>
        <w:t xml:space="preserve">评分因</w:t>
      </w:r>
      <w:r>
        <w:rPr>
          <w:rFonts w:hint="eastAsia" w:ascii="微软雅黑" w:hAnsi="微软雅黑" w:cs="微软雅黑"/>
          <w:b/>
          <w:bCs/>
          <w:szCs w:val="21"/>
        </w:rPr>
        <w:t xml:space="preserve">素及分值</w:t>
      </w:r>
      <w:bookmarkEnd w:id="212"/>
      <w:r>
        <w:rPr>
          <w:rFonts w:hint="eastAsia" w:ascii="微软雅黑" w:hAnsi="微软雅黑" w:cs="微软雅黑"/>
          <w:b/>
          <w:bCs/>
          <w:szCs w:val="21"/>
        </w:rPr>
      </w:r>
      <w:r/>
    </w:p>
    <w:p>
      <w:pPr>
        <w:pStyle w:val="932"/>
        <w:rPr>
          <w:rFonts w:hint="eastAsia" w:ascii="微软雅黑" w:hAnsi="微软雅黑" w:cs="微软雅黑"/>
          <w:b/>
          <w:bCs/>
        </w:rPr>
      </w:pPr>
      <w:r>
        <w:rPr>
          <w:rFonts w:hint="eastAsia" w:ascii="微软雅黑" w:hAnsi="微软雅黑" w:cs="微软雅黑"/>
          <w:b/>
          <w:bCs/>
        </w:rPr>
      </w:r>
      <w:r/>
    </w:p>
    <w:tbl>
      <w:tblPr>
        <w:tblW w:w="55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162"/>
        <w:gridCol w:w="1168"/>
        <w:gridCol w:w="5911"/>
        <w:gridCol w:w="653"/>
      </w:tblGrid>
      <w:tr>
        <w:trPr>
          <w:trHeight w:val="743"/>
          <w:tblHeader/>
        </w:trPr>
        <w:tc>
          <w:tcPr>
            <w:tcW w:w="338" w:type="dxa"/>
            <w:vAlign w:val="center"/>
            <w:textDirection w:val="lrTb"/>
            <w:noWrap w:val="false"/>
          </w:tcPr>
          <w:p>
            <w:pPr>
              <w:pStyle w:val="928"/>
              <w:jc w:val="center"/>
              <w:widowControl/>
              <w:rPr>
                <w:rFonts w:hint="eastAsia" w:ascii="微软雅黑" w:hAnsi="微软雅黑" w:cs="微软雅黑"/>
                <w:b/>
                <w:bCs/>
                <w:szCs w:val="21"/>
              </w:rPr>
            </w:pPr>
            <w:r/>
            <w:bookmarkStart w:id="213" w:name="_Hlk136870283"/>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09" w:type="dxa"/>
            <w:vAlign w:val="center"/>
            <w:textDirection w:val="lrTb"/>
            <w:noWrap w:val="false"/>
          </w:tcPr>
          <w:p>
            <w:pPr>
              <w:pStyle w:val="928"/>
              <w:jc w:val="center"/>
              <w:widowControl/>
              <w:rPr>
                <w:rFonts w:hint="eastAsia" w:ascii="微软雅黑" w:hAnsi="微软雅黑" w:cs="微软雅黑"/>
                <w:b/>
                <w:bCs/>
                <w:szCs w:val="21"/>
              </w:rPr>
            </w:pPr>
            <w:r>
              <w:rPr>
                <w:rFonts w:hint="eastAsia" w:ascii="微软雅黑" w:hAnsi="微软雅黑" w:cs="微软雅黑"/>
                <w:b/>
                <w:bCs/>
                <w:szCs w:val="21"/>
              </w:rPr>
              <w:t xml:space="preserve">分值构成</w:t>
            </w:r>
            <w:r>
              <w:rPr>
                <w:rFonts w:hint="eastAsia" w:ascii="微软雅黑" w:hAnsi="微软雅黑" w:cs="微软雅黑"/>
                <w:b/>
                <w:bCs/>
                <w:szCs w:val="21"/>
              </w:rPr>
            </w:r>
            <w:r/>
          </w:p>
        </w:tc>
        <w:tc>
          <w:tcPr>
            <w:tcW w:w="612" w:type="dxa"/>
            <w:vAlign w:val="center"/>
            <w:textDirection w:val="lrTb"/>
            <w:noWrap w:val="false"/>
          </w:tcPr>
          <w:p>
            <w:pPr>
              <w:pStyle w:val="928"/>
              <w:jc w:val="center"/>
              <w:widowControl/>
              <w:rPr>
                <w:rFonts w:hint="eastAsia" w:ascii="微软雅黑" w:hAnsi="微软雅黑" w:cs="微软雅黑"/>
                <w:b/>
                <w:bCs/>
                <w:szCs w:val="21"/>
              </w:rPr>
            </w:pPr>
            <w:r>
              <w:rPr>
                <w:rFonts w:hint="eastAsia" w:ascii="微软雅黑" w:hAnsi="微软雅黑" w:cs="微软雅黑"/>
                <w:b/>
                <w:bCs/>
                <w:szCs w:val="21"/>
              </w:rPr>
              <w:t xml:space="preserve">评审因素</w:t>
            </w:r>
            <w:r>
              <w:rPr>
                <w:rFonts w:hint="eastAsia" w:ascii="微软雅黑" w:hAnsi="微软雅黑" w:cs="微软雅黑"/>
                <w:b/>
                <w:bCs/>
                <w:szCs w:val="21"/>
              </w:rPr>
            </w:r>
            <w:r/>
          </w:p>
        </w:tc>
        <w:tc>
          <w:tcPr>
            <w:tcW w:w="3096" w:type="dxa"/>
            <w:vAlign w:val="center"/>
            <w:textDirection w:val="lrTb"/>
            <w:noWrap w:val="false"/>
          </w:tcPr>
          <w:p>
            <w:pPr>
              <w:pStyle w:val="928"/>
              <w:jc w:val="center"/>
              <w:widowControl/>
              <w:rPr>
                <w:rFonts w:hint="eastAsia" w:ascii="微软雅黑" w:hAnsi="微软雅黑" w:cs="微软雅黑"/>
                <w:b/>
                <w:bCs/>
                <w:szCs w:val="21"/>
              </w:rPr>
            </w:pPr>
            <w:r>
              <w:rPr>
                <w:rFonts w:hint="eastAsia" w:ascii="微软雅黑" w:hAnsi="微软雅黑" w:cs="微软雅黑"/>
                <w:b/>
                <w:bCs/>
                <w:szCs w:val="21"/>
              </w:rPr>
              <w:t xml:space="preserve">评审标准</w:t>
            </w:r>
            <w:r>
              <w:rPr>
                <w:rFonts w:hint="eastAsia" w:ascii="微软雅黑" w:hAnsi="微软雅黑" w:cs="微软雅黑"/>
                <w:b/>
                <w:bCs/>
                <w:szCs w:val="21"/>
              </w:rPr>
            </w:r>
            <w:r/>
          </w:p>
        </w:tc>
        <w:tc>
          <w:tcPr>
            <w:tcW w:w="342" w:type="dxa"/>
            <w:vAlign w:val="center"/>
            <w:textDirection w:val="lrTb"/>
            <w:noWrap w:val="false"/>
          </w:tcPr>
          <w:p>
            <w:pPr>
              <w:pStyle w:val="928"/>
              <w:jc w:val="center"/>
              <w:widowControl/>
              <w:rPr>
                <w:rFonts w:hint="eastAsia" w:ascii="微软雅黑" w:hAnsi="微软雅黑" w:cs="微软雅黑"/>
                <w:b/>
                <w:bCs/>
                <w:szCs w:val="21"/>
              </w:rPr>
            </w:pPr>
            <w:r>
              <w:rPr>
                <w:rFonts w:hint="eastAsia" w:ascii="微软雅黑" w:hAnsi="微软雅黑" w:cs="微软雅黑"/>
                <w:b/>
                <w:bCs/>
                <w:szCs w:val="21"/>
              </w:rPr>
              <w:t xml:space="preserve">分值</w:t>
            </w:r>
            <w:r>
              <w:rPr>
                <w:rFonts w:hint="eastAsia" w:ascii="微软雅黑" w:hAnsi="微软雅黑" w:cs="微软雅黑"/>
                <w:b/>
                <w:bCs/>
                <w:szCs w:val="21"/>
              </w:rPr>
            </w:r>
            <w:r/>
          </w:p>
        </w:tc>
      </w:tr>
      <w:tr>
        <w:trPr>
          <w:trHeight w:val="1830"/>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609"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价格部分</w:t>
            </w:r>
            <w:r>
              <w:rPr>
                <w:rFonts w:hint="eastAsia" w:ascii="微软雅黑" w:hAnsi="微软雅黑" w:cs="微软雅黑"/>
                <w:szCs w:val="21"/>
              </w:rPr>
            </w:r>
            <w:r/>
          </w:p>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（15分）</w:t>
            </w: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价格</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bCs/>
                <w:szCs w:val="21"/>
              </w:rPr>
            </w:pPr>
            <w:r>
              <w:rPr>
                <w:rFonts w:hint="eastAsia" w:ascii="微软雅黑" w:hAnsi="微软雅黑" w:cs="微软雅黑"/>
                <w:bCs/>
                <w:szCs w:val="21"/>
              </w:rPr>
              <w:t xml:space="preserve">采用低价优先法计算，即满足磋商文件要求且最后报价最低的供应商的价格为磋商基准价，其价格分为满分。</w:t>
            </w:r>
            <w:r>
              <w:rPr>
                <w:rFonts w:hint="eastAsia" w:ascii="微软雅黑" w:hAnsi="微软雅黑" w:cs="微软雅黑"/>
                <w:bCs/>
                <w:szCs w:val="21"/>
              </w:rPr>
            </w:r>
            <w:r/>
          </w:p>
          <w:p>
            <w:pPr>
              <w:pStyle w:val="928"/>
              <w:rPr>
                <w:rFonts w:hint="eastAsia" w:ascii="微软雅黑" w:hAnsi="微软雅黑" w:cs="微软雅黑"/>
                <w:szCs w:val="21"/>
              </w:rPr>
            </w:pPr>
            <w:r>
              <w:rPr>
                <w:rFonts w:hint="eastAsia" w:ascii="微软雅黑" w:hAnsi="微软雅黑" w:cs="微软雅黑"/>
                <w:bCs/>
                <w:szCs w:val="21"/>
              </w:rPr>
              <w:t xml:space="preserve">其他供应商的价格分统一按照下列公式计算：磋商报价得分=(磋商基准价/最后磋商报价)×15（小数点留两位）</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r>
      <w:tr>
        <w:trPr>
          <w:trHeight w:val="1426"/>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609" w:type="dxa"/>
            <w:vAlign w:val="center"/>
            <w:vMerge w:val="restart"/>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商务部分</w:t>
            </w:r>
            <w:r>
              <w:rPr>
                <w:rFonts w:hint="eastAsia" w:ascii="微软雅黑" w:hAnsi="微软雅黑" w:cs="微软雅黑"/>
                <w:szCs w:val="21"/>
              </w:rPr>
            </w:r>
            <w:r/>
          </w:p>
          <w:p>
            <w:pPr>
              <w:pStyle w:val="928"/>
              <w:jc w:val="center"/>
              <w:widowControl/>
              <w:rPr>
                <w:rFonts w:hint="eastAsia" w:ascii="微软雅黑" w:hAnsi="微软雅黑" w:cs="微软雅黑"/>
                <w:szCs w:val="21"/>
              </w:rPr>
            </w:pPr>
            <w:r>
              <w:rPr>
                <w:rFonts w:hint="eastAsia" w:ascii="微软雅黑" w:hAnsi="微软雅黑" w:cs="微软雅黑"/>
                <w:szCs w:val="21"/>
              </w:rPr>
              <w:t xml:space="preserve">（29分）</w:t>
            </w: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涉密资质</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highlight w:val="none"/>
              </w:rPr>
            </w:pPr>
            <w:r>
              <w:rPr>
                <w:rFonts w:hint="eastAsia" w:ascii="微软雅黑" w:hAnsi="微软雅黑" w:cs="微软雅黑"/>
                <w:szCs w:val="21"/>
                <w:highlight w:val="none"/>
              </w:rPr>
              <w:t xml:space="preserve">供应商取得保密行政管理部门颁发的乙级或乙级以上国家秘密载体印制资质（涉密档案数字化加工类），得4分。（提供证书复印件加盖响应供应商公章，未提供的不得分。）</w:t>
            </w:r>
            <w:r>
              <w:rPr>
                <w:rFonts w:hint="eastAsia" w:ascii="微软雅黑" w:hAnsi="微软雅黑" w:cs="微软雅黑"/>
                <w:szCs w:val="21"/>
                <w:highlight w:val="none"/>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r>
      <w:tr>
        <w:trPr>
          <w:trHeight w:val="1245"/>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类似项目业绩</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供应商提供自2023年1月1日以来承担过类似项目业绩合同的，每个得2分，最多得10分。未提供不得分。（提供合同复印件并加盖响应供应商公章</w:t>
            </w:r>
            <w:r>
              <w:rPr>
                <w:rFonts w:hint="eastAsia" w:ascii="微软雅黑" w:hAnsi="微软雅黑" w:cs="微软雅黑"/>
                <w:bCs/>
                <w:szCs w:val="21"/>
              </w:rPr>
              <w:t xml:space="preserve">）</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r>
      <w:tr>
        <w:trPr>
          <w:trHeight w:val="382"/>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企业资质</w:t>
            </w:r>
            <w:r>
              <w:rPr>
                <w:rFonts w:hint="eastAsia" w:ascii="微软雅黑" w:hAnsi="微软雅黑" w:cs="微软雅黑"/>
                <w:szCs w:val="21"/>
              </w:rPr>
            </w:r>
            <w:r/>
          </w:p>
        </w:tc>
        <w:tc>
          <w:tcPr>
            <w:tcW w:w="3096" w:type="dxa"/>
            <w:vAlign w:val="center"/>
            <w:textDirection w:val="lrTb"/>
            <w:noWrap w:val="false"/>
          </w:tcPr>
          <w:p>
            <w:pPr>
              <w:pStyle w:val="928"/>
              <w:jc w:val="left"/>
              <w:rPr>
                <w:rFonts w:hint="eastAsia" w:ascii="微软雅黑" w:hAnsi="微软雅黑" w:cs="微软雅黑"/>
                <w:szCs w:val="21"/>
              </w:rPr>
            </w:pPr>
            <w:r>
              <w:rPr>
                <w:rFonts w:hint="eastAsia" w:ascii="微软雅黑" w:hAnsi="微软雅黑" w:cs="微软雅黑"/>
                <w:szCs w:val="21"/>
              </w:rPr>
              <w:t xml:space="preserve">供应商具有经中国国家认证认可监督管理委员会认证机构颁发的有效的信息安全管理体系认证证书、信息技术服务管理体系认证证书、档案数字化服务管理体系认证证书；且体系覆盖范围含“档案数字化加工”或“档案数字化服务”的每个证书得1分，本项最高得3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b/>
                <w:szCs w:val="21"/>
              </w:rPr>
              <w:t xml:space="preserve">说明：须提供全国认证认可信息公共服务平台官网证书认证信息查询截图和证书复印件，不提供或未按要求提供的不得分。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r>
      <w:tr>
        <w:trPr>
          <w:trHeight w:val="3358"/>
        </w:trPr>
        <w:tc>
          <w:tcPr>
            <w:tcW w:w="338" w:type="dxa"/>
            <w:vAlign w:val="center"/>
            <w:vMerge w:val="restart"/>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vMerge w:val="restart"/>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拟派项目经理和服务人员能力</w:t>
            </w:r>
            <w:r>
              <w:rPr>
                <w:rFonts w:hint="eastAsia" w:ascii="微软雅黑" w:hAnsi="微软雅黑" w:cs="微软雅黑"/>
                <w:szCs w:val="21"/>
              </w:rPr>
            </w:r>
            <w:r/>
          </w:p>
        </w:tc>
        <w:tc>
          <w:tcPr>
            <w:tcW w:w="3096" w:type="dxa"/>
            <w:vAlign w:val="center"/>
            <w:textDirection w:val="lrTb"/>
            <w:noWrap w:val="false"/>
          </w:tcPr>
          <w:p>
            <w:pPr>
              <w:pStyle w:val="928"/>
              <w:jc w:val="left"/>
              <w:rPr>
                <w:rFonts w:hint="eastAsia" w:ascii="微软雅黑" w:hAnsi="微软雅黑" w:cs="微软雅黑"/>
                <w:szCs w:val="21"/>
              </w:rPr>
            </w:pPr>
            <w:r>
              <w:rPr>
                <w:rFonts w:hint="eastAsia" w:ascii="微软雅黑" w:hAnsi="微软雅黑" w:cs="微软雅黑"/>
                <w:szCs w:val="21"/>
              </w:rPr>
              <w:t xml:space="preserve">为满足项目实际需要，拟投入本项目的项目经理（仅限一人）资质要求如下：</w:t>
            </w:r>
            <w:r>
              <w:rPr>
                <w:rFonts w:hint="eastAsia" w:ascii="微软雅黑" w:hAnsi="微软雅黑" w:cs="微软雅黑"/>
                <w:szCs w:val="21"/>
              </w:rPr>
            </w:r>
            <w:r/>
          </w:p>
          <w:p>
            <w:pPr>
              <w:pStyle w:val="928"/>
              <w:jc w:val="left"/>
              <w:rPr>
                <w:rFonts w:hint="eastAsia" w:ascii="微软雅黑" w:hAnsi="微软雅黑" w:cs="微软雅黑"/>
                <w:szCs w:val="21"/>
              </w:rPr>
            </w:pPr>
            <w:r/>
            <w:bookmarkStart w:id="214" w:name="OLE_LINK2"/>
            <w:r>
              <w:rPr>
                <w:rFonts w:hint="eastAsia" w:ascii="微软雅黑" w:hAnsi="微软雅黑" w:cs="微软雅黑"/>
                <w:szCs w:val="21"/>
              </w:rPr>
              <w:t xml:space="preserve">（1）具有中级及以上档案专业职称的得2分，取得初级档案专业职称的得1分。</w:t>
            </w:r>
            <w:r>
              <w:rPr>
                <w:rFonts w:hint="eastAsia" w:ascii="微软雅黑" w:hAnsi="微软雅黑" w:cs="微软雅黑"/>
                <w:szCs w:val="21"/>
              </w:rPr>
            </w:r>
            <w:r/>
          </w:p>
          <w:p>
            <w:pPr>
              <w:pStyle w:val="928"/>
              <w:jc w:val="left"/>
              <w:rPr>
                <w:rFonts w:hint="eastAsia" w:ascii="微软雅黑" w:hAnsi="微软雅黑" w:cs="微软雅黑"/>
                <w:szCs w:val="21"/>
              </w:rPr>
            </w:pPr>
            <w:r>
              <w:rPr>
                <w:rFonts w:hint="eastAsia" w:ascii="微软雅黑" w:hAnsi="微软雅黑" w:cs="微软雅黑"/>
                <w:szCs w:val="21"/>
              </w:rPr>
              <w:t xml:space="preserve">（2）具有保密部门颁发的安全保密管理员证书，得1分；</w:t>
            </w:r>
            <w:r>
              <w:rPr>
                <w:rFonts w:hint="eastAsia" w:ascii="微软雅黑" w:hAnsi="微软雅黑" w:cs="微软雅黑"/>
                <w:szCs w:val="21"/>
              </w:rPr>
            </w:r>
            <w:r/>
          </w:p>
          <w:p>
            <w:pPr>
              <w:pStyle w:val="928"/>
              <w:jc w:val="left"/>
              <w:rPr>
                <w:rFonts w:hint="eastAsia" w:ascii="微软雅黑" w:hAnsi="微软雅黑" w:cs="微软雅黑"/>
                <w:szCs w:val="21"/>
              </w:rPr>
            </w:pPr>
            <w:r>
              <w:rPr>
                <w:rFonts w:hint="eastAsia" w:ascii="微软雅黑" w:hAnsi="微软雅黑" w:cs="微软雅黑"/>
                <w:szCs w:val="21"/>
              </w:rPr>
              <w:t xml:space="preserve">（3）具有国家信息安全水平认证证书，得1分</w:t>
            </w:r>
            <w:bookmarkEnd w:id="214"/>
            <w:r>
              <w:rPr>
                <w:rFonts w:hint="eastAsia" w:ascii="微软雅黑" w:hAnsi="微软雅黑" w:cs="微软雅黑"/>
                <w:szCs w:val="21"/>
              </w:rPr>
              <w:t xml:space="preserve">。</w:t>
            </w:r>
            <w:r>
              <w:rPr>
                <w:rFonts w:hint="eastAsia" w:ascii="微软雅黑" w:hAnsi="微软雅黑" w:cs="微软雅黑"/>
                <w:szCs w:val="21"/>
              </w:rPr>
            </w:r>
            <w:r/>
          </w:p>
          <w:p>
            <w:pPr>
              <w:pStyle w:val="928"/>
              <w:rPr>
                <w:rFonts w:hint="eastAsia" w:ascii="微软雅黑" w:hAnsi="微软雅黑" w:cs="微软雅黑"/>
                <w:color w:val="000000"/>
                <w:szCs w:val="21"/>
              </w:rPr>
            </w:pPr>
            <w:r>
              <w:rPr>
                <w:rFonts w:hint="eastAsia" w:ascii="微软雅黑" w:hAnsi="微软雅黑" w:cs="微软雅黑"/>
                <w:szCs w:val="21"/>
              </w:rPr>
              <w:t xml:space="preserve">备注：本项最高得4分，提供项目经理相关证书复印件，及供应商2026年2月至响应截止为其缴纳的任意一个月社保证明，</w:t>
            </w:r>
            <w:r>
              <w:rPr>
                <w:rFonts w:hint="eastAsia" w:ascii="微软雅黑" w:hAnsi="微软雅黑" w:cs="微软雅黑"/>
                <w:bCs/>
                <w:szCs w:val="21"/>
              </w:rPr>
              <w:t xml:space="preserve">不提供或未按要求提供的不得分。</w:t>
            </w:r>
            <w:r>
              <w:rPr>
                <w:rFonts w:hint="eastAsia" w:ascii="微软雅黑" w:hAnsi="微软雅黑" w:cs="微软雅黑"/>
                <w:color w:val="000000"/>
                <w:szCs w:val="21"/>
              </w:rPr>
            </w:r>
            <w:r/>
          </w:p>
        </w:tc>
        <w:tc>
          <w:tcPr>
            <w:tcW w:w="342" w:type="dxa"/>
            <w:vAlign w:val="center"/>
            <w:vMerge w:val="restart"/>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r>
      <w:tr>
        <w:trPr>
          <w:trHeight w:val="2754"/>
        </w:trPr>
        <w:tc>
          <w:tcPr>
            <w:tcW w:w="338"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3096" w:type="dxa"/>
            <w:vAlign w:val="center"/>
            <w:textDirection w:val="lrTb"/>
            <w:noWrap w:val="false"/>
          </w:tcPr>
          <w:p>
            <w:pPr>
              <w:pStyle w:val="928"/>
              <w:jc w:val="left"/>
              <w:rPr>
                <w:rFonts w:hint="eastAsia" w:ascii="微软雅黑" w:hAnsi="微软雅黑" w:cs="微软雅黑"/>
                <w:szCs w:val="21"/>
              </w:rPr>
            </w:pPr>
            <w:r>
              <w:rPr>
                <w:rFonts w:hint="eastAsia" w:ascii="微软雅黑" w:hAnsi="微软雅黑" w:cs="微软雅黑"/>
                <w:szCs w:val="21"/>
              </w:rPr>
              <w:t xml:space="preserve">为满足项目实际需要，拟投入本项目的驻场服务人员资质要求如下：</w:t>
            </w:r>
            <w:r>
              <w:rPr>
                <w:rFonts w:hint="eastAsia" w:ascii="微软雅黑" w:hAnsi="微软雅黑" w:cs="微软雅黑"/>
                <w:szCs w:val="21"/>
              </w:rPr>
            </w:r>
            <w:r/>
          </w:p>
          <w:p>
            <w:pPr>
              <w:pStyle w:val="928"/>
              <w:jc w:val="left"/>
              <w:rPr>
                <w:rFonts w:hint="eastAsia" w:ascii="微软雅黑" w:hAnsi="微软雅黑" w:cs="微软雅黑"/>
                <w:szCs w:val="21"/>
              </w:rPr>
            </w:pPr>
            <w:r>
              <w:rPr>
                <w:rFonts w:hint="eastAsia" w:ascii="微软雅黑" w:hAnsi="微软雅黑" w:cs="微软雅黑"/>
                <w:szCs w:val="21"/>
              </w:rPr>
              <w:t xml:space="preserve">驻场服务人员具有档案管理部门颁发的档案人员上岗培训证书的，每提供一名得1分。</w:t>
            </w:r>
            <w:r>
              <w:rPr>
                <w:rFonts w:hint="eastAsia" w:ascii="微软雅黑" w:hAnsi="微软雅黑" w:cs="微软雅黑"/>
                <w:szCs w:val="21"/>
              </w:rPr>
            </w:r>
            <w:r/>
          </w:p>
          <w:p>
            <w:pPr>
              <w:pStyle w:val="928"/>
              <w:rPr>
                <w:rFonts w:hint="eastAsia" w:ascii="微软雅黑" w:hAnsi="微软雅黑" w:cs="微软雅黑"/>
                <w:color w:val="000000"/>
                <w:szCs w:val="21"/>
              </w:rPr>
            </w:pPr>
            <w:r>
              <w:rPr>
                <w:rFonts w:hint="eastAsia" w:ascii="微软雅黑" w:hAnsi="微软雅黑" w:cs="微软雅黑"/>
                <w:szCs w:val="21"/>
              </w:rPr>
              <w:t xml:space="preserve">备注：本项最高得4分，</w:t>
            </w:r>
            <w:bookmarkStart w:id="215" w:name="OLE_LINK1"/>
            <w:r>
              <w:rPr>
                <w:rFonts w:hint="eastAsia" w:ascii="微软雅黑" w:hAnsi="微软雅黑" w:cs="微软雅黑"/>
                <w:szCs w:val="21"/>
              </w:rPr>
              <w:t xml:space="preserve">提供驻场服务人员相关证书复印件，及供应商2026年2月至响应截止为其缴纳的任意一个月社保证明，</w:t>
            </w:r>
            <w:r>
              <w:rPr>
                <w:rFonts w:hint="eastAsia" w:ascii="微软雅黑" w:hAnsi="微软雅黑" w:cs="微软雅黑"/>
                <w:bCs/>
                <w:szCs w:val="21"/>
              </w:rPr>
              <w:t xml:space="preserve">不提供或未按要求提供的不得分。</w:t>
            </w:r>
            <w:bookmarkEnd w:id="215"/>
            <w:r>
              <w:rPr>
                <w:rFonts w:hint="eastAsia" w:ascii="微软雅黑" w:hAnsi="微软雅黑" w:cs="微软雅黑"/>
                <w:color w:val="000000"/>
                <w:szCs w:val="21"/>
              </w:rPr>
            </w:r>
            <w:r/>
          </w:p>
        </w:tc>
        <w:tc>
          <w:tcPr>
            <w:tcW w:w="342"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r>
      <w:tr>
        <w:trPr>
          <w:trHeight w:val="2591"/>
        </w:trPr>
        <w:tc>
          <w:tcPr>
            <w:tcW w:w="338"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3096" w:type="dxa"/>
            <w:vAlign w:val="center"/>
            <w:textDirection w:val="lrTb"/>
            <w:noWrap w:val="false"/>
          </w:tcPr>
          <w:p>
            <w:pPr>
              <w:pStyle w:val="928"/>
              <w:jc w:val="left"/>
              <w:rPr>
                <w:rFonts w:hint="eastAsia" w:ascii="微软雅黑" w:hAnsi="微软雅黑" w:cs="微软雅黑"/>
                <w:szCs w:val="21"/>
              </w:rPr>
            </w:pPr>
            <w:r>
              <w:rPr>
                <w:rFonts w:hint="eastAsia" w:ascii="微软雅黑" w:hAnsi="微软雅黑" w:cs="微软雅黑"/>
                <w:szCs w:val="21"/>
              </w:rPr>
              <w:t xml:space="preserve">为满足项目实际需要，拟投入本项目的驻场服务人员资质要求如下：</w:t>
            </w:r>
            <w:r>
              <w:rPr>
                <w:rFonts w:hint="eastAsia" w:ascii="微软雅黑" w:hAnsi="微软雅黑" w:cs="微软雅黑"/>
                <w:szCs w:val="21"/>
              </w:rPr>
            </w:r>
            <w:r/>
          </w:p>
          <w:p>
            <w:pPr>
              <w:pStyle w:val="928"/>
              <w:jc w:val="left"/>
              <w:rPr>
                <w:rFonts w:hint="eastAsia" w:ascii="微软雅黑" w:hAnsi="微软雅黑" w:cs="微软雅黑"/>
                <w:szCs w:val="21"/>
              </w:rPr>
            </w:pPr>
            <w:r>
              <w:rPr>
                <w:rFonts w:hint="eastAsia" w:ascii="微软雅黑" w:hAnsi="微软雅黑" w:cs="微软雅黑"/>
                <w:szCs w:val="21"/>
              </w:rPr>
              <w:t xml:space="preserve">驻场服务人员具有档案专业助理馆员（或以上）资格证书</w:t>
            </w:r>
            <w:bookmarkStart w:id="216" w:name="OLE_LINK16"/>
            <w:r>
              <w:rPr>
                <w:rFonts w:hint="eastAsia" w:ascii="微软雅黑" w:hAnsi="微软雅黑" w:cs="微软雅黑"/>
                <w:szCs w:val="21"/>
              </w:rPr>
              <w:t xml:space="preserve">的，每提供一名得1分</w:t>
            </w:r>
            <w:bookmarkEnd w:id="216"/>
            <w:r>
              <w:rPr>
                <w:rFonts w:hint="eastAsia" w:ascii="微软雅黑" w:hAnsi="微软雅黑" w:cs="微软雅黑"/>
                <w:szCs w:val="21"/>
              </w:rPr>
              <w:t xml:space="preserve">。</w:t>
            </w:r>
            <w:r>
              <w:rPr>
                <w:rFonts w:hint="eastAsia" w:ascii="微软雅黑" w:hAnsi="微软雅黑" w:cs="微软雅黑"/>
                <w:szCs w:val="21"/>
              </w:rPr>
            </w:r>
            <w:r/>
          </w:p>
          <w:p>
            <w:pPr>
              <w:pStyle w:val="928"/>
              <w:rPr>
                <w:rFonts w:hint="eastAsia" w:ascii="微软雅黑" w:hAnsi="微软雅黑" w:cs="微软雅黑"/>
                <w:color w:val="000000"/>
                <w:szCs w:val="21"/>
              </w:rPr>
            </w:pPr>
            <w:r>
              <w:rPr>
                <w:rFonts w:hint="eastAsia" w:ascii="微软雅黑" w:hAnsi="微软雅黑" w:cs="微软雅黑"/>
                <w:szCs w:val="21"/>
              </w:rPr>
              <w:t xml:space="preserve">备注：本项最高得4分，提供驻场服务人员相关证书复印件，及供应商2026年2月至响应截止为其缴纳的任意一个月社保证明，</w:t>
            </w:r>
            <w:r>
              <w:rPr>
                <w:rFonts w:hint="eastAsia" w:ascii="微软雅黑" w:hAnsi="微软雅黑" w:cs="微软雅黑"/>
                <w:bCs/>
                <w:szCs w:val="21"/>
              </w:rPr>
              <w:t xml:space="preserve">不提供或未按要求提供的不得分。</w:t>
            </w:r>
            <w:r>
              <w:rPr>
                <w:rFonts w:hint="eastAsia" w:ascii="微软雅黑" w:hAnsi="微软雅黑" w:cs="微软雅黑"/>
                <w:color w:val="000000"/>
                <w:szCs w:val="21"/>
              </w:rPr>
            </w:r>
            <w:r/>
          </w:p>
        </w:tc>
        <w:tc>
          <w:tcPr>
            <w:tcW w:w="342"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r>
      <w:tr>
        <w:trPr>
          <w:trHeight w:val="2314"/>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609" w:type="dxa"/>
            <w:vAlign w:val="center"/>
            <w:vMerge w:val="restart"/>
            <w:textDirection w:val="lrTb"/>
            <w:noWrap w:val="false"/>
          </w:tcPr>
          <w:p>
            <w:pPr>
              <w:pStyle w:val="928"/>
              <w:jc w:val="center"/>
              <w:rPr>
                <w:rFonts w:hint="eastAsia" w:ascii="微软雅黑" w:hAnsi="微软雅黑" w:cs="微软雅黑"/>
                <w:szCs w:val="21"/>
              </w:rPr>
            </w:pPr>
            <w:r>
              <w:rPr>
                <w:rFonts w:hint="eastAsia" w:ascii="微软雅黑" w:hAnsi="微软雅黑" w:cs="微软雅黑"/>
                <w:szCs w:val="21"/>
              </w:rPr>
              <w:t xml:space="preserve">技术部分</w:t>
            </w:r>
            <w:r>
              <w:rPr>
                <w:rFonts w:hint="eastAsia" w:ascii="微软雅黑" w:hAnsi="微软雅黑" w:cs="微软雅黑"/>
                <w:szCs w:val="21"/>
              </w:rPr>
            </w:r>
            <w:r/>
          </w:p>
          <w:p>
            <w:pPr>
              <w:pStyle w:val="928"/>
              <w:jc w:val="center"/>
              <w:rPr>
                <w:rFonts w:hint="eastAsia" w:ascii="微软雅黑" w:hAnsi="微软雅黑" w:cs="微软雅黑"/>
                <w:szCs w:val="21"/>
              </w:rPr>
            </w:pPr>
            <w:r>
              <w:rPr>
                <w:rFonts w:hint="eastAsia" w:ascii="微软雅黑" w:hAnsi="微软雅黑" w:cs="微软雅黑"/>
                <w:szCs w:val="21"/>
              </w:rPr>
              <w:t xml:space="preserve">（56分）</w:t>
            </w:r>
            <w:r>
              <w:rPr>
                <w:rFonts w:hint="eastAsia" w:ascii="微软雅黑" w:hAnsi="微软雅黑" w:cs="微软雅黑"/>
                <w:szCs w:val="21"/>
              </w:rPr>
            </w:r>
            <w:r/>
          </w:p>
        </w:tc>
        <w:tc>
          <w:tcPr>
            <w:tcW w:w="612" w:type="dxa"/>
            <w:vAlign w:val="center"/>
            <w:textDirection w:val="lrTb"/>
            <w:noWrap w:val="false"/>
          </w:tcPr>
          <w:p>
            <w:pPr>
              <w:pStyle w:val="928"/>
              <w:jc w:val="center"/>
              <w:rPr>
                <w:rFonts w:hint="eastAsia" w:ascii="微软雅黑" w:hAnsi="微软雅黑" w:cs="微软雅黑"/>
                <w:szCs w:val="21"/>
              </w:rPr>
            </w:pPr>
            <w:r>
              <w:rPr>
                <w:rFonts w:hint="eastAsia" w:ascii="微软雅黑" w:hAnsi="微软雅黑" w:cs="微软雅黑"/>
                <w:szCs w:val="21"/>
              </w:rPr>
              <w:t xml:space="preserve">项目理解</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根据供应商对项目需求的分析、无纸化办案模式的理解和建议、档案管理及诉讼辅助事务服务整体设计思路等进行评分。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方案内容完整合理、条理清晰的得8分；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方案内容基本完整合理、条理较清晰的得5分；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方案内容欠完整、条理欠清晰的得2分；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2553"/>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609" w:type="dxa"/>
            <w:vAlign w:val="center"/>
            <w:vMerge w:val="continue"/>
            <w:textDirection w:val="lrTb"/>
            <w:noWrap w:val="false"/>
          </w:tcPr>
          <w:p>
            <w:pPr>
              <w:pStyle w:val="928"/>
              <w:jc w:val="center"/>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rPr>
                <w:rFonts w:hint="eastAsia" w:ascii="微软雅黑" w:hAnsi="微软雅黑" w:cs="微软雅黑"/>
                <w:szCs w:val="21"/>
              </w:rPr>
            </w:pPr>
            <w:r>
              <w:rPr>
                <w:rFonts w:hint="eastAsia" w:ascii="微软雅黑" w:hAnsi="微软雅黑" w:cs="微软雅黑"/>
                <w:szCs w:val="21"/>
              </w:rPr>
              <w:t xml:space="preserve">无纸化配套服务(1)随案扫描</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根据供应商提供的立案材料、补充材料数字化服务方案（包含但不限于扫描规范、材料分类、服务流程、服务时效等）进行评分。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方案内容完整合理、条理清晰的得8分；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方案内容基本完整合理、条理较清晰的得5分；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方案内容欠完整、条理欠清晰的得2分；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2553"/>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无纸化配套服务(2)材料管理</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根据供应商提供的卷宗材料管理服务方案（包含但不限于卷宗材料流转机制、中间库管理、入卷监控、卷宗保管等）进行评分。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方案内容完整合理、条理清晰的得8分；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方案内容基本完整合理、条理较清晰的得5分；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方案内容欠完整、条理欠清晰的得2分；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2644"/>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无纸化配套服务(3)归档整理</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根据供应商提供的卷宗的归档整理、质检服务方案（包含但不限于执行案件纸质卷归档整理、电子卷转档案卷，审判案件归档整理、扫描、挂接、装订等）进行评分。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方案内容完整合理、条理清晰的得8分；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方案内容基本完整合理、条理较清晰的得5分；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方案内容欠完整、条理欠清晰的得2分；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2528"/>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服务质量</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根据供应商提供的服务质量方案（包含但不限于①全流程无纸化服务各岗位绩效考核体系②全流程服务数据监管方案③数据统计与上报方案）进行评分。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方案内容完整合理、条理清晰的得8分；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方案内容基本完整合理、条理较清晰的得5分；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方案内容欠完整、条理欠清晰的得2分；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3276"/>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服务标准</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根据供应商提供的服务标准方案（包含但不限于①全流程无纸化服务标准②电子卷宗随案同步生成标准③材料数字化标准④案件纸质卷宗排序标准）进行评分。</w:t>
            </w:r>
            <w:r>
              <w:rPr>
                <w:rFonts w:hint="eastAsia" w:ascii="微软雅黑" w:hAnsi="微软雅黑" w:cs="微软雅黑"/>
                <w:szCs w:val="21"/>
              </w:rPr>
            </w:r>
            <w:r/>
          </w:p>
          <w:p>
            <w:pPr>
              <w:pStyle w:val="1255"/>
              <w:ind w:firstLine="0"/>
              <w:rPr>
                <w:rFonts w:hint="eastAsia" w:ascii="微软雅黑" w:hAnsi="微软雅黑" w:eastAsia="微软雅黑" w:cs="微软雅黑"/>
              </w:rPr>
            </w:pPr>
            <w:r>
              <w:rPr>
                <w:rFonts w:hint="eastAsia" w:ascii="微软雅黑" w:hAnsi="微软雅黑" w:eastAsia="微软雅黑" w:cs="微软雅黑"/>
              </w:rPr>
              <w:t xml:space="preserve">标准清晰、有操作性、考核标准严格、扣罚标准明确合理的得8分；</w:t>
            </w:r>
            <w:r>
              <w:rPr>
                <w:rFonts w:hint="eastAsia" w:ascii="微软雅黑" w:hAnsi="微软雅黑" w:eastAsia="微软雅黑" w:cs="微软雅黑"/>
              </w:rPr>
            </w:r>
            <w:r/>
          </w:p>
          <w:p>
            <w:pPr>
              <w:pStyle w:val="1255"/>
              <w:ind w:firstLine="0"/>
              <w:rPr>
                <w:rFonts w:hint="eastAsia" w:ascii="微软雅黑" w:hAnsi="微软雅黑" w:eastAsia="微软雅黑" w:cs="微软雅黑"/>
              </w:rPr>
            </w:pPr>
            <w:r>
              <w:rPr>
                <w:rFonts w:hint="eastAsia" w:ascii="微软雅黑" w:hAnsi="微软雅黑" w:eastAsia="微软雅黑" w:cs="微软雅黑"/>
              </w:rPr>
              <w:t xml:space="preserve">标准基本清晰、有基本的可操作性、考核标准较严格、扣罚标准基本明确合理的得5分；</w:t>
            </w:r>
            <w:r>
              <w:rPr>
                <w:rFonts w:hint="eastAsia" w:ascii="微软雅黑" w:hAnsi="微软雅黑" w:eastAsia="微软雅黑" w:cs="微软雅黑"/>
              </w:rPr>
            </w:r>
            <w:r/>
          </w:p>
          <w:p>
            <w:pPr>
              <w:pStyle w:val="1255"/>
              <w:ind w:firstLine="0"/>
              <w:rPr>
                <w:rFonts w:hint="eastAsia" w:ascii="微软雅黑" w:hAnsi="微软雅黑" w:eastAsia="微软雅黑" w:cs="微软雅黑"/>
              </w:rPr>
            </w:pPr>
            <w:r>
              <w:rPr>
                <w:rFonts w:hint="eastAsia" w:ascii="微软雅黑" w:hAnsi="微软雅黑" w:eastAsia="微软雅黑" w:cs="微软雅黑"/>
              </w:rPr>
              <w:t xml:space="preserve">服务标准内容不清晰、欠缺可操作性的得2分；</w:t>
            </w:r>
            <w:r>
              <w:rPr>
                <w:rFonts w:hint="eastAsia" w:ascii="微软雅黑" w:hAnsi="微软雅黑" w:eastAsia="微软雅黑" w:cs="微软雅黑"/>
              </w:rPr>
            </w:r>
            <w:r/>
          </w:p>
          <w:p>
            <w:pPr>
              <w:pStyle w:val="1255"/>
              <w:ind w:firstLine="0"/>
              <w:rPr>
                <w:rFonts w:hint="eastAsia" w:ascii="微软雅黑" w:hAnsi="微软雅黑" w:eastAsia="微软雅黑" w:cs="微软雅黑"/>
              </w:rPr>
            </w:pPr>
            <w:r>
              <w:rPr>
                <w:rFonts w:hint="eastAsia" w:ascii="微软雅黑" w:hAnsi="微软雅黑" w:eastAsia="微软雅黑" w:cs="微软雅黑"/>
              </w:rPr>
              <w:t xml:space="preserve">无方案不得分。</w:t>
            </w:r>
            <w:r>
              <w:rPr>
                <w:rFonts w:hint="eastAsia" w:ascii="微软雅黑" w:hAnsi="微软雅黑" w:eastAsia="微软雅黑" w:cs="微软雅黑"/>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3276"/>
        </w:trPr>
        <w:tc>
          <w:tcPr>
            <w:tcW w:w="338"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609" w:type="dxa"/>
            <w:vAlign w:val="center"/>
            <w:vMerge w:val="continue"/>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r>
            <w:r/>
          </w:p>
        </w:tc>
        <w:tc>
          <w:tcPr>
            <w:tcW w:w="61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安全保密措施</w:t>
            </w:r>
            <w:r>
              <w:rPr>
                <w:rFonts w:hint="eastAsia" w:ascii="微软雅黑" w:hAnsi="微软雅黑" w:cs="微软雅黑"/>
                <w:szCs w:val="21"/>
              </w:rPr>
            </w:r>
            <w:r/>
          </w:p>
        </w:tc>
        <w:tc>
          <w:tcPr>
            <w:tcW w:w="3096" w:type="dxa"/>
            <w:vAlign w:val="center"/>
            <w:textDirection w:val="lrTb"/>
            <w:noWrap w:val="false"/>
          </w:tcPr>
          <w:p>
            <w:pPr>
              <w:pStyle w:val="928"/>
              <w:rPr>
                <w:rFonts w:hint="eastAsia" w:ascii="微软雅黑" w:hAnsi="微软雅黑" w:cs="微软雅黑"/>
                <w:szCs w:val="21"/>
              </w:rPr>
            </w:pPr>
            <w:r>
              <w:rPr>
                <w:rFonts w:hint="eastAsia" w:ascii="微软雅黑" w:hAnsi="微软雅黑" w:cs="微软雅黑"/>
                <w:szCs w:val="21"/>
              </w:rPr>
              <w:t xml:space="preserve">根据供应商提供的针对本项目的安全保密措施方案（包括内部管理架构和管理规章制度、保密措施、应急事项的处理流程、处理方法，日常预防机制等）进行评分。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安全情况处理方案内容完整全面、处理方案快速有效、日常预防机制完善的得8分；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安全情况处理方案内容基本完整全面、处理方案基本有效、日常预防机制基本完善的得5分；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方案内容欠完善、处理方案欠有效的得2分；</w:t>
            </w:r>
            <w:r>
              <w:rPr>
                <w:rFonts w:hint="eastAsia" w:ascii="微软雅黑" w:hAnsi="微软雅黑" w:cs="微软雅黑"/>
                <w:szCs w:val="21"/>
              </w:rPr>
            </w:r>
            <w:r/>
          </w:p>
          <w:p>
            <w:pPr>
              <w:pStyle w:val="928"/>
              <w:rPr>
                <w:rFonts w:hint="eastAsia" w:ascii="微软雅黑" w:hAnsi="微软雅黑" w:cs="微软雅黑"/>
                <w:szCs w:val="21"/>
              </w:rPr>
            </w:pPr>
            <w:r>
              <w:rPr>
                <w:rFonts w:hint="eastAsia" w:ascii="微软雅黑" w:hAnsi="微软雅黑" w:cs="微软雅黑"/>
                <w:szCs w:val="21"/>
              </w:rPr>
              <w:t xml:space="preserve">无方案不得分。</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r>
      <w:tr>
        <w:trPr>
          <w:trHeight w:val="520"/>
        </w:trPr>
        <w:tc>
          <w:tcPr>
            <w:gridSpan w:val="4"/>
            <w:tcW w:w="8885" w:type="dxa"/>
            <w:vAlign w:val="center"/>
            <w:textDirection w:val="lrTb"/>
            <w:noWrap w:val="false"/>
          </w:tcPr>
          <w:p>
            <w:pPr>
              <w:pStyle w:val="928"/>
              <w:jc w:val="center"/>
              <w:widowControl/>
              <w:rPr>
                <w:rFonts w:hint="eastAsia" w:ascii="微软雅黑" w:hAnsi="微软雅黑" w:cs="微软雅黑"/>
                <w:szCs w:val="21"/>
              </w:rPr>
            </w:pPr>
            <w:r>
              <w:rPr>
                <w:rFonts w:hint="eastAsia" w:ascii="微软雅黑" w:hAnsi="微软雅黑" w:cs="微软雅黑"/>
                <w:szCs w:val="21"/>
              </w:rPr>
              <w:t xml:space="preserve">合计</w:t>
            </w:r>
            <w:r>
              <w:rPr>
                <w:rFonts w:hint="eastAsia" w:ascii="微软雅黑" w:hAnsi="微软雅黑" w:cs="微软雅黑"/>
                <w:szCs w:val="21"/>
              </w:rPr>
            </w:r>
            <w:r/>
          </w:p>
        </w:tc>
        <w:tc>
          <w:tcPr>
            <w:tcW w:w="342" w:type="dxa"/>
            <w:vAlign w:val="center"/>
            <w:textDirection w:val="lrTb"/>
            <w:noWrap w:val="false"/>
          </w:tcPr>
          <w:p>
            <w:pPr>
              <w:pStyle w:val="928"/>
              <w:jc w:val="center"/>
              <w:widowControl/>
              <w:rPr>
                <w:rFonts w:ascii="微软雅黑" w:hAnsi="微软雅黑" w:cs="微软雅黑"/>
                <w:szCs w:val="21"/>
              </w:rPr>
            </w:pPr>
            <w:r>
              <w:rPr>
                <w:rFonts w:ascii="微软雅黑" w:hAnsi="微软雅黑" w:cs="微软雅黑"/>
                <w:szCs w:val="21"/>
              </w:rPr>
              <w:fldChar w:fldCharType="begin"/>
            </w:r>
            <w:r>
              <w:rPr>
                <w:rFonts w:ascii="微软雅黑" w:hAnsi="微软雅黑" w:cs="微软雅黑"/>
                <w:szCs w:val="21"/>
              </w:rPr>
              <w:instrText xml:space="preserve"> =SUM(ABOVE) \* MERGEFORMAT </w:instrText>
            </w:r>
            <w:r>
              <w:rPr>
                <w:rFonts w:ascii="微软雅黑" w:hAnsi="微软雅黑" w:cs="微软雅黑"/>
                <w:szCs w:val="21"/>
              </w:rPr>
              <w:fldChar w:fldCharType="separate"/>
            </w:r>
            <w:r>
              <w:rPr>
                <w:rFonts w:ascii="微软雅黑" w:hAnsi="微软雅黑" w:cs="微软雅黑"/>
                <w:szCs w:val="21"/>
              </w:rPr>
              <w:t xml:space="preserve">100</w:t>
            </w:r>
            <w:r>
              <w:rPr>
                <w:rFonts w:ascii="微软雅黑" w:hAnsi="微软雅黑" w:cs="微软雅黑"/>
                <w:szCs w:val="21"/>
              </w:rPr>
              <w:fldChar w:fldCharType="end"/>
            </w:r>
            <w:r>
              <w:rPr>
                <w:rFonts w:ascii="微软雅黑" w:hAnsi="微软雅黑" w:cs="微软雅黑"/>
                <w:szCs w:val="21"/>
              </w:rPr>
            </w:r>
            <w:r/>
          </w:p>
        </w:tc>
      </w:tr>
    </w:tbl>
    <w:p>
      <w:pPr>
        <w:pStyle w:val="928"/>
        <w:spacing w:line="400" w:lineRule="exact"/>
        <w:rPr>
          <w:rFonts w:hint="eastAsia" w:ascii="微软雅黑" w:hAnsi="微软雅黑" w:cs="微软雅黑"/>
          <w:b/>
          <w:bCs/>
          <w:sz w:val="18"/>
          <w:szCs w:val="18"/>
        </w:rPr>
      </w:pPr>
      <w:r/>
      <w:bookmarkEnd w:id="213"/>
      <w:r>
        <w:rPr>
          <w:rFonts w:hint="eastAsia" w:ascii="微软雅黑" w:hAnsi="微软雅黑" w:cs="微软雅黑"/>
          <w:b/>
          <w:bCs/>
          <w:sz w:val="18"/>
          <w:szCs w:val="18"/>
        </w:rPr>
        <w:t xml:space="preserve">政府采购政策功能落实</w:t>
      </w:r>
      <w:r>
        <w:rPr>
          <w:rFonts w:hint="eastAsia" w:ascii="微软雅黑" w:hAnsi="微软雅黑" w:cs="微软雅黑"/>
          <w:b/>
          <w:bCs/>
          <w:sz w:val="18"/>
          <w:szCs w:val="18"/>
        </w:rPr>
      </w:r>
      <w:r/>
    </w:p>
    <w:p>
      <w:pPr>
        <w:pStyle w:val="928"/>
        <w:spacing w:line="40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1.小微型企业价格扣除</w:t>
      </w:r>
      <w:r>
        <w:rPr>
          <w:rFonts w:hint="eastAsia" w:ascii="微软雅黑" w:hAnsi="微软雅黑" w:cs="微软雅黑"/>
          <w:b/>
          <w:bCs/>
          <w:sz w:val="18"/>
          <w:szCs w:val="18"/>
        </w:rPr>
      </w:r>
      <w:r/>
    </w:p>
    <w:p>
      <w:pPr>
        <w:pStyle w:val="928"/>
        <w:numPr>
          <w:ilvl w:val="0"/>
          <w:numId w:val="9"/>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本项目对小型和微型企业产品、服务给予10%的扣除价格，用扣除后的价格参与评审。</w:t>
      </w:r>
      <w:r>
        <w:rPr>
          <w:rFonts w:hint="eastAsia" w:ascii="微软雅黑" w:hAnsi="微软雅黑" w:cs="微软雅黑"/>
          <w:sz w:val="18"/>
          <w:szCs w:val="18"/>
        </w:rPr>
      </w:r>
      <w:r/>
    </w:p>
    <w:p>
      <w:pPr>
        <w:pStyle w:val="928"/>
        <w:numPr>
          <w:ilvl w:val="0"/>
          <w:numId w:val="9"/>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供应商需按照采购文件的要求提供相应的《企业声明函》。</w:t>
      </w:r>
      <w:r>
        <w:rPr>
          <w:rFonts w:hint="eastAsia" w:ascii="微软雅黑" w:hAnsi="微软雅黑" w:cs="微软雅黑"/>
          <w:sz w:val="18"/>
          <w:szCs w:val="18"/>
        </w:rPr>
      </w:r>
      <w:r/>
    </w:p>
    <w:p>
      <w:pPr>
        <w:pStyle w:val="928"/>
        <w:numPr>
          <w:ilvl w:val="0"/>
          <w:numId w:val="9"/>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企业标准请参照《关于印发中小企业划型标准规定的通知》（工信部联企业[2011]300号）文件规定自行填写。</w:t>
      </w:r>
      <w:r>
        <w:rPr>
          <w:rFonts w:hint="eastAsia" w:ascii="微软雅黑" w:hAnsi="微软雅黑" w:cs="微软雅黑"/>
          <w:sz w:val="18"/>
          <w:szCs w:val="18"/>
        </w:rPr>
      </w:r>
      <w:r/>
    </w:p>
    <w:p>
      <w:pPr>
        <w:pStyle w:val="928"/>
        <w:spacing w:line="400" w:lineRule="exact"/>
        <w:rPr>
          <w:rFonts w:hint="eastAsia" w:ascii="微软雅黑" w:hAnsi="微软雅黑" w:cs="微软雅黑"/>
          <w:sz w:val="18"/>
          <w:szCs w:val="18"/>
        </w:rPr>
      </w:pPr>
      <w:r>
        <w:rPr>
          <w:rFonts w:hint="eastAsia" w:ascii="微软雅黑" w:hAnsi="微软雅黑" w:cs="微软雅黑"/>
          <w:b/>
          <w:bCs/>
          <w:sz w:val="18"/>
          <w:szCs w:val="18"/>
        </w:rPr>
        <w:t xml:space="preserve">2.残疾人福利单位价格扣除</w:t>
      </w:r>
      <w:r>
        <w:rPr>
          <w:rFonts w:hint="eastAsia" w:ascii="微软雅黑" w:hAnsi="微软雅黑" w:cs="微软雅黑"/>
          <w:sz w:val="18"/>
          <w:szCs w:val="18"/>
        </w:rPr>
      </w:r>
      <w:r/>
    </w:p>
    <w:p>
      <w:pPr>
        <w:pStyle w:val="928"/>
        <w:numPr>
          <w:ilvl w:val="0"/>
          <w:numId w:val="10"/>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本项目对残疾人福利性单位给予10%的价格扣除，用扣除后的价格参与评审。</w:t>
      </w:r>
      <w:r>
        <w:rPr>
          <w:rFonts w:hint="eastAsia" w:ascii="微软雅黑" w:hAnsi="微软雅黑" w:cs="微软雅黑"/>
          <w:sz w:val="18"/>
          <w:szCs w:val="18"/>
        </w:rPr>
      </w:r>
      <w:r/>
    </w:p>
    <w:p>
      <w:pPr>
        <w:pStyle w:val="928"/>
        <w:numPr>
          <w:ilvl w:val="0"/>
          <w:numId w:val="10"/>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残疾人福利单位需按照采购文件的要求提供《残疾人福利性单位声明函》。</w:t>
      </w:r>
      <w:r>
        <w:rPr>
          <w:rFonts w:hint="eastAsia" w:ascii="微软雅黑" w:hAnsi="微软雅黑" w:cs="微软雅黑"/>
          <w:sz w:val="18"/>
          <w:szCs w:val="18"/>
        </w:rPr>
      </w:r>
      <w:r/>
    </w:p>
    <w:p>
      <w:pPr>
        <w:pStyle w:val="928"/>
        <w:numPr>
          <w:ilvl w:val="0"/>
          <w:numId w:val="10"/>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残疾人福利单位标准请参照《关于促进残疾人就业政府采购政策的通知》（财库〔2017〕141号）。</w:t>
      </w:r>
      <w:r>
        <w:rPr>
          <w:rFonts w:hint="eastAsia" w:ascii="微软雅黑" w:hAnsi="微软雅黑" w:cs="微软雅黑"/>
          <w:sz w:val="18"/>
          <w:szCs w:val="18"/>
        </w:rPr>
      </w:r>
      <w:r/>
    </w:p>
    <w:p>
      <w:pPr>
        <w:pStyle w:val="928"/>
        <w:spacing w:line="40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3.监狱和戒毒企业价格扣除</w:t>
      </w:r>
      <w:r>
        <w:rPr>
          <w:rFonts w:hint="eastAsia" w:ascii="微软雅黑" w:hAnsi="微软雅黑" w:cs="微软雅黑"/>
          <w:b/>
          <w:bCs/>
          <w:sz w:val="18"/>
          <w:szCs w:val="18"/>
        </w:rPr>
      </w:r>
      <w:r/>
    </w:p>
    <w:p>
      <w:pPr>
        <w:pStyle w:val="928"/>
        <w:numPr>
          <w:ilvl w:val="0"/>
          <w:numId w:val="11"/>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本项目对监狱和戒毒企业（简称监狱企业）给予10%的价格扣除，用扣除后的价格参与评审。</w:t>
      </w:r>
      <w:r>
        <w:rPr>
          <w:rFonts w:hint="eastAsia" w:ascii="微软雅黑" w:hAnsi="微软雅黑" w:cs="微软雅黑"/>
          <w:sz w:val="18"/>
          <w:szCs w:val="18"/>
        </w:rPr>
      </w:r>
      <w:r/>
    </w:p>
    <w:p>
      <w:pPr>
        <w:pStyle w:val="928"/>
        <w:numPr>
          <w:ilvl w:val="0"/>
          <w:numId w:val="11"/>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 w:val="18"/>
          <w:szCs w:val="18"/>
        </w:rPr>
      </w:r>
      <w:r/>
    </w:p>
    <w:p>
      <w:pPr>
        <w:pStyle w:val="928"/>
        <w:numPr>
          <w:ilvl w:val="0"/>
          <w:numId w:val="11"/>
        </w:numPr>
        <w:spacing w:line="400" w:lineRule="exact"/>
        <w:rPr>
          <w:rFonts w:hint="eastAsia" w:ascii="微软雅黑" w:hAnsi="微软雅黑" w:cs="微软雅黑"/>
          <w:sz w:val="18"/>
          <w:szCs w:val="18"/>
        </w:rPr>
      </w:pPr>
      <w:r>
        <w:rPr>
          <w:rFonts w:hint="eastAsia" w:ascii="微软雅黑" w:hAnsi="微软雅黑" w:cs="微软雅黑"/>
          <w:sz w:val="18"/>
          <w:szCs w:val="18"/>
        </w:rPr>
        <w:t xml:space="preserve">监狱企业标准请参照《关于政府采购支持监狱企业发展有关问题的通知》（财库[2014]68号）。</w:t>
      </w:r>
      <w:r>
        <w:rPr>
          <w:rFonts w:hint="eastAsia" w:ascii="微软雅黑" w:hAnsi="微软雅黑" w:cs="微软雅黑"/>
          <w:sz w:val="18"/>
          <w:szCs w:val="18"/>
        </w:rPr>
      </w:r>
      <w:r/>
    </w:p>
    <w:p>
      <w:pPr>
        <w:pStyle w:val="928"/>
        <w:spacing w:line="40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4.残疾人福利单位、监狱企业属于小型、微型企业的，不重复享受政策。</w:t>
      </w:r>
      <w:r>
        <w:rPr>
          <w:rFonts w:hint="eastAsia" w:ascii="微软雅黑" w:hAnsi="微软雅黑" w:cs="微软雅黑"/>
          <w:b/>
          <w:bCs/>
          <w:sz w:val="18"/>
          <w:szCs w:val="18"/>
        </w:rPr>
      </w:r>
      <w:r/>
    </w:p>
    <w:p>
      <w:pPr>
        <w:pStyle w:val="1141"/>
        <w:spacing w:line="420" w:lineRule="exact"/>
        <w:rPr>
          <w:rFonts w:eastAsia="方正仿宋_GBK"/>
          <w:szCs w:val="32"/>
        </w:rPr>
      </w:pPr>
      <w:r>
        <w:rPr>
          <w:rFonts w:hint="eastAsia" w:ascii="微软雅黑" w:hAnsi="微软雅黑" w:cs="微软雅黑"/>
        </w:rPr>
        <w:br w:type="page" w:clear="all"/>
      </w:r>
      <w:bookmarkStart w:id="217" w:name="_Toc21811"/>
      <w:r/>
      <w:bookmarkStart w:id="218" w:name="_Toc30458"/>
      <w:r>
        <w:rPr>
          <w:rFonts w:hint="eastAsia" w:ascii="微软雅黑" w:hAnsi="微软雅黑" w:cs="微软雅黑"/>
          <w:szCs w:val="32"/>
        </w:rPr>
        <w:t xml:space="preserve">第四章 项目采购需求</w:t>
      </w:r>
      <w:bookmarkEnd w:id="217"/>
      <w:r/>
      <w:bookmarkEnd w:id="218"/>
      <w:r>
        <w:rPr>
          <w:rFonts w:eastAsia="方正仿宋_GBK"/>
          <w:szCs w:val="32"/>
        </w:rPr>
      </w:r>
      <w:r/>
    </w:p>
    <w:p>
      <w:pPr>
        <w:pStyle w:val="928"/>
        <w:ind w:firstLine="420"/>
        <w:jc w:val="left"/>
        <w:spacing w:line="440" w:lineRule="exact"/>
        <w:rPr>
          <w:rFonts w:hint="eastAsia" w:ascii="微软雅黑" w:hAnsi="微软雅黑" w:cs="微软雅黑"/>
          <w:b/>
          <w:szCs w:val="21"/>
        </w:rPr>
      </w:pPr>
      <w:r>
        <w:rPr>
          <w:rFonts w:hint="eastAsia" w:ascii="微软雅黑" w:hAnsi="微软雅黑" w:cs="微软雅黑"/>
          <w:b/>
          <w:szCs w:val="21"/>
        </w:rPr>
        <w:t xml:space="preserve">一、项目背景</w:t>
      </w:r>
      <w:r>
        <w:rPr>
          <w:rFonts w:hint="eastAsia" w:ascii="微软雅黑" w:hAnsi="微软雅黑" w:cs="微软雅黑"/>
          <w:b/>
          <w:szCs w:val="21"/>
        </w:rPr>
      </w:r>
      <w:r/>
    </w:p>
    <w:p>
      <w:pPr>
        <w:pStyle w:val="928"/>
        <w:ind w:firstLine="420"/>
        <w:jc w:val="left"/>
        <w:spacing w:line="440" w:lineRule="exact"/>
        <w:rPr>
          <w:rFonts w:hint="eastAsia" w:ascii="微软雅黑" w:hAnsi="微软雅黑" w:cs="微软雅黑"/>
          <w:bCs/>
          <w:szCs w:val="21"/>
        </w:rPr>
      </w:pPr>
      <w:r>
        <w:rPr>
          <w:rFonts w:hint="eastAsia" w:ascii="微软雅黑" w:hAnsi="微软雅黑" w:cs="微软雅黑"/>
          <w:bCs/>
          <w:szCs w:val="21"/>
          <w:lang w:val="zh-CN"/>
        </w:rPr>
        <w:t xml:space="preserve">为进一步提升人民法院审判执行信息化水平，深化司法公开力度，促进审判流程再造，江宁经济技术开发区人民法院总结各地法院建设经验的基础，并结合自身工作实际需要，采用“集中扫描、集中管理、集中归档”模式，对法院的卷宗材料进行全流程“无纸化”集约式管理，为审执一线分忧解难，将审判、执行中卷宗材料的辅助性事务脱离出来，提高审执人员办案效率。</w:t>
      </w:r>
      <w:r>
        <w:rPr>
          <w:rFonts w:hint="eastAsia" w:ascii="微软雅黑" w:hAnsi="微软雅黑" w:cs="微软雅黑"/>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二、项目清单</w:t>
      </w:r>
      <w:r>
        <w:rPr>
          <w:rFonts w:hint="eastAsia" w:ascii="微软雅黑" w:hAnsi="微软雅黑" w:cs="微软雅黑"/>
          <w:b/>
          <w:bCs/>
          <w:szCs w:val="21"/>
        </w:rPr>
      </w:r>
      <w:r/>
    </w:p>
    <w:tbl>
      <w:tblPr>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2"/>
        <w:gridCol w:w="2420"/>
        <w:gridCol w:w="683"/>
        <w:gridCol w:w="715"/>
        <w:gridCol w:w="3882"/>
      </w:tblGrid>
      <w:tr>
        <w:trPr>
          <w:trHeight w:val="465"/>
        </w:trPr>
        <w:tc>
          <w:tcPr>
            <w:tcW w:w="390"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序号</w:t>
            </w:r>
            <w:r>
              <w:rPr>
                <w:rFonts w:hint="eastAsia" w:ascii="微软雅黑" w:hAnsi="微软雅黑" w:eastAsia="微软雅黑" w:cs="微软雅黑"/>
                <w:sz w:val="21"/>
                <w:szCs w:val="21"/>
              </w:rPr>
            </w:r>
            <w:r/>
          </w:p>
        </w:tc>
        <w:tc>
          <w:tcPr>
            <w:tcW w:w="144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名称</w:t>
            </w:r>
            <w:r>
              <w:rPr>
                <w:rFonts w:hint="eastAsia" w:ascii="微软雅黑" w:hAnsi="微软雅黑" w:eastAsia="微软雅黑" w:cs="微软雅黑"/>
                <w:sz w:val="21"/>
                <w:szCs w:val="21"/>
              </w:rPr>
            </w:r>
            <w:r/>
          </w:p>
        </w:tc>
        <w:tc>
          <w:tcPr>
            <w:tcW w:w="409"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数量</w:t>
            </w:r>
            <w:r>
              <w:rPr>
                <w:rFonts w:hint="eastAsia" w:ascii="微软雅黑" w:hAnsi="微软雅黑" w:eastAsia="微软雅黑" w:cs="微软雅黑"/>
                <w:sz w:val="21"/>
                <w:szCs w:val="21"/>
              </w:rPr>
            </w:r>
            <w:r/>
          </w:p>
        </w:tc>
        <w:tc>
          <w:tcPr>
            <w:tcW w:w="42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单位</w:t>
            </w:r>
            <w:r>
              <w:rPr>
                <w:rFonts w:hint="eastAsia" w:ascii="微软雅黑" w:hAnsi="微软雅黑" w:eastAsia="微软雅黑" w:cs="微软雅黑"/>
                <w:sz w:val="21"/>
                <w:szCs w:val="21"/>
              </w:rPr>
            </w:r>
            <w:r/>
          </w:p>
        </w:tc>
        <w:tc>
          <w:tcPr>
            <w:tcW w:w="2323"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备注</w:t>
            </w:r>
            <w:r>
              <w:rPr>
                <w:rFonts w:hint="eastAsia" w:ascii="微软雅黑" w:hAnsi="微软雅黑" w:eastAsia="微软雅黑" w:cs="微软雅黑"/>
                <w:sz w:val="21"/>
                <w:szCs w:val="21"/>
              </w:rPr>
            </w:r>
            <w:r/>
          </w:p>
        </w:tc>
      </w:tr>
      <w:tr>
        <w:trPr>
          <w:trHeight w:val="600"/>
        </w:trPr>
        <w:tc>
          <w:tcPr>
            <w:tcW w:w="390"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rPr>
                <w:rFonts w:hint="eastAsia" w:ascii="微软雅黑" w:hAnsi="微软雅黑" w:eastAsia="微软雅黑" w:cs="微软雅黑"/>
                <w:sz w:val="21"/>
                <w:szCs w:val="21"/>
              </w:rPr>
            </w:r>
            <w:r/>
          </w:p>
        </w:tc>
        <w:tc>
          <w:tcPr>
            <w:tcW w:w="144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无纸化外包服务</w:t>
            </w:r>
            <w:r>
              <w:rPr>
                <w:rFonts w:hint="eastAsia" w:ascii="微软雅黑" w:hAnsi="微软雅黑" w:eastAsia="微软雅黑" w:cs="微软雅黑"/>
                <w:sz w:val="21"/>
                <w:szCs w:val="21"/>
              </w:rPr>
            </w:r>
            <w:r/>
          </w:p>
        </w:tc>
        <w:tc>
          <w:tcPr>
            <w:tcW w:w="409"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rPr>
                <w:rFonts w:hint="eastAsia" w:ascii="微软雅黑" w:hAnsi="微软雅黑" w:eastAsia="微软雅黑" w:cs="微软雅黑"/>
                <w:sz w:val="21"/>
                <w:szCs w:val="21"/>
              </w:rPr>
            </w:r>
            <w:r/>
          </w:p>
        </w:tc>
        <w:tc>
          <w:tcPr>
            <w:tcW w:w="42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年</w:t>
            </w:r>
            <w:r>
              <w:rPr>
                <w:rFonts w:hint="eastAsia" w:ascii="微软雅黑" w:hAnsi="微软雅黑" w:eastAsia="微软雅黑" w:cs="微软雅黑"/>
                <w:sz w:val="21"/>
                <w:szCs w:val="21"/>
              </w:rPr>
            </w:r>
            <w:r/>
          </w:p>
        </w:tc>
        <w:tc>
          <w:tcPr>
            <w:tcW w:w="2323" w:type="dxa"/>
            <w:vAlign w:val="center"/>
            <w:textDirection w:val="lrTb"/>
            <w:noWrap w:val="false"/>
          </w:tcPr>
          <w:p>
            <w:pPr>
              <w:pStyle w:val="974"/>
              <w:jc w:val="center"/>
              <w:spacing w:before="0" w:beforeAutospacing="0" w:after="0" w:afterAutospacing="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按照全院各类案件数27000件/年为基准工作量进行一年的报价。</w:t>
            </w:r>
            <w:r>
              <w:rPr>
                <w:rFonts w:hint="eastAsia" w:ascii="微软雅黑" w:hAnsi="微软雅黑" w:eastAsia="微软雅黑" w:cs="微软雅黑"/>
                <w:sz w:val="21"/>
                <w:szCs w:val="21"/>
              </w:rPr>
            </w:r>
            <w:r/>
          </w:p>
        </w:tc>
      </w:tr>
    </w:tbl>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三、项目具体内容</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3.1服务内容</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rPr>
        <w:t xml:space="preserve">供应商负责全院所有案件</w:t>
      </w:r>
      <w:r>
        <w:rPr>
          <w:rFonts w:hint="eastAsia" w:ascii="微软雅黑" w:hAnsi="微软雅黑" w:cs="微软雅黑"/>
          <w:bCs/>
          <w:szCs w:val="21"/>
          <w:lang w:val="zh-CN"/>
        </w:rPr>
        <w:t xml:space="preserve">立案阶段纸质材料数字化、审理过程中纸质材料数字化、中间库材料</w:t>
      </w:r>
      <w:r>
        <w:rPr>
          <w:rFonts w:hint="eastAsia" w:ascii="微软雅黑" w:hAnsi="微软雅黑" w:cs="微软雅黑"/>
          <w:bCs/>
          <w:szCs w:val="21"/>
        </w:rPr>
        <w:t xml:space="preserve">保管</w:t>
      </w:r>
      <w:r>
        <w:rPr>
          <w:rFonts w:hint="eastAsia" w:ascii="微软雅黑" w:hAnsi="微软雅黑" w:cs="微软雅黑"/>
          <w:bCs/>
          <w:szCs w:val="21"/>
          <w:lang w:val="zh-CN"/>
        </w:rPr>
        <w:t xml:space="preserve">、</w:t>
      </w:r>
      <w:r>
        <w:rPr>
          <w:rFonts w:hint="eastAsia" w:ascii="微软雅黑" w:hAnsi="微软雅黑" w:cs="微软雅黑"/>
          <w:bCs/>
          <w:szCs w:val="21"/>
        </w:rPr>
        <w:t xml:space="preserve">结案</w:t>
      </w:r>
      <w:r>
        <w:rPr>
          <w:rFonts w:hint="eastAsia" w:ascii="微软雅黑" w:hAnsi="微软雅黑" w:cs="微软雅黑"/>
          <w:bCs/>
          <w:szCs w:val="21"/>
          <w:lang w:val="zh-CN"/>
        </w:rPr>
        <w:t xml:space="preserve">卷宗整理质检、归档装订等五个环节实现集约化服务，明确各环节职责分工，协同工作，为全面无纸化办案夯实基础。集约化服务内容如下：</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（1）立案前服务内容包括起诉材料扫描、整理、分类、编目跟踪及材料管理。</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（2）审理过程中服务内容包括补充材料集中扫描、整理、分类、编目跟踪及材料管理。</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（3）结案（</w:t>
      </w:r>
      <w:r>
        <w:rPr>
          <w:rFonts w:hint="eastAsia" w:ascii="微软雅黑" w:hAnsi="微软雅黑" w:cs="微软雅黑"/>
          <w:bCs/>
          <w:szCs w:val="21"/>
        </w:rPr>
        <w:t xml:space="preserve">包含上诉</w:t>
      </w:r>
      <w:r>
        <w:rPr>
          <w:rFonts w:hint="eastAsia" w:ascii="微软雅黑" w:hAnsi="微软雅黑" w:cs="微软雅黑"/>
          <w:bCs/>
          <w:szCs w:val="21"/>
          <w:lang w:val="zh-CN"/>
        </w:rPr>
        <w:t xml:space="preserve">）后服务内容包括按归档要求整理纸质材料，核对无误后</w:t>
      </w:r>
      <w:r>
        <w:rPr>
          <w:rFonts w:hint="eastAsia" w:ascii="微软雅黑" w:hAnsi="微软雅黑" w:cs="微软雅黑"/>
          <w:bCs/>
          <w:szCs w:val="21"/>
        </w:rPr>
        <w:t xml:space="preserve">挂接至档案系统</w:t>
      </w:r>
      <w:r>
        <w:rPr>
          <w:rFonts w:hint="eastAsia" w:ascii="微软雅黑" w:hAnsi="微软雅黑" w:cs="微软雅黑"/>
          <w:bCs/>
          <w:szCs w:val="21"/>
          <w:lang w:val="zh-CN"/>
        </w:rPr>
        <w:t xml:space="preserve">。</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（4）归档后服务内容包括按法院档案部门要求完成卷皮制作、装订、</w:t>
      </w:r>
      <w:r>
        <w:rPr>
          <w:rFonts w:hint="eastAsia" w:ascii="微软雅黑" w:hAnsi="微软雅黑" w:cs="微软雅黑"/>
          <w:bCs/>
          <w:szCs w:val="21"/>
        </w:rPr>
        <w:t xml:space="preserve">上架以及档案备份等工作</w:t>
      </w:r>
      <w:r>
        <w:rPr>
          <w:rFonts w:hint="eastAsia" w:ascii="微软雅黑" w:hAnsi="微软雅黑" w:cs="微软雅黑"/>
          <w:bCs/>
          <w:szCs w:val="21"/>
          <w:lang w:val="zh-CN"/>
        </w:rPr>
        <w:t xml:space="preserve">。</w:t>
      </w:r>
      <w:r>
        <w:rPr>
          <w:rFonts w:hint="eastAsia" w:ascii="微软雅黑" w:hAnsi="微软雅黑" w:cs="微软雅黑"/>
          <w:bCs/>
          <w:szCs w:val="21"/>
          <w:lang w:val="zh-CN"/>
        </w:rPr>
      </w:r>
      <w:r/>
    </w:p>
    <w:p>
      <w:pPr>
        <w:pStyle w:val="1255"/>
        <w:ind w:firstLine="480"/>
        <w:jc w:val="left"/>
        <w:spacing w:line="440" w:lineRule="exact"/>
        <w:rPr>
          <w:rFonts w:hint="eastAsia" w:ascii="微软雅黑" w:hAnsi="微软雅黑" w:eastAsia="微软雅黑" w:cs="微软雅黑"/>
          <w:bCs/>
        </w:rPr>
      </w:pPr>
      <w:r>
        <w:rPr>
          <w:rFonts w:hint="eastAsia" w:ascii="微软雅黑" w:hAnsi="微软雅黑" w:eastAsia="微软雅黑" w:cs="微软雅黑"/>
          <w:bCs/>
          <w:lang w:val="zh-CN"/>
        </w:rPr>
        <w:t xml:space="preserve">（</w:t>
      </w:r>
      <w:r>
        <w:rPr>
          <w:rFonts w:hint="eastAsia" w:ascii="微软雅黑" w:hAnsi="微软雅黑" w:eastAsia="微软雅黑" w:cs="微软雅黑"/>
          <w:bCs/>
        </w:rPr>
        <w:t xml:space="preserve">5</w:t>
      </w:r>
      <w:r>
        <w:rPr>
          <w:rFonts w:hint="eastAsia" w:ascii="微软雅黑" w:hAnsi="微软雅黑" w:eastAsia="微软雅黑" w:cs="微软雅黑"/>
          <w:bCs/>
          <w:lang w:val="zh-CN"/>
        </w:rPr>
        <w:t xml:space="preserve">）</w:t>
      </w:r>
      <w:r>
        <w:rPr>
          <w:rFonts w:hint="eastAsia" w:ascii="微软雅黑" w:hAnsi="微软雅黑" w:eastAsia="微软雅黑" w:cs="微软雅黑"/>
          <w:bCs/>
        </w:rPr>
        <w:t xml:space="preserve">负责诉讼服务中心当事人调档的接待工作。</w:t>
      </w:r>
      <w:r>
        <w:rPr>
          <w:rFonts w:hint="eastAsia" w:ascii="微软雅黑" w:hAnsi="微软雅黑" w:eastAsia="微软雅黑" w:cs="微软雅黑"/>
          <w:bCs/>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3.2岗位配置</w:t>
      </w:r>
      <w:r>
        <w:rPr>
          <w:rFonts w:hint="eastAsia" w:ascii="微软雅黑" w:hAnsi="微软雅黑" w:cs="微软雅黑"/>
          <w:b/>
          <w:bCs/>
          <w:szCs w:val="21"/>
        </w:rPr>
      </w:r>
      <w:r/>
    </w:p>
    <w:tbl>
      <w:tblPr>
        <w:tblW w:w="534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55"/>
        <w:gridCol w:w="3357"/>
        <w:gridCol w:w="1017"/>
        <w:gridCol w:w="3562"/>
      </w:tblGrid>
      <w:tr>
        <w:trPr>
          <w:trHeight w:val="520"/>
          <w:tblHeader/>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序号</w:t>
            </w:r>
            <w:r>
              <w:rPr>
                <w:rFonts w:hint="eastAsia" w:ascii="微软雅黑" w:hAnsi="微软雅黑" w:eastAsia="微软雅黑" w:cs="微软雅黑"/>
                <w:b/>
                <w:bCs/>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岗位名称</w:t>
            </w:r>
            <w:r>
              <w:rPr>
                <w:rFonts w:hint="eastAsia" w:ascii="微软雅黑" w:hAnsi="微软雅黑" w:eastAsia="微软雅黑" w:cs="微软雅黑"/>
                <w:b/>
                <w:bCs/>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数量</w:t>
            </w:r>
            <w:r>
              <w:rPr>
                <w:rFonts w:hint="eastAsia" w:ascii="微软雅黑" w:hAnsi="微软雅黑" w:eastAsia="微软雅黑" w:cs="微软雅黑"/>
                <w:b/>
                <w:bCs/>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服务类型</w:t>
            </w:r>
            <w:r>
              <w:rPr>
                <w:rFonts w:hint="eastAsia" w:ascii="微软雅黑" w:hAnsi="微软雅黑" w:eastAsia="微软雅黑" w:cs="微软雅黑"/>
                <w:b/>
                <w:bCs/>
                <w:sz w:val="21"/>
                <w:szCs w:val="21"/>
              </w:rPr>
            </w:r>
            <w:r/>
          </w:p>
        </w:tc>
      </w:tr>
      <w:tr>
        <w:trPr>
          <w:trHeight w:val="518"/>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项目经理</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每周服务巡检，非驻场服务人员</w:t>
            </w:r>
            <w:r>
              <w:rPr>
                <w:rFonts w:hint="eastAsia" w:ascii="微软雅黑" w:hAnsi="微软雅黑" w:eastAsia="微软雅黑" w:cs="微软雅黑"/>
                <w:sz w:val="21"/>
                <w:szCs w:val="21"/>
              </w:rPr>
            </w:r>
            <w:r/>
          </w:p>
        </w:tc>
      </w:tr>
      <w:tr>
        <w:trPr>
          <w:trHeight w:val="518"/>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驻场服务经理</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30"/>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立案材料扫描岗(民事)</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56"/>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立案材料扫描岗(执行)</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56"/>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补充材料扫描岗（民事）</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56"/>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补充材料扫描岗（执行）</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42"/>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卷宗整理质检岗（民事、刑事）</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42"/>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卷宗整理质检岗（执行）</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66"/>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档案数字化及装订</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30"/>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调档服务岗</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06"/>
        </w:trPr>
        <w:tc>
          <w:tcPr>
            <w:tcW w:w="537"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11</w:t>
            </w:r>
            <w:r>
              <w:rPr>
                <w:rFonts w:hint="eastAsia" w:ascii="微软雅黑" w:hAnsi="微软雅黑" w:eastAsia="微软雅黑" w:cs="微软雅黑"/>
                <w:sz w:val="21"/>
                <w:szCs w:val="21"/>
              </w:rPr>
            </w:r>
            <w:r/>
          </w:p>
        </w:tc>
        <w:tc>
          <w:tcPr>
            <w:tcW w:w="1888"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中间库管理岗（民事、执行）</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w:t>
            </w:r>
            <w:r>
              <w:rPr>
                <w:rFonts w:hint="eastAsia" w:ascii="微软雅黑" w:hAnsi="微软雅黑" w:eastAsia="微软雅黑" w:cs="微软雅黑"/>
                <w:sz w:val="21"/>
                <w:szCs w:val="21"/>
              </w:rPr>
            </w:r>
            <w:r/>
          </w:p>
        </w:tc>
      </w:tr>
      <w:tr>
        <w:trPr>
          <w:trHeight w:val="518"/>
        </w:trPr>
        <w:tc>
          <w:tcPr>
            <w:gridSpan w:val="2"/>
            <w:tcW w:w="431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常年驻场服务人员</w:t>
            </w:r>
            <w:r>
              <w:rPr>
                <w:rFonts w:hint="eastAsia" w:ascii="微软雅黑" w:hAnsi="微软雅黑" w:eastAsia="微软雅黑" w:cs="微软雅黑"/>
                <w:sz w:val="21"/>
                <w:szCs w:val="21"/>
              </w:rPr>
              <w:t xml:space="preserve">（2-11项）合计</w:t>
            </w:r>
            <w:r>
              <w:rPr>
                <w:rFonts w:hint="eastAsia" w:ascii="微软雅黑" w:hAnsi="微软雅黑" w:eastAsia="微软雅黑" w:cs="微软雅黑"/>
                <w:sz w:val="21"/>
                <w:szCs w:val="21"/>
              </w:rPr>
            </w:r>
            <w:r/>
          </w:p>
        </w:tc>
        <w:tc>
          <w:tcPr>
            <w:tcW w:w="57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22人</w:t>
            </w:r>
            <w:r>
              <w:rPr>
                <w:rFonts w:hint="eastAsia" w:ascii="微软雅黑" w:hAnsi="微软雅黑" w:eastAsia="微软雅黑" w:cs="微软雅黑"/>
                <w:sz w:val="21"/>
                <w:szCs w:val="21"/>
              </w:rPr>
            </w:r>
            <w:r/>
          </w:p>
        </w:tc>
        <w:tc>
          <w:tcPr>
            <w:tcW w:w="2002"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360"/>
        </w:trPr>
        <w:tc>
          <w:tcPr>
            <w:gridSpan w:val="4"/>
            <w:tcW w:w="8891" w:type="dxa"/>
            <w:vAlign w:val="center"/>
            <w:textDirection w:val="lrTb"/>
            <w:noWrap w:val="false"/>
          </w:tcPr>
          <w:p>
            <w:pPr>
              <w:pStyle w:val="974"/>
              <w:jc w:val="center"/>
              <w:spacing w:before="0" w:beforeAutospacing="0" w:after="0" w:afterAutospacing="0" w:line="440" w:lineRule="exact"/>
              <w:widowControl w:val="off"/>
              <w:rPr>
                <w:rFonts w:hint="eastAsia" w:ascii="微软雅黑" w:hAnsi="微软雅黑" w:eastAsia="微软雅黑" w:cs="微软雅黑"/>
                <w:sz w:val="21"/>
                <w:szCs w:val="21"/>
              </w:rPr>
            </w:pPr>
            <w:r>
              <w:rPr>
                <w:rFonts w:hint="eastAsia"/>
              </w:rPr>
              <w:t xml:space="preserve">★</w:t>
            </w:r>
            <w:r>
              <w:rPr>
                <w:rFonts w:hint="eastAsia" w:ascii="微软雅黑" w:hAnsi="微软雅黑" w:eastAsia="微软雅黑" w:cs="微软雅黑"/>
                <w:sz w:val="21"/>
                <w:szCs w:val="21"/>
              </w:rPr>
              <w:t xml:space="preserve">备注：服务人数不得低于上表要求，工作岗位可以根据实际情况调整，以确保及时完成工作。</w:t>
            </w:r>
            <w:r>
              <w:rPr>
                <w:rFonts w:hint="eastAsia" w:ascii="微软雅黑" w:hAnsi="微软雅黑" w:eastAsia="微软雅黑" w:cs="微软雅黑"/>
                <w:sz w:val="21"/>
                <w:szCs w:val="21"/>
              </w:rPr>
            </w:r>
            <w:r/>
          </w:p>
        </w:tc>
      </w:tr>
    </w:tbl>
    <w:p>
      <w:pPr>
        <w:pStyle w:val="928"/>
        <w:ind w:firstLine="420"/>
        <w:jc w:val="left"/>
        <w:spacing w:line="440" w:lineRule="exact"/>
        <w:rPr>
          <w:rFonts w:hint="eastAsia" w:ascii="微软雅黑" w:hAnsi="微软雅黑" w:cs="微软雅黑"/>
          <w:b/>
          <w:bCs/>
          <w:szCs w:val="21"/>
        </w:rPr>
      </w:pPr>
      <w:r/>
      <w:bookmarkStart w:id="219" w:name="_Toc11626791"/>
      <w:r>
        <w:rPr>
          <w:rFonts w:hint="eastAsia" w:ascii="微软雅黑" w:hAnsi="微软雅黑" w:cs="微软雅黑"/>
          <w:b/>
          <w:bCs/>
          <w:szCs w:val="21"/>
        </w:rPr>
        <w:t xml:space="preserve">3.3服务流程及时效要求</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3.3.1立案材料数字化服务流程</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rPr>
      </w:pPr>
      <w:r>
        <w:rPr>
          <w:rFonts w:hint="eastAsia" w:ascii="微软雅黑" w:hAnsi="微软雅黑" w:cs="微软雅黑"/>
          <w:bCs/>
          <w:szCs w:val="21"/>
          <w:lang w:val="zh-CN"/>
        </w:rPr>
        <w:t xml:space="preserve">窗口服务人员负责接收立案庭法官转交的起诉立案材料，进行登记、整理、扫描，通过材料收转发系统进行数字化处理，然后提交上级法院编目，编目完成后，打印材料二维码清单，同时将材料二维码清单附在起诉立案材料首页转交给立案登记人员。待分案完成后，由立案庭将起诉立案材料交回给窗口服务人员并归入中间库。</w:t>
      </w:r>
      <w:r>
        <w:rPr>
          <w:rFonts w:hint="eastAsia" w:ascii="微软雅黑" w:hAnsi="微软雅黑" w:cs="微软雅黑"/>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3.3.2补充材料数字化服务流程</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rPr>
      </w:pPr>
      <w:r>
        <w:rPr>
          <w:rFonts w:hint="eastAsia" w:ascii="微软雅黑" w:hAnsi="微软雅黑" w:cs="微软雅黑"/>
          <w:bCs/>
          <w:szCs w:val="21"/>
          <w:lang w:val="zh-CN"/>
        </w:rPr>
        <w:t xml:space="preserve">案件办理过程中，当事人邮寄或当庭提交的案件补充材料，各业务庭提交至补充材料扫描岗，完成交接并确认签字后，扫描岗进行登记、整理、扫描，通过材料收转发系统进行数字化处理，然后提交上级法院编目，编目完成后，打印材料二维码清单，同时将材料二维码清单附在补充材料首页并</w:t>
      </w:r>
      <w:r>
        <w:rPr>
          <w:rFonts w:hint="eastAsia" w:ascii="微软雅黑" w:hAnsi="微软雅黑" w:cs="微软雅黑"/>
          <w:bCs/>
          <w:szCs w:val="21"/>
        </w:rPr>
        <w:t xml:space="preserve">归入中间库</w:t>
      </w:r>
      <w:r>
        <w:rPr>
          <w:rFonts w:hint="eastAsia" w:ascii="微软雅黑" w:hAnsi="微软雅黑" w:cs="微软雅黑"/>
          <w:bCs/>
          <w:szCs w:val="21"/>
          <w:lang w:val="zh-CN"/>
        </w:rPr>
        <w:t xml:space="preserve">。</w:t>
      </w:r>
      <w:r>
        <w:rPr>
          <w:rFonts w:hint="eastAsia" w:ascii="微软雅黑" w:hAnsi="微软雅黑" w:cs="微软雅黑"/>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3.3.3材料管理</w:t>
      </w:r>
      <w:bookmarkEnd w:id="219"/>
      <w:r>
        <w:rPr>
          <w:rFonts w:hint="eastAsia" w:ascii="微软雅黑" w:hAnsi="微软雅黑" w:cs="微软雅黑"/>
          <w:b/>
          <w:bCs/>
          <w:szCs w:val="21"/>
        </w:rPr>
        <w:t xml:space="preserve">服务流程</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（1）纸质材料接收、流转、保管</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立案阶段和审理过程中提交的纸质材料，交中间库后，由中间库管理岗进行核对、登记交接、入库。</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（2）纸质材料借阅/归还</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案件办理过程中，承办人需要借阅纸质材料的，提出借阅申请，中间库管理岗收到借阅申请后，</w:t>
      </w:r>
      <w:bookmarkStart w:id="220" w:name="_Toc11626792"/>
      <w:r>
        <w:rPr>
          <w:rFonts w:hint="eastAsia" w:ascii="微软雅黑" w:hAnsi="微软雅黑" w:cs="微软雅黑"/>
          <w:bCs/>
          <w:szCs w:val="21"/>
          <w:lang w:val="zh-CN"/>
        </w:rPr>
        <w:t xml:space="preserve">从中间库取出，交借阅人，双方签字确认；归还时，中间库管理岗核对无误，双方签字确认后，重新归还中间库。</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（3）材料入卷监控</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bCs/>
          <w:szCs w:val="21"/>
          <w:lang w:val="zh-CN"/>
        </w:rPr>
        <w:t xml:space="preserve">针对立案材料和补充材料入卷过程的监控工作，如发现电子卷宗和已经数字化的纸质材料不一致时，中间库管理岗负责当天与审判、执行系统软件运维人员进行沟通，解决问题。</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b/>
          <w:bCs/>
          <w:szCs w:val="21"/>
        </w:rPr>
      </w:pPr>
      <w:r/>
      <w:bookmarkEnd w:id="220"/>
      <w:r>
        <w:rPr>
          <w:rFonts w:hint="eastAsia" w:ascii="微软雅黑" w:hAnsi="微软雅黑" w:cs="微软雅黑"/>
          <w:b/>
          <w:bCs/>
          <w:szCs w:val="21"/>
        </w:rPr>
        <w:t xml:space="preserve">3.3.4归档整理、装订服务流程</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rPr>
        <w:t xml:space="preserve">案件结案后</w:t>
      </w:r>
      <w:r>
        <w:rPr>
          <w:rFonts w:hint="eastAsia" w:ascii="微软雅黑" w:hAnsi="微软雅黑" w:cs="微软雅黑"/>
          <w:bCs/>
          <w:szCs w:val="21"/>
          <w:lang w:val="zh-CN"/>
        </w:rPr>
        <w:t xml:space="preserve">书记员</w:t>
      </w:r>
      <w:r>
        <w:rPr>
          <w:rFonts w:hint="eastAsia" w:ascii="微软雅黑" w:hAnsi="微软雅黑" w:cs="微软雅黑"/>
          <w:bCs/>
          <w:szCs w:val="21"/>
        </w:rPr>
        <w:t xml:space="preserve">补齐材料</w:t>
      </w:r>
      <w:r>
        <w:rPr>
          <w:rFonts w:hint="eastAsia" w:ascii="微软雅黑" w:hAnsi="微软雅黑" w:cs="微软雅黑"/>
          <w:bCs/>
          <w:szCs w:val="21"/>
          <w:lang w:val="zh-CN"/>
        </w:rPr>
        <w:t xml:space="preserve">，通</w:t>
      </w:r>
      <w:r>
        <w:rPr>
          <w:rFonts w:hint="eastAsia" w:ascii="微软雅黑" w:hAnsi="微软雅黑" w:cs="微软雅黑"/>
          <w:bCs/>
          <w:szCs w:val="21"/>
        </w:rPr>
        <w:t xml:space="preserve">过“一张网”系统派发归档整理任务的工单</w:t>
      </w:r>
      <w:r>
        <w:rPr>
          <w:rFonts w:hint="eastAsia" w:ascii="微软雅黑" w:hAnsi="微软雅黑" w:cs="微软雅黑"/>
          <w:bCs/>
          <w:szCs w:val="21"/>
          <w:lang w:val="zh-CN"/>
        </w:rPr>
        <w:t xml:space="preserve">，服务经理根据集约化管理平台中的派单情况，及时安排将纸质卷宗出库并分派任务；由服务人员核对纸质卷宗与电子卷宗情况，发现存在差异性时，通过与书记员及时沟通解决差异性问题，完成卷宗</w:t>
      </w:r>
      <w:r>
        <w:rPr>
          <w:rFonts w:hint="eastAsia" w:ascii="微软雅黑" w:hAnsi="微软雅黑" w:cs="微软雅黑"/>
          <w:bCs/>
          <w:szCs w:val="21"/>
        </w:rPr>
        <w:t xml:space="preserve">整理和质检</w:t>
      </w:r>
      <w:r>
        <w:rPr>
          <w:rFonts w:hint="eastAsia" w:ascii="微软雅黑" w:hAnsi="微软雅黑" w:cs="微软雅黑"/>
          <w:bCs/>
          <w:szCs w:val="21"/>
          <w:lang w:val="zh-CN"/>
        </w:rPr>
        <w:t xml:space="preserve">，并把卷宗整理过程中发现的问题反馈至书记员，由书记员进行审核，审核无误后提档，待档案室</w:t>
      </w:r>
      <w:r>
        <w:rPr>
          <w:rFonts w:hint="eastAsia" w:ascii="微软雅黑" w:hAnsi="微软雅黑" w:cs="微软雅黑"/>
          <w:bCs/>
          <w:szCs w:val="21"/>
        </w:rPr>
        <w:t xml:space="preserve">工作人员收档后，</w:t>
      </w:r>
      <w:r>
        <w:rPr>
          <w:rFonts w:hint="eastAsia" w:ascii="微软雅黑" w:hAnsi="微软雅黑" w:cs="微软雅黑"/>
          <w:bCs/>
          <w:szCs w:val="21"/>
          <w:lang w:val="zh-CN"/>
        </w:rPr>
        <w:t xml:space="preserve">服务人员</w:t>
      </w:r>
      <w:r>
        <w:rPr>
          <w:rFonts w:hint="eastAsia" w:ascii="微软雅黑" w:hAnsi="微软雅黑" w:cs="微软雅黑"/>
          <w:bCs/>
          <w:szCs w:val="21"/>
        </w:rPr>
        <w:t xml:space="preserve">编写纸质卷宗</w:t>
      </w:r>
      <w:r>
        <w:rPr>
          <w:rFonts w:hint="eastAsia" w:ascii="微软雅黑" w:hAnsi="微软雅黑" w:cs="微软雅黑"/>
          <w:bCs/>
          <w:szCs w:val="21"/>
          <w:lang w:val="zh-CN"/>
        </w:rPr>
        <w:t xml:space="preserve">页码、生成卷内目录，确认归属目录无误后，打印纸质目录入卷。最后，装订岗人员按档案要求完成卷皮制作和装订工作，交接给档案管理员归入档案库房。</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3.3.5调档服务流程</w:t>
      </w:r>
      <w:r>
        <w:rPr>
          <w:rFonts w:hint="eastAsia" w:ascii="微软雅黑" w:hAnsi="微软雅黑" w:cs="微软雅黑"/>
          <w:b/>
          <w:bCs/>
          <w:szCs w:val="21"/>
        </w:rPr>
      </w:r>
      <w:r/>
    </w:p>
    <w:p>
      <w:pPr>
        <w:pStyle w:val="1255"/>
        <w:ind w:firstLine="420"/>
        <w:jc w:val="left"/>
        <w:spacing w:line="440" w:lineRule="exact"/>
        <w:rPr>
          <w:rFonts w:hint="eastAsia" w:ascii="微软雅黑" w:hAnsi="微软雅黑" w:eastAsia="微软雅黑" w:cs="微软雅黑"/>
        </w:rPr>
      </w:pPr>
      <w:r>
        <w:rPr>
          <w:rFonts w:hint="eastAsia" w:ascii="微软雅黑" w:hAnsi="微软雅黑" w:eastAsia="微软雅黑" w:cs="微软雅黑"/>
        </w:rPr>
        <w:t xml:space="preserve">负责诉讼服务大厅当事人调档的咨询、接待、身份审核等工作。</w:t>
      </w:r>
      <w:r>
        <w:rPr>
          <w:rFonts w:hint="eastAsia" w:ascii="微软雅黑" w:hAnsi="微软雅黑" w:eastAsia="微软雅黑" w:cs="微软雅黑"/>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3.3.6服务时效要求</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各项服务工作的时效性按照江宁经济技术开发区人民法院全流程无纸化操作规范的要求执行。</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3.3.7加工技术要求</w:t>
      </w:r>
      <w:r>
        <w:rPr>
          <w:rFonts w:hint="eastAsia" w:ascii="微软雅黑" w:hAnsi="微软雅黑" w:cs="微软雅黑"/>
          <w:b/>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（1）需满足苏高法办[2010]18号《诉讼档案数字化加工技术规范》。</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（2）供应商需按照国家标准《中华人民共和国行业标准（DA/T 31-2017）纸质档案数字化规范》进行加工。</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四、服务考核标准</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4.1工作纪律考核</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bCs/>
          <w:szCs w:val="21"/>
          <w:lang w:val="zh-CN"/>
        </w:rPr>
        <w:t xml:space="preserve">（1）</w:t>
      </w:r>
      <w:r>
        <w:rPr>
          <w:rFonts w:hint="eastAsia" w:ascii="微软雅黑" w:hAnsi="微软雅黑" w:cs="微软雅黑"/>
          <w:szCs w:val="21"/>
        </w:rPr>
        <w:t xml:space="preserve">工作时间：国家法定工作日和</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统一要求加班的节假日，按照</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的上下班时间严格执行考勤制度，做好考勤登记，确保员工准时上班，无故缺勤、迟到、早退的，每人次扣50元；</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w:t>
      </w:r>
      <w:r>
        <w:rPr>
          <w:rFonts w:hint="eastAsia" w:ascii="微软雅黑" w:hAnsi="微软雅黑" w:cs="微软雅黑"/>
          <w:bCs/>
          <w:szCs w:val="21"/>
        </w:rPr>
        <w:t xml:space="preserve">2</w:t>
      </w:r>
      <w:r>
        <w:rPr>
          <w:rFonts w:hint="eastAsia" w:ascii="微软雅黑" w:hAnsi="微软雅黑" w:cs="微软雅黑"/>
          <w:bCs/>
          <w:szCs w:val="21"/>
          <w:lang w:val="zh-CN"/>
        </w:rPr>
        <w:t xml:space="preserve">）未在规定时间内完成服务事项的，每件次扣</w:t>
      </w:r>
      <w:r>
        <w:rPr>
          <w:rFonts w:hint="eastAsia" w:ascii="微软雅黑" w:hAnsi="微软雅黑" w:cs="微软雅黑"/>
          <w:bCs/>
          <w:szCs w:val="21"/>
        </w:rPr>
        <w:t xml:space="preserve">50</w:t>
      </w:r>
      <w:r>
        <w:rPr>
          <w:rFonts w:hint="eastAsia" w:ascii="微软雅黑" w:hAnsi="微软雅黑" w:cs="微软雅黑"/>
          <w:bCs/>
          <w:szCs w:val="21"/>
          <w:lang w:val="zh-CN"/>
        </w:rPr>
        <w:t xml:space="preserve">元。</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（3）违反内部规章制度，不听从安排和分配，扰乱工作秩序的，每人次扣500元。</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w:t>
      </w:r>
      <w:r>
        <w:rPr>
          <w:rFonts w:hint="eastAsia" w:ascii="微软雅黑" w:hAnsi="微软雅黑" w:cs="微软雅黑"/>
          <w:bCs/>
          <w:szCs w:val="21"/>
        </w:rPr>
        <w:t xml:space="preserve">4</w:t>
      </w:r>
      <w:r>
        <w:rPr>
          <w:rFonts w:hint="eastAsia" w:ascii="微软雅黑" w:hAnsi="微软雅黑" w:cs="微软雅黑"/>
          <w:bCs/>
          <w:szCs w:val="21"/>
          <w:lang w:val="zh-CN"/>
        </w:rPr>
        <w:t xml:space="preserve">）</w:t>
      </w:r>
      <w:r>
        <w:rPr>
          <w:rFonts w:hint="eastAsia" w:ascii="微软雅黑" w:hAnsi="微软雅黑" w:cs="微软雅黑"/>
          <w:szCs w:val="21"/>
        </w:rPr>
        <w:t xml:space="preserve">现场人员请假需经过</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档案部门同意后方可准假。</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4.2业务能力考核</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（1）案件卷宗质量问题的惩罚性扣款：每季度档案室统计供应商归档总数和归档过程中产生的问题卷数，如问题卷数超过总归档数的</w:t>
      </w:r>
      <w:r>
        <w:rPr>
          <w:rFonts w:hint="eastAsia" w:ascii="微软雅黑" w:hAnsi="微软雅黑" w:cs="微软雅黑"/>
          <w:bCs/>
          <w:szCs w:val="21"/>
        </w:rPr>
        <w:t xml:space="preserve">1</w:t>
      </w:r>
      <w:r>
        <w:rPr>
          <w:rFonts w:hint="eastAsia" w:ascii="微软雅黑" w:hAnsi="微软雅黑" w:cs="微软雅黑"/>
          <w:bCs/>
          <w:szCs w:val="21"/>
          <w:lang w:val="zh-CN"/>
        </w:rPr>
        <w:t xml:space="preserve">%，则超过部分按照每件次200元进行扣罚。</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fldChar w:fldCharType="begin"/>
      </w:r>
      <w:r>
        <w:rPr>
          <w:rFonts w:hint="eastAsia" w:ascii="微软雅黑" w:hAnsi="微软雅黑" w:cs="微软雅黑"/>
          <w:bCs/>
          <w:szCs w:val="21"/>
          <w:lang w:val="zh-CN"/>
        </w:rPr>
        <w:instrText xml:space="preserve"> = 1 \* GB3 \* MERGEFORMAT </w:instrText>
      </w:r>
      <w:r>
        <w:rPr>
          <w:rFonts w:hint="eastAsia" w:ascii="微软雅黑" w:hAnsi="微软雅黑" w:cs="微软雅黑"/>
          <w:bCs/>
          <w:szCs w:val="21"/>
          <w:lang w:val="zh-CN"/>
        </w:rPr>
        <w:fldChar w:fldCharType="separate"/>
      </w:r>
      <w:r>
        <w:rPr>
          <w:rFonts w:hint="eastAsia" w:ascii="微软雅黑" w:hAnsi="微软雅黑" w:cs="微软雅黑"/>
          <w:szCs w:val="21"/>
        </w:rPr>
        <w:t xml:space="preserve">①</w:t>
      </w:r>
      <w:r>
        <w:rPr>
          <w:rFonts w:hint="eastAsia" w:ascii="微软雅黑" w:hAnsi="微软雅黑" w:cs="微软雅黑"/>
          <w:bCs/>
          <w:szCs w:val="21"/>
          <w:lang w:val="zh-CN"/>
        </w:rPr>
        <w:fldChar w:fldCharType="end"/>
      </w:r>
      <w:r>
        <w:rPr>
          <w:rFonts w:hint="eastAsia" w:ascii="微软雅黑" w:hAnsi="微软雅黑" w:cs="微软雅黑"/>
          <w:bCs/>
          <w:szCs w:val="21"/>
          <w:lang w:val="zh-CN"/>
        </w:rPr>
        <w:t xml:space="preserve">未发现文书材料应当签字</w:t>
      </w:r>
      <w:r>
        <w:rPr>
          <w:rFonts w:hint="eastAsia" w:ascii="微软雅黑" w:hAnsi="微软雅黑" w:cs="微软雅黑"/>
          <w:bCs/>
          <w:szCs w:val="21"/>
        </w:rPr>
        <w:t xml:space="preserve">的</w:t>
      </w:r>
      <w:r>
        <w:rPr>
          <w:rFonts w:hint="eastAsia" w:ascii="微软雅黑" w:hAnsi="微软雅黑" w:cs="微软雅黑"/>
          <w:bCs/>
          <w:szCs w:val="21"/>
          <w:lang w:val="zh-CN"/>
        </w:rPr>
        <w:t xml:space="preserve">；</w:t>
      </w:r>
      <w:r>
        <w:rPr>
          <w:rFonts w:hint="eastAsia" w:ascii="微软雅黑" w:hAnsi="微软雅黑" w:cs="微软雅黑"/>
          <w:bCs/>
          <w:szCs w:val="21"/>
          <w:lang w:val="zh-CN"/>
        </w:rPr>
        <w:fldChar w:fldCharType="begin"/>
      </w:r>
      <w:r>
        <w:rPr>
          <w:rFonts w:hint="eastAsia" w:ascii="微软雅黑" w:hAnsi="微软雅黑" w:cs="微软雅黑"/>
          <w:bCs/>
          <w:szCs w:val="21"/>
          <w:lang w:val="zh-CN"/>
        </w:rPr>
        <w:instrText xml:space="preserve"> = 2 \* GB3 \* MERGEFORMAT </w:instrText>
      </w:r>
      <w:r>
        <w:rPr>
          <w:rFonts w:hint="eastAsia" w:ascii="微软雅黑" w:hAnsi="微软雅黑" w:cs="微软雅黑"/>
          <w:bCs/>
          <w:szCs w:val="21"/>
          <w:lang w:val="zh-CN"/>
        </w:rPr>
        <w:fldChar w:fldCharType="separate"/>
      </w:r>
      <w:r>
        <w:rPr>
          <w:rFonts w:hint="eastAsia" w:ascii="微软雅黑" w:hAnsi="微软雅黑" w:cs="微软雅黑"/>
          <w:szCs w:val="21"/>
        </w:rPr>
        <w:t xml:space="preserve">②</w:t>
      </w:r>
      <w:r>
        <w:rPr>
          <w:rFonts w:hint="eastAsia" w:ascii="微软雅黑" w:hAnsi="微软雅黑" w:cs="微软雅黑"/>
          <w:bCs/>
          <w:szCs w:val="21"/>
          <w:lang w:val="zh-CN"/>
        </w:rPr>
        <w:fldChar w:fldCharType="end"/>
      </w:r>
      <w:r>
        <w:rPr>
          <w:rFonts w:hint="eastAsia" w:ascii="微软雅黑" w:hAnsi="微软雅黑" w:cs="微软雅黑"/>
          <w:bCs/>
          <w:szCs w:val="21"/>
          <w:lang w:val="zh-CN"/>
        </w:rPr>
        <w:t xml:space="preserve">卷皮信息项打印错误；</w:t>
      </w:r>
      <w:r>
        <w:rPr>
          <w:rFonts w:hint="eastAsia" w:ascii="微软雅黑" w:hAnsi="微软雅黑" w:cs="微软雅黑"/>
          <w:bCs/>
          <w:szCs w:val="21"/>
          <w:lang w:val="zh-CN"/>
        </w:rPr>
        <w:fldChar w:fldCharType="begin"/>
      </w:r>
      <w:r>
        <w:rPr>
          <w:rFonts w:hint="eastAsia" w:ascii="微软雅黑" w:hAnsi="微软雅黑" w:cs="微软雅黑"/>
          <w:bCs/>
          <w:szCs w:val="21"/>
          <w:lang w:val="zh-CN"/>
        </w:rPr>
        <w:instrText xml:space="preserve"> = 3 \* GB3 \* MERGEFORMAT </w:instrText>
      </w:r>
      <w:r>
        <w:rPr>
          <w:rFonts w:hint="eastAsia" w:ascii="微软雅黑" w:hAnsi="微软雅黑" w:cs="微软雅黑"/>
          <w:bCs/>
          <w:szCs w:val="21"/>
          <w:lang w:val="zh-CN"/>
        </w:rPr>
        <w:fldChar w:fldCharType="separate"/>
      </w:r>
      <w:r>
        <w:rPr>
          <w:rFonts w:hint="eastAsia" w:ascii="微软雅黑" w:hAnsi="微软雅黑" w:cs="微软雅黑"/>
          <w:szCs w:val="21"/>
        </w:rPr>
        <w:t xml:space="preserve">③</w:t>
      </w:r>
      <w:r>
        <w:rPr>
          <w:rFonts w:hint="eastAsia" w:ascii="微软雅黑" w:hAnsi="微软雅黑" w:cs="微软雅黑"/>
          <w:bCs/>
          <w:szCs w:val="21"/>
          <w:lang w:val="zh-CN"/>
        </w:rPr>
        <w:fldChar w:fldCharType="end"/>
      </w:r>
      <w:r>
        <w:rPr>
          <w:rFonts w:hint="eastAsia" w:ascii="微软雅黑" w:hAnsi="微软雅黑" w:cs="微软雅黑"/>
          <w:bCs/>
          <w:szCs w:val="21"/>
          <w:lang w:val="zh-CN"/>
        </w:rPr>
        <w:t xml:space="preserve">卷宗页码错误，缺页，漏页，错页；</w:t>
      </w:r>
      <w:r>
        <w:rPr>
          <w:rFonts w:hint="eastAsia" w:ascii="微软雅黑" w:hAnsi="微软雅黑" w:cs="微软雅黑"/>
          <w:bCs/>
          <w:szCs w:val="21"/>
        </w:rPr>
        <w:fldChar w:fldCharType="begin"/>
      </w:r>
      <w:r>
        <w:rPr>
          <w:rFonts w:hint="eastAsia" w:ascii="微软雅黑" w:hAnsi="微软雅黑" w:cs="微软雅黑"/>
          <w:bCs/>
          <w:szCs w:val="21"/>
        </w:rPr>
        <w:instrText xml:space="preserve"> = 4 \* GB3 \* MERGEFORMAT </w:instrText>
      </w:r>
      <w:r>
        <w:rPr>
          <w:rFonts w:hint="eastAsia" w:ascii="微软雅黑" w:hAnsi="微软雅黑" w:cs="微软雅黑"/>
          <w:bCs/>
          <w:szCs w:val="21"/>
        </w:rPr>
        <w:fldChar w:fldCharType="separate"/>
      </w:r>
      <w:r>
        <w:rPr>
          <w:rFonts w:hint="eastAsia" w:ascii="微软雅黑" w:hAnsi="微软雅黑" w:cs="微软雅黑"/>
          <w:szCs w:val="21"/>
        </w:rPr>
        <w:t xml:space="preserve">④</w:t>
      </w:r>
      <w:r>
        <w:rPr>
          <w:rFonts w:hint="eastAsia" w:ascii="微软雅黑" w:hAnsi="微软雅黑" w:cs="微软雅黑"/>
          <w:bCs/>
          <w:szCs w:val="21"/>
        </w:rPr>
        <w:fldChar w:fldCharType="end"/>
      </w:r>
      <w:r>
        <w:rPr>
          <w:rFonts w:hint="eastAsia" w:ascii="微软雅黑" w:hAnsi="微软雅黑" w:cs="微软雅黑"/>
          <w:bCs/>
          <w:szCs w:val="21"/>
          <w:lang w:val="zh-CN"/>
        </w:rPr>
        <w:t xml:space="preserve">卷宗错扫、漏扫等情况；</w:t>
      </w:r>
      <w:r>
        <w:rPr>
          <w:rFonts w:hint="eastAsia" w:ascii="微软雅黑" w:hAnsi="微软雅黑" w:cs="微软雅黑"/>
          <w:bCs/>
          <w:szCs w:val="21"/>
          <w:lang w:val="zh-CN"/>
        </w:rPr>
        <w:fldChar w:fldCharType="begin"/>
      </w:r>
      <w:r>
        <w:rPr>
          <w:rFonts w:hint="eastAsia" w:ascii="微软雅黑" w:hAnsi="微软雅黑" w:cs="微软雅黑"/>
          <w:bCs/>
          <w:szCs w:val="21"/>
          <w:lang w:val="zh-CN"/>
        </w:rPr>
        <w:instrText xml:space="preserve"> = 5 \* GB3 \* MERGEFORMAT </w:instrText>
      </w:r>
      <w:r>
        <w:rPr>
          <w:rFonts w:hint="eastAsia" w:ascii="微软雅黑" w:hAnsi="微软雅黑" w:cs="微软雅黑"/>
          <w:bCs/>
          <w:szCs w:val="21"/>
          <w:lang w:val="zh-CN"/>
        </w:rPr>
        <w:fldChar w:fldCharType="separate"/>
      </w:r>
      <w:r>
        <w:rPr>
          <w:rFonts w:hint="eastAsia" w:ascii="微软雅黑" w:hAnsi="微软雅黑" w:cs="微软雅黑"/>
          <w:szCs w:val="21"/>
        </w:rPr>
        <w:t xml:space="preserve">⑤</w:t>
      </w:r>
      <w:r>
        <w:rPr>
          <w:rFonts w:hint="eastAsia" w:ascii="微软雅黑" w:hAnsi="微软雅黑" w:cs="微软雅黑"/>
          <w:bCs/>
          <w:szCs w:val="21"/>
          <w:lang w:val="zh-CN"/>
        </w:rPr>
        <w:fldChar w:fldCharType="end"/>
      </w:r>
      <w:r>
        <w:rPr>
          <w:rFonts w:hint="eastAsia" w:ascii="微软雅黑" w:hAnsi="微软雅黑" w:cs="微软雅黑"/>
          <w:bCs/>
          <w:szCs w:val="21"/>
          <w:lang w:val="zh-CN"/>
        </w:rPr>
        <w:t xml:space="preserve">装订不符合档案管理规定；</w:t>
      </w:r>
      <w:r>
        <w:rPr>
          <w:rFonts w:hint="eastAsia" w:ascii="微软雅黑" w:hAnsi="微软雅黑" w:cs="微软雅黑"/>
          <w:bCs/>
          <w:szCs w:val="21"/>
          <w:lang w:val="zh-CN"/>
        </w:rPr>
        <w:fldChar w:fldCharType="begin"/>
      </w:r>
      <w:r>
        <w:rPr>
          <w:rFonts w:hint="eastAsia" w:ascii="微软雅黑" w:hAnsi="微软雅黑" w:cs="微软雅黑"/>
          <w:bCs/>
          <w:szCs w:val="21"/>
          <w:lang w:val="zh-CN"/>
        </w:rPr>
        <w:instrText xml:space="preserve"> = 6 \* GB3 \* MERGEFORMAT </w:instrText>
      </w:r>
      <w:r>
        <w:rPr>
          <w:rFonts w:hint="eastAsia" w:ascii="微软雅黑" w:hAnsi="微软雅黑" w:cs="微软雅黑"/>
          <w:bCs/>
          <w:szCs w:val="21"/>
          <w:lang w:val="zh-CN"/>
        </w:rPr>
        <w:fldChar w:fldCharType="separate"/>
      </w:r>
      <w:r>
        <w:rPr>
          <w:rFonts w:hint="eastAsia" w:ascii="微软雅黑" w:hAnsi="微软雅黑" w:cs="微软雅黑"/>
          <w:szCs w:val="21"/>
        </w:rPr>
        <w:t xml:space="preserve">⑥</w:t>
      </w:r>
      <w:r>
        <w:rPr>
          <w:rFonts w:hint="eastAsia" w:ascii="微软雅黑" w:hAnsi="微软雅黑" w:cs="微软雅黑"/>
          <w:bCs/>
          <w:szCs w:val="21"/>
          <w:lang w:val="zh-CN"/>
        </w:rPr>
        <w:fldChar w:fldCharType="end"/>
      </w:r>
      <w:r>
        <w:rPr>
          <w:rFonts w:hint="eastAsia" w:ascii="微软雅黑" w:hAnsi="微软雅黑" w:cs="微软雅黑"/>
          <w:bCs/>
          <w:szCs w:val="21"/>
          <w:lang w:val="zh-CN"/>
        </w:rPr>
        <w:t xml:space="preserve">其他一般性工作质量问题。</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2）材料流转及保管质量问题的惩罚性扣款，损坏、丢失、涂改、抽换、伪造材料、档案的，每件次扣罚2000元。年度内出现3次及以上，采购人有权随时解除合同（如涉及违法犯罪，移送公安机关处理，并立即解除合同，相关经济损失由成交供应商承担）。</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3）违反保密协议，对外泄露保密信息内容，擅自传播、复制案件档案资料的，扣减季度合同金额的10%，采购人有权随时解除合同（如涉及违法犯罪，移送公安机关处理，并立即解除合同，相关经济损失由成交供应商承担）。</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
          <w:szCs w:val="21"/>
        </w:rPr>
      </w:pPr>
      <w:r>
        <w:rPr>
          <w:rFonts w:hint="eastAsia" w:ascii="微软雅黑" w:hAnsi="微软雅黑" w:cs="微软雅黑"/>
          <w:b/>
          <w:bCs/>
          <w:szCs w:val="21"/>
        </w:rPr>
        <w:t xml:space="preserve">五、</w:t>
      </w:r>
      <w:r>
        <w:rPr>
          <w:rFonts w:hint="eastAsia" w:ascii="微软雅黑" w:hAnsi="微软雅黑" w:cs="微软雅黑"/>
          <w:b/>
          <w:szCs w:val="21"/>
        </w:rPr>
        <w:t xml:space="preserve">项目组织</w:t>
      </w:r>
      <w:r>
        <w:rPr>
          <w:rFonts w:hint="eastAsia" w:ascii="微软雅黑" w:hAnsi="微软雅黑" w:cs="微软雅黑"/>
          <w:b/>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供应商需组织稳定的、经验丰富的项目团队来完成项目的实施工作。供应商要制订本项目的人力安排和组织保证。</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（1）项目组成员必须包括项目经理岗、驻场服务经理岗、立案材料数字化岗、补充材料数字化岗、卷宗中间库管理岗、档案数字化岗、装订岗、卷宗整理质检岗、调档服务岗等；</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（2）本项目的项目经理应具有丰富的电子卷宗项目管理经验、熟悉“一张网”系统，胜任工作分派、进度掌控及质量监管等管理工作，按要求定期向</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提供案件数据报表。如项目实施过程中</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发现项目经理不能胜任相应工作，有权要求更换，供应商应按照</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要求的期限更换项目经理；</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本项目服务人员上岗前需具备专业技能培训经历；服务人员需具备大专或以上学历（装订岗除外），服务态度端正、作风优良，熟悉法院所需服务岗位的业务流程，熟练掌握电脑等办公设备，服从法院的规章制度；</w:t>
      </w:r>
      <w:r>
        <w:rPr>
          <w:rFonts w:hint="eastAsia" w:ascii="微软雅黑" w:hAnsi="微软雅黑" w:cs="微软雅黑"/>
          <w:color w:val="000000"/>
          <w:szCs w:val="21"/>
        </w:rPr>
        <w:t xml:space="preserve">派驻服务人员须为供应商正式员工，</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可以随时要求供应商提供驻场服务人员的社保缴纳证明。</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bCs/>
          <w:szCs w:val="21"/>
          <w:lang w:val="zh-CN"/>
        </w:rPr>
        <w:t xml:space="preserve">采购人</w:t>
      </w:r>
      <w:r>
        <w:rPr>
          <w:rFonts w:hint="eastAsia" w:ascii="微软雅黑" w:hAnsi="微软雅黑" w:cs="微软雅黑"/>
          <w:szCs w:val="21"/>
        </w:rPr>
        <w:t xml:space="preserve">现有的设施供供应商使用，包括但不限于办公场地、档案库房、办公桌椅、档案架、办公设备、电脑、扫描仪、打印机、装订机等项目所必需设施与耗材；项目临时突击新增人员的设备由供应商提供并负责维护保养。</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★（5）安全保密要求</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供应商需提供保证档案实体和档案信息安全的具体措施和承诺；供应商及现场工作人员都必须与采购人签订安全保密协议；数字化工作现场安装监控设备，实行全过程监管，确保信息存储安全。</w:t>
      </w:r>
      <w:r>
        <w:rPr>
          <w:rFonts w:hint="eastAsia" w:ascii="微软雅黑" w:hAnsi="微软雅黑" w:cs="微软雅黑"/>
          <w:szCs w:val="21"/>
        </w:rPr>
      </w:r>
      <w:r/>
    </w:p>
    <w:p>
      <w:pPr>
        <w:pStyle w:val="928"/>
        <w:ind w:firstLine="420"/>
        <w:jc w:val="left"/>
        <w:spacing w:line="440" w:lineRule="exact"/>
        <w:rPr>
          <w:rFonts w:hint="eastAsia" w:ascii="微软雅黑" w:hAnsi="微软雅黑" w:cs="微软雅黑"/>
          <w:b/>
          <w:bCs/>
          <w:szCs w:val="21"/>
        </w:rPr>
      </w:pPr>
      <w:r>
        <w:rPr>
          <w:rFonts w:hint="eastAsia" w:ascii="微软雅黑" w:hAnsi="微软雅黑" w:cs="微软雅黑"/>
          <w:b/>
          <w:bCs/>
          <w:szCs w:val="21"/>
        </w:rPr>
        <w:t xml:space="preserve">六、其他要求</w:t>
      </w:r>
      <w:r>
        <w:rPr>
          <w:rFonts w:hint="eastAsia" w:ascii="微软雅黑" w:hAnsi="微软雅黑" w:cs="微软雅黑"/>
          <w:b/>
          <w:bCs/>
          <w:szCs w:val="21"/>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szCs w:val="21"/>
        </w:rPr>
        <w:t xml:space="preserve">★</w:t>
      </w:r>
      <w:r>
        <w:rPr>
          <w:rFonts w:hint="eastAsia" w:ascii="微软雅黑" w:hAnsi="微软雅黑" w:cs="微软雅黑"/>
          <w:bCs/>
          <w:szCs w:val="21"/>
        </w:rPr>
        <w:t xml:space="preserve">6</w:t>
      </w:r>
      <w:r>
        <w:rPr>
          <w:rFonts w:hint="eastAsia" w:ascii="微软雅黑" w:hAnsi="微软雅黑" w:cs="微软雅黑"/>
          <w:bCs/>
          <w:szCs w:val="21"/>
          <w:lang w:val="zh-CN"/>
        </w:rPr>
        <w:t xml:space="preserve">.1供应商应具有项目所在地市级及以上档案局颁发的档案中介机构备案证书或承诺在中标后完成项目所在地市级及以上档案局的档案中介机构备案。</w:t>
      </w:r>
      <w:r>
        <w:rPr>
          <w:rFonts w:hint="eastAsia" w:ascii="微软雅黑" w:hAnsi="微软雅黑" w:cs="微软雅黑"/>
          <w:b/>
          <w:szCs w:val="21"/>
          <w:lang w:val="zh-CN"/>
        </w:rPr>
        <w:t xml:space="preserve">（提供证书复印件或承诺书原件加盖供应商公章）</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6.2人员入场：合同签订后</w:t>
      </w:r>
      <w:r>
        <w:rPr>
          <w:rFonts w:hint="eastAsia" w:ascii="微软雅黑" w:hAnsi="微软雅黑" w:cs="微软雅黑"/>
          <w:bCs/>
          <w:szCs w:val="21"/>
        </w:rPr>
        <w:t xml:space="preserve">3</w:t>
      </w:r>
      <w:r>
        <w:rPr>
          <w:rFonts w:hint="eastAsia" w:ascii="微软雅黑" w:hAnsi="微软雅黑" w:cs="微软雅黑"/>
          <w:bCs/>
          <w:szCs w:val="21"/>
          <w:lang w:val="zh-CN"/>
        </w:rPr>
        <w:t xml:space="preserve">日内全部入场，如未按时间入场，采购人有权解除合同。</w:t>
      </w:r>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lang w:val="zh-CN"/>
        </w:rPr>
      </w:pPr>
      <w:r>
        <w:rPr>
          <w:rFonts w:hint="eastAsia" w:ascii="微软雅黑" w:hAnsi="微软雅黑" w:cs="微软雅黑"/>
          <w:bCs/>
          <w:szCs w:val="21"/>
          <w:lang w:val="zh-CN"/>
        </w:rPr>
        <w:t xml:space="preserve">6.3付款：</w:t>
      </w:r>
      <w:bookmarkStart w:id="221" w:name="_Hlk136871745"/>
      <w:r>
        <w:rPr>
          <w:rFonts w:hint="eastAsia" w:ascii="微软雅黑" w:hAnsi="微软雅黑" w:cs="微软雅黑"/>
          <w:bCs/>
          <w:szCs w:val="21"/>
          <w:lang w:val="zh-CN"/>
        </w:rPr>
        <w:t xml:space="preserve">按季付款，季度付款金额=季度合同金额-扣罚金额，供应商完成每季度服务工作，经采购人验收合格后开具发票，采购人在收到供应商开具发票的15个工作日内付款。</w:t>
      </w:r>
      <w:bookmarkEnd w:id="221"/>
      <w:r>
        <w:rPr>
          <w:rFonts w:hint="eastAsia" w:ascii="微软雅黑" w:hAnsi="微软雅黑" w:cs="微软雅黑"/>
          <w:bCs/>
          <w:szCs w:val="21"/>
          <w:lang w:val="zh-CN"/>
        </w:rPr>
      </w:r>
      <w:r/>
    </w:p>
    <w:p>
      <w:pPr>
        <w:pStyle w:val="928"/>
        <w:ind w:firstLine="420"/>
        <w:jc w:val="left"/>
        <w:spacing w:line="440" w:lineRule="exact"/>
        <w:rPr>
          <w:rFonts w:hint="eastAsia" w:ascii="微软雅黑" w:hAnsi="微软雅黑" w:cs="微软雅黑"/>
          <w:bCs/>
          <w:szCs w:val="21"/>
          <w:highlight w:val="none"/>
          <w:lang w:val="zh-CN"/>
        </w:rPr>
      </w:pPr>
      <w:r>
        <w:rPr>
          <w:rFonts w:hint="eastAsia" w:ascii="微软雅黑" w:hAnsi="微软雅黑" w:cs="微软雅黑"/>
          <w:bCs/>
          <w:szCs w:val="21"/>
          <w:lang w:val="zh-CN"/>
        </w:rPr>
        <w:t xml:space="preserve">6.4本合同签订后，采购人需追加与合同标的相同的服务，在不改变合同其他条款的前提下，可以与供应商协商签</w:t>
      </w:r>
      <w:r>
        <w:rPr>
          <w:rFonts w:hint="eastAsia" w:ascii="微软雅黑" w:hAnsi="微软雅黑" w:cs="微软雅黑"/>
          <w:bCs/>
          <w:szCs w:val="21"/>
          <w:highlight w:val="none"/>
          <w:lang w:val="zh-CN"/>
        </w:rPr>
        <w:t xml:space="preserve">订补充合同，但所有补充合同的增加的金额不超过原合同金额的10%。</w:t>
      </w:r>
      <w:r>
        <w:rPr>
          <w:rFonts w:hint="eastAsia" w:ascii="微软雅黑" w:hAnsi="微软雅黑" w:cs="微软雅黑"/>
          <w:bCs/>
          <w:szCs w:val="21"/>
          <w:highlight w:val="none"/>
          <w:lang w:val="zh-CN"/>
        </w:rPr>
      </w:r>
      <w:r/>
    </w:p>
    <w:p>
      <w:pPr>
        <w:pStyle w:val="928"/>
        <w:ind w:firstLine="420"/>
        <w:jc w:val="left"/>
        <w:spacing w:line="440" w:lineRule="exact"/>
        <w:rPr>
          <w:rFonts w:hint="eastAsia" w:ascii="微软雅黑" w:hAnsi="微软雅黑" w:cs="微软雅黑"/>
          <w:bCs/>
          <w:szCs w:val="21"/>
          <w:highlight w:val="none"/>
          <w:lang w:val="zh-CN"/>
        </w:rPr>
      </w:pPr>
      <w:r>
        <w:rPr>
          <w:rFonts w:hint="eastAsia" w:ascii="微软雅黑" w:hAnsi="微软雅黑" w:cs="微软雅黑"/>
          <w:bCs/>
          <w:szCs w:val="21"/>
          <w:highlight w:val="none"/>
          <w:lang w:val="zh-CN"/>
        </w:rPr>
        <w:t xml:space="preserve">6.</w:t>
      </w:r>
      <w:bookmarkStart w:id="222" w:name="_Hlk74753456"/>
      <w:r/>
      <w:bookmarkStart w:id="223" w:name="_Hlk136869859"/>
      <w:r>
        <w:rPr>
          <w:rFonts w:hint="eastAsia" w:ascii="微软雅黑" w:hAnsi="微软雅黑" w:cs="微软雅黑"/>
          <w:bCs/>
          <w:szCs w:val="21"/>
          <w:highlight w:val="none"/>
          <w:lang w:val="zh-CN"/>
        </w:rPr>
        <w:t xml:space="preserve">5服务期：</w:t>
      </w:r>
      <w:r>
        <w:rPr>
          <w:rFonts w:hint="eastAsia" w:ascii="微软雅黑" w:hAnsi="微软雅黑" w:cs="微软雅黑"/>
          <w:szCs w:val="21"/>
          <w:highlight w:val="none"/>
        </w:rPr>
        <w:t xml:space="preserve">自合同签订之日起一年。本项目采取一次招标三年沿用、实行一年一签合同的办法。每年续签合同前采购人对成交供应商服务情况进行履约考核评价，若考核不合格，采购人有权选择不续签合同，且不承担任何违约、赔偿责任。考核合格后每次签约服务期为一年，成交价格不予调整，合同共可续签两次。</w:t>
      </w:r>
      <w:bookmarkEnd w:id="222"/>
      <w:r/>
      <w:bookmarkEnd w:id="223"/>
      <w:r>
        <w:rPr>
          <w:rFonts w:hint="eastAsia" w:ascii="微软雅黑" w:hAnsi="微软雅黑" w:cs="微软雅黑"/>
          <w:bCs/>
          <w:szCs w:val="21"/>
          <w:highlight w:val="none"/>
          <w:lang w:val="zh-CN"/>
        </w:rPr>
      </w:r>
      <w:r/>
    </w:p>
    <w:p>
      <w:pPr>
        <w:pStyle w:val="928"/>
        <w:ind w:firstLine="420"/>
        <w:jc w:val="left"/>
        <w:spacing w:line="440" w:lineRule="exact"/>
        <w:rPr>
          <w:rFonts w:hint="eastAsia" w:ascii="微软雅黑" w:hAnsi="微软雅黑" w:cs="微软雅黑"/>
          <w:bCs/>
          <w:szCs w:val="21"/>
          <w:highlight w:val="none"/>
          <w:lang w:val="zh-CN"/>
        </w:rPr>
      </w:pPr>
      <w:r>
        <w:rPr>
          <w:rFonts w:hint="eastAsia" w:ascii="微软雅黑" w:hAnsi="微软雅黑" w:cs="微软雅黑"/>
          <w:bCs/>
          <w:szCs w:val="21"/>
          <w:highlight w:val="none"/>
          <w:lang w:val="zh-CN"/>
        </w:rPr>
        <w:t xml:space="preserve">6.6合同履行期间采购人可以根据需要对服务工作进行调整，供应商须无条件配合、及时整改落实，确保服务工作符合采购人要求。</w:t>
      </w:r>
      <w:r>
        <w:rPr>
          <w:rFonts w:hint="eastAsia" w:ascii="微软雅黑" w:hAnsi="微软雅黑" w:cs="微软雅黑"/>
          <w:bCs/>
          <w:szCs w:val="21"/>
          <w:highlight w:val="none"/>
          <w:lang w:val="zh-CN"/>
        </w:rPr>
      </w:r>
      <w:r/>
    </w:p>
    <w:p>
      <w:pPr>
        <w:pStyle w:val="928"/>
        <w:ind w:firstLine="420"/>
        <w:spacing w:line="440" w:lineRule="exact"/>
        <w:rPr>
          <w:rFonts w:hint="eastAsia" w:ascii="微软雅黑" w:hAnsi="微软雅黑" w:cs="微软雅黑"/>
          <w:bCs/>
          <w:szCs w:val="21"/>
          <w:highlight w:val="none"/>
          <w:lang w:val="zh-CN"/>
        </w:rPr>
      </w:pPr>
      <w:r>
        <w:rPr>
          <w:rFonts w:hint="eastAsia" w:ascii="微软雅黑" w:hAnsi="微软雅黑" w:cs="微软雅黑"/>
          <w:bCs/>
          <w:szCs w:val="21"/>
          <w:highlight w:val="none"/>
          <w:lang w:val="zh-CN"/>
        </w:rPr>
        <w:t xml:space="preserve">6.7一年合同期满但采购人未获得预算批复或需求取消，则经采购人提前书面通知供应商后，合同到期终止，不再顺延。</w:t>
      </w:r>
      <w:r>
        <w:rPr>
          <w:rFonts w:hint="eastAsia" w:ascii="微软雅黑" w:hAnsi="微软雅黑" w:cs="微软雅黑"/>
          <w:bCs/>
          <w:szCs w:val="21"/>
          <w:highlight w:val="none"/>
          <w:lang w:val="zh-CN"/>
        </w:rPr>
      </w:r>
      <w:r/>
    </w:p>
    <w:p>
      <w:pPr>
        <w:pStyle w:val="928"/>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928"/>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141"/>
        <w:pageBreakBefore/>
        <w:rPr>
          <w:rFonts w:hint="eastAsia" w:ascii="微软雅黑" w:hAnsi="微软雅黑" w:cs="微软雅黑"/>
        </w:rPr>
      </w:pPr>
      <w:r/>
      <w:bookmarkStart w:id="224" w:name="_Toc22289"/>
      <w:r/>
      <w:bookmarkStart w:id="225" w:name="_Toc24263"/>
      <w:r>
        <w:rPr>
          <w:rFonts w:hint="eastAsia" w:ascii="微软雅黑" w:hAnsi="微软雅黑" w:cs="微软雅黑"/>
        </w:rPr>
        <w:t xml:space="preserve">第五章 采购合同</w:t>
      </w:r>
      <w:bookmarkEnd w:id="224"/>
      <w:r/>
      <w:bookmarkEnd w:id="225"/>
      <w:r/>
      <w:bookmarkStart w:id="226" w:name="suppliers_name_one"/>
      <w:r/>
      <w:bookmarkEnd w:id="226"/>
      <w:r/>
      <w:bookmarkStart w:id="227" w:name="supplier_relation_name"/>
      <w:r/>
      <w:bookmarkEnd w:id="227"/>
      <w:r/>
      <w:bookmarkStart w:id="228" w:name="purchase_one_start"/>
      <w:r/>
      <w:bookmarkEnd w:id="228"/>
      <w:r/>
      <w:bookmarkStart w:id="229" w:name="suppliers_name"/>
      <w:r/>
      <w:bookmarkEnd w:id="229"/>
      <w:r/>
      <w:bookmarkStart w:id="230" w:name="purchase_relation_name"/>
      <w:r/>
      <w:bookmarkEnd w:id="230"/>
      <w:r/>
      <w:bookmarkStart w:id="231" w:name="purchase_relation_tel"/>
      <w:r/>
      <w:bookmarkEnd w:id="231"/>
      <w:r/>
      <w:bookmarkStart w:id="232" w:name="supplier_relation_tel"/>
      <w:r/>
      <w:bookmarkEnd w:id="232"/>
      <w:r/>
      <w:bookmarkStart w:id="233" w:name="purchase_name_one"/>
      <w:r/>
      <w:bookmarkEnd w:id="233"/>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r>
      <w:r/>
    </w:p>
    <w:p>
      <w:pPr>
        <w:pStyle w:val="928"/>
        <w:jc w:val="center"/>
        <w:spacing w:line="480" w:lineRule="auto"/>
        <w:rPr>
          <w:rFonts w:hint="eastAsia" w:ascii="微软雅黑" w:hAnsi="微软雅黑" w:cs="微软雅黑"/>
          <w:b/>
          <w:bCs/>
          <w:color w:val="000000"/>
          <w:sz w:val="28"/>
          <w:szCs w:val="28"/>
        </w:rPr>
      </w:pPr>
      <w:r>
        <w:rPr>
          <w:rFonts w:hint="eastAsia" w:ascii="微软雅黑" w:hAnsi="微软雅黑" w:cs="微软雅黑"/>
          <w:b/>
          <w:bCs/>
          <w:color w:val="000000"/>
          <w:sz w:val="28"/>
          <w:szCs w:val="28"/>
        </w:rPr>
      </w:r>
      <w:r/>
    </w:p>
    <w:p>
      <w:pPr>
        <w:pStyle w:val="928"/>
        <w:jc w:val="center"/>
        <w:spacing w:line="480" w:lineRule="auto"/>
        <w:rPr>
          <w:rFonts w:hint="eastAsia" w:ascii="微软雅黑" w:hAnsi="微软雅黑" w:cs="微软雅黑"/>
          <w:b/>
          <w:bCs/>
          <w:color w:val="000000"/>
          <w:sz w:val="28"/>
          <w:szCs w:val="28"/>
        </w:rPr>
      </w:pPr>
      <w:r>
        <w:rPr>
          <w:rFonts w:hint="eastAsia" w:ascii="微软雅黑" w:hAnsi="微软雅黑" w:cs="微软雅黑"/>
          <w:b/>
          <w:bCs/>
          <w:color w:val="000000"/>
          <w:sz w:val="28"/>
          <w:szCs w:val="28"/>
        </w:rPr>
        <w:t xml:space="preserve">政府采购合同</w:t>
      </w:r>
      <w:r>
        <w:rPr>
          <w:rFonts w:hint="eastAsia" w:ascii="微软雅黑" w:hAnsi="微软雅黑" w:cs="微软雅黑"/>
          <w:b/>
          <w:bCs/>
          <w:color w:val="000000"/>
          <w:sz w:val="28"/>
          <w:szCs w:val="28"/>
        </w:rPr>
      </w:r>
      <w:r/>
    </w:p>
    <w:p>
      <w:pPr>
        <w:pStyle w:val="928"/>
        <w:ind w:firstLine="1600"/>
        <w:spacing w:line="48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ind w:firstLine="560"/>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t xml:space="preserve">项目编号 ： </w:t>
      </w:r>
      <w:r>
        <w:rPr>
          <w:rFonts w:hint="eastAsia" w:ascii="微软雅黑" w:hAnsi="微软雅黑" w:cs="微软雅黑"/>
          <w:color w:val="000000"/>
          <w:sz w:val="28"/>
          <w:szCs w:val="28"/>
        </w:rPr>
      </w:r>
      <w:r/>
    </w:p>
    <w:p>
      <w:pPr>
        <w:pStyle w:val="928"/>
        <w:ind w:firstLine="560"/>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t xml:space="preserve">项目名称 ：江宁经济技术开发区人民法院无纸化外包服务</w:t>
      </w:r>
      <w:r>
        <w:rPr>
          <w:rFonts w:hint="eastAsia" w:ascii="微软雅黑" w:hAnsi="微软雅黑" w:cs="微软雅黑"/>
          <w:color w:val="000000"/>
          <w:sz w:val="28"/>
          <w:szCs w:val="28"/>
        </w:rPr>
      </w:r>
      <w:r/>
    </w:p>
    <w:p>
      <w:pPr>
        <w:pStyle w:val="928"/>
        <w:ind w:firstLine="560"/>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t xml:space="preserve">采购单位 ：江宁经济技术开发区人民法院</w:t>
      </w:r>
      <w:r>
        <w:rPr>
          <w:rFonts w:hint="eastAsia" w:ascii="微软雅黑" w:hAnsi="微软雅黑" w:cs="微软雅黑"/>
          <w:color w:val="000000"/>
          <w:sz w:val="28"/>
          <w:szCs w:val="28"/>
        </w:rPr>
      </w:r>
      <w:r/>
    </w:p>
    <w:p>
      <w:pPr>
        <w:pStyle w:val="928"/>
        <w:ind w:firstLine="560"/>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t xml:space="preserve">成交单位 ：</w:t>
      </w:r>
      <w:r>
        <w:rPr>
          <w:rFonts w:hint="eastAsia" w:ascii="微软雅黑" w:hAnsi="微软雅黑" w:cs="微软雅黑"/>
          <w:color w:val="000000"/>
          <w:sz w:val="28"/>
          <w:szCs w:val="28"/>
        </w:rPr>
      </w:r>
      <w:r/>
    </w:p>
    <w:p>
      <w:pPr>
        <w:pStyle w:val="928"/>
        <w:ind w:firstLine="560"/>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t xml:space="preserve">签订日期 ：2026年  月  日</w:t>
      </w:r>
      <w:r>
        <w:rPr>
          <w:rFonts w:hint="eastAsia" w:ascii="微软雅黑" w:hAnsi="微软雅黑" w:cs="微软雅黑"/>
          <w:color w:val="000000"/>
          <w:sz w:val="28"/>
          <w:szCs w:val="28"/>
        </w:rPr>
      </w:r>
      <w:r/>
    </w:p>
    <w:p>
      <w:pPr>
        <w:pStyle w:val="928"/>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spacing w:line="360" w:lineRule="auto"/>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928"/>
        <w:spacing w:line="560" w:lineRule="exact"/>
        <w:rPr>
          <w:rFonts w:hint="eastAsia" w:ascii="微软雅黑" w:hAnsi="微软雅黑" w:cs="微软雅黑"/>
          <w:color w:val="000000"/>
          <w:szCs w:val="21"/>
        </w:rPr>
      </w:pPr>
      <w:r>
        <w:rPr>
          <w:rFonts w:hint="eastAsia" w:ascii="微软雅黑" w:hAnsi="微软雅黑" w:cs="微软雅黑"/>
          <w:color w:val="000000"/>
          <w:szCs w:val="21"/>
        </w:rPr>
        <w:t xml:space="preserve">合同编号：</w:t>
      </w:r>
      <w:r>
        <w:rPr>
          <w:rFonts w:hint="eastAsia" w:ascii="微软雅黑" w:hAnsi="微软雅黑" w:cs="微软雅黑"/>
          <w:color w:val="000000"/>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8"/>
              <w:spacing w:line="56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采购人（以下称甲方）：</w:t>
            </w:r>
            <w:r>
              <w:rPr>
                <w:rFonts w:hint="eastAsia"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8"/>
              <w:spacing w:line="5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供应商（以下称乙方）：</w:t>
            </w:r>
            <w:r>
              <w:rPr>
                <w:rFonts w:hint="eastAsia" w:ascii="微软雅黑" w:hAnsi="微软雅黑" w:cs="微软雅黑"/>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8"/>
              <w:spacing w:line="5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住所地：</w:t>
            </w:r>
            <w:r>
              <w:rPr>
                <w:rFonts w:hint="eastAsia"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8"/>
              <w:spacing w:line="5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住所地：</w:t>
            </w:r>
            <w:r>
              <w:rPr>
                <w:rFonts w:hint="eastAsia" w:ascii="微软雅黑" w:hAnsi="微软雅黑" w:cs="微软雅黑"/>
                <w:color w:val="000000"/>
                <w:szCs w:val="21"/>
              </w:rPr>
            </w:r>
            <w:r/>
          </w:p>
        </w:tc>
      </w:tr>
    </w:tbl>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根据《中华人民共和国政府采购法》、《中华人民共和国民法典》等法律、法规规定，按照</w:t>
      </w:r>
      <w:r>
        <w:rPr>
          <w:rFonts w:hint="eastAsia" w:ascii="微软雅黑" w:hAnsi="微软雅黑" w:cs="微软雅黑"/>
          <w:color w:val="000000"/>
          <w:szCs w:val="21"/>
          <w:u w:val="single"/>
        </w:rPr>
        <w:t xml:space="preserve"> 江宁经济技术开发区人民法院无纸化外包服务 </w:t>
      </w:r>
      <w:r>
        <w:rPr>
          <w:rFonts w:hint="eastAsia" w:ascii="微软雅黑" w:hAnsi="微软雅黑" w:cs="微软雅黑"/>
          <w:color w:val="000000"/>
          <w:szCs w:val="21"/>
        </w:rPr>
        <w:t xml:space="preserve">项目采购的结果，依据本项目采购文件、响应文件等条款，遵循平等、自愿、公平和诚实信用等原则，甲乙双方同意按下述条款和条件签订本合同，并共同遵守。</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第一条 合同标的</w:t>
      </w:r>
      <w:r>
        <w:rPr>
          <w:rFonts w:hint="eastAsia" w:ascii="微软雅黑" w:hAnsi="微软雅黑" w:cs="微软雅黑"/>
          <w:b/>
          <w:bCs/>
          <w:color w:val="000000"/>
          <w:szCs w:val="21"/>
        </w:rPr>
      </w:r>
      <w:r/>
    </w:p>
    <w:p>
      <w:pPr>
        <w:pStyle w:val="928"/>
        <w:ind w:firstLine="420"/>
        <w:spacing w:line="360" w:lineRule="exact"/>
        <w:rPr>
          <w:rFonts w:hint="eastAsia"/>
        </w:rPr>
      </w:pPr>
      <w:r>
        <w:rPr>
          <w:rFonts w:hint="eastAsia" w:ascii="微软雅黑" w:hAnsi="微软雅黑" w:cs="微软雅黑"/>
          <w:color w:val="000000"/>
          <w:szCs w:val="21"/>
        </w:rPr>
        <w:t xml:space="preserve">乙方根据甲方需求提供下列服务：</w:t>
      </w:r>
      <w:r>
        <w:rPr>
          <w:rFonts w:hint="eastAsia" w:ascii="微软雅黑" w:hAnsi="微软雅黑" w:cs="微软雅黑"/>
          <w:color w:val="000000"/>
          <w:szCs w:val="21"/>
          <w:u w:val="single"/>
        </w:rPr>
        <w:t xml:space="preserve">无纸化外包服务</w:t>
      </w:r>
      <w:r>
        <w:rPr>
          <w:rFonts w:hint="eastAsia" w:ascii="微软雅黑" w:hAnsi="微软雅黑" w:cs="微软雅黑"/>
          <w:color w:val="000000"/>
          <w:szCs w:val="21"/>
        </w:rPr>
        <w:t xml:space="preserve">，主要服务内容及要求：具体详见竞争性磋商文件、乙方响应文件。 </w:t>
      </w:r>
      <w:r>
        <w:rPr>
          <w:rFonts w:hint="eastAsia"/>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第二条 合同价款</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1、本合同项下总价款为（大写）人民币</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，分项价款详见 《报价表》。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本合同总价款包含以下内容：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（1）完成本服务项目发生的所有含税费用；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（2）支付给员工的工资和国家强制缴纳的各种社会保障资金；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（3）乙方应当提供的伴随服务/售后服务费用；</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（4）乙方认为需要的其他费用。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2、本合同签订后，甲方需追加与合同标的相同的服务，在不改变合同其他条款的前提下，可以与乙方协商签订补充合同，但所有补充合同的增加的金额不超过本合同金额的10%。</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第三条 合同期限 </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highlight w:val="none"/>
        </w:rPr>
      </w:pPr>
      <w:r>
        <w:rPr>
          <w:rFonts w:hint="eastAsia" w:ascii="微软雅黑" w:hAnsi="微软雅黑" w:cs="微软雅黑"/>
          <w:color w:val="000000"/>
          <w:szCs w:val="21"/>
        </w:rPr>
        <w:t xml:space="preserve">1、服务期：自</w:t>
      </w:r>
      <w:r>
        <w:rPr>
          <w:rFonts w:hint="eastAsia" w:ascii="微软雅黑" w:hAnsi="微软雅黑" w:cs="微软雅黑"/>
          <w:color w:val="000000"/>
          <w:szCs w:val="21"/>
          <w:u w:val="single"/>
        </w:rPr>
        <w:t xml:space="preserve">2026</w:t>
      </w:r>
      <w:r>
        <w:rPr>
          <w:rFonts w:hint="eastAsia" w:ascii="微软雅黑" w:hAnsi="微软雅黑" w:cs="微软雅黑"/>
          <w:color w:val="000000"/>
          <w:szCs w:val="21"/>
        </w:rPr>
        <w:t xml:space="preserve">年</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月</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日至</w:t>
      </w:r>
      <w:r>
        <w:rPr>
          <w:rFonts w:hint="eastAsia" w:ascii="微软雅黑" w:hAnsi="微软雅黑" w:cs="微软雅黑"/>
          <w:color w:val="000000"/>
          <w:szCs w:val="21"/>
          <w:u w:val="single"/>
        </w:rPr>
        <w:t xml:space="preserve">2027</w:t>
      </w:r>
      <w:r>
        <w:rPr>
          <w:rFonts w:hint="eastAsia" w:ascii="微软雅黑" w:hAnsi="微软雅黑" w:cs="微软雅黑"/>
          <w:color w:val="000000"/>
          <w:szCs w:val="21"/>
        </w:rPr>
        <w:t xml:space="preserve">年</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月</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日。</w:t>
      </w:r>
      <w:r>
        <w:rPr>
          <w:rFonts w:hint="eastAsia" w:ascii="微软雅黑" w:hAnsi="微软雅黑" w:cs="微软雅黑"/>
          <w:szCs w:val="21"/>
          <w:highlight w:val="none"/>
        </w:rPr>
        <w:t xml:space="preserve">本项目采取一次招标三年沿用、实行一年一签合同的办法，</w:t>
      </w:r>
      <w:r>
        <w:rPr>
          <w:rFonts w:hint="eastAsia" w:ascii="微软雅黑" w:hAnsi="微软雅黑" w:cs="微软雅黑"/>
          <w:color w:val="000000"/>
          <w:szCs w:val="21"/>
          <w:highlight w:val="none"/>
        </w:rPr>
        <w:t xml:space="preserve">本合同为第一年合同。</w:t>
      </w:r>
      <w:r>
        <w:rPr>
          <w:rFonts w:hint="eastAsia" w:ascii="微软雅黑" w:hAnsi="微软雅黑" w:cs="微软雅黑"/>
          <w:color w:val="000000"/>
          <w:szCs w:val="21"/>
          <w:highlight w:val="none"/>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2、甲方有权在年度合同期满后续签或重新招标。</w:t>
      </w:r>
      <w:r>
        <w:rPr>
          <w:rFonts w:hint="eastAsia" w:ascii="微软雅黑" w:hAnsi="微软雅黑" w:cs="微软雅黑"/>
          <w:color w:val="000000"/>
          <w:szCs w:val="21"/>
        </w:rPr>
      </w:r>
      <w:r/>
    </w:p>
    <w:p>
      <w:pPr>
        <w:pStyle w:val="928"/>
        <w:ind w:firstLine="413"/>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第四条 组成本合同的有关文件</w:t>
      </w:r>
      <w:r>
        <w:rPr>
          <w:rFonts w:hint="eastAsia" w:ascii="微软雅黑" w:hAnsi="微软雅黑" w:cs="微软雅黑"/>
          <w:b/>
          <w:bCs/>
          <w:color w:val="000000"/>
          <w:szCs w:val="21"/>
        </w:rPr>
      </w:r>
      <w:r/>
    </w:p>
    <w:p>
      <w:pPr>
        <w:pStyle w:val="928"/>
        <w:ind w:firstLine="411"/>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下列关于</w:t>
      </w:r>
      <w:r>
        <w:rPr>
          <w:rFonts w:hint="eastAsia" w:ascii="微软雅黑" w:hAnsi="微软雅黑" w:cs="微软雅黑"/>
          <w:color w:val="000000"/>
          <w:szCs w:val="21"/>
          <w:u w:val="single"/>
        </w:rPr>
        <w:t xml:space="preserve"> 江宁经济技术开发区人民法院无纸化外包服务 项目</w:t>
      </w:r>
      <w:r>
        <w:rPr>
          <w:rFonts w:hint="eastAsia" w:ascii="微软雅黑" w:hAnsi="微软雅黑" w:cs="微软雅黑"/>
          <w:color w:val="000000"/>
          <w:szCs w:val="21"/>
        </w:rPr>
        <w:t xml:space="preserve">的采购文件、乙方响应文件及有关附件是本合同不可分割的组成部分，与本合同具有同等法律效力，这些文件包括但不限于：</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（1）合同；</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（2）中标（成交）通知书；</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（3）乙方响应文件；</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（4）采购文件；</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（5）乙方在采购过程中所作的其他承诺、声明、书面澄清等。</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第五条 权利保证</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1.乙方应保证甲方在使用该服务或其任何一部分时不受第三方提出侵犯其专利权、版权、商标权或其他权利的起诉。一旦出现侵权，乙方应承担全部责任。</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2.本合同项下甲方提交给乙方使用的技术资料等材料的知识产权由甲方合法完整地拥有，乙方不得以任何方式提供给第三人、本合同完成后不得复制和留存，未经甲方书面同意乙方不得擅自使用。</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3.乙方应对本合同项下获得的全部信息予以保密，保密期限自本合同生效之日开始，至本合同履行完毕后</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年为止。乙方须严格遵守国家有关保密规定，不泄露工作中知悉的国家秘密、商业秘密和甲方内部情况，不擅自将工作中取得的材料和信息透露给任何第三方，一旦发现将追究乙方法律责任，并承担为此给甲方造成的损失。</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第六条 质量保证</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乙方所提供的服务的技术规格应与采购文件规定的技术规格及乙方响应文件相一致；若技术性能无特殊说明，则按国家有关部门最新颁布的标准及规范为准。</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第七条 交付和验收 </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1.乙方应当在合同签订后</w:t>
      </w:r>
      <w:r>
        <w:rPr>
          <w:rFonts w:hint="eastAsia" w:ascii="微软雅黑" w:hAnsi="微软雅黑" w:cs="微软雅黑"/>
          <w:color w:val="000000"/>
          <w:szCs w:val="21"/>
          <w:u w:val="single"/>
        </w:rPr>
        <w:t xml:space="preserve">  3  </w:t>
      </w:r>
      <w:r>
        <w:rPr>
          <w:rFonts w:hint="eastAsia" w:ascii="微软雅黑" w:hAnsi="微软雅黑" w:cs="微软雅黑"/>
          <w:color w:val="000000"/>
          <w:szCs w:val="21"/>
        </w:rPr>
        <w:t xml:space="preserve">日内完成人员驻场和服务交接等事项。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2.验收标准：按行业通行标准和乙方响应文件的承诺，并接受甲方考核。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第八条 履约保证金 </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1.中标（成交）供应商应按以下第（</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1</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）方式向采购人缴纳履约保证金：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（1）无需缴纳履约保证金；</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（2）以支票、汇票、本票或者金融机构、担保机构出具的保函等非现金形式缴纳履约保证金，金额为</w:t>
      </w:r>
      <w:r>
        <w:rPr>
          <w:rFonts w:hint="eastAsia" w:ascii="微软雅黑" w:hAnsi="微软雅黑" w:cs="微软雅黑"/>
          <w:color w:val="000000"/>
          <w:szCs w:val="21"/>
          <w:u w:val="single"/>
        </w:rPr>
        <w:t xml:space="preserve">    /   </w:t>
      </w:r>
      <w:r>
        <w:rPr>
          <w:rFonts w:hint="eastAsia" w:ascii="微软雅黑" w:hAnsi="微软雅黑" w:cs="微软雅黑"/>
          <w:color w:val="000000"/>
          <w:szCs w:val="21"/>
        </w:rPr>
        <w:t xml:space="preserve">万元。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2.履约保证金的有效期至本合同履行完毕时止，续签合同时，双方可以就履约保证金是否继续有效等进行协商。</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3.如乙方未能履行合同规定的义务，甲方有权从履约保证金中取得补偿。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4.履约保证金扣除甲方应得的补偿后的余额，在有效期满后</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个工作日内无息退还给乙方。</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第九条 合同款支付</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1.本合同项下所有款项均以人民币支付。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2.本合同项下的采购资金由乙方开具发票，甲方按照本条第 3 款的约定支付。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3.付款条件：按季付款，季度付款金额=季度合同金额-扣罚金额，乙方完成每季度服务工作，经甲方验收合格后开具发票，甲方在收到乙方开具发票的15个工作日内付款。</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第十条 违约责任</w:t>
      </w:r>
      <w:r>
        <w:rPr>
          <w:rFonts w:hint="eastAsia" w:ascii="微软雅黑" w:hAnsi="微软雅黑" w:cs="微软雅黑"/>
          <w:b/>
          <w:bCs/>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1.甲方无正当理由拒收服务、拒付服务款的，甲方向乙方偿付合同总价的5%违约金。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2.甲方未按合同规定的期限向乙方支付服务款的，每逾期1天甲方向乙方偿付欠款总额的5‰滞纳金，但累计滞纳金总额不超过欠款总额的5%。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3.甲方逾期退还履约保证金的，除应当退还履约保证金本金外，还应当按中国人民银行同期贷款基准利率上浮20%后的利率支付超期资金占用费，但因乙方自身原因导致无法及时退还的除外。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4.如乙方不能交付服务的，甲方有权扣留全部履约保证金；同时乙方应向甲方支付合同总价5%的违约金。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5.乙方逾期交付的，每逾期1天，乙方向甲方偿付合同总额的5‰的滞纳金。如乙方逾期交付达10天，甲方有权解除合同，解除合同的通知自到达乙方时生效。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6.乙方所交付的服务不符合合同规定的，甲方有权拒收。甲方拒收的，乙方应向甲方支付合同总款5%的违约金。</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7.在乙方承诺的或国家规定的质量保证期内（取两者中最长的期限），如经乙方2次整改仍不能达到合同约定的质量标准，乙方应退回全部合同价款，并按本条第3 款处理，同时，乙方还须赔偿甲方因此遭受的损失。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8.乙方未按本合同的规定和服务承诺提供伴随服务/售后服务的，应按合同总价款的5%向甲方承担违约责任。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9.乙方在承担上述4-7款一项或多项违约责任后，仍应继续履行合同规定的义务（甲方解除合同的除外）。甲方未能及时追究乙方的任何一项违约责任并不表明甲方放弃追究乙方该项或其他违约责任。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10.乙方响应属虚假承诺，或经权威部门检测提供的服务不能满足投标（响应）文件要求，或是由于乙方的过错造成合同无法继续履行的，乙方履约保证金不予退还外，还应向甲方支付不少于合同总价30%赔偿金。 </w:t>
      </w:r>
      <w:r>
        <w:rPr>
          <w:rFonts w:hint="eastAsia" w:ascii="微软雅黑" w:hAnsi="微软雅黑" w:cs="微软雅黑"/>
          <w:color w:val="000000"/>
          <w:szCs w:val="21"/>
        </w:rPr>
      </w:r>
      <w:r/>
    </w:p>
    <w:p>
      <w:pPr>
        <w:pStyle w:val="928"/>
        <w:ind w:firstLine="420"/>
        <w:spacing w:line="36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第十一条 合同的变更和终止</w:t>
      </w:r>
      <w:r>
        <w:rPr>
          <w:rFonts w:hint="eastAsia" w:ascii="微软雅黑" w:hAnsi="微软雅黑" w:cs="微软雅黑"/>
          <w:b/>
          <w:bCs/>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1.除《政府采购法》第50条第二款规定的情形外，本合同一经签订，甲乙双方不得擅自变更、中止或终止。</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2.除发生法律规定的不能预见、不能避免并不能克服的客观情况外，甲乙双方不得放弃或拒绝履行合同。</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第十二条 合同的转让</w:t>
      </w:r>
      <w:r>
        <w:rPr>
          <w:rFonts w:hint="eastAsia" w:ascii="微软雅黑" w:hAnsi="微软雅黑" w:cs="微软雅黑"/>
          <w:b/>
          <w:bCs/>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乙方不得擅自部分或全部转让其应履行的合同义务。</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第十三条 争议的解决</w:t>
      </w:r>
      <w:r>
        <w:rPr>
          <w:rFonts w:hint="eastAsia" w:ascii="微软雅黑" w:hAnsi="微软雅黑" w:cs="微软雅黑"/>
          <w:b/>
          <w:bCs/>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1.因服务的质量问题发生争议的，应当邀请国家认可的质量检测机构对服务质量进行鉴定。符合标准的，鉴定费由甲方承担；不符合质量标准的，鉴定费由乙方承担。</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2.因履行本合同引起的或与本合同有关的争议，甲、乙双方应首先通过友好协商解决，如果协商不能解决争议，则采取以下第</w:t>
      </w:r>
      <w:r>
        <w:rPr>
          <w:rFonts w:hint="eastAsia" w:ascii="微软雅黑" w:hAnsi="微软雅黑" w:cs="微软雅黑"/>
          <w:color w:val="000000"/>
          <w:szCs w:val="21"/>
          <w:u w:val="single"/>
        </w:rPr>
        <w:t xml:space="preserve">  （1）  </w:t>
      </w:r>
      <w:r>
        <w:rPr>
          <w:rFonts w:hint="eastAsia" w:ascii="微软雅黑" w:hAnsi="微软雅黑" w:cs="微软雅黑"/>
          <w:color w:val="000000"/>
          <w:szCs w:val="21"/>
        </w:rPr>
        <w:t xml:space="preserve">种方式解决争议：</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（1）向甲方所在地有管辖权的人民法院提起诉讼；</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（2）向南京仲裁委员会按其仲裁规则申请仲裁。</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第十四条 诚实信用 </w:t>
      </w:r>
      <w:r>
        <w:rPr>
          <w:rFonts w:hint="eastAsia" w:ascii="微软雅黑" w:hAnsi="微软雅黑" w:cs="微软雅黑"/>
          <w:b/>
          <w:bCs/>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乙方应诚实信用，严格按照采购文件要求和投标承诺履行合同，不向甲方进行商业贿赂或者提供不正当利益。</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b/>
          <w:bCs/>
          <w:color w:val="000000"/>
          <w:szCs w:val="21"/>
        </w:rPr>
      </w:pPr>
      <w:r>
        <w:rPr>
          <w:rFonts w:hint="eastAsia" w:ascii="微软雅黑" w:hAnsi="微软雅黑" w:cs="微软雅黑"/>
          <w:b/>
          <w:bCs/>
          <w:color w:val="000000"/>
          <w:szCs w:val="21"/>
        </w:rPr>
        <w:t xml:space="preserve">第十五条 合同生效及其他</w:t>
      </w:r>
      <w:r>
        <w:rPr>
          <w:rFonts w:hint="eastAsia" w:ascii="微软雅黑" w:hAnsi="微软雅黑" w:cs="微软雅黑"/>
          <w:b/>
          <w:bCs/>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1.本合同由双方法定代表人或者负责人签字并加盖公章或者合同专用章之日起生效。授权代理人签字的，应当提供书面的授权委托书。</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2.本合同一式</w:t>
      </w:r>
      <w:r>
        <w:rPr>
          <w:rFonts w:hint="eastAsia" w:ascii="微软雅黑" w:hAnsi="微软雅黑" w:cs="微软雅黑"/>
          <w:color w:val="000000"/>
          <w:szCs w:val="21"/>
          <w:u w:val="single"/>
        </w:rPr>
        <w:t xml:space="preserve"> 肆 </w:t>
      </w:r>
      <w:r>
        <w:rPr>
          <w:rFonts w:hint="eastAsia" w:ascii="微软雅黑" w:hAnsi="微软雅黑" w:cs="微软雅黑"/>
          <w:color w:val="000000"/>
          <w:szCs w:val="21"/>
        </w:rPr>
        <w:t xml:space="preserve">份，甲乙双方各执</w:t>
      </w:r>
      <w:r>
        <w:rPr>
          <w:rFonts w:hint="eastAsia" w:ascii="微软雅黑" w:hAnsi="微软雅黑" w:cs="微软雅黑"/>
          <w:color w:val="000000"/>
          <w:szCs w:val="21"/>
          <w:u w:val="single"/>
        </w:rPr>
        <w:t xml:space="preserve"> 贰 </w:t>
      </w:r>
      <w:r>
        <w:rPr>
          <w:rFonts w:hint="eastAsia" w:ascii="微软雅黑" w:hAnsi="微软雅黑" w:cs="微软雅黑"/>
          <w:color w:val="000000"/>
          <w:szCs w:val="21"/>
        </w:rPr>
        <w:t xml:space="preserve">份。</w:t>
      </w:r>
      <w:r>
        <w:rPr>
          <w:rFonts w:hint="eastAsia" w:ascii="微软雅黑" w:hAnsi="微软雅黑" w:cs="微软雅黑"/>
          <w:color w:val="000000"/>
          <w:szCs w:val="21"/>
        </w:rPr>
      </w:r>
      <w:r/>
    </w:p>
    <w:p>
      <w:pPr>
        <w:pStyle w:val="928"/>
        <w:ind w:firstLine="420"/>
        <w:spacing w:line="36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3.本合同应按照中华人民共和国的现行法律进行解释。</w:t>
      </w:r>
      <w:r>
        <w:rPr>
          <w:rFonts w:hint="eastAsia" w:ascii="微软雅黑" w:hAnsi="微软雅黑" w:cs="微软雅黑"/>
          <w:color w:val="000000"/>
          <w:szCs w:val="21"/>
        </w:rPr>
      </w:r>
      <w:r/>
    </w:p>
    <w:p>
      <w:pPr>
        <w:pStyle w:val="928"/>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甲方（采购人）：                       乙方（供应商）： </w:t>
      </w:r>
      <w:r>
        <w:rPr>
          <w:rFonts w:hint="eastAsia" w:ascii="微软雅黑" w:hAnsi="微软雅黑" w:cs="微软雅黑"/>
          <w:color w:val="000000"/>
          <w:szCs w:val="21"/>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（盖章）                              （盖章） </w:t>
      </w:r>
      <w:r>
        <w:rPr>
          <w:rFonts w:hint="eastAsia" w:ascii="微软雅黑" w:hAnsi="微软雅黑" w:cs="微软雅黑"/>
          <w:color w:val="000000"/>
          <w:szCs w:val="21"/>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代表人：                               代表人： </w:t>
      </w:r>
      <w:r>
        <w:rPr>
          <w:rFonts w:hint="eastAsia" w:ascii="微软雅黑" w:hAnsi="微软雅黑" w:cs="微软雅黑"/>
          <w:color w:val="000000"/>
          <w:szCs w:val="21"/>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电话：                                 电话： </w:t>
      </w:r>
      <w:r>
        <w:rPr>
          <w:rFonts w:hint="eastAsia" w:ascii="微软雅黑" w:hAnsi="微软雅黑" w:cs="微软雅黑"/>
          <w:color w:val="000000"/>
          <w:szCs w:val="21"/>
        </w:rPr>
      </w:r>
      <w:r/>
    </w:p>
    <w:p>
      <w:pPr>
        <w:pStyle w:val="928"/>
        <w:ind w:firstLine="1260"/>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                           开户银行： </w:t>
      </w:r>
      <w:r>
        <w:rPr>
          <w:rFonts w:hint="eastAsia" w:ascii="微软雅黑" w:hAnsi="微软雅黑" w:cs="微软雅黑"/>
          <w:color w:val="000000"/>
          <w:szCs w:val="21"/>
        </w:rPr>
      </w:r>
      <w:r/>
    </w:p>
    <w:p>
      <w:pPr>
        <w:pStyle w:val="928"/>
        <w:jc w:val="left"/>
        <w:spacing w:line="360" w:lineRule="auto"/>
        <w:widowControl/>
        <w:rPr>
          <w:rFonts w:hint="eastAsia" w:ascii="微软雅黑" w:hAnsi="微软雅黑" w:cs="微软雅黑"/>
          <w:color w:val="000000"/>
          <w:szCs w:val="21"/>
        </w:rPr>
      </w:pPr>
      <w:r>
        <w:rPr>
          <w:rFonts w:hint="eastAsia" w:ascii="微软雅黑" w:hAnsi="微软雅黑" w:cs="微软雅黑"/>
          <w:color w:val="000000"/>
          <w:szCs w:val="21"/>
        </w:rPr>
        <w:t xml:space="preserve">                                       账号：</w:t>
      </w:r>
      <w:r>
        <w:rPr>
          <w:rFonts w:hint="eastAsia" w:ascii="微软雅黑" w:hAnsi="微软雅黑" w:cs="微软雅黑"/>
          <w:color w:val="000000"/>
          <w:szCs w:val="21"/>
        </w:rPr>
      </w:r>
      <w:r/>
    </w:p>
    <w:p>
      <w:pPr>
        <w:pStyle w:val="928"/>
        <w:spacing w:line="440" w:lineRule="exact"/>
        <w:rPr>
          <w:rFonts w:hint="eastAsia" w:ascii="微软雅黑" w:hAnsi="微软雅黑"/>
          <w:szCs w:val="21"/>
        </w:rPr>
      </w:pPr>
      <w:r>
        <w:rPr>
          <w:rFonts w:hint="eastAsia" w:ascii="微软雅黑" w:hAnsi="微软雅黑"/>
          <w:szCs w:val="21"/>
        </w:rPr>
      </w:r>
      <w:r/>
    </w:p>
    <w:p>
      <w:pPr>
        <w:pStyle w:val="947"/>
        <w:ind w:left="0"/>
      </w:pPr>
      <w:r/>
      <w:r/>
    </w:p>
    <w:p>
      <w:pPr>
        <w:pStyle w:val="928"/>
        <w:spacing w:line="440" w:lineRule="exact"/>
      </w:pPr>
      <w:r/>
      <w:r/>
    </w:p>
    <w:p>
      <w:pPr>
        <w:pStyle w:val="928"/>
        <w:spacing w:line="440" w:lineRule="exact"/>
        <w:rPr>
          <w:rFonts w:hint="eastAsia" w:ascii="微软雅黑" w:hAnsi="微软雅黑" w:cs="微软雅黑"/>
        </w:rPr>
      </w:pPr>
      <w:r>
        <w:rPr>
          <w:rFonts w:hint="eastAsia" w:ascii="微软雅黑" w:hAnsi="微软雅黑" w:cs="微软雅黑"/>
        </w:rPr>
      </w:r>
      <w:r/>
    </w:p>
    <w:p>
      <w:pPr>
        <w:pStyle w:val="928"/>
        <w:jc w:val="right"/>
        <w:spacing w:line="400" w:lineRule="exact"/>
        <w:rPr>
          <w:rFonts w:hint="eastAsia" w:ascii="微软雅黑" w:hAnsi="微软雅黑" w:cs="微软雅黑"/>
          <w:szCs w:val="21"/>
        </w:rPr>
      </w:pPr>
      <w:r>
        <w:rPr>
          <w:rFonts w:hint="eastAsia" w:ascii="微软雅黑" w:hAnsi="微软雅黑" w:cs="微软雅黑"/>
          <w:szCs w:val="21"/>
        </w:rPr>
      </w:r>
      <w:r/>
    </w:p>
    <w:p>
      <w:pPr>
        <w:pStyle w:val="947"/>
        <w:ind w:left="1260"/>
        <w:rPr>
          <w:rFonts w:hint="eastAsia" w:ascii="微软雅黑" w:hAnsi="微软雅黑" w:cs="微软雅黑"/>
        </w:rPr>
      </w:pP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r>
      <w:r/>
    </w:p>
    <w:p>
      <w:pPr>
        <w:pStyle w:val="947"/>
        <w:ind w:left="0"/>
        <w:rPr>
          <w:rFonts w:hint="eastAsia" w:ascii="微软雅黑" w:hAnsi="微软雅黑" w:cs="微软雅黑"/>
        </w:rPr>
      </w:pPr>
      <w:r>
        <w:rPr>
          <w:rFonts w:hint="eastAsia" w:ascii="微软雅黑" w:hAnsi="微软雅黑" w:cs="微软雅黑"/>
        </w:rPr>
      </w:r>
      <w:r/>
    </w:p>
    <w:p>
      <w:pPr>
        <w:pStyle w:val="1141"/>
        <w:rPr>
          <w:rFonts w:hint="eastAsia" w:ascii="微软雅黑" w:hAnsi="微软雅黑" w:cs="微软雅黑"/>
          <w:szCs w:val="32"/>
        </w:rPr>
      </w:pPr>
      <w:r>
        <w:rPr>
          <w:rFonts w:hint="eastAsia" w:ascii="微软雅黑" w:hAnsi="微软雅黑" w:cs="微软雅黑"/>
        </w:rPr>
        <w:br w:type="page" w:clear="all"/>
      </w:r>
      <w:bookmarkStart w:id="234" w:name="_Toc13204"/>
      <w:r/>
      <w:bookmarkStart w:id="235" w:name="_Toc25281"/>
      <w:r>
        <w:rPr>
          <w:rFonts w:hint="eastAsia" w:ascii="微软雅黑" w:hAnsi="微软雅黑" w:cs="微软雅黑"/>
        </w:rPr>
        <w:t xml:space="preserve">第六章 响应文件格式</w:t>
      </w:r>
      <w:bookmarkEnd w:id="234"/>
      <w:r>
        <w:rPr>
          <w:rFonts w:hint="eastAsia" w:ascii="微软雅黑" w:hAnsi="微软雅黑" w:cs="微软雅黑"/>
        </w:rPr>
        <w:t xml:space="preserve">及附件</w:t>
      </w:r>
      <w:bookmarkEnd w:id="235"/>
      <w:r>
        <w:rPr>
          <w:rFonts w:hint="eastAsia" w:ascii="微软雅黑" w:hAnsi="微软雅黑" w:cs="微软雅黑"/>
          <w:szCs w:val="32"/>
        </w:rPr>
      </w:r>
      <w:r/>
    </w:p>
    <w:p>
      <w:pPr>
        <w:pStyle w:val="928"/>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hint="eastAsia" w:ascii="微软雅黑" w:hAnsi="微软雅黑" w:cs="微软雅黑"/>
          <w:b/>
          <w:bCs/>
          <w:sz w:val="24"/>
          <w:szCs w:val="24"/>
        </w:rPr>
      </w:r>
      <w:r/>
    </w:p>
    <w:p>
      <w:pPr>
        <w:pStyle w:val="928"/>
        <w:numPr>
          <w:ilvl w:val="0"/>
          <w:numId w:val="12"/>
        </w:numPr>
        <w:ind w:hanging="205"/>
        <w:jc w:val="left"/>
        <w:spacing w:line="400" w:lineRule="exact"/>
        <w:widowControl/>
        <w:rPr>
          <w:szCs w:val="21"/>
        </w:rPr>
      </w:pPr>
      <w:r>
        <w:rPr>
          <w:rFonts w:hint="eastAsia" w:ascii="微软雅黑" w:hAnsi="微软雅黑" w:cs="微软雅黑"/>
          <w:szCs w:val="21"/>
        </w:rPr>
        <w:t xml:space="preserve">本部分内容仅供格式参考。</w:t>
      </w:r>
      <w:r>
        <w:rPr>
          <w:szCs w:val="21"/>
        </w:rPr>
      </w:r>
      <w:r/>
    </w:p>
    <w:p>
      <w:pPr>
        <w:pStyle w:val="947"/>
        <w:numPr>
          <w:ilvl w:val="0"/>
          <w:numId w:val="12"/>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请响应供应商按照以下文件的要求格式、内容，顺序制作响应文件，并请编制目录及页码。</w:t>
      </w:r>
      <w:r>
        <w:rPr>
          <w:rFonts w:hint="eastAsia" w:ascii="微软雅黑" w:hAnsi="微软雅黑" w:cs="微软雅黑"/>
          <w:szCs w:val="21"/>
        </w:rPr>
      </w:r>
      <w:r/>
    </w:p>
    <w:p>
      <w:pPr>
        <w:pStyle w:val="928"/>
        <w:numPr>
          <w:ilvl w:val="0"/>
          <w:numId w:val="12"/>
        </w:numPr>
        <w:ind w:hanging="205"/>
        <w:spacing w:line="400" w:lineRule="exact"/>
        <w:rPr>
          <w:szCs w:val="21"/>
        </w:rPr>
      </w:pPr>
      <w:r>
        <w:rPr>
          <w:rFonts w:hint="eastAsia"/>
          <w:szCs w:val="21"/>
        </w:rPr>
        <w:t xml:space="preserve">供应商提交的材料不予退还。</w:t>
      </w:r>
      <w:r>
        <w:rPr>
          <w:szCs w:val="21"/>
        </w:rPr>
      </w:r>
      <w:r/>
    </w:p>
    <w:p>
      <w:pPr>
        <w:pStyle w:val="947"/>
        <w:ind w:left="1260"/>
      </w:pPr>
      <w:r/>
      <w:r/>
    </w:p>
    <w:p>
      <w:pPr>
        <w:pStyle w:val="928"/>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928"/>
        <w:jc w:val="center"/>
        <w:spacing w:line="360" w:lineRule="auto"/>
        <w:rPr>
          <w:rFonts w:hint="eastAsia" w:ascii="微软雅黑" w:hAnsi="微软雅黑" w:cs="微软雅黑"/>
        </w:rPr>
      </w:pPr>
      <w:r>
        <w:rPr>
          <w:rFonts w:hint="eastAsia" w:ascii="微软雅黑" w:hAnsi="微软雅黑" w:cs="微软雅黑"/>
        </w:rPr>
      </w:r>
      <w:r/>
    </w:p>
    <w:p>
      <w:pPr>
        <w:pStyle w:val="928"/>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响应文件</w:t>
      </w:r>
      <w:r>
        <w:rPr>
          <w:rFonts w:hint="eastAsia" w:ascii="微软雅黑" w:hAnsi="微软雅黑" w:cs="微软雅黑"/>
          <w:sz w:val="56"/>
          <w:szCs w:val="56"/>
        </w:rPr>
      </w:r>
      <w:r/>
    </w:p>
    <w:p>
      <w:pPr>
        <w:pStyle w:val="928"/>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928"/>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928"/>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928"/>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928"/>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928"/>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928"/>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928"/>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标 段 号：</w:t>
      </w:r>
      <w:r>
        <w:rPr>
          <w:rFonts w:hint="eastAsia" w:ascii="微软雅黑" w:hAnsi="微软雅黑" w:cs="微软雅黑"/>
          <w:sz w:val="32"/>
          <w:szCs w:val="32"/>
        </w:rPr>
      </w:r>
      <w:r/>
    </w:p>
    <w:p>
      <w:pPr>
        <w:pStyle w:val="92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92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928"/>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92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响应单位（全称）：</w:t>
      </w:r>
      <w:r>
        <w:rPr>
          <w:rFonts w:hint="eastAsia" w:ascii="微软雅黑" w:hAnsi="微软雅黑" w:cs="微软雅黑"/>
          <w:sz w:val="32"/>
          <w:szCs w:val="32"/>
        </w:rPr>
      </w:r>
      <w:r/>
    </w:p>
    <w:p>
      <w:pPr>
        <w:pStyle w:val="92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928"/>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928"/>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928"/>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928"/>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928"/>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928"/>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请响应单位编制目录及页码。</w:t>
      </w: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1260"/>
        <w:rPr>
          <w:rFonts w:hint="eastAsia" w:ascii="微软雅黑" w:hAnsi="微软雅黑" w:cs="微软雅黑"/>
          <w:sz w:val="24"/>
          <w:szCs w:val="21"/>
        </w:rPr>
      </w:pPr>
      <w:r>
        <w:rPr>
          <w:rFonts w:hint="eastAsia" w:ascii="微软雅黑" w:hAnsi="微软雅黑" w:cs="微软雅黑"/>
          <w:sz w:val="24"/>
          <w:szCs w:val="21"/>
        </w:rPr>
      </w:r>
      <w:r/>
    </w:p>
    <w:p>
      <w:pPr>
        <w:pStyle w:val="928"/>
        <w:rPr>
          <w:rFonts w:hint="eastAsia" w:ascii="微软雅黑" w:hAnsi="微软雅黑" w:cs="微软雅黑"/>
          <w:sz w:val="24"/>
          <w:szCs w:val="21"/>
        </w:rPr>
      </w:pPr>
      <w:r>
        <w:rPr>
          <w:rFonts w:hint="eastAsia" w:ascii="微软雅黑" w:hAnsi="微软雅黑" w:cs="微软雅黑"/>
          <w:sz w:val="24"/>
          <w:szCs w:val="21"/>
        </w:rPr>
      </w:r>
      <w:r/>
    </w:p>
    <w:p>
      <w:pPr>
        <w:pStyle w:val="947"/>
        <w:ind w:left="0"/>
        <w:jc w:val="center"/>
        <w:rPr>
          <w:b/>
          <w:bCs/>
          <w:sz w:val="28"/>
          <w:szCs w:val="28"/>
        </w:rPr>
      </w:pPr>
      <w:r>
        <w:rPr>
          <w:rFonts w:hint="eastAsia"/>
          <w:b/>
          <w:bCs/>
          <w:sz w:val="28"/>
          <w:szCs w:val="28"/>
        </w:rPr>
        <w:br w:type="page" w:clear="all"/>
      </w:r>
      <w:r>
        <w:rPr>
          <w:rFonts w:hint="eastAsia"/>
          <w:b/>
          <w:bCs/>
          <w:sz w:val="28"/>
          <w:szCs w:val="28"/>
        </w:rPr>
        <w:t xml:space="preserve">资格审查索引表</w:t>
      </w:r>
      <w:r>
        <w:rPr>
          <w:b/>
          <w:bCs/>
          <w:sz w:val="28"/>
          <w:szCs w:val="28"/>
        </w:rPr>
      </w:r>
      <w:r/>
    </w:p>
    <w:p>
      <w:pPr>
        <w:pStyle w:val="928"/>
        <w:jc w:val="center"/>
        <w:rPr>
          <w:b/>
          <w:bCs/>
          <w:sz w:val="24"/>
          <w:szCs w:val="24"/>
        </w:rPr>
      </w:pPr>
      <w:r>
        <w:rPr>
          <w:rFonts w:hint="eastAsia"/>
          <w:b/>
          <w:bCs/>
          <w:sz w:val="24"/>
          <w:szCs w:val="24"/>
        </w:rPr>
        <w:t xml:space="preserve">（具体详见第一章磋商邀请申请人的资格要求）</w:t>
      </w:r>
      <w:r>
        <w:rPr>
          <w:b/>
          <w:bCs/>
          <w:sz w:val="24"/>
          <w:szCs w:val="24"/>
        </w:rPr>
      </w:r>
      <w:r/>
    </w:p>
    <w:tbl>
      <w:tblPr>
        <w:tblW w:w="82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6560"/>
        <w:gridCol w:w="1238"/>
      </w:tblGrid>
      <w:tr>
        <w:trPr>
          <w:trHeight w:val="703"/>
        </w:trPr>
        <w:tc>
          <w:tcPr>
            <w:tcW w:w="434"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0"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响应文件所在页码</w:t>
            </w:r>
            <w:r>
              <w:rPr>
                <w:rFonts w:hint="eastAsia" w:ascii="微软雅黑" w:hAnsi="微软雅黑" w:cs="微软雅黑"/>
                <w:b/>
                <w:bCs/>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rPr>
              <w:t xml:space="preserve">具有独立承担民事责任的能力（提供法人或者其他组织的营业执照复印件）；</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6560" w:type="dxa"/>
            <w:vAlign w:val="top"/>
            <w:textDirection w:val="lrTb"/>
            <w:noWrap w:val="false"/>
          </w:tcPr>
          <w:p>
            <w:pPr>
              <w:pStyle w:val="974"/>
              <w:spacing w:before="0" w:beforeAutospacing="0" w:after="0" w:afterAutospacing="0"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具有良好的商业信誉和健全的财务会计制度（提供2025年6月至响应截止时间前任一月份的资产负债表和利润表，或2025年度审计报告，或银行出具的资信证明，或财政部门认可的专业担保机构出具的响应担保函）；</w:t>
            </w:r>
            <w:r>
              <w:rPr>
                <w:rFonts w:hint="eastAsia" w:ascii="微软雅黑" w:hAnsi="微软雅黑" w:eastAsia="微软雅黑" w:cs="微软雅黑"/>
                <w:sz w:val="21"/>
                <w:szCs w:val="21"/>
              </w:rPr>
            </w:r>
            <w:r/>
          </w:p>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rPr>
              <w:t xml:space="preserve">具有履行合同所必需的设备和专业技术能力（根据项目需求提供履行合同所必需的设备和专业技术能力的证明材料或承诺函）；</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szCs w:val="21"/>
              </w:rPr>
              <w:t xml:space="preserve">有依法缴纳税收和社会保障资金的良好记录（提供2025年6月至响应截止时间前任一月份依法缴纳税收的凭据（</w:t>
            </w:r>
            <w:r>
              <w:rPr>
                <w:rFonts w:hint="eastAsia" w:ascii="微软雅黑" w:hAnsi="微软雅黑" w:cs="微软雅黑"/>
                <w:b/>
                <w:bCs/>
                <w:szCs w:val="21"/>
              </w:rPr>
              <w:t xml:space="preserve">企业代缴的个人所得税除外</w:t>
            </w:r>
            <w:r>
              <w:rPr>
                <w:rFonts w:hint="eastAsia" w:ascii="微软雅黑" w:hAnsi="微软雅黑" w:cs="微软雅黑"/>
                <w:szCs w:val="21"/>
              </w:rPr>
              <w:t xml:space="preserve">），以及缴纳社会保险的凭据（专用收据或社会保险的凭据）。依法免税或不需要缴纳社会保障资金的响应供应商，应提供相应文件证明）；</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rPr>
              <w:t xml:space="preserve">参加本次采购活动前三年内</w:t>
            </w:r>
            <w:r>
              <w:rPr>
                <w:rFonts w:hint="eastAsia" w:ascii="微软雅黑" w:hAnsi="微软雅黑" w:cs="微软雅黑"/>
                <w:szCs w:val="21"/>
              </w:rPr>
              <w:t xml:space="preserve">（成立时间不足三年的自成立之日起）</w:t>
            </w:r>
            <w:r>
              <w:rPr>
                <w:rFonts w:hint="eastAsia" w:ascii="微软雅黑" w:hAnsi="微软雅黑" w:cs="微软雅黑"/>
              </w:rPr>
              <w:t xml:space="preserve">在经营活动中没有重大违法记录（提供参加本次采购活动前3年内在经营活动中没有重大违法记录的书面声明）；</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rPr>
              <w:t xml:space="preserve">供应商须提供法定代表人授权书原件、法定代表人身份证复印件、授权代表身份证复印件（如果是法定代表人直接参与磋商的可以不提供授权书）；</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35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6560" w:type="dxa"/>
            <w:vAlign w:val="center"/>
            <w:textDirection w:val="lrTb"/>
            <w:noWrap w:val="false"/>
          </w:tcPr>
          <w:p>
            <w:pPr>
              <w:pStyle w:val="928"/>
              <w:jc w:val="left"/>
              <w:spacing w:line="440" w:lineRule="exact"/>
              <w:rPr>
                <w:rFonts w:hint="eastAsia" w:ascii="微软雅黑" w:hAnsi="微软雅黑" w:cs="微软雅黑"/>
                <w:szCs w:val="21"/>
              </w:rPr>
            </w:pPr>
            <w:r>
              <w:rPr>
                <w:rFonts w:hint="eastAsia" w:ascii="微软雅黑" w:hAnsi="微软雅黑" w:cs="微软雅黑"/>
              </w:rPr>
              <w:t xml:space="preserve">本次采购不接受联合体响应；</w:t>
            </w: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353"/>
        </w:trPr>
        <w:tc>
          <w:tcPr>
            <w:tcW w:w="434"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6560" w:type="dxa"/>
            <w:vAlign w:val="top"/>
            <w:textDirection w:val="lrTb"/>
            <w:noWrap w:val="false"/>
          </w:tcPr>
          <w:p>
            <w:pPr>
              <w:pStyle w:val="928"/>
              <w:jc w:val="left"/>
              <w:spacing w:line="440" w:lineRule="exact"/>
              <w:rPr>
                <w:rFonts w:hint="eastAsia" w:ascii="微软雅黑" w:hAnsi="微软雅黑" w:cs="微软雅黑"/>
              </w:rPr>
            </w:pPr>
            <w:r>
              <w:rPr>
                <w:rFonts w:hint="eastAsia" w:ascii="微软雅黑" w:hAnsi="微软雅黑" w:cs="微软雅黑"/>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微软雅黑" w:hAnsi="微软雅黑" w:cs="微软雅黑"/>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微软雅黑" w:hAnsi="微软雅黑" w:cs="微软雅黑"/>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928"/>
        <w:spacing w:line="440" w:lineRule="exact"/>
        <w:rPr>
          <w:rFonts w:hint="eastAsia" w:ascii="微软雅黑" w:hAnsi="微软雅黑" w:cs="微软雅黑"/>
          <w:b/>
          <w:bCs/>
          <w:szCs w:val="21"/>
        </w:rPr>
      </w:pPr>
      <w:r>
        <w:rPr>
          <w:rFonts w:hint="eastAsia" w:ascii="微软雅黑" w:hAnsi="微软雅黑" w:cs="微软雅黑"/>
          <w:b/>
          <w:bCs/>
          <w:szCs w:val="21"/>
        </w:rPr>
        <w:t xml:space="preserve">说明：</w:t>
      </w:r>
      <w:r>
        <w:rPr>
          <w:rFonts w:hint="eastAsia" w:ascii="微软雅黑" w:hAnsi="微软雅黑" w:cs="微软雅黑"/>
          <w:b/>
          <w:bCs/>
          <w:szCs w:val="21"/>
        </w:rPr>
      </w:r>
      <w:r/>
    </w:p>
    <w:p>
      <w:pPr>
        <w:pStyle w:val="928"/>
        <w:numPr>
          <w:ilvl w:val="0"/>
          <w:numId w:val="13"/>
        </w:numPr>
        <w:ind w:firstLine="360"/>
        <w:jc w:val="left"/>
        <w:spacing w:line="360" w:lineRule="exact"/>
        <w:rPr>
          <w:rFonts w:hint="eastAsia" w:ascii="微软雅黑" w:hAnsi="微软雅黑" w:cs="微软雅黑"/>
          <w:b/>
          <w:bCs/>
          <w:szCs w:val="21"/>
        </w:rPr>
      </w:pPr>
      <w:r>
        <w:rPr>
          <w:rFonts w:hint="eastAsia" w:ascii="微软雅黑" w:hAnsi="微软雅黑" w:cs="微软雅黑"/>
          <w:b/>
          <w:bCs/>
          <w:szCs w:val="21"/>
        </w:rPr>
        <w:t xml:space="preserve">资格审查</w:t>
      </w:r>
      <w:r>
        <w:rPr>
          <w:rFonts w:hint="eastAsia" w:ascii="微软雅黑" w:hAnsi="微软雅黑" w:cs="微软雅黑"/>
          <w:b/>
          <w:bCs/>
          <w:szCs w:val="21"/>
        </w:rPr>
      </w:r>
      <w:r/>
    </w:p>
    <w:p>
      <w:pPr>
        <w:pStyle w:val="928"/>
        <w:ind w:firstLine="360"/>
        <w:jc w:val="left"/>
        <w:spacing w:line="360" w:lineRule="exact"/>
        <w:rPr>
          <w:rFonts w:hint="eastAsia" w:ascii="微软雅黑" w:hAnsi="微软雅黑" w:cs="微软雅黑"/>
          <w:b/>
          <w:bCs/>
          <w:szCs w:val="21"/>
        </w:rPr>
      </w:pPr>
      <w:r>
        <w:rPr>
          <w:rFonts w:hint="eastAsia" w:ascii="微软雅黑" w:hAnsi="微软雅黑" w:cs="微软雅黑"/>
          <w:b/>
          <w:bCs/>
          <w:szCs w:val="21"/>
        </w:rPr>
        <w:t xml:space="preserve">供应商于响应文件中提交“南京市政府采购供应商信用记录表暨信用承诺书”原件并签字盖章，在资格审查环节可替代以上1-5、8项资格证明材料，在成交后，成交供应商按本项目资格证明文件要求提交被替代的资格证明材料，经采购人或代理机构核验无误后发出成交通知书。</w:t>
      </w:r>
      <w:r>
        <w:rPr>
          <w:rFonts w:hint="eastAsia" w:ascii="微软雅黑" w:hAnsi="微软雅黑" w:cs="微软雅黑"/>
          <w:b/>
          <w:bCs/>
          <w:szCs w:val="21"/>
        </w:rPr>
      </w:r>
      <w:r/>
    </w:p>
    <w:p>
      <w:pPr>
        <w:pStyle w:val="928"/>
        <w:numPr>
          <w:ilvl w:val="0"/>
          <w:numId w:val="13"/>
        </w:numPr>
        <w:ind w:firstLine="360"/>
        <w:jc w:val="left"/>
        <w:spacing w:line="360" w:lineRule="exact"/>
        <w:rPr>
          <w:rFonts w:hint="eastAsia" w:ascii="微软雅黑" w:hAnsi="微软雅黑" w:cs="微软雅黑"/>
          <w:b/>
          <w:bCs/>
          <w:szCs w:val="21"/>
        </w:rPr>
      </w:pPr>
      <w:r>
        <w:rPr>
          <w:rFonts w:hint="eastAsia" w:ascii="微软雅黑" w:hAnsi="微软雅黑" w:cs="微软雅黑"/>
          <w:b/>
          <w:bCs/>
          <w:szCs w:val="21"/>
        </w:rPr>
        <w:t xml:space="preserve">不适用信用承诺的情形</w:t>
      </w:r>
      <w:r>
        <w:rPr>
          <w:rFonts w:hint="eastAsia" w:ascii="微软雅黑" w:hAnsi="微软雅黑" w:cs="微软雅黑"/>
          <w:b/>
          <w:bCs/>
          <w:szCs w:val="21"/>
        </w:rPr>
      </w:r>
      <w:r/>
    </w:p>
    <w:p>
      <w:pPr>
        <w:pStyle w:val="928"/>
        <w:ind w:firstLine="360"/>
        <w:jc w:val="left"/>
        <w:spacing w:line="360" w:lineRule="exact"/>
        <w:rPr>
          <w:rFonts w:hint="eastAsia" w:ascii="微软雅黑" w:hAnsi="微软雅黑" w:cs="微软雅黑"/>
          <w:szCs w:val="21"/>
        </w:rPr>
      </w:pPr>
      <w:r>
        <w:rPr>
          <w:rFonts w:hint="eastAsia" w:ascii="微软雅黑" w:hAnsi="微软雅黑" w:cs="微软雅黑"/>
          <w:szCs w:val="21"/>
        </w:rPr>
        <w:t xml:space="preserve">（一）供应商被列入严重失信主体名单；</w:t>
      </w:r>
      <w:r>
        <w:rPr>
          <w:rFonts w:hint="eastAsia" w:ascii="微软雅黑" w:hAnsi="微软雅黑" w:cs="微软雅黑"/>
          <w:szCs w:val="21"/>
        </w:rPr>
      </w:r>
      <w:r/>
    </w:p>
    <w:p>
      <w:pPr>
        <w:pStyle w:val="928"/>
        <w:ind w:firstLine="360"/>
        <w:jc w:val="left"/>
        <w:spacing w:line="360" w:lineRule="exact"/>
        <w:rPr>
          <w:rFonts w:hint="eastAsia" w:ascii="微软雅黑" w:hAnsi="微软雅黑" w:cs="微软雅黑"/>
          <w:szCs w:val="21"/>
        </w:rPr>
      </w:pPr>
      <w:r>
        <w:rPr>
          <w:rFonts w:hint="eastAsia" w:ascii="微软雅黑" w:hAnsi="微软雅黑" w:cs="微软雅黑"/>
          <w:szCs w:val="21"/>
        </w:rPr>
        <w:t xml:space="preserve">（二）被相关监管部门作出行政处罚且尚在处罚有效期内；</w:t>
      </w:r>
      <w:r>
        <w:rPr>
          <w:rFonts w:hint="eastAsia" w:ascii="微软雅黑" w:hAnsi="微软雅黑" w:cs="微软雅黑"/>
          <w:szCs w:val="21"/>
        </w:rPr>
      </w:r>
      <w:r/>
    </w:p>
    <w:p>
      <w:pPr>
        <w:pStyle w:val="928"/>
        <w:numPr>
          <w:ilvl w:val="0"/>
          <w:numId w:val="14"/>
        </w:numPr>
        <w:ind w:firstLine="360"/>
        <w:jc w:val="left"/>
        <w:spacing w:line="360" w:lineRule="exact"/>
        <w:rPr>
          <w:rFonts w:hint="eastAsia" w:ascii="微软雅黑" w:hAnsi="微软雅黑" w:cs="微软雅黑"/>
          <w:szCs w:val="21"/>
        </w:rPr>
      </w:pPr>
      <w:r>
        <w:rPr>
          <w:rFonts w:hint="eastAsia" w:ascii="微软雅黑" w:hAnsi="微软雅黑" w:cs="微软雅黑"/>
          <w:szCs w:val="21"/>
        </w:rPr>
        <w:t xml:space="preserve">其他法律、行政法规规定的不适用信用承诺的情形。</w:t>
      </w:r>
      <w:r>
        <w:rPr>
          <w:rFonts w:hint="eastAsia" w:ascii="微软雅黑" w:hAnsi="微软雅黑" w:cs="微软雅黑"/>
          <w:szCs w:val="21"/>
        </w:rPr>
      </w:r>
      <w:r/>
    </w:p>
    <w:p>
      <w:pPr>
        <w:pStyle w:val="928"/>
        <w:ind w:firstLine="360"/>
        <w:jc w:val="left"/>
        <w:spacing w:line="360" w:lineRule="exact"/>
        <w:rPr>
          <w:rFonts w:hint="eastAsia" w:ascii="微软雅黑" w:hAnsi="微软雅黑" w:cs="微软雅黑"/>
          <w:b/>
          <w:bCs/>
          <w:szCs w:val="21"/>
        </w:rPr>
      </w:pPr>
      <w:r>
        <w:rPr>
          <w:rFonts w:hint="eastAsia" w:ascii="微软雅黑" w:hAnsi="微软雅黑" w:cs="微软雅黑"/>
          <w:b/>
          <w:bCs/>
          <w:szCs w:val="21"/>
        </w:rPr>
        <w:t xml:space="preserve">如响应供应商属于以上不适用信用承诺的情形，则响应文件中仍需提供全部资格证明材料，否则将不能通过资格性审查。</w:t>
      </w:r>
      <w:r>
        <w:rPr>
          <w:rFonts w:hint="eastAsia" w:ascii="微软雅黑" w:hAnsi="微软雅黑" w:cs="微软雅黑"/>
          <w:b/>
          <w:bCs/>
          <w:szCs w:val="21"/>
        </w:rPr>
      </w:r>
      <w:r/>
    </w:p>
    <w:p>
      <w:pPr>
        <w:pStyle w:val="928"/>
        <w:numPr>
          <w:ilvl w:val="0"/>
          <w:numId w:val="13"/>
        </w:numPr>
        <w:ind w:firstLine="360"/>
        <w:jc w:val="left"/>
        <w:spacing w:line="360" w:lineRule="exact"/>
        <w:rPr>
          <w:rFonts w:hint="eastAsia" w:ascii="微软雅黑" w:hAnsi="微软雅黑" w:cs="微软雅黑"/>
          <w:b/>
          <w:bCs/>
          <w:szCs w:val="21"/>
        </w:rPr>
      </w:pPr>
      <w:r>
        <w:rPr>
          <w:rFonts w:hint="eastAsia" w:ascii="微软雅黑" w:hAnsi="微软雅黑" w:cs="微软雅黑"/>
          <w:b/>
          <w:bCs/>
          <w:szCs w:val="21"/>
        </w:rPr>
        <w:t xml:space="preserve">违反信用承诺的法律责任</w:t>
      </w:r>
      <w:r>
        <w:rPr>
          <w:rFonts w:hint="eastAsia" w:ascii="微软雅黑" w:hAnsi="微软雅黑" w:cs="微软雅黑"/>
          <w:b/>
          <w:bCs/>
          <w:szCs w:val="21"/>
        </w:rPr>
      </w:r>
      <w:r/>
    </w:p>
    <w:p>
      <w:pPr>
        <w:pStyle w:val="928"/>
        <w:ind w:firstLine="360"/>
        <w:spacing w:line="360" w:lineRule="exact"/>
        <w:rPr>
          <w:b/>
          <w:bCs/>
          <w:szCs w:val="21"/>
        </w:rPr>
      </w:pPr>
      <w:r>
        <w:rPr>
          <w:rFonts w:hint="eastAsia" w:ascii="微软雅黑" w:hAnsi="微软雅黑" w:cs="微软雅黑"/>
          <w:szCs w:val="21"/>
        </w:rPr>
        <w:t xml:space="preserve">供应商对信用承诺内容的真实性、合法性、有效性负责。如作出虚假信用承诺，视同为“提供虚假材料谋取中标、成交”的违法行为。经监管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b/>
          <w:bCs/>
          <w:szCs w:val="21"/>
        </w:rPr>
      </w:r>
      <w:r/>
    </w:p>
    <w:p>
      <w:pPr>
        <w:pStyle w:val="928"/>
        <w:rPr>
          <w:b/>
          <w:bCs/>
          <w:sz w:val="28"/>
          <w:szCs w:val="28"/>
        </w:rPr>
      </w:pPr>
      <w:r>
        <w:rPr>
          <w:rFonts w:hint="eastAsia"/>
          <w:b/>
          <w:bCs/>
          <w:sz w:val="28"/>
          <w:szCs w:val="28"/>
        </w:rPr>
        <w:br w:type="page" w:clear="all"/>
      </w:r>
      <w:r>
        <w:rPr>
          <w:b/>
          <w:bCs/>
          <w:sz w:val="28"/>
          <w:szCs w:val="28"/>
        </w:rPr>
      </w:r>
      <w:r/>
    </w:p>
    <w:p>
      <w:pPr>
        <w:pStyle w:val="947"/>
        <w:ind w:left="0"/>
        <w:jc w:val="center"/>
        <w:rPr>
          <w:b/>
          <w:bCs/>
          <w:sz w:val="28"/>
          <w:szCs w:val="28"/>
        </w:rPr>
      </w:pPr>
      <w:r>
        <w:rPr>
          <w:rFonts w:hint="eastAsia"/>
          <w:b/>
          <w:bCs/>
          <w:sz w:val="28"/>
          <w:szCs w:val="28"/>
        </w:rPr>
        <w:t xml:space="preserve">评分索引表</w:t>
      </w:r>
      <w:r>
        <w:rPr>
          <w:b/>
          <w:bCs/>
          <w:sz w:val="28"/>
          <w:szCs w:val="28"/>
        </w:rPr>
      </w:r>
      <w:r/>
    </w:p>
    <w:p>
      <w:pPr>
        <w:pStyle w:val="928"/>
        <w:jc w:val="center"/>
        <w:rPr>
          <w:b/>
          <w:bCs/>
          <w:sz w:val="24"/>
          <w:szCs w:val="24"/>
        </w:rPr>
      </w:pPr>
      <w:r>
        <w:rPr>
          <w:rFonts w:hint="eastAsia"/>
          <w:b/>
          <w:bCs/>
          <w:sz w:val="24"/>
          <w:szCs w:val="24"/>
        </w:rPr>
        <w:t xml:space="preserve">（具体详见第三章评审办法和成交原则）</w:t>
      </w:r>
      <w:r>
        <w:rPr>
          <w:b/>
          <w:bCs/>
          <w:sz w:val="24"/>
          <w:szCs w:val="24"/>
        </w:rPr>
      </w:r>
      <w:r/>
    </w:p>
    <w:tbl>
      <w:tblPr>
        <w:tblW w:w="8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5985"/>
        <w:gridCol w:w="1238"/>
      </w:tblGrid>
      <w:tr>
        <w:trPr>
          <w:trHeight w:val="703"/>
        </w:trPr>
        <w:tc>
          <w:tcPr>
            <w:tcW w:w="875"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5985"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928"/>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响应文件所在页码</w:t>
            </w:r>
            <w:r>
              <w:rPr>
                <w:rFonts w:hint="eastAsia" w:ascii="微软雅黑" w:hAnsi="微软雅黑" w:cs="微软雅黑"/>
                <w:b/>
                <w:bCs/>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875" w:type="dxa"/>
            <w:vAlign w:val="top"/>
            <w:textDirection w:val="lrTb"/>
            <w:noWrap w:val="false"/>
          </w:tcPr>
          <w:p>
            <w:pPr>
              <w:pStyle w:val="928"/>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5985"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928"/>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928"/>
        <w:spacing w:line="420" w:lineRule="exact"/>
        <w:rPr>
          <w:rFonts w:hint="eastAsia" w:ascii="微软雅黑" w:hAnsi="微软雅黑" w:cs="微软雅黑"/>
        </w:rPr>
      </w:pPr>
      <w:r>
        <w:rPr>
          <w:rFonts w:hint="eastAsia" w:ascii="微软雅黑" w:hAnsi="微软雅黑" w:cs="微软雅黑"/>
        </w:rPr>
      </w:r>
      <w:r/>
    </w:p>
    <w:p>
      <w:pPr>
        <w:pStyle w:val="928"/>
        <w:spacing w:line="420" w:lineRule="exact"/>
        <w:rPr>
          <w:rFonts w:hint="eastAsia" w:ascii="微软雅黑" w:hAnsi="微软雅黑" w:cs="微软雅黑"/>
        </w:rPr>
      </w:pPr>
      <w:r>
        <w:rPr>
          <w:rFonts w:hint="eastAsia" w:ascii="微软雅黑" w:hAnsi="微软雅黑" w:cs="微软雅黑"/>
        </w:rPr>
      </w:r>
      <w:r/>
    </w:p>
    <w:p>
      <w:pPr>
        <w:pStyle w:val="1143"/>
        <w:rPr>
          <w:rFonts w:hint="eastAsia" w:ascii="微软雅黑" w:hAnsi="微软雅黑" w:cs="微软雅黑"/>
          <w:szCs w:val="30"/>
        </w:rPr>
      </w:pPr>
      <w:r>
        <w:rPr>
          <w:rFonts w:hint="eastAsia" w:ascii="微软雅黑" w:hAnsi="微软雅黑" w:cs="微软雅黑"/>
        </w:rPr>
        <w:br w:type="page" w:clear="all"/>
      </w:r>
      <w:bookmarkStart w:id="236" w:name="_Toc24615"/>
      <w:r/>
      <w:bookmarkStart w:id="237" w:name="_Toc8737"/>
      <w:r>
        <w:rPr>
          <w:rFonts w:hint="eastAsia" w:ascii="微软雅黑" w:hAnsi="微软雅黑" w:cs="微软雅黑"/>
        </w:rPr>
        <w:t xml:space="preserve">一、响应函、响应报价及项目相关文件</w:t>
      </w:r>
      <w:bookmarkEnd w:id="236"/>
      <w:r/>
      <w:bookmarkEnd w:id="237"/>
      <w:r>
        <w:rPr>
          <w:rFonts w:hint="eastAsia" w:ascii="微软雅黑" w:hAnsi="微软雅黑" w:cs="微软雅黑"/>
          <w:szCs w:val="30"/>
        </w:rPr>
      </w:r>
      <w:r/>
    </w:p>
    <w:p>
      <w:pPr>
        <w:pStyle w:val="989"/>
        <w:rPr>
          <w:rFonts w:hint="eastAsia" w:ascii="微软雅黑" w:hAnsi="微软雅黑" w:cs="微软雅黑"/>
          <w:b/>
          <w:bCs w:val="0"/>
          <w:sz w:val="24"/>
          <w:szCs w:val="24"/>
        </w:rPr>
      </w:pPr>
      <w:r/>
      <w:bookmarkStart w:id="238" w:name="_Toc8176"/>
      <w:r/>
      <w:bookmarkStart w:id="239" w:name="_Toc18888"/>
      <w:r>
        <w:rPr>
          <w:rFonts w:hint="eastAsia" w:ascii="微软雅黑" w:hAnsi="微软雅黑" w:cs="微软雅黑"/>
          <w:b/>
          <w:bCs w:val="0"/>
          <w:sz w:val="24"/>
          <w:szCs w:val="24"/>
        </w:rPr>
        <w:t xml:space="preserve">1.响应函</w:t>
      </w:r>
      <w:bookmarkEnd w:id="238"/>
      <w:r/>
      <w:bookmarkEnd w:id="239"/>
      <w:r>
        <w:rPr>
          <w:rFonts w:hint="eastAsia" w:ascii="微软雅黑" w:hAnsi="微软雅黑" w:cs="微软雅黑"/>
          <w:b/>
          <w:bCs w:val="0"/>
          <w:sz w:val="24"/>
          <w:szCs w:val="24"/>
        </w:rPr>
      </w:r>
      <w:r/>
    </w:p>
    <w:p>
      <w:pPr>
        <w:pStyle w:val="928"/>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）采购文件（包括更正公告，如果有的话）收悉，我们经详细审阅和研究，现决定参加响应。</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1、我们郑重承诺：我们是符合采购文件中规定的供应商，并严格遵守采购文件中的规定，本响应文件中提供的所有材料均是真实有效的。</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响应文件的有效期为从开标之日起计算的九十天，在此期间，本响应文件将始终对我们具有约束力，并可随时被接受。如果我们成交，本响应文件在此期间之后将继续保持有效。</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5、我们理解，你们无义务必须接受响应报价最低的响应，并有权拒绝所有的响应。同时也理解你们不承担我们本次响应的费用。</w:t>
      </w:r>
      <w:r>
        <w:rPr>
          <w:rFonts w:hint="eastAsia" w:ascii="微软雅黑" w:hAnsi="微软雅黑" w:cs="微软雅黑"/>
        </w:rPr>
      </w:r>
      <w:r/>
    </w:p>
    <w:p>
      <w:pPr>
        <w:pStyle w:val="928"/>
        <w:ind w:firstLine="420"/>
        <w:spacing w:line="440" w:lineRule="exact"/>
        <w:rPr>
          <w:rFonts w:hint="eastAsia" w:ascii="微软雅黑" w:hAnsi="微软雅黑" w:cs="微软雅黑"/>
        </w:rPr>
      </w:pPr>
      <w:r>
        <w:rPr>
          <w:rFonts w:hint="eastAsia" w:ascii="微软雅黑" w:hAnsi="微软雅黑" w:cs="微软雅黑"/>
        </w:rPr>
        <w:t xml:space="preserve">6、如果我们成交，为执行合同，我们将按供应商须知有关要求提供必要的履约保证。</w:t>
      </w:r>
      <w:r>
        <w:rPr>
          <w:rFonts w:hint="eastAsia" w:ascii="微软雅黑" w:hAnsi="微软雅黑" w:cs="微软雅黑"/>
        </w:rPr>
      </w:r>
      <w:r/>
    </w:p>
    <w:p>
      <w:pPr>
        <w:pStyle w:val="947"/>
        <w:ind w:left="1260"/>
        <w:rPr>
          <w:rFonts w:hint="eastAsia" w:ascii="微软雅黑" w:hAnsi="微软雅黑" w:cs="微软雅黑"/>
        </w:rPr>
      </w:pPr>
      <w:r>
        <w:rPr>
          <w:rFonts w:hint="eastAsia" w:ascii="微软雅黑" w:hAnsi="微软雅黑" w:cs="微软雅黑"/>
        </w:rPr>
      </w:r>
      <w:r/>
    </w:p>
    <w:p>
      <w:pPr>
        <w:pStyle w:val="928"/>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电话：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989"/>
        <w:rPr>
          <w:rFonts w:hint="eastAsia" w:ascii="微软雅黑" w:hAnsi="微软雅黑" w:cs="微软雅黑"/>
          <w:b/>
          <w:bCs w:val="0"/>
          <w:sz w:val="24"/>
          <w:szCs w:val="24"/>
        </w:rPr>
      </w:pPr>
      <w:r/>
      <w:bookmarkStart w:id="240" w:name="_Toc28250"/>
      <w:r/>
      <w:bookmarkStart w:id="241" w:name="_Toc2673"/>
      <w:r>
        <w:rPr>
          <w:rFonts w:hint="eastAsia" w:ascii="微软雅黑" w:hAnsi="微软雅黑" w:cs="微软雅黑"/>
          <w:b/>
          <w:bCs w:val="0"/>
          <w:sz w:val="24"/>
          <w:szCs w:val="24"/>
        </w:rPr>
        <w:t xml:space="preserve">2.报价一览表</w:t>
      </w:r>
      <w:bookmarkEnd w:id="240"/>
      <w:r/>
      <w:bookmarkEnd w:id="241"/>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95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898"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cantSplit/>
          <w:trHeight w:val="891"/>
        </w:trPr>
        <w:tc>
          <w:tcPr>
            <w:tcW w:w="66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95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898"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cantSplit/>
          <w:trHeight w:val="1087"/>
        </w:trPr>
        <w:tc>
          <w:tcPr>
            <w:tcW w:w="66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95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响应报价总计</w:t>
            </w:r>
            <w:r>
              <w:rPr>
                <w:rFonts w:hint="eastAsia" w:ascii="微软雅黑" w:hAnsi="微软雅黑" w:cs="微软雅黑"/>
              </w:rPr>
            </w:r>
            <w:r/>
          </w:p>
        </w:tc>
        <w:tc>
          <w:tcPr>
            <w:tcW w:w="5898"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rPr>
                <w:rFonts w:hint="eastAsia" w:ascii="微软雅黑" w:hAnsi="微软雅黑" w:cs="微软雅黑"/>
              </w:rPr>
            </w:r>
            <w:r/>
          </w:p>
          <w:p>
            <w:pPr>
              <w:pStyle w:val="947"/>
              <w:ind w:left="0"/>
              <w:rPr>
                <w:rFonts w:hint="eastAsia"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rPr>
                <w:rFonts w:hint="eastAsia" w:ascii="微软雅黑" w:hAnsi="微软雅黑" w:cs="微软雅黑"/>
              </w:rPr>
            </w:r>
            <w:r/>
          </w:p>
        </w:tc>
      </w:tr>
    </w:tbl>
    <w:p>
      <w:pPr>
        <w:pStyle w:val="928"/>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928"/>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47"/>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928"/>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28"/>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928"/>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（1）响应报价应包括采购文件所规定的磋商范围的全部内容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928"/>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（2）供应商不得实质性改动报价一览表格式及内容。</w:t>
      </w:r>
      <w:r>
        <w:rPr>
          <w:rFonts w:hint="eastAsia" w:ascii="微软雅黑" w:hAnsi="微软雅黑" w:cs="微软雅黑"/>
          <w:sz w:val="18"/>
          <w:szCs w:val="18"/>
        </w:rPr>
      </w:r>
      <w:r/>
    </w:p>
    <w:p>
      <w:pPr>
        <w:pStyle w:val="928"/>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2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47"/>
        <w:ind w:left="1260"/>
        <w:rPr>
          <w:rFonts w:hint="eastAsia" w:ascii="微软雅黑" w:hAnsi="微软雅黑" w:cs="微软雅黑"/>
          <w:sz w:val="18"/>
          <w:szCs w:val="18"/>
        </w:rPr>
      </w:pPr>
      <w:r>
        <w:rPr>
          <w:rFonts w:hint="eastAsia" w:ascii="微软雅黑" w:hAnsi="微软雅黑" w:cs="微软雅黑"/>
          <w:sz w:val="18"/>
          <w:szCs w:val="18"/>
        </w:rPr>
      </w:r>
      <w:r/>
    </w:p>
    <w:p>
      <w:pPr>
        <w:pStyle w:val="928"/>
        <w:rPr>
          <w:rFonts w:hint="eastAsia" w:ascii="微软雅黑" w:hAnsi="微软雅黑" w:cs="微软雅黑"/>
          <w:sz w:val="18"/>
          <w:szCs w:val="18"/>
        </w:rPr>
      </w:pPr>
      <w:r>
        <w:rPr>
          <w:rFonts w:hint="eastAsia" w:ascii="微软雅黑" w:hAnsi="微软雅黑" w:cs="微软雅黑"/>
          <w:sz w:val="18"/>
          <w:szCs w:val="18"/>
        </w:rPr>
      </w:r>
      <w:r/>
    </w:p>
    <w:p>
      <w:pPr>
        <w:pStyle w:val="947"/>
        <w:ind w:left="1260"/>
        <w:rPr>
          <w:rFonts w:hint="eastAsia" w:ascii="微软雅黑" w:hAnsi="微软雅黑" w:cs="微软雅黑"/>
          <w:sz w:val="18"/>
          <w:szCs w:val="18"/>
        </w:rPr>
      </w:pPr>
      <w:r>
        <w:rPr>
          <w:rFonts w:hint="eastAsia" w:ascii="微软雅黑" w:hAnsi="微软雅黑" w:cs="微软雅黑"/>
          <w:sz w:val="18"/>
          <w:szCs w:val="18"/>
        </w:rPr>
      </w:r>
      <w:r/>
    </w:p>
    <w:p>
      <w:pPr>
        <w:pStyle w:val="928"/>
        <w:rPr>
          <w:rFonts w:hint="eastAsia" w:ascii="微软雅黑" w:hAnsi="微软雅黑" w:cs="微软雅黑"/>
        </w:rPr>
      </w:pPr>
      <w:r>
        <w:rPr>
          <w:rFonts w:hint="eastAsia" w:ascii="微软雅黑" w:hAnsi="微软雅黑" w:cs="微软雅黑"/>
        </w:rPr>
      </w:r>
      <w:r/>
    </w:p>
    <w:p>
      <w:pPr>
        <w:pStyle w:val="928"/>
        <w:rPr>
          <w:rFonts w:hint="eastAsia" w:ascii="微软雅黑" w:hAnsi="微软雅黑" w:cs="微软雅黑"/>
          <w:sz w:val="18"/>
          <w:szCs w:val="18"/>
        </w:rPr>
      </w:pPr>
      <w:r>
        <w:rPr>
          <w:rFonts w:hint="eastAsia" w:ascii="微软雅黑" w:hAnsi="微软雅黑" w:cs="微软雅黑"/>
          <w:sz w:val="18"/>
          <w:szCs w:val="18"/>
        </w:rPr>
      </w:r>
      <w:r/>
    </w:p>
    <w:p>
      <w:pPr>
        <w:pStyle w:val="947"/>
        <w:ind w:left="1260"/>
        <w:rPr>
          <w:rFonts w:hint="eastAsia" w:ascii="微软雅黑" w:hAnsi="微软雅黑" w:cs="微软雅黑"/>
        </w:rPr>
      </w:pPr>
      <w:r>
        <w:rPr>
          <w:rFonts w:hint="eastAsia" w:ascii="微软雅黑" w:hAnsi="微软雅黑" w:cs="微软雅黑"/>
        </w:rPr>
      </w:r>
      <w:r/>
    </w:p>
    <w:p>
      <w:pPr>
        <w:pStyle w:val="947"/>
        <w:ind w:left="1260"/>
        <w:rPr>
          <w:rFonts w:hint="eastAsia" w:ascii="微软雅黑" w:hAnsi="微软雅黑" w:cs="微软雅黑"/>
          <w:sz w:val="18"/>
          <w:szCs w:val="18"/>
        </w:rPr>
      </w:pPr>
      <w:r>
        <w:rPr>
          <w:rFonts w:hint="eastAsia" w:ascii="微软雅黑" w:hAnsi="微软雅黑" w:cs="微软雅黑"/>
          <w:sz w:val="18"/>
          <w:szCs w:val="18"/>
        </w:rPr>
      </w:r>
      <w:r/>
    </w:p>
    <w:p>
      <w:pPr>
        <w:pStyle w:val="928"/>
        <w:rPr>
          <w:rFonts w:hint="eastAsia" w:ascii="微软雅黑" w:hAnsi="微软雅黑" w:cs="微软雅黑"/>
          <w:b/>
          <w:sz w:val="24"/>
          <w:szCs w:val="24"/>
        </w:rPr>
      </w:pPr>
      <w:r/>
      <w:bookmarkStart w:id="242" w:name="_Toc17085"/>
      <w:r/>
      <w:bookmarkStart w:id="243" w:name="_Toc403725575"/>
      <w:r>
        <w:rPr>
          <w:rFonts w:hint="eastAsia" w:ascii="微软雅黑" w:hAnsi="微软雅黑" w:cs="微软雅黑"/>
          <w:b/>
          <w:sz w:val="24"/>
          <w:szCs w:val="24"/>
        </w:rPr>
      </w:r>
      <w:r/>
    </w:p>
    <w:p>
      <w:pPr>
        <w:pStyle w:val="989"/>
        <w:spacing w:before="0" w:after="0"/>
      </w:pPr>
      <w:r>
        <w:rPr>
          <w:rFonts w:hint="eastAsia" w:ascii="微软雅黑" w:hAnsi="微软雅黑" w:cs="微软雅黑"/>
          <w:b/>
          <w:bCs w:val="0"/>
          <w:sz w:val="24"/>
          <w:szCs w:val="24"/>
        </w:rPr>
        <w:br w:type="page" w:clear="all"/>
      </w:r>
      <w:bookmarkStart w:id="244" w:name="_Toc9927"/>
      <w:r>
        <w:rPr>
          <w:rFonts w:hint="eastAsia" w:ascii="微软雅黑" w:hAnsi="微软雅黑" w:cs="微软雅黑"/>
          <w:b/>
          <w:bCs w:val="0"/>
          <w:sz w:val="24"/>
          <w:szCs w:val="24"/>
        </w:rPr>
        <w:t xml:space="preserve">3.</w:t>
      </w:r>
      <w:bookmarkEnd w:id="242"/>
      <w:r/>
      <w:bookmarkEnd w:id="243"/>
      <w:r/>
      <w:bookmarkStart w:id="245" w:name="_Toc30601"/>
      <w:r>
        <w:rPr>
          <w:rFonts w:hint="eastAsia"/>
        </w:rPr>
        <w:t xml:space="preserve">响应报价明细表</w:t>
      </w:r>
      <w:bookmarkEnd w:id="244"/>
      <w:r/>
      <w:bookmarkEnd w:id="245"/>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02"/>
        <w:gridCol w:w="1341"/>
        <w:gridCol w:w="1540"/>
        <w:gridCol w:w="1370"/>
        <w:gridCol w:w="1750"/>
      </w:tblGrid>
      <w:tr>
        <w:trPr>
          <w:cantSplit/>
          <w:trHeight w:val="454" w:hRule="exact"/>
        </w:trPr>
        <w:tc>
          <w:tcPr>
            <w:tcW w:w="719"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序号</w:t>
            </w:r>
            <w:r>
              <w:rPr>
                <w:rFonts w:hint="eastAsia" w:ascii="微软雅黑" w:hAnsi="微软雅黑" w:cs="微软雅黑"/>
                <w:szCs w:val="24"/>
              </w:rPr>
            </w:r>
            <w:r/>
          </w:p>
        </w:tc>
        <w:tc>
          <w:tcPr>
            <w:tcW w:w="1802"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报价项目</w:t>
            </w:r>
            <w:r>
              <w:rPr>
                <w:rFonts w:hint="eastAsia" w:ascii="微软雅黑" w:hAnsi="微软雅黑" w:cs="微软雅黑"/>
                <w:szCs w:val="24"/>
              </w:rPr>
            </w:r>
            <w:r/>
          </w:p>
        </w:tc>
        <w:tc>
          <w:tcPr>
            <w:tcW w:w="1341"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数量</w:t>
            </w:r>
            <w:r>
              <w:rPr>
                <w:rFonts w:hint="eastAsia" w:ascii="微软雅黑" w:hAnsi="微软雅黑" w:cs="微软雅黑"/>
                <w:szCs w:val="24"/>
              </w:rPr>
            </w:r>
            <w:r/>
          </w:p>
        </w:tc>
        <w:tc>
          <w:tcPr>
            <w:tcW w:w="1540"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单价</w:t>
            </w:r>
            <w:r>
              <w:rPr>
                <w:rFonts w:hint="eastAsia" w:ascii="微软雅黑" w:hAnsi="微软雅黑" w:cs="微软雅黑"/>
                <w:szCs w:val="24"/>
              </w:rPr>
            </w:r>
            <w:r/>
          </w:p>
        </w:tc>
        <w:tc>
          <w:tcPr>
            <w:tcW w:w="1370"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分项小计（元）</w:t>
            </w:r>
            <w:r>
              <w:rPr>
                <w:rFonts w:hint="eastAsia" w:ascii="微软雅黑" w:hAnsi="微软雅黑" w:cs="微软雅黑"/>
                <w:szCs w:val="24"/>
              </w:rPr>
            </w:r>
            <w:r/>
          </w:p>
        </w:tc>
        <w:tc>
          <w:tcPr>
            <w:tcW w:w="1750"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备注</w:t>
            </w:r>
            <w:r>
              <w:rPr>
                <w:rFonts w:hint="eastAsia" w:ascii="微软雅黑" w:hAnsi="微软雅黑" w:cs="微软雅黑"/>
                <w:szCs w:val="24"/>
              </w:rPr>
            </w:r>
            <w:r/>
          </w:p>
        </w:tc>
      </w:tr>
      <w:tr>
        <w:trPr>
          <w:cantSplit/>
          <w:trHeight w:val="1284" w:hRule="exact"/>
        </w:trPr>
        <w:tc>
          <w:tcPr>
            <w:tcW w:w="719"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4"/>
              </w:rPr>
              <w:t xml:space="preserve">1</w:t>
            </w:r>
            <w:r>
              <w:rPr>
                <w:rFonts w:hint="eastAsia" w:ascii="微软雅黑" w:hAnsi="微软雅黑" w:cs="微软雅黑"/>
                <w:szCs w:val="24"/>
              </w:rPr>
            </w:r>
            <w:r/>
          </w:p>
        </w:tc>
        <w:tc>
          <w:tcPr>
            <w:tcW w:w="1802"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1"/>
              </w:rPr>
              <w:t xml:space="preserve">无纸化外包服务</w:t>
            </w:r>
            <w:r>
              <w:rPr>
                <w:rFonts w:hint="eastAsia" w:ascii="微软雅黑" w:hAnsi="微软雅黑" w:cs="微软雅黑"/>
                <w:szCs w:val="24"/>
              </w:rPr>
            </w:r>
            <w:r/>
          </w:p>
        </w:tc>
        <w:tc>
          <w:tcPr>
            <w:tcW w:w="1341"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ascii="微软雅黑" w:hAnsi="微软雅黑" w:cs="微软雅黑"/>
                <w:szCs w:val="21"/>
              </w:rPr>
              <w:t xml:space="preserve">27000件</w:t>
            </w:r>
            <w:r>
              <w:rPr>
                <w:rFonts w:hint="eastAsia" w:ascii="微软雅黑" w:hAnsi="微软雅黑" w:cs="微软雅黑"/>
                <w:szCs w:val="24"/>
              </w:rPr>
            </w:r>
            <w:r/>
          </w:p>
        </w:tc>
        <w:tc>
          <w:tcPr>
            <w:tcW w:w="1540" w:type="dxa"/>
            <w:vAlign w:val="center"/>
            <w:textDirection w:val="lrTb"/>
            <w:noWrap w:val="false"/>
          </w:tcPr>
          <w:p>
            <w:pPr>
              <w:pStyle w:val="928"/>
              <w:spacing w:line="400" w:lineRule="exact"/>
              <w:rPr>
                <w:rFonts w:hint="eastAsia" w:ascii="微软雅黑" w:hAnsi="微软雅黑" w:cs="微软雅黑"/>
                <w:szCs w:val="24"/>
              </w:rPr>
            </w:pPr>
            <w:r>
              <w:rPr>
                <w:rFonts w:hint="eastAsia" w:ascii="微软雅黑" w:hAnsi="微软雅黑" w:cs="微软雅黑"/>
                <w:szCs w:val="24"/>
              </w:rPr>
            </w:r>
            <w:r/>
          </w:p>
        </w:tc>
        <w:tc>
          <w:tcPr>
            <w:tcW w:w="1370" w:type="dxa"/>
            <w:vAlign w:val="center"/>
            <w:textDirection w:val="lrTb"/>
            <w:noWrap w:val="false"/>
          </w:tcPr>
          <w:p>
            <w:pPr>
              <w:pStyle w:val="928"/>
              <w:spacing w:line="400" w:lineRule="exact"/>
              <w:rPr>
                <w:rFonts w:hint="eastAsia" w:ascii="微软雅黑" w:hAnsi="微软雅黑" w:cs="微软雅黑"/>
                <w:szCs w:val="24"/>
              </w:rPr>
            </w:pPr>
            <w:r>
              <w:rPr>
                <w:rFonts w:hint="eastAsia" w:ascii="微软雅黑" w:hAnsi="微软雅黑" w:cs="微软雅黑"/>
                <w:szCs w:val="24"/>
              </w:rPr>
            </w:r>
            <w:r/>
          </w:p>
        </w:tc>
        <w:tc>
          <w:tcPr>
            <w:tcW w:w="1750" w:type="dxa"/>
            <w:vAlign w:val="center"/>
            <w:textDirection w:val="lrTb"/>
            <w:noWrap w:val="false"/>
          </w:tcPr>
          <w:p>
            <w:pPr>
              <w:pStyle w:val="928"/>
              <w:spacing w:line="400" w:lineRule="exact"/>
              <w:rPr>
                <w:rFonts w:hint="eastAsia" w:ascii="微软雅黑" w:hAnsi="微软雅黑" w:cs="微软雅黑"/>
                <w:szCs w:val="24"/>
              </w:rPr>
            </w:pPr>
            <w:r>
              <w:rPr>
                <w:rFonts w:hint="eastAsia" w:ascii="微软雅黑" w:hAnsi="微软雅黑" w:cs="微软雅黑"/>
                <w:szCs w:val="24"/>
              </w:rPr>
            </w:r>
            <w:r/>
          </w:p>
        </w:tc>
      </w:tr>
      <w:tr>
        <w:trPr>
          <w:cantSplit/>
          <w:trHeight w:val="894" w:hRule="exact"/>
        </w:trPr>
        <w:tc>
          <w:tcPr>
            <w:gridSpan w:val="3"/>
            <w:tcW w:w="3862" w:type="dxa"/>
            <w:vAlign w:val="center"/>
            <w:textDirection w:val="lrTb"/>
            <w:noWrap w:val="false"/>
          </w:tcPr>
          <w:p>
            <w:pPr>
              <w:pStyle w:val="928"/>
              <w:jc w:val="center"/>
              <w:spacing w:line="400" w:lineRule="exact"/>
              <w:rPr>
                <w:rFonts w:hint="eastAsia" w:ascii="微软雅黑" w:hAnsi="微软雅黑" w:cs="微软雅黑"/>
                <w:szCs w:val="24"/>
              </w:rPr>
            </w:pPr>
            <w:r>
              <w:rPr>
                <w:rFonts w:hint="eastAsia"/>
              </w:rPr>
              <w:t xml:space="preserve">响应报价总计</w:t>
            </w:r>
            <w:r>
              <w:rPr>
                <w:rFonts w:hint="eastAsia" w:ascii="微软雅黑" w:hAnsi="微软雅黑" w:cs="微软雅黑"/>
                <w:szCs w:val="24"/>
              </w:rPr>
            </w:r>
            <w:r/>
          </w:p>
        </w:tc>
        <w:tc>
          <w:tcPr>
            <w:gridSpan w:val="3"/>
            <w:tcW w:w="4660" w:type="dxa"/>
            <w:vAlign w:val="center"/>
            <w:textDirection w:val="lrTb"/>
            <w:noWrap w:val="false"/>
          </w:tcPr>
          <w:p>
            <w:pPr>
              <w:pStyle w:val="928"/>
              <w:spacing w:line="400" w:lineRule="exact"/>
              <w:rPr>
                <w:rFonts w:hint="eastAsia" w:ascii="微软雅黑" w:hAnsi="微软雅黑" w:cs="微软雅黑"/>
                <w:szCs w:val="24"/>
              </w:rPr>
            </w:pPr>
            <w:r>
              <w:rPr>
                <w:rFonts w:hint="eastAsia" w:ascii="微软雅黑" w:hAnsi="微软雅黑" w:cs="微软雅黑"/>
                <w:szCs w:val="24"/>
              </w:rPr>
              <w:t xml:space="preserve">人民币 （大写）</w:t>
            </w:r>
            <w:r>
              <w:rPr>
                <w:rFonts w:hint="eastAsia" w:ascii="微软雅黑" w:hAnsi="微软雅黑" w:cs="微软雅黑"/>
                <w:szCs w:val="24"/>
                <w:u w:val="single"/>
              </w:rPr>
              <w:t xml:space="preserve">       </w:t>
            </w:r>
            <w:r>
              <w:rPr>
                <w:rFonts w:hint="eastAsia" w:ascii="微软雅黑" w:hAnsi="微软雅黑" w:cs="微软雅黑"/>
                <w:szCs w:val="24"/>
              </w:rPr>
              <w:t xml:space="preserve">元整  </w:t>
            </w:r>
            <w:r>
              <w:rPr>
                <w:rFonts w:hint="eastAsia" w:ascii="微软雅黑" w:hAnsi="微软雅黑" w:cs="微软雅黑"/>
                <w:szCs w:val="24"/>
              </w:rPr>
            </w:r>
            <w:r/>
          </w:p>
          <w:p>
            <w:pPr>
              <w:pStyle w:val="928"/>
              <w:ind w:firstLine="840"/>
              <w:spacing w:line="400" w:lineRule="exact"/>
              <w:rPr>
                <w:rFonts w:hint="eastAsia" w:ascii="微软雅黑" w:hAnsi="微软雅黑" w:cs="微软雅黑"/>
                <w:szCs w:val="24"/>
              </w:rPr>
            </w:pPr>
            <w:r>
              <w:rPr>
                <w:rFonts w:hint="eastAsia" w:ascii="微软雅黑" w:hAnsi="微软雅黑" w:cs="微软雅黑"/>
                <w:szCs w:val="24"/>
              </w:rPr>
              <w:t xml:space="preserve">（小写）￥：</w:t>
            </w:r>
            <w:r>
              <w:rPr>
                <w:rFonts w:hint="eastAsia" w:ascii="微软雅黑" w:hAnsi="微软雅黑" w:cs="微软雅黑"/>
                <w:szCs w:val="24"/>
                <w:u w:val="single"/>
              </w:rPr>
              <w:t xml:space="preserve">      </w:t>
            </w:r>
            <w:r>
              <w:rPr>
                <w:rFonts w:hint="eastAsia" w:ascii="微软雅黑" w:hAnsi="微软雅黑" w:cs="微软雅黑"/>
                <w:szCs w:val="24"/>
              </w:rPr>
              <w:t xml:space="preserve"> </w:t>
            </w:r>
            <w:r>
              <w:rPr>
                <w:rFonts w:hint="eastAsia" w:ascii="微软雅黑" w:hAnsi="微软雅黑" w:cs="微软雅黑"/>
                <w:szCs w:val="24"/>
              </w:rPr>
            </w:r>
            <w:r/>
          </w:p>
        </w:tc>
      </w:tr>
    </w:tbl>
    <w:p>
      <w:pPr>
        <w:pStyle w:val="928"/>
        <w:spacing w:line="440" w:lineRule="exact"/>
        <w:rPr>
          <w:rFonts w:hint="eastAsia" w:ascii="微软雅黑" w:hAnsi="微软雅黑" w:cs="微软雅黑"/>
          <w:szCs w:val="21"/>
        </w:rPr>
      </w:pPr>
      <w:r>
        <w:rPr>
          <w:rFonts w:hint="eastAsia" w:ascii="微软雅黑" w:hAnsi="微软雅黑" w:cs="微软雅黑"/>
          <w:szCs w:val="21"/>
        </w:rPr>
      </w:r>
      <w:r/>
    </w:p>
    <w:p>
      <w:pPr>
        <w:pStyle w:val="928"/>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47"/>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928"/>
        <w:rPr>
          <w:rFonts w:hint="eastAsia" w:ascii="微软雅黑" w:hAnsi="微软雅黑" w:cs="微软雅黑"/>
          <w:sz w:val="18"/>
          <w:szCs w:val="18"/>
          <w:lang w:bidi="ar"/>
        </w:rPr>
      </w:pPr>
      <w:r>
        <w:rPr>
          <w:rFonts w:hint="eastAsia"/>
        </w:rPr>
        <w:t xml:space="preserve">  </w:t>
      </w:r>
      <w:r>
        <w:rPr>
          <w:rFonts w:hint="eastAsia" w:ascii="微软雅黑" w:hAnsi="微软雅黑" w:cs="微软雅黑"/>
          <w:sz w:val="18"/>
          <w:szCs w:val="18"/>
          <w:lang w:bidi="ar"/>
        </w:rPr>
      </w:r>
      <w:r/>
    </w:p>
    <w:p>
      <w:pPr>
        <w:pStyle w:val="928"/>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947"/>
        <w:ind w:left="1260"/>
      </w:pPr>
      <w:r/>
      <w:r/>
    </w:p>
    <w:p>
      <w:pPr>
        <w:pStyle w:val="928"/>
        <w:jc w:val="left"/>
        <w:spacing w:line="280" w:lineRule="exact"/>
        <w:tabs>
          <w:tab w:val="left" w:pos="220" w:leader="none"/>
        </w:tabs>
        <w:rPr>
          <w:rFonts w:hint="eastAsia" w:ascii="微软雅黑" w:hAnsi="微软雅黑" w:cs="微软雅黑"/>
          <w:b/>
          <w:bCs/>
          <w:sz w:val="18"/>
          <w:szCs w:val="18"/>
        </w:rPr>
      </w:pPr>
      <w:r>
        <w:rPr>
          <w:rFonts w:hint="eastAsia" w:ascii="微软雅黑" w:hAnsi="微软雅黑" w:cs="微软雅黑"/>
          <w:b/>
          <w:bCs/>
          <w:sz w:val="18"/>
          <w:szCs w:val="18"/>
        </w:rPr>
        <w:t xml:space="preserve">注：</w:t>
      </w:r>
      <w:r>
        <w:rPr>
          <w:rFonts w:hint="eastAsia" w:ascii="微软雅黑" w:hAnsi="微软雅黑" w:cs="微软雅黑"/>
          <w:b/>
          <w:bCs/>
          <w:sz w:val="18"/>
          <w:szCs w:val="18"/>
        </w:rPr>
      </w:r>
      <w:r/>
    </w:p>
    <w:p>
      <w:pPr>
        <w:pStyle w:val="928"/>
        <w:numPr>
          <w:ilvl w:val="0"/>
          <w:numId w:val="15"/>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928"/>
        <w:numPr>
          <w:ilvl w:val="0"/>
          <w:numId w:val="15"/>
        </w:numPr>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rPr>
          <w:rFonts w:hint="eastAsia" w:ascii="微软雅黑" w:hAnsi="微软雅黑" w:cs="微软雅黑"/>
          <w:sz w:val="18"/>
          <w:szCs w:val="18"/>
        </w:rPr>
      </w:r>
      <w:r/>
    </w:p>
    <w:p>
      <w:pPr>
        <w:pStyle w:val="928"/>
        <w:numPr>
          <w:ilvl w:val="0"/>
          <w:numId w:val="15"/>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上表中的“响应报价总计”应当等于“开标一览表”中“响应报价总计”数。</w:t>
      </w:r>
      <w:r>
        <w:rPr>
          <w:rFonts w:hint="eastAsia" w:ascii="微软雅黑" w:hAnsi="微软雅黑" w:cs="微软雅黑"/>
          <w:sz w:val="18"/>
          <w:szCs w:val="18"/>
        </w:rPr>
      </w:r>
      <w:r/>
    </w:p>
    <w:p>
      <w:pPr>
        <w:pStyle w:val="928"/>
        <w:numPr>
          <w:ilvl w:val="0"/>
          <w:numId w:val="15"/>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响应价应包括但不限于完成该项目所有的费用，每一单项均应计算并填写单价和总价和其相应的单价分项表，并由法定代表人或授权委托代理人签署。</w:t>
      </w:r>
      <w:r>
        <w:rPr>
          <w:rFonts w:hint="eastAsia" w:ascii="微软雅黑" w:hAnsi="微软雅黑" w:cs="微软雅黑"/>
          <w:sz w:val="18"/>
          <w:szCs w:val="18"/>
        </w:rPr>
      </w:r>
      <w:r/>
    </w:p>
    <w:p>
      <w:pPr>
        <w:pStyle w:val="928"/>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pStyle w:val="947"/>
        <w:ind w:left="1260"/>
        <w:rPr>
          <w:rFonts w:hint="eastAsia" w:ascii="微软雅黑" w:hAnsi="微软雅黑" w:cs="微软雅黑"/>
        </w:rPr>
      </w:pPr>
      <w:r>
        <w:rPr>
          <w:rFonts w:hint="eastAsia" w:ascii="微软雅黑" w:hAnsi="微软雅黑" w:cs="微软雅黑"/>
        </w:rPr>
      </w:r>
      <w:r/>
    </w:p>
    <w:p>
      <w:pPr>
        <w:pStyle w:val="989"/>
        <w:spacing w:line="420" w:lineRule="exact"/>
        <w:rPr>
          <w:rFonts w:hint="eastAsia" w:ascii="微软雅黑" w:hAnsi="微软雅黑" w:cs="微软雅黑"/>
          <w:szCs w:val="28"/>
        </w:rPr>
        <w:sectPr>
          <w:headerReference w:type="default" r:id="rId13"/>
          <w:footerReference w:type="default" r:id="rId18"/>
          <w:footnotePr/>
          <w:endnotePr/>
          <w:type w:val="nextPage"/>
          <w:pgSz w:w="11906" w:h="16838" w:orient="portrait"/>
          <w:pgMar w:top="1440" w:right="1797" w:bottom="1440" w:left="1797" w:header="850" w:footer="992" w:gutter="0"/>
          <w:cols w:num="1" w:sep="0" w:space="1701" w:equalWidth="1"/>
          <w:docGrid w:linePitch="360"/>
        </w:sectPr>
      </w:pPr>
      <w:r/>
      <w:bookmarkStart w:id="246" w:name="_Toc365968480"/>
      <w:r/>
      <w:bookmarkEnd w:id="246"/>
      <w:r>
        <w:rPr>
          <w:rFonts w:hint="eastAsia" w:ascii="微软雅黑" w:hAnsi="微软雅黑" w:cs="微软雅黑"/>
          <w:szCs w:val="28"/>
        </w:rPr>
      </w:r>
      <w:r/>
    </w:p>
    <w:p>
      <w:pPr>
        <w:pStyle w:val="989"/>
        <w:spacing w:line="240" w:lineRule="auto"/>
        <w:rPr>
          <w:rFonts w:hint="eastAsia" w:ascii="微软雅黑" w:hAnsi="微软雅黑" w:cs="微软雅黑"/>
          <w:b/>
          <w:bCs w:val="0"/>
          <w:sz w:val="24"/>
          <w:szCs w:val="24"/>
        </w:rPr>
      </w:pPr>
      <w:r/>
      <w:bookmarkStart w:id="247" w:name="_Toc10652"/>
      <w:r/>
      <w:bookmarkStart w:id="248" w:name="_Toc3044"/>
      <w:r/>
      <w:bookmarkStart w:id="249" w:name="_Toc26434"/>
      <w:r/>
      <w:bookmarkStart w:id="250" w:name="_Toc3562"/>
      <w:r/>
      <w:bookmarkStart w:id="251" w:name="_Toc493455961"/>
      <w:r/>
      <w:bookmarkStart w:id="252" w:name="_Toc365968482"/>
      <w:r>
        <w:rPr>
          <w:rFonts w:hint="eastAsia" w:ascii="微软雅黑" w:hAnsi="微软雅黑" w:cs="微软雅黑"/>
          <w:b/>
          <w:bCs w:val="0"/>
          <w:sz w:val="24"/>
          <w:szCs w:val="24"/>
        </w:rPr>
        <w:t xml:space="preserve">4.服务要求响应表</w:t>
      </w:r>
      <w:bookmarkEnd w:id="247"/>
      <w:r/>
      <w:bookmarkEnd w:id="248"/>
      <w:r/>
      <w:bookmarkEnd w:id="249"/>
      <w:r>
        <w:rPr>
          <w:rFonts w:hint="eastAsia" w:ascii="微软雅黑" w:hAnsi="微软雅黑" w:cs="微软雅黑"/>
          <w:b/>
          <w:bCs w:val="0"/>
          <w:sz w:val="24"/>
          <w:szCs w:val="24"/>
        </w:rPr>
      </w:r>
      <w:r/>
    </w:p>
    <w:p>
      <w:pPr>
        <w:pStyle w:val="928"/>
        <w:spacing w:line="420" w:lineRule="exact"/>
        <w:rPr>
          <w:rFonts w:hint="eastAsia" w:ascii="微软雅黑" w:hAnsi="微软雅黑" w:cs="微软雅黑"/>
        </w:rPr>
      </w:pPr>
      <w:r>
        <w:rPr>
          <w:rFonts w:hint="eastAsia" w:ascii="微软雅黑" w:hAnsi="微软雅黑" w:cs="微软雅黑"/>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2253"/>
        <w:gridCol w:w="2253"/>
        <w:gridCol w:w="1890"/>
        <w:gridCol w:w="1523"/>
      </w:tblGrid>
      <w:tr>
        <w:trPr>
          <w:trHeight w:val="794"/>
          <w:tblHeader/>
        </w:trPr>
        <w:tc>
          <w:tcPr>
            <w:tcW w:w="609"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序号</w:t>
            </w: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原服务规范主要条款描述</w:t>
            </w: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响应供应商服务规范描述</w:t>
            </w:r>
            <w:r>
              <w:rPr>
                <w:rFonts w:hint="eastAsia" w:ascii="微软雅黑" w:hAnsi="微软雅黑" w:cs="微软雅黑"/>
              </w:rPr>
            </w:r>
            <w:r/>
          </w:p>
        </w:tc>
        <w:tc>
          <w:tcPr>
            <w:tcW w:w="1890"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偏离情况（+/-/=）</w:t>
            </w:r>
            <w:r>
              <w:rPr>
                <w:rFonts w:hint="eastAsia" w:ascii="微软雅黑" w:hAnsi="微软雅黑" w:cs="微软雅黑"/>
              </w:rPr>
            </w:r>
            <w:r/>
          </w:p>
        </w:tc>
        <w:tc>
          <w:tcPr>
            <w:tcW w:w="152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证明材料所在页</w:t>
            </w:r>
            <w:r>
              <w:rPr>
                <w:rFonts w:hint="eastAsia" w:ascii="微软雅黑" w:hAnsi="微软雅黑" w:cs="微软雅黑"/>
              </w:rPr>
            </w:r>
            <w:r/>
          </w:p>
        </w:tc>
      </w:tr>
      <w:tr>
        <w:trPr>
          <w:trHeight w:val="507"/>
          <w:tblHeader/>
        </w:trPr>
        <w:tc>
          <w:tcPr>
            <w:tcW w:w="609"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890"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52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r>
      <w:tr>
        <w:trPr>
          <w:trHeight w:val="403"/>
          <w:tblHeader/>
        </w:trPr>
        <w:tc>
          <w:tcPr>
            <w:tcW w:w="609"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890"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52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r>
      <w:tr>
        <w:trPr>
          <w:trHeight w:val="415"/>
          <w:tblHeader/>
        </w:trPr>
        <w:tc>
          <w:tcPr>
            <w:tcW w:w="609"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25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890"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1523" w:type="dxa"/>
            <w:vAlign w:val="top"/>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r>
    </w:tbl>
    <w:p>
      <w:pPr>
        <w:pStyle w:val="928"/>
        <w:spacing w:line="420" w:lineRule="exact"/>
        <w:rPr>
          <w:rFonts w:hint="eastAsia" w:ascii="微软雅黑" w:hAnsi="微软雅黑" w:cs="微软雅黑"/>
          <w:sz w:val="28"/>
        </w:rPr>
      </w:pPr>
      <w:r>
        <w:rPr>
          <w:rFonts w:hint="eastAsia" w:ascii="微软雅黑" w:hAnsi="微软雅黑" w:cs="微软雅黑"/>
          <w:sz w:val="28"/>
        </w:rPr>
      </w:r>
      <w:r/>
    </w:p>
    <w:p>
      <w:pPr>
        <w:pStyle w:val="928"/>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47"/>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928"/>
        <w:ind w:firstLine="140"/>
        <w:spacing w:line="420" w:lineRule="exact"/>
        <w:rPr>
          <w:rFonts w:hint="eastAsia" w:ascii="微软雅黑" w:hAnsi="微软雅黑" w:cs="微软雅黑"/>
          <w:sz w:val="28"/>
        </w:rPr>
      </w:pPr>
      <w:r>
        <w:rPr>
          <w:rFonts w:hint="eastAsia" w:ascii="微软雅黑" w:hAnsi="微软雅黑" w:cs="微软雅黑"/>
          <w:sz w:val="28"/>
        </w:rPr>
      </w:r>
      <w:r/>
    </w:p>
    <w:p>
      <w:pPr>
        <w:pStyle w:val="928"/>
        <w:ind w:firstLine="9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r>
      <w:r/>
    </w:p>
    <w:p>
      <w:pPr>
        <w:pStyle w:val="928"/>
        <w:numPr>
          <w:ilvl w:val="3"/>
          <w:numId w:val="16"/>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928"/>
        <w:numPr>
          <w:ilvl w:val="3"/>
          <w:numId w:val="16"/>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响应单位根据系统方案添加的设备、材料等也请列出。</w:t>
      </w:r>
      <w:r>
        <w:rPr>
          <w:rFonts w:hint="eastAsia" w:ascii="微软雅黑" w:hAnsi="微软雅黑" w:cs="微软雅黑"/>
          <w:sz w:val="18"/>
          <w:szCs w:val="18"/>
        </w:rPr>
      </w:r>
      <w:r/>
    </w:p>
    <w:p>
      <w:pPr>
        <w:pStyle w:val="928"/>
        <w:numPr>
          <w:ilvl w:val="3"/>
          <w:numId w:val="16"/>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928"/>
        <w:numPr>
          <w:ilvl w:val="3"/>
          <w:numId w:val="16"/>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响应单位必须仔细阅读本采购文件“第四章”中所有技术规范条款和相关功能要求，并对技术参数和功能逐条列入上表，</w:t>
      </w:r>
      <w:r>
        <w:rPr>
          <w:rFonts w:hint="eastAsia" w:ascii="微软雅黑" w:hAnsi="微软雅黑" w:cs="微软雅黑"/>
          <w:b/>
          <w:bCs/>
          <w:szCs w:val="21"/>
        </w:rPr>
        <w:t xml:space="preserve">未列入上表的视为不响应采购文件要求。</w:t>
      </w:r>
      <w:r>
        <w:rPr>
          <w:rFonts w:hint="eastAsia" w:ascii="微软雅黑" w:hAnsi="微软雅黑" w:cs="微软雅黑"/>
          <w:sz w:val="18"/>
          <w:szCs w:val="18"/>
        </w:rPr>
        <w:t xml:space="preserve">响应单位必须根据所投货物、工程或服务的实际情况如实填写，评委会如发现有虚假描述的，该响应文件视为无效。</w:t>
      </w:r>
      <w:r>
        <w:rPr>
          <w:rFonts w:hint="eastAsia" w:ascii="微软雅黑" w:hAnsi="微软雅黑" w:cs="微软雅黑"/>
          <w:sz w:val="18"/>
          <w:szCs w:val="18"/>
        </w:rPr>
      </w:r>
      <w:r/>
    </w:p>
    <w:p>
      <w:pPr>
        <w:pStyle w:val="928"/>
        <w:numPr>
          <w:ilvl w:val="3"/>
          <w:numId w:val="16"/>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若响应文件中出现技术参数和功能与此表表述不一致的，以此表为准。</w:t>
      </w:r>
      <w:r>
        <w:rPr>
          <w:rFonts w:hint="eastAsia" w:ascii="微软雅黑" w:hAnsi="微软雅黑" w:cs="微软雅黑"/>
          <w:sz w:val="18"/>
          <w:szCs w:val="18"/>
        </w:rPr>
      </w:r>
      <w:r/>
    </w:p>
    <w:p>
      <w:pPr>
        <w:pStyle w:val="989"/>
        <w:rPr>
          <w:rFonts w:hint="eastAsia" w:ascii="微软雅黑" w:hAnsi="微软雅黑" w:cs="微软雅黑"/>
          <w:b/>
          <w:bCs w:val="0"/>
          <w:sz w:val="24"/>
          <w:szCs w:val="24"/>
        </w:rPr>
      </w:pPr>
      <w:r>
        <w:rPr>
          <w:rFonts w:hint="eastAsia" w:ascii="微软雅黑" w:hAnsi="微软雅黑" w:cs="微软雅黑"/>
          <w:b/>
          <w:bCs w:val="0"/>
          <w:sz w:val="24"/>
          <w:szCs w:val="24"/>
        </w:rPr>
        <w:br w:type="page" w:clear="all"/>
      </w:r>
      <w:bookmarkStart w:id="253" w:name="_Toc5132"/>
      <w:r>
        <w:rPr>
          <w:rFonts w:hint="eastAsia" w:ascii="微软雅黑" w:hAnsi="微软雅黑" w:cs="微软雅黑"/>
          <w:b/>
          <w:bCs w:val="0"/>
          <w:sz w:val="24"/>
          <w:szCs w:val="24"/>
        </w:rPr>
        <w:t xml:space="preserve">5.商务要求响应表</w:t>
      </w:r>
      <w:bookmarkEnd w:id="250"/>
      <w:r/>
      <w:bookmarkEnd w:id="251"/>
      <w:r/>
      <w:bookmarkEnd w:id="252"/>
      <w:r/>
      <w:bookmarkEnd w:id="253"/>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928"/>
              <w:jc w:val="center"/>
              <w:rPr>
                <w:rFonts w:hint="eastAsia" w:ascii="微软雅黑" w:hAnsi="微软雅黑" w:cs="微软雅黑"/>
                <w:b/>
                <w:bCs/>
              </w:rPr>
            </w:pPr>
            <w:r>
              <w:rPr>
                <w:rFonts w:hint="eastAsia" w:ascii="微软雅黑" w:hAnsi="微软雅黑" w:cs="微软雅黑"/>
                <w:b/>
                <w:bCs/>
              </w:rPr>
              <w:t xml:space="preserve">序号</w:t>
            </w:r>
            <w:r>
              <w:rPr>
                <w:rFonts w:hint="eastAsia" w:ascii="微软雅黑" w:hAnsi="微软雅黑" w:cs="微软雅黑"/>
                <w:b/>
                <w:bCs/>
              </w:rPr>
            </w:r>
            <w:r/>
          </w:p>
        </w:tc>
        <w:tc>
          <w:tcPr>
            <w:tcW w:w="2268" w:type="dxa"/>
            <w:vAlign w:val="center"/>
            <w:textDirection w:val="lrTb"/>
            <w:noWrap w:val="false"/>
          </w:tcPr>
          <w:p>
            <w:pPr>
              <w:pStyle w:val="928"/>
              <w:jc w:val="center"/>
              <w:rPr>
                <w:rFonts w:hint="eastAsia" w:ascii="微软雅黑" w:hAnsi="微软雅黑" w:cs="微软雅黑"/>
                <w:b/>
                <w:bCs/>
              </w:rPr>
            </w:pPr>
            <w:r>
              <w:rPr>
                <w:rFonts w:hint="eastAsia" w:ascii="微软雅黑" w:hAnsi="微软雅黑" w:cs="微软雅黑"/>
                <w:b/>
                <w:bCs/>
              </w:rPr>
              <w:t xml:space="preserve">项目</w:t>
            </w:r>
            <w:r>
              <w:rPr>
                <w:rFonts w:hint="eastAsia" w:ascii="微软雅黑" w:hAnsi="微软雅黑" w:cs="微软雅黑"/>
                <w:b/>
                <w:bCs/>
              </w:rPr>
            </w:r>
            <w:r/>
          </w:p>
        </w:tc>
        <w:tc>
          <w:tcPr>
            <w:tcW w:w="2551" w:type="dxa"/>
            <w:vAlign w:val="center"/>
            <w:textDirection w:val="lrTb"/>
            <w:noWrap w:val="false"/>
          </w:tcPr>
          <w:p>
            <w:pPr>
              <w:pStyle w:val="928"/>
              <w:jc w:val="center"/>
              <w:rPr>
                <w:rFonts w:hint="eastAsia" w:ascii="微软雅黑" w:hAnsi="微软雅黑" w:cs="微软雅黑"/>
                <w:b/>
                <w:bCs/>
              </w:rPr>
            </w:pPr>
            <w:r>
              <w:rPr>
                <w:rFonts w:hint="eastAsia" w:ascii="微软雅黑" w:hAnsi="微软雅黑" w:cs="微软雅黑"/>
                <w:b/>
                <w:bCs/>
              </w:rPr>
              <w:t xml:space="preserve">原商务主要条款描述</w:t>
            </w:r>
            <w:r>
              <w:rPr>
                <w:rFonts w:hint="eastAsia" w:ascii="微软雅黑" w:hAnsi="微软雅黑" w:cs="微软雅黑"/>
                <w:b/>
                <w:bCs/>
              </w:rPr>
            </w:r>
            <w:r/>
          </w:p>
        </w:tc>
        <w:tc>
          <w:tcPr>
            <w:tcW w:w="1985" w:type="dxa"/>
            <w:vAlign w:val="center"/>
            <w:textDirection w:val="lrTb"/>
            <w:noWrap w:val="false"/>
          </w:tcPr>
          <w:p>
            <w:pPr>
              <w:pStyle w:val="928"/>
              <w:jc w:val="center"/>
              <w:rPr>
                <w:rFonts w:hint="eastAsia" w:ascii="微软雅黑" w:hAnsi="微软雅黑" w:cs="微软雅黑"/>
                <w:b/>
                <w:bCs/>
              </w:rPr>
            </w:pPr>
            <w:r>
              <w:rPr>
                <w:rFonts w:hint="eastAsia" w:ascii="微软雅黑" w:hAnsi="微软雅黑" w:cs="微软雅黑"/>
                <w:b/>
                <w:bCs/>
              </w:rPr>
              <w:t xml:space="preserve">响应供应商的承诺或说明</w:t>
            </w:r>
            <w:r>
              <w:rPr>
                <w:rFonts w:hint="eastAsia" w:ascii="微软雅黑" w:hAnsi="微软雅黑" w:cs="微软雅黑"/>
                <w:b/>
                <w:bCs/>
              </w:rPr>
            </w:r>
            <w:r/>
          </w:p>
        </w:tc>
        <w:tc>
          <w:tcPr>
            <w:tcW w:w="1134" w:type="dxa"/>
            <w:vAlign w:val="center"/>
            <w:textDirection w:val="lrTb"/>
            <w:noWrap w:val="false"/>
          </w:tcPr>
          <w:p>
            <w:pPr>
              <w:pStyle w:val="928"/>
              <w:jc w:val="center"/>
              <w:rPr>
                <w:rFonts w:hint="eastAsia" w:ascii="微软雅黑" w:hAnsi="微软雅黑" w:cs="微软雅黑"/>
                <w:b/>
                <w:bCs/>
              </w:rPr>
            </w:pPr>
            <w:r>
              <w:rPr>
                <w:rFonts w:hint="eastAsia" w:ascii="微软雅黑" w:hAnsi="微软雅黑" w:cs="微软雅黑"/>
                <w:b/>
                <w:bCs/>
              </w:rPr>
              <w:t xml:space="preserve">偏离</w:t>
            </w:r>
            <w:r>
              <w:rPr>
                <w:rFonts w:hint="eastAsia" w:ascii="微软雅黑" w:hAnsi="微软雅黑" w:cs="微软雅黑"/>
                <w:b/>
                <w:bCs/>
              </w:rPr>
            </w:r>
            <w:r/>
          </w:p>
          <w:p>
            <w:pPr>
              <w:pStyle w:val="928"/>
              <w:jc w:val="center"/>
              <w:rPr>
                <w:rFonts w:hint="eastAsia" w:ascii="微软雅黑" w:hAnsi="微软雅黑" w:cs="微软雅黑"/>
                <w:b/>
                <w:bCs/>
              </w:rPr>
            </w:pPr>
            <w:r>
              <w:rPr>
                <w:rFonts w:hint="eastAsia" w:ascii="微软雅黑" w:hAnsi="微软雅黑" w:cs="微软雅黑"/>
                <w:b/>
                <w:bCs/>
              </w:rPr>
              <w:t xml:space="preserve">情况</w:t>
            </w:r>
            <w:r>
              <w:rPr>
                <w:rFonts w:hint="eastAsia" w:ascii="微软雅黑" w:hAnsi="微软雅黑" w:cs="微软雅黑"/>
                <w:b/>
                <w:bCs/>
              </w:rPr>
            </w:r>
            <w:r/>
          </w:p>
        </w:tc>
      </w:tr>
      <w:tr>
        <w:trPr>
          <w:trHeight w:val="447"/>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512"/>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54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44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5</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576"/>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6</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40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7</w:t>
            </w: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t xml:space="preserve">......</w:t>
            </w: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268" w:type="dxa"/>
            <w:vAlign w:val="center"/>
            <w:textDirection w:val="lrTb"/>
            <w:noWrap w:val="false"/>
          </w:tcPr>
          <w:p>
            <w:pPr>
              <w:pStyle w:val="928"/>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928"/>
              <w:rPr>
                <w:rFonts w:hint="eastAsia" w:ascii="微软雅黑" w:hAnsi="微软雅黑" w:cs="微软雅黑"/>
              </w:rPr>
            </w:pPr>
            <w:r>
              <w:rPr>
                <w:rFonts w:hint="eastAsia" w:ascii="微软雅黑" w:hAnsi="微软雅黑" w:cs="微软雅黑"/>
              </w:rPr>
            </w:r>
            <w:r/>
          </w:p>
        </w:tc>
      </w:tr>
    </w:tbl>
    <w:p>
      <w:pPr>
        <w:pStyle w:val="928"/>
        <w:rPr>
          <w:rFonts w:hint="eastAsia" w:ascii="微软雅黑" w:hAnsi="微软雅黑" w:cs="微软雅黑"/>
        </w:rPr>
      </w:pP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47"/>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928"/>
        <w:rPr>
          <w:rFonts w:hint="eastAsia" w:ascii="微软雅黑" w:hAnsi="微软雅黑" w:cs="微软雅黑"/>
          <w:sz w:val="18"/>
          <w:szCs w:val="18"/>
        </w:rPr>
      </w:pPr>
      <w:r>
        <w:rPr>
          <w:rFonts w:hint="eastAsia" w:ascii="微软雅黑" w:hAnsi="微软雅黑" w:cs="微软雅黑"/>
          <w:sz w:val="18"/>
          <w:szCs w:val="18"/>
        </w:rPr>
      </w:r>
      <w:r/>
    </w:p>
    <w:p>
      <w:pPr>
        <w:pStyle w:val="928"/>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928"/>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响应单位根据项目添加的服务承诺、培训等也请列出。</w:t>
      </w:r>
      <w:r>
        <w:rPr>
          <w:rFonts w:hint="eastAsia" w:ascii="微软雅黑" w:hAnsi="微软雅黑" w:cs="微软雅黑"/>
          <w:sz w:val="18"/>
          <w:szCs w:val="18"/>
        </w:rPr>
      </w:r>
      <w:r/>
    </w:p>
    <w:p>
      <w:pPr>
        <w:pStyle w:val="928"/>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928"/>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响应单位必须仔细阅读本采购文件“第四章”中所有商务条款和相关服务要求，并对所有商务条款和服务要求列入上表，</w:t>
      </w:r>
      <w:r>
        <w:rPr>
          <w:rFonts w:hint="eastAsia" w:ascii="微软雅黑" w:hAnsi="微软雅黑" w:cs="微软雅黑"/>
          <w:b/>
          <w:bCs/>
          <w:szCs w:val="21"/>
        </w:rPr>
        <w:t xml:space="preserve">未列入上表的视为不响应采购文件要求</w:t>
      </w:r>
      <w:r>
        <w:rPr>
          <w:rFonts w:hint="eastAsia" w:ascii="微软雅黑" w:hAnsi="微软雅黑" w:cs="微软雅黑"/>
          <w:szCs w:val="21"/>
        </w:rPr>
        <w:t xml:space="preserve">。</w:t>
      </w:r>
      <w:r>
        <w:rPr>
          <w:rFonts w:hint="eastAsia" w:ascii="微软雅黑" w:hAnsi="微软雅黑" w:cs="微软雅黑"/>
          <w:sz w:val="18"/>
          <w:szCs w:val="18"/>
        </w:rPr>
        <w:t xml:space="preserve">响应单位必须根据所将提供服务的实际情况如实填写，磋商小组如发现有虚假描述的，该响应文件视为无效。</w:t>
      </w:r>
      <w:bookmarkStart w:id="254" w:name="_Toc351733249"/>
      <w:r/>
      <w:bookmarkStart w:id="255" w:name="_Toc365968484"/>
      <w:r>
        <w:rPr>
          <w:rFonts w:hint="eastAsia" w:ascii="微软雅黑" w:hAnsi="微软雅黑" w:cs="微软雅黑"/>
          <w:sz w:val="18"/>
          <w:szCs w:val="18"/>
        </w:rPr>
      </w:r>
      <w:r/>
    </w:p>
    <w:p>
      <w:pPr>
        <w:pStyle w:val="989"/>
        <w:rPr>
          <w:rFonts w:hint="eastAsia" w:ascii="微软雅黑" w:hAnsi="微软雅黑" w:cs="微软雅黑"/>
          <w:b/>
          <w:sz w:val="24"/>
          <w:szCs w:val="24"/>
        </w:rPr>
      </w:pPr>
      <w:r/>
      <w:bookmarkStart w:id="256" w:name="_Toc7701"/>
      <w:r>
        <w:rPr>
          <w:rFonts w:hint="eastAsia" w:ascii="微软雅黑" w:hAnsi="微软雅黑" w:cs="微软雅黑"/>
          <w:b/>
          <w:bCs w:val="0"/>
          <w:sz w:val="24"/>
          <w:szCs w:val="24"/>
        </w:rPr>
        <w:br w:type="page" w:clear="all"/>
      </w:r>
      <w:bookmarkStart w:id="257" w:name="_Toc30442"/>
      <w:r>
        <w:rPr>
          <w:rFonts w:hint="eastAsia" w:ascii="微软雅黑" w:hAnsi="微软雅黑" w:cs="微软雅黑"/>
          <w:b/>
          <w:bCs w:val="0"/>
          <w:sz w:val="24"/>
          <w:szCs w:val="24"/>
        </w:rPr>
        <w:t xml:space="preserve">6.项目实施方案</w:t>
      </w:r>
      <w:bookmarkEnd w:id="254"/>
      <w:r/>
      <w:bookmarkEnd w:id="255"/>
      <w:r/>
      <w:bookmarkEnd w:id="256"/>
      <w:r/>
      <w:bookmarkEnd w:id="257"/>
      <w:r>
        <w:rPr>
          <w:rFonts w:hint="eastAsia" w:ascii="微软雅黑" w:hAnsi="微软雅黑" w:cs="微软雅黑"/>
          <w:b/>
          <w:sz w:val="24"/>
          <w:szCs w:val="24"/>
        </w:rPr>
      </w:r>
      <w:r/>
    </w:p>
    <w:p>
      <w:pPr>
        <w:pStyle w:val="928"/>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pStyle w:val="928"/>
        <w:spacing w:before="4" w:line="420" w:lineRule="exact"/>
        <w:widowControl/>
        <w:rPr>
          <w:rFonts w:hint="eastAsia" w:ascii="微软雅黑" w:hAnsi="微软雅黑" w:cs="微软雅黑"/>
          <w:szCs w:val="21"/>
        </w:rPr>
      </w:pPr>
      <w:r>
        <w:rPr>
          <w:rFonts w:hint="eastAsia" w:ascii="微软雅黑" w:hAnsi="微软雅黑" w:cs="微软雅黑"/>
          <w:szCs w:val="21"/>
        </w:rPr>
      </w:r>
      <w:r/>
    </w:p>
    <w:p>
      <w:pPr>
        <w:pStyle w:val="989"/>
        <w:rPr>
          <w:rFonts w:hint="eastAsia" w:ascii="微软雅黑" w:hAnsi="微软雅黑" w:cs="微软雅黑"/>
          <w:b/>
          <w:bCs w:val="0"/>
          <w:sz w:val="24"/>
          <w:szCs w:val="24"/>
        </w:rPr>
      </w:pPr>
      <w:r/>
      <w:bookmarkStart w:id="258" w:name="_Toc24270"/>
      <w:r/>
      <w:bookmarkStart w:id="259" w:name="_Toc14029"/>
      <w:r/>
      <w:bookmarkStart w:id="260" w:name="_Toc397526836"/>
      <w:r/>
      <w:bookmarkStart w:id="261" w:name="_Toc457827980"/>
      <w:r/>
      <w:bookmarkStart w:id="262" w:name="_Toc449976348"/>
      <w:r>
        <w:rPr>
          <w:rFonts w:hint="eastAsia" w:ascii="微软雅黑" w:hAnsi="微软雅黑" w:cs="微软雅黑"/>
          <w:b/>
          <w:bCs w:val="0"/>
          <w:sz w:val="24"/>
          <w:szCs w:val="24"/>
        </w:rPr>
        <w:t xml:space="preserve">7.服务方案</w:t>
      </w:r>
      <w:bookmarkEnd w:id="258"/>
      <w:r/>
      <w:bookmarkEnd w:id="259"/>
      <w:r>
        <w:rPr>
          <w:rFonts w:hint="eastAsia" w:ascii="微软雅黑" w:hAnsi="微软雅黑" w:cs="微软雅黑"/>
          <w:b/>
          <w:bCs w:val="0"/>
          <w:sz w:val="24"/>
          <w:szCs w:val="24"/>
        </w:rPr>
      </w:r>
      <w:r/>
    </w:p>
    <w:p>
      <w:pPr>
        <w:pStyle w:val="928"/>
        <w:rPr>
          <w:rFonts w:hint="eastAsia" w:ascii="微软雅黑" w:hAnsi="微软雅黑" w:cs="微软雅黑"/>
        </w:rPr>
      </w:pPr>
      <w:r/>
      <w:bookmarkStart w:id="263" w:name="_Toc493246896"/>
      <w:r/>
      <w:bookmarkStart w:id="264" w:name="_Toc475540203"/>
      <w:r/>
      <w:bookmarkStart w:id="265" w:name="_Toc459327385"/>
      <w:r/>
      <w:bookmarkStart w:id="266" w:name="_Toc481681071"/>
      <w:r>
        <w:rPr>
          <w:rFonts w:hint="eastAsia" w:ascii="微软雅黑" w:hAnsi="微软雅黑" w:cs="微软雅黑"/>
        </w:rPr>
      </w:r>
      <w:r/>
    </w:p>
    <w:p>
      <w:pPr>
        <w:pStyle w:val="928"/>
        <w:rPr>
          <w:rFonts w:hint="eastAsia" w:ascii="微软雅黑" w:hAnsi="微软雅黑" w:cs="微软雅黑"/>
        </w:rPr>
      </w:pPr>
      <w:r/>
      <w:bookmarkEnd w:id="260"/>
      <w:r/>
      <w:bookmarkEnd w:id="261"/>
      <w:r/>
      <w:bookmarkEnd w:id="262"/>
      <w:r/>
      <w:bookmarkEnd w:id="263"/>
      <w:r/>
      <w:bookmarkEnd w:id="264"/>
      <w:r/>
      <w:bookmarkEnd w:id="265"/>
      <w:r/>
      <w:bookmarkEnd w:id="266"/>
      <w:r>
        <w:rPr>
          <w:rFonts w:hint="eastAsia" w:ascii="微软雅黑" w:hAnsi="微软雅黑" w:cs="微软雅黑"/>
        </w:rPr>
      </w:r>
      <w:r/>
    </w:p>
    <w:p>
      <w:pPr>
        <w:pStyle w:val="989"/>
        <w:rPr>
          <w:rFonts w:hint="eastAsia" w:ascii="微软雅黑" w:hAnsi="微软雅黑" w:cs="微软雅黑"/>
          <w:b/>
          <w:bCs w:val="0"/>
          <w:sz w:val="24"/>
          <w:szCs w:val="24"/>
        </w:rPr>
      </w:pPr>
      <w:r/>
      <w:bookmarkStart w:id="267" w:name="_Toc27939"/>
      <w:r/>
      <w:bookmarkStart w:id="268" w:name="_Toc4379"/>
      <w:r>
        <w:rPr>
          <w:rFonts w:hint="eastAsia" w:ascii="微软雅黑" w:hAnsi="微软雅黑" w:cs="微软雅黑"/>
          <w:b/>
          <w:bCs w:val="0"/>
          <w:sz w:val="24"/>
          <w:szCs w:val="24"/>
        </w:rPr>
        <w:t xml:space="preserve">8.经营业绩（提供合同复印件）</w:t>
      </w:r>
      <w:bookmarkEnd w:id="267"/>
      <w:r/>
      <w:bookmarkEnd w:id="268"/>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928"/>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928"/>
              <w:rPr>
                <w:rFonts w:hint="eastAsia" w:ascii="微软雅黑" w:hAnsi="微软雅黑" w:cs="微软雅黑"/>
                <w:sz w:val="18"/>
                <w:szCs w:val="20"/>
              </w:rPr>
            </w:pPr>
            <w:r>
              <w:rPr>
                <w:rFonts w:hint="eastAsia" w:ascii="微软雅黑" w:hAnsi="微软雅黑" w:cs="微软雅黑"/>
                <w:sz w:val="18"/>
                <w:szCs w:val="20"/>
              </w:rPr>
            </w:r>
            <w:r/>
          </w:p>
        </w:tc>
      </w:tr>
    </w:tbl>
    <w:p>
      <w:pPr>
        <w:pStyle w:val="947"/>
        <w:ind w:left="0"/>
        <w:rPr>
          <w:rFonts w:hint="eastAsia" w:ascii="微软雅黑" w:hAnsi="微软雅黑" w:cs="微软雅黑"/>
          <w:sz w:val="28"/>
          <w:szCs w:val="28"/>
        </w:rPr>
      </w:pPr>
      <w:r>
        <w:rPr>
          <w:rFonts w:hint="eastAsia" w:ascii="微软雅黑" w:hAnsi="微软雅黑" w:cs="微软雅黑"/>
          <w:sz w:val="28"/>
          <w:szCs w:val="28"/>
        </w:rPr>
      </w:r>
      <w:r/>
    </w:p>
    <w:p>
      <w:pPr>
        <w:pStyle w:val="928"/>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此表为表样，须填写完整，行数可自行添加，但表式不变。</w:t>
      </w:r>
      <w:r>
        <w:rPr>
          <w:rFonts w:hint="eastAsia" w:ascii="微软雅黑" w:hAnsi="微软雅黑" w:cs="微软雅黑"/>
          <w:sz w:val="18"/>
          <w:szCs w:val="18"/>
        </w:rPr>
      </w:r>
      <w:r/>
    </w:p>
    <w:p>
      <w:pPr>
        <w:pStyle w:val="928"/>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响应单位所提供的经营业绩列入上表，磋商小组将依据每个经营业绩所附证明材料的有效性判断该业绩有效性。</w:t>
      </w:r>
      <w:r>
        <w:rPr>
          <w:rFonts w:hint="eastAsia" w:ascii="微软雅黑" w:hAnsi="微软雅黑" w:cs="微软雅黑"/>
          <w:sz w:val="18"/>
          <w:szCs w:val="18"/>
        </w:rPr>
      </w:r>
      <w:r/>
    </w:p>
    <w:p>
      <w:pPr>
        <w:pStyle w:val="928"/>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28"/>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44"/>
        <w:ind w:firstLine="400"/>
        <w:rPr>
          <w:rFonts w:hint="eastAsia"/>
        </w:rPr>
      </w:pPr>
      <w:r>
        <w:rPr>
          <w:rFonts w:hint="eastAsia"/>
        </w:rPr>
      </w:r>
      <w:r/>
    </w:p>
    <w:p>
      <w:pPr>
        <w:pStyle w:val="928"/>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28"/>
        <w:ind w:firstLine="360"/>
        <w:spacing w:before="19" w:line="420" w:lineRule="exact"/>
        <w:widowControl/>
        <w:rPr>
          <w:rFonts w:hint="eastAsia" w:ascii="微软雅黑" w:hAnsi="微软雅黑" w:cs="微软雅黑"/>
          <w:b/>
          <w:color w:val="ff0000"/>
          <w:szCs w:val="21"/>
        </w:rPr>
      </w:pPr>
      <w:r>
        <w:rPr>
          <w:rFonts w:hint="eastAsia" w:ascii="微软雅黑" w:hAnsi="微软雅黑" w:cs="微软雅黑"/>
          <w:color w:val="ff0000"/>
          <w:sz w:val="18"/>
          <w:szCs w:val="18"/>
        </w:rPr>
        <w:t xml:space="preserve"> </w:t>
      </w:r>
      <w:r>
        <w:rPr>
          <w:rFonts w:hint="eastAsia" w:ascii="微软雅黑" w:hAnsi="微软雅黑" w:cs="微软雅黑"/>
          <w:b/>
          <w:i/>
          <w:iCs/>
          <w:color w:val="ff0000"/>
          <w:sz w:val="24"/>
          <w:szCs w:val="24"/>
          <w:u w:val="single"/>
        </w:rPr>
        <w:t xml:space="preserve">注： 1－5项为必须提供的内容，未提供或未按要求提供将不能通过符合性审查。</w:t>
      </w:r>
      <w:r>
        <w:rPr>
          <w:rFonts w:hint="eastAsia" w:ascii="微软雅黑" w:hAnsi="微软雅黑" w:cs="微软雅黑"/>
          <w:b/>
          <w:color w:val="ff0000"/>
          <w:szCs w:val="21"/>
        </w:rPr>
      </w:r>
      <w:r/>
    </w:p>
    <w:p>
      <w:pPr>
        <w:pStyle w:val="1143"/>
        <w:rPr>
          <w:rFonts w:hint="eastAsia" w:ascii="微软雅黑" w:hAnsi="微软雅黑" w:cs="微软雅黑"/>
        </w:rPr>
      </w:pPr>
      <w:r/>
      <w:bookmarkStart w:id="269" w:name="__x000F_二、资格证明文件"/>
      <w:r>
        <w:rPr>
          <w:rFonts w:hint="eastAsia" w:ascii="微软雅黑" w:hAnsi="微软雅黑" w:cs="微软雅黑"/>
        </w:rPr>
        <w:br w:type="page" w:clear="all"/>
      </w:r>
      <w:bookmarkEnd w:id="269"/>
      <w:r/>
      <w:bookmarkStart w:id="270" w:name="_Toc7939"/>
      <w:r/>
      <w:bookmarkStart w:id="271" w:name="_Toc31234"/>
      <w:r>
        <w:rPr>
          <w:rFonts w:hint="eastAsia" w:ascii="微软雅黑" w:hAnsi="微软雅黑" w:cs="微软雅黑"/>
        </w:rPr>
        <w:t xml:space="preserve">二、相关附表格式</w:t>
      </w:r>
      <w:bookmarkEnd w:id="270"/>
      <w:r/>
      <w:bookmarkEnd w:id="271"/>
      <w:r>
        <w:rPr>
          <w:rFonts w:hint="eastAsia" w:ascii="微软雅黑" w:hAnsi="微软雅黑" w:cs="微软雅黑"/>
        </w:rPr>
      </w:r>
      <w:r/>
    </w:p>
    <w:p>
      <w:pPr>
        <w:pStyle w:val="989"/>
        <w:rPr>
          <w:rFonts w:hint="eastAsia" w:ascii="微软雅黑" w:hAnsi="微软雅黑" w:cs="微软雅黑"/>
          <w:b/>
          <w:bCs w:val="0"/>
          <w:sz w:val="24"/>
          <w:szCs w:val="24"/>
        </w:rPr>
      </w:pPr>
      <w:r/>
      <w:bookmarkStart w:id="272" w:name="_Toc15819"/>
      <w:r/>
      <w:bookmarkStart w:id="273" w:name="_Toc18127"/>
      <w:r>
        <w:rPr>
          <w:rFonts w:hint="eastAsia" w:ascii="微软雅黑" w:hAnsi="微软雅黑" w:cs="微软雅黑"/>
          <w:b/>
          <w:bCs w:val="0"/>
          <w:sz w:val="24"/>
          <w:szCs w:val="24"/>
        </w:rPr>
        <w:t xml:space="preserve">1.法人授权委托书</w:t>
      </w:r>
      <w:bookmarkEnd w:id="272"/>
      <w:r/>
      <w:bookmarkEnd w:id="273"/>
      <w:r>
        <w:rPr>
          <w:rFonts w:hint="eastAsia" w:ascii="微软雅黑" w:hAnsi="微软雅黑" w:cs="微软雅黑"/>
          <w:b/>
          <w:bCs w:val="0"/>
          <w:sz w:val="24"/>
          <w:szCs w:val="24"/>
        </w:rPr>
      </w:r>
      <w:r/>
    </w:p>
    <w:p>
      <w:pPr>
        <w:pStyle w:val="928"/>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928"/>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928"/>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928"/>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928"/>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）的采购活动，受托人有权在该响应活动中，以我单位的名义签署响应书和响应文件，与采购代理机构协商、澄清、解释并执行一切与此有关的事项。</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928"/>
                              <w:jc w:val="center"/>
                              <w:spacing w:line="440" w:lineRule="exact"/>
                            </w:pPr>
                            <w:r>
                              <w:rPr>
                                <w:rFonts w:hint="eastAsia"/>
                              </w:rPr>
                              <w:t xml:space="preserve">授权代表身份证复印件</w:t>
                            </w:r>
                            <w:r/>
                          </w:p>
                          <w:p>
                            <w:pPr>
                              <w:pStyle w:val="928"/>
                              <w:jc w:val="center"/>
                            </w:pPr>
                            <w:r>
                              <w:rPr>
                                <w:rFonts w:hint="eastAsia"/>
                              </w:rPr>
                              <w:t xml:space="preserve">（正反面）</w:t>
                            </w:r>
                            <w:r/>
                          </w:p>
                          <w:p>
                            <w:pPr>
                              <w:pStyle w:val="928"/>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928"/>
                        <w:jc w:val="center"/>
                        <w:spacing w:line="440" w:lineRule="exact"/>
                      </w:pPr>
                      <w:r>
                        <w:rPr>
                          <w:rFonts w:hint="eastAsia"/>
                        </w:rPr>
                        <w:t xml:space="preserve">授权代表身份证复印件</w:t>
                      </w:r>
                      <w:r/>
                    </w:p>
                    <w:p>
                      <w:pPr>
                        <w:pStyle w:val="928"/>
                        <w:jc w:val="center"/>
                      </w:pPr>
                      <w:r>
                        <w:rPr>
                          <w:rFonts w:hint="eastAsia"/>
                        </w:rPr>
                        <w:t xml:space="preserve">（正反面）</w:t>
                      </w:r>
                      <w:r/>
                    </w:p>
                    <w:p>
                      <w:pPr>
                        <w:pStyle w:val="928"/>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928"/>
                              <w:jc w:val="center"/>
                              <w:spacing w:line="440" w:lineRule="exact"/>
                            </w:pPr>
                            <w:r>
                              <w:rPr>
                                <w:rFonts w:hint="eastAsia"/>
                              </w:rPr>
                              <w:t xml:space="preserve">法定代表人身份证复印件（正反面）</w:t>
                            </w:r>
                            <w:r/>
                          </w:p>
                          <w:p>
                            <w:pPr>
                              <w:pStyle w:val="928"/>
                            </w:pPr>
                            <w:r/>
                            <w:r/>
                          </w:p>
                          <w:p>
                            <w:pPr>
                              <w:pStyle w:val="928"/>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928"/>
                        <w:jc w:val="center"/>
                        <w:spacing w:line="440" w:lineRule="exact"/>
                      </w:pPr>
                      <w:r>
                        <w:rPr>
                          <w:rFonts w:hint="eastAsia"/>
                        </w:rPr>
                        <w:t xml:space="preserve">法定代表人身份证复印件（正反面）</w:t>
                      </w:r>
                      <w:r/>
                    </w:p>
                    <w:p>
                      <w:pPr>
                        <w:pStyle w:val="928"/>
                      </w:pPr>
                      <w:r/>
                      <w:r/>
                    </w:p>
                    <w:p>
                      <w:pPr>
                        <w:pStyle w:val="928"/>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r>
      <w:r/>
    </w:p>
    <w:p>
      <w:pPr>
        <w:pStyle w:val="928"/>
        <w:spacing w:line="440" w:lineRule="exact"/>
        <w:rPr>
          <w:rFonts w:hint="eastAsia" w:ascii="微软雅黑" w:hAnsi="微软雅黑" w:cs="微软雅黑"/>
        </w:rPr>
      </w:pPr>
      <w:r>
        <w:rPr>
          <w:rFonts w:hint="eastAsia" w:ascii="微软雅黑" w:hAnsi="微软雅黑" w:cs="微软雅黑"/>
        </w:rPr>
      </w:r>
      <w:r/>
    </w:p>
    <w:p>
      <w:pPr>
        <w:pStyle w:val="928"/>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928"/>
        <w:jc w:val="right"/>
        <w:spacing w:line="440" w:lineRule="exact"/>
        <w:rPr>
          <w:rFonts w:hint="eastAsia" w:ascii="微软雅黑" w:hAnsi="微软雅黑" w:cs="微软雅黑"/>
        </w:rPr>
      </w:pPr>
      <w:r>
        <w:rPr>
          <w:rFonts w:hint="eastAsia" w:ascii="微软雅黑" w:hAnsi="微软雅黑" w:cs="微软雅黑"/>
        </w:rPr>
        <w:t xml:space="preserve">                          </w:t>
      </w:r>
      <w:r>
        <w:rPr>
          <w:rFonts w:hint="eastAsia" w:ascii="微软雅黑" w:hAnsi="微软雅黑" w:cs="微软雅黑"/>
          <w:b/>
          <w:bCs/>
        </w:rPr>
        <w:t xml:space="preserve">     法定代表人：  （签字/盖章） </w:t>
      </w:r>
      <w:r>
        <w:rPr>
          <w:rFonts w:hint="eastAsia" w:ascii="微软雅黑" w:hAnsi="微软雅黑" w:cs="微软雅黑"/>
        </w:rPr>
        <w:t xml:space="preserve">   </w:t>
      </w:r>
      <w:r>
        <w:rPr>
          <w:rFonts w:hint="eastAsia" w:ascii="微软雅黑" w:hAnsi="微软雅黑" w:cs="微软雅黑"/>
        </w:rPr>
      </w:r>
      <w:r/>
    </w:p>
    <w:p>
      <w:pPr>
        <w:pStyle w:val="928"/>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928"/>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928"/>
        <w:spacing w:line="420" w:lineRule="exact"/>
        <w:rPr>
          <w:rFonts w:hint="eastAsia"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rPr>
          <w:rFonts w:hint="eastAsia" w:ascii="微软雅黑" w:hAnsi="微软雅黑" w:cs="微软雅黑"/>
          <w:sz w:val="18"/>
          <w:szCs w:val="18"/>
        </w:rPr>
      </w:r>
      <w:r/>
    </w:p>
    <w:p>
      <w:pPr>
        <w:pStyle w:val="947"/>
        <w:ind w:left="1260"/>
        <w:rPr>
          <w:rFonts w:hint="eastAsia" w:ascii="微软雅黑" w:hAnsi="微软雅黑" w:cs="微软雅黑"/>
        </w:rPr>
      </w:pPr>
      <w:r>
        <w:rPr>
          <w:rFonts w:hint="eastAsia" w:ascii="微软雅黑" w:hAnsi="微软雅黑" w:cs="微软雅黑"/>
        </w:rPr>
      </w:r>
      <w:r/>
    </w:p>
    <w:p>
      <w:pPr>
        <w:pStyle w:val="989"/>
        <w:jc w:val="left"/>
        <w:rPr>
          <w:rFonts w:hint="eastAsia" w:ascii="微软雅黑" w:hAnsi="微软雅黑" w:cs="微软雅黑"/>
          <w:b/>
          <w:bCs w:val="0"/>
          <w:sz w:val="24"/>
          <w:szCs w:val="24"/>
        </w:rPr>
      </w:pPr>
      <w:r/>
      <w:bookmarkStart w:id="274" w:name="_Toc9754"/>
      <w:r/>
      <w:bookmarkStart w:id="275" w:name="_Toc15629"/>
      <w:r>
        <w:rPr>
          <w:rFonts w:hint="eastAsia" w:ascii="微软雅黑" w:hAnsi="微软雅黑" w:cs="微软雅黑"/>
          <w:b/>
          <w:bCs w:val="0"/>
          <w:sz w:val="24"/>
          <w:szCs w:val="24"/>
        </w:rPr>
        <w:t xml:space="preserve">2.声明</w:t>
      </w:r>
      <w:bookmarkEnd w:id="274"/>
      <w:r>
        <w:rPr>
          <w:rFonts w:hint="eastAsia" w:ascii="微软雅黑" w:hAnsi="微软雅黑" w:cs="微软雅黑"/>
          <w:b/>
          <w:bCs w:val="0"/>
          <w:sz w:val="24"/>
          <w:szCs w:val="24"/>
        </w:rPr>
        <w:t xml:space="preserve">（参考格式）</w:t>
      </w:r>
      <w:bookmarkEnd w:id="275"/>
      <w:r>
        <w:rPr>
          <w:rFonts w:hint="eastAsia" w:ascii="微软雅黑" w:hAnsi="微软雅黑" w:cs="微软雅黑"/>
          <w:b/>
          <w:bCs w:val="0"/>
          <w:sz w:val="24"/>
          <w:szCs w:val="24"/>
        </w:rPr>
      </w:r>
      <w:r/>
    </w:p>
    <w:p>
      <w:pPr>
        <w:pStyle w:val="928"/>
        <w:jc w:val="center"/>
        <w:rPr>
          <w:b/>
          <w:bCs/>
          <w:sz w:val="24"/>
          <w:szCs w:val="24"/>
        </w:rPr>
      </w:pPr>
      <w:r>
        <w:rPr>
          <w:rFonts w:hint="eastAsia"/>
          <w:b/>
          <w:bCs/>
          <w:sz w:val="24"/>
          <w:szCs w:val="24"/>
        </w:rPr>
        <w:t xml:space="preserve">声  明</w:t>
      </w:r>
      <w:r>
        <w:rPr>
          <w:b/>
          <w:bCs/>
          <w:sz w:val="24"/>
          <w:szCs w:val="24"/>
        </w:rPr>
      </w:r>
      <w:r/>
    </w:p>
    <w:p>
      <w:pPr>
        <w:pStyle w:val="928"/>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928"/>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失信主体、政府采购严重违法失信行为当事主体等严重失信记录名单。</w:t>
      </w:r>
      <w:r>
        <w:rPr>
          <w:rFonts w:hint="eastAsia" w:ascii="微软雅黑" w:hAnsi="微软雅黑" w:cs="微软雅黑"/>
          <w:szCs w:val="21"/>
        </w:rPr>
      </w:r>
      <w:r/>
    </w:p>
    <w:p>
      <w:pPr>
        <w:pStyle w:val="928"/>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928"/>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947"/>
        <w:ind w:left="1260"/>
        <w:rPr>
          <w:rFonts w:hint="eastAsia" w:ascii="微软雅黑" w:hAnsi="微软雅黑" w:cs="微软雅黑"/>
        </w:rPr>
      </w:pP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r>
      <w:r/>
    </w:p>
    <w:p>
      <w:pPr>
        <w:pStyle w:val="928"/>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928"/>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928"/>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947"/>
        <w:ind w:left="0"/>
        <w:rPr>
          <w:rFonts w:hint="eastAsia" w:ascii="微软雅黑" w:hAnsi="微软雅黑" w:cs="微软雅黑"/>
          <w:szCs w:val="21"/>
        </w:rPr>
      </w:pPr>
      <w:r>
        <w:rPr>
          <w:rFonts w:hint="eastAsia" w:ascii="微软雅黑" w:hAnsi="微软雅黑" w:cs="微软雅黑"/>
          <w:szCs w:val="21"/>
        </w:rPr>
      </w:r>
      <w:r/>
    </w:p>
    <w:p>
      <w:pPr>
        <w:pStyle w:val="947"/>
        <w:ind w:left="0"/>
        <w:spacing w:line="40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注：</w:t>
      </w:r>
      <w:r>
        <w:rPr>
          <w:rFonts w:hint="eastAsia" w:ascii="微软雅黑" w:hAnsi="微软雅黑" w:cs="微软雅黑"/>
          <w:b/>
          <w:bCs/>
          <w:sz w:val="18"/>
          <w:szCs w:val="18"/>
        </w:rPr>
      </w:r>
      <w:r/>
    </w:p>
    <w:p>
      <w:pPr>
        <w:pStyle w:val="947"/>
        <w:numPr>
          <w:ilvl w:val="0"/>
          <w:numId w:val="17"/>
        </w:numPr>
        <w:spacing w:line="400" w:lineRule="exact"/>
        <w:rPr>
          <w:rFonts w:hint="eastAsia" w:ascii="微软雅黑" w:hAnsi="微软雅黑" w:cs="微软雅黑"/>
          <w:sz w:val="18"/>
          <w:szCs w:val="18"/>
        </w:rPr>
      </w:pPr>
      <w:r>
        <w:rPr>
          <w:rFonts w:hint="eastAsia" w:ascii="微软雅黑" w:hAnsi="微软雅黑" w:cs="微软雅黑"/>
          <w:b/>
          <w:bCs/>
          <w:sz w:val="18"/>
          <w:szCs w:val="18"/>
        </w:rPr>
        <w:t xml:space="preserve">重大违法记录</w:t>
      </w:r>
      <w:r>
        <w:rPr>
          <w:rFonts w:hint="eastAsia" w:ascii="微软雅黑" w:hAnsi="微软雅黑" w:cs="微软雅黑"/>
          <w:b/>
          <w:bCs/>
          <w:spacing w:val="-5"/>
          <w:sz w:val="18"/>
          <w:szCs w:val="18"/>
        </w:rPr>
        <w:t xml:space="preserve">是指供应商因违法经营受到刑事处罚或者责令停产停业、吊销许可证或者执照、较大数额罚款等行政处罚。</w:t>
      </w:r>
      <w:r>
        <w:rPr>
          <w:rFonts w:hint="eastAsia" w:ascii="微软雅黑" w:hAnsi="微软雅黑" w:cs="微软雅黑"/>
          <w:sz w:val="18"/>
          <w:szCs w:val="18"/>
        </w:rPr>
      </w:r>
      <w:r/>
    </w:p>
    <w:p>
      <w:pPr>
        <w:pStyle w:val="947"/>
        <w:numPr>
          <w:ilvl w:val="0"/>
          <w:numId w:val="17"/>
        </w:numPr>
        <w:spacing w:line="400" w:lineRule="exact"/>
        <w:rPr>
          <w:rFonts w:hint="eastAsia" w:ascii="微软雅黑" w:hAnsi="微软雅黑" w:cs="微软雅黑"/>
          <w:sz w:val="18"/>
          <w:szCs w:val="18"/>
        </w:rPr>
      </w:pPr>
      <w:r>
        <w:rPr>
          <w:rFonts w:hint="eastAsia" w:ascii="微软雅黑" w:hAnsi="微软雅黑" w:cs="微软雅黑"/>
          <w:b/>
          <w:bCs/>
          <w:spacing w:val="-5"/>
          <w:sz w:val="18"/>
          <w:szCs w:val="18"/>
        </w:rPr>
        <w:t xml:space="preserve">较大数额罚款标准参照财库〔2022〕3 号文规定执行，指的是 200万元以上数额。</w:t>
      </w:r>
      <w:r>
        <w:rPr>
          <w:rFonts w:hint="eastAsia" w:ascii="微软雅黑" w:hAnsi="微软雅黑" w:cs="微软雅黑"/>
          <w:sz w:val="18"/>
          <w:szCs w:val="18"/>
        </w:rPr>
      </w:r>
      <w:r/>
    </w:p>
    <w:p>
      <w:pPr>
        <w:pStyle w:val="928"/>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928"/>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989"/>
        <w:jc w:val="left"/>
        <w:rPr>
          <w:rFonts w:hint="eastAsia" w:ascii="微软雅黑" w:hAnsi="微软雅黑" w:cs="微软雅黑"/>
          <w:b/>
          <w:bCs w:val="0"/>
          <w:sz w:val="24"/>
          <w:szCs w:val="24"/>
        </w:rPr>
      </w:pPr>
      <w:r/>
      <w:bookmarkStart w:id="276" w:name="_Toc403725583"/>
      <w:r/>
      <w:bookmarkStart w:id="277" w:name="_Toc487098617"/>
      <w:r>
        <w:rPr>
          <w:rFonts w:hint="eastAsia" w:ascii="微软雅黑" w:hAnsi="微软雅黑" w:cs="微软雅黑"/>
          <w:b/>
          <w:bCs w:val="0"/>
          <w:sz w:val="24"/>
          <w:szCs w:val="24"/>
        </w:rPr>
        <w:br w:type="page" w:clear="all"/>
      </w:r>
      <w:bookmarkStart w:id="278" w:name="_Toc10960"/>
      <w:r/>
      <w:bookmarkStart w:id="279" w:name="_Toc1448"/>
      <w:r>
        <w:rPr>
          <w:rFonts w:hint="eastAsia" w:ascii="微软雅黑" w:hAnsi="微软雅黑" w:cs="微软雅黑"/>
          <w:b/>
          <w:bCs w:val="0"/>
          <w:sz w:val="24"/>
          <w:szCs w:val="24"/>
        </w:rPr>
        <w:t xml:space="preserve">3.承诺（参考格式）</w:t>
      </w:r>
      <w:bookmarkEnd w:id="278"/>
      <w:r>
        <w:rPr>
          <w:rFonts w:hint="eastAsia" w:ascii="微软雅黑" w:hAnsi="微软雅黑" w:cs="微软雅黑"/>
          <w:b/>
          <w:bCs w:val="0"/>
          <w:sz w:val="24"/>
          <w:szCs w:val="24"/>
        </w:rPr>
      </w:r>
      <w:r/>
    </w:p>
    <w:p>
      <w:pPr>
        <w:pStyle w:val="928"/>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928"/>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928"/>
        <w:numPr>
          <w:ilvl w:val="0"/>
          <w:numId w:val="18"/>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我单位未组成联合体响应，成交后不进行分包、转包。</w:t>
      </w:r>
      <w:r>
        <w:rPr>
          <w:rFonts w:hint="eastAsia" w:ascii="微软雅黑" w:hAnsi="微软雅黑" w:cs="微软雅黑"/>
          <w:szCs w:val="21"/>
        </w:rPr>
      </w:r>
      <w:r/>
    </w:p>
    <w:p>
      <w:pPr>
        <w:pStyle w:val="928"/>
        <w:numPr>
          <w:ilvl w:val="0"/>
          <w:numId w:val="18"/>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（负责人姓名、身份证号），与我单位存在直接控股、管理关系的单位为（单位名称），不存在与我单位负责人为同一人或者存在直接控股、管理关系的不同供应商同时参加本项目同一包响应的情形。</w:t>
      </w:r>
      <w:r>
        <w:rPr>
          <w:rFonts w:hint="eastAsia" w:ascii="微软雅黑" w:hAnsi="微软雅黑" w:cs="微软雅黑"/>
          <w:szCs w:val="21"/>
        </w:rPr>
      </w:r>
      <w:r/>
    </w:p>
    <w:p>
      <w:pPr>
        <w:pStyle w:val="928"/>
        <w:numPr>
          <w:ilvl w:val="0"/>
          <w:numId w:val="18"/>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我单位不属于为采购项目提供整体设计、规范编制或者项目管理、监理、检测等服务的情形。我单位未被列入失信被执行人、重大税收违法失信主体名单、政府采购严重违法失信行为记录名单。</w:t>
      </w:r>
      <w:r>
        <w:rPr>
          <w:rFonts w:hint="eastAsia" w:ascii="微软雅黑" w:hAnsi="微软雅黑" w:cs="微软雅黑"/>
          <w:szCs w:val="21"/>
        </w:rPr>
      </w:r>
      <w:r/>
    </w:p>
    <w:p>
      <w:pPr>
        <w:pStyle w:val="928"/>
        <w:spacing w:line="440" w:lineRule="exact"/>
        <w:rPr>
          <w:rFonts w:hint="eastAsia" w:ascii="微软雅黑" w:hAnsi="微软雅黑" w:cs="微软雅黑"/>
          <w:szCs w:val="21"/>
        </w:rPr>
      </w:pPr>
      <w:r>
        <w:rPr>
          <w:rFonts w:hint="eastAsia" w:ascii="微软雅黑" w:hAnsi="微软雅黑" w:cs="微软雅黑"/>
          <w:szCs w:val="21"/>
        </w:rPr>
      </w:r>
      <w:r/>
    </w:p>
    <w:p>
      <w:pPr>
        <w:pStyle w:val="928"/>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928"/>
        <w:rPr>
          <w:rFonts w:hint="eastAsia" w:ascii="微软雅黑" w:hAnsi="微软雅黑" w:cs="微软雅黑"/>
          <w:bCs/>
          <w:szCs w:val="21"/>
        </w:rPr>
      </w:pPr>
      <w:r>
        <w:rPr>
          <w:rFonts w:hint="eastAsia" w:ascii="微软雅黑" w:hAnsi="微软雅黑" w:cs="微软雅黑"/>
          <w:bCs/>
          <w:szCs w:val="21"/>
        </w:rPr>
      </w:r>
      <w:r/>
    </w:p>
    <w:p>
      <w:pPr>
        <w:pStyle w:val="939"/>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939"/>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939"/>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939"/>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928"/>
      </w:pPr>
      <w:r/>
      <w:r/>
    </w:p>
    <w:p>
      <w:pPr>
        <w:pStyle w:val="928"/>
      </w:pPr>
      <w:r/>
      <w:r/>
    </w:p>
    <w:p>
      <w:pPr>
        <w:pStyle w:val="928"/>
      </w:pPr>
      <w:r/>
      <w:r/>
    </w:p>
    <w:p>
      <w:pPr>
        <w:pStyle w:val="947"/>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928"/>
        <w:rPr>
          <w:rFonts w:hint="eastAsia" w:ascii="微软雅黑" w:hAnsi="微软雅黑" w:cs="微软雅黑"/>
          <w:b/>
          <w:bCs/>
          <w:sz w:val="24"/>
          <w:szCs w:val="24"/>
        </w:rPr>
      </w:pPr>
      <w:r>
        <w:rPr>
          <w:rFonts w:hint="eastAsia" w:ascii="微软雅黑" w:hAnsi="微软雅黑" w:cs="微软雅黑"/>
          <w:b/>
          <w:bCs/>
          <w:sz w:val="24"/>
          <w:szCs w:val="24"/>
        </w:rPr>
      </w:r>
      <w:r/>
    </w:p>
    <w:p>
      <w:pPr>
        <w:pStyle w:val="947"/>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989"/>
        <w:jc w:val="left"/>
        <w:rPr>
          <w:b/>
          <w:bCs w:val="0"/>
          <w:sz w:val="24"/>
          <w:szCs w:val="24"/>
        </w:rPr>
      </w:pPr>
      <w:r>
        <w:rPr>
          <w:rFonts w:ascii="微软雅黑" w:hAnsi="微软雅黑" w:cs="微软雅黑"/>
          <w:b/>
          <w:bCs w:val="0"/>
          <w:sz w:val="24"/>
          <w:szCs w:val="24"/>
        </w:rPr>
        <w:br w:type="page" w:clear="all"/>
      </w:r>
      <w:bookmarkStart w:id="280" w:name="_Toc31939"/>
      <w:r>
        <w:rPr>
          <w:rFonts w:hint="eastAsia" w:ascii="微软雅黑" w:hAnsi="微软雅黑" w:cs="微软雅黑"/>
          <w:b/>
          <w:bCs w:val="0"/>
          <w:sz w:val="24"/>
          <w:szCs w:val="24"/>
        </w:rPr>
        <w:t xml:space="preserve">附件1.中小企业声明函</w:t>
      </w:r>
      <w:bookmarkEnd w:id="276"/>
      <w:r/>
      <w:bookmarkEnd w:id="277"/>
      <w:r/>
      <w:bookmarkEnd w:id="279"/>
      <w:r/>
      <w:bookmarkEnd w:id="280"/>
      <w:r>
        <w:rPr>
          <w:b/>
          <w:bCs w:val="0"/>
          <w:sz w:val="24"/>
          <w:szCs w:val="24"/>
        </w:rPr>
      </w:r>
      <w:r/>
    </w:p>
    <w:p>
      <w:pPr>
        <w:pStyle w:val="928"/>
        <w:rPr>
          <w:b/>
          <w:bCs/>
          <w:sz w:val="28"/>
          <w:szCs w:val="28"/>
        </w:rPr>
      </w:pPr>
      <w:r>
        <w:rPr>
          <w:rFonts w:hint="eastAsia"/>
          <w:b/>
          <w:bCs/>
          <w:sz w:val="28"/>
          <w:szCs w:val="28"/>
        </w:rPr>
        <w:t xml:space="preserve">（本项目专门面向中小企业采购，供应商须提供此声明函）</w:t>
      </w:r>
      <w:r>
        <w:rPr>
          <w:b/>
          <w:bCs/>
          <w:sz w:val="28"/>
          <w:szCs w:val="28"/>
        </w:rPr>
      </w:r>
      <w:r/>
    </w:p>
    <w:p>
      <w:pPr>
        <w:pStyle w:val="928"/>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r>
        <w:rPr>
          <w:rFonts w:hint="eastAsia" w:ascii="微软雅黑" w:hAnsi="微软雅黑" w:cs="微软雅黑"/>
          <w:b/>
          <w:bCs/>
        </w:rPr>
      </w:r>
      <w:r/>
    </w:p>
    <w:p>
      <w:pPr>
        <w:pStyle w:val="1152"/>
      </w:pPr>
      <w:r/>
      <w:r/>
    </w:p>
    <w:p>
      <w:pPr>
        <w:pStyle w:val="92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w:t>
      </w:r>
      <w:r>
        <w:rPr>
          <w:rFonts w:hint="eastAsia" w:ascii="微软雅黑" w:hAnsi="微软雅黑" w:cs="微软雅黑"/>
          <w:szCs w:val="21"/>
          <w:u w:val="single"/>
        </w:rPr>
        <w:t xml:space="preserve">  江宁经济技术开发区人民法院  </w:t>
      </w:r>
      <w:r>
        <w:rPr>
          <w:rFonts w:hint="eastAsia" w:ascii="微软雅黑" w:hAnsi="微软雅黑" w:cs="微软雅黑"/>
          <w:szCs w:val="21"/>
        </w:rPr>
        <w:t xml:space="preserve">的</w:t>
      </w:r>
      <w:r>
        <w:rPr>
          <w:rFonts w:hint="eastAsia" w:ascii="微软雅黑" w:hAnsi="微软雅黑" w:cs="微软雅黑"/>
          <w:szCs w:val="21"/>
          <w:u w:val="single"/>
        </w:rPr>
        <w:t xml:space="preserve">  江宁经济技术开发区人民法院无纸化外包服务  </w:t>
      </w:r>
      <w:r>
        <w:rPr>
          <w:rFonts w:hint="eastAsia" w:ascii="微软雅黑" w:hAnsi="微软雅黑" w:cs="微软雅黑"/>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928"/>
        <w:numPr>
          <w:ilvl w:val="0"/>
          <w:numId w:val="19"/>
        </w:numPr>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u w:val="single"/>
        </w:rPr>
        <w:t xml:space="preserve">    （标的名称）</w:t>
      </w:r>
      <w:r>
        <w:rPr>
          <w:rFonts w:hint="eastAsia" w:ascii="微软雅黑" w:hAnsi="微软雅黑" w:cs="微软雅黑"/>
          <w:szCs w:val="21"/>
        </w:rPr>
        <w:t xml:space="preserve">，属于</w:t>
      </w:r>
      <w:r>
        <w:rPr>
          <w:rFonts w:hint="eastAsia" w:ascii="微软雅黑" w:hAnsi="微软雅黑" w:cs="微软雅黑"/>
          <w:szCs w:val="21"/>
          <w:u w:val="single"/>
        </w:rPr>
        <w:t xml:space="preserve">                 （采购文件中明确的所属行业）</w:t>
      </w:r>
      <w:r>
        <w:rPr>
          <w:rFonts w:hint="eastAsia" w:ascii="微软雅黑" w:hAnsi="微软雅黑" w:cs="微软雅黑"/>
          <w:szCs w:val="21"/>
        </w:rPr>
        <w:t xml:space="preserve">；承建（承接）企业为</w:t>
      </w:r>
      <w:r>
        <w:rPr>
          <w:rFonts w:hint="eastAsia" w:ascii="微软雅黑" w:hAnsi="微软雅黑" w:cs="微软雅黑"/>
          <w:szCs w:val="21"/>
          <w:u w:val="single"/>
        </w:rPr>
        <w:t xml:space="preserve">       （企业名称），</w:t>
      </w:r>
      <w:r>
        <w:rPr>
          <w:rFonts w:hint="eastAsia" w:ascii="微软雅黑" w:hAnsi="微软雅黑" w:cs="微软雅黑"/>
          <w:szCs w:val="21"/>
        </w:rPr>
        <w:t xml:space="preserve">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w:t>
      </w:r>
      <w:r>
        <w:rPr>
          <w:rFonts w:hint="eastAsia" w:ascii="微软雅黑" w:hAnsi="微软雅黑" w:cs="微软雅黑"/>
          <w:szCs w:val="21"/>
          <w:u w:val="single"/>
        </w:rPr>
        <w:t xml:space="preserve">         （中型企业、小型企业、微型企业）</w:t>
      </w:r>
      <w:r>
        <w:rPr>
          <w:rFonts w:hint="eastAsia" w:ascii="微软雅黑" w:hAnsi="微软雅黑" w:cs="微软雅黑"/>
          <w:szCs w:val="21"/>
        </w:rPr>
        <w:t xml:space="preserve">；</w:t>
      </w:r>
      <w:r>
        <w:rPr>
          <w:rFonts w:hint="eastAsia" w:ascii="微软雅黑" w:hAnsi="微软雅黑" w:cs="微软雅黑"/>
          <w:szCs w:val="21"/>
        </w:rPr>
      </w:r>
      <w:r/>
    </w:p>
    <w:p>
      <w:pPr>
        <w:pStyle w:val="92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92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928"/>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928"/>
        <w:ind w:firstLine="420"/>
        <w:spacing w:line="420" w:lineRule="exact"/>
        <w:rPr>
          <w:rFonts w:hint="eastAsia" w:ascii="微软雅黑" w:hAnsi="微软雅黑" w:cs="微软雅黑"/>
        </w:rPr>
      </w:pPr>
      <w:r>
        <w:rPr>
          <w:rFonts w:hint="eastAsia" w:ascii="微软雅黑" w:hAnsi="微软雅黑" w:cs="微软雅黑"/>
        </w:rPr>
      </w:r>
      <w:r/>
    </w:p>
    <w:p>
      <w:pPr>
        <w:pStyle w:val="928"/>
        <w:ind w:firstLine="420"/>
        <w:jc w:val="center"/>
        <w:spacing w:line="420" w:lineRule="exact"/>
        <w:rPr>
          <w:rFonts w:hint="eastAsia" w:ascii="微软雅黑" w:hAnsi="微软雅黑" w:cs="微软雅黑"/>
        </w:rPr>
      </w:pPr>
      <w:r/>
      <w:bookmarkStart w:id="281" w:name="_Toc7691"/>
      <w:r>
        <w:rPr>
          <w:rFonts w:hint="eastAsia" w:ascii="微软雅黑" w:hAnsi="微软雅黑" w:cs="微软雅黑"/>
        </w:rPr>
        <w:t xml:space="preserve">                          企业名称（盖章）：</w:t>
      </w:r>
      <w:bookmarkEnd w:id="281"/>
      <w:r>
        <w:rPr>
          <w:rFonts w:hint="eastAsia" w:ascii="微软雅黑" w:hAnsi="微软雅黑" w:cs="微软雅黑"/>
        </w:rPr>
        <w:t xml:space="preserve"> </w:t>
      </w:r>
      <w:r>
        <w:rPr>
          <w:rFonts w:hint="eastAsia" w:ascii="微软雅黑" w:hAnsi="微软雅黑" w:cs="微软雅黑"/>
        </w:rPr>
      </w:r>
      <w:r/>
    </w:p>
    <w:p>
      <w:pPr>
        <w:pStyle w:val="928"/>
        <w:ind w:firstLine="420"/>
        <w:jc w:val="center"/>
        <w:spacing w:line="420" w:lineRule="exact"/>
        <w:rPr>
          <w:rFonts w:hint="eastAsia" w:ascii="微软雅黑" w:hAnsi="微软雅黑" w:cs="微软雅黑"/>
        </w:rPr>
      </w:pPr>
      <w:r/>
      <w:bookmarkStart w:id="282" w:name="_Toc8519"/>
      <w:r>
        <w:rPr>
          <w:rFonts w:hint="eastAsia" w:ascii="微软雅黑" w:hAnsi="微软雅黑" w:cs="微软雅黑"/>
        </w:rPr>
        <w:t xml:space="preserve">               日 期：</w:t>
      </w:r>
      <w:bookmarkEnd w:id="282"/>
      <w:r>
        <w:rPr>
          <w:rFonts w:hint="eastAsia" w:ascii="微软雅黑" w:hAnsi="微软雅黑" w:cs="微软雅黑"/>
        </w:rPr>
      </w:r>
      <w:r/>
    </w:p>
    <w:p>
      <w:pPr>
        <w:pStyle w:val="928"/>
        <w:ind w:firstLine="420"/>
        <w:spacing w:line="420" w:lineRule="exact"/>
        <w:rPr>
          <w:rFonts w:hint="eastAsia" w:ascii="微软雅黑" w:hAnsi="微软雅黑" w:cs="微软雅黑"/>
        </w:rPr>
      </w:pPr>
      <w:r>
        <w:rPr>
          <w:rFonts w:hint="eastAsia" w:ascii="微软雅黑" w:hAnsi="微软雅黑" w:cs="微软雅黑"/>
        </w:rPr>
      </w:r>
      <w:r/>
    </w:p>
    <w:p>
      <w:pPr>
        <w:pStyle w:val="1152"/>
        <w:rPr>
          <w:rFonts w:hint="eastAsia" w:ascii="微软雅黑" w:hAnsi="微软雅黑" w:cs="微软雅黑"/>
        </w:rPr>
      </w:pPr>
      <w:r>
        <w:rPr>
          <w:rFonts w:hint="eastAsia" w:ascii="微软雅黑" w:hAnsi="微软雅黑" w:cs="微软雅黑"/>
        </w:rPr>
      </w:r>
      <w:r/>
    </w:p>
    <w:p>
      <w:pPr>
        <w:pStyle w:val="1152"/>
        <w:rPr>
          <w:rFonts w:hint="eastAsia" w:ascii="微软雅黑" w:hAnsi="微软雅黑" w:cs="微软雅黑"/>
        </w:rPr>
      </w:pPr>
      <w:r>
        <w:rPr>
          <w:rFonts w:hint="eastAsia" w:ascii="微软雅黑" w:hAnsi="微软雅黑" w:cs="微软雅黑"/>
        </w:rPr>
      </w:r>
      <w:r/>
    </w:p>
    <w:p>
      <w:pPr>
        <w:pStyle w:val="928"/>
        <w:spacing w:line="420" w:lineRule="exact"/>
        <w:rPr>
          <w:rFonts w:hint="eastAsia" w:ascii="微软雅黑" w:hAnsi="微软雅黑" w:cs="微软雅黑"/>
          <w:b/>
          <w:bCs/>
          <w:sz w:val="18"/>
          <w:szCs w:val="18"/>
        </w:rPr>
      </w:pPr>
      <w:r>
        <w:rPr>
          <w:rFonts w:hint="eastAsia" w:ascii="微软雅黑" w:hAnsi="微软雅黑" w:cs="微软雅黑"/>
          <w:sz w:val="18"/>
          <w:szCs w:val="18"/>
        </w:rPr>
        <w:t xml:space="preserve">注：从业人员、营业收入、资产总额填报上一年度数据，无上一年度数据的新成立企业可不填报。</w:t>
      </w:r>
      <w:r>
        <w:rPr>
          <w:rFonts w:hint="eastAsia" w:ascii="微软雅黑" w:hAnsi="微软雅黑" w:cs="微软雅黑"/>
          <w:b/>
          <w:bCs/>
          <w:sz w:val="18"/>
          <w:szCs w:val="18"/>
        </w:rPr>
      </w:r>
      <w:r/>
    </w:p>
    <w:p>
      <w:pPr>
        <w:pStyle w:val="928"/>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928"/>
        <w:rPr>
          <w:rFonts w:hint="eastAsia" w:ascii="微软雅黑" w:hAnsi="微软雅黑" w:cs="微软雅黑"/>
          <w:b/>
          <w:sz w:val="24"/>
          <w:szCs w:val="24"/>
        </w:rPr>
      </w:pPr>
      <w:r/>
      <w:bookmarkStart w:id="283" w:name="_Toc25461"/>
      <w:r>
        <w:rPr>
          <w:rFonts w:hint="eastAsia" w:ascii="微软雅黑" w:hAnsi="微软雅黑" w:cs="微软雅黑"/>
          <w:b/>
          <w:sz w:val="24"/>
          <w:szCs w:val="24"/>
        </w:rPr>
        <w:br w:type="page" w:clear="all"/>
      </w:r>
      <w:r>
        <w:rPr>
          <w:rFonts w:hint="eastAsia" w:ascii="微软雅黑" w:hAnsi="微软雅黑" w:cs="微软雅黑"/>
          <w:b/>
          <w:sz w:val="24"/>
          <w:szCs w:val="24"/>
        </w:rPr>
        <w:t xml:space="preserve">附件2.残疾人福利性单位声明函</w:t>
      </w:r>
      <w:bookmarkEnd w:id="283"/>
      <w:r>
        <w:rPr>
          <w:rFonts w:hint="eastAsia" w:ascii="微软雅黑" w:hAnsi="微软雅黑" w:cs="微软雅黑"/>
          <w:b/>
          <w:sz w:val="24"/>
          <w:szCs w:val="24"/>
        </w:rPr>
      </w:r>
      <w:r/>
    </w:p>
    <w:p>
      <w:pPr>
        <w:pStyle w:val="928"/>
        <w:rPr>
          <w:b/>
          <w:bCs/>
          <w:sz w:val="24"/>
          <w:szCs w:val="24"/>
        </w:rPr>
      </w:pPr>
      <w:r>
        <w:rPr>
          <w:rFonts w:hint="eastAsia"/>
          <w:b/>
          <w:bCs/>
          <w:sz w:val="24"/>
          <w:szCs w:val="24"/>
        </w:rPr>
        <w:t xml:space="preserve">（如不属于残疾人福利性单位，则无需提供此声明函）</w:t>
      </w:r>
      <w:r>
        <w:rPr>
          <w:b/>
          <w:bCs/>
          <w:sz w:val="24"/>
          <w:szCs w:val="24"/>
        </w:rPr>
      </w:r>
      <w:r/>
    </w:p>
    <w:p>
      <w:pPr>
        <w:pStyle w:val="928"/>
      </w:pPr>
      <w:r/>
      <w:r/>
    </w:p>
    <w:p>
      <w:pPr>
        <w:pStyle w:val="974"/>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97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97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97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97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947"/>
        <w:ind w:left="1260"/>
        <w:rPr>
          <w:rFonts w:hint="eastAsia" w:ascii="微软雅黑" w:hAnsi="微软雅黑" w:cs="微软雅黑"/>
        </w:rPr>
      </w:pPr>
      <w:r>
        <w:rPr>
          <w:rFonts w:hint="eastAsia" w:ascii="微软雅黑" w:hAnsi="微软雅黑" w:cs="微软雅黑"/>
        </w:rPr>
      </w:r>
      <w:r/>
    </w:p>
    <w:p>
      <w:pPr>
        <w:pStyle w:val="928"/>
        <w:rPr>
          <w:rFonts w:hint="eastAsia" w:ascii="微软雅黑" w:hAnsi="微软雅黑" w:cs="微软雅黑"/>
        </w:rPr>
      </w:pPr>
      <w:r>
        <w:rPr>
          <w:rFonts w:hint="eastAsia" w:ascii="微软雅黑" w:hAnsi="微软雅黑" w:cs="微软雅黑"/>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方正仿宋_GBK">
    <w:panose1 w:val="020B0503020202020204"/>
  </w:font>
  <w:font w:name="Cambria">
    <w:panose1 w:val="02040503050406030204"/>
  </w:font>
  <w:font w:name="Courier New">
    <w:panose1 w:val="02070309020205020404"/>
  </w:font>
  <w:font w:name="宋体_GB2312">
    <w:panose1 w:val="02010600030101010101"/>
  </w:font>
  <w:font w:name="黑体">
    <w:panose1 w:val="02010609060101010101"/>
  </w:font>
  <w:font w:name="Verdana">
    <w:panose1 w:val="020B0604030504040204"/>
  </w:font>
  <w:font w:name="仿宋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2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28"/>
                    </w:pPr>
                    <w:r/>
                    <w:r/>
                  </w:p>
                </w:txbxContent>
              </v:textbox>
            </v:shape>
          </w:pict>
        </mc:Fallback>
      </mc:AlternateContent>
    </w:r>
    <w:r>
      <w:rPr>
        <w:rFonts w:ascii="宋体_GB2312" w:eastAsia="宋体_GB2312"/>
      </w:rPr>
    </w:r>
    <w:r/>
  </w:p>
  <w:p>
    <w:pPr>
      <w:pStyle w:val="1146"/>
      <w:jc w:val="center"/>
      <w:tabs>
        <w:tab w:val="center" w:pos="4153" w:leader="none"/>
        <w:tab w:val="right" w:pos="8306" w:leader="none"/>
      </w:tabs>
      <w:rPr>
        <w:rFonts w:ascii="宋体_GB2312" w:eastAsia="宋体_GB2312"/>
      </w:rPr>
    </w:pP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6"/>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2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6"/>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left="3150" w:hanging="3150"/>
      <w:jc w:val="left"/>
      <w:widowControl/>
      <w:tabs>
        <w:tab w:val="left" w:pos="12355" w:leader="none"/>
      </w:tabs>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1905</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0.1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tab/>
    </w: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JSHC-2026050359B2</w:t>
    </w:r>
    <w:r>
      <w:rPr>
        <w:rFonts w:hint="eastAsia" w:ascii="微软雅黑" w:hAnsi="微软雅黑" w:cs="微软雅黑"/>
        <w:sz w:val="22"/>
        <w:szCs w:val="24"/>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left"/>
      <w:widowControl/>
      <w:rPr>
        <w:rFonts w:hint="eastAsia"/>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JSHC-2026050359B2</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bullet"/>
      <w:pStyle w:val="1251"/>
      <w:isLgl w:val="false"/>
      <w:suff w:val="tab"/>
      <w:lvlText w:val=""/>
      <w:lvlJc w:val="left"/>
      <w:pPr>
        <w:pStyle w:val="928"/>
        <w:ind w:left="360" w:hanging="360"/>
        <w:tabs>
          <w:tab w:val="num" w:pos="360" w:leader="none"/>
        </w:tabs>
      </w:pPr>
      <w:rPr>
        <w:rFonts w:ascii="Symbol" w:hAnsi="Symbol"/>
      </w:rPr>
    </w:lvl>
    <w:lvl w:ilvl="1">
      <w:start w:val="1"/>
      <w:numFmt w:val="bullet"/>
      <w:isLgl w:val="false"/>
      <w:suff w:val="tab"/>
      <w:lvlText w:val="o"/>
      <w:lvlJc w:val="left"/>
      <w:pPr>
        <w:pStyle w:val="928"/>
        <w:ind w:left="1080" w:hanging="360"/>
      </w:pPr>
      <w:rPr>
        <w:rFonts w:ascii="Courier New" w:hAnsi="Courier New" w:cs="Courier New"/>
      </w:rPr>
    </w:lvl>
    <w:lvl w:ilvl="2">
      <w:start w:val="1"/>
      <w:numFmt w:val="bullet"/>
      <w:isLgl w:val="false"/>
      <w:suff w:val="tab"/>
      <w:lvlText w:val=""/>
      <w:lvlJc w:val="left"/>
      <w:pPr>
        <w:pStyle w:val="928"/>
        <w:ind w:left="1800" w:hanging="360"/>
      </w:pPr>
      <w:rPr>
        <w:rFonts w:ascii="Wingdings" w:hAnsi="Wingdings"/>
      </w:rPr>
    </w:lvl>
    <w:lvl w:ilvl="3">
      <w:start w:val="1"/>
      <w:numFmt w:val="bullet"/>
      <w:isLgl w:val="false"/>
      <w:suff w:val="tab"/>
      <w:lvlText w:val=""/>
      <w:lvlJc w:val="left"/>
      <w:pPr>
        <w:pStyle w:val="928"/>
        <w:ind w:left="2520" w:hanging="360"/>
      </w:pPr>
      <w:rPr>
        <w:rFonts w:ascii="Symbol" w:hAnsi="Symbol"/>
      </w:rPr>
    </w:lvl>
    <w:lvl w:ilvl="4">
      <w:start w:val="1"/>
      <w:numFmt w:val="bullet"/>
      <w:isLgl w:val="false"/>
      <w:suff w:val="tab"/>
      <w:lvlText w:val="o"/>
      <w:lvlJc w:val="left"/>
      <w:pPr>
        <w:pStyle w:val="928"/>
        <w:ind w:left="3240" w:hanging="360"/>
      </w:pPr>
      <w:rPr>
        <w:rFonts w:ascii="Courier New" w:hAnsi="Courier New" w:cs="Courier New"/>
      </w:rPr>
    </w:lvl>
    <w:lvl w:ilvl="5">
      <w:start w:val="1"/>
      <w:numFmt w:val="bullet"/>
      <w:isLgl w:val="false"/>
      <w:suff w:val="tab"/>
      <w:lvlText w:val=""/>
      <w:lvlJc w:val="left"/>
      <w:pPr>
        <w:pStyle w:val="928"/>
        <w:ind w:left="3960" w:hanging="360"/>
      </w:pPr>
      <w:rPr>
        <w:rFonts w:ascii="Wingdings" w:hAnsi="Wingdings"/>
      </w:rPr>
    </w:lvl>
    <w:lvl w:ilvl="6">
      <w:start w:val="1"/>
      <w:numFmt w:val="bullet"/>
      <w:isLgl w:val="false"/>
      <w:suff w:val="tab"/>
      <w:lvlText w:val=""/>
      <w:lvlJc w:val="left"/>
      <w:pPr>
        <w:pStyle w:val="928"/>
        <w:ind w:left="4680" w:hanging="360"/>
      </w:pPr>
      <w:rPr>
        <w:rFonts w:ascii="Symbol" w:hAnsi="Symbol"/>
      </w:rPr>
    </w:lvl>
    <w:lvl w:ilvl="7">
      <w:start w:val="1"/>
      <w:numFmt w:val="bullet"/>
      <w:isLgl w:val="false"/>
      <w:suff w:val="tab"/>
      <w:lvlText w:val="o"/>
      <w:lvlJc w:val="left"/>
      <w:pPr>
        <w:pStyle w:val="928"/>
        <w:ind w:left="5400" w:hanging="360"/>
      </w:pPr>
      <w:rPr>
        <w:rFonts w:ascii="Courier New" w:hAnsi="Courier New" w:cs="Courier New"/>
      </w:rPr>
    </w:lvl>
    <w:lvl w:ilvl="8">
      <w:start w:val="1"/>
      <w:numFmt w:val="bullet"/>
      <w:isLgl w:val="false"/>
      <w:suff w:val="tab"/>
      <w:lvlText w:val=""/>
      <w:lvlJc w:val="left"/>
      <w:pPr>
        <w:pStyle w:val="928"/>
        <w:ind w:left="6120" w:hanging="360"/>
      </w:pPr>
      <w:rPr>
        <w:rFonts w:ascii="Wingdings" w:hAnsi="Wingdings"/>
      </w:rPr>
    </w:lvl>
  </w:abstractNum>
  <w:abstractNum w:abstractNumId="2">
    <w:multiLevelType w:val="hybridMultilevel"/>
    <w:lvl w:ilvl="0">
      <w:start w:val="1"/>
      <w:numFmt w:val="lowerLetter"/>
      <w:pStyle w:val="934"/>
      <w:isLgl w:val="false"/>
      <w:suff w:val="tab"/>
      <w:lvlText w:val="%1)"/>
      <w:lvlJc w:val="left"/>
      <w:pPr>
        <w:pStyle w:val="928"/>
        <w:ind w:left="990" w:hanging="360"/>
        <w:tabs>
          <w:tab w:val="num" w:pos="990" w:leader="none"/>
        </w:tabs>
      </w:pPr>
      <w:rPr>
        <w:rFonts w:hint="eastAsia"/>
      </w:rPr>
    </w:lvl>
    <w:lvl w:ilvl="1">
      <w:start w:val="1"/>
      <w:numFmt w:val="lowerLetter"/>
      <w:pStyle w:val="1262"/>
      <w:isLgl w:val="false"/>
      <w:suff w:val="tab"/>
      <w:lvlText w:val="%2)"/>
      <w:lvlJc w:val="left"/>
      <w:pPr>
        <w:pStyle w:val="928"/>
        <w:ind w:left="1470" w:hanging="420"/>
        <w:tabs>
          <w:tab w:val="num" w:pos="1470" w:leader="none"/>
        </w:tabs>
      </w:pPr>
    </w:lvl>
    <w:lvl w:ilvl="2">
      <w:start w:val="1"/>
      <w:numFmt w:val="lowerRoman"/>
      <w:isLgl w:val="false"/>
      <w:suff w:val="tab"/>
      <w:lvlText w:val="%3."/>
      <w:lvlJc w:val="right"/>
      <w:pPr>
        <w:pStyle w:val="928"/>
        <w:ind w:left="1890" w:hanging="420"/>
        <w:tabs>
          <w:tab w:val="num" w:pos="1890" w:leader="none"/>
        </w:tabs>
      </w:pPr>
    </w:lvl>
    <w:lvl w:ilvl="3">
      <w:start w:val="1"/>
      <w:numFmt w:val="decimal"/>
      <w:isLgl w:val="false"/>
      <w:suff w:val="tab"/>
      <w:lvlText w:val="%4."/>
      <w:lvlJc w:val="left"/>
      <w:pPr>
        <w:pStyle w:val="928"/>
        <w:ind w:left="2310" w:hanging="420"/>
        <w:tabs>
          <w:tab w:val="num" w:pos="2310" w:leader="none"/>
        </w:tabs>
      </w:pPr>
    </w:lvl>
    <w:lvl w:ilvl="4">
      <w:start w:val="1"/>
      <w:numFmt w:val="lowerLetter"/>
      <w:isLgl w:val="false"/>
      <w:suff w:val="tab"/>
      <w:lvlText w:val="%5)"/>
      <w:lvlJc w:val="left"/>
      <w:pPr>
        <w:pStyle w:val="928"/>
        <w:ind w:left="2730" w:hanging="420"/>
        <w:tabs>
          <w:tab w:val="num" w:pos="2730" w:leader="none"/>
        </w:tabs>
      </w:pPr>
    </w:lvl>
    <w:lvl w:ilvl="5">
      <w:start w:val="1"/>
      <w:numFmt w:val="lowerRoman"/>
      <w:isLgl w:val="false"/>
      <w:suff w:val="tab"/>
      <w:lvlText w:val="%6."/>
      <w:lvlJc w:val="right"/>
      <w:pPr>
        <w:pStyle w:val="928"/>
        <w:ind w:left="3150" w:hanging="420"/>
        <w:tabs>
          <w:tab w:val="num" w:pos="3150" w:leader="none"/>
        </w:tabs>
      </w:pPr>
    </w:lvl>
    <w:lvl w:ilvl="6">
      <w:start w:val="1"/>
      <w:numFmt w:val="decimal"/>
      <w:isLgl w:val="false"/>
      <w:suff w:val="tab"/>
      <w:lvlText w:val="%7."/>
      <w:lvlJc w:val="left"/>
      <w:pPr>
        <w:pStyle w:val="928"/>
        <w:ind w:left="3570" w:hanging="420"/>
        <w:tabs>
          <w:tab w:val="num" w:pos="3570" w:leader="none"/>
        </w:tabs>
      </w:pPr>
    </w:lvl>
    <w:lvl w:ilvl="7">
      <w:start w:val="1"/>
      <w:numFmt w:val="lowerLetter"/>
      <w:isLgl w:val="false"/>
      <w:suff w:val="tab"/>
      <w:lvlText w:val="%8)"/>
      <w:lvlJc w:val="left"/>
      <w:pPr>
        <w:pStyle w:val="928"/>
        <w:ind w:left="3990" w:hanging="420"/>
        <w:tabs>
          <w:tab w:val="num" w:pos="3990" w:leader="none"/>
        </w:tabs>
      </w:pPr>
    </w:lvl>
    <w:lvl w:ilvl="8">
      <w:start w:val="1"/>
      <w:numFmt w:val="lowerRoman"/>
      <w:isLgl w:val="false"/>
      <w:suff w:val="tab"/>
      <w:lvlText w:val="%9."/>
      <w:lvlJc w:val="right"/>
      <w:pPr>
        <w:pStyle w:val="928"/>
        <w:ind w:left="4410" w:hanging="420"/>
        <w:tabs>
          <w:tab w:val="num" w:pos="4410" w:leader="none"/>
        </w:tabs>
      </w:pPr>
    </w:lvl>
  </w:abstractNum>
  <w:abstractNum w:abstractNumId="3">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4">
    <w:multiLevelType w:val="hybridMultilevel"/>
    <w:lvl w:ilvl="0">
      <w:start w:val="1"/>
      <w:numFmt w:val="decimal"/>
      <w:pStyle w:val="1206"/>
      <w:isLgl w:val="false"/>
      <w:suff w:val="tab"/>
      <w:lvlText w:val="%1."/>
      <w:lvlJc w:val="left"/>
      <w:pPr>
        <w:pStyle w:val="928"/>
        <w:tabs>
          <w:tab w:val="num" w:pos="360" w:leader="none"/>
        </w:tabs>
      </w:pPr>
      <w:rPr>
        <w:rFonts w:hint="eastAsia"/>
      </w:rPr>
    </w:lvl>
    <w:lvl w:ilvl="1">
      <w:start w:val="1"/>
      <w:numFmt w:val="decimal"/>
      <w:pStyle w:val="1242"/>
      <w:isLgl w:val="false"/>
      <w:suff w:val="tab"/>
      <w:lvlText w:val="%1.%2"/>
      <w:lvlJc w:val="left"/>
      <w:pPr>
        <w:pStyle w:val="928"/>
        <w:tabs>
          <w:tab w:val="num" w:pos="720" w:leader="none"/>
        </w:tabs>
      </w:pPr>
      <w:rPr>
        <w:rFonts w:hint="eastAsia"/>
        <w:b w:val="0"/>
        <w:bCs w:val="0"/>
        <w:i w:val="0"/>
        <w:iCs w:val="0"/>
      </w:rPr>
    </w:lvl>
    <w:lvl w:ilvl="2">
      <w:start w:val="1"/>
      <w:numFmt w:val="decimal"/>
      <w:pStyle w:val="1194"/>
      <w:isLgl w:val="false"/>
      <w:suff w:val="tab"/>
      <w:lvlText w:val="%1.%2.%3"/>
      <w:lvlJc w:val="left"/>
      <w:pPr>
        <w:pStyle w:val="928"/>
        <w:tabs>
          <w:tab w:val="num" w:pos="720"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8"/>
        <w:ind w:left="420" w:hanging="420"/>
      </w:pPr>
      <w:rPr>
        <w:rFonts w:hint="eastAsia"/>
      </w:rPr>
    </w:lvl>
    <w:lvl w:ilvl="1">
      <w:start w:val="1"/>
      <w:numFmt w:val="lowerLetter"/>
      <w:isLgl w:val="false"/>
      <w:suff w:val="tab"/>
      <w:lvlText w:val="%2)"/>
      <w:lvlJc w:val="left"/>
      <w:pPr>
        <w:pStyle w:val="928"/>
        <w:ind w:left="840" w:hanging="420"/>
      </w:pPr>
    </w:lvl>
    <w:lvl w:ilvl="2">
      <w:start w:val="1"/>
      <w:numFmt w:val="lowerRoman"/>
      <w:isLgl w:val="false"/>
      <w:suff w:val="tab"/>
      <w:lvlText w:val="%3."/>
      <w:lvlJc w:val="right"/>
      <w:pPr>
        <w:pStyle w:val="928"/>
        <w:ind w:left="1260" w:hanging="420"/>
      </w:pPr>
    </w:lvl>
    <w:lvl w:ilvl="3">
      <w:start w:val="1"/>
      <w:numFmt w:val="decimal"/>
      <w:isLgl w:val="false"/>
      <w:suff w:val="tab"/>
      <w:lvlText w:val="%4."/>
      <w:lvlJc w:val="left"/>
      <w:pPr>
        <w:pStyle w:val="928"/>
        <w:ind w:left="1680" w:hanging="420"/>
      </w:pPr>
    </w:lvl>
    <w:lvl w:ilvl="4">
      <w:start w:val="1"/>
      <w:numFmt w:val="lowerLetter"/>
      <w:isLgl w:val="false"/>
      <w:suff w:val="tab"/>
      <w:lvlText w:val="%5)"/>
      <w:lvlJc w:val="left"/>
      <w:pPr>
        <w:pStyle w:val="928"/>
        <w:ind w:left="2100" w:hanging="420"/>
      </w:pPr>
    </w:lvl>
    <w:lvl w:ilvl="5">
      <w:start w:val="1"/>
      <w:numFmt w:val="lowerRoman"/>
      <w:isLgl w:val="false"/>
      <w:suff w:val="tab"/>
      <w:lvlText w:val="%6."/>
      <w:lvlJc w:val="right"/>
      <w:pPr>
        <w:pStyle w:val="928"/>
        <w:ind w:left="2520" w:hanging="420"/>
      </w:pPr>
    </w:lvl>
    <w:lvl w:ilvl="6">
      <w:start w:val="1"/>
      <w:numFmt w:val="decimal"/>
      <w:isLgl w:val="false"/>
      <w:suff w:val="tab"/>
      <w:lvlText w:val="%7."/>
      <w:lvlJc w:val="left"/>
      <w:pPr>
        <w:pStyle w:val="928"/>
        <w:ind w:left="2940" w:hanging="420"/>
      </w:pPr>
    </w:lvl>
    <w:lvl w:ilvl="7">
      <w:start w:val="1"/>
      <w:numFmt w:val="lowerLetter"/>
      <w:isLgl w:val="false"/>
      <w:suff w:val="tab"/>
      <w:lvlText w:val="%8)"/>
      <w:lvlJc w:val="left"/>
      <w:pPr>
        <w:pStyle w:val="928"/>
        <w:ind w:left="3360" w:hanging="420"/>
      </w:pPr>
    </w:lvl>
    <w:lvl w:ilvl="8">
      <w:start w:val="1"/>
      <w:numFmt w:val="lowerRoman"/>
      <w:isLgl w:val="false"/>
      <w:suff w:val="tab"/>
      <w:lvlText w:val="%9."/>
      <w:lvlJc w:val="right"/>
      <w:pPr>
        <w:pStyle w:val="928"/>
        <w:ind w:left="3780" w:hanging="420"/>
      </w:pPr>
    </w:lvl>
  </w:abstractNum>
  <w:abstractNum w:abstractNumId="10">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4">
    <w:multiLevelType w:val="hybridMultilevel"/>
    <w:lvl w:ilvl="0">
      <w:start w:val="3"/>
      <w:numFmt w:val="chineseCounting"/>
      <w:isLgl w:val="false"/>
      <w:suff w:val="nothing"/>
      <w:lvlText w:val="（%1）"/>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28"/>
        <w:ind w:left="425" w:hanging="425"/>
      </w:p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8">
    <w:multiLevelType w:val="hybridMultilevel"/>
    <w:lvl w:ilvl="0">
      <w:start w:val="1"/>
      <w:numFmt w:val="decimal"/>
      <w:pStyle w:val="1239"/>
      <w:isLgl w:val="false"/>
      <w:suff w:val="tab"/>
      <w:lvlText w:val="%1注："/>
      <w:lvlJc w:val="left"/>
      <w:pPr>
        <w:pStyle w:val="92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928"/>
        <w:ind w:left="780" w:hanging="360"/>
        <w:tabs>
          <w:tab w:val="num" w:pos="780" w:leader="none"/>
        </w:tabs>
      </w:pPr>
      <w:rPr>
        <w:rFonts w:hint="eastAsia"/>
      </w:r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num w:numId="1">
    <w:abstractNumId w:val="2"/>
  </w:num>
  <w:num w:numId="2">
    <w:abstractNumId w:val="4"/>
  </w:num>
  <w:num w:numId="3">
    <w:abstractNumId w:val="18"/>
  </w:num>
  <w:num w:numId="4">
    <w:abstractNumId w:val="1"/>
  </w:num>
  <w:num w:numId="5">
    <w:abstractNumId w:val="16"/>
  </w:num>
  <w:num w:numId="6">
    <w:abstractNumId w:val="5"/>
  </w:num>
  <w:num w:numId="7">
    <w:abstractNumId w:val="17"/>
  </w:num>
  <w:num w:numId="8">
    <w:abstractNumId w:val="13"/>
  </w:num>
  <w:num w:numId="9">
    <w:abstractNumId w:val="15"/>
  </w:num>
  <w:num w:numId="10">
    <w:abstractNumId w:val="11"/>
  </w:num>
  <w:num w:numId="11">
    <w:abstractNumId w:val="7"/>
  </w:num>
  <w:num w:numId="12">
    <w:abstractNumId w:val="6"/>
  </w:num>
  <w:num w:numId="13">
    <w:abstractNumId w:val="8"/>
  </w:num>
  <w:num w:numId="14">
    <w:abstractNumId w:val="14"/>
  </w:num>
  <w:num w:numId="15">
    <w:abstractNumId w:val="10"/>
  </w:num>
  <w:num w:numId="16">
    <w:abstractNumId w:val="9"/>
  </w:num>
  <w:num w:numId="17">
    <w:abstractNumId w:val="0"/>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List Paragraph"/>
    <w:basedOn w:val="928"/>
    <w:uiPriority w:val="34"/>
    <w:qFormat/>
    <w:pPr>
      <w:contextualSpacing/>
      <w:ind w:left="720"/>
    </w:pPr>
  </w:style>
  <w:style w:type="paragraph" w:styleId="897">
    <w:name w:val="No Spacing"/>
    <w:uiPriority w:val="1"/>
    <w:qFormat/>
    <w:pPr>
      <w:spacing w:before="0" w:after="0" w:line="240" w:lineRule="auto"/>
    </w:pPr>
  </w:style>
  <w:style w:type="paragraph" w:styleId="898">
    <w:name w:val="Title"/>
    <w:basedOn w:val="928"/>
    <w:next w:val="928"/>
    <w:link w:val="899"/>
    <w:uiPriority w:val="10"/>
    <w:qFormat/>
    <w:pPr>
      <w:contextualSpacing/>
      <w:spacing w:before="300" w:after="200"/>
    </w:pPr>
    <w:rPr>
      <w:sz w:val="48"/>
      <w:szCs w:val="48"/>
    </w:rPr>
  </w:style>
  <w:style w:type="character" w:styleId="899">
    <w:name w:val="Title Char"/>
    <w:link w:val="898"/>
    <w:uiPriority w:val="10"/>
    <w:rPr>
      <w:sz w:val="48"/>
      <w:szCs w:val="48"/>
    </w:rPr>
  </w:style>
  <w:style w:type="paragraph" w:styleId="900">
    <w:name w:val="Subtitle"/>
    <w:basedOn w:val="928"/>
    <w:next w:val="928"/>
    <w:link w:val="901"/>
    <w:uiPriority w:val="11"/>
    <w:qFormat/>
    <w:pPr>
      <w:spacing w:before="200" w:after="200"/>
    </w:pPr>
    <w:rPr>
      <w:sz w:val="24"/>
      <w:szCs w:val="24"/>
    </w:rPr>
  </w:style>
  <w:style w:type="character" w:styleId="901">
    <w:name w:val="Subtitle Char"/>
    <w:link w:val="900"/>
    <w:uiPriority w:val="11"/>
    <w:rPr>
      <w:sz w:val="24"/>
      <w:szCs w:val="24"/>
    </w:rPr>
  </w:style>
  <w:style w:type="paragraph" w:styleId="902">
    <w:name w:val="Quote"/>
    <w:basedOn w:val="928"/>
    <w:next w:val="928"/>
    <w:link w:val="903"/>
    <w:uiPriority w:val="29"/>
    <w:qFormat/>
    <w:pPr>
      <w:ind w:left="720" w:right="720"/>
    </w:pPr>
    <w:rPr>
      <w:i/>
    </w:rPr>
  </w:style>
  <w:style w:type="character" w:styleId="903">
    <w:name w:val="Quote Char"/>
    <w:link w:val="902"/>
    <w:uiPriority w:val="29"/>
    <w:rPr>
      <w:i/>
    </w:rPr>
  </w:style>
  <w:style w:type="paragraph" w:styleId="904">
    <w:name w:val="Intense Quote"/>
    <w:basedOn w:val="928"/>
    <w:next w:val="928"/>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paragraph" w:styleId="906">
    <w:name w:val="Header"/>
    <w:basedOn w:val="928"/>
    <w:link w:val="1012"/>
    <w:uiPriority w:val="99"/>
    <w:unhideWhenUsed/>
    <w:pPr>
      <w:spacing w:after="0" w:line="240" w:lineRule="auto"/>
      <w:tabs>
        <w:tab w:val="center" w:pos="7143" w:leader="none"/>
        <w:tab w:val="right" w:pos="14287" w:leader="none"/>
      </w:tabs>
    </w:pPr>
  </w:style>
  <w:style w:type="paragraph" w:styleId="907">
    <w:name w:val="Footer"/>
    <w:basedOn w:val="928"/>
    <w:link w:val="1014"/>
    <w:uiPriority w:val="99"/>
    <w:unhideWhenUsed/>
    <w:pPr>
      <w:spacing w:after="0" w:line="240" w:lineRule="auto"/>
      <w:tabs>
        <w:tab w:val="center" w:pos="7143" w:leader="none"/>
        <w:tab w:val="right" w:pos="14287" w:leader="none"/>
      </w:tabs>
    </w:pPr>
  </w:style>
  <w:style w:type="paragraph" w:styleId="908">
    <w:name w:val="Caption"/>
    <w:basedOn w:val="928"/>
    <w:next w:val="928"/>
    <w:uiPriority w:val="35"/>
    <w:semiHidden/>
    <w:unhideWhenUsed/>
    <w:qFormat/>
    <w:pPr>
      <w:spacing w:line="276" w:lineRule="auto"/>
    </w:pPr>
    <w:rPr>
      <w:b/>
      <w:bCs/>
      <w:color w:val="4f81bd" w:themeColor="accent1"/>
      <w:sz w:val="18"/>
      <w:szCs w:val="18"/>
    </w:rPr>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2"/>
    <w:link w:val="928"/>
    <w:qFormat/>
    <w:pPr>
      <w:jc w:val="both"/>
      <w:widowControl w:val="off"/>
    </w:pPr>
    <w:rPr>
      <w:rFonts w:eastAsia="微软雅黑"/>
      <w:sz w:val="21"/>
      <w:szCs w:val="22"/>
      <w:lang w:val="en-US" w:eastAsia="zh-CN" w:bidi="ar-SA"/>
    </w:rPr>
  </w:style>
  <w:style w:type="paragraph" w:styleId="929">
    <w:name w:val="标题 2"/>
    <w:basedOn w:val="928"/>
    <w:next w:val="928"/>
    <w:link w:val="928"/>
    <w:uiPriority w:val="9"/>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930">
    <w:name w:val="默认段落字体"/>
    <w:next w:val="930"/>
    <w:link w:val="928"/>
    <w:uiPriority w:val="1"/>
    <w:unhideWhenUsed/>
  </w:style>
  <w:style w:type="table" w:styleId="931">
    <w:name w:val="普通表格"/>
    <w:next w:val="931"/>
    <w:link w:val="928"/>
    <w:uiPriority w:val="99"/>
    <w:unhideWhenUsed/>
    <w:qFormat/>
    <w:tblPr/>
  </w:style>
  <w:style w:type="paragraph" w:styleId="932">
    <w:name w:val="正文缩进"/>
    <w:basedOn w:val="928"/>
    <w:next w:val="928"/>
    <w:link w:val="928"/>
    <w:qFormat/>
    <w:pPr>
      <w:ind w:firstLine="420"/>
      <w:jc w:val="left"/>
      <w:spacing w:line="360" w:lineRule="atLeast"/>
    </w:pPr>
    <w:rPr>
      <w:rFonts w:eastAsia="宋体"/>
      <w:szCs w:val="21"/>
    </w:rPr>
  </w:style>
  <w:style w:type="paragraph" w:styleId="933">
    <w:name w:val="目录 7"/>
    <w:basedOn w:val="928"/>
    <w:next w:val="928"/>
    <w:link w:val="928"/>
    <w:qFormat/>
    <w:pPr>
      <w:ind w:left="2520"/>
    </w:pPr>
    <w:rPr>
      <w:szCs w:val="24"/>
    </w:rPr>
  </w:style>
  <w:style w:type="paragraph" w:styleId="934">
    <w:name w:val="列表项目符号"/>
    <w:basedOn w:val="928"/>
    <w:next w:val="934"/>
    <w:link w:val="928"/>
    <w:qFormat/>
    <w:pPr>
      <w:numPr>
        <w:ilvl w:val="0"/>
        <w:numId w:val="1"/>
      </w:numPr>
      <w:spacing w:line="360" w:lineRule="atLeast"/>
      <w:tabs>
        <w:tab w:val="left" w:pos="360" w:leader="none"/>
        <w:tab w:val="left" w:pos="990" w:leader="none"/>
      </w:tabs>
    </w:pPr>
    <w:rPr>
      <w:rFonts w:ascii="Arial" w:hAnsi="Arial"/>
      <w:szCs w:val="21"/>
    </w:rPr>
  </w:style>
  <w:style w:type="paragraph" w:styleId="935">
    <w:name w:val="文档结构图"/>
    <w:basedOn w:val="928"/>
    <w:next w:val="935"/>
    <w:link w:val="936"/>
    <w:qFormat/>
    <w:rPr>
      <w:rFonts w:ascii="宋体" w:eastAsia="宋体"/>
      <w:sz w:val="18"/>
      <w:szCs w:val="18"/>
    </w:rPr>
  </w:style>
  <w:style w:type="character" w:styleId="936">
    <w:name w:val="文档结构图 Char"/>
    <w:next w:val="936"/>
    <w:link w:val="935"/>
    <w:qFormat/>
    <w:rPr>
      <w:rFonts w:ascii="宋体"/>
      <w:sz w:val="18"/>
      <w:szCs w:val="18"/>
    </w:rPr>
  </w:style>
  <w:style w:type="paragraph" w:styleId="937">
    <w:name w:val="批注文字"/>
    <w:basedOn w:val="928"/>
    <w:next w:val="937"/>
    <w:link w:val="938"/>
    <w:semiHidden/>
    <w:qFormat/>
    <w:pPr>
      <w:jc w:val="left"/>
    </w:pPr>
    <w:rPr>
      <w:rFonts w:eastAsia="宋体"/>
      <w:sz w:val="20"/>
      <w:szCs w:val="21"/>
    </w:rPr>
  </w:style>
  <w:style w:type="character" w:styleId="938">
    <w:name w:val="批注文字 Char"/>
    <w:next w:val="938"/>
    <w:link w:val="937"/>
    <w:semiHidden/>
    <w:qFormat/>
    <w:rPr>
      <w:rFonts w:ascii="Times New Roman" w:hAnsi="Times New Roman" w:eastAsia="宋体" w:cs="Times New Roman"/>
      <w:szCs w:val="21"/>
    </w:rPr>
  </w:style>
  <w:style w:type="paragraph" w:styleId="939">
    <w:name w:val="正文文本"/>
    <w:basedOn w:val="928"/>
    <w:next w:val="941"/>
    <w:link w:val="940"/>
    <w:qFormat/>
    <w:rPr>
      <w:rFonts w:ascii="仿宋_GB2312" w:hAnsi="宋体" w:eastAsia="仿宋_GB2312"/>
      <w:sz w:val="24"/>
      <w:szCs w:val="24"/>
    </w:rPr>
  </w:style>
  <w:style w:type="character" w:styleId="940">
    <w:name w:val="正文文本 Char"/>
    <w:next w:val="940"/>
    <w:link w:val="939"/>
    <w:qFormat/>
    <w:rPr>
      <w:rFonts w:ascii="仿宋_GB2312" w:hAnsi="宋体" w:eastAsia="仿宋_GB2312" w:cs="仿宋_GB2312"/>
      <w:sz w:val="24"/>
      <w:szCs w:val="24"/>
    </w:rPr>
  </w:style>
  <w:style w:type="paragraph" w:styleId="941">
    <w:name w:val="正文首行缩进"/>
    <w:basedOn w:val="939"/>
    <w:next w:val="928"/>
    <w:link w:val="928"/>
    <w:qFormat/>
    <w:pPr>
      <w:ind w:firstLine="420"/>
      <w:spacing w:after="120"/>
    </w:pPr>
    <w:rPr>
      <w:rFonts w:ascii="宋体" w:hAnsi="Calibri"/>
    </w:rPr>
  </w:style>
  <w:style w:type="paragraph" w:styleId="942">
    <w:name w:val="正文文本缩进"/>
    <w:basedOn w:val="928"/>
    <w:next w:val="944"/>
    <w:link w:val="943"/>
    <w:qFormat/>
    <w:pPr>
      <w:ind w:firstLine="403"/>
      <w:spacing w:line="440" w:lineRule="exact"/>
    </w:pPr>
    <w:rPr>
      <w:rFonts w:ascii="宋体" w:hAnsi="宋体" w:eastAsia="宋体"/>
      <w:sz w:val="20"/>
      <w:szCs w:val="21"/>
    </w:rPr>
  </w:style>
  <w:style w:type="character" w:styleId="943">
    <w:name w:val="正文文本缩进 Char"/>
    <w:next w:val="943"/>
    <w:link w:val="942"/>
    <w:qFormat/>
    <w:rPr>
      <w:rFonts w:ascii="宋体" w:hAnsi="宋体" w:eastAsia="宋体" w:cs="宋体"/>
      <w:szCs w:val="21"/>
    </w:rPr>
  </w:style>
  <w:style w:type="paragraph" w:styleId="944">
    <w:name w:val="正文首行缩进 2"/>
    <w:basedOn w:val="942"/>
    <w:next w:val="945"/>
    <w:link w:val="928"/>
    <w:uiPriority w:val="99"/>
    <w:unhideWhenUsed/>
    <w:qFormat/>
    <w:pPr>
      <w:ind w:firstLine="420"/>
    </w:pPr>
  </w:style>
  <w:style w:type="paragraph" w:styleId="945">
    <w:name w:val="xl53"/>
    <w:basedOn w:val="928"/>
    <w:next w:val="928"/>
    <w:link w:val="928"/>
    <w:uiPriority w:val="99"/>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946">
    <w:name w:val="文本块"/>
    <w:basedOn w:val="928"/>
    <w:next w:val="928"/>
    <w:link w:val="928"/>
    <w:uiPriority w:val="99"/>
    <w:unhideWhenUsed/>
    <w:qFormat/>
    <w:pPr>
      <w:ind w:left="1440" w:right="1440"/>
      <w:spacing w:after="120"/>
    </w:pPr>
  </w:style>
  <w:style w:type="paragraph" w:styleId="947">
    <w:name w:val="索引 4"/>
    <w:basedOn w:val="928"/>
    <w:next w:val="928"/>
    <w:link w:val="928"/>
    <w:uiPriority w:val="99"/>
    <w:unhideWhenUsed/>
    <w:qFormat/>
    <w:pPr>
      <w:ind w:left="600"/>
    </w:pPr>
    <w:rPr>
      <w:rFonts w:ascii="Verdana" w:hAnsi="Verdana"/>
      <w:szCs w:val="20"/>
    </w:rPr>
  </w:style>
  <w:style w:type="paragraph" w:styleId="948">
    <w:name w:val="目录 5"/>
    <w:basedOn w:val="928"/>
    <w:next w:val="928"/>
    <w:link w:val="928"/>
    <w:qFormat/>
    <w:pPr>
      <w:ind w:left="1680"/>
    </w:pPr>
    <w:rPr>
      <w:szCs w:val="24"/>
    </w:rPr>
  </w:style>
  <w:style w:type="paragraph" w:styleId="949">
    <w:name w:val="目录 3"/>
    <w:basedOn w:val="928"/>
    <w:next w:val="928"/>
    <w:link w:val="928"/>
    <w:uiPriority w:val="39"/>
    <w:unhideWhenUsed/>
    <w:qFormat/>
    <w:pPr>
      <w:ind w:left="840"/>
      <w:spacing w:line="360" w:lineRule="exact"/>
    </w:pPr>
    <w:rPr>
      <w:rFonts w:ascii="Calibri" w:hAnsi="Calibri" w:eastAsia="微软雅黑"/>
    </w:rPr>
  </w:style>
  <w:style w:type="paragraph" w:styleId="950">
    <w:name w:val="纯文本"/>
    <w:basedOn w:val="928"/>
    <w:next w:val="950"/>
    <w:link w:val="951"/>
    <w:qFormat/>
    <w:rPr>
      <w:rFonts w:ascii="宋体" w:hAnsi="Courier New" w:eastAsia="宋体"/>
      <w:sz w:val="28"/>
      <w:szCs w:val="28"/>
    </w:rPr>
  </w:style>
  <w:style w:type="character" w:styleId="951">
    <w:name w:val="纯文本 Char"/>
    <w:next w:val="951"/>
    <w:link w:val="950"/>
    <w:qFormat/>
    <w:rPr>
      <w:rFonts w:ascii="宋体" w:hAnsi="Courier New" w:eastAsia="宋体" w:cs="宋体"/>
      <w:sz w:val="28"/>
      <w:szCs w:val="28"/>
    </w:rPr>
  </w:style>
  <w:style w:type="paragraph" w:styleId="952">
    <w:name w:val="目录 8"/>
    <w:basedOn w:val="928"/>
    <w:next w:val="928"/>
    <w:link w:val="928"/>
    <w:qFormat/>
    <w:pPr>
      <w:ind w:left="2940"/>
    </w:pPr>
    <w:rPr>
      <w:szCs w:val="24"/>
    </w:rPr>
  </w:style>
  <w:style w:type="paragraph" w:styleId="953">
    <w:name w:val="日期"/>
    <w:basedOn w:val="928"/>
    <w:next w:val="928"/>
    <w:link w:val="954"/>
    <w:qFormat/>
    <w:pPr>
      <w:ind w:left="100"/>
    </w:pPr>
    <w:rPr>
      <w:rFonts w:eastAsia="宋体"/>
      <w:sz w:val="20"/>
      <w:szCs w:val="21"/>
    </w:rPr>
  </w:style>
  <w:style w:type="character" w:styleId="954">
    <w:name w:val="日期 Char"/>
    <w:next w:val="954"/>
    <w:link w:val="953"/>
    <w:qFormat/>
    <w:rPr>
      <w:rFonts w:ascii="Times New Roman" w:hAnsi="Times New Roman" w:eastAsia="宋体" w:cs="Times New Roman"/>
      <w:szCs w:val="21"/>
    </w:rPr>
  </w:style>
  <w:style w:type="paragraph" w:styleId="955">
    <w:name w:val="正文文本缩进 2"/>
    <w:basedOn w:val="928"/>
    <w:next w:val="955"/>
    <w:link w:val="956"/>
    <w:qFormat/>
    <w:pPr>
      <w:ind w:firstLine="420"/>
      <w:spacing w:line="440" w:lineRule="exact"/>
    </w:pPr>
    <w:rPr>
      <w:rFonts w:ascii="宋体" w:hAnsi="宋体" w:eastAsia="宋体"/>
      <w:sz w:val="20"/>
      <w:szCs w:val="21"/>
    </w:rPr>
  </w:style>
  <w:style w:type="character" w:styleId="956">
    <w:name w:val="正文文本缩进 2 Char"/>
    <w:next w:val="956"/>
    <w:link w:val="955"/>
    <w:qFormat/>
    <w:rPr>
      <w:rFonts w:ascii="宋体" w:hAnsi="宋体" w:eastAsia="宋体" w:cs="宋体"/>
      <w:szCs w:val="21"/>
    </w:rPr>
  </w:style>
  <w:style w:type="paragraph" w:styleId="957">
    <w:name w:val="尾注文本"/>
    <w:basedOn w:val="928"/>
    <w:next w:val="957"/>
    <w:link w:val="958"/>
    <w:uiPriority w:val="99"/>
    <w:unhideWhenUsed/>
    <w:pPr>
      <w:spacing w:after="0" w:line="240" w:lineRule="auto"/>
    </w:pPr>
    <w:rPr>
      <w:rFonts w:eastAsia="宋体"/>
      <w:sz w:val="20"/>
      <w:szCs w:val="20"/>
    </w:rPr>
  </w:style>
  <w:style w:type="character" w:styleId="958">
    <w:name w:val="尾注文本 Char"/>
    <w:next w:val="958"/>
    <w:link w:val="957"/>
    <w:uiPriority w:val="99"/>
    <w:rPr>
      <w:sz w:val="20"/>
    </w:rPr>
  </w:style>
  <w:style w:type="paragraph" w:styleId="959">
    <w:name w:val="批注框文本"/>
    <w:basedOn w:val="928"/>
    <w:next w:val="959"/>
    <w:link w:val="960"/>
    <w:semiHidden/>
    <w:qFormat/>
    <w:rPr>
      <w:rFonts w:eastAsia="宋体"/>
      <w:sz w:val="18"/>
      <w:szCs w:val="18"/>
    </w:rPr>
  </w:style>
  <w:style w:type="character" w:styleId="960">
    <w:name w:val="批注框文本 Char"/>
    <w:next w:val="960"/>
    <w:link w:val="959"/>
    <w:semiHidden/>
    <w:qFormat/>
    <w:rPr>
      <w:rFonts w:ascii="Times New Roman" w:hAnsi="Times New Roman" w:eastAsia="宋体" w:cs="Times New Roman"/>
      <w:sz w:val="18"/>
      <w:szCs w:val="18"/>
    </w:rPr>
  </w:style>
  <w:style w:type="paragraph" w:styleId="961">
    <w:name w:val="页脚"/>
    <w:basedOn w:val="928"/>
    <w:next w:val="961"/>
    <w:link w:val="928"/>
    <w:uiPriority w:val="99"/>
    <w:unhideWhenUsed/>
    <w:pPr>
      <w:jc w:val="left"/>
      <w:tabs>
        <w:tab w:val="center" w:pos="4153" w:leader="none"/>
        <w:tab w:val="right" w:pos="8306" w:leader="none"/>
      </w:tabs>
    </w:pPr>
    <w:rPr>
      <w:sz w:val="18"/>
    </w:rPr>
  </w:style>
  <w:style w:type="paragraph" w:styleId="962">
    <w:name w:val="页眉"/>
    <w:basedOn w:val="928"/>
    <w:next w:val="962"/>
    <w:link w:val="963"/>
    <w:uiPriority w:val="99"/>
    <w:unhideWhenUsed/>
    <w:pPr>
      <w:jc w:val="center"/>
      <w:tabs>
        <w:tab w:val="center" w:pos="4153" w:leader="none"/>
        <w:tab w:val="right" w:pos="8306" w:leader="none"/>
      </w:tabs>
      <w:pBdr>
        <w:bottom w:val="single" w:color="000000" w:sz="6" w:space="1"/>
      </w:pBdr>
    </w:pPr>
    <w:rPr>
      <w:sz w:val="18"/>
      <w:szCs w:val="18"/>
    </w:rPr>
  </w:style>
  <w:style w:type="character" w:styleId="963">
    <w:name w:val="页眉 Char"/>
    <w:basedOn w:val="930"/>
    <w:next w:val="963"/>
    <w:link w:val="962"/>
    <w:uiPriority w:val="99"/>
    <w:semiHidden/>
    <w:rPr>
      <w:rFonts w:eastAsia="微软雅黑"/>
      <w:sz w:val="18"/>
      <w:szCs w:val="18"/>
    </w:rPr>
  </w:style>
  <w:style w:type="paragraph" w:styleId="964">
    <w:name w:val="目录 1"/>
    <w:basedOn w:val="928"/>
    <w:next w:val="928"/>
    <w:link w:val="928"/>
    <w:uiPriority w:val="39"/>
    <w:unhideWhenUsed/>
    <w:qFormat/>
    <w:pPr>
      <w:spacing w:line="360" w:lineRule="exact"/>
    </w:pPr>
    <w:rPr>
      <w:rFonts w:ascii="Calibri" w:hAnsi="Calibri" w:eastAsia="微软雅黑"/>
    </w:rPr>
  </w:style>
  <w:style w:type="paragraph" w:styleId="965">
    <w:name w:val="目录 4"/>
    <w:basedOn w:val="928"/>
    <w:next w:val="928"/>
    <w:link w:val="928"/>
    <w:qFormat/>
    <w:pPr>
      <w:ind w:left="1260"/>
    </w:pPr>
    <w:rPr>
      <w:szCs w:val="24"/>
    </w:rPr>
  </w:style>
  <w:style w:type="paragraph" w:styleId="966">
    <w:name w:val="副标题"/>
    <w:basedOn w:val="928"/>
    <w:next w:val="928"/>
    <w:link w:val="967"/>
    <w:uiPriority w:val="11"/>
    <w:qFormat/>
    <w:pPr>
      <w:spacing w:before="200" w:after="200"/>
    </w:pPr>
    <w:rPr>
      <w:sz w:val="24"/>
      <w:szCs w:val="24"/>
    </w:rPr>
  </w:style>
  <w:style w:type="character" w:styleId="967">
    <w:name w:val="副标题 Char"/>
    <w:basedOn w:val="930"/>
    <w:next w:val="967"/>
    <w:link w:val="966"/>
    <w:uiPriority w:val="11"/>
    <w:rPr>
      <w:sz w:val="24"/>
      <w:szCs w:val="24"/>
    </w:rPr>
  </w:style>
  <w:style w:type="paragraph" w:styleId="968">
    <w:name w:val="脚注文本"/>
    <w:basedOn w:val="928"/>
    <w:next w:val="968"/>
    <w:link w:val="969"/>
    <w:uiPriority w:val="99"/>
    <w:unhideWhenUsed/>
    <w:pPr>
      <w:spacing w:after="40" w:line="240" w:lineRule="auto"/>
    </w:pPr>
    <w:rPr>
      <w:rFonts w:eastAsia="宋体"/>
      <w:sz w:val="18"/>
      <w:szCs w:val="20"/>
    </w:rPr>
  </w:style>
  <w:style w:type="character" w:styleId="969">
    <w:name w:val="脚注文本 Char"/>
    <w:next w:val="969"/>
    <w:link w:val="968"/>
    <w:uiPriority w:val="99"/>
    <w:rPr>
      <w:sz w:val="18"/>
    </w:rPr>
  </w:style>
  <w:style w:type="paragraph" w:styleId="970">
    <w:name w:val="目录 6"/>
    <w:basedOn w:val="928"/>
    <w:next w:val="928"/>
    <w:link w:val="928"/>
    <w:qFormat/>
    <w:pPr>
      <w:ind w:left="2100"/>
    </w:pPr>
    <w:rPr>
      <w:szCs w:val="24"/>
    </w:rPr>
  </w:style>
  <w:style w:type="paragraph" w:styleId="971">
    <w:name w:val="图表目录"/>
    <w:basedOn w:val="928"/>
    <w:next w:val="928"/>
    <w:link w:val="928"/>
    <w:uiPriority w:val="99"/>
    <w:unhideWhenUsed/>
    <w:pPr>
      <w:spacing w:after="0" w:afterAutospacing="0"/>
    </w:pPr>
  </w:style>
  <w:style w:type="paragraph" w:styleId="972">
    <w:name w:val="目录 2"/>
    <w:basedOn w:val="928"/>
    <w:next w:val="928"/>
    <w:link w:val="928"/>
    <w:uiPriority w:val="39"/>
    <w:unhideWhenUsed/>
    <w:qFormat/>
    <w:pPr>
      <w:ind w:left="420"/>
      <w:spacing w:line="360" w:lineRule="exact"/>
    </w:pPr>
    <w:rPr>
      <w:rFonts w:ascii="Calibri" w:hAnsi="Calibri" w:eastAsia="微软雅黑"/>
    </w:rPr>
  </w:style>
  <w:style w:type="paragraph" w:styleId="973">
    <w:name w:val="目录 9"/>
    <w:basedOn w:val="928"/>
    <w:next w:val="928"/>
    <w:link w:val="928"/>
    <w:qFormat/>
    <w:pPr>
      <w:ind w:left="3360"/>
    </w:pPr>
    <w:rPr>
      <w:szCs w:val="24"/>
    </w:rPr>
  </w:style>
  <w:style w:type="paragraph" w:styleId="974">
    <w:name w:val="普通(网站)"/>
    <w:basedOn w:val="928"/>
    <w:next w:val="974"/>
    <w:link w:val="928"/>
    <w:unhideWhenUsed/>
    <w:qFormat/>
    <w:pPr>
      <w:jc w:val="left"/>
      <w:spacing w:before="100" w:beforeAutospacing="1" w:after="100" w:afterAutospacing="1"/>
      <w:widowControl/>
    </w:pPr>
    <w:rPr>
      <w:rFonts w:ascii="宋体" w:hAnsi="宋体" w:eastAsia="宋体" w:cs="宋体"/>
      <w:sz w:val="24"/>
      <w:szCs w:val="24"/>
    </w:rPr>
  </w:style>
  <w:style w:type="paragraph" w:styleId="975">
    <w:name w:val="标题"/>
    <w:basedOn w:val="928"/>
    <w:next w:val="928"/>
    <w:link w:val="976"/>
    <w:uiPriority w:val="10"/>
    <w:qFormat/>
    <w:pPr>
      <w:contextualSpacing/>
      <w:spacing w:before="300" w:after="200"/>
    </w:pPr>
    <w:rPr>
      <w:sz w:val="48"/>
      <w:szCs w:val="48"/>
    </w:rPr>
  </w:style>
  <w:style w:type="character" w:styleId="976">
    <w:name w:val="标题 Char"/>
    <w:basedOn w:val="930"/>
    <w:next w:val="976"/>
    <w:link w:val="975"/>
    <w:uiPriority w:val="10"/>
    <w:rPr>
      <w:sz w:val="48"/>
      <w:szCs w:val="48"/>
    </w:rPr>
  </w:style>
  <w:style w:type="paragraph" w:styleId="977">
    <w:name w:val="批注主题"/>
    <w:basedOn w:val="937"/>
    <w:next w:val="937"/>
    <w:link w:val="978"/>
    <w:uiPriority w:val="99"/>
    <w:unhideWhenUsed/>
    <w:qFormat/>
    <w:rPr>
      <w:b/>
      <w:bCs/>
      <w:sz w:val="21"/>
      <w:szCs w:val="22"/>
    </w:rPr>
  </w:style>
  <w:style w:type="character" w:styleId="978">
    <w:name w:val="批注主题 Char"/>
    <w:next w:val="978"/>
    <w:link w:val="977"/>
    <w:uiPriority w:val="99"/>
    <w:semiHidden/>
    <w:qFormat/>
    <w:rPr>
      <w:rFonts w:ascii="Times New Roman" w:hAnsi="Times New Roman" w:eastAsia="宋体" w:cs="Times New Roman"/>
      <w:b/>
      <w:bCs/>
      <w:sz w:val="21"/>
      <w:szCs w:val="22"/>
    </w:rPr>
  </w:style>
  <w:style w:type="table" w:styleId="979">
    <w:name w:val="网格型"/>
    <w:basedOn w:val="931"/>
    <w:next w:val="979"/>
    <w:link w:val="928"/>
    <w:qFormat/>
    <w:tblPr/>
  </w:style>
  <w:style w:type="character" w:styleId="980">
    <w:name w:val="要点"/>
    <w:next w:val="980"/>
    <w:link w:val="928"/>
    <w:qFormat/>
    <w:rPr>
      <w:b/>
      <w:bCs/>
    </w:rPr>
  </w:style>
  <w:style w:type="character" w:styleId="981">
    <w:name w:val="尾注引用"/>
    <w:basedOn w:val="930"/>
    <w:next w:val="981"/>
    <w:link w:val="928"/>
    <w:uiPriority w:val="99"/>
    <w:unhideWhenUsed/>
    <w:rPr>
      <w:vertAlign w:val="superscript"/>
    </w:rPr>
  </w:style>
  <w:style w:type="character" w:styleId="982">
    <w:name w:val="页码"/>
    <w:next w:val="982"/>
    <w:link w:val="928"/>
    <w:qFormat/>
  </w:style>
  <w:style w:type="character" w:styleId="983">
    <w:name w:val="已访问的超链接"/>
    <w:next w:val="983"/>
    <w:link w:val="928"/>
    <w:uiPriority w:val="99"/>
    <w:qFormat/>
    <w:rPr>
      <w:color w:val="000000"/>
      <w:sz w:val="18"/>
      <w:szCs w:val="18"/>
      <w:u w:val="none"/>
    </w:rPr>
  </w:style>
  <w:style w:type="character" w:styleId="984">
    <w:name w:val="强调"/>
    <w:next w:val="984"/>
    <w:link w:val="928"/>
    <w:uiPriority w:val="20"/>
    <w:qFormat/>
    <w:rPr>
      <w:i/>
      <w:iCs/>
    </w:rPr>
  </w:style>
  <w:style w:type="character" w:styleId="985">
    <w:name w:val="超链接"/>
    <w:next w:val="985"/>
    <w:link w:val="928"/>
    <w:uiPriority w:val="99"/>
    <w:qFormat/>
    <w:rPr>
      <w:color w:val="000000"/>
      <w:sz w:val="18"/>
      <w:szCs w:val="18"/>
      <w:u w:val="none"/>
    </w:rPr>
  </w:style>
  <w:style w:type="character" w:styleId="986">
    <w:name w:val="批注引用"/>
    <w:next w:val="986"/>
    <w:link w:val="928"/>
    <w:semiHidden/>
    <w:qFormat/>
    <w:rPr>
      <w:sz w:val="21"/>
      <w:szCs w:val="21"/>
    </w:rPr>
  </w:style>
  <w:style w:type="character" w:styleId="987">
    <w:name w:val="脚注引用"/>
    <w:basedOn w:val="930"/>
    <w:next w:val="987"/>
    <w:link w:val="928"/>
    <w:uiPriority w:val="99"/>
    <w:unhideWhenUsed/>
    <w:rPr>
      <w:vertAlign w:val="superscript"/>
    </w:rPr>
  </w:style>
  <w:style w:type="character" w:styleId="988">
    <w:name w:val="标题 3 字符"/>
    <w:next w:val="988"/>
    <w:link w:val="989"/>
    <w:qFormat/>
    <w:rPr>
      <w:rFonts w:ascii="Calibri" w:hAnsi="Calibri" w:eastAsia="微软雅黑" w:cs="Times New Roman"/>
      <w:bCs/>
      <w:sz w:val="28"/>
      <w:szCs w:val="32"/>
    </w:rPr>
  </w:style>
  <w:style w:type="paragraph" w:styleId="989">
    <w:name w:val="Heading 3"/>
    <w:basedOn w:val="928"/>
    <w:next w:val="932"/>
    <w:link w:val="988"/>
    <w:qFormat/>
    <w:pPr>
      <w:jc w:val="center"/>
      <w:keepLines/>
      <w:keepNext/>
      <w:spacing w:before="260" w:after="260" w:line="416" w:lineRule="auto"/>
      <w:outlineLvl w:val="2"/>
    </w:pPr>
    <w:rPr>
      <w:rFonts w:ascii="Calibri" w:hAnsi="Calibri"/>
      <w:bCs/>
      <w:sz w:val="28"/>
      <w:szCs w:val="32"/>
    </w:rPr>
  </w:style>
  <w:style w:type="character" w:styleId="990">
    <w:name w:val="标题 4 字符"/>
    <w:next w:val="990"/>
    <w:link w:val="991"/>
    <w:qFormat/>
    <w:rPr>
      <w:rFonts w:ascii="Arial" w:hAnsi="Arial"/>
      <w:b/>
      <w:bCs/>
      <w:sz w:val="24"/>
      <w:szCs w:val="28"/>
    </w:rPr>
  </w:style>
  <w:style w:type="paragraph" w:styleId="991">
    <w:name w:val="Heading 4"/>
    <w:basedOn w:val="928"/>
    <w:next w:val="928"/>
    <w:link w:val="990"/>
    <w:qFormat/>
    <w:pPr>
      <w:keepLines/>
      <w:keepNext/>
      <w:spacing w:line="360" w:lineRule="auto"/>
      <w:outlineLvl w:val="3"/>
    </w:pPr>
    <w:rPr>
      <w:rFonts w:ascii="Arial" w:hAnsi="Arial" w:eastAsia="宋体"/>
      <w:b/>
      <w:bCs/>
      <w:sz w:val="24"/>
      <w:szCs w:val="28"/>
    </w:rPr>
  </w:style>
  <w:style w:type="character" w:styleId="992">
    <w:name w:val="标题 5 字符"/>
    <w:next w:val="992"/>
    <w:link w:val="993"/>
    <w:qFormat/>
    <w:rPr>
      <w:rFonts w:ascii="Calibri" w:hAnsi="Calibri"/>
      <w:b/>
      <w:bCs/>
      <w:sz w:val="28"/>
      <w:szCs w:val="28"/>
    </w:rPr>
  </w:style>
  <w:style w:type="paragraph" w:styleId="993">
    <w:name w:val="Heading 5"/>
    <w:basedOn w:val="928"/>
    <w:next w:val="928"/>
    <w:link w:val="992"/>
    <w:qFormat/>
    <w:pPr>
      <w:keepLines/>
      <w:keepNext/>
      <w:spacing w:before="280" w:after="290" w:line="376" w:lineRule="auto"/>
      <w:outlineLvl w:val="4"/>
    </w:pPr>
    <w:rPr>
      <w:rFonts w:ascii="Calibri" w:hAnsi="Calibri" w:eastAsia="宋体"/>
      <w:b/>
      <w:bCs/>
      <w:sz w:val="28"/>
      <w:szCs w:val="28"/>
    </w:rPr>
  </w:style>
  <w:style w:type="character" w:styleId="994">
    <w:name w:val="Heading 1 Char"/>
    <w:basedOn w:val="930"/>
    <w:next w:val="994"/>
    <w:link w:val="928"/>
    <w:uiPriority w:val="9"/>
    <w:rPr>
      <w:rFonts w:ascii="Arial" w:hAnsi="Arial" w:eastAsia="Arial" w:cs="Arial"/>
      <w:sz w:val="40"/>
      <w:szCs w:val="40"/>
    </w:rPr>
  </w:style>
  <w:style w:type="character" w:styleId="995">
    <w:name w:val="Heading 2 Char"/>
    <w:basedOn w:val="930"/>
    <w:next w:val="995"/>
    <w:link w:val="928"/>
    <w:uiPriority w:val="9"/>
    <w:rPr>
      <w:rFonts w:ascii="Arial" w:hAnsi="Arial" w:eastAsia="Arial" w:cs="Arial"/>
      <w:sz w:val="34"/>
    </w:rPr>
  </w:style>
  <w:style w:type="character" w:styleId="996">
    <w:name w:val="Heading 3 Char"/>
    <w:basedOn w:val="930"/>
    <w:next w:val="996"/>
    <w:link w:val="928"/>
    <w:uiPriority w:val="9"/>
    <w:rPr>
      <w:rFonts w:ascii="Arial" w:hAnsi="Arial" w:eastAsia="Arial" w:cs="Arial"/>
      <w:sz w:val="30"/>
      <w:szCs w:val="30"/>
    </w:rPr>
  </w:style>
  <w:style w:type="character" w:styleId="997">
    <w:name w:val="Heading 4 Char"/>
    <w:basedOn w:val="930"/>
    <w:next w:val="997"/>
    <w:link w:val="928"/>
    <w:uiPriority w:val="9"/>
    <w:rPr>
      <w:rFonts w:ascii="Arial" w:hAnsi="Arial" w:eastAsia="Arial" w:cs="Arial"/>
      <w:b/>
      <w:bCs/>
      <w:sz w:val="26"/>
      <w:szCs w:val="26"/>
    </w:rPr>
  </w:style>
  <w:style w:type="character" w:styleId="998">
    <w:name w:val="Heading 5 Char"/>
    <w:basedOn w:val="930"/>
    <w:next w:val="998"/>
    <w:link w:val="928"/>
    <w:uiPriority w:val="9"/>
    <w:rPr>
      <w:rFonts w:ascii="Arial" w:hAnsi="Arial" w:eastAsia="Arial" w:cs="Arial"/>
      <w:b/>
      <w:bCs/>
      <w:sz w:val="24"/>
      <w:szCs w:val="24"/>
    </w:rPr>
  </w:style>
  <w:style w:type="paragraph" w:styleId="999">
    <w:name w:val="Heading 6"/>
    <w:basedOn w:val="928"/>
    <w:next w:val="928"/>
    <w:link w:val="1000"/>
    <w:uiPriority w:val="9"/>
    <w:unhideWhenUsed/>
    <w:qFormat/>
    <w:pPr>
      <w:keepLines/>
      <w:keepNext/>
      <w:spacing w:before="320" w:after="200"/>
      <w:outlineLvl w:val="5"/>
    </w:pPr>
    <w:rPr>
      <w:rFonts w:ascii="Arial" w:hAnsi="Arial" w:eastAsia="Arial" w:cs="Arial"/>
      <w:b/>
      <w:bCs/>
      <w:sz w:val="22"/>
      <w:szCs w:val="22"/>
    </w:rPr>
  </w:style>
  <w:style w:type="character" w:styleId="1000">
    <w:name w:val="Heading 6 Char"/>
    <w:basedOn w:val="930"/>
    <w:next w:val="1000"/>
    <w:link w:val="999"/>
    <w:uiPriority w:val="9"/>
    <w:rPr>
      <w:rFonts w:ascii="Arial" w:hAnsi="Arial" w:eastAsia="Arial" w:cs="Arial"/>
      <w:b/>
      <w:bCs/>
      <w:sz w:val="22"/>
      <w:szCs w:val="22"/>
    </w:rPr>
  </w:style>
  <w:style w:type="paragraph" w:styleId="1001">
    <w:name w:val="Heading 7"/>
    <w:basedOn w:val="928"/>
    <w:next w:val="928"/>
    <w:link w:val="1002"/>
    <w:uiPriority w:val="9"/>
    <w:unhideWhenUsed/>
    <w:qFormat/>
    <w:pPr>
      <w:keepLines/>
      <w:keepNext/>
      <w:spacing w:before="320" w:after="200"/>
      <w:outlineLvl w:val="6"/>
    </w:pPr>
    <w:rPr>
      <w:rFonts w:ascii="Arial" w:hAnsi="Arial" w:eastAsia="Arial" w:cs="Arial"/>
      <w:b/>
      <w:bCs/>
      <w:i/>
      <w:iCs/>
      <w:sz w:val="22"/>
      <w:szCs w:val="22"/>
    </w:rPr>
  </w:style>
  <w:style w:type="character" w:styleId="1002">
    <w:name w:val="Heading 7 Char"/>
    <w:basedOn w:val="930"/>
    <w:next w:val="1002"/>
    <w:link w:val="1001"/>
    <w:uiPriority w:val="9"/>
    <w:rPr>
      <w:rFonts w:ascii="Arial" w:hAnsi="Arial" w:eastAsia="Arial" w:cs="Arial"/>
      <w:b/>
      <w:bCs/>
      <w:i/>
      <w:iCs/>
      <w:sz w:val="22"/>
      <w:szCs w:val="22"/>
    </w:rPr>
  </w:style>
  <w:style w:type="paragraph" w:styleId="1003">
    <w:name w:val="Heading 8"/>
    <w:basedOn w:val="928"/>
    <w:next w:val="928"/>
    <w:link w:val="1004"/>
    <w:uiPriority w:val="9"/>
    <w:unhideWhenUsed/>
    <w:qFormat/>
    <w:pPr>
      <w:keepLines/>
      <w:keepNext/>
      <w:spacing w:before="320" w:after="200"/>
      <w:outlineLvl w:val="7"/>
    </w:pPr>
    <w:rPr>
      <w:rFonts w:ascii="Arial" w:hAnsi="Arial" w:eastAsia="Arial" w:cs="Arial"/>
      <w:i/>
      <w:iCs/>
      <w:sz w:val="22"/>
      <w:szCs w:val="22"/>
    </w:rPr>
  </w:style>
  <w:style w:type="character" w:styleId="1004">
    <w:name w:val="Heading 8 Char"/>
    <w:basedOn w:val="930"/>
    <w:next w:val="1004"/>
    <w:link w:val="1003"/>
    <w:uiPriority w:val="9"/>
    <w:rPr>
      <w:rFonts w:ascii="Arial" w:hAnsi="Arial" w:eastAsia="Arial" w:cs="Arial"/>
      <w:i/>
      <w:iCs/>
      <w:sz w:val="22"/>
      <w:szCs w:val="22"/>
    </w:rPr>
  </w:style>
  <w:style w:type="paragraph" w:styleId="1005">
    <w:name w:val="Heading 9"/>
    <w:basedOn w:val="928"/>
    <w:next w:val="928"/>
    <w:link w:val="1006"/>
    <w:uiPriority w:val="9"/>
    <w:unhideWhenUsed/>
    <w:qFormat/>
    <w:pPr>
      <w:keepLines/>
      <w:keepNext/>
      <w:spacing w:before="320" w:after="200"/>
      <w:outlineLvl w:val="8"/>
    </w:pPr>
    <w:rPr>
      <w:rFonts w:ascii="Arial" w:hAnsi="Arial" w:eastAsia="Arial" w:cs="Arial"/>
      <w:i/>
      <w:iCs/>
      <w:sz w:val="21"/>
      <w:szCs w:val="21"/>
    </w:rPr>
  </w:style>
  <w:style w:type="character" w:styleId="1006">
    <w:name w:val="Heading 9 Char"/>
    <w:basedOn w:val="930"/>
    <w:next w:val="1006"/>
    <w:link w:val="1005"/>
    <w:uiPriority w:val="9"/>
    <w:rPr>
      <w:rFonts w:ascii="Arial" w:hAnsi="Arial" w:eastAsia="Arial" w:cs="Arial"/>
      <w:i/>
      <w:iCs/>
      <w:sz w:val="21"/>
      <w:szCs w:val="21"/>
    </w:rPr>
  </w:style>
  <w:style w:type="paragraph" w:styleId="1007">
    <w:name w:val="无间隔"/>
    <w:next w:val="1007"/>
    <w:link w:val="928"/>
    <w:uiPriority w:val="1"/>
    <w:qFormat/>
    <w:rPr>
      <w:lang w:val="en-US" w:eastAsia="zh-CN" w:bidi="ar-SA"/>
    </w:rPr>
  </w:style>
  <w:style w:type="paragraph" w:styleId="1008">
    <w:name w:val="引用"/>
    <w:basedOn w:val="928"/>
    <w:next w:val="928"/>
    <w:link w:val="1009"/>
    <w:uiPriority w:val="29"/>
    <w:qFormat/>
    <w:pPr>
      <w:ind w:left="720" w:right="720"/>
    </w:pPr>
    <w:rPr>
      <w:rFonts w:eastAsia="宋体"/>
      <w:i/>
      <w:sz w:val="20"/>
      <w:szCs w:val="20"/>
    </w:rPr>
  </w:style>
  <w:style w:type="character" w:styleId="1009">
    <w:name w:val="引用 Char"/>
    <w:next w:val="1009"/>
    <w:link w:val="1008"/>
    <w:uiPriority w:val="29"/>
    <w:rPr>
      <w:i/>
    </w:rPr>
  </w:style>
  <w:style w:type="paragraph" w:styleId="1010">
    <w:name w:val="明显引用"/>
    <w:basedOn w:val="928"/>
    <w:next w:val="928"/>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1011">
    <w:name w:val="明显引用 Char"/>
    <w:next w:val="1011"/>
    <w:link w:val="1010"/>
    <w:uiPriority w:val="30"/>
    <w:rPr>
      <w:i/>
    </w:rPr>
  </w:style>
  <w:style w:type="character" w:styleId="1012">
    <w:name w:val="Header Char"/>
    <w:basedOn w:val="930"/>
    <w:next w:val="1012"/>
    <w:link w:val="928"/>
    <w:uiPriority w:val="99"/>
  </w:style>
  <w:style w:type="character" w:styleId="1013">
    <w:name w:val="Footer Char"/>
    <w:basedOn w:val="930"/>
    <w:next w:val="1013"/>
    <w:link w:val="928"/>
    <w:uiPriority w:val="99"/>
  </w:style>
  <w:style w:type="character" w:styleId="1014">
    <w:name w:val="Caption Char"/>
    <w:next w:val="1014"/>
    <w:link w:val="928"/>
    <w:uiPriority w:val="99"/>
  </w:style>
  <w:style w:type="table" w:styleId="1015">
    <w:name w:val="Table Grid Light"/>
    <w:basedOn w:val="931"/>
    <w:next w:val="1015"/>
    <w:link w:val="928"/>
    <w:uiPriority w:val="59"/>
    <w:pPr>
      <w:spacing w:after="0" w:line="240" w:lineRule="auto"/>
    </w:pPr>
    <w:tblPr/>
  </w:style>
  <w:style w:type="table" w:styleId="1016">
    <w:name w:val="Plain Table 1"/>
    <w:basedOn w:val="931"/>
    <w:next w:val="1016"/>
    <w:link w:val="928"/>
    <w:uiPriority w:val="59"/>
    <w:pPr>
      <w:spacing w:after="0" w:line="240" w:lineRule="auto"/>
    </w:pPr>
    <w:tblPr/>
  </w:style>
  <w:style w:type="table" w:styleId="1017">
    <w:name w:val="Plain Table 2"/>
    <w:basedOn w:val="931"/>
    <w:next w:val="1017"/>
    <w:link w:val="928"/>
    <w:uiPriority w:val="59"/>
    <w:pPr>
      <w:spacing w:after="0" w:line="240" w:lineRule="auto"/>
    </w:pPr>
    <w:tblPr/>
  </w:style>
  <w:style w:type="table" w:styleId="1018">
    <w:name w:val="Plain Table 3"/>
    <w:basedOn w:val="931"/>
    <w:next w:val="1018"/>
    <w:link w:val="928"/>
    <w:uiPriority w:val="99"/>
    <w:pPr>
      <w:spacing w:after="0" w:line="240" w:lineRule="auto"/>
    </w:pPr>
    <w:tblPr/>
  </w:style>
  <w:style w:type="table" w:styleId="1019">
    <w:name w:val="Plain Table 4"/>
    <w:basedOn w:val="931"/>
    <w:next w:val="1019"/>
    <w:link w:val="928"/>
    <w:uiPriority w:val="99"/>
    <w:pPr>
      <w:spacing w:after="0" w:line="240" w:lineRule="auto"/>
    </w:pPr>
    <w:tblPr/>
  </w:style>
  <w:style w:type="table" w:styleId="1020">
    <w:name w:val="Plain Table 5"/>
    <w:basedOn w:val="931"/>
    <w:next w:val="1020"/>
    <w:link w:val="928"/>
    <w:uiPriority w:val="99"/>
    <w:pPr>
      <w:spacing w:after="0" w:line="240" w:lineRule="auto"/>
    </w:pPr>
    <w:tblPr/>
  </w:style>
  <w:style w:type="table" w:styleId="1021">
    <w:name w:val="Grid Table 1 Light"/>
    <w:basedOn w:val="931"/>
    <w:next w:val="1021"/>
    <w:link w:val="928"/>
    <w:uiPriority w:val="99"/>
    <w:pPr>
      <w:spacing w:after="0" w:line="240" w:lineRule="auto"/>
    </w:pPr>
    <w:tblPr/>
  </w:style>
  <w:style w:type="table" w:styleId="1022">
    <w:name w:val="Grid Table 1 Light - Accent 1"/>
    <w:basedOn w:val="931"/>
    <w:next w:val="1022"/>
    <w:link w:val="928"/>
    <w:uiPriority w:val="99"/>
    <w:pPr>
      <w:spacing w:after="0" w:line="240" w:lineRule="auto"/>
    </w:pPr>
    <w:tblPr/>
  </w:style>
  <w:style w:type="table" w:styleId="1023">
    <w:name w:val="Grid Table 1 Light - Accent 2"/>
    <w:basedOn w:val="931"/>
    <w:next w:val="1023"/>
    <w:link w:val="928"/>
    <w:uiPriority w:val="99"/>
    <w:pPr>
      <w:spacing w:after="0" w:line="240" w:lineRule="auto"/>
    </w:pPr>
    <w:tblPr/>
  </w:style>
  <w:style w:type="table" w:styleId="1024">
    <w:name w:val="Grid Table 1 Light - Accent 3"/>
    <w:basedOn w:val="931"/>
    <w:next w:val="1024"/>
    <w:link w:val="928"/>
    <w:uiPriority w:val="99"/>
    <w:pPr>
      <w:spacing w:after="0" w:line="240" w:lineRule="auto"/>
    </w:pPr>
    <w:tblPr/>
  </w:style>
  <w:style w:type="table" w:styleId="1025">
    <w:name w:val="Grid Table 1 Light - Accent 4"/>
    <w:basedOn w:val="931"/>
    <w:next w:val="1025"/>
    <w:link w:val="928"/>
    <w:uiPriority w:val="99"/>
    <w:pPr>
      <w:spacing w:after="0" w:line="240" w:lineRule="auto"/>
    </w:pPr>
    <w:tblPr/>
  </w:style>
  <w:style w:type="table" w:styleId="1026">
    <w:name w:val="Grid Table 1 Light - Accent 5"/>
    <w:basedOn w:val="931"/>
    <w:next w:val="1026"/>
    <w:link w:val="928"/>
    <w:uiPriority w:val="99"/>
    <w:pPr>
      <w:spacing w:after="0" w:line="240" w:lineRule="auto"/>
    </w:pPr>
    <w:tblPr/>
  </w:style>
  <w:style w:type="table" w:styleId="1027">
    <w:name w:val="Grid Table 1 Light - Accent 6"/>
    <w:basedOn w:val="931"/>
    <w:next w:val="1027"/>
    <w:link w:val="928"/>
    <w:uiPriority w:val="99"/>
    <w:pPr>
      <w:spacing w:after="0" w:line="240" w:lineRule="auto"/>
    </w:pPr>
    <w:tblPr/>
  </w:style>
  <w:style w:type="table" w:styleId="1028">
    <w:name w:val="Grid Table 2"/>
    <w:basedOn w:val="931"/>
    <w:next w:val="1028"/>
    <w:link w:val="928"/>
    <w:uiPriority w:val="99"/>
    <w:pPr>
      <w:spacing w:after="0" w:line="240" w:lineRule="auto"/>
    </w:pPr>
    <w:tblPr/>
  </w:style>
  <w:style w:type="table" w:styleId="1029">
    <w:name w:val="Grid Table 2 - Accent 1"/>
    <w:basedOn w:val="931"/>
    <w:next w:val="1029"/>
    <w:link w:val="928"/>
    <w:uiPriority w:val="99"/>
    <w:pPr>
      <w:spacing w:after="0" w:line="240" w:lineRule="auto"/>
    </w:pPr>
    <w:tblPr/>
  </w:style>
  <w:style w:type="table" w:styleId="1030">
    <w:name w:val="Grid Table 2 - Accent 2"/>
    <w:basedOn w:val="931"/>
    <w:next w:val="1030"/>
    <w:link w:val="928"/>
    <w:uiPriority w:val="99"/>
    <w:pPr>
      <w:spacing w:after="0" w:line="240" w:lineRule="auto"/>
    </w:pPr>
    <w:tblPr/>
  </w:style>
  <w:style w:type="table" w:styleId="1031">
    <w:name w:val="Grid Table 2 - Accent 3"/>
    <w:basedOn w:val="931"/>
    <w:next w:val="1031"/>
    <w:link w:val="928"/>
    <w:uiPriority w:val="99"/>
    <w:pPr>
      <w:spacing w:after="0" w:line="240" w:lineRule="auto"/>
    </w:pPr>
    <w:tblPr/>
  </w:style>
  <w:style w:type="table" w:styleId="1032">
    <w:name w:val="Grid Table 2 - Accent 4"/>
    <w:basedOn w:val="931"/>
    <w:next w:val="1032"/>
    <w:link w:val="928"/>
    <w:uiPriority w:val="99"/>
    <w:pPr>
      <w:spacing w:after="0" w:line="240" w:lineRule="auto"/>
    </w:pPr>
    <w:tblPr/>
  </w:style>
  <w:style w:type="table" w:styleId="1033">
    <w:name w:val="Grid Table 2 - Accent 5"/>
    <w:basedOn w:val="931"/>
    <w:next w:val="1033"/>
    <w:link w:val="928"/>
    <w:uiPriority w:val="99"/>
    <w:pPr>
      <w:spacing w:after="0" w:line="240" w:lineRule="auto"/>
    </w:pPr>
    <w:tblPr/>
  </w:style>
  <w:style w:type="table" w:styleId="1034">
    <w:name w:val="Grid Table 2 - Accent 6"/>
    <w:basedOn w:val="931"/>
    <w:next w:val="1034"/>
    <w:link w:val="928"/>
    <w:uiPriority w:val="99"/>
    <w:pPr>
      <w:spacing w:after="0" w:line="240" w:lineRule="auto"/>
    </w:pPr>
    <w:tblPr/>
  </w:style>
  <w:style w:type="table" w:styleId="1035">
    <w:name w:val="Grid Table 3"/>
    <w:basedOn w:val="931"/>
    <w:next w:val="1035"/>
    <w:link w:val="928"/>
    <w:uiPriority w:val="99"/>
    <w:pPr>
      <w:spacing w:after="0" w:line="240" w:lineRule="auto"/>
    </w:pPr>
    <w:tblPr/>
  </w:style>
  <w:style w:type="table" w:styleId="1036">
    <w:name w:val="Grid Table 3 - Accent 1"/>
    <w:basedOn w:val="931"/>
    <w:next w:val="1036"/>
    <w:link w:val="928"/>
    <w:uiPriority w:val="99"/>
    <w:pPr>
      <w:spacing w:after="0" w:line="240" w:lineRule="auto"/>
    </w:pPr>
    <w:tblPr/>
  </w:style>
  <w:style w:type="table" w:styleId="1037">
    <w:name w:val="Grid Table 3 - Accent 2"/>
    <w:basedOn w:val="931"/>
    <w:next w:val="1037"/>
    <w:link w:val="928"/>
    <w:uiPriority w:val="99"/>
    <w:pPr>
      <w:spacing w:after="0" w:line="240" w:lineRule="auto"/>
    </w:pPr>
    <w:tblPr/>
  </w:style>
  <w:style w:type="table" w:styleId="1038">
    <w:name w:val="Grid Table 3 - Accent 3"/>
    <w:basedOn w:val="931"/>
    <w:next w:val="1038"/>
    <w:link w:val="928"/>
    <w:uiPriority w:val="99"/>
    <w:pPr>
      <w:spacing w:after="0" w:line="240" w:lineRule="auto"/>
    </w:pPr>
    <w:tblPr/>
  </w:style>
  <w:style w:type="table" w:styleId="1039">
    <w:name w:val="Grid Table 3 - Accent 4"/>
    <w:basedOn w:val="931"/>
    <w:next w:val="1039"/>
    <w:link w:val="928"/>
    <w:uiPriority w:val="99"/>
    <w:pPr>
      <w:spacing w:after="0" w:line="240" w:lineRule="auto"/>
    </w:pPr>
    <w:tblPr/>
  </w:style>
  <w:style w:type="table" w:styleId="1040">
    <w:name w:val="Grid Table 3 - Accent 5"/>
    <w:basedOn w:val="931"/>
    <w:next w:val="1040"/>
    <w:link w:val="928"/>
    <w:uiPriority w:val="99"/>
    <w:pPr>
      <w:spacing w:after="0" w:line="240" w:lineRule="auto"/>
    </w:pPr>
    <w:tblPr/>
  </w:style>
  <w:style w:type="table" w:styleId="1041">
    <w:name w:val="Grid Table 3 - Accent 6"/>
    <w:basedOn w:val="931"/>
    <w:next w:val="1041"/>
    <w:link w:val="928"/>
    <w:uiPriority w:val="99"/>
    <w:pPr>
      <w:spacing w:after="0" w:line="240" w:lineRule="auto"/>
    </w:pPr>
    <w:tblPr/>
  </w:style>
  <w:style w:type="table" w:styleId="1042">
    <w:name w:val="Grid Table 4"/>
    <w:basedOn w:val="931"/>
    <w:next w:val="1042"/>
    <w:link w:val="928"/>
    <w:uiPriority w:val="59"/>
    <w:pPr>
      <w:spacing w:after="0" w:line="240" w:lineRule="auto"/>
    </w:pPr>
    <w:tblPr/>
  </w:style>
  <w:style w:type="table" w:styleId="1043">
    <w:name w:val="Grid Table 4 - Accent 1"/>
    <w:basedOn w:val="931"/>
    <w:next w:val="1043"/>
    <w:link w:val="928"/>
    <w:uiPriority w:val="59"/>
    <w:pPr>
      <w:spacing w:after="0" w:line="240" w:lineRule="auto"/>
    </w:pPr>
    <w:tblPr/>
  </w:style>
  <w:style w:type="table" w:styleId="1044">
    <w:name w:val="Grid Table 4 - Accent 2"/>
    <w:basedOn w:val="931"/>
    <w:next w:val="1044"/>
    <w:link w:val="928"/>
    <w:uiPriority w:val="59"/>
    <w:pPr>
      <w:spacing w:after="0" w:line="240" w:lineRule="auto"/>
    </w:pPr>
    <w:tblPr/>
  </w:style>
  <w:style w:type="table" w:styleId="1045">
    <w:name w:val="Grid Table 4 - Accent 3"/>
    <w:basedOn w:val="931"/>
    <w:next w:val="1045"/>
    <w:link w:val="928"/>
    <w:uiPriority w:val="59"/>
    <w:pPr>
      <w:spacing w:after="0" w:line="240" w:lineRule="auto"/>
    </w:pPr>
    <w:tblPr/>
  </w:style>
  <w:style w:type="table" w:styleId="1046">
    <w:name w:val="Grid Table 4 - Accent 4"/>
    <w:basedOn w:val="931"/>
    <w:next w:val="1046"/>
    <w:link w:val="928"/>
    <w:uiPriority w:val="59"/>
    <w:pPr>
      <w:spacing w:after="0" w:line="240" w:lineRule="auto"/>
    </w:pPr>
    <w:tblPr/>
  </w:style>
  <w:style w:type="table" w:styleId="1047">
    <w:name w:val="Grid Table 4 - Accent 5"/>
    <w:basedOn w:val="931"/>
    <w:next w:val="1047"/>
    <w:link w:val="928"/>
    <w:uiPriority w:val="59"/>
    <w:pPr>
      <w:spacing w:after="0" w:line="240" w:lineRule="auto"/>
    </w:pPr>
    <w:tblPr/>
  </w:style>
  <w:style w:type="table" w:styleId="1048">
    <w:name w:val="Grid Table 4 - Accent 6"/>
    <w:basedOn w:val="931"/>
    <w:next w:val="1048"/>
    <w:link w:val="928"/>
    <w:uiPriority w:val="59"/>
    <w:pPr>
      <w:spacing w:after="0" w:line="240" w:lineRule="auto"/>
    </w:pPr>
    <w:tblPr/>
  </w:style>
  <w:style w:type="table" w:styleId="1049">
    <w:name w:val="Grid Table 5 Dark"/>
    <w:basedOn w:val="931"/>
    <w:next w:val="1049"/>
    <w:link w:val="928"/>
    <w:uiPriority w:val="99"/>
    <w:pPr>
      <w:spacing w:after="0" w:line="240" w:lineRule="auto"/>
    </w:pPr>
    <w:tblPr/>
  </w:style>
  <w:style w:type="table" w:styleId="1050">
    <w:name w:val="Grid Table 5 Dark- Accent 1"/>
    <w:basedOn w:val="931"/>
    <w:next w:val="1050"/>
    <w:link w:val="928"/>
    <w:uiPriority w:val="99"/>
    <w:pPr>
      <w:spacing w:after="0" w:line="240" w:lineRule="auto"/>
    </w:pPr>
    <w:tblPr/>
  </w:style>
  <w:style w:type="table" w:styleId="1051">
    <w:name w:val="Grid Table 5 Dark - Accent 2"/>
    <w:basedOn w:val="931"/>
    <w:next w:val="1051"/>
    <w:link w:val="928"/>
    <w:uiPriority w:val="99"/>
    <w:pPr>
      <w:spacing w:after="0" w:line="240" w:lineRule="auto"/>
    </w:pPr>
    <w:tblPr/>
  </w:style>
  <w:style w:type="table" w:styleId="1052">
    <w:name w:val="Grid Table 5 Dark - Accent 3"/>
    <w:basedOn w:val="931"/>
    <w:next w:val="1052"/>
    <w:link w:val="928"/>
    <w:uiPriority w:val="99"/>
    <w:pPr>
      <w:spacing w:after="0" w:line="240" w:lineRule="auto"/>
    </w:pPr>
    <w:tblPr/>
  </w:style>
  <w:style w:type="table" w:styleId="1053">
    <w:name w:val="Grid Table 5 Dark- Accent 4"/>
    <w:basedOn w:val="931"/>
    <w:next w:val="1053"/>
    <w:link w:val="928"/>
    <w:uiPriority w:val="99"/>
    <w:pPr>
      <w:spacing w:after="0" w:line="240" w:lineRule="auto"/>
    </w:pPr>
    <w:tblPr/>
  </w:style>
  <w:style w:type="table" w:styleId="1054">
    <w:name w:val="Grid Table 5 Dark - Accent 5"/>
    <w:basedOn w:val="931"/>
    <w:next w:val="1054"/>
    <w:link w:val="928"/>
    <w:uiPriority w:val="99"/>
    <w:pPr>
      <w:spacing w:after="0" w:line="240" w:lineRule="auto"/>
    </w:pPr>
    <w:tblPr/>
  </w:style>
  <w:style w:type="table" w:styleId="1055">
    <w:name w:val="Grid Table 5 Dark - Accent 6"/>
    <w:basedOn w:val="931"/>
    <w:next w:val="1055"/>
    <w:link w:val="928"/>
    <w:uiPriority w:val="99"/>
    <w:pPr>
      <w:spacing w:after="0" w:line="240" w:lineRule="auto"/>
    </w:pPr>
    <w:tblPr/>
  </w:style>
  <w:style w:type="table" w:styleId="1056">
    <w:name w:val="Grid Table 6 Colorful"/>
    <w:basedOn w:val="931"/>
    <w:next w:val="1056"/>
    <w:link w:val="928"/>
    <w:uiPriority w:val="99"/>
    <w:pPr>
      <w:spacing w:after="0" w:line="240" w:lineRule="auto"/>
    </w:pPr>
    <w:tblPr/>
  </w:style>
  <w:style w:type="table" w:styleId="1057">
    <w:name w:val="Grid Table 6 Colorful - Accent 1"/>
    <w:basedOn w:val="931"/>
    <w:next w:val="1057"/>
    <w:link w:val="928"/>
    <w:uiPriority w:val="99"/>
    <w:pPr>
      <w:spacing w:after="0" w:line="240" w:lineRule="auto"/>
    </w:pPr>
    <w:tblPr/>
  </w:style>
  <w:style w:type="table" w:styleId="1058">
    <w:name w:val="Grid Table 6 Colorful - Accent 2"/>
    <w:basedOn w:val="931"/>
    <w:next w:val="1058"/>
    <w:link w:val="928"/>
    <w:uiPriority w:val="99"/>
    <w:pPr>
      <w:spacing w:after="0" w:line="240" w:lineRule="auto"/>
    </w:pPr>
    <w:tblPr/>
  </w:style>
  <w:style w:type="table" w:styleId="1059">
    <w:name w:val="Grid Table 6 Colorful - Accent 3"/>
    <w:basedOn w:val="931"/>
    <w:next w:val="1059"/>
    <w:link w:val="928"/>
    <w:uiPriority w:val="99"/>
    <w:pPr>
      <w:spacing w:after="0" w:line="240" w:lineRule="auto"/>
    </w:pPr>
    <w:tblPr/>
  </w:style>
  <w:style w:type="table" w:styleId="1060">
    <w:name w:val="Grid Table 6 Colorful - Accent 4"/>
    <w:basedOn w:val="931"/>
    <w:next w:val="1060"/>
    <w:link w:val="928"/>
    <w:uiPriority w:val="99"/>
    <w:pPr>
      <w:spacing w:after="0" w:line="240" w:lineRule="auto"/>
    </w:pPr>
    <w:tblPr/>
  </w:style>
  <w:style w:type="table" w:styleId="1061">
    <w:name w:val="Grid Table 6 Colorful - Accent 5"/>
    <w:basedOn w:val="931"/>
    <w:next w:val="1061"/>
    <w:link w:val="928"/>
    <w:uiPriority w:val="99"/>
    <w:pPr>
      <w:spacing w:after="0" w:line="240" w:lineRule="auto"/>
    </w:pPr>
    <w:tblPr/>
  </w:style>
  <w:style w:type="table" w:styleId="1062">
    <w:name w:val="Grid Table 6 Colorful - Accent 6"/>
    <w:basedOn w:val="931"/>
    <w:next w:val="1062"/>
    <w:link w:val="928"/>
    <w:uiPriority w:val="99"/>
    <w:pPr>
      <w:spacing w:after="0" w:line="240" w:lineRule="auto"/>
    </w:pPr>
    <w:tblPr/>
  </w:style>
  <w:style w:type="table" w:styleId="1063">
    <w:name w:val="Grid Table 7 Colorful"/>
    <w:basedOn w:val="931"/>
    <w:next w:val="1063"/>
    <w:link w:val="928"/>
    <w:uiPriority w:val="99"/>
    <w:pPr>
      <w:spacing w:after="0" w:line="240" w:lineRule="auto"/>
    </w:pPr>
    <w:tblPr/>
  </w:style>
  <w:style w:type="table" w:styleId="1064">
    <w:name w:val="Grid Table 7 Colorful - Accent 1"/>
    <w:basedOn w:val="931"/>
    <w:next w:val="1064"/>
    <w:link w:val="928"/>
    <w:uiPriority w:val="99"/>
    <w:pPr>
      <w:spacing w:after="0" w:line="240" w:lineRule="auto"/>
    </w:pPr>
    <w:tblPr/>
  </w:style>
  <w:style w:type="table" w:styleId="1065">
    <w:name w:val="Grid Table 7 Colorful - Accent 2"/>
    <w:basedOn w:val="931"/>
    <w:next w:val="1065"/>
    <w:link w:val="928"/>
    <w:uiPriority w:val="99"/>
    <w:pPr>
      <w:spacing w:after="0" w:line="240" w:lineRule="auto"/>
    </w:pPr>
    <w:tblPr/>
  </w:style>
  <w:style w:type="table" w:styleId="1066">
    <w:name w:val="Grid Table 7 Colorful - Accent 3"/>
    <w:basedOn w:val="931"/>
    <w:next w:val="1066"/>
    <w:link w:val="928"/>
    <w:uiPriority w:val="99"/>
    <w:pPr>
      <w:spacing w:after="0" w:line="240" w:lineRule="auto"/>
    </w:pPr>
    <w:tblPr/>
  </w:style>
  <w:style w:type="table" w:styleId="1067">
    <w:name w:val="Grid Table 7 Colorful - Accent 4"/>
    <w:basedOn w:val="931"/>
    <w:next w:val="1067"/>
    <w:link w:val="928"/>
    <w:uiPriority w:val="99"/>
    <w:pPr>
      <w:spacing w:after="0" w:line="240" w:lineRule="auto"/>
    </w:pPr>
    <w:tblPr/>
  </w:style>
  <w:style w:type="table" w:styleId="1068">
    <w:name w:val="Grid Table 7 Colorful - Accent 5"/>
    <w:basedOn w:val="931"/>
    <w:next w:val="1068"/>
    <w:link w:val="928"/>
    <w:uiPriority w:val="99"/>
    <w:pPr>
      <w:spacing w:after="0" w:line="240" w:lineRule="auto"/>
    </w:pPr>
    <w:tblPr/>
  </w:style>
  <w:style w:type="table" w:styleId="1069">
    <w:name w:val="Grid Table 7 Colorful - Accent 6"/>
    <w:basedOn w:val="931"/>
    <w:next w:val="1069"/>
    <w:link w:val="928"/>
    <w:uiPriority w:val="99"/>
    <w:pPr>
      <w:spacing w:after="0" w:line="240" w:lineRule="auto"/>
    </w:pPr>
    <w:tblPr/>
  </w:style>
  <w:style w:type="table" w:styleId="1070">
    <w:name w:val="List Table 1 Light"/>
    <w:basedOn w:val="931"/>
    <w:next w:val="1070"/>
    <w:link w:val="928"/>
    <w:uiPriority w:val="99"/>
    <w:pPr>
      <w:spacing w:after="0" w:line="240" w:lineRule="auto"/>
    </w:pPr>
    <w:tblPr/>
  </w:style>
  <w:style w:type="table" w:styleId="1071">
    <w:name w:val="List Table 1 Light - Accent 1"/>
    <w:basedOn w:val="931"/>
    <w:next w:val="1071"/>
    <w:link w:val="928"/>
    <w:uiPriority w:val="99"/>
    <w:pPr>
      <w:spacing w:after="0" w:line="240" w:lineRule="auto"/>
    </w:pPr>
    <w:tblPr/>
  </w:style>
  <w:style w:type="table" w:styleId="1072">
    <w:name w:val="List Table 1 Light - Accent 2"/>
    <w:basedOn w:val="931"/>
    <w:next w:val="1072"/>
    <w:link w:val="928"/>
    <w:uiPriority w:val="99"/>
    <w:pPr>
      <w:spacing w:after="0" w:line="240" w:lineRule="auto"/>
    </w:pPr>
    <w:tblPr/>
  </w:style>
  <w:style w:type="table" w:styleId="1073">
    <w:name w:val="List Table 1 Light - Accent 3"/>
    <w:basedOn w:val="931"/>
    <w:next w:val="1073"/>
    <w:link w:val="928"/>
    <w:uiPriority w:val="99"/>
    <w:pPr>
      <w:spacing w:after="0" w:line="240" w:lineRule="auto"/>
    </w:pPr>
    <w:tblPr/>
  </w:style>
  <w:style w:type="table" w:styleId="1074">
    <w:name w:val="List Table 1 Light - Accent 4"/>
    <w:basedOn w:val="931"/>
    <w:next w:val="1074"/>
    <w:link w:val="928"/>
    <w:uiPriority w:val="99"/>
    <w:pPr>
      <w:spacing w:after="0" w:line="240" w:lineRule="auto"/>
    </w:pPr>
    <w:tblPr/>
  </w:style>
  <w:style w:type="table" w:styleId="1075">
    <w:name w:val="List Table 1 Light - Accent 5"/>
    <w:basedOn w:val="931"/>
    <w:next w:val="1075"/>
    <w:link w:val="928"/>
    <w:uiPriority w:val="99"/>
    <w:pPr>
      <w:spacing w:after="0" w:line="240" w:lineRule="auto"/>
    </w:pPr>
    <w:tblPr/>
  </w:style>
  <w:style w:type="table" w:styleId="1076">
    <w:name w:val="List Table 1 Light - Accent 6"/>
    <w:basedOn w:val="931"/>
    <w:next w:val="1076"/>
    <w:link w:val="928"/>
    <w:uiPriority w:val="99"/>
    <w:pPr>
      <w:spacing w:after="0" w:line="240" w:lineRule="auto"/>
    </w:pPr>
    <w:tblPr/>
  </w:style>
  <w:style w:type="table" w:styleId="1077">
    <w:name w:val="List Table 2"/>
    <w:basedOn w:val="931"/>
    <w:next w:val="1077"/>
    <w:link w:val="928"/>
    <w:uiPriority w:val="99"/>
    <w:pPr>
      <w:spacing w:after="0" w:line="240" w:lineRule="auto"/>
    </w:pPr>
    <w:tblPr/>
  </w:style>
  <w:style w:type="table" w:styleId="1078">
    <w:name w:val="List Table 2 - Accent 1"/>
    <w:basedOn w:val="931"/>
    <w:next w:val="1078"/>
    <w:link w:val="928"/>
    <w:uiPriority w:val="99"/>
    <w:pPr>
      <w:spacing w:after="0" w:line="240" w:lineRule="auto"/>
    </w:pPr>
    <w:tblPr/>
  </w:style>
  <w:style w:type="table" w:styleId="1079">
    <w:name w:val="List Table 2 - Accent 2"/>
    <w:basedOn w:val="931"/>
    <w:next w:val="1079"/>
    <w:link w:val="928"/>
    <w:uiPriority w:val="99"/>
    <w:pPr>
      <w:spacing w:after="0" w:line="240" w:lineRule="auto"/>
    </w:pPr>
    <w:tblPr/>
  </w:style>
  <w:style w:type="table" w:styleId="1080">
    <w:name w:val="List Table 2 - Accent 3"/>
    <w:basedOn w:val="931"/>
    <w:next w:val="1080"/>
    <w:link w:val="928"/>
    <w:uiPriority w:val="99"/>
    <w:pPr>
      <w:spacing w:after="0" w:line="240" w:lineRule="auto"/>
    </w:pPr>
    <w:tblPr/>
  </w:style>
  <w:style w:type="table" w:styleId="1081">
    <w:name w:val="List Table 2 - Accent 4"/>
    <w:basedOn w:val="931"/>
    <w:next w:val="1081"/>
    <w:link w:val="928"/>
    <w:uiPriority w:val="99"/>
    <w:pPr>
      <w:spacing w:after="0" w:line="240" w:lineRule="auto"/>
    </w:pPr>
    <w:tblPr/>
  </w:style>
  <w:style w:type="table" w:styleId="1082">
    <w:name w:val="List Table 2 - Accent 5"/>
    <w:basedOn w:val="931"/>
    <w:next w:val="1082"/>
    <w:link w:val="928"/>
    <w:uiPriority w:val="99"/>
    <w:pPr>
      <w:spacing w:after="0" w:line="240" w:lineRule="auto"/>
    </w:pPr>
    <w:tblPr/>
  </w:style>
  <w:style w:type="table" w:styleId="1083">
    <w:name w:val="List Table 2 - Accent 6"/>
    <w:basedOn w:val="931"/>
    <w:next w:val="1083"/>
    <w:link w:val="928"/>
    <w:uiPriority w:val="99"/>
    <w:pPr>
      <w:spacing w:after="0" w:line="240" w:lineRule="auto"/>
    </w:pPr>
    <w:tblPr/>
  </w:style>
  <w:style w:type="table" w:styleId="1084">
    <w:name w:val="List Table 3"/>
    <w:basedOn w:val="931"/>
    <w:next w:val="1084"/>
    <w:link w:val="928"/>
    <w:uiPriority w:val="99"/>
    <w:pPr>
      <w:spacing w:after="0" w:line="240" w:lineRule="auto"/>
    </w:pPr>
    <w:tblPr/>
  </w:style>
  <w:style w:type="table" w:styleId="1085">
    <w:name w:val="List Table 3 - Accent 1"/>
    <w:basedOn w:val="931"/>
    <w:next w:val="1085"/>
    <w:link w:val="928"/>
    <w:uiPriority w:val="99"/>
    <w:pPr>
      <w:spacing w:after="0" w:line="240" w:lineRule="auto"/>
    </w:pPr>
    <w:tblPr/>
  </w:style>
  <w:style w:type="table" w:styleId="1086">
    <w:name w:val="List Table 3 - Accent 2"/>
    <w:basedOn w:val="931"/>
    <w:next w:val="1086"/>
    <w:link w:val="928"/>
    <w:uiPriority w:val="99"/>
    <w:pPr>
      <w:spacing w:after="0" w:line="240" w:lineRule="auto"/>
    </w:pPr>
    <w:tblPr/>
  </w:style>
  <w:style w:type="table" w:styleId="1087">
    <w:name w:val="List Table 3 - Accent 3"/>
    <w:basedOn w:val="931"/>
    <w:next w:val="1087"/>
    <w:link w:val="928"/>
    <w:uiPriority w:val="99"/>
    <w:pPr>
      <w:spacing w:after="0" w:line="240" w:lineRule="auto"/>
    </w:pPr>
    <w:tblPr/>
  </w:style>
  <w:style w:type="table" w:styleId="1088">
    <w:name w:val="List Table 3 - Accent 4"/>
    <w:basedOn w:val="931"/>
    <w:next w:val="1088"/>
    <w:link w:val="928"/>
    <w:uiPriority w:val="99"/>
    <w:pPr>
      <w:spacing w:after="0" w:line="240" w:lineRule="auto"/>
    </w:pPr>
    <w:tblPr/>
  </w:style>
  <w:style w:type="table" w:styleId="1089">
    <w:name w:val="List Table 3 - Accent 5"/>
    <w:basedOn w:val="931"/>
    <w:next w:val="1089"/>
    <w:link w:val="928"/>
    <w:uiPriority w:val="99"/>
    <w:pPr>
      <w:spacing w:after="0" w:line="240" w:lineRule="auto"/>
    </w:pPr>
    <w:tblPr/>
  </w:style>
  <w:style w:type="table" w:styleId="1090">
    <w:name w:val="List Table 3 - Accent 6"/>
    <w:basedOn w:val="931"/>
    <w:next w:val="1090"/>
    <w:link w:val="928"/>
    <w:uiPriority w:val="99"/>
    <w:pPr>
      <w:spacing w:after="0" w:line="240" w:lineRule="auto"/>
    </w:pPr>
    <w:tblPr/>
  </w:style>
  <w:style w:type="table" w:styleId="1091">
    <w:name w:val="List Table 4"/>
    <w:basedOn w:val="931"/>
    <w:next w:val="1091"/>
    <w:link w:val="928"/>
    <w:uiPriority w:val="99"/>
    <w:pPr>
      <w:spacing w:after="0" w:line="240" w:lineRule="auto"/>
    </w:pPr>
    <w:tblPr/>
  </w:style>
  <w:style w:type="table" w:styleId="1092">
    <w:name w:val="List Table 4 - Accent 1"/>
    <w:basedOn w:val="931"/>
    <w:next w:val="1092"/>
    <w:link w:val="928"/>
    <w:uiPriority w:val="99"/>
    <w:pPr>
      <w:spacing w:after="0" w:line="240" w:lineRule="auto"/>
    </w:pPr>
    <w:tblPr/>
  </w:style>
  <w:style w:type="table" w:styleId="1093">
    <w:name w:val="List Table 4 - Accent 2"/>
    <w:basedOn w:val="931"/>
    <w:next w:val="1093"/>
    <w:link w:val="928"/>
    <w:uiPriority w:val="99"/>
    <w:pPr>
      <w:spacing w:after="0" w:line="240" w:lineRule="auto"/>
    </w:pPr>
    <w:tblPr/>
  </w:style>
  <w:style w:type="table" w:styleId="1094">
    <w:name w:val="List Table 4 - Accent 3"/>
    <w:basedOn w:val="931"/>
    <w:next w:val="1094"/>
    <w:link w:val="928"/>
    <w:uiPriority w:val="99"/>
    <w:pPr>
      <w:spacing w:after="0" w:line="240" w:lineRule="auto"/>
    </w:pPr>
    <w:tblPr/>
  </w:style>
  <w:style w:type="table" w:styleId="1095">
    <w:name w:val="List Table 4 - Accent 4"/>
    <w:basedOn w:val="931"/>
    <w:next w:val="1095"/>
    <w:link w:val="928"/>
    <w:uiPriority w:val="99"/>
    <w:pPr>
      <w:spacing w:after="0" w:line="240" w:lineRule="auto"/>
    </w:pPr>
    <w:tblPr/>
  </w:style>
  <w:style w:type="table" w:styleId="1096">
    <w:name w:val="List Table 4 - Accent 5"/>
    <w:basedOn w:val="931"/>
    <w:next w:val="1096"/>
    <w:link w:val="928"/>
    <w:uiPriority w:val="99"/>
    <w:pPr>
      <w:spacing w:after="0" w:line="240" w:lineRule="auto"/>
    </w:pPr>
    <w:tblPr/>
  </w:style>
  <w:style w:type="table" w:styleId="1097">
    <w:name w:val="List Table 4 - Accent 6"/>
    <w:basedOn w:val="931"/>
    <w:next w:val="1097"/>
    <w:link w:val="928"/>
    <w:uiPriority w:val="99"/>
    <w:pPr>
      <w:spacing w:after="0" w:line="240" w:lineRule="auto"/>
    </w:pPr>
    <w:tblPr/>
  </w:style>
  <w:style w:type="table" w:styleId="1098">
    <w:name w:val="List Table 5 Dark"/>
    <w:basedOn w:val="931"/>
    <w:next w:val="1098"/>
    <w:link w:val="928"/>
    <w:uiPriority w:val="99"/>
    <w:pPr>
      <w:spacing w:after="0" w:line="240" w:lineRule="auto"/>
    </w:pPr>
    <w:tblPr/>
  </w:style>
  <w:style w:type="table" w:styleId="1099">
    <w:name w:val="List Table 5 Dark - Accent 1"/>
    <w:basedOn w:val="931"/>
    <w:next w:val="1099"/>
    <w:link w:val="928"/>
    <w:uiPriority w:val="99"/>
    <w:pPr>
      <w:spacing w:after="0" w:line="240" w:lineRule="auto"/>
    </w:pPr>
    <w:tblPr/>
  </w:style>
  <w:style w:type="table" w:styleId="1100">
    <w:name w:val="List Table 5 Dark - Accent 2"/>
    <w:basedOn w:val="931"/>
    <w:next w:val="1100"/>
    <w:link w:val="928"/>
    <w:uiPriority w:val="99"/>
    <w:pPr>
      <w:spacing w:after="0" w:line="240" w:lineRule="auto"/>
    </w:pPr>
    <w:tblPr/>
  </w:style>
  <w:style w:type="table" w:styleId="1101">
    <w:name w:val="List Table 5 Dark - Accent 3"/>
    <w:basedOn w:val="931"/>
    <w:next w:val="1101"/>
    <w:link w:val="928"/>
    <w:uiPriority w:val="99"/>
    <w:pPr>
      <w:spacing w:after="0" w:line="240" w:lineRule="auto"/>
    </w:pPr>
    <w:tblPr/>
  </w:style>
  <w:style w:type="table" w:styleId="1102">
    <w:name w:val="List Table 5 Dark - Accent 4"/>
    <w:basedOn w:val="931"/>
    <w:next w:val="1102"/>
    <w:link w:val="928"/>
    <w:uiPriority w:val="99"/>
    <w:pPr>
      <w:spacing w:after="0" w:line="240" w:lineRule="auto"/>
    </w:pPr>
    <w:tblPr/>
  </w:style>
  <w:style w:type="table" w:styleId="1103">
    <w:name w:val="List Table 5 Dark - Accent 5"/>
    <w:basedOn w:val="931"/>
    <w:next w:val="1103"/>
    <w:link w:val="928"/>
    <w:uiPriority w:val="99"/>
    <w:pPr>
      <w:spacing w:after="0" w:line="240" w:lineRule="auto"/>
    </w:pPr>
    <w:tblPr/>
  </w:style>
  <w:style w:type="table" w:styleId="1104">
    <w:name w:val="List Table 5 Dark - Accent 6"/>
    <w:basedOn w:val="931"/>
    <w:next w:val="1104"/>
    <w:link w:val="928"/>
    <w:uiPriority w:val="99"/>
    <w:pPr>
      <w:spacing w:after="0" w:line="240" w:lineRule="auto"/>
    </w:pPr>
    <w:tblPr/>
  </w:style>
  <w:style w:type="table" w:styleId="1105">
    <w:name w:val="List Table 6 Colorful"/>
    <w:basedOn w:val="931"/>
    <w:next w:val="1105"/>
    <w:link w:val="928"/>
    <w:uiPriority w:val="99"/>
    <w:pPr>
      <w:spacing w:after="0" w:line="240" w:lineRule="auto"/>
    </w:pPr>
    <w:tblPr/>
  </w:style>
  <w:style w:type="table" w:styleId="1106">
    <w:name w:val="List Table 6 Colorful - Accent 1"/>
    <w:basedOn w:val="931"/>
    <w:next w:val="1106"/>
    <w:link w:val="928"/>
    <w:uiPriority w:val="99"/>
    <w:pPr>
      <w:spacing w:after="0" w:line="240" w:lineRule="auto"/>
    </w:pPr>
    <w:tblPr/>
  </w:style>
  <w:style w:type="table" w:styleId="1107">
    <w:name w:val="List Table 6 Colorful - Accent 2"/>
    <w:basedOn w:val="931"/>
    <w:next w:val="1107"/>
    <w:link w:val="928"/>
    <w:uiPriority w:val="99"/>
    <w:pPr>
      <w:spacing w:after="0" w:line="240" w:lineRule="auto"/>
    </w:pPr>
    <w:tblPr/>
  </w:style>
  <w:style w:type="table" w:styleId="1108">
    <w:name w:val="List Table 6 Colorful - Accent 3"/>
    <w:basedOn w:val="931"/>
    <w:next w:val="1108"/>
    <w:link w:val="928"/>
    <w:uiPriority w:val="99"/>
    <w:pPr>
      <w:spacing w:after="0" w:line="240" w:lineRule="auto"/>
    </w:pPr>
    <w:tblPr/>
  </w:style>
  <w:style w:type="table" w:styleId="1109">
    <w:name w:val="List Table 6 Colorful - Accent 4"/>
    <w:basedOn w:val="931"/>
    <w:next w:val="1109"/>
    <w:link w:val="928"/>
    <w:uiPriority w:val="99"/>
    <w:pPr>
      <w:spacing w:after="0" w:line="240" w:lineRule="auto"/>
    </w:pPr>
    <w:tblPr/>
  </w:style>
  <w:style w:type="table" w:styleId="1110">
    <w:name w:val="List Table 6 Colorful - Accent 5"/>
    <w:basedOn w:val="931"/>
    <w:next w:val="1110"/>
    <w:link w:val="928"/>
    <w:uiPriority w:val="99"/>
    <w:pPr>
      <w:spacing w:after="0" w:line="240" w:lineRule="auto"/>
    </w:pPr>
    <w:tblPr/>
  </w:style>
  <w:style w:type="table" w:styleId="1111">
    <w:name w:val="List Table 6 Colorful - Accent 6"/>
    <w:basedOn w:val="931"/>
    <w:next w:val="1111"/>
    <w:link w:val="928"/>
    <w:uiPriority w:val="99"/>
    <w:pPr>
      <w:spacing w:after="0" w:line="240" w:lineRule="auto"/>
    </w:pPr>
    <w:tblPr/>
  </w:style>
  <w:style w:type="table" w:styleId="1112">
    <w:name w:val="List Table 7 Colorful"/>
    <w:basedOn w:val="931"/>
    <w:next w:val="1112"/>
    <w:link w:val="928"/>
    <w:uiPriority w:val="99"/>
    <w:pPr>
      <w:spacing w:after="0" w:line="240" w:lineRule="auto"/>
    </w:pPr>
    <w:tblPr/>
  </w:style>
  <w:style w:type="table" w:styleId="1113">
    <w:name w:val="List Table 7 Colorful - Accent 1"/>
    <w:basedOn w:val="931"/>
    <w:next w:val="1113"/>
    <w:link w:val="928"/>
    <w:uiPriority w:val="99"/>
    <w:pPr>
      <w:spacing w:after="0" w:line="240" w:lineRule="auto"/>
    </w:pPr>
    <w:tblPr/>
  </w:style>
  <w:style w:type="table" w:styleId="1114">
    <w:name w:val="List Table 7 Colorful - Accent 2"/>
    <w:basedOn w:val="931"/>
    <w:next w:val="1114"/>
    <w:link w:val="928"/>
    <w:uiPriority w:val="99"/>
    <w:pPr>
      <w:spacing w:after="0" w:line="240" w:lineRule="auto"/>
    </w:pPr>
    <w:tblPr/>
  </w:style>
  <w:style w:type="table" w:styleId="1115">
    <w:name w:val="List Table 7 Colorful - Accent 3"/>
    <w:basedOn w:val="931"/>
    <w:next w:val="1115"/>
    <w:link w:val="928"/>
    <w:uiPriority w:val="99"/>
    <w:pPr>
      <w:spacing w:after="0" w:line="240" w:lineRule="auto"/>
    </w:pPr>
    <w:tblPr/>
  </w:style>
  <w:style w:type="table" w:styleId="1116">
    <w:name w:val="List Table 7 Colorful - Accent 4"/>
    <w:basedOn w:val="931"/>
    <w:next w:val="1116"/>
    <w:link w:val="928"/>
    <w:uiPriority w:val="99"/>
    <w:pPr>
      <w:spacing w:after="0" w:line="240" w:lineRule="auto"/>
    </w:pPr>
    <w:tblPr/>
  </w:style>
  <w:style w:type="table" w:styleId="1117">
    <w:name w:val="List Table 7 Colorful - Accent 5"/>
    <w:basedOn w:val="931"/>
    <w:next w:val="1117"/>
    <w:link w:val="928"/>
    <w:uiPriority w:val="99"/>
    <w:pPr>
      <w:spacing w:after="0" w:line="240" w:lineRule="auto"/>
    </w:pPr>
    <w:tblPr/>
  </w:style>
  <w:style w:type="table" w:styleId="1118">
    <w:name w:val="List Table 7 Colorful - Accent 6"/>
    <w:basedOn w:val="931"/>
    <w:next w:val="1118"/>
    <w:link w:val="928"/>
    <w:uiPriority w:val="99"/>
    <w:pPr>
      <w:spacing w:after="0" w:line="240" w:lineRule="auto"/>
    </w:pPr>
    <w:tblPr/>
  </w:style>
  <w:style w:type="table" w:styleId="1119">
    <w:name w:val="Lined - Accent"/>
    <w:basedOn w:val="931"/>
    <w:next w:val="1119"/>
    <w:link w:val="928"/>
    <w:uiPriority w:val="99"/>
    <w:pPr>
      <w:spacing w:after="0" w:line="240" w:lineRule="auto"/>
    </w:pPr>
    <w:rPr>
      <w:color w:val="404040"/>
    </w:rPr>
    <w:tblPr/>
  </w:style>
  <w:style w:type="table" w:styleId="1120">
    <w:name w:val="Lined - Accent 1"/>
    <w:basedOn w:val="931"/>
    <w:next w:val="1120"/>
    <w:link w:val="928"/>
    <w:uiPriority w:val="99"/>
    <w:pPr>
      <w:spacing w:after="0" w:line="240" w:lineRule="auto"/>
    </w:pPr>
    <w:rPr>
      <w:color w:val="404040"/>
    </w:rPr>
    <w:tblPr/>
  </w:style>
  <w:style w:type="table" w:styleId="1121">
    <w:name w:val="Lined - Accent 2"/>
    <w:basedOn w:val="931"/>
    <w:next w:val="1121"/>
    <w:link w:val="928"/>
    <w:uiPriority w:val="99"/>
    <w:pPr>
      <w:spacing w:after="0" w:line="240" w:lineRule="auto"/>
    </w:pPr>
    <w:rPr>
      <w:color w:val="404040"/>
    </w:rPr>
    <w:tblPr/>
  </w:style>
  <w:style w:type="table" w:styleId="1122">
    <w:name w:val="Lined - Accent 3"/>
    <w:basedOn w:val="931"/>
    <w:next w:val="1122"/>
    <w:link w:val="928"/>
    <w:uiPriority w:val="99"/>
    <w:pPr>
      <w:spacing w:after="0" w:line="240" w:lineRule="auto"/>
    </w:pPr>
    <w:rPr>
      <w:color w:val="404040"/>
    </w:rPr>
    <w:tblPr/>
  </w:style>
  <w:style w:type="table" w:styleId="1123">
    <w:name w:val="Lined - Accent 4"/>
    <w:basedOn w:val="931"/>
    <w:next w:val="1123"/>
    <w:link w:val="928"/>
    <w:uiPriority w:val="99"/>
    <w:pPr>
      <w:spacing w:after="0" w:line="240" w:lineRule="auto"/>
    </w:pPr>
    <w:rPr>
      <w:color w:val="404040"/>
    </w:rPr>
    <w:tblPr/>
  </w:style>
  <w:style w:type="table" w:styleId="1124">
    <w:name w:val="Lined - Accent 5"/>
    <w:basedOn w:val="931"/>
    <w:next w:val="1124"/>
    <w:link w:val="928"/>
    <w:uiPriority w:val="99"/>
    <w:pPr>
      <w:spacing w:after="0" w:line="240" w:lineRule="auto"/>
    </w:pPr>
    <w:rPr>
      <w:color w:val="404040"/>
    </w:rPr>
    <w:tblPr/>
  </w:style>
  <w:style w:type="table" w:styleId="1125">
    <w:name w:val="Lined - Accent 6"/>
    <w:basedOn w:val="931"/>
    <w:next w:val="1125"/>
    <w:link w:val="928"/>
    <w:uiPriority w:val="99"/>
    <w:pPr>
      <w:spacing w:after="0" w:line="240" w:lineRule="auto"/>
    </w:pPr>
    <w:rPr>
      <w:color w:val="404040"/>
    </w:rPr>
    <w:tblPr/>
  </w:style>
  <w:style w:type="table" w:styleId="1126">
    <w:name w:val="Bordered &amp; Lined - Accent"/>
    <w:basedOn w:val="931"/>
    <w:next w:val="1126"/>
    <w:link w:val="928"/>
    <w:uiPriority w:val="99"/>
    <w:pPr>
      <w:spacing w:after="0" w:line="240" w:lineRule="auto"/>
    </w:pPr>
    <w:rPr>
      <w:color w:val="404040"/>
    </w:rPr>
    <w:tblPr/>
  </w:style>
  <w:style w:type="table" w:styleId="1127">
    <w:name w:val="Bordered &amp; Lined - Accent 1"/>
    <w:basedOn w:val="931"/>
    <w:next w:val="1127"/>
    <w:link w:val="928"/>
    <w:uiPriority w:val="99"/>
    <w:pPr>
      <w:spacing w:after="0" w:line="240" w:lineRule="auto"/>
    </w:pPr>
    <w:rPr>
      <w:color w:val="404040"/>
    </w:rPr>
    <w:tblPr/>
  </w:style>
  <w:style w:type="table" w:styleId="1128">
    <w:name w:val="Bordered &amp; Lined - Accent 2"/>
    <w:basedOn w:val="931"/>
    <w:next w:val="1128"/>
    <w:link w:val="928"/>
    <w:uiPriority w:val="99"/>
    <w:pPr>
      <w:spacing w:after="0" w:line="240" w:lineRule="auto"/>
    </w:pPr>
    <w:rPr>
      <w:color w:val="404040"/>
    </w:rPr>
    <w:tblPr/>
  </w:style>
  <w:style w:type="table" w:styleId="1129">
    <w:name w:val="Bordered &amp; Lined - Accent 3"/>
    <w:basedOn w:val="931"/>
    <w:next w:val="1129"/>
    <w:link w:val="928"/>
    <w:uiPriority w:val="99"/>
    <w:pPr>
      <w:spacing w:after="0" w:line="240" w:lineRule="auto"/>
    </w:pPr>
    <w:rPr>
      <w:color w:val="404040"/>
    </w:rPr>
    <w:tblPr/>
  </w:style>
  <w:style w:type="table" w:styleId="1130">
    <w:name w:val="Bordered &amp; Lined - Accent 4"/>
    <w:basedOn w:val="931"/>
    <w:next w:val="1130"/>
    <w:link w:val="928"/>
    <w:uiPriority w:val="99"/>
    <w:pPr>
      <w:spacing w:after="0" w:line="240" w:lineRule="auto"/>
    </w:pPr>
    <w:rPr>
      <w:color w:val="404040"/>
    </w:rPr>
    <w:tblPr/>
  </w:style>
  <w:style w:type="table" w:styleId="1131">
    <w:name w:val="Bordered &amp; Lined - Accent 5"/>
    <w:basedOn w:val="931"/>
    <w:next w:val="1131"/>
    <w:link w:val="928"/>
    <w:uiPriority w:val="99"/>
    <w:pPr>
      <w:spacing w:after="0" w:line="240" w:lineRule="auto"/>
    </w:pPr>
    <w:rPr>
      <w:color w:val="404040"/>
    </w:rPr>
    <w:tblPr/>
  </w:style>
  <w:style w:type="table" w:styleId="1132">
    <w:name w:val="Bordered &amp; Lined - Accent 6"/>
    <w:basedOn w:val="931"/>
    <w:next w:val="1132"/>
    <w:link w:val="928"/>
    <w:uiPriority w:val="99"/>
    <w:pPr>
      <w:spacing w:after="0" w:line="240" w:lineRule="auto"/>
    </w:pPr>
    <w:rPr>
      <w:color w:val="404040"/>
    </w:rPr>
    <w:tblPr/>
  </w:style>
  <w:style w:type="table" w:styleId="1133">
    <w:name w:val="Bordered"/>
    <w:basedOn w:val="931"/>
    <w:next w:val="1133"/>
    <w:link w:val="928"/>
    <w:uiPriority w:val="99"/>
    <w:pPr>
      <w:spacing w:after="0" w:line="240" w:lineRule="auto"/>
    </w:pPr>
    <w:tblPr/>
  </w:style>
  <w:style w:type="table" w:styleId="1134">
    <w:name w:val="Bordered - Accent 1"/>
    <w:basedOn w:val="931"/>
    <w:next w:val="1134"/>
    <w:link w:val="928"/>
    <w:uiPriority w:val="99"/>
    <w:pPr>
      <w:spacing w:after="0" w:line="240" w:lineRule="auto"/>
    </w:pPr>
    <w:tblPr/>
  </w:style>
  <w:style w:type="table" w:styleId="1135">
    <w:name w:val="Bordered - Accent 2"/>
    <w:basedOn w:val="931"/>
    <w:next w:val="1135"/>
    <w:link w:val="928"/>
    <w:uiPriority w:val="99"/>
    <w:pPr>
      <w:spacing w:after="0" w:line="240" w:lineRule="auto"/>
    </w:pPr>
    <w:tblPr/>
  </w:style>
  <w:style w:type="table" w:styleId="1136">
    <w:name w:val="Bordered - Accent 3"/>
    <w:basedOn w:val="931"/>
    <w:next w:val="1136"/>
    <w:link w:val="928"/>
    <w:uiPriority w:val="99"/>
    <w:pPr>
      <w:spacing w:after="0" w:line="240" w:lineRule="auto"/>
    </w:pPr>
    <w:tblPr/>
  </w:style>
  <w:style w:type="table" w:styleId="1137">
    <w:name w:val="Bordered - Accent 4"/>
    <w:basedOn w:val="931"/>
    <w:next w:val="1137"/>
    <w:link w:val="928"/>
    <w:uiPriority w:val="99"/>
    <w:pPr>
      <w:spacing w:after="0" w:line="240" w:lineRule="auto"/>
    </w:pPr>
    <w:tblPr/>
  </w:style>
  <w:style w:type="table" w:styleId="1138">
    <w:name w:val="Bordered - Accent 5"/>
    <w:basedOn w:val="931"/>
    <w:next w:val="1138"/>
    <w:link w:val="928"/>
    <w:uiPriority w:val="99"/>
    <w:pPr>
      <w:spacing w:after="0" w:line="240" w:lineRule="auto"/>
    </w:pPr>
    <w:tblPr/>
  </w:style>
  <w:style w:type="table" w:styleId="1139">
    <w:name w:val="Bordered - Accent 6"/>
    <w:basedOn w:val="931"/>
    <w:next w:val="1139"/>
    <w:link w:val="928"/>
    <w:uiPriority w:val="99"/>
    <w:pPr>
      <w:spacing w:after="0" w:line="240" w:lineRule="auto"/>
    </w:pPr>
    <w:tblPr/>
  </w:style>
  <w:style w:type="paragraph" w:styleId="1140">
    <w:name w:val="TOC 标题"/>
    <w:next w:val="1140"/>
    <w:link w:val="928"/>
    <w:uiPriority w:val="39"/>
    <w:qFormat/>
    <w:rPr>
      <w:lang w:val="en-US" w:eastAsia="zh-CN" w:bidi="ar-SA"/>
    </w:rPr>
  </w:style>
  <w:style w:type="paragraph" w:styleId="1141">
    <w:name w:val="Heading 1"/>
    <w:basedOn w:val="928"/>
    <w:next w:val="928"/>
    <w:link w:val="1142"/>
    <w:qFormat/>
    <w:pPr>
      <w:jc w:val="center"/>
      <w:keepLines/>
      <w:keepNext/>
      <w:spacing w:before="340" w:after="330"/>
      <w:outlineLvl w:val="0"/>
    </w:pPr>
    <w:rPr>
      <w:rFonts w:ascii="Calibri" w:hAnsi="Calibri"/>
      <w:b/>
      <w:bCs/>
      <w:sz w:val="32"/>
      <w:szCs w:val="44"/>
    </w:rPr>
  </w:style>
  <w:style w:type="character" w:styleId="1142">
    <w:name w:val="标题 1 字符"/>
    <w:next w:val="1142"/>
    <w:link w:val="1141"/>
    <w:qFormat/>
    <w:rPr>
      <w:rFonts w:ascii="Calibri" w:hAnsi="Calibri" w:eastAsia="微软雅黑"/>
      <w:b/>
      <w:bCs/>
      <w:sz w:val="32"/>
      <w:szCs w:val="44"/>
    </w:rPr>
  </w:style>
  <w:style w:type="paragraph" w:styleId="1143">
    <w:name w:val="Heading 2"/>
    <w:basedOn w:val="928"/>
    <w:next w:val="928"/>
    <w:link w:val="1144"/>
    <w:qFormat/>
    <w:pPr>
      <w:jc w:val="center"/>
      <w:keepLines/>
      <w:keepNext/>
      <w:spacing w:before="260" w:after="260"/>
      <w:outlineLvl w:val="1"/>
    </w:pPr>
    <w:rPr>
      <w:rFonts w:ascii="Cambria" w:hAnsi="Cambria"/>
      <w:b/>
      <w:bCs/>
      <w:sz w:val="28"/>
      <w:szCs w:val="32"/>
    </w:rPr>
  </w:style>
  <w:style w:type="character" w:styleId="1144">
    <w:name w:val="标题 2 字符"/>
    <w:next w:val="1144"/>
    <w:link w:val="1143"/>
    <w:qFormat/>
    <w:rPr>
      <w:rFonts w:ascii="Cambria" w:hAnsi="Cambria" w:eastAsia="微软雅黑" w:cs="Times New Roman"/>
      <w:b/>
      <w:bCs/>
      <w:sz w:val="28"/>
      <w:szCs w:val="32"/>
    </w:rPr>
  </w:style>
  <w:style w:type="paragraph" w:styleId="1145">
    <w:name w:val="Caption1"/>
    <w:basedOn w:val="928"/>
    <w:next w:val="928"/>
    <w:link w:val="928"/>
    <w:uiPriority w:val="35"/>
    <w:qFormat/>
    <w:rPr>
      <w:rFonts w:ascii="Cambria" w:hAnsi="Cambria" w:eastAsia="黑体"/>
      <w:sz w:val="20"/>
      <w:szCs w:val="20"/>
    </w:rPr>
  </w:style>
  <w:style w:type="paragraph" w:styleId="1146">
    <w:name w:val="Footer1"/>
    <w:basedOn w:val="928"/>
    <w:next w:val="1146"/>
    <w:link w:val="1147"/>
    <w:uiPriority w:val="99"/>
    <w:unhideWhenUsed/>
    <w:qFormat/>
    <w:pPr>
      <w:jc w:val="left"/>
      <w:tabs>
        <w:tab w:val="center" w:pos="4153" w:leader="none"/>
        <w:tab w:val="right" w:pos="8306" w:leader="none"/>
      </w:tabs>
    </w:pPr>
    <w:rPr>
      <w:rFonts w:ascii="宋体" w:eastAsia="宋体"/>
      <w:sz w:val="18"/>
      <w:szCs w:val="18"/>
    </w:rPr>
  </w:style>
  <w:style w:type="character" w:styleId="1147">
    <w:name w:val="页脚 字符"/>
    <w:next w:val="1147"/>
    <w:link w:val="1146"/>
    <w:uiPriority w:val="99"/>
    <w:qFormat/>
    <w:rPr>
      <w:rFonts w:ascii="宋体" w:hAnsi="Times New Roman" w:eastAsia="宋体" w:cs="Times New Roman"/>
      <w:sz w:val="18"/>
      <w:szCs w:val="18"/>
    </w:rPr>
  </w:style>
  <w:style w:type="paragraph" w:styleId="1148">
    <w:name w:val="Header1"/>
    <w:basedOn w:val="928"/>
    <w:next w:val="928"/>
    <w:link w:val="1149"/>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49">
    <w:name w:val="页眉 字符"/>
    <w:next w:val="1149"/>
    <w:link w:val="1148"/>
    <w:uiPriority w:val="99"/>
    <w:qFormat/>
    <w:rPr>
      <w:rFonts w:ascii="宋体" w:hAnsi="Times New Roman" w:eastAsia="宋体" w:cs="Times New Roman"/>
      <w:sz w:val="18"/>
      <w:szCs w:val="18"/>
    </w:rPr>
  </w:style>
  <w:style w:type="paragraph" w:styleId="1150">
    <w:name w:val="标题二、"/>
    <w:basedOn w:val="928"/>
    <w:next w:val="1150"/>
    <w:link w:val="928"/>
    <w:uiPriority w:val="99"/>
    <w:qFormat/>
    <w:pPr>
      <w:ind w:firstLine="200"/>
      <w:spacing w:line="360" w:lineRule="auto"/>
      <w:outlineLvl w:val="2"/>
    </w:pPr>
    <w:rPr>
      <w:rFonts w:ascii="宋体" w:hAnsi="宋体"/>
      <w:b/>
      <w:szCs w:val="21"/>
    </w:rPr>
  </w:style>
  <w:style w:type="paragraph" w:styleId="1151">
    <w:name w:val="[Normal]"/>
    <w:next w:val="1151"/>
    <w:link w:val="928"/>
    <w:uiPriority w:val="99"/>
    <w:qFormat/>
    <w:rPr>
      <w:rFonts w:ascii="方正仿宋简体" w:hAnsi="方正仿宋简体" w:eastAsia="方正仿宋简体" w:cs="Courier New"/>
      <w:sz w:val="24"/>
      <w:szCs w:val="22"/>
      <w:lang w:val="zh-CN" w:eastAsia="zh-CN" w:bidi="ar-SA"/>
    </w:rPr>
  </w:style>
  <w:style w:type="paragraph" w:styleId="1152">
    <w:name w:val="列出段落"/>
    <w:basedOn w:val="928"/>
    <w:next w:val="1152"/>
    <w:link w:val="928"/>
    <w:qFormat/>
    <w:pPr>
      <w:ind w:firstLine="420"/>
    </w:pPr>
    <w:rPr>
      <w:szCs w:val="24"/>
    </w:rPr>
  </w:style>
  <w:style w:type="character" w:styleId="1153">
    <w:name w:val="selected"/>
    <w:next w:val="1153"/>
    <w:link w:val="928"/>
    <w:qFormat/>
    <w:rPr>
      <w:shd w:val="clear" w:color="auto" w:fill="b00006"/>
    </w:rPr>
  </w:style>
  <w:style w:type="character" w:styleId="1154">
    <w:name w:val="font51"/>
    <w:next w:val="1154"/>
    <w:link w:val="928"/>
    <w:qFormat/>
    <w:rPr>
      <w:rFonts w:hint="eastAsia" w:ascii="宋体" w:hAnsi="宋体" w:eastAsia="宋体" w:cs="宋体"/>
      <w:color w:val="000000"/>
      <w:sz w:val="21"/>
      <w:szCs w:val="21"/>
      <w:u w:val="none"/>
    </w:rPr>
  </w:style>
  <w:style w:type="character" w:styleId="1155">
    <w:name w:val="z-窗体底端 字符"/>
    <w:next w:val="1155"/>
    <w:link w:val="1156"/>
    <w:uiPriority w:val="99"/>
    <w:semiHidden/>
    <w:qFormat/>
    <w:rPr>
      <w:rFonts w:ascii="Arial" w:hAnsi="Arial" w:eastAsia="宋体" w:cs="Arial"/>
      <w:vanish/>
      <w:sz w:val="16"/>
      <w:szCs w:val="16"/>
    </w:rPr>
  </w:style>
  <w:style w:type="paragraph" w:styleId="1156">
    <w:name w:val="_Style 62"/>
    <w:basedOn w:val="928"/>
    <w:next w:val="928"/>
    <w:link w:val="1155"/>
    <w:uiPriority w:val="99"/>
    <w:unhideWhenUsed/>
    <w:qFormat/>
    <w:pPr>
      <w:jc w:val="center"/>
      <w:widowControl/>
      <w:pBdr>
        <w:top w:val="single" w:color="000000" w:sz="6" w:space="1"/>
      </w:pBdr>
    </w:pPr>
    <w:rPr>
      <w:rFonts w:ascii="Arial" w:hAnsi="Arial" w:eastAsia="宋体"/>
      <w:vanish/>
      <w:sz w:val="16"/>
      <w:szCs w:val="16"/>
    </w:rPr>
  </w:style>
  <w:style w:type="character" w:styleId="1157">
    <w:name w:val="正文文字 Char Char"/>
    <w:next w:val="1157"/>
    <w:link w:val="928"/>
    <w:qFormat/>
    <w:rPr>
      <w:rFonts w:ascii="仿宋_GB2312" w:hAnsi="宋体" w:eastAsia="仿宋_GB2312" w:cs="仿宋_GB2312"/>
      <w:sz w:val="24"/>
      <w:szCs w:val="24"/>
    </w:rPr>
  </w:style>
  <w:style w:type="character" w:styleId="1158">
    <w:name w:val="label"/>
    <w:next w:val="1158"/>
    <w:link w:val="928"/>
    <w:qFormat/>
    <w:rPr>
      <w:color w:val="999999"/>
    </w:rPr>
  </w:style>
  <w:style w:type="character" w:styleId="1159">
    <w:name w:val="Char Char5"/>
    <w:next w:val="1159"/>
    <w:link w:val="928"/>
    <w:qFormat/>
    <w:rPr>
      <w:rFonts w:ascii="宋体" w:hAnsi="Courier New" w:eastAsia="宋体" w:cs="宋体"/>
      <w:sz w:val="28"/>
      <w:szCs w:val="28"/>
      <w:lang w:val="en-US" w:eastAsia="zh-CN"/>
    </w:rPr>
  </w:style>
  <w:style w:type="character" w:styleId="1160">
    <w:name w:val="纯文本 Char2"/>
    <w:next w:val="1160"/>
    <w:link w:val="928"/>
    <w:qFormat/>
    <w:rPr>
      <w:rFonts w:ascii="宋体" w:hAnsi="Courier New" w:eastAsia="宋体"/>
      <w:sz w:val="24"/>
      <w:lang w:val="en-US" w:eastAsia="zh-CN" w:bidi="ar-SA"/>
    </w:rPr>
  </w:style>
  <w:style w:type="character" w:styleId="1161">
    <w:name w:val="z-窗体顶端 字符"/>
    <w:next w:val="1161"/>
    <w:link w:val="1162"/>
    <w:uiPriority w:val="99"/>
    <w:semiHidden/>
    <w:qFormat/>
    <w:rPr>
      <w:rFonts w:ascii="Arial" w:hAnsi="Arial" w:eastAsia="宋体" w:cs="Arial"/>
      <w:vanish/>
      <w:sz w:val="16"/>
      <w:szCs w:val="16"/>
    </w:rPr>
  </w:style>
  <w:style w:type="paragraph" w:styleId="1162">
    <w:name w:val="_Style 68"/>
    <w:basedOn w:val="928"/>
    <w:next w:val="928"/>
    <w:link w:val="1161"/>
    <w:uiPriority w:val="99"/>
    <w:unhideWhenUsed/>
    <w:qFormat/>
    <w:pPr>
      <w:jc w:val="center"/>
      <w:widowControl/>
      <w:pBdr>
        <w:bottom w:val="single" w:color="000000" w:sz="6" w:space="1"/>
      </w:pBdr>
    </w:pPr>
    <w:rPr>
      <w:rFonts w:ascii="Arial" w:hAnsi="Arial" w:eastAsia="宋体"/>
      <w:vanish/>
      <w:sz w:val="16"/>
      <w:szCs w:val="16"/>
    </w:rPr>
  </w:style>
  <w:style w:type="character" w:styleId="1163">
    <w:name w:val="displayarti"/>
    <w:next w:val="1163"/>
    <w:link w:val="928"/>
    <w:qFormat/>
    <w:rPr>
      <w:color w:val="ffffff"/>
      <w:shd w:val="clear" w:color="auto" w:fill="a00000"/>
    </w:rPr>
  </w:style>
  <w:style w:type="character" w:styleId="1164">
    <w:name w:val="_Style 70"/>
    <w:next w:val="1164"/>
    <w:link w:val="928"/>
    <w:uiPriority w:val="19"/>
    <w:qFormat/>
    <w:rPr>
      <w:i/>
      <w:iCs/>
      <w:color w:val="808080"/>
    </w:rPr>
  </w:style>
  <w:style w:type="character" w:styleId="1165">
    <w:name w:val="font01"/>
    <w:next w:val="1165"/>
    <w:link w:val="928"/>
    <w:qFormat/>
    <w:rPr>
      <w:rFonts w:ascii="Calibri" w:hAnsi="Calibri" w:cs="Calibri"/>
      <w:color w:val="000000"/>
      <w:sz w:val="21"/>
      <w:szCs w:val="21"/>
      <w:u w:val="none"/>
    </w:rPr>
  </w:style>
  <w:style w:type="character" w:styleId="1166">
    <w:name w:val="gpa"/>
    <w:next w:val="1166"/>
    <w:link w:val="928"/>
    <w:qFormat/>
    <w:rPr>
      <w:rFonts w:ascii="Arial" w:hAnsi="Arial" w:cs="Arial"/>
      <w:sz w:val="15"/>
      <w:szCs w:val="15"/>
    </w:rPr>
  </w:style>
  <w:style w:type="character" w:styleId="1167">
    <w:name w:val="hover12"/>
    <w:next w:val="1167"/>
    <w:link w:val="928"/>
    <w:qFormat/>
  </w:style>
  <w:style w:type="character" w:styleId="1168">
    <w:name w:val="Char Char13"/>
    <w:next w:val="1168"/>
    <w:link w:val="928"/>
    <w:qFormat/>
    <w:rPr>
      <w:b/>
      <w:bCs/>
      <w:sz w:val="44"/>
      <w:szCs w:val="44"/>
    </w:rPr>
  </w:style>
  <w:style w:type="character" w:styleId="1169">
    <w:name w:val="1page sec3 Char"/>
    <w:next w:val="1169"/>
    <w:link w:val="928"/>
    <w:qFormat/>
    <w:rPr>
      <w:rFonts w:eastAsia="宋体"/>
      <w:sz w:val="18"/>
      <w:szCs w:val="18"/>
      <w:lang w:val="en-US" w:eastAsia="zh-CN" w:bidi="ar-SA"/>
    </w:rPr>
  </w:style>
  <w:style w:type="character" w:styleId="1170">
    <w:name w:val="layui-laypage-curr"/>
    <w:next w:val="1170"/>
    <w:link w:val="928"/>
    <w:qFormat/>
  </w:style>
  <w:style w:type="character" w:styleId="1171">
    <w:name w:val="apple-style-span"/>
    <w:next w:val="1171"/>
    <w:link w:val="928"/>
    <w:qFormat/>
  </w:style>
  <w:style w:type="character" w:styleId="1172">
    <w:name w:val="文档结构图 Char1"/>
    <w:next w:val="1172"/>
    <w:link w:val="928"/>
    <w:uiPriority w:val="99"/>
    <w:semiHidden/>
    <w:qFormat/>
    <w:rPr>
      <w:rFonts w:ascii="宋体"/>
      <w:sz w:val="18"/>
      <w:szCs w:val="18"/>
    </w:rPr>
  </w:style>
  <w:style w:type="character" w:styleId="1173">
    <w:name w:val="_Style 6"/>
    <w:next w:val="1173"/>
    <w:link w:val="928"/>
    <w:uiPriority w:val="19"/>
    <w:qFormat/>
    <w:rPr>
      <w:i/>
      <w:iCs/>
      <w:color w:val="808080"/>
    </w:rPr>
  </w:style>
  <w:style w:type="paragraph" w:styleId="1174">
    <w:name w:val="xl89"/>
    <w:basedOn w:val="928"/>
    <w:next w:val="1174"/>
    <w:link w:val="92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75">
    <w:name w:val="_Style 81"/>
    <w:basedOn w:val="1141"/>
    <w:next w:val="928"/>
    <w:link w:val="928"/>
    <w:uiPriority w:val="39"/>
    <w:qFormat/>
    <w:pPr>
      <w:jc w:val="left"/>
      <w:spacing w:before="480" w:after="0" w:line="276" w:lineRule="auto"/>
      <w:widowControl/>
      <w:outlineLvl w:val="9"/>
    </w:pPr>
    <w:rPr>
      <w:rFonts w:ascii="Cambria" w:hAnsi="Cambria"/>
      <w:color w:val="365f91"/>
      <w:sz w:val="28"/>
      <w:szCs w:val="28"/>
    </w:rPr>
  </w:style>
  <w:style w:type="paragraph" w:styleId="1176">
    <w:name w:val="xl87"/>
    <w:basedOn w:val="928"/>
    <w:next w:val="1176"/>
    <w:link w:val="92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77">
    <w:name w:val="_Style 83"/>
    <w:next w:val="1177"/>
    <w:link w:val="928"/>
    <w:uiPriority w:val="99"/>
    <w:unhideWhenUsed/>
    <w:qFormat/>
    <w:rPr>
      <w:rFonts w:eastAsia="微软雅黑"/>
      <w:sz w:val="21"/>
      <w:szCs w:val="22"/>
      <w:lang w:val="en-US" w:eastAsia="zh-CN" w:bidi="ar-SA"/>
    </w:rPr>
  </w:style>
  <w:style w:type="paragraph" w:styleId="1178">
    <w:name w:val="xl75"/>
    <w:basedOn w:val="928"/>
    <w:next w:val="117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79">
    <w:name w:val="前言、引言标题"/>
    <w:next w:val="928"/>
    <w:link w:val="928"/>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180">
    <w:name w:val="Char Char"/>
    <w:basedOn w:val="928"/>
    <w:next w:val="1180"/>
    <w:link w:val="928"/>
    <w:qFormat/>
    <w:pPr>
      <w:tabs>
        <w:tab w:val="left" w:pos="360" w:leader="none"/>
      </w:tabs>
    </w:pPr>
    <w:rPr>
      <w:sz w:val="24"/>
      <w:szCs w:val="24"/>
    </w:rPr>
  </w:style>
  <w:style w:type="paragraph" w:styleId="1181">
    <w:name w:val="xl103"/>
    <w:basedOn w:val="928"/>
    <w:next w:val="1181"/>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82">
    <w:name w:val="List Paragraph1"/>
    <w:basedOn w:val="928"/>
    <w:next w:val="1182"/>
    <w:link w:val="928"/>
    <w:uiPriority w:val="34"/>
    <w:qFormat/>
    <w:pPr>
      <w:ind w:firstLine="420"/>
    </w:pPr>
    <w:rPr>
      <w:rFonts w:ascii="Calibri" w:hAnsi="Calibri" w:eastAsia="宋体"/>
    </w:rPr>
  </w:style>
  <w:style w:type="paragraph" w:styleId="1183">
    <w:name w:val="xl101"/>
    <w:basedOn w:val="928"/>
    <w:next w:val="1183"/>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4">
    <w:name w:val="章标题"/>
    <w:next w:val="928"/>
    <w:link w:val="928"/>
    <w:qFormat/>
    <w:pPr>
      <w:jc w:val="both"/>
      <w:outlineLvl w:val="1"/>
    </w:pPr>
    <w:rPr>
      <w:rFonts w:ascii="黑体" w:eastAsia="黑体" w:cs="黑体"/>
      <w:sz w:val="21"/>
      <w:szCs w:val="21"/>
      <w:lang w:val="en-US" w:eastAsia="zh-CN" w:bidi="ar-SA"/>
    </w:rPr>
  </w:style>
  <w:style w:type="paragraph" w:styleId="1185">
    <w:name w:val="font12"/>
    <w:basedOn w:val="928"/>
    <w:next w:val="1185"/>
    <w:link w:val="928"/>
    <w:qFormat/>
    <w:pPr>
      <w:jc w:val="left"/>
      <w:spacing w:before="100" w:beforeAutospacing="1" w:after="100" w:afterAutospacing="1"/>
      <w:widowControl/>
    </w:pPr>
    <w:rPr>
      <w:rFonts w:ascii="宋体" w:hAnsi="宋体" w:cs="宋体"/>
      <w:color w:val="000000"/>
      <w:sz w:val="20"/>
      <w:szCs w:val="20"/>
    </w:rPr>
  </w:style>
  <w:style w:type="paragraph" w:styleId="1186">
    <w:name w:val="xl97"/>
    <w:basedOn w:val="928"/>
    <w:next w:val="1186"/>
    <w:link w:val="928"/>
    <w:qFormat/>
    <w:pPr>
      <w:jc w:val="left"/>
      <w:spacing w:before="100" w:beforeAutospacing="1" w:after="100" w:afterAutospacing="1"/>
      <w:widowControl/>
    </w:pPr>
    <w:rPr>
      <w:rFonts w:ascii="宋体" w:hAnsi="宋体" w:cs="宋体"/>
      <w:szCs w:val="21"/>
    </w:rPr>
  </w:style>
  <w:style w:type="paragraph" w:styleId="1187">
    <w:name w:val="xl92"/>
    <w:basedOn w:val="928"/>
    <w:next w:val="1187"/>
    <w:link w:val="9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88">
    <w:name w:val="五级条标题"/>
    <w:basedOn w:val="1189"/>
    <w:next w:val="928"/>
    <w:link w:val="928"/>
    <w:qFormat/>
    <w:pPr>
      <w:outlineLvl w:val="6"/>
    </w:pPr>
  </w:style>
  <w:style w:type="paragraph" w:styleId="1189">
    <w:name w:val="四级条标题"/>
    <w:basedOn w:val="1190"/>
    <w:next w:val="928"/>
    <w:link w:val="928"/>
    <w:qFormat/>
    <w:pPr>
      <w:outlineLvl w:val="5"/>
    </w:pPr>
  </w:style>
  <w:style w:type="paragraph" w:styleId="1190">
    <w:name w:val="三级条标题"/>
    <w:basedOn w:val="1191"/>
    <w:next w:val="928"/>
    <w:link w:val="928"/>
    <w:qFormat/>
    <w:pPr>
      <w:outlineLvl w:val="4"/>
    </w:pPr>
  </w:style>
  <w:style w:type="paragraph" w:styleId="1191">
    <w:name w:val="二级条标题"/>
    <w:basedOn w:val="1192"/>
    <w:next w:val="928"/>
    <w:link w:val="928"/>
    <w:qFormat/>
    <w:pPr>
      <w:outlineLvl w:val="3"/>
    </w:pPr>
  </w:style>
  <w:style w:type="paragraph" w:styleId="1192">
    <w:name w:val="一级条标题"/>
    <w:next w:val="928"/>
    <w:link w:val="928"/>
    <w:qFormat/>
    <w:pPr>
      <w:outlineLvl w:val="2"/>
    </w:pPr>
    <w:rPr>
      <w:rFonts w:eastAsia="黑体"/>
      <w:sz w:val="21"/>
      <w:szCs w:val="21"/>
      <w:lang w:val="en-US" w:eastAsia="zh-CN" w:bidi="ar-SA"/>
    </w:rPr>
  </w:style>
  <w:style w:type="paragraph" w:styleId="1193">
    <w:name w:val="font9"/>
    <w:basedOn w:val="928"/>
    <w:next w:val="1193"/>
    <w:link w:val="928"/>
    <w:qFormat/>
    <w:pPr>
      <w:jc w:val="left"/>
      <w:spacing w:before="100" w:beforeAutospacing="1" w:after="100" w:afterAutospacing="1"/>
      <w:widowControl/>
    </w:pPr>
    <w:rPr>
      <w:rFonts w:ascii="宋体" w:hAnsi="宋体" w:cs="宋体"/>
      <w:color w:val="000000"/>
      <w:szCs w:val="21"/>
    </w:rPr>
  </w:style>
  <w:style w:type="paragraph" w:styleId="1194">
    <w:name w:val="字母编号"/>
    <w:next w:val="1194"/>
    <w:link w:val="928"/>
    <w:qFormat/>
    <w:pPr>
      <w:numPr>
        <w:ilvl w:val="2"/>
        <w:numId w:val="2"/>
      </w:numPr>
      <w:tabs>
        <w:tab w:val="left" w:pos="360" w:leader="none"/>
      </w:tabs>
    </w:pPr>
    <w:rPr>
      <w:sz w:val="21"/>
      <w:szCs w:val="21"/>
      <w:lang w:val="en-US" w:eastAsia="zh-CN" w:bidi="ar-SA"/>
    </w:rPr>
  </w:style>
  <w:style w:type="paragraph" w:styleId="1195">
    <w:name w:val="xl107"/>
    <w:basedOn w:val="928"/>
    <w:next w:val="1195"/>
    <w:link w:val="92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196">
    <w:name w:val="xl112"/>
    <w:basedOn w:val="928"/>
    <w:next w:val="1196"/>
    <w:link w:val="92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97">
    <w:name w:val="tc"/>
    <w:basedOn w:val="928"/>
    <w:next w:val="1197"/>
    <w:link w:val="928"/>
    <w:qFormat/>
    <w:pPr>
      <w:jc w:val="center"/>
    </w:pPr>
    <w:rPr>
      <w:szCs w:val="24"/>
    </w:rPr>
  </w:style>
  <w:style w:type="paragraph" w:styleId="1198">
    <w:name w:val="xl96"/>
    <w:basedOn w:val="928"/>
    <w:next w:val="1198"/>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99">
    <w:name w:val="xl95"/>
    <w:basedOn w:val="928"/>
    <w:next w:val="1199"/>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00">
    <w:name w:val="列出段落1"/>
    <w:basedOn w:val="928"/>
    <w:next w:val="1200"/>
    <w:link w:val="928"/>
    <w:uiPriority w:val="34"/>
    <w:qFormat/>
    <w:pPr>
      <w:ind w:firstLine="420"/>
      <w:spacing w:before="156" w:after="156" w:line="360" w:lineRule="auto"/>
    </w:pPr>
    <w:rPr>
      <w:rFonts w:ascii="Calibri" w:hAnsi="Calibri" w:cs="Calibri"/>
      <w:lang w:eastAsia="ar-SA"/>
    </w:rPr>
  </w:style>
  <w:style w:type="paragraph" w:styleId="1201">
    <w:name w:val="xl72"/>
    <w:basedOn w:val="928"/>
    <w:next w:val="1201"/>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02">
    <w:name w:val="_Style 2"/>
    <w:basedOn w:val="928"/>
    <w:next w:val="1202"/>
    <w:link w:val="928"/>
    <w:qFormat/>
    <w:pPr>
      <w:ind w:firstLine="420"/>
    </w:pPr>
    <w:rPr>
      <w:rFonts w:ascii="Calibri" w:hAnsi="Calibri"/>
    </w:rPr>
  </w:style>
  <w:style w:type="paragraph" w:styleId="1203">
    <w:name w:val="xl81"/>
    <w:basedOn w:val="928"/>
    <w:next w:val="1203"/>
    <w:link w:val="928"/>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204">
    <w:name w:val="xl86"/>
    <w:basedOn w:val="928"/>
    <w:next w:val="120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05">
    <w:name w:val="xl104"/>
    <w:basedOn w:val="928"/>
    <w:next w:val="1205"/>
    <w:link w:val="92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06">
    <w:name w:val="程序1"/>
    <w:next w:val="928"/>
    <w:link w:val="928"/>
    <w:qFormat/>
    <w:pPr>
      <w:numPr>
        <w:ilvl w:val="0"/>
        <w:numId w:val="2"/>
      </w:numPr>
      <w:ind w:left="360" w:hanging="360"/>
      <w:tabs>
        <w:tab w:val="left" w:pos="360" w:leader="none"/>
      </w:tabs>
    </w:pPr>
    <w:rPr>
      <w:b/>
      <w:bCs/>
      <w:sz w:val="24"/>
      <w:szCs w:val="24"/>
      <w:lang w:val="en-US" w:eastAsia="zh-CN" w:bidi="ar-SA"/>
    </w:rPr>
  </w:style>
  <w:style w:type="paragraph" w:styleId="1207">
    <w:name w:val="xl99"/>
    <w:basedOn w:val="928"/>
    <w:next w:val="1207"/>
    <w:link w:val="92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08">
    <w:name w:val="font6"/>
    <w:basedOn w:val="928"/>
    <w:next w:val="1208"/>
    <w:link w:val="928"/>
    <w:qFormat/>
    <w:pPr>
      <w:jc w:val="left"/>
      <w:spacing w:before="100" w:beforeAutospacing="1" w:after="100" w:afterAutospacing="1"/>
      <w:widowControl/>
    </w:pPr>
    <w:rPr>
      <w:color w:val="000000"/>
      <w:szCs w:val="21"/>
    </w:rPr>
  </w:style>
  <w:style w:type="paragraph" w:styleId="1209">
    <w:name w:val="Default"/>
    <w:next w:val="1209"/>
    <w:link w:val="928"/>
    <w:qFormat/>
    <w:pPr>
      <w:widowControl w:val="off"/>
    </w:pPr>
    <w:rPr>
      <w:rFonts w:ascii="宋体" w:cs="宋体"/>
      <w:color w:val="000000"/>
      <w:sz w:val="24"/>
      <w:szCs w:val="24"/>
      <w:lang w:val="en-US" w:eastAsia="zh-CN" w:bidi="ar-SA"/>
    </w:rPr>
  </w:style>
  <w:style w:type="paragraph" w:styleId="1210">
    <w:name w:val="正文 New New New New New New New New New New New New New New New New New New New"/>
    <w:next w:val="1210"/>
    <w:link w:val="928"/>
    <w:qFormat/>
    <w:pPr>
      <w:jc w:val="both"/>
      <w:widowControl w:val="off"/>
    </w:pPr>
    <w:rPr>
      <w:sz w:val="28"/>
      <w:szCs w:val="24"/>
      <w:lang w:val="en-US" w:eastAsia="zh-CN" w:bidi="ar-SA"/>
    </w:rPr>
  </w:style>
  <w:style w:type="paragraph" w:styleId="1211">
    <w:name w:val="font7"/>
    <w:basedOn w:val="928"/>
    <w:next w:val="1211"/>
    <w:link w:val="928"/>
    <w:qFormat/>
    <w:pPr>
      <w:jc w:val="left"/>
      <w:spacing w:before="100" w:beforeAutospacing="1" w:after="100" w:afterAutospacing="1"/>
      <w:widowControl/>
    </w:pPr>
    <w:rPr>
      <w:b/>
      <w:bCs/>
      <w:color w:val="000000"/>
      <w:szCs w:val="21"/>
    </w:rPr>
  </w:style>
  <w:style w:type="paragraph" w:styleId="1212">
    <w:name w:val="xl76"/>
    <w:basedOn w:val="928"/>
    <w:next w:val="1212"/>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3">
    <w:name w:val="xl93"/>
    <w:basedOn w:val="928"/>
    <w:next w:val="1213"/>
    <w:link w:val="92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14">
    <w:name w:val="正文 A"/>
    <w:next w:val="1214"/>
    <w:link w:val="928"/>
    <w:qFormat/>
    <w:pPr>
      <w:jc w:val="both"/>
      <w:widowControl w:val="off"/>
    </w:pPr>
    <w:rPr>
      <w:rFonts w:cs="Calibri"/>
      <w:color w:val="000000"/>
      <w:sz w:val="21"/>
      <w:szCs w:val="21"/>
      <w:lang w:val="en-US" w:eastAsia="zh-CN" w:bidi="ar-SA"/>
    </w:rPr>
  </w:style>
  <w:style w:type="paragraph" w:styleId="1215">
    <w:name w:val="xl102"/>
    <w:basedOn w:val="928"/>
    <w:next w:val="1215"/>
    <w:link w:val="92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16">
    <w:name w:val="xl110"/>
    <w:basedOn w:val="928"/>
    <w:next w:val="1216"/>
    <w:link w:val="92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17">
    <w:name w:val="List Paragraph2"/>
    <w:basedOn w:val="928"/>
    <w:next w:val="1217"/>
    <w:link w:val="928"/>
    <w:uiPriority w:val="34"/>
    <w:qFormat/>
    <w:pPr>
      <w:ind w:firstLine="420"/>
    </w:pPr>
    <w:rPr>
      <w:rFonts w:ascii="Calibri" w:hAnsi="Calibri"/>
    </w:rPr>
  </w:style>
  <w:style w:type="paragraph" w:styleId="1218">
    <w:name w:val="xl77"/>
    <w:basedOn w:val="928"/>
    <w:next w:val="121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9">
    <w:name w:val="xl111"/>
    <w:basedOn w:val="928"/>
    <w:next w:val="1219"/>
    <w:link w:val="92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20">
    <w:name w:val="xl100"/>
    <w:basedOn w:val="928"/>
    <w:next w:val="1220"/>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21">
    <w:name w:val="font5"/>
    <w:basedOn w:val="928"/>
    <w:next w:val="1221"/>
    <w:link w:val="928"/>
    <w:qFormat/>
    <w:pPr>
      <w:jc w:val="left"/>
      <w:spacing w:before="100" w:beforeAutospacing="1" w:after="100" w:afterAutospacing="1"/>
      <w:widowControl/>
    </w:pPr>
    <w:rPr>
      <w:color w:val="000000"/>
      <w:sz w:val="20"/>
      <w:szCs w:val="20"/>
    </w:rPr>
  </w:style>
  <w:style w:type="paragraph" w:styleId="1222">
    <w:name w:val="font8"/>
    <w:basedOn w:val="928"/>
    <w:next w:val="1222"/>
    <w:link w:val="928"/>
    <w:qFormat/>
    <w:pPr>
      <w:jc w:val="left"/>
      <w:spacing w:before="100" w:beforeAutospacing="1" w:after="100" w:afterAutospacing="1"/>
      <w:widowControl/>
    </w:pPr>
    <w:rPr>
      <w:rFonts w:ascii="宋体" w:hAnsi="宋体" w:cs="宋体"/>
      <w:b/>
      <w:bCs/>
      <w:color w:val="000000"/>
      <w:szCs w:val="21"/>
    </w:rPr>
  </w:style>
  <w:style w:type="paragraph" w:styleId="1223">
    <w:name w:val="font14"/>
    <w:basedOn w:val="928"/>
    <w:next w:val="1223"/>
    <w:link w:val="928"/>
    <w:qFormat/>
    <w:pPr>
      <w:jc w:val="left"/>
      <w:spacing w:before="100" w:beforeAutospacing="1" w:after="100" w:afterAutospacing="1"/>
      <w:widowControl/>
    </w:pPr>
    <w:rPr>
      <w:rFonts w:ascii="宋体" w:hAnsi="宋体" w:cs="宋体"/>
      <w:color w:val="000000"/>
      <w:szCs w:val="21"/>
    </w:rPr>
  </w:style>
  <w:style w:type="paragraph" w:styleId="1224">
    <w:name w:val="xl71"/>
    <w:basedOn w:val="928"/>
    <w:next w:val="1224"/>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25">
    <w:name w:val="xl74"/>
    <w:basedOn w:val="928"/>
    <w:next w:val="1225"/>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6">
    <w:name w:val="xl79"/>
    <w:basedOn w:val="928"/>
    <w:next w:val="1226"/>
    <w:link w:val="928"/>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27">
    <w:name w:val="font10"/>
    <w:basedOn w:val="928"/>
    <w:next w:val="1227"/>
    <w:link w:val="928"/>
    <w:qFormat/>
    <w:pPr>
      <w:jc w:val="left"/>
      <w:spacing w:before="100" w:beforeAutospacing="1" w:after="100" w:afterAutospacing="1"/>
      <w:widowControl/>
    </w:pPr>
    <w:rPr>
      <w:rFonts w:ascii="宋体" w:hAnsi="宋体" w:cs="宋体"/>
      <w:color w:val="000000"/>
      <w:sz w:val="22"/>
    </w:rPr>
  </w:style>
  <w:style w:type="paragraph" w:styleId="1228">
    <w:name w:val="xl106"/>
    <w:basedOn w:val="928"/>
    <w:next w:val="1228"/>
    <w:link w:val="92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229">
    <w:name w:val="xl70"/>
    <w:basedOn w:val="928"/>
    <w:next w:val="1229"/>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30">
    <w:name w:val="Char"/>
    <w:basedOn w:val="928"/>
    <w:next w:val="1230"/>
    <w:link w:val="928"/>
    <w:qFormat/>
    <w:pPr>
      <w:jc w:val="left"/>
      <w:spacing w:after="160" w:line="240" w:lineRule="exact"/>
      <w:widowControl/>
    </w:pPr>
    <w:rPr>
      <w:rFonts w:ascii="Verdana" w:hAnsi="Verdana" w:eastAsia="宋体" w:cs="Verdana"/>
      <w:sz w:val="18"/>
      <w:szCs w:val="18"/>
      <w:lang w:eastAsia="en-US"/>
    </w:rPr>
  </w:style>
  <w:style w:type="paragraph" w:styleId="1231">
    <w:name w:val="xl85"/>
    <w:basedOn w:val="928"/>
    <w:next w:val="1231"/>
    <w:link w:val="92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32">
    <w:name w:val="xl109"/>
    <w:basedOn w:val="928"/>
    <w:next w:val="1232"/>
    <w:link w:val="92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33">
    <w:name w:val="Table Paragraph"/>
    <w:basedOn w:val="928"/>
    <w:next w:val="1233"/>
    <w:link w:val="928"/>
    <w:uiPriority w:val="1"/>
    <w:qFormat/>
    <w:rPr>
      <w:rFonts w:ascii="宋体" w:hAnsi="宋体" w:eastAsia="宋体" w:cs="宋体"/>
      <w:lang w:val="zh-CN" w:bidi="zh-CN"/>
    </w:rPr>
  </w:style>
  <w:style w:type="paragraph" w:styleId="1234">
    <w:name w:val="Char1"/>
    <w:basedOn w:val="928"/>
    <w:next w:val="1234"/>
    <w:link w:val="928"/>
    <w:qFormat/>
    <w:pPr>
      <w:jc w:val="left"/>
      <w:spacing w:after="160" w:line="240" w:lineRule="exact"/>
      <w:widowControl/>
    </w:pPr>
    <w:rPr>
      <w:rFonts w:ascii="Verdana" w:hAnsi="Verdana" w:eastAsia="宋体" w:cs="Verdana"/>
      <w:sz w:val="18"/>
      <w:szCs w:val="18"/>
      <w:lang w:eastAsia="en-US"/>
    </w:rPr>
  </w:style>
  <w:style w:type="paragraph" w:styleId="1235">
    <w:name w:val="xl108"/>
    <w:basedOn w:val="928"/>
    <w:next w:val="1235"/>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font11"/>
    <w:basedOn w:val="928"/>
    <w:next w:val="1236"/>
    <w:link w:val="928"/>
    <w:qFormat/>
    <w:pPr>
      <w:jc w:val="left"/>
      <w:spacing w:before="100" w:beforeAutospacing="1" w:after="100" w:afterAutospacing="1"/>
      <w:widowControl/>
    </w:pPr>
    <w:rPr>
      <w:rFonts w:ascii="宋体" w:hAnsi="宋体" w:cs="宋体"/>
      <w:color w:val="000000"/>
      <w:sz w:val="18"/>
      <w:szCs w:val="18"/>
    </w:rPr>
  </w:style>
  <w:style w:type="paragraph" w:styleId="1237">
    <w:name w:val="xl73"/>
    <w:basedOn w:val="928"/>
    <w:next w:val="1237"/>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8">
    <w:name w:val="列出段落3"/>
    <w:basedOn w:val="928"/>
    <w:next w:val="1238"/>
    <w:link w:val="928"/>
    <w:uiPriority w:val="34"/>
    <w:qFormat/>
    <w:pPr>
      <w:ind w:firstLine="200"/>
      <w:spacing w:line="360" w:lineRule="auto"/>
      <w:widowControl/>
    </w:pPr>
    <w:rPr>
      <w:rFonts w:ascii="Calibri" w:hAnsi="Calibri"/>
      <w:sz w:val="24"/>
    </w:rPr>
  </w:style>
  <w:style w:type="paragraph" w:styleId="1239">
    <w:name w:val="注："/>
    <w:next w:val="928"/>
    <w:link w:val="928"/>
    <w:qFormat/>
    <w:pPr>
      <w:numPr>
        <w:ilvl w:val="0"/>
        <w:numId w:val="3"/>
      </w:numPr>
      <w:jc w:val="both"/>
      <w:widowControl w:val="off"/>
      <w:tabs>
        <w:tab w:val="left" w:pos="1140" w:leader="none"/>
      </w:tabs>
    </w:pPr>
    <w:rPr>
      <w:rFonts w:ascii="宋体" w:cs="宋体"/>
      <w:sz w:val="18"/>
      <w:szCs w:val="18"/>
      <w:lang w:val="en-US" w:eastAsia="zh-CN" w:bidi="ar-SA"/>
    </w:rPr>
  </w:style>
  <w:style w:type="paragraph" w:styleId="1240">
    <w:name w:val="Char11"/>
    <w:basedOn w:val="928"/>
    <w:next w:val="1240"/>
    <w:link w:val="928"/>
    <w:qFormat/>
    <w:rPr>
      <w:rFonts w:ascii="仿宋_GB2312" w:eastAsia="仿宋_GB2312"/>
      <w:b/>
      <w:sz w:val="32"/>
      <w:szCs w:val="32"/>
    </w:rPr>
  </w:style>
  <w:style w:type="paragraph" w:styleId="1241">
    <w:name w:val="xl90"/>
    <w:basedOn w:val="928"/>
    <w:next w:val="1241"/>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2">
    <w:name w:val="程序1.1.1"/>
    <w:next w:val="1242"/>
    <w:link w:val="928"/>
    <w:qFormat/>
    <w:pPr>
      <w:numPr>
        <w:ilvl w:val="1"/>
        <w:numId w:val="2"/>
      </w:numPr>
      <w:tabs>
        <w:tab w:val="left" w:pos="360" w:leader="none"/>
        <w:tab w:val="left" w:pos="525" w:leader="none"/>
      </w:tabs>
    </w:pPr>
    <w:rPr>
      <w:sz w:val="21"/>
      <w:szCs w:val="21"/>
      <w:lang w:val="en-US" w:eastAsia="zh-CN" w:bidi="ar-SA"/>
    </w:rPr>
  </w:style>
  <w:style w:type="paragraph" w:styleId="1243">
    <w:name w:val="正文宋体4"/>
    <w:basedOn w:val="928"/>
    <w:next w:val="1243"/>
    <w:link w:val="928"/>
    <w:qFormat/>
    <w:pPr>
      <w:ind w:firstLine="359"/>
      <w:tabs>
        <w:tab w:val="left" w:pos="0" w:leader="none"/>
      </w:tabs>
    </w:pPr>
    <w:rPr>
      <w:rFonts w:ascii="仿宋_GB2312" w:eastAsia="仿宋_GB2312"/>
      <w:b/>
      <w:color w:val="000000"/>
      <w:sz w:val="24"/>
      <w:szCs w:val="24"/>
    </w:rPr>
  </w:style>
  <w:style w:type="paragraph" w:styleId="1244">
    <w:name w:val="xl88"/>
    <w:basedOn w:val="928"/>
    <w:next w:val="1244"/>
    <w:link w:val="92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45">
    <w:name w:val="xl67"/>
    <w:basedOn w:val="928"/>
    <w:next w:val="1245"/>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46">
    <w:name w:val="xl78"/>
    <w:basedOn w:val="928"/>
    <w:next w:val="124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xl91"/>
    <w:basedOn w:val="928"/>
    <w:next w:val="1247"/>
    <w:link w:val="92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48">
    <w:name w:val="标准称谓"/>
    <w:next w:val="928"/>
    <w:link w:val="928"/>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49">
    <w:name w:val="xl98"/>
    <w:basedOn w:val="928"/>
    <w:next w:val="1249"/>
    <w:link w:val="92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50">
    <w:name w:val="reader-word-layer"/>
    <w:basedOn w:val="928"/>
    <w:next w:val="1250"/>
    <w:link w:val="928"/>
    <w:qFormat/>
    <w:pPr>
      <w:jc w:val="left"/>
      <w:spacing w:before="100" w:beforeAutospacing="1" w:after="100" w:afterAutospacing="1"/>
      <w:widowControl/>
    </w:pPr>
    <w:rPr>
      <w:rFonts w:ascii="宋体" w:hAnsi="宋体" w:cs="宋体"/>
      <w:sz w:val="24"/>
      <w:szCs w:val="24"/>
    </w:rPr>
  </w:style>
  <w:style w:type="paragraph" w:styleId="1251">
    <w:name w:val="Standard"/>
    <w:next w:val="1251"/>
    <w:link w:val="928"/>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52">
    <w:name w:val="xl68"/>
    <w:basedOn w:val="928"/>
    <w:next w:val="1252"/>
    <w:link w:val="9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3">
    <w:name w:val="xl105"/>
    <w:basedOn w:val="928"/>
    <w:next w:val="1253"/>
    <w:link w:val="928"/>
    <w:qFormat/>
    <w:pPr>
      <w:jc w:val="left"/>
      <w:spacing w:before="100" w:beforeAutospacing="1" w:after="100" w:afterAutospacing="1"/>
      <w:widowControl/>
    </w:pPr>
    <w:rPr>
      <w:rFonts w:ascii="宋体" w:hAnsi="宋体" w:cs="宋体"/>
      <w:sz w:val="20"/>
      <w:szCs w:val="20"/>
    </w:rPr>
  </w:style>
  <w:style w:type="paragraph" w:styleId="1254">
    <w:name w:val="xl66"/>
    <w:basedOn w:val="928"/>
    <w:next w:val="125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5">
    <w:name w:val="段"/>
    <w:next w:val="928"/>
    <w:link w:val="928"/>
    <w:qFormat/>
    <w:pPr>
      <w:ind w:firstLine="200"/>
      <w:jc w:val="both"/>
    </w:pPr>
    <w:rPr>
      <w:rFonts w:ascii="宋体" w:cs="宋体"/>
      <w:sz w:val="21"/>
      <w:szCs w:val="21"/>
      <w:lang w:val="en-US" w:eastAsia="zh-CN" w:bidi="ar-SA"/>
    </w:rPr>
  </w:style>
  <w:style w:type="paragraph" w:styleId="1256">
    <w:name w:val="xl82"/>
    <w:basedOn w:val="928"/>
    <w:next w:val="1256"/>
    <w:link w:val="9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57">
    <w:name w:val="xl84"/>
    <w:basedOn w:val="928"/>
    <w:next w:val="1257"/>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58">
    <w:name w:val="xl65"/>
    <w:basedOn w:val="928"/>
    <w:next w:val="125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59">
    <w:name w:val="xl80"/>
    <w:basedOn w:val="928"/>
    <w:next w:val="1259"/>
    <w:link w:val="928"/>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60">
    <w:name w:val="xl94"/>
    <w:basedOn w:val="928"/>
    <w:next w:val="1260"/>
    <w:link w:val="928"/>
    <w:qFormat/>
    <w:pPr>
      <w:jc w:val="center"/>
      <w:spacing w:before="100" w:beforeAutospacing="1" w:after="100" w:afterAutospacing="1"/>
      <w:widowControl/>
      <w:pBdr>
        <w:left w:val="single" w:color="000000" w:sz="4" w:space="0"/>
        <w:right w:val="single" w:color="000000" w:sz="4" w:space="0"/>
      </w:pBdr>
    </w:pPr>
    <w:rPr>
      <w:szCs w:val="21"/>
    </w:rPr>
  </w:style>
  <w:style w:type="paragraph" w:styleId="1261">
    <w:name w:val="font13"/>
    <w:basedOn w:val="928"/>
    <w:next w:val="1261"/>
    <w:link w:val="928"/>
    <w:qFormat/>
    <w:pPr>
      <w:jc w:val="left"/>
      <w:spacing w:before="100" w:beforeAutospacing="1" w:after="100" w:afterAutospacing="1"/>
      <w:widowControl/>
    </w:pPr>
    <w:rPr>
      <w:rFonts w:ascii="宋体" w:hAnsi="宋体" w:cs="宋体"/>
      <w:sz w:val="18"/>
      <w:szCs w:val="18"/>
    </w:rPr>
  </w:style>
  <w:style w:type="paragraph" w:styleId="1262">
    <w:name w:val="程序1.1"/>
    <w:next w:val="1262"/>
    <w:link w:val="928"/>
    <w:qFormat/>
    <w:pPr>
      <w:numPr>
        <w:ilvl w:val="1"/>
        <w:numId w:val="1"/>
      </w:numPr>
      <w:tabs>
        <w:tab w:val="left" w:pos="359" w:leader="none"/>
        <w:tab w:val="left" w:pos="990" w:leader="none"/>
      </w:tabs>
    </w:pPr>
    <w:rPr>
      <w:sz w:val="21"/>
      <w:szCs w:val="21"/>
      <w:lang w:val="en-US" w:eastAsia="zh-CN" w:bidi="ar-SA"/>
    </w:rPr>
  </w:style>
  <w:style w:type="paragraph" w:styleId="1263">
    <w:name w:val="xl83"/>
    <w:basedOn w:val="928"/>
    <w:next w:val="1263"/>
    <w:link w:val="92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64">
    <w:name w:val="xl69"/>
    <w:basedOn w:val="928"/>
    <w:next w:val="1264"/>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_Style 11"/>
    <w:basedOn w:val="928"/>
    <w:next w:val="1200"/>
    <w:link w:val="928"/>
    <w:uiPriority w:val="34"/>
    <w:qFormat/>
    <w:pPr>
      <w:ind w:firstLine="420"/>
      <w:jc w:val="left"/>
      <w:spacing w:line="600" w:lineRule="exact"/>
      <w:widowControl/>
    </w:pPr>
    <w:rPr>
      <w:rFonts w:eastAsia="宋体"/>
      <w:sz w:val="24"/>
      <w:szCs w:val="24"/>
    </w:rPr>
  </w:style>
  <w:style w:type="paragraph" w:styleId="1266">
    <w:name w:val="Table caption|1"/>
    <w:basedOn w:val="928"/>
    <w:next w:val="1266"/>
    <w:link w:val="928"/>
    <w:qFormat/>
    <w:pPr>
      <w:jc w:val="center"/>
    </w:pPr>
    <w:rPr>
      <w:sz w:val="28"/>
      <w:szCs w:val="28"/>
      <w:lang w:val="zh-TW" w:eastAsia="zh-TW" w:bidi="zh-TW"/>
    </w:rPr>
  </w:style>
  <w:style w:type="paragraph" w:styleId="1267">
    <w:name w:val="Other|1"/>
    <w:basedOn w:val="928"/>
    <w:next w:val="1267"/>
    <w:link w:val="928"/>
    <w:qFormat/>
    <w:pPr>
      <w:ind w:firstLine="400"/>
      <w:spacing w:line="389" w:lineRule="auto"/>
    </w:pPr>
    <w:rPr>
      <w:rFonts w:ascii="宋体" w:hAnsi="宋体" w:eastAsia="宋体" w:cs="宋体"/>
      <w:sz w:val="30"/>
      <w:szCs w:val="30"/>
      <w:lang w:val="zh-TW" w:eastAsia="zh-TW" w:bidi="zh-TW"/>
    </w:rPr>
  </w:style>
  <w:style w:type="character" w:styleId="1268">
    <w:name w:val="fontstyle11"/>
    <w:next w:val="1268"/>
    <w:link w:val="928"/>
    <w:uiPriority w:val="99"/>
    <w:qFormat/>
    <w:rPr>
      <w:rFonts w:hint="eastAsia" w:ascii="仿宋" w:hAnsi="仿宋" w:eastAsia="仿宋" w:cs="仿宋"/>
      <w:color w:val="000000"/>
      <w:sz w:val="32"/>
      <w:szCs w:val="32"/>
    </w:rPr>
  </w:style>
  <w:style w:type="character" w:styleId="1269">
    <w:name w:val="font21"/>
    <w:basedOn w:val="930"/>
    <w:next w:val="1269"/>
    <w:link w:val="928"/>
    <w:qFormat/>
    <w:rPr>
      <w:rFonts w:hint="eastAsia" w:ascii="宋体" w:hAnsi="宋体" w:eastAsia="宋体" w:cs="宋体"/>
      <w:color w:val="000000"/>
      <w:sz w:val="22"/>
      <w:szCs w:val="22"/>
      <w:u w:val="none"/>
    </w:rPr>
  </w:style>
  <w:style w:type="character" w:styleId="1270">
    <w:name w:val="font81"/>
    <w:basedOn w:val="930"/>
    <w:next w:val="1270"/>
    <w:link w:val="928"/>
    <w:qFormat/>
    <w:rPr>
      <w:rFonts w:hint="eastAsia" w:ascii="宋体" w:hAnsi="宋体" w:eastAsia="宋体" w:cs="宋体"/>
      <w:color w:val="000000"/>
      <w:sz w:val="20"/>
      <w:szCs w:val="20"/>
      <w:u w:val="none"/>
    </w:rPr>
  </w:style>
  <w:style w:type="character" w:styleId="1271">
    <w:name w:val="font31"/>
    <w:basedOn w:val="930"/>
    <w:next w:val="1271"/>
    <w:link w:val="928"/>
    <w:qFormat/>
    <w:rPr>
      <w:rFonts w:ascii="Times New Roman" w:hAnsi="Times New Roman" w:cs="Times New Roman"/>
      <w:color w:val="000000"/>
      <w:sz w:val="20"/>
      <w:szCs w:val="20"/>
      <w:u w:val="none"/>
    </w:rPr>
  </w:style>
  <w:style w:type="paragraph" w:styleId="1272">
    <w:name w:val="Body text|3"/>
    <w:basedOn w:val="928"/>
    <w:next w:val="1272"/>
    <w:link w:val="928"/>
    <w:qFormat/>
    <w:pPr>
      <w:jc w:val="left"/>
      <w:spacing w:after="280"/>
    </w:pPr>
    <w:rPr>
      <w:rFonts w:ascii="宋体" w:hAnsi="宋体" w:eastAsia="宋体" w:cs="宋体"/>
      <w:sz w:val="18"/>
      <w:szCs w:val="18"/>
      <w:lang w:val="zh-TW" w:eastAsia="zh-TW" w:bidi="zh-TW"/>
    </w:rPr>
  </w:style>
  <w:style w:type="paragraph" w:styleId="1273">
    <w:name w:val="Body text|2"/>
    <w:basedOn w:val="928"/>
    <w:next w:val="1273"/>
    <w:link w:val="928"/>
    <w:qFormat/>
    <w:pPr>
      <w:jc w:val="left"/>
      <w:spacing w:after="90"/>
    </w:pPr>
    <w:rPr>
      <w:b/>
      <w:bCs/>
      <w:sz w:val="17"/>
      <w:szCs w:val="17"/>
      <w:lang w:val="zh-TW" w:eastAsia="zh-TW" w:bidi="zh-TW"/>
    </w:rPr>
  </w:style>
  <w:style w:type="paragraph" w:styleId="1274">
    <w:name w:val="Body text|1"/>
    <w:basedOn w:val="928"/>
    <w:next w:val="1274"/>
    <w:link w:val="928"/>
    <w:qFormat/>
    <w:pPr>
      <w:ind w:firstLine="400"/>
      <w:jc w:val="left"/>
      <w:spacing w:after="200" w:line="360" w:lineRule="auto"/>
    </w:pPr>
    <w:rPr>
      <w:rFonts w:ascii="宋体" w:hAnsi="宋体" w:eastAsia="宋体" w:cs="宋体"/>
      <w:sz w:val="28"/>
      <w:szCs w:val="28"/>
      <w:lang w:val="zh-TW" w:eastAsia="zh-TW" w:bidi="zh-TW"/>
    </w:rPr>
  </w:style>
  <w:style w:type="paragraph" w:styleId="1275">
    <w:name w:val="Header or footer|1"/>
    <w:basedOn w:val="928"/>
    <w:next w:val="1275"/>
    <w:link w:val="928"/>
    <w:qFormat/>
    <w:pPr>
      <w:jc w:val="left"/>
    </w:pPr>
    <w:rPr>
      <w:b/>
      <w:bCs/>
      <w:sz w:val="17"/>
      <w:szCs w:val="17"/>
      <w:lang w:val="zh-CN" w:bidi="zh-CN"/>
    </w:rPr>
  </w:style>
  <w:style w:type="character" w:styleId="1276">
    <w:name w:val="font41"/>
    <w:basedOn w:val="930"/>
    <w:next w:val="1276"/>
    <w:link w:val="928"/>
    <w:qFormat/>
    <w:rPr>
      <w:rFonts w:ascii="Times New Roman" w:hAnsi="Times New Roman" w:cs="Times New Roman"/>
      <w:color w:val="000000"/>
      <w:sz w:val="22"/>
      <w:szCs w:val="22"/>
      <w:u w:val="none"/>
    </w:rPr>
  </w:style>
  <w:style w:type="character" w:styleId="1277">
    <w:name w:val="font101"/>
    <w:basedOn w:val="930"/>
    <w:next w:val="1277"/>
    <w:link w:val="928"/>
    <w:qFormat/>
    <w:rPr>
      <w:rFonts w:ascii="方正仿宋_GBK" w:hAnsi="方正仿宋_GBK" w:eastAsia="方正仿宋_GBK" w:cs="方正仿宋_GBK"/>
      <w:color w:val="000000"/>
      <w:sz w:val="22"/>
      <w:szCs w:val="22"/>
      <w:u w:val="none"/>
    </w:rPr>
  </w:style>
  <w:style w:type="character" w:styleId="1278">
    <w:name w:val="font112"/>
    <w:basedOn w:val="930"/>
    <w:next w:val="1278"/>
    <w:link w:val="928"/>
    <w:qFormat/>
    <w:rPr>
      <w:rFonts w:ascii="方正仿宋_GBK" w:hAnsi="方正仿宋_GBK" w:eastAsia="方正仿宋_GBK" w:cs="方正仿宋_GBK"/>
      <w:color w:val="000000"/>
      <w:sz w:val="22"/>
      <w:szCs w:val="22"/>
      <w:u w:val="none"/>
    </w:rPr>
  </w:style>
  <w:style w:type="character" w:styleId="1279">
    <w:name w:val="font91"/>
    <w:basedOn w:val="930"/>
    <w:next w:val="1279"/>
    <w:link w:val="928"/>
    <w:qFormat/>
    <w:rPr>
      <w:rFonts w:ascii="Times New Roman" w:hAnsi="Times New Roman" w:cs="Times New Roman"/>
      <w:color w:val="000000"/>
      <w:sz w:val="22"/>
      <w:szCs w:val="22"/>
      <w:u w:val="none"/>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徐雪</cp:lastModifiedBy>
  <cp:revision>8</cp:revision>
  <dcterms:created xsi:type="dcterms:W3CDTF">2026-06-08T01:34:00Z</dcterms:created>
  <dcterms:modified xsi:type="dcterms:W3CDTF">2026-06-08T11:02:07Z</dcterms:modified>
</cp:coreProperties>
</file>