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ind w:firstLine="0"/>
        <w:rPr>
          <w:rFonts w:hint="eastAsia" w:eastAsia="华康简魏碑"/>
          <w:b/>
          <w:bCs/>
          <w:color w:val="000000"/>
          <w:spacing w:val="80"/>
          <w:highlight w:val="none"/>
        </w:rPr>
      </w:pPr>
      <w:r>
        <w:rPr>
          <w:rFonts w:hint="eastAsia" w:eastAsia="华康简魏碑"/>
          <w:b/>
          <w:bCs/>
          <w:color w:val="000000"/>
          <w:spacing w:val="80"/>
          <w:highlight w:val="none"/>
        </w:rPr>
      </w:r>
      <w:r/>
    </w:p>
    <w:p>
      <w:pPr>
        <w:ind w:firstLine="0"/>
        <w:spacing w:line="240" w:lineRule="auto"/>
        <w:rPr>
          <w:b/>
          <w:bCs/>
          <w:color w:val="000000"/>
          <w:sz w:val="80"/>
          <w:szCs w:val="80"/>
          <w:highlight w:val="none"/>
        </w:rPr>
      </w:pPr>
      <w:r>
        <w:rPr>
          <w:b/>
          <w:bCs/>
          <w:color w:val="000000"/>
          <w:sz w:val="80"/>
          <w:szCs w:val="80"/>
          <w:highlight w:val="none"/>
        </w:rPr>
      </w:r>
      <w:r/>
    </w:p>
    <w:p>
      <w:pPr>
        <w:ind w:firstLine="0"/>
        <w:jc w:val="center"/>
        <w:spacing w:line="240" w:lineRule="auto"/>
        <w:rPr>
          <w:b/>
          <w:bCs/>
          <w:color w:val="000000"/>
          <w:sz w:val="80"/>
          <w:szCs w:val="80"/>
          <w:highlight w:val="none"/>
        </w:rPr>
      </w:pPr>
      <w:r>
        <w:rPr>
          <w:b/>
          <w:bCs/>
          <w:color w:val="000000"/>
          <w:sz w:val="80"/>
          <w:szCs w:val="80"/>
          <w:highlight w:val="none"/>
        </w:rPr>
        <w:t xml:space="preserve">连云港市政府采购</w:t>
      </w:r>
      <w:r/>
    </w:p>
    <w:p>
      <w:pPr>
        <w:pStyle w:val="914"/>
        <w:ind w:firstLine="0"/>
        <w:jc w:val="center"/>
        <w:spacing w:before="0" w:beforeAutospacing="0" w:after="0" w:afterAutospacing="0" w:line="240" w:lineRule="auto"/>
        <w:rPr>
          <w:rFonts w:ascii="Times New Roman" w:hAnsi="Times New Roman" w:cs="Times New Roman"/>
          <w:b/>
          <w:bCs/>
          <w:color w:val="000000"/>
          <w:sz w:val="80"/>
          <w:szCs w:val="80"/>
          <w:highlight w:val="none"/>
        </w:rPr>
      </w:pPr>
      <w:r>
        <w:rPr>
          <w:rFonts w:ascii="Times New Roman" w:hAnsi="Times New Roman" w:cs="Times New Roman"/>
          <w:b/>
          <w:bCs/>
          <w:color w:val="000000"/>
          <w:sz w:val="80"/>
          <w:szCs w:val="80"/>
          <w:highlight w:val="none"/>
        </w:rPr>
      </w:r>
      <w:r/>
    </w:p>
    <w:p>
      <w:pPr>
        <w:pStyle w:val="914"/>
        <w:ind w:firstLine="0"/>
        <w:jc w:val="center"/>
        <w:spacing w:before="0" w:beforeAutospacing="0" w:after="0" w:afterAutospacing="0" w:line="240" w:lineRule="auto"/>
        <w:rPr>
          <w:rFonts w:ascii="Times New Roman" w:hAnsi="Times New Roman" w:cs="Times New Roman"/>
          <w:color w:val="000000"/>
          <w:highlight w:val="none"/>
        </w:rPr>
      </w:pPr>
      <w:r>
        <w:rPr>
          <w:rFonts w:ascii="Times New Roman" w:hAnsi="Times New Roman" w:cs="Times New Roman"/>
          <w:b/>
          <w:bCs/>
          <w:color w:val="000000"/>
          <w:sz w:val="80"/>
          <w:szCs w:val="80"/>
          <w:highlight w:val="none"/>
        </w:rPr>
        <w:t xml:space="preserve">竞争性磋商文件</w:t>
      </w:r>
      <w:r/>
    </w:p>
    <w:p>
      <w:pPr>
        <w:ind w:firstLine="643"/>
        <w:jc w:val="left"/>
        <w:spacing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643"/>
        <w:jc w:val="left"/>
        <w:spacing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643"/>
        <w:jc w:val="left"/>
        <w:spacing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81"/>
        <w:jc w:val="both"/>
        <w:spacing w:line="360" w:lineRule="auto"/>
        <w:rPr>
          <w:rFonts w:hint="eastAsia" w:ascii="宋体" w:hAnsi="宋体" w:eastAsia="宋体" w:cs="宋体"/>
          <w:b/>
          <w:bCs/>
          <w:color w:val="auto"/>
          <w:sz w:val="28"/>
          <w:szCs w:val="22"/>
          <w:highlight w:val="none"/>
          <w:lang w:eastAsia="zh-CN"/>
        </w:rPr>
      </w:pPr>
      <w:r>
        <w:rPr>
          <w:rFonts w:hint="eastAsia" w:ascii="宋体" w:hAnsi="宋体" w:eastAsia="宋体" w:cs="宋体"/>
          <w:b/>
          <w:bCs/>
          <w:color w:val="auto"/>
          <w:sz w:val="28"/>
          <w:szCs w:val="22"/>
          <w:highlight w:val="none"/>
        </w:rPr>
        <w:t xml:space="preserve">项目名称：</w:t>
      </w:r>
      <w:r>
        <w:rPr>
          <w:rFonts w:hint="eastAsia" w:ascii="宋体" w:hAnsi="宋体" w:eastAsia="宋体" w:cs="宋体"/>
          <w:b/>
          <w:bCs/>
          <w:color w:val="auto"/>
          <w:sz w:val="28"/>
          <w:szCs w:val="22"/>
          <w:highlight w:val="none"/>
          <w:lang w:eastAsia="zh-CN"/>
        </w:rPr>
        <w:t xml:space="preserve">2026-2027年度民警、职工和警务辅助人员人身意外保险</w:t>
      </w:r>
      <w:r/>
    </w:p>
    <w:p>
      <w:pPr>
        <w:ind w:firstLine="281"/>
        <w:jc w:val="both"/>
        <w:spacing w:line="360" w:lineRule="auto"/>
        <w:rPr>
          <w:rFonts w:hint="eastAsia" w:ascii="宋体" w:hAnsi="宋体" w:eastAsia="宋体" w:cs="宋体"/>
          <w:b/>
          <w:bCs/>
          <w:color w:val="auto"/>
          <w:sz w:val="28"/>
          <w:szCs w:val="22"/>
          <w:highlight w:val="none"/>
          <w:lang w:eastAsia="zh-CN"/>
        </w:rPr>
      </w:pPr>
      <w:r>
        <w:rPr>
          <w:rFonts w:hint="eastAsia" w:ascii="宋体" w:hAnsi="宋体" w:eastAsia="宋体" w:cs="宋体"/>
          <w:b/>
          <w:bCs/>
          <w:color w:val="auto"/>
          <w:sz w:val="28"/>
          <w:szCs w:val="22"/>
          <w:highlight w:val="none"/>
          <w:lang w:eastAsia="zh-CN"/>
        </w:rPr>
        <w:t xml:space="preserve">项目编号：</w:t>
      </w:r>
      <w:bookmarkStart w:id="16" w:name="_GoBack"/>
      <w:r/>
      <w:bookmarkEnd w:id="16"/>
      <w:r>
        <w:rPr>
          <w:rFonts w:hint="eastAsia" w:ascii="宋体" w:hAnsi="宋体" w:eastAsia="宋体" w:cs="宋体"/>
          <w:b/>
          <w:bCs/>
          <w:color w:val="0000ff"/>
          <w:sz w:val="28"/>
          <w:szCs w:val="22"/>
          <w:highlight w:val="none"/>
          <w:lang w:eastAsia="zh-CN"/>
        </w:rPr>
        <w:t xml:space="preserve">JSZC-320700-YLGS-C2026-0002</w:t>
      </w:r>
      <w:r/>
    </w:p>
    <w:p>
      <w:pPr>
        <w:ind w:firstLine="883"/>
        <w:jc w:val="center"/>
        <w:spacing w:line="36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firstLine="883"/>
        <w:jc w:val="center"/>
        <w:spacing w:line="36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firstLine="883"/>
        <w:jc w:val="center"/>
        <w:spacing w:line="36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firstLine="883"/>
        <w:jc w:val="center"/>
        <w:spacing w:line="36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firstLine="1920"/>
        <w:jc w:val="both"/>
        <w:spacing w:before="120" w:after="120" w:line="360" w:lineRule="auto"/>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 xml:space="preserve">采</w:t>
      </w:r>
      <w:r>
        <w:rPr>
          <w:rFonts w:hint="eastAsia" w:ascii="Arial" w:hAnsi="Arial" w:eastAsia="宋体" w:cs="Times New Roman"/>
          <w:bCs/>
          <w:color w:val="auto"/>
          <w:sz w:val="32"/>
          <w:szCs w:val="24"/>
          <w:highlight w:val="none"/>
          <w:lang w:val="en-US" w:eastAsia="zh-CN"/>
        </w:rPr>
        <w:t xml:space="preserve">   </w:t>
      </w:r>
      <w:r>
        <w:rPr>
          <w:rFonts w:hint="eastAsia" w:ascii="Arial" w:hAnsi="Arial" w:eastAsia="宋体" w:cs="Times New Roman"/>
          <w:bCs/>
          <w:color w:val="auto"/>
          <w:sz w:val="32"/>
          <w:szCs w:val="24"/>
          <w:highlight w:val="none"/>
        </w:rPr>
        <w:t xml:space="preserve">购</w:t>
      </w:r>
      <w:r>
        <w:rPr>
          <w:rFonts w:hint="eastAsia" w:ascii="Arial" w:hAnsi="Arial" w:eastAsia="宋体" w:cs="Times New Roman"/>
          <w:bCs/>
          <w:color w:val="auto"/>
          <w:sz w:val="32"/>
          <w:szCs w:val="24"/>
          <w:highlight w:val="none"/>
          <w:lang w:val="en-US" w:eastAsia="zh-CN"/>
        </w:rPr>
        <w:t xml:space="preserve">   </w:t>
      </w:r>
      <w:r>
        <w:rPr>
          <w:rFonts w:hint="eastAsia" w:ascii="Arial" w:hAnsi="Arial" w:eastAsia="宋体" w:cs="Times New Roman"/>
          <w:bCs/>
          <w:color w:val="auto"/>
          <w:sz w:val="32"/>
          <w:szCs w:val="24"/>
          <w:highlight w:val="none"/>
        </w:rPr>
        <w:t xml:space="preserve">人：</w:t>
      </w:r>
      <w:r>
        <w:rPr>
          <w:rFonts w:hint="eastAsia" w:ascii="Arial" w:hAnsi="Arial" w:eastAsia="宋体" w:cs="Times New Roman"/>
          <w:bCs/>
          <w:color w:val="auto"/>
          <w:sz w:val="32"/>
          <w:szCs w:val="24"/>
          <w:highlight w:val="none"/>
          <w:lang w:eastAsia="zh-CN"/>
        </w:rPr>
        <w:t xml:space="preserve">连云港市公安局</w:t>
      </w:r>
      <w:r/>
    </w:p>
    <w:p>
      <w:pPr>
        <w:ind w:firstLine="1920"/>
        <w:jc w:val="both"/>
        <w:spacing w:before="120" w:after="120" w:line="360" w:lineRule="auto"/>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 xml:space="preserve">采购代理机构：</w:t>
      </w:r>
      <w:r>
        <w:rPr>
          <w:rFonts w:hint="eastAsia" w:ascii="Arial" w:hAnsi="Arial" w:eastAsia="宋体" w:cs="Times New Roman"/>
          <w:bCs/>
          <w:color w:val="auto"/>
          <w:sz w:val="32"/>
          <w:szCs w:val="24"/>
          <w:highlight w:val="none"/>
          <w:lang w:eastAsia="zh-CN"/>
        </w:rPr>
        <w:t xml:space="preserve">江苏永隆工程咨询有限公司</w:t>
      </w:r>
      <w:r/>
    </w:p>
    <w:p>
      <w:pPr>
        <w:jc w:val="center"/>
        <w:spacing w:before="120" w:after="120"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202</w:t>
      </w:r>
      <w:r>
        <w:rPr>
          <w:rFonts w:hint="eastAsia" w:ascii="宋体" w:hAnsi="宋体" w:eastAsia="宋体" w:cs="Times New Roman"/>
          <w:color w:val="auto"/>
          <w:sz w:val="28"/>
          <w:szCs w:val="24"/>
          <w:highlight w:val="none"/>
          <w:lang w:val="en-US" w:eastAsia="zh-CN"/>
        </w:rPr>
        <w:t xml:space="preserve">6</w:t>
      </w:r>
      <w:r>
        <w:rPr>
          <w:rFonts w:hint="eastAsia" w:ascii="宋体" w:hAnsi="宋体" w:eastAsia="宋体" w:cs="Times New Roman"/>
          <w:color w:val="auto"/>
          <w:sz w:val="28"/>
          <w:szCs w:val="24"/>
          <w:highlight w:val="none"/>
        </w:rPr>
        <w:t xml:space="preserve">年</w:t>
      </w:r>
      <w:r>
        <w:rPr>
          <w:rFonts w:ascii="宋体" w:hAnsi="宋体" w:eastAsia="宋体" w:cs="Times New Roman"/>
          <w:color w:val="auto"/>
          <w:sz w:val="28"/>
          <w:szCs w:val="24"/>
          <w:highlight w:val="none"/>
        </w:rPr>
        <w:t xml:space="preserve"> </w:t>
      </w:r>
      <w:r>
        <w:rPr>
          <w:rFonts w:hint="eastAsia" w:ascii="宋体" w:hAnsi="宋体" w:eastAsia="宋体" w:cs="Times New Roman"/>
          <w:color w:val="auto"/>
          <w:sz w:val="28"/>
          <w:szCs w:val="24"/>
          <w:highlight w:val="none"/>
          <w:lang w:val="en-US" w:eastAsia="zh-CN"/>
        </w:rPr>
        <w:t xml:space="preserve">06 </w:t>
      </w:r>
      <w:r>
        <w:rPr>
          <w:rFonts w:hint="eastAsia" w:ascii="宋体" w:hAnsi="宋体" w:eastAsia="宋体" w:cs="Times New Roman"/>
          <w:color w:val="auto"/>
          <w:sz w:val="28"/>
          <w:szCs w:val="24"/>
          <w:highlight w:val="none"/>
        </w:rPr>
        <w:t xml:space="preserve">月</w:t>
      </w:r>
      <w:r/>
    </w:p>
    <w:p>
      <w:pPr>
        <w:ind w:firstLine="643"/>
        <w:jc w:val="center"/>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29"/>
        <w:tabs>
          <w:tab w:val="clear" w:pos="8296" w:leader="none"/>
          <w:tab w:val="right" w:pos="8306" w:leader="dot"/>
        </w:tabs>
        <w:rPr>
          <w:rFonts w:hint="eastAsia" w:ascii="Times New Roman" w:hAnsi="Times New Roman" w:eastAsia="宋体" w:cs="Times New Roman"/>
          <w:b/>
          <w:color w:val="000000"/>
          <w:sz w:val="48"/>
          <w:szCs w:val="48"/>
          <w:highlight w:val="none"/>
          <w:lang w:val="en-US" w:eastAsia="zh-CN" w:bidi="ar-SA"/>
        </w:rPr>
      </w:pPr>
      <w:r>
        <w:rPr>
          <w:rFonts w:hint="eastAsia" w:ascii="Times New Roman" w:hAnsi="Times New Roman" w:eastAsia="宋体" w:cs="Times New Roman"/>
          <w:b/>
          <w:color w:val="000000"/>
          <w:sz w:val="48"/>
          <w:szCs w:val="48"/>
          <w:highlight w:val="none"/>
          <w:lang w:val="en-US" w:eastAsia="zh-CN" w:bidi="ar-SA"/>
        </w:rPr>
        <w:t xml:space="preserve">目  录</w:t>
      </w:r>
      <w:r/>
    </w:p>
    <w:p>
      <w:pPr>
        <w:pStyle w:val="729"/>
        <w:pageBreakBefore w:val="0"/>
        <w:spacing w:line="360" w:lineRule="auto"/>
        <w:tabs>
          <w:tab w:val="clear" w:pos="8296" w:leader="none"/>
          <w:tab w:val="right" w:pos="8306"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29"/>
        <w:pageBreakBefore w:val="0"/>
        <w:spacing w:line="360" w:lineRule="auto"/>
        <w:tabs>
          <w:tab w:val="clear" w:pos="8296" w:leader="none"/>
          <w:tab w:val="right" w:pos="8306"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TOC \o "1-1" \h \u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_Toc24405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第一章  </w:t>
      </w:r>
      <w:r>
        <w:rPr>
          <w:rFonts w:hint="eastAsia" w:ascii="宋体" w:hAnsi="宋体" w:eastAsia="宋体" w:cs="宋体"/>
          <w:b w:val="0"/>
          <w:bCs w:val="0"/>
          <w:color w:val="auto"/>
          <w:sz w:val="28"/>
          <w:szCs w:val="28"/>
          <w:highlight w:val="none"/>
          <w:lang w:val="en-US" w:eastAsia="zh-CN"/>
        </w:rPr>
        <w:t xml:space="preserve">竞争性</w:t>
      </w:r>
      <w:r>
        <w:rPr>
          <w:rFonts w:hint="eastAsia" w:ascii="宋体" w:hAnsi="宋体" w:eastAsia="宋体" w:cs="宋体"/>
          <w:b w:val="0"/>
          <w:bCs w:val="0"/>
          <w:color w:val="auto"/>
          <w:sz w:val="28"/>
          <w:szCs w:val="28"/>
          <w:highlight w:val="none"/>
        </w:rPr>
        <w:t xml:space="preserve">磋商邀请</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_Toc24405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1</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729"/>
        <w:pageBreakBefore w:val="0"/>
        <w:spacing w:line="360" w:lineRule="auto"/>
        <w:tabs>
          <w:tab w:val="clear" w:pos="8296" w:leader="none"/>
          <w:tab w:val="right" w:pos="8306"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_Toc14729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第二章  供应商须知</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_Toc14729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5</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729"/>
        <w:pageBreakBefore w:val="0"/>
        <w:spacing w:line="360" w:lineRule="auto"/>
        <w:tabs>
          <w:tab w:val="clear" w:pos="8296" w:leader="none"/>
          <w:tab w:val="right" w:pos="8306" w:leader="dot"/>
        </w:tabs>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_Toc25012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第三章  合同文本</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lang w:val="en-US" w:eastAsia="zh-CN"/>
        </w:rPr>
        <w:t xml:space="preserve">1</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lang w:val="en-US" w:eastAsia="zh-CN"/>
        </w:rPr>
        <w:t xml:space="preserve">9</w:t>
      </w:r>
      <w:r/>
    </w:p>
    <w:p>
      <w:pPr>
        <w:pStyle w:val="729"/>
        <w:pageBreakBefore w:val="0"/>
        <w:spacing w:line="360" w:lineRule="auto"/>
        <w:tabs>
          <w:tab w:val="clear" w:pos="8296" w:leader="none"/>
          <w:tab w:val="right" w:pos="8306" w:leader="dot"/>
        </w:tabs>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_Toc22419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第四章  采购需求</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lang w:val="en-US" w:eastAsia="zh-CN"/>
        </w:rPr>
        <w:t xml:space="preserve">2</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lang w:val="en-US" w:eastAsia="zh-CN"/>
        </w:rPr>
        <w:t xml:space="preserve">4</w:t>
      </w:r>
      <w:r/>
    </w:p>
    <w:p>
      <w:pPr>
        <w:pStyle w:val="729"/>
        <w:pageBreakBefore w:val="0"/>
        <w:spacing w:line="360" w:lineRule="auto"/>
        <w:tabs>
          <w:tab w:val="clear" w:pos="8296" w:leader="none"/>
          <w:tab w:val="right" w:pos="8306" w:leader="dot"/>
        </w:tabs>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_Toc12994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第五章  评审方法与评审标准</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lang w:val="en-US" w:eastAsia="zh-CN"/>
        </w:rPr>
        <w:t xml:space="preserve">3</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lang w:val="en-US" w:eastAsia="zh-CN"/>
        </w:rPr>
        <w:t xml:space="preserve">2</w:t>
      </w:r>
      <w:r/>
    </w:p>
    <w:p>
      <w:pPr>
        <w:pStyle w:val="729"/>
        <w:pageBreakBefore w:val="0"/>
        <w:spacing w:line="360" w:lineRule="auto"/>
        <w:tabs>
          <w:tab w:val="clear" w:pos="8296" w:leader="none"/>
          <w:tab w:val="right" w:pos="8306" w:leader="dot"/>
        </w:tabs>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_Toc4866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第六章  响应文件格式</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lang w:val="en-US" w:eastAsia="zh-CN"/>
        </w:rPr>
        <w:t xml:space="preserve">3</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lang w:val="en-US" w:eastAsia="zh-CN"/>
        </w:rPr>
        <w:t xml:space="preserve">8</w:t>
      </w:r>
      <w:r/>
    </w:p>
    <w:p>
      <w:pPr>
        <w:ind w:firstLine="560"/>
        <w:jc w:val="left"/>
        <w:pageBreakBefore w:val="0"/>
        <w:spacing w:line="360" w:lineRule="auto"/>
        <w:widowControl/>
        <w:rPr>
          <w:rFonts w:hint="eastAsia" w:ascii="宋体" w:hAnsi="宋体" w:eastAsia="宋体" w:cs="宋体"/>
          <w:color w:val="auto"/>
          <w:highlight w:val="none"/>
        </w:rPr>
      </w:pP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color w:val="auto"/>
          <w:highlight w:val="none"/>
        </w:rPr>
        <w:br w:type="page" w:clear="all"/>
      </w:r>
      <w:r/>
    </w:p>
    <w:p>
      <w:pPr>
        <w:pStyle w:val="702"/>
        <w:ind w:firstLine="880"/>
        <w:jc w:val="center"/>
        <w:pageBreakBefore w:val="0"/>
        <w:spacing w:before="156" w:after="156" w:line="360" w:lineRule="auto"/>
        <w:rPr>
          <w:rFonts w:hint="eastAsia" w:ascii="宋体" w:hAnsi="宋体" w:eastAsia="宋体" w:cs="宋体"/>
          <w:b w:val="0"/>
          <w:color w:val="auto"/>
          <w:highlight w:val="none"/>
        </w:rPr>
        <w:sectPr>
          <w:footerReference w:type="default" r:id="rId9"/>
          <w:footnotePr/>
          <w:endnotePr/>
          <w:type w:val="nextPage"/>
          <w:pgSz w:w="11906" w:h="16838" w:orient="portrait"/>
          <w:pgMar w:top="1417" w:right="1417" w:bottom="1417" w:left="1417" w:header="851" w:footer="992" w:gutter="0"/>
          <w:cols w:num="1" w:sep="0" w:space="425" w:equalWidth="1"/>
          <w:docGrid w:linePitch="360"/>
        </w:sectPr>
      </w:pPr>
      <w:r>
        <w:rPr>
          <w:rFonts w:hint="eastAsia" w:ascii="宋体" w:hAnsi="宋体" w:eastAsia="宋体" w:cs="宋体"/>
          <w:b w:val="0"/>
          <w:color w:val="auto"/>
          <w:highlight w:val="none"/>
        </w:rPr>
      </w:r>
      <w:r/>
    </w:p>
    <w:p>
      <w:pPr>
        <w:pStyle w:val="702"/>
        <w:jc w:val="center"/>
        <w:spacing w:before="156" w:after="156" w:line="360" w:lineRule="auto"/>
        <w:rPr>
          <w:rFonts w:hint="eastAsia" w:ascii="宋体" w:hAnsi="宋体" w:eastAsia="宋体" w:cs="宋体"/>
          <w:b/>
          <w:bCs w:val="0"/>
          <w:color w:val="auto"/>
          <w:highlight w:val="none"/>
        </w:rPr>
      </w:pPr>
      <w:r/>
      <w:bookmarkStart w:id="0" w:name="_Toc24405"/>
      <w:r/>
      <w:bookmarkStart w:id="1" w:name="_Toc161932691"/>
      <w:r>
        <w:rPr>
          <w:rFonts w:hint="eastAsia" w:ascii="宋体" w:hAnsi="宋体" w:eastAsia="宋体" w:cs="宋体"/>
          <w:b/>
          <w:bCs w:val="0"/>
          <w:color w:val="auto"/>
          <w:highlight w:val="none"/>
        </w:rPr>
        <w:t xml:space="preserve">第一章  </w:t>
      </w:r>
      <w:r>
        <w:rPr>
          <w:rFonts w:hint="eastAsia" w:ascii="宋体" w:hAnsi="宋体" w:eastAsia="宋体" w:cs="宋体"/>
          <w:b/>
          <w:bCs w:val="0"/>
          <w:color w:val="auto"/>
          <w:highlight w:val="none"/>
          <w:lang w:val="en-US" w:eastAsia="zh-CN"/>
        </w:rPr>
        <w:t xml:space="preserve">竞争性</w:t>
      </w:r>
      <w:r>
        <w:rPr>
          <w:rFonts w:hint="eastAsia" w:ascii="宋体" w:hAnsi="宋体" w:eastAsia="宋体" w:cs="宋体"/>
          <w:b/>
          <w:bCs w:val="0"/>
          <w:color w:val="auto"/>
          <w:highlight w:val="none"/>
        </w:rPr>
        <w:t xml:space="preserve">磋商邀请</w:t>
      </w:r>
      <w:bookmarkEnd w:id="0"/>
      <w:r/>
      <w:bookmarkEnd w:id="1"/>
      <w:r/>
      <w:r/>
    </w:p>
    <w:tbl>
      <w:tblPr>
        <w:tblStyle w:val="740"/>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30"/>
      </w:tblGrid>
      <w:tr>
        <w:trPr/>
        <w:tc>
          <w:tcPr>
            <w:tcW w:w="9730" w:type="dxa"/>
            <w:textDirection w:val="lrTb"/>
            <w:noWrap w:val="false"/>
          </w:tcPr>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2026-2027年度民警、职工和警务辅助人员人身意外保险</w:t>
            </w:r>
            <w:r>
              <w:rPr>
                <w:rFonts w:hint="eastAsia" w:ascii="宋体" w:hAnsi="宋体" w:eastAsia="宋体" w:cs="宋体"/>
                <w:color w:val="auto"/>
                <w:sz w:val="24"/>
                <w:szCs w:val="24"/>
                <w:highlight w:val="none"/>
              </w:rPr>
              <w:t xml:space="preserve">采购项目的潜在供应商应在江苏政府采购网自行免费下载</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文件，并于</w:t>
            </w:r>
            <w:r>
              <w:rPr>
                <w:rFonts w:hint="eastAsia" w:ascii="宋体" w:hAnsi="宋体" w:eastAsia="宋体" w:cs="宋体"/>
                <w:i w:val="0"/>
                <w:iCs w:val="0"/>
                <w:color w:val="0000ff"/>
                <w:sz w:val="24"/>
                <w:szCs w:val="24"/>
                <w:highlight w:val="none"/>
                <w:u w:val="single"/>
              </w:rPr>
              <w:t xml:space="preserve">202</w:t>
            </w:r>
            <w:r>
              <w:rPr>
                <w:rFonts w:hint="eastAsia" w:ascii="宋体" w:hAnsi="宋体" w:eastAsia="宋体" w:cs="宋体"/>
                <w:i w:val="0"/>
                <w:iCs w:val="0"/>
                <w:color w:val="0000ff"/>
                <w:sz w:val="24"/>
                <w:szCs w:val="24"/>
                <w:highlight w:val="none"/>
                <w:u w:val="single"/>
                <w:lang w:val="en-US" w:eastAsia="zh-CN"/>
              </w:rPr>
              <w:t xml:space="preserve">6</w:t>
            </w:r>
            <w:r>
              <w:rPr>
                <w:rFonts w:hint="eastAsia" w:ascii="宋体" w:hAnsi="宋体" w:eastAsia="宋体" w:cs="宋体"/>
                <w:i w:val="0"/>
                <w:iCs w:val="0"/>
                <w:color w:val="0000ff"/>
                <w:sz w:val="24"/>
                <w:szCs w:val="24"/>
                <w:highlight w:val="none"/>
                <w:u w:val="single"/>
              </w:rPr>
              <w:t xml:space="preserve">年</w:t>
            </w:r>
            <w:r>
              <w:rPr>
                <w:rFonts w:hint="eastAsia" w:ascii="宋体" w:hAnsi="宋体" w:eastAsia="宋体" w:cs="宋体"/>
                <w:i w:val="0"/>
                <w:iCs w:val="0"/>
                <w:color w:val="0000ff"/>
                <w:sz w:val="24"/>
                <w:szCs w:val="24"/>
                <w:highlight w:val="none"/>
                <w:u w:val="single"/>
                <w:lang w:val="en-US" w:eastAsia="zh-CN"/>
              </w:rPr>
              <w:t xml:space="preserve">7</w:t>
            </w:r>
            <w:r>
              <w:rPr>
                <w:rFonts w:hint="eastAsia" w:ascii="宋体" w:hAnsi="宋体" w:eastAsia="宋体" w:cs="宋体"/>
                <w:i w:val="0"/>
                <w:iCs w:val="0"/>
                <w:color w:val="0000ff"/>
                <w:sz w:val="24"/>
                <w:szCs w:val="24"/>
                <w:highlight w:val="none"/>
                <w:u w:val="single"/>
              </w:rPr>
              <w:t xml:space="preserve">月</w:t>
            </w:r>
            <w:r>
              <w:rPr>
                <w:rFonts w:hint="eastAsia" w:ascii="宋体" w:hAnsi="宋体" w:eastAsia="宋体" w:cs="宋体"/>
                <w:i w:val="0"/>
                <w:iCs w:val="0"/>
                <w:color w:val="0000ff"/>
                <w:sz w:val="24"/>
                <w:szCs w:val="24"/>
                <w:highlight w:val="none"/>
                <w:u w:val="single"/>
                <w:lang w:val="en-US" w:eastAsia="zh-CN"/>
              </w:rPr>
              <w:t xml:space="preserve">8</w:t>
            </w:r>
            <w:r>
              <w:rPr>
                <w:rFonts w:hint="eastAsia" w:ascii="宋体" w:hAnsi="宋体" w:eastAsia="宋体" w:cs="宋体"/>
                <w:i w:val="0"/>
                <w:iCs w:val="0"/>
                <w:color w:val="0000ff"/>
                <w:sz w:val="24"/>
                <w:szCs w:val="24"/>
                <w:highlight w:val="none"/>
                <w:u w:val="single"/>
              </w:rPr>
              <w:t xml:space="preserve">日</w:t>
            </w:r>
            <w:r>
              <w:rPr>
                <w:rFonts w:hint="eastAsia" w:ascii="宋体" w:hAnsi="宋体" w:eastAsia="宋体" w:cs="宋体"/>
                <w:i w:val="0"/>
                <w:iCs w:val="0"/>
                <w:color w:val="0000ff"/>
                <w:sz w:val="24"/>
                <w:szCs w:val="24"/>
                <w:highlight w:val="none"/>
                <w:u w:val="single"/>
                <w:lang w:val="en-US" w:eastAsia="zh-CN"/>
              </w:rPr>
              <w:t xml:space="preserve">9</w:t>
            </w:r>
            <w:r>
              <w:rPr>
                <w:rFonts w:hint="eastAsia" w:ascii="宋体" w:hAnsi="宋体" w:eastAsia="宋体" w:cs="宋体"/>
                <w:i w:val="0"/>
                <w:iCs w:val="0"/>
                <w:color w:val="0000ff"/>
                <w:sz w:val="24"/>
                <w:szCs w:val="24"/>
                <w:highlight w:val="none"/>
                <w:u w:val="single"/>
                <w:lang w:eastAsia="zh-CN"/>
              </w:rPr>
              <w:t xml:space="preserve">：</w:t>
            </w:r>
            <w:r>
              <w:rPr>
                <w:rFonts w:hint="eastAsia" w:ascii="宋体" w:hAnsi="宋体" w:eastAsia="宋体" w:cs="宋体"/>
                <w:i w:val="0"/>
                <w:iCs w:val="0"/>
                <w:color w:val="0000ff"/>
                <w:sz w:val="24"/>
                <w:szCs w:val="24"/>
                <w:highlight w:val="none"/>
                <w:u w:val="single"/>
                <w:lang w:val="en-US" w:eastAsia="zh-CN"/>
              </w:rPr>
              <w:t xml:space="preserve">0</w:t>
            </w:r>
            <w:r>
              <w:rPr>
                <w:rFonts w:hint="eastAsia" w:ascii="宋体" w:hAnsi="宋体" w:eastAsia="宋体" w:cs="宋体"/>
                <w:i w:val="0"/>
                <w:iCs w:val="0"/>
                <w:color w:val="0000ff"/>
                <w:sz w:val="24"/>
                <w:szCs w:val="24"/>
                <w:highlight w:val="none"/>
                <w:u w:val="single"/>
                <w:lang w:eastAsia="zh-CN"/>
              </w:rPr>
              <w:t xml:space="preserve">0：</w:t>
            </w:r>
            <w:r>
              <w:rPr>
                <w:rFonts w:hint="eastAsia" w:ascii="宋体" w:hAnsi="宋体" w:eastAsia="宋体" w:cs="宋体"/>
                <w:i w:val="0"/>
                <w:iCs w:val="0"/>
                <w:color w:val="0000ff"/>
                <w:sz w:val="24"/>
                <w:szCs w:val="24"/>
                <w:highlight w:val="none"/>
                <w:u w:val="single"/>
              </w:rPr>
              <w:t xml:space="preserve">00</w:t>
            </w:r>
            <w:r>
              <w:rPr>
                <w:rFonts w:hint="eastAsia" w:ascii="宋体" w:hAnsi="宋体" w:eastAsia="宋体" w:cs="宋体"/>
                <w:color w:val="auto"/>
                <w:sz w:val="24"/>
                <w:szCs w:val="24"/>
                <w:highlight w:val="none"/>
              </w:rPr>
              <w:t xml:space="preserve">（北京时间）前提交（上传）响应文件。</w:t>
            </w:r>
            <w:r/>
          </w:p>
        </w:tc>
      </w:tr>
    </w:tbl>
    <w:p>
      <w:pPr>
        <w:pStyle w:val="70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一、项目基本情况</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0000ff"/>
          <w:sz w:val="24"/>
          <w:szCs w:val="24"/>
          <w:highlight w:val="none"/>
          <w:lang w:eastAsia="zh-CN"/>
        </w:rPr>
        <w:t xml:space="preserve">JSZC-320700-YLGS-C2026-0002</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2.项目名称：2026-2027年度民警、职工和警务辅助人员人身意外保险</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3.预算金额：人民币122万元，共分为两个采购包，</w:t>
      </w:r>
      <w:r>
        <w:rPr>
          <w:rFonts w:hint="eastAsia"/>
          <w:color w:val="000000"/>
          <w:sz w:val="24"/>
          <w:szCs w:val="24"/>
          <w:highlight w:val="none"/>
        </w:rPr>
        <w:t xml:space="preserve">具体如下：</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采购包1：2026-2027年度民警、职工和警务辅助人员人身意外保险-警务辅助人员人身意外保险，预算金额人民币26万元；响应报价超过预算金额的响应无效。</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采购包2：2026-2027年度民警、职工和警务辅助人员人身意外保险-民警、职工人身意外保险，预算金额人民币96万元；响应报价超过预算金额的响应无效。</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4.固定单价：采购包1：保费标准定额为200元/人/年；</w:t>
      </w:r>
      <w:r/>
    </w:p>
    <w:p>
      <w:pPr>
        <w:ind w:firstLine="192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采购包2：保费标准定额为300元/人/年；</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5.采购方式：竞争性磋商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采购包1：为市局各警种部门警务辅助人员提供保险服务，人数约1300人，保险内容：意外身故、疾病身故、意外伤残、意外医疗、住院津贴、重大疾病医疗、交通意外伤害等；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采购包2：为市区民警、职工提供保险服务，人数约3200人，保险内容：意外身故、疾病身故、意外伤残、意外医疗、住院津贴、重大疾病医疗、交通意外伤害等；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实际结算价在预算金额内以实际承保人数为准，超过预算金额以预算金额为准，具体要求详见采购文件项目需求；</w:t>
      </w:r>
      <w:r/>
    </w:p>
    <w:p>
      <w:pPr>
        <w:ind w:left="-4" w:firstLine="537"/>
        <w:keepLines w:val="0"/>
        <w:keepNext w:val="0"/>
        <w:pageBreakBefore w:val="0"/>
        <w:spacing w:line="360" w:lineRule="auto"/>
        <w:widowControl w:val="off"/>
        <w:tabs>
          <w:tab w:val="left" w:pos="900" w:leader="none"/>
        </w:tabs>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注：符合资格条件的供应商可对本项目两个采购包同时参与</w:t>
      </w:r>
      <w:r>
        <w:rPr>
          <w:rFonts w:hint="eastAsia" w:ascii="宋体" w:hAnsi="宋体" w:eastAsia="宋体" w:cs="Times New Roman"/>
          <w:b/>
          <w:bCs/>
          <w:color w:val="auto"/>
          <w:sz w:val="24"/>
          <w:szCs w:val="24"/>
          <w:highlight w:val="none"/>
          <w:lang w:val="en-US" w:eastAsia="zh-CN"/>
        </w:rPr>
        <w:t xml:space="preserve">磋商</w:t>
      </w:r>
      <w:r>
        <w:rPr>
          <w:rFonts w:hint="eastAsia" w:ascii="宋体" w:hAnsi="宋体" w:eastAsia="宋体" w:cs="Times New Roman"/>
          <w:b/>
          <w:bCs/>
          <w:color w:val="auto"/>
          <w:sz w:val="24"/>
          <w:szCs w:val="24"/>
          <w:highlight w:val="none"/>
          <w:lang w:eastAsia="zh-CN"/>
        </w:rPr>
        <w:t xml:space="preserve">，开标、评标的顺序按照一、二采购包依次进行。</w:t>
      </w:r>
      <w:r/>
    </w:p>
    <w:p>
      <w:pPr>
        <w:ind w:left="-4" w:firstLine="537"/>
        <w:keepLines w:val="0"/>
        <w:keepNext w:val="0"/>
        <w:pageBreakBefore w:val="0"/>
        <w:spacing w:line="360" w:lineRule="auto"/>
        <w:widowControl w:val="off"/>
        <w:tabs>
          <w:tab w:val="left" w:pos="900" w:leader="none"/>
        </w:tabs>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对项目采购需求部分的询问、质疑请与采购人联系，由采购人负责答复。</w:t>
      </w:r>
      <w:r/>
    </w:p>
    <w:p>
      <w:pPr>
        <w:ind w:left="-4" w:firstLine="535"/>
        <w:keepLines w:val="0"/>
        <w:keepNext w:val="0"/>
        <w:pageBreakBefore w:val="0"/>
        <w:spacing w:line="360" w:lineRule="auto"/>
        <w:widowControl w:val="off"/>
        <w:tabs>
          <w:tab w:val="left" w:pos="9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服务期限（保险期限）：1年</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2026年8月01日-2027年7月31日</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w:t>
      </w:r>
      <w:r/>
    </w:p>
    <w:p>
      <w:pPr>
        <w:ind w:left="-4" w:firstLine="535"/>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本项目不接受联合体参与磋商</w:t>
      </w:r>
      <w:r>
        <w:rPr>
          <w:rFonts w:hint="eastAsia" w:ascii="宋体" w:hAnsi="宋体" w:eastAsia="宋体" w:cs="Times New Roman"/>
          <w:color w:val="auto"/>
          <w:sz w:val="24"/>
          <w:szCs w:val="24"/>
          <w:highlight w:val="none"/>
        </w:rPr>
        <w:t xml:space="preserve">。</w:t>
      </w:r>
      <w:r/>
    </w:p>
    <w:p>
      <w:pPr>
        <w:pStyle w:val="703"/>
        <w:pageBreakBefore w:val="0"/>
        <w:spacing w:before="0"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二、申请人的资格要求</w:t>
      </w:r>
      <w:r/>
    </w:p>
    <w:p>
      <w:pPr>
        <w:ind w:firstLine="480"/>
        <w:jc w:val="left"/>
        <w:keepLines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一</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满足《中华人民共和国政府采购法》第二十二条规定，并提供下列材料：</w:t>
      </w:r>
      <w:r/>
    </w:p>
    <w:p>
      <w:pPr>
        <w:ind w:firstLine="480"/>
        <w:jc w:val="left"/>
        <w:keepLines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（1）法人或者其他组织的营业执照等证明文件，自然人的身份证明；</w:t>
      </w:r>
      <w:r/>
    </w:p>
    <w:p>
      <w:pPr>
        <w:ind w:firstLine="480"/>
        <w:jc w:val="left"/>
        <w:keepLines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eastAsia="zh-CN"/>
        </w:rPr>
        <w:t xml:space="preserve">上一年度的财务状况报告（成立不满一年无需提供）；</w:t>
      </w:r>
      <w:r/>
    </w:p>
    <w:p>
      <w:pPr>
        <w:ind w:firstLine="480"/>
        <w:jc w:val="left"/>
        <w:keepLines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（3）依法缴纳税收和社会保障资金的相关证明材料；</w:t>
      </w:r>
      <w:r>
        <w:rPr>
          <w:rFonts w:hint="eastAsia" w:ascii="宋体" w:hAnsi="宋体" w:eastAsia="宋体" w:cs="Times New Roman"/>
          <w:color w:val="auto"/>
          <w:sz w:val="24"/>
          <w:szCs w:val="24"/>
          <w:highlight w:val="none"/>
          <w:lang w:eastAsia="zh-CN"/>
        </w:rPr>
        <w:t xml:space="preserve">（提供提交</w:t>
      </w:r>
      <w:r>
        <w:rPr>
          <w:rFonts w:hint="eastAsia" w:ascii="宋体" w:hAnsi="宋体" w:eastAsia="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lang w:eastAsia="zh-CN"/>
        </w:rPr>
        <w:t xml:space="preserve">文件截止时间前一年内至少一个月依法缴纳税收及缴纳社会保障资金的证明材料，</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eastAsia="zh-CN"/>
        </w:rPr>
        <w:t xml:space="preserve">依法享受缓缴、免缴税收、社会保障资金的提供证明材料）； </w:t>
      </w:r>
      <w:r/>
    </w:p>
    <w:p>
      <w:pPr>
        <w:ind w:firstLine="480"/>
        <w:jc w:val="left"/>
        <w:keepLines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（4）具备履行合同所必需的设备和专业技术能力的声明及证明材料；</w:t>
      </w:r>
      <w:r/>
    </w:p>
    <w:p>
      <w:pPr>
        <w:ind w:firstLine="480"/>
        <w:jc w:val="left"/>
        <w:keepLines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（5）参加政府采购活动前三年内在经营活动中没有重大违法记录的书面声明。</w:t>
      </w:r>
      <w:r/>
    </w:p>
    <w:p>
      <w:pPr>
        <w:ind w:firstLine="480"/>
        <w:jc w:val="left"/>
        <w:keepLines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rPr>
        <w:t xml:space="preserve">根据连财购〔2023〕4号文件精神，第（2）、（3）项可以提供《财务状况报告及税收、社会保障资金缴纳情况承诺函》，详见</w:t>
      </w:r>
      <w:r>
        <w:rPr>
          <w:rFonts w:hint="eastAsia" w:ascii="宋体" w:hAnsi="宋体" w:eastAsia="宋体" w:cs="宋体"/>
          <w:b/>
          <w:bCs/>
          <w:color w:val="auto"/>
          <w:sz w:val="24"/>
          <w:szCs w:val="24"/>
          <w:highlight w:val="none"/>
          <w:lang w:eastAsia="zh-CN"/>
        </w:rPr>
        <w:t xml:space="preserve">磋商文件</w:t>
      </w:r>
      <w:r>
        <w:rPr>
          <w:rFonts w:hint="eastAsia" w:ascii="宋体" w:hAnsi="宋体" w:eastAsia="宋体" w:cs="宋体"/>
          <w:b/>
          <w:bCs/>
          <w:color w:val="auto"/>
          <w:sz w:val="24"/>
          <w:szCs w:val="24"/>
          <w:highlight w:val="none"/>
        </w:rPr>
        <w:t xml:space="preserve">第六</w:t>
      </w:r>
      <w:r>
        <w:rPr>
          <w:rFonts w:hint="eastAsia" w:ascii="宋体" w:hAnsi="宋体" w:eastAsia="宋体" w:cs="宋体"/>
          <w:b/>
          <w:bCs/>
          <w:color w:val="auto"/>
          <w:sz w:val="24"/>
          <w:szCs w:val="24"/>
          <w:highlight w:val="none"/>
          <w:lang w:val="en-US" w:eastAsia="zh-CN"/>
        </w:rPr>
        <w:t xml:space="preserve">章</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CN"/>
        </w:rPr>
        <w:t xml:space="preserve">响应文件</w:t>
      </w:r>
      <w:r>
        <w:rPr>
          <w:rFonts w:hint="eastAsia" w:ascii="宋体" w:hAnsi="宋体" w:eastAsia="宋体" w:cs="宋体"/>
          <w:b/>
          <w:bCs/>
          <w:color w:val="auto"/>
          <w:sz w:val="24"/>
          <w:szCs w:val="24"/>
          <w:highlight w:val="none"/>
        </w:rPr>
        <w:t xml:space="preserve">格式。</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二</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落实政府采购政策需满足的资格要求：</w:t>
      </w:r>
      <w:r>
        <w:rPr>
          <w:rFonts w:hint="eastAsia" w:ascii="宋体" w:hAnsi="宋体" w:eastAsia="宋体" w:cs="Times New Roman"/>
          <w:b/>
          <w:bCs/>
          <w:color w:val="auto"/>
          <w:sz w:val="24"/>
          <w:szCs w:val="24"/>
          <w:highlight w:val="none"/>
          <w:lang w:val="en-US" w:eastAsia="zh-CN"/>
        </w:rPr>
        <w:t xml:space="preserve">无</w:t>
      </w:r>
      <w:r>
        <w:rPr>
          <w:rFonts w:hint="eastAsia" w:ascii="宋体" w:hAnsi="宋体" w:eastAsia="宋体" w:cs="Times New Roman"/>
          <w:color w:val="auto"/>
          <w:sz w:val="24"/>
          <w:szCs w:val="24"/>
          <w:highlight w:val="none"/>
        </w:rPr>
        <w:t xml:space="preserve">。</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三</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本项目的特定资格要求：</w:t>
      </w:r>
      <w:r/>
    </w:p>
    <w:p>
      <w:pPr>
        <w:ind w:firstLine="480"/>
        <w:jc w:val="left"/>
        <w:keepLines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供应商必须是经中国银行保险监督管理委员会批准的、具有开展本项目保险业务资格的保险公司（提供保险监督管理机构颁发的《保险许可证》）；</w:t>
      </w:r>
      <w:r/>
    </w:p>
    <w:p>
      <w:pPr>
        <w:ind w:firstLine="480"/>
        <w:keepLines w:val="0"/>
        <w:keepNext w:val="0"/>
        <w:pageBreakBefore w:val="0"/>
        <w:spacing w:line="360" w:lineRule="auto"/>
        <w:widowControl w:val="off"/>
        <w:rPr>
          <w:rFonts w:ascii="宋体" w:hAnsi="宋体" w:eastAsia="宋体" w:cs="宋体"/>
          <w:color w:val="auto"/>
          <w:sz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宋体"/>
          <w:color w:val="auto"/>
          <w:sz w:val="24"/>
          <w:highlight w:val="none"/>
        </w:rPr>
        <w:t xml:space="preserve">供应商须为总公司或其授权的分支机构，但属于同一独立法人资格的保险公司只能由其法人机构自身或其中一家分支机构参与本项目</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rPr>
        <w:t xml:space="preserve">分支机构参与</w:t>
      </w:r>
      <w:r>
        <w:rPr>
          <w:rFonts w:hint="eastAsia" w:ascii="宋体" w:hAnsi="宋体" w:eastAsia="宋体" w:cs="宋体"/>
          <w:b/>
          <w:bCs/>
          <w:color w:val="auto"/>
          <w:sz w:val="24"/>
          <w:highlight w:val="none"/>
          <w:lang w:val="en-US" w:eastAsia="zh-CN"/>
        </w:rPr>
        <w:t xml:space="preserve">磋商</w:t>
      </w:r>
      <w:r>
        <w:rPr>
          <w:rFonts w:hint="eastAsia" w:ascii="宋体" w:hAnsi="宋体" w:eastAsia="宋体" w:cs="宋体"/>
          <w:b/>
          <w:bCs/>
          <w:color w:val="auto"/>
          <w:sz w:val="24"/>
          <w:highlight w:val="none"/>
        </w:rPr>
        <w:t xml:space="preserve">的须提供法人机构授权文件；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w:t>
      </w:r>
      <w:r>
        <w:rPr>
          <w:rFonts w:hint="eastAsia" w:ascii="宋体" w:hAnsi="宋体" w:eastAsia="宋体" w:cs="宋体"/>
          <w:color w:val="auto"/>
          <w:sz w:val="24"/>
          <w:highlight w:val="none"/>
        </w:rPr>
        <w:t xml:space="preserve">同一保险集团公司的不同分公司，不得同时参加本项目</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，否则为无效响应；</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w:t>
      </w:r>
      <w:r>
        <w:rPr>
          <w:rFonts w:hint="eastAsia" w:ascii="宋体" w:hAnsi="宋体" w:eastAsia="宋体" w:cs="宋体"/>
          <w:color w:val="auto"/>
          <w:sz w:val="24"/>
          <w:highlight w:val="none"/>
        </w:rPr>
        <w:t xml:space="preserve">单位负责人为同一人或者存在直接控股、管理关系的不同供应商，不得参加同一合同项下的政府采购活动。</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）响应文件递交截止前，被信用中国、中国政府采购网列入失信被执行人、重大税</w:t>
      </w:r>
      <w:r/>
    </w:p>
    <w:p>
      <w:pP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收违法案件当事人名单、政府采购严重违法失信行为记录名单的供应商，拒绝其参与政府采购活动。</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备注：采购人或采购代理机构通过信用中国网站（www.creditchina.gov.cn）、中国政府采购网（www.ccgp.gov.cn），对供应商信用记录情况进行查询，查询结果页面打印留存。</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Times New Roman" w:hAnsi="Times New Roman" w:eastAsia="宋体" w:cs="Times New Roman"/>
          <w:color w:val="auto"/>
          <w:sz w:val="24"/>
          <w:szCs w:val="24"/>
          <w:highlight w:val="none"/>
          <w:lang w:eastAsia="zh-CN"/>
        </w:rPr>
        <w:t xml:space="preserve">成交后不允许分包或转包</w:t>
      </w:r>
      <w:r>
        <w:rPr>
          <w:rFonts w:hint="eastAsia" w:ascii="Times New Roman" w:hAnsi="Times New Roman" w:eastAsia="宋体" w:cs="Times New Roman"/>
          <w:color w:val="auto"/>
          <w:sz w:val="24"/>
          <w:szCs w:val="24"/>
          <w:highlight w:val="none"/>
        </w:rPr>
        <w:t xml:space="preserve">。</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法律法规规定的其他条件。</w:t>
      </w:r>
      <w:r/>
    </w:p>
    <w:p>
      <w:pPr>
        <w:pStyle w:val="703"/>
        <w:pageBreakBefore w:val="0"/>
        <w:spacing w:before="0"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三、获取采购文件</w:t>
      </w:r>
      <w:r/>
    </w:p>
    <w:p>
      <w:pPr>
        <w:ind w:firstLine="480"/>
        <w:jc w:val="left"/>
        <w:pageBreakBefore w:val="0"/>
        <w:spacing w:line="360" w:lineRule="auto"/>
        <w:widowControl w:val="off"/>
        <w:rPr>
          <w:rFonts w:hint="eastAsia" w:ascii="宋体" w:hAnsi="宋体" w:eastAsia="宋体" w:cs="宋体"/>
          <w:color w:val="0000ff"/>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时间：自磋商文件公告发布之日起5个工作日</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地点：江苏政府采购网</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方式：供应商办理江苏省政府采购交易系统CA数字证书，登录“苏采云”政府采购交易系统，自行下载。</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售价：0.00元</w:t>
      </w:r>
      <w:r/>
    </w:p>
    <w:p>
      <w:pPr>
        <w:pStyle w:val="703"/>
        <w:pageBreakBefore w:val="0"/>
        <w:spacing w:before="0"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四、提交响应文件截止时间、开启时间和地点</w:t>
      </w:r>
      <w:r/>
    </w:p>
    <w:p>
      <w:pPr>
        <w:ind w:firstLine="480"/>
        <w:jc w:val="left"/>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提交响应文件截止时间：</w:t>
      </w:r>
      <w:r>
        <w:rPr>
          <w:rFonts w:hint="eastAsia" w:ascii="宋体" w:hAnsi="宋体" w:eastAsia="宋体" w:cs="宋体"/>
          <w:color w:val="0000ff"/>
          <w:sz w:val="24"/>
          <w:szCs w:val="24"/>
          <w:highlight w:val="none"/>
        </w:rPr>
        <w:t xml:space="preserve">202</w:t>
      </w:r>
      <w:r>
        <w:rPr>
          <w:rFonts w:hint="eastAsia" w:ascii="宋体" w:hAnsi="宋体" w:eastAsia="宋体" w:cs="宋体"/>
          <w:color w:val="0000ff"/>
          <w:sz w:val="24"/>
          <w:szCs w:val="24"/>
          <w:highlight w:val="none"/>
          <w:lang w:val="en-US" w:eastAsia="zh-CN"/>
        </w:rPr>
        <w:t xml:space="preserve">6</w:t>
      </w:r>
      <w:r>
        <w:rPr>
          <w:rFonts w:hint="eastAsia" w:ascii="宋体" w:hAnsi="宋体" w:eastAsia="宋体" w:cs="宋体"/>
          <w:color w:val="0000ff"/>
          <w:sz w:val="24"/>
          <w:szCs w:val="24"/>
          <w:highlight w:val="none"/>
        </w:rPr>
        <w:t xml:space="preserve">年</w:t>
      </w:r>
      <w:r>
        <w:rPr>
          <w:rFonts w:hint="eastAsia" w:ascii="宋体" w:hAnsi="宋体" w:eastAsia="宋体" w:cs="宋体"/>
          <w:color w:val="0000ff"/>
          <w:sz w:val="24"/>
          <w:szCs w:val="24"/>
          <w:highlight w:val="none"/>
          <w:lang w:val="en-US" w:eastAsia="zh-CN"/>
        </w:rPr>
        <w:t xml:space="preserve">7</w:t>
      </w:r>
      <w:r>
        <w:rPr>
          <w:rFonts w:hint="eastAsia" w:ascii="宋体" w:hAnsi="宋体" w:eastAsia="宋体" w:cs="宋体"/>
          <w:color w:val="0000ff"/>
          <w:sz w:val="24"/>
          <w:szCs w:val="24"/>
          <w:highlight w:val="none"/>
        </w:rPr>
        <w:t xml:space="preserve">月</w:t>
      </w:r>
      <w:r>
        <w:rPr>
          <w:rFonts w:hint="eastAsia" w:ascii="宋体" w:hAnsi="宋体" w:eastAsia="宋体" w:cs="宋体"/>
          <w:color w:val="0000ff"/>
          <w:sz w:val="24"/>
          <w:szCs w:val="24"/>
          <w:highlight w:val="none"/>
          <w:lang w:val="en-US" w:eastAsia="zh-CN"/>
        </w:rPr>
        <w:t xml:space="preserve">8</w:t>
      </w:r>
      <w:r>
        <w:rPr>
          <w:rFonts w:hint="eastAsia" w:ascii="宋体" w:hAnsi="宋体" w:eastAsia="宋体" w:cs="宋体"/>
          <w:color w:val="0000ff"/>
          <w:sz w:val="24"/>
          <w:szCs w:val="24"/>
          <w:highlight w:val="none"/>
        </w:rPr>
        <w:t xml:space="preserve">日</w:t>
      </w:r>
      <w:r>
        <w:rPr>
          <w:rFonts w:hint="eastAsia" w:ascii="宋体" w:hAnsi="宋体" w:eastAsia="宋体" w:cs="宋体"/>
          <w:color w:val="0000ff"/>
          <w:sz w:val="24"/>
          <w:szCs w:val="24"/>
          <w:highlight w:val="none"/>
          <w:lang w:val="en-US" w:eastAsia="zh-CN"/>
        </w:rPr>
        <w:t xml:space="preserve">9</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lang w:val="en-US" w:eastAsia="zh-CN"/>
        </w:rPr>
        <w:t xml:space="preserve">0</w:t>
      </w:r>
      <w:r>
        <w:rPr>
          <w:rFonts w:hint="eastAsia" w:ascii="宋体" w:hAnsi="宋体" w:eastAsia="宋体" w:cs="宋体"/>
          <w:color w:val="0000ff"/>
          <w:sz w:val="24"/>
          <w:szCs w:val="24"/>
          <w:highlight w:val="none"/>
          <w:lang w:eastAsia="zh-CN"/>
        </w:rPr>
        <w:t xml:space="preserve">0：</w:t>
      </w:r>
      <w:r>
        <w:rPr>
          <w:rFonts w:hint="eastAsia" w:ascii="宋体" w:hAnsi="宋体" w:eastAsia="宋体" w:cs="宋体"/>
          <w:color w:val="0000ff"/>
          <w:sz w:val="24"/>
          <w:szCs w:val="24"/>
          <w:highlight w:val="none"/>
        </w:rPr>
        <w:t xml:space="preserve">00（北京时间）</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开启时间：提交响应文件截止时间</w:t>
      </w:r>
      <w:r/>
    </w:p>
    <w:p>
      <w:pPr>
        <w:ind w:firstLine="48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开启地点：“苏采云”政府采购交易系统网上开标大厅</w:t>
      </w:r>
      <w:r/>
    </w:p>
    <w:p>
      <w:pPr>
        <w:pStyle w:val="703"/>
        <w:pageBreakBefore w:val="0"/>
        <w:spacing w:before="0"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五、公告期限</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pStyle w:val="703"/>
        <w:pageBreakBefore w:val="0"/>
        <w:spacing w:before="0"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六、其他补充事宜</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1.本次磋商采购不收取磋商保证金。</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2.本磋商文件中标注★为实质性要求和条件，由采购人根据实际情况设置，供应商须逐条明确作出满足实质性要求和条件的响应，否则将按无效响应处理。</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pageBreakBefore w:val="0"/>
        <w:spacing w:line="360" w:lineRule="auto"/>
        <w:widowControl w:val="off"/>
        <w:rPr>
          <w:rFonts w:hint="eastAsia" w:ascii="宋体" w:hAnsi="宋体" w:eastAsia="宋体" w:cs="宋体"/>
          <w:b w:val="0"/>
          <w:bCs w:val="0"/>
          <w:color w:val="000000"/>
          <w:sz w:val="24"/>
          <w:szCs w:val="28"/>
          <w:highlight w:val="none"/>
          <w:lang w:bidi="ar"/>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hint="eastAsia" w:ascii="宋体" w:hAnsi="宋体" w:eastAsia="宋体" w:cs="宋体"/>
          <w:b w:val="0"/>
          <w:bCs w:val="0"/>
          <w:color w:val="000000"/>
          <w:sz w:val="24"/>
          <w:szCs w:val="28"/>
          <w:highlight w:val="none"/>
          <w:lang w:bidi="ar"/>
        </w:rPr>
        <w:t xml:space="preserve">http://www.ccgp-jiangsu.gov.cn/jiangsu/zlxz/ee/ee3a4bc5a3454aa2b0d9312230633ce9.html</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703"/>
        <w:pageBreakBefore w:val="0"/>
        <w:spacing w:before="0"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七、对本次采购提出询问，请按以下方式联系</w:t>
      </w:r>
      <w:r/>
    </w:p>
    <w:p>
      <w:pPr>
        <w:ind w:firstLine="480"/>
        <w:jc w:val="left"/>
        <w:spacing w:line="360" w:lineRule="auto"/>
        <w:rPr>
          <w:rFonts w:hint="eastAsia" w:ascii="宋体" w:hAnsi="宋体" w:eastAsia="宋体" w:cs="宋体"/>
          <w:color w:val="auto"/>
          <w:sz w:val="24"/>
          <w:szCs w:val="24"/>
          <w:highlight w:val="none"/>
        </w:rPr>
      </w:pPr>
      <w:r/>
      <w:bookmarkStart w:id="2" w:name="_Toc161932692"/>
      <w:r>
        <w:rPr>
          <w:rFonts w:hint="eastAsia" w:ascii="宋体" w:hAnsi="宋体" w:eastAsia="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连云港市公安局</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址：连云港市海州区朝阳东路9号</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曹警官 13961323521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江苏永隆工程咨询有限公司</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连云港市海州区朝阳东路36号凤凰国际大厦12楼</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任工</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15705146210</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项目联系人：曹</w:t>
      </w:r>
      <w:r>
        <w:rPr>
          <w:rFonts w:hint="eastAsia" w:ascii="宋体" w:hAnsi="宋体" w:eastAsia="宋体" w:cs="宋体"/>
          <w:color w:val="auto"/>
          <w:sz w:val="24"/>
          <w:szCs w:val="24"/>
          <w:highlight w:val="none"/>
          <w:lang w:val="en-US" w:eastAsia="zh-CN"/>
        </w:rPr>
        <w:t xml:space="preserve">警官</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13961323521 </w:t>
      </w:r>
      <w:r/>
    </w:p>
    <w:p>
      <w:pPr>
        <w:ind w:firstLine="422"/>
        <w:jc w:val="left"/>
        <w:spacing w:line="360" w:lineRule="auto"/>
        <w:widowControl/>
        <w:rPr>
          <w:rFonts w:hint="eastAsia" w:ascii="宋体" w:hAnsi="宋体" w:eastAsia="宋体" w:cs="宋体"/>
          <w:bCs/>
          <w:color w:val="auto"/>
          <w:sz w:val="44"/>
          <w:szCs w:val="44"/>
          <w:highlight w:val="none"/>
        </w:rPr>
      </w:pPr>
      <w:r>
        <w:rPr>
          <w:rFonts w:hint="eastAsia" w:ascii="宋体" w:hAnsi="宋体" w:eastAsia="宋体" w:cs="宋体"/>
          <w:b/>
          <w:color w:val="auto"/>
          <w:highlight w:val="none"/>
        </w:rPr>
        <w:br w:type="page" w:clear="all"/>
      </w:r>
      <w:r/>
    </w:p>
    <w:p>
      <w:pPr>
        <w:pStyle w:val="702"/>
        <w:jc w:val="center"/>
        <w:spacing w:before="156" w:after="156" w:line="360" w:lineRule="auto"/>
        <w:rPr>
          <w:rFonts w:hint="eastAsia" w:ascii="宋体" w:hAnsi="宋体" w:eastAsia="宋体" w:cs="宋体"/>
          <w:b/>
          <w:bCs w:val="0"/>
          <w:color w:val="auto"/>
          <w:highlight w:val="none"/>
        </w:rPr>
      </w:pPr>
      <w:r/>
      <w:bookmarkStart w:id="3" w:name="_Toc14729"/>
      <w:r>
        <w:rPr>
          <w:rFonts w:hint="eastAsia" w:ascii="宋体" w:hAnsi="宋体" w:eastAsia="宋体" w:cs="宋体"/>
          <w:b/>
          <w:bCs w:val="0"/>
          <w:color w:val="auto"/>
          <w:highlight w:val="none"/>
        </w:rPr>
        <w:t xml:space="preserve">第二章  供应商须知</w:t>
      </w:r>
      <w:bookmarkEnd w:id="2"/>
      <w:r/>
      <w:bookmarkEnd w:id="3"/>
      <w:r/>
      <w:r/>
    </w:p>
    <w:p>
      <w:pPr>
        <w:pStyle w:val="70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一、总则</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合格的供应商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满足磋商公告中申请人的资格要求的规定。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满足本磋商文件全部实质性要求和条件的规定。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符合上述条件的供应商应承担参与磋商采购及履约过程应承担的全部责任与义务。</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适用法律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本次磋商采购及由此产生的合同受中华人民共和国有关的法律法规制约和保护。</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磋商费用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w:t>
      </w:r>
      <w:bookmarkStart w:id="4" w:name="OLE_LINK1"/>
      <w:r>
        <w:rPr>
          <w:rFonts w:hint="eastAsia" w:ascii="宋体" w:hAnsi="宋体" w:eastAsia="宋体" w:cs="宋体"/>
          <w:color w:val="auto"/>
          <w:sz w:val="24"/>
          <w:szCs w:val="24"/>
          <w:highlight w:val="none"/>
        </w:rPr>
        <w:t xml:space="preserve">供应商</w:t>
      </w:r>
      <w:bookmarkEnd w:id="4"/>
      <w:r>
        <w:rPr>
          <w:rFonts w:hint="eastAsia" w:ascii="宋体" w:hAnsi="宋体" w:eastAsia="宋体" w:cs="宋体"/>
          <w:color w:val="auto"/>
          <w:sz w:val="24"/>
          <w:szCs w:val="24"/>
          <w:highlight w:val="none"/>
        </w:rPr>
        <w:t xml:space="preserve">应自行承担所有与参与磋商采购活动有关的费用，无论磋商采购过程中的做法和结果如何，采购人和</w:t>
      </w:r>
      <w:r>
        <w:rPr>
          <w:rFonts w:hint="eastAsia" w:ascii="宋体" w:hAnsi="宋体" w:eastAsia="宋体" w:cs="宋体"/>
          <w:color w:val="auto"/>
          <w:sz w:val="24"/>
          <w:szCs w:val="24"/>
          <w:highlight w:val="none"/>
          <w:lang w:eastAsia="zh-CN"/>
        </w:rPr>
        <w:t xml:space="preserve">江苏永隆工程咨询有限公司</w:t>
      </w:r>
      <w:r>
        <w:rPr>
          <w:rFonts w:hint="eastAsia" w:ascii="宋体" w:hAnsi="宋体" w:eastAsia="宋体" w:cs="宋体"/>
          <w:color w:val="auto"/>
          <w:sz w:val="24"/>
          <w:szCs w:val="24"/>
          <w:highlight w:val="none"/>
        </w:rPr>
        <w:t xml:space="preserve">（以下</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本次磋商采购代理费按照《关于江苏省招标代理服务收费的指导意见》（苏招协【2022】002号文）</w:t>
      </w:r>
      <w:r>
        <w:rPr>
          <w:rFonts w:hint="eastAsia" w:ascii="宋体" w:hAnsi="宋体" w:eastAsia="宋体" w:cs="宋体"/>
          <w:color w:val="auto"/>
          <w:sz w:val="24"/>
          <w:szCs w:val="24"/>
          <w:highlight w:val="none"/>
          <w:lang w:val="en-US" w:eastAsia="zh-CN"/>
        </w:rPr>
        <w:t xml:space="preserve">标准的40</w:t>
      </w:r>
      <w:r>
        <w:rPr>
          <w:rFonts w:hint="eastAsia" w:ascii="宋体" w:hAnsi="宋体" w:eastAsia="宋体" w:cs="宋体"/>
          <w:color w:val="auto"/>
          <w:sz w:val="24"/>
          <w:szCs w:val="24"/>
          <w:highlight w:val="none"/>
        </w:rPr>
        <w:t xml:space="preserve">%计取，上述费用由供应商综合考虑在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报价中，不得单列。以上费用由</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在领取</w:t>
      </w:r>
      <w:r>
        <w:rPr>
          <w:rFonts w:hint="eastAsia" w:ascii="宋体" w:hAnsi="宋体" w:eastAsia="宋体" w:cs="宋体"/>
          <w:color w:val="auto"/>
          <w:sz w:val="24"/>
          <w:szCs w:val="24"/>
          <w:highlight w:val="none"/>
          <w:lang w:val="en-US" w:eastAsia="zh-CN"/>
        </w:rPr>
        <w:t xml:space="preserve">成交通知书</w:t>
      </w:r>
      <w:r>
        <w:rPr>
          <w:rFonts w:hint="eastAsia" w:ascii="宋体" w:hAnsi="宋体" w:eastAsia="宋体" w:cs="宋体"/>
          <w:color w:val="auto"/>
          <w:sz w:val="24"/>
          <w:szCs w:val="24"/>
          <w:highlight w:val="none"/>
        </w:rPr>
        <w:t xml:space="preserve">时一次性付清。</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磋商文件的约束力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供应商一旦参与本项目采购活动，即被认为接受了本磋商文件的规定和约束。</w:t>
      </w:r>
      <w:r/>
    </w:p>
    <w:p>
      <w:pPr>
        <w:pStyle w:val="70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二、磋商文件</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磋商文件的构成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磋商文件由以下部分构成：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联系解决。</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磋商文件的澄清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任何要求对磋商文件进行澄清的供应商，应在提交响应文件截止时间五日前按磋商公告中的通讯地址，以书面形式通知采购人或者</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磋商文件的修改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在响应文件提交截止时间前，采购人和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可以对磋商文件进行修改。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采购人和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有权按照法定的要求推迟提交响应文件截止时间和开启时间。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磋商文件的修改将在江苏政府采购网公布，补充文件将作为磋商文件的组成部分，并对供应商具有约束力。</w:t>
      </w:r>
      <w:r/>
    </w:p>
    <w:p>
      <w:pPr>
        <w:pStyle w:val="70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三、响应文件编制</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响应文件编写注意事项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响应文件的语言及度量衡单位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除专用术语外，供应商提交的响应文件以及供应商与采购人和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除技术性能另有规定外，响应文件所使用的度量衡单位，均须采用国家法定计量单位。</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响应文件的构成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如响应文件制作工具中格式和内容与江苏政府采购网发布的磋商文件不一致，请以江苏政府采购网发布的磋商文件为准。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特别提醒供应商，混乱的编排导致响应文件被误读或竞争性磋商小组（以下简称磋商小组）查找不到有效文件是供应商的风险。</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证明供应商及响应标的符合磋商文件规定的文件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供应商应按照磋商文件要求提交证明文件，证明其及响应标的符合磋商文件规定。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磋商文件对证明文件无明确形式要求的，证明文件可以以文字资料、图纸和数据等形式提交。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供应商委托代理时应当提交授权委托书，请按磋商文件第六章给定格式及要求填写并附法定代表人（单位负责人）与委托代理人身份证明。</w:t>
      </w:r>
      <w:r/>
    </w:p>
    <w:p>
      <w:pPr>
        <w:pStyle w:val="704"/>
        <w:ind w:firstLine="562"/>
        <w:jc w:val="left"/>
        <w:spacing w:before="0" w:after="0" w:line="360" w:lineRule="auto"/>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13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分项报价表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供应商应根据响应报价要求在分项报价表中列明各项单价、总价等，未全部列示的作无效响应处理。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响应文件中的单价和总价无特殊规定的采用人民币报价，以元为单位标注。磋商文件中另有规定的按规定执行。</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技术要求响应及偏离表、商务要求响应及偏离表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供应商可在响应文件中提供认为需要的其他技术文件或说明。</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服务承诺、培训计划、人员安排及其他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供应商应根据磋商文件要求提供培训计划、人员安排等。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供应商应根据磋商文件要求提供响应标的的主要组成部分、功能设计、实现思路及关键技术等。</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磋商响应函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供应商应按照磋商文件提供的格式完整、正确填写磋商响应函。</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磋商有效期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磋商有效期为磋商文件规定的开启之日后六十（60）天。磋商有效期比规定短的将被视为未实质性响应磋商文件而予以拒绝。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w:t>
      </w:r>
      <w:r>
        <w:rPr>
          <w:rFonts w:ascii="Times New Roman" w:hAnsi="Times New Roman" w:cs="Times New Roman"/>
          <w:sz w:val="24"/>
          <w:szCs w:val="24"/>
          <w:highlight w:val="none"/>
        </w:rPr>
        <w:t xml:space="preserve">在特殊情况下（法律法规另有规定的除外），经监管部门批准后，</w:t>
      </w:r>
      <w:r>
        <w:rPr>
          <w:rFonts w:hint="eastAsia" w:ascii="Times New Roman" w:hAnsi="Times New Roman" w:cs="Times New Roman"/>
          <w:sz w:val="24"/>
          <w:szCs w:val="24"/>
          <w:highlight w:val="none"/>
          <w:lang w:eastAsia="zh-CN"/>
        </w:rPr>
        <w:t xml:space="preserve">采购代理机构</w:t>
      </w:r>
      <w:r>
        <w:rPr>
          <w:rFonts w:ascii="Times New Roman" w:hAnsi="Times New Roman" w:cs="Times New Roman"/>
          <w:sz w:val="24"/>
          <w:szCs w:val="24"/>
          <w:highlight w:val="none"/>
        </w:rPr>
        <w:t xml:space="preserve">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70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四、响应文件提交</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电子响应文件的提交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供应商应当按照《操作手册》规定，在响应文件提交截止时间前制作并提交（上传）电子响应文件。</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提交响应文件截止时间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供应商提交（上传）电子响应文件的时间不得迟于磋商公告中规定的截止时间。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采购人和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可以按照规定，通过修改磋商文件酌情延长响应文件提交截止时间，在此情况下，供应商的所有权利和义务以及供应商受制的截止时间均应以延长后新的截止时间为准。</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响应文件的拒收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拒绝接收在磋商文件规定的截止时间后提交（上传）的任何响应文件。</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响应文件的撤回和修改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在提交（上传）响应文件截止时间至磋商文件规定的磋商有效期满之间的这段时间内，供应商不得撤回其电子响应文件。</w:t>
      </w:r>
      <w:r/>
    </w:p>
    <w:p>
      <w:pPr>
        <w:pStyle w:val="70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五、响应文件开启（解密）与评审</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响应文件开启（解密）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将在磋商公告中规定的时间和地点组织响应文件开启。供应商应当按时参加，并在“苏采云”系统规定的时间内对其电子响应文件进行解密。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供应商在开启（解密）过程中涉及到的响应文件解密、开启结果确认等工作，应当按照《操作手册》规定执行。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供应商未参加开启（解密）的，视同认可开启（解密）结果。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供应商在开启（解密）、澄清、磋商、最后报价、评审全过程中应保持通讯畅通，及时登录“苏采云”系统查阅、答复相关信息，并安排专人与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及磋商小组联系。</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磋商小组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响应文件开启（解密）后，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将组织磋商小组进行评审。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磋商小组由采购人代表和有关技术、经济等方面的评审专家组成，且人员构成符合政府采购有关规定。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磋商小组按照磋商文件规定的评审程序、评审方法和评审标准进行独立评审并确定成交候选人。</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评审过程的保密与公正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凡是与审查、澄清、评价和比较有关的资料以及成交建议等，采购人、评审专家、</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均不得向供应商或与评审无关的其他人员透露。</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在评审过程中，供应商不得以任何行为影响评审过程，否则其响应文件将被作为无效响应文件。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响应文件的澄清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磋商小组并非对每个供应商都提出澄清、说明或者补正要求。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接到磋商小组澄清、说明或者补正要求的供应商如未按要求响应，其风险由供应商自行承担。</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对响应文件的审查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响应文件审查分为资格审查和符合性审查。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未通过资格审查或符合性审查的供应商，将通过“苏采云”系统中告知其未通过的原因，评审结束后，将不再告知。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26.3 政府采购异常低价审查：</w:t>
      </w:r>
      <w:r/>
    </w:p>
    <w:p>
      <w:pPr>
        <w:ind w:firstLine="480"/>
        <w:jc w:val="left"/>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（1）评审过程中出现下列情形之一的，评审委员会应当启动异常低价响应审查程序：</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1.响应报价低于全部通过符合性审查供应商响应报价平均值50%的，即响应报价&lt;全部通过符合性审查供应商响应报价平均值</w:t>
      </w:r>
      <w:r>
        <w:rPr>
          <w:rFonts w:hint="eastAsia" w:ascii="宋体" w:hAnsi="宋体" w:eastAsia="宋体" w:cs="宋体"/>
          <w:bCs/>
          <w:color w:val="auto"/>
          <w:sz w:val="24"/>
          <w:lang w:val="en-US" w:eastAsia="zh-CN"/>
        </w:rPr>
        <w:t xml:space="preserve">×</w:t>
      </w:r>
      <w:r>
        <w:rPr>
          <w:rFonts w:hint="eastAsia" w:ascii="宋体" w:hAnsi="宋体" w:cs="宋体"/>
          <w:bCs/>
          <w:color w:val="auto"/>
          <w:sz w:val="24"/>
        </w:rPr>
        <w:t xml:space="preserve">50%;</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2.响应报价低于通过符合性审查的次低报价供应商响应报价50%的，即响应报价&lt;通过符合性审查的次低报价供应商响应报价</w:t>
      </w:r>
      <w:r>
        <w:rPr>
          <w:rFonts w:hint="eastAsia" w:ascii="宋体" w:hAnsi="宋体" w:eastAsia="宋体" w:cs="宋体"/>
          <w:bCs/>
          <w:color w:val="auto"/>
          <w:sz w:val="24"/>
          <w:lang w:val="en-US" w:eastAsia="zh-CN"/>
        </w:rPr>
        <w:t xml:space="preserve">×</w:t>
      </w:r>
      <w:r>
        <w:rPr>
          <w:rFonts w:hint="eastAsia" w:ascii="宋体" w:hAnsi="宋体" w:cs="宋体"/>
          <w:bCs/>
          <w:color w:val="auto"/>
          <w:sz w:val="24"/>
        </w:rPr>
        <w:t xml:space="preserve">50%;</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3.响应报价低于采购项目最高限价45%的，即响应报价&lt;采购项目最高限价</w:t>
      </w:r>
      <w:r>
        <w:rPr>
          <w:rFonts w:hint="eastAsia" w:ascii="宋体" w:hAnsi="宋体" w:eastAsia="宋体" w:cs="宋体"/>
          <w:bCs/>
          <w:color w:val="auto"/>
          <w:sz w:val="24"/>
          <w:lang w:val="en-US" w:eastAsia="zh-CN"/>
        </w:rPr>
        <w:t xml:space="preserve">×</w:t>
      </w:r>
      <w:r>
        <w:rPr>
          <w:rFonts w:hint="eastAsia" w:ascii="宋体" w:hAnsi="宋体" w:cs="宋体"/>
          <w:bCs/>
          <w:color w:val="auto"/>
          <w:sz w:val="24"/>
        </w:rPr>
        <w:t xml:space="preserve">45%;</w:t>
      </w:r>
      <w:r/>
    </w:p>
    <w:p>
      <w:pPr>
        <w:ind w:firstLine="480"/>
        <w:spacing w:line="360" w:lineRule="auto"/>
        <w:rPr>
          <w:rFonts w:ascii="Times New Roman" w:hAnsi="Times New Roman" w:cs="Times New Roman"/>
          <w:color w:val="auto"/>
          <w:sz w:val="24"/>
          <w:szCs w:val="24"/>
          <w:highlight w:val="none"/>
        </w:rPr>
      </w:pPr>
      <w:r>
        <w:rPr>
          <w:rFonts w:hint="eastAsia" w:ascii="宋体" w:hAnsi="宋体" w:cs="宋体"/>
          <w:bCs/>
          <w:color w:val="auto"/>
          <w:sz w:val="24"/>
        </w:rPr>
        <w:t xml:space="preserve">4.磋商小组基于专业判断，认为供应商报价过低，有可能影响产品质量或者不能诚信履约的其他情形。</w:t>
      </w:r>
      <w:r/>
    </w:p>
    <w:p>
      <w:pPr>
        <w:ind w:firstLine="480"/>
        <w:jc w:val="left"/>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（2）磋商小组启动异常低价响应审查后，</w:t>
      </w:r>
      <w:r>
        <w:rPr>
          <w:rFonts w:hint="eastAsia" w:ascii="宋体" w:hAnsi="宋体" w:eastAsia="宋体" w:cs="宋体"/>
          <w:sz w:val="24"/>
          <w:szCs w:val="24"/>
          <w:highlight w:val="none"/>
        </w:rPr>
        <w:t xml:space="preserve">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时间为30分钟。其中，属于第3项情形，供应商已随响应文件一并提交相关书面说明及必要的证明材料的，在评审现场可不再重复提交。</w:t>
      </w:r>
      <w:r/>
    </w:p>
    <w:p>
      <w:pPr>
        <w:ind w:firstLine="480"/>
        <w:jc w:val="left"/>
        <w:spacing w:line="360" w:lineRule="auto"/>
        <w:rPr>
          <w:rFonts w:hint="eastAsia" w:ascii="宋体" w:hAnsi="宋体" w:eastAsia="宋体" w:cs="宋体"/>
          <w:color w:val="auto"/>
          <w:sz w:val="24"/>
          <w:szCs w:val="24"/>
          <w:highlight w:val="none"/>
        </w:rPr>
      </w:pPr>
      <w:r>
        <w:rPr>
          <w:rFonts w:ascii="Times New Roman" w:hAnsi="Times New Roman" w:cs="Times New Roman"/>
          <w:color w:val="auto"/>
          <w:sz w:val="24"/>
          <w:szCs w:val="24"/>
          <w:highlight w:val="none"/>
        </w:rPr>
        <w:t xml:space="preserve">磋商小组</w:t>
      </w:r>
      <w:r>
        <w:rPr>
          <w:rFonts w:hint="eastAsia" w:ascii="宋体" w:hAnsi="宋体" w:eastAsia="宋体" w:cs="宋体"/>
          <w:sz w:val="24"/>
          <w:szCs w:val="24"/>
          <w:highlight w:val="none"/>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ascii="Times New Roman" w:hAnsi="Times New Roman" w:cs="Times New Roman"/>
          <w:color w:val="auto"/>
          <w:sz w:val="24"/>
          <w:szCs w:val="24"/>
          <w:highlight w:val="none"/>
        </w:rPr>
        <w:t xml:space="preserve">磋商小组</w:t>
      </w:r>
      <w:r>
        <w:rPr>
          <w:rFonts w:hint="eastAsia" w:ascii="宋体" w:hAnsi="宋体" w:eastAsia="宋体" w:cs="宋体"/>
          <w:sz w:val="24"/>
          <w:szCs w:val="24"/>
          <w:highlight w:val="none"/>
        </w:rPr>
        <w:t xml:space="preserve">应当将其作为无效响应处理。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如果响应文件实质上没有响应磋商文件的要求，磋商小组将予以拒绝，供应商不得通过修改或撤销不符合要求的偏离或保留而使其成为实质性响应。</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磋商程序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对于通过资格审查和符合性审查的供应商，磋商小组将集中与单一供应商分别进行磋商。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已提交响应文件的供应商，在提交最后报价之前，可以根据磋商情况退出磋商采购，应在“苏采云”系统中提交“退出磋商函”，并加盖CA电子公章。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w:t>
      </w:r>
      <w:bookmarkStart w:id="5" w:name="OLE_LINK3"/>
      <w:r>
        <w:rPr>
          <w:rFonts w:hint="eastAsia" w:ascii="宋体" w:hAnsi="宋体" w:eastAsia="宋体" w:cs="宋体"/>
          <w:color w:val="auto"/>
          <w:sz w:val="24"/>
          <w:szCs w:val="24"/>
          <w:highlight w:val="none"/>
        </w:rPr>
        <w:t xml:space="preserve">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w:t>
      </w:r>
      <w:bookmarkEnd w:id="5"/>
      <w:r>
        <w:rPr>
          <w:rFonts w:hint="eastAsia" w:ascii="宋体" w:hAnsi="宋体" w:eastAsia="宋体" w:cs="宋体"/>
          <w:color w:val="auto"/>
          <w:sz w:val="24"/>
          <w:szCs w:val="24"/>
          <w:highlight w:val="none"/>
        </w:rPr>
        <w:t xml:space="preserve">》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供应商未在磋商小组规定的时间内在“苏采云”系统中提交最后报价的视为放弃磋商，其响应文件按无效响应处理。</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评审方法与评审标准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评审方法。详见本磋商文件第五章。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评审标准。详见本磋商文件第五章。</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未实质性响应磋商文件的情形和采购活动终止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未实质性响应磋商文件的情形：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（1）供应商未按照磋商文件要求提交（上传）电子响应文件的。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（2）供应商在“苏采云”系统规定的时间内未成功解密电子响应文件的。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（3）供应商不具备磋商文件中规定的资格要求的。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（5）不符合磋商文件规定的实质性要求和条件的。（</w:t>
      </w:r>
      <w:r>
        <w:rPr>
          <w:rFonts w:hint="eastAsia" w:ascii="宋体" w:hAnsi="宋体" w:cs="宋体"/>
          <w:i w:val="0"/>
          <w:iCs w:val="0"/>
          <w:color w:val="auto"/>
          <w:sz w:val="24"/>
          <w:highlight w:val="none"/>
          <w:u w:val="none"/>
        </w:rPr>
        <w:t xml:space="preserve">本</w:t>
      </w:r>
      <w:r>
        <w:rPr>
          <w:rFonts w:hint="eastAsia" w:ascii="宋体" w:hAnsi="宋体" w:cs="宋体"/>
          <w:color w:val="auto"/>
          <w:sz w:val="24"/>
          <w:highlight w:val="none"/>
        </w:rPr>
        <w:t xml:space="preserve">项目磋商文件中标注★的款项为实质性响应要求和条件</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（7）供应商未通过符合性审查的。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（8）供应商未按照要求对磋商或者最后报价作出响应的。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（9）供应商提交两个（含两个）以上不同的最后报价的。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（10）供应商的最后报价超过了采购预算或者最高限价的。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（12）响应文件含有采购人不能接受的附加条件的。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（13）响应文件未按照磋商文件要求加盖公章（CA电子公章）的。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（14）其他法律、法规及本磋商文件规定的属于未实质性响应磋商文件的情形。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有下列情形之一的，视为供应商串通，响应无效：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（1）不同供应商的响应文件由同一单位或者个人编制。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（2）不同供应商委托同一单位或者个人办理磋商事宜。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（3）不同供应商的响应文件载明的项目管理成员或者联系人员为同一人。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（4）不同供应商的响应文件异常一致或者最后报价呈规律性差异。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（5）不同供应商的响应文件相互混装。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采购活动终止的情形：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（1）因“苏采云”系统故障原因造成开启（解密）不成功的，或者至磋商文件规定的截止时间成功解密电子响应文件的供应商不足三家的。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（2）磋商小组认定磋商文件存在歧义、重大缺陷导致评审工作无法进行，或者磋商文件内容违反国家有关强制性规定的。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（3）除本磋商文件第二章第27.2条第三款规定的情形外，符合专业条件的供应商或者对磋商文件作实质响应的供应商不足三家的。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pStyle w:val="70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六、成交</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30</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确定成交单位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将在江苏政府采购网发布成交结果公告，公告期限为1个工作日。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若有充分证据证明，成交供应商存在下列情形之一的，一经查实，将被取消成交资格：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恶意串通的。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（5）属于本磋商文件规定的无效情形，但在评审过程中又未被磋商小组发现的。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（6）成交后无正当理由拒不与采购人签订政府采购合同或者未按照磋商文件确定的事项签订政府采购合同的。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（7）将政府采购合同转包的。</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成交通知书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成交结果确定后，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成交供应商应在成交后七个工作日内，向</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份与电子响应文件一致的纸质打印胶装响应文件，封面、骑缝需加盖公章。</w:t>
      </w:r>
      <w:r/>
    </w:p>
    <w:p>
      <w:pPr>
        <w:pStyle w:val="70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七、授予合同</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签订合同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成交供应商应当在成交通知书发出之日起三十日内，按照磋商文件和成交供应商响应文件的规定，与采购人签订政府采购合同。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磋商文件、成交供应商的响应文件及磋商采购过程中有关澄清、承诺、磋商响应等文件均应作为合同附件。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32.4采购人应当在合同签订后2</w:t>
      </w:r>
      <w:r>
        <w:rPr>
          <w:rFonts w:hint="eastAsia" w:ascii="宋体" w:hAnsi="宋体" w:eastAsia="宋体" w:cs="宋体"/>
          <w:color w:val="auto"/>
          <w:sz w:val="24"/>
          <w:szCs w:val="24"/>
          <w:highlight w:val="none"/>
          <w:lang w:val="en-US" w:eastAsia="zh-CN"/>
        </w:rPr>
        <w:t xml:space="preserve">个工作</w:t>
      </w:r>
      <w:r>
        <w:rPr>
          <w:rFonts w:hint="eastAsia" w:ascii="宋体" w:hAnsi="宋体" w:eastAsia="宋体" w:cs="宋体"/>
          <w:color w:val="auto"/>
          <w:sz w:val="24"/>
          <w:szCs w:val="24"/>
          <w:highlight w:val="none"/>
        </w:rPr>
        <w:t xml:space="preserve">日内上传合同至苏采云公示。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32.5.2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32.5.3 履约保证金自合同生效之日起至合同约定的成交供应商主要义务履行完毕止，采购人应当按合同约定及时退还履约保证金。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32.5.4 逾期退还履约保证金的采购人承担违约责任，按照中国人民银行同期贷款基准利率向成交供应商支付超期资金占用费。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32.5.5 本项目履约保证金要求详见</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第四章 采购需求。</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合同标的的追加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政府采购履约资金扶持政策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成交供应商可凭政府采购合同办理融资贷款，详情请见江苏政府采购网“政采贷”专栏。</w:t>
      </w:r>
      <w:r/>
    </w:p>
    <w:p>
      <w:pPr>
        <w:pStyle w:val="70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八、询问与质疑</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询问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供应商对政府采购活动事项有疑问的，可以提出询问，采购人或者</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应当在3个工作日内对供应商依法提出的询问作出答复，但答复的内容不得涉及商业秘密。供应商提出的询问超出采购人对</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应当告知其向采购人提出。</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质疑提出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提出质疑的供应商应当是参与所质疑项目采购活动的供应商。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供应商认为采购文件、采购过程、采购结果使自己的权益受到损害的，可以在知道或者应知其权益受到损害之日（获取采购文件之日、成交结果公告发布之日）起七个工作日内以书面形式向采购人、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提出质疑。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将只对供应商第一次质疑作出答复。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不具有法定调查、认定权限。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质疑函的接收方式为供应商书面原件提交。联系部门、联系电话和通讯地址详见磋商文件第一章。质疑实行实名制，不得进行虚假、恶意质疑。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质疑函应当使用范本，详见磋商文件第六章。供应商提出质疑应当提交质疑函和必要的证明材料，应当包括下列内容：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704"/>
        <w:ind w:firstLine="562"/>
        <w:jc w:val="left"/>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37</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质疑函的受理和答复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不负责搜集必要的证明材料等工作。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37.2 对符合法定要求的质疑，采购人、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37.3 对不符合质疑要求的，采购人、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有权要求其补充必要的证明材料，质疑供应商未在法定时间内补充必要的证明材料的，视同放弃质疑。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37.4 以下情形的质疑依法不予受理：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（3）以传真、电子邮件等方式提交的非原件形式的质疑。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（4）未参与采购活动或在采购活动中自身权益未受到损害的供应商提出的质疑。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37.5 采购人、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依法受理的质疑，将按照政府采购有关规定，在法定期限内作出答复。</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38</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质疑处理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 质疑供应商未按照法定程序进行质疑投诉的，视为一般失信行为。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38.2 质疑供应商不配合或者采取不正当手段干扰政府采购质疑、投诉处理工作的，视为一般失信行为。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38.3 质疑供应商投诉受理期间，就同一事项多头举报，干扰财政部门投诉处理的，视为一般失信行为。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38.4 质疑供应商在全国范围12个月内三次以上质疑查无实据的，视为一般失信行为。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38.6 质疑供应商在全国范围12个月内三次以上投诉查无实据的，视为严重失信行为。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38.7 未尽事宜，依照有关法律、法规执行。</w:t>
      </w:r>
      <w:r/>
    </w:p>
    <w:p>
      <w:pPr>
        <w:pStyle w:val="70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九、政府采购政策功能</w:t>
      </w:r>
      <w:r/>
    </w:p>
    <w:p>
      <w:pPr>
        <w:ind w:firstLine="562"/>
        <w:jc w:val="left"/>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39.支持绿色发展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w:t>
      </w:r>
      <w:r>
        <w:rPr>
          <w:rFonts w:hint="eastAsia" w:ascii="宋体" w:hAnsi="宋体" w:eastAsia="宋体" w:cs="宋体"/>
          <w:color w:val="auto"/>
          <w:sz w:val="24"/>
          <w:szCs w:val="24"/>
          <w:highlight w:val="none"/>
        </w:rPr>
        <w:t xml:space="preserve">.1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须按</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要求提供相关产品认证证书。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w:t>
      </w:r>
      <w:r>
        <w:rPr>
          <w:rFonts w:hint="eastAsia" w:ascii="宋体" w:hAnsi="宋体" w:eastAsia="宋体" w:cs="宋体"/>
          <w:color w:val="auto"/>
          <w:sz w:val="24"/>
          <w:szCs w:val="24"/>
          <w:highlight w:val="none"/>
        </w:rPr>
        <w:t xml:space="preserve">.2 为助力打好污染防治攻坚战，推广使用绿色包装，政府采购货物、工程和服务项目中涉及商品包装和快递包装的，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提供产品及相关快递服务的具体包装要求要参考《商品包装政府采购需求标准（试行）》、《快递包装政府采购需求标准（试行）》。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w:t>
      </w:r>
      <w:r>
        <w:rPr>
          <w:rFonts w:hint="eastAsia" w:ascii="宋体" w:hAnsi="宋体" w:eastAsia="宋体" w:cs="宋体"/>
          <w:color w:val="auto"/>
          <w:sz w:val="24"/>
          <w:szCs w:val="24"/>
          <w:highlight w:val="none"/>
        </w:rPr>
        <w:t xml:space="preserve">.3政府采购项目执行《财政部 生态环境部 工业和信息化部关于印发&lt;绿色数据中心政府采购需求标准（试行）&gt;的通知》（财库〔2023〕7号）相关要求。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w:t>
      </w:r>
      <w:r>
        <w:rPr>
          <w:rFonts w:hint="eastAsia" w:ascii="宋体" w:hAnsi="宋体" w:eastAsia="宋体" w:cs="宋体"/>
          <w:color w:val="auto"/>
          <w:sz w:val="24"/>
          <w:szCs w:val="24"/>
          <w:highlight w:val="none"/>
        </w:rPr>
        <w:t xml:space="preserve">.4为落实挥发性有机化合物（VOCs）治理要求，政府采购项目中涉及涂料、胶黏剂、油墨、清洗剂等挥发性有机物产品的，属于强制性标准的，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须执行国家和我省VOCs含量限制标准；</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优先使用低挥发性原辅材料，将使用低VOCs含量的涂料、胶黏剂等纳入政府采购合同条款。</w:t>
      </w:r>
      <w:r/>
    </w:p>
    <w:p>
      <w:pPr>
        <w:pStyle w:val="704"/>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40.</w:t>
      </w:r>
      <w:r>
        <w:rPr>
          <w:rFonts w:hint="eastAsia" w:ascii="宋体" w:hAnsi="宋体" w:eastAsia="宋体" w:cs="宋体"/>
          <w:color w:val="auto"/>
          <w:sz w:val="28"/>
          <w:szCs w:val="28"/>
          <w:highlight w:val="none"/>
        </w:rPr>
        <w:t xml:space="preserve">政府采购需求标准</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40.1</w:t>
      </w:r>
      <w:r>
        <w:rPr>
          <w:rFonts w:ascii="Times New Roman" w:hAnsi="Times New Roman" w:cs="Times New Roman"/>
          <w:b w:val="0"/>
          <w:bCs w:val="0"/>
          <w:sz w:val="24"/>
          <w:szCs w:val="24"/>
          <w:highlight w:val="none"/>
        </w:rPr>
        <w:t xml:space="preserve">本项目执行《绿色数据中心政府采购需求</w:t>
      </w:r>
      <w:r>
        <w:rPr>
          <w:rFonts w:ascii="Times New Roman" w:hAnsi="Times New Roman" w:cs="Times New Roman"/>
          <w:b w:val="0"/>
          <w:bCs w:val="0"/>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02"/>
        <w:ind w:firstLine="883"/>
        <w:jc w:val="center"/>
        <w:spacing w:before="156" w:after="156" w:line="360" w:lineRule="auto"/>
        <w:rPr>
          <w:rFonts w:hint="eastAsia" w:ascii="宋体" w:hAnsi="宋体" w:eastAsia="宋体" w:cs="宋体"/>
          <w:b/>
          <w:bCs w:val="0"/>
          <w:color w:val="auto"/>
          <w:highlight w:val="none"/>
        </w:rPr>
      </w:pPr>
      <w:r/>
      <w:bookmarkStart w:id="6" w:name="_Toc25012"/>
      <w:r/>
      <w:bookmarkStart w:id="7" w:name="_Toc161932693"/>
      <w:r>
        <w:rPr>
          <w:rFonts w:hint="eastAsia" w:ascii="宋体" w:hAnsi="宋体" w:eastAsia="宋体" w:cs="宋体"/>
          <w:b/>
          <w:bCs w:val="0"/>
          <w:color w:val="auto"/>
          <w:highlight w:val="none"/>
        </w:rPr>
        <w:t xml:space="preserve">第三章  合同文本</w:t>
      </w:r>
      <w:bookmarkEnd w:id="6"/>
      <w:r/>
      <w:bookmarkEnd w:id="7"/>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69" w:line="220" w:lineRule="auto"/>
        <w:widowControl/>
        <w:rPr>
          <w:rFonts w:ascii="宋体" w:hAnsi="宋体" w:eastAsia="宋体" w:cs="宋体"/>
          <w:color w:val="auto"/>
          <w:spacing w:val="1"/>
          <w:sz w:val="52"/>
          <w:szCs w:val="52"/>
          <w:highlight w:val="none"/>
        </w:rPr>
      </w:pPr>
      <w:r>
        <w:rPr>
          <w:rFonts w:hint="eastAsia" w:ascii="宋体" w:hAnsi="宋体" w:eastAsia="宋体" w:cs="宋体"/>
          <w:color w:val="auto"/>
          <w:spacing w:val="1"/>
          <w:sz w:val="52"/>
          <w:szCs w:val="52"/>
          <w:highlight w:val="none"/>
        </w:rPr>
        <w:t xml:space="preserve">连 云 港 市 政 府 采 购</w:t>
      </w:r>
      <w:r/>
    </w:p>
    <w:p>
      <w:pPr>
        <w:ind w:left="3711"/>
        <w:jc w:val="center"/>
        <w:spacing w:before="169" w:line="220" w:lineRule="auto"/>
        <w:widowControl/>
        <w:rPr>
          <w:rFonts w:ascii="宋体" w:hAnsi="宋体" w:eastAsia="宋体" w:cs="宋体"/>
          <w:color w:val="auto"/>
          <w:spacing w:val="1"/>
          <w:sz w:val="52"/>
          <w:szCs w:val="52"/>
          <w:highlight w:val="none"/>
        </w:rPr>
      </w:pPr>
      <w:r>
        <w:rPr>
          <w:rFonts w:ascii="宋体" w:hAnsi="宋体" w:eastAsia="宋体" w:cs="宋体"/>
          <w:color w:val="auto"/>
          <w:spacing w:val="1"/>
          <w:sz w:val="52"/>
          <w:szCs w:val="52"/>
          <w:highlight w:val="none"/>
        </w:rPr>
      </w:r>
      <w:r/>
    </w:p>
    <w:p>
      <w:pPr>
        <w:spacing w:before="169" w:line="220" w:lineRule="auto"/>
        <w:widowControl/>
        <w:rPr>
          <w:rFonts w:ascii="宋体" w:hAnsi="宋体" w:eastAsia="宋体" w:cs="宋体"/>
          <w:color w:val="auto"/>
          <w:spacing w:val="1"/>
          <w:sz w:val="52"/>
          <w:szCs w:val="52"/>
          <w:highlight w:val="none"/>
        </w:rPr>
      </w:pPr>
      <w:r>
        <w:rPr>
          <w:rFonts w:ascii="宋体" w:hAnsi="宋体" w:eastAsia="宋体" w:cs="宋体"/>
          <w:color w:val="auto"/>
          <w:spacing w:val="1"/>
          <w:sz w:val="52"/>
          <w:szCs w:val="52"/>
          <w:highlight w:val="none"/>
        </w:rPr>
      </w:r>
      <w:r/>
    </w:p>
    <w:p>
      <w:pPr>
        <w:jc w:val="center"/>
        <w:spacing w:before="169" w:line="220" w:lineRule="auto"/>
        <w:widowControl/>
        <w:rPr>
          <w:rFonts w:ascii="宋体" w:hAnsi="宋体" w:eastAsia="宋体" w:cs="宋体"/>
          <w:color w:val="auto"/>
          <w:spacing w:val="1"/>
          <w:sz w:val="52"/>
          <w:szCs w:val="52"/>
          <w:highlight w:val="none"/>
        </w:rPr>
      </w:pPr>
      <w:r>
        <w:rPr>
          <w:rFonts w:hint="eastAsia" w:ascii="宋体" w:hAnsi="宋体" w:eastAsia="宋体" w:cs="宋体"/>
          <w:color w:val="auto"/>
          <w:spacing w:val="1"/>
          <w:sz w:val="43"/>
          <w:szCs w:val="43"/>
          <w:highlight w:val="none"/>
          <w:u w:val="single"/>
        </w:rPr>
        <w:t xml:space="preserve">                  </w:t>
      </w:r>
      <w:r>
        <w:rPr>
          <w:rFonts w:hint="eastAsia" w:ascii="宋体" w:hAnsi="宋体" w:eastAsia="宋体" w:cs="宋体"/>
          <w:color w:val="auto"/>
          <w:spacing w:val="1"/>
          <w:sz w:val="43"/>
          <w:szCs w:val="43"/>
          <w:highlight w:val="none"/>
        </w:rPr>
        <w:t xml:space="preserve">合同</w:t>
      </w:r>
      <w:r/>
    </w:p>
    <w:p>
      <w:pPr>
        <w:jc w:val="left"/>
        <w:spacing w:before="169" w:line="220" w:lineRule="auto"/>
        <w:widowControl/>
        <w:rPr>
          <w:rFonts w:ascii="宋体" w:hAnsi="宋体" w:eastAsia="宋体" w:cs="宋体"/>
          <w:color w:val="auto"/>
          <w:spacing w:val="1"/>
          <w:sz w:val="52"/>
          <w:szCs w:val="52"/>
          <w:highlight w:val="none"/>
        </w:rPr>
      </w:pPr>
      <w:r>
        <w:rPr>
          <w:rFonts w:ascii="宋体" w:hAnsi="宋体" w:eastAsia="宋体" w:cs="宋体"/>
          <w:color w:val="auto"/>
          <w:spacing w:val="1"/>
          <w:sz w:val="52"/>
          <w:szCs w:val="52"/>
          <w:highlight w:val="none"/>
        </w:rPr>
      </w:r>
      <w:r/>
    </w:p>
    <w:p>
      <w:pPr>
        <w:jc w:val="left"/>
        <w:spacing w:before="169" w:line="220" w:lineRule="auto"/>
        <w:widowControl/>
        <w:rPr>
          <w:rFonts w:ascii="宋体" w:hAnsi="宋体" w:eastAsia="宋体" w:cs="宋体"/>
          <w:color w:val="auto"/>
          <w:spacing w:val="1"/>
          <w:sz w:val="52"/>
          <w:szCs w:val="52"/>
          <w:highlight w:val="none"/>
        </w:rPr>
      </w:pPr>
      <w:r>
        <w:rPr>
          <w:rFonts w:ascii="宋体" w:hAnsi="宋体" w:eastAsia="宋体" w:cs="宋体"/>
          <w:color w:val="auto"/>
          <w:spacing w:val="1"/>
          <w:sz w:val="52"/>
          <w:szCs w:val="52"/>
          <w:highlight w:val="none"/>
        </w:rPr>
      </w:r>
      <w:r/>
    </w:p>
    <w:p>
      <w:pPr>
        <w:ind w:left="3711"/>
        <w:jc w:val="left"/>
        <w:spacing w:before="169" w:line="220" w:lineRule="auto"/>
        <w:widowControl/>
        <w:rPr>
          <w:rFonts w:ascii="宋体" w:hAnsi="宋体" w:eastAsia="宋体" w:cs="宋体"/>
          <w:color w:val="auto"/>
          <w:spacing w:val="1"/>
          <w:sz w:val="52"/>
          <w:szCs w:val="52"/>
          <w:highlight w:val="none"/>
        </w:rPr>
      </w:pPr>
      <w:r>
        <w:rPr>
          <w:rFonts w:ascii="宋体" w:hAnsi="宋体" w:eastAsia="宋体" w:cs="宋体"/>
          <w:color w:val="auto"/>
          <w:spacing w:val="1"/>
          <w:sz w:val="52"/>
          <w:szCs w:val="52"/>
          <w:highlight w:val="none"/>
        </w:rPr>
      </w:r>
      <w:r/>
    </w:p>
    <w:p>
      <w:pPr>
        <w:jc w:val="center"/>
        <w:spacing w:before="140" w:line="226" w:lineRule="auto"/>
        <w:widowControl/>
        <w:tabs>
          <w:tab w:val="left" w:pos="8414" w:leader="none"/>
        </w:tabs>
        <w:rPr>
          <w:rFonts w:ascii="宋体" w:hAnsi="宋体" w:eastAsia="宋体" w:cs="宋体"/>
          <w:color w:val="auto"/>
          <w:spacing w:val="1"/>
          <w:sz w:val="43"/>
          <w:szCs w:val="43"/>
          <w:highlight w:val="none"/>
        </w:rPr>
      </w:pPr>
      <w:r>
        <w:rPr>
          <w:rFonts w:hint="eastAsia" w:ascii="宋体" w:hAnsi="宋体" w:eastAsia="宋体" w:cs="宋体"/>
          <w:color w:val="auto"/>
          <w:spacing w:val="1"/>
          <w:sz w:val="43"/>
          <w:szCs w:val="43"/>
          <w:highlight w:val="none"/>
        </w:rPr>
        <w:t xml:space="preserve">合同编号：</w:t>
      </w:r>
      <w:r/>
    </w:p>
    <w:p>
      <w:pP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880"/>
        <w:jc w:val="left"/>
        <w:spacing w:before="338" w:line="223" w:lineRule="auto"/>
        <w:widowControl/>
        <w:rPr>
          <w:rFonts w:ascii="宋体" w:hAnsi="宋体" w:eastAsia="宋体" w:cs="宋体"/>
          <w:color w:val="auto"/>
          <w:spacing w:val="5"/>
          <w:sz w:val="43"/>
          <w:szCs w:val="43"/>
          <w:highlight w:val="none"/>
        </w:rPr>
        <w:outlineLvl w:val="1"/>
      </w:pPr>
      <w:r/>
      <w:bookmarkStart w:id="8" w:name="_Toc2984"/>
      <w:r>
        <w:rPr>
          <w:rFonts w:hint="eastAsia" w:ascii="宋体" w:hAnsi="宋体" w:eastAsia="宋体" w:cs="宋体"/>
          <w:color w:val="auto"/>
          <w:spacing w:val="5"/>
          <w:sz w:val="43"/>
          <w:szCs w:val="43"/>
          <w:highlight w:val="none"/>
        </w:rPr>
        <w:t xml:space="preserve">采购人：</w:t>
      </w:r>
      <w:bookmarkEnd w:id="8"/>
      <w:r/>
      <w:r/>
    </w:p>
    <w:p>
      <w:pPr>
        <w:ind w:firstLine="880"/>
        <w:jc w:val="left"/>
        <w:spacing w:before="338" w:line="223" w:lineRule="auto"/>
        <w:widowControl/>
        <w:rPr>
          <w:rFonts w:ascii="宋体" w:hAnsi="宋体" w:eastAsia="宋体" w:cs="宋体"/>
          <w:color w:val="auto"/>
          <w:spacing w:val="5"/>
          <w:sz w:val="43"/>
          <w:szCs w:val="43"/>
          <w:highlight w:val="none"/>
        </w:rPr>
        <w:outlineLvl w:val="1"/>
      </w:pPr>
      <w:r/>
      <w:bookmarkStart w:id="9" w:name="_Toc12112"/>
      <w:r>
        <w:rPr>
          <w:rFonts w:hint="eastAsia" w:ascii="宋体" w:hAnsi="宋体" w:eastAsia="宋体" w:cs="宋体"/>
          <w:color w:val="auto"/>
          <w:spacing w:val="5"/>
          <w:sz w:val="43"/>
          <w:szCs w:val="43"/>
          <w:highlight w:val="none"/>
          <w:lang w:val="en-US" w:eastAsia="zh-CN"/>
        </w:rPr>
        <w:t xml:space="preserve">成交供应商</w:t>
      </w:r>
      <w:r>
        <w:rPr>
          <w:rFonts w:hint="eastAsia" w:ascii="宋体" w:hAnsi="宋体" w:eastAsia="宋体" w:cs="宋体"/>
          <w:color w:val="auto"/>
          <w:spacing w:val="5"/>
          <w:sz w:val="43"/>
          <w:szCs w:val="43"/>
          <w:highlight w:val="none"/>
        </w:rPr>
        <w:t xml:space="preserve">：</w:t>
      </w:r>
      <w:bookmarkEnd w:id="9"/>
      <w:r/>
      <w:r/>
    </w:p>
    <w:p>
      <w:pP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rPr>
          <w:color w:val="auto"/>
          <w:highlight w:val="none"/>
        </w:rPr>
        <w:sectPr>
          <w:footerReference w:type="default" r:id="rId10"/>
          <w:footnotePr/>
          <w:endnotePr/>
          <w:type w:val="nextPage"/>
          <w:pgSz w:w="11906" w:h="16838" w:orient="portrait"/>
          <w:pgMar w:top="1134" w:right="1134" w:bottom="1134" w:left="1134" w:header="720" w:footer="720" w:gutter="0"/>
          <w:pgNumType w:start="1"/>
          <w:cols w:num="1" w:sep="0" w:space="720" w:equalWidth="1"/>
          <w:docGrid w:linePitch="360"/>
        </w:sectPr>
      </w:pPr>
      <w:r>
        <w:rPr>
          <w:color w:val="auto"/>
          <w:highlight w:val="none"/>
        </w:rPr>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center"/>
        <w:rPr>
          <w:b/>
          <w:bCs w:val="0"/>
          <w:color w:val="auto"/>
          <w:sz w:val="31"/>
          <w:szCs w:val="31"/>
          <w:highlight w:val="none"/>
        </w:rPr>
      </w:pPr>
      <w:r>
        <w:rPr>
          <w:rFonts w:hint="eastAsia" w:ascii="宋体" w:hAnsi="宋体" w:eastAsia="宋体" w:cs="宋体"/>
          <w:b/>
          <w:bCs w:val="0"/>
          <w:color w:val="auto"/>
          <w:sz w:val="32"/>
          <w:szCs w:val="32"/>
          <w:highlight w:val="none"/>
        </w:rPr>
        <w:t xml:space="preserve">政府采购</w:t>
      </w:r>
      <w:r>
        <w:rPr>
          <w:rFonts w:hint="eastAsia"/>
          <w:b/>
          <w:bCs w:val="0"/>
          <w:color w:val="auto"/>
          <w:sz w:val="31"/>
          <w:szCs w:val="31"/>
          <w:highlight w:val="none"/>
        </w:rPr>
        <w:t xml:space="preserve">合同</w:t>
      </w:r>
      <w:r/>
    </w:p>
    <w:p>
      <w:pPr>
        <w:ind w:firstLine="480"/>
        <w:jc w:val="left"/>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连云港市公安局</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80" w:lineRule="exact"/>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甲、乙双方根据</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年</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月</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日</w:t>
      </w:r>
      <w:r>
        <w:rPr>
          <w:rFonts w:hint="eastAsia" w:ascii="宋体" w:hAnsi="宋体" w:cs="Times New Roman"/>
          <w:color w:val="auto"/>
          <w:sz w:val="24"/>
          <w:szCs w:val="24"/>
          <w:highlight w:val="none"/>
          <w:u w:val="single"/>
        </w:rPr>
        <w:t xml:space="preserve"> 【标段名称】 </w:t>
      </w:r>
      <w:r>
        <w:rPr>
          <w:rFonts w:hint="eastAsia" w:ascii="宋体" w:hAnsi="宋体" w:cs="Times New Roman"/>
          <w:color w:val="auto"/>
          <w:sz w:val="24"/>
          <w:szCs w:val="24"/>
          <w:highlight w:val="none"/>
        </w:rPr>
        <w:t xml:space="preserve">项目（标段编号：</w:t>
      </w:r>
      <w:r>
        <w:rPr>
          <w:rFonts w:hint="eastAsia" w:ascii="宋体" w:hAnsi="宋体" w:cs="Times New Roman"/>
          <w:color w:val="auto"/>
          <w:sz w:val="24"/>
          <w:szCs w:val="24"/>
          <w:highlight w:val="none"/>
          <w:u w:val="single"/>
        </w:rPr>
        <w:t xml:space="preserve"> 【标段编号】 </w:t>
      </w:r>
      <w:r>
        <w:rPr>
          <w:rFonts w:hint="eastAsia" w:ascii="宋体" w:hAnsi="宋体" w:cs="Times New Roman"/>
          <w:color w:val="auto"/>
          <w:sz w:val="24"/>
          <w:szCs w:val="24"/>
          <w:highlight w:val="none"/>
        </w:rPr>
        <w:t xml:space="preserve">）的采购结果，签订本合同。</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ascii="宋体" w:hAnsi="宋体" w:cs="Times New Roman"/>
          <w:b/>
          <w:color w:val="auto"/>
          <w:sz w:val="24"/>
          <w:szCs w:val="24"/>
          <w:highlight w:val="none"/>
        </w:rPr>
        <w:t xml:space="preserve">一、采购标的</w:t>
      </w:r>
      <w:r/>
    </w:p>
    <w:p>
      <w:pPr>
        <w:ind w:firstLine="480"/>
        <w:jc w:val="left"/>
        <w:keepLines w:val="0"/>
        <w:keepNext w:val="0"/>
        <w:pageBreakBefore w:val="0"/>
        <w:spacing w:line="480" w:lineRule="exact"/>
        <w:widowControl w:val="off"/>
        <w:rPr>
          <w:rFonts w:hint="eastAsia" w:ascii="宋体" w:hAnsi="宋体" w:cs="Times New Roman" w:eastAsiaTheme="minorEastAsia"/>
          <w:color w:val="auto"/>
          <w:sz w:val="24"/>
          <w:szCs w:val="24"/>
          <w:highlight w:val="none"/>
          <w:u w:val="single"/>
          <w:lang w:eastAsia="zh-CN"/>
        </w:rPr>
      </w:pPr>
      <w:r>
        <w:rPr>
          <w:rFonts w:ascii="宋体" w:hAnsi="宋体" w:cs="Times New Roman"/>
          <w:color w:val="auto"/>
          <w:sz w:val="24"/>
          <w:szCs w:val="24"/>
          <w:highlight w:val="none"/>
        </w:rPr>
        <w:t xml:space="preserve">1.1 服务内容：</w:t>
      </w:r>
      <w:r>
        <w:rPr>
          <w:rFonts w:hint="eastAsia" w:ascii="宋体" w:hAnsi="宋体" w:cs="Times New Roman"/>
          <w:color w:val="auto"/>
          <w:sz w:val="24"/>
          <w:szCs w:val="24"/>
          <w:highlight w:val="none"/>
          <w:lang w:val="en-US" w:eastAsia="zh-CN"/>
        </w:rPr>
        <w:t xml:space="preserve"> </w:t>
      </w:r>
      <w:r/>
    </w:p>
    <w:p>
      <w:pPr>
        <w:ind w:firstLine="480"/>
        <w:jc w:val="left"/>
        <w:keepLines w:val="0"/>
        <w:keepNext w:val="0"/>
        <w:pageBreakBefore w:val="0"/>
        <w:spacing w:line="480" w:lineRule="exact"/>
        <w:widowControl w:val="off"/>
        <w:rPr>
          <w:rFonts w:hint="eastAsia" w:ascii="宋体" w:hAnsi="宋体" w:cs="Times New Roman" w:eastAsiaTheme="minorEastAsia"/>
          <w:color w:val="auto"/>
          <w:sz w:val="24"/>
          <w:szCs w:val="24"/>
          <w:highlight w:val="none"/>
          <w:u w:val="single"/>
          <w:lang w:eastAsia="zh-CN"/>
        </w:rPr>
      </w:pPr>
      <w:r>
        <w:rPr>
          <w:rFonts w:ascii="宋体" w:hAnsi="宋体" w:cs="Times New Roman"/>
          <w:color w:val="auto"/>
          <w:sz w:val="24"/>
          <w:szCs w:val="24"/>
          <w:highlight w:val="none"/>
        </w:rPr>
        <w:t xml:space="preserve">1.2 服务期限：</w:t>
      </w:r>
      <w:r>
        <w:rPr>
          <w:rFonts w:hint="eastAsia" w:ascii="宋体" w:hAnsi="宋体" w:cs="Times New Roman"/>
          <w:color w:val="auto"/>
          <w:sz w:val="24"/>
          <w:szCs w:val="24"/>
          <w:highlight w:val="none"/>
          <w:lang w:val="en-US" w:eastAsia="zh-CN"/>
        </w:rPr>
        <w:t xml:space="preserve"> </w:t>
      </w:r>
      <w:r/>
    </w:p>
    <w:p>
      <w:pPr>
        <w:ind w:firstLine="480"/>
        <w:jc w:val="left"/>
        <w:keepLines w:val="0"/>
        <w:keepNext w:val="0"/>
        <w:pageBreakBefore w:val="0"/>
        <w:spacing w:line="480" w:lineRule="exact"/>
        <w:widowControl w:val="off"/>
        <w:rPr>
          <w:rFonts w:hint="eastAsia" w:ascii="宋体" w:hAnsi="宋体" w:cs="Times New Roman" w:eastAsiaTheme="minorEastAsia"/>
          <w:color w:val="auto"/>
          <w:sz w:val="24"/>
          <w:szCs w:val="24"/>
          <w:highlight w:val="none"/>
          <w:u w:val="single"/>
          <w:lang w:eastAsia="zh-CN"/>
        </w:rPr>
      </w:pPr>
      <w:r>
        <w:rPr>
          <w:rFonts w:ascii="宋体" w:hAnsi="宋体" w:cs="Times New Roman"/>
          <w:color w:val="auto"/>
          <w:sz w:val="24"/>
          <w:szCs w:val="24"/>
          <w:highlight w:val="none"/>
        </w:rPr>
        <w:t xml:space="preserve">1.3 补充条款：</w:t>
      </w:r>
      <w:r>
        <w:rPr>
          <w:rFonts w:hint="eastAsia" w:ascii="宋体" w:hAnsi="宋体" w:cs="Times New Roman"/>
          <w:color w:val="auto"/>
          <w:sz w:val="24"/>
          <w:szCs w:val="24"/>
          <w:highlight w:val="none"/>
          <w:lang w:val="en-US" w:eastAsia="zh-CN"/>
        </w:rPr>
        <w:t xml:space="preserve"> </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ascii="宋体" w:hAnsi="宋体" w:cs="Times New Roman"/>
          <w:b/>
          <w:color w:val="auto"/>
          <w:sz w:val="24"/>
          <w:szCs w:val="24"/>
          <w:highlight w:val="none"/>
        </w:rPr>
        <w:t xml:space="preserve">二、合同金额</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2.1 本合同金额为（大写）：_________________元整（</w:t>
      </w:r>
      <w:r>
        <w:rPr>
          <w:rFonts w:hint="eastAsia" w:ascii="宋体" w:hAnsi="宋体" w:cs="Times New Roman"/>
          <w:color w:val="auto"/>
          <w:sz w:val="24"/>
          <w:szCs w:val="24"/>
          <w:highlight w:val="none"/>
        </w:rPr>
        <w:t xml:space="preserve">¥</w:t>
      </w:r>
      <w:r>
        <w:rPr>
          <w:rFonts w:ascii="宋体" w:hAnsi="宋体" w:cs="Times New Roman"/>
          <w:color w:val="auto"/>
          <w:sz w:val="24"/>
          <w:szCs w:val="24"/>
          <w:highlight w:val="none"/>
        </w:rPr>
        <w:t xml:space="preserve">__________）人民币。</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ascii="宋体" w:hAnsi="宋体" w:cs="Times New Roman"/>
          <w:b/>
          <w:color w:val="auto"/>
          <w:sz w:val="24"/>
          <w:szCs w:val="24"/>
          <w:highlight w:val="none"/>
        </w:rPr>
        <w:t xml:space="preserve">三、技术资料</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3.1乙方应按</w:t>
      </w:r>
      <w:r>
        <w:rPr>
          <w:rFonts w:hint="eastAsia" w:ascii="宋体" w:hAnsi="宋体" w:cs="Times New Roman"/>
          <w:color w:val="auto"/>
          <w:sz w:val="24"/>
          <w:szCs w:val="24"/>
          <w:highlight w:val="none"/>
          <w:lang w:val="en-US" w:eastAsia="zh-CN"/>
        </w:rPr>
        <w:t xml:space="preserve">采购</w:t>
      </w:r>
      <w:r>
        <w:rPr>
          <w:rFonts w:ascii="宋体" w:hAnsi="宋体" w:cs="Times New Roman"/>
          <w:color w:val="auto"/>
          <w:sz w:val="24"/>
          <w:szCs w:val="24"/>
          <w:highlight w:val="none"/>
        </w:rPr>
        <w:t xml:space="preserve">文件规定的时间向甲方提供有关技术资料。</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ascii="宋体" w:hAnsi="宋体" w:cs="Times New Roman"/>
          <w:b/>
          <w:color w:val="auto"/>
          <w:sz w:val="24"/>
          <w:szCs w:val="24"/>
          <w:highlight w:val="none"/>
        </w:rPr>
        <w:t xml:space="preserve">四、知识产权</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hAnsi="宋体" w:cs="Times New Roman"/>
          <w:color w:val="auto"/>
          <w:sz w:val="24"/>
          <w:szCs w:val="24"/>
          <w:highlight w:val="none"/>
        </w:rPr>
        <w:t xml:space="preserve">4.1 </w:t>
      </w:r>
      <w:r>
        <w:rPr>
          <w:rFonts w:hAnsi="宋体" w:cs="Times New Roman"/>
          <w:color w:val="auto"/>
          <w:sz w:val="24"/>
          <w:szCs w:val="24"/>
          <w:highlight w:val="none"/>
        </w:rPr>
        <w:t xml:space="preserve">乙</w:t>
      </w:r>
      <w:r>
        <w:rPr>
          <w:rFonts w:hint="eastAsia" w:ascii="宋体" w:hAnsi="宋体" w:cs="Times New Roman"/>
          <w:color w:val="auto"/>
          <w:sz w:val="24"/>
          <w:szCs w:val="24"/>
          <w:highlight w:val="none"/>
        </w:rPr>
        <w:t xml:space="preserve">方应保证甲方在使用、接受本合同</w:t>
      </w:r>
      <w:r>
        <w:rPr>
          <w:rFonts w:hAnsi="宋体" w:cs="Times New Roman"/>
          <w:color w:val="auto"/>
          <w:sz w:val="24"/>
          <w:szCs w:val="24"/>
          <w:highlight w:val="none"/>
        </w:rPr>
        <w:t xml:space="preserve">中产品和服务</w:t>
      </w:r>
      <w:r>
        <w:rPr>
          <w:rFonts w:hint="eastAsia" w:ascii="宋体" w:hAnsi="宋体" w:cs="Times New Roman"/>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480" w:lineRule="exact"/>
        <w:widowControl w:val="off"/>
        <w:rPr>
          <w:rFonts w:ascii="宋体" w:hAnsi="宋体" w:cs="Times New Roman"/>
          <w:color w:val="auto"/>
          <w:sz w:val="24"/>
          <w:szCs w:val="24"/>
          <w:highlight w:val="none"/>
          <w:u w:val="single"/>
        </w:rPr>
      </w:pPr>
      <w:r>
        <w:rPr>
          <w:rFonts w:ascii="宋体" w:hAnsi="宋体" w:cs="Times New Roman"/>
          <w:b/>
          <w:color w:val="auto"/>
          <w:sz w:val="24"/>
          <w:szCs w:val="24"/>
          <w:highlight w:val="none"/>
        </w:rPr>
        <w:t xml:space="preserve">五、产权担保</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u w:val="single"/>
        </w:rPr>
      </w:pPr>
      <w:r>
        <w:rPr>
          <w:rFonts w:hint="eastAsia" w:ascii="宋体" w:hAnsi="宋体" w:cs="Times New Roman"/>
          <w:color w:val="auto"/>
          <w:sz w:val="24"/>
          <w:szCs w:val="24"/>
          <w:highlight w:val="none"/>
        </w:rPr>
        <w:t xml:space="preserve">5.1 </w:t>
      </w:r>
      <w:r>
        <w:rPr>
          <w:rFonts w:ascii="宋体" w:hAnsi="宋体" w:cs="Times New Roman"/>
          <w:color w:val="auto"/>
          <w:sz w:val="24"/>
          <w:szCs w:val="24"/>
          <w:highlight w:val="none"/>
        </w:rPr>
        <w:t xml:space="preserve">乙方保证所交付标的的所有权完全属于乙方且无任何抵押、查封等产权瑕疵。</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ascii="宋体" w:hAnsi="宋体" w:cs="Times New Roman"/>
          <w:b/>
          <w:color w:val="auto"/>
          <w:sz w:val="24"/>
          <w:szCs w:val="24"/>
          <w:highlight w:val="none"/>
        </w:rPr>
        <w:t xml:space="preserve">六、履约保证金</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6.1 本项目不收取履约保证金。</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ascii="宋体" w:hAnsi="宋体" w:cs="Times New Roman"/>
          <w:b/>
          <w:color w:val="auto"/>
          <w:sz w:val="24"/>
          <w:szCs w:val="24"/>
          <w:highlight w:val="none"/>
        </w:rPr>
        <w:t xml:space="preserve">七、转包或分包</w:t>
      </w:r>
      <w:r/>
    </w:p>
    <w:p>
      <w:pPr>
        <w:ind w:firstLine="480"/>
        <w:jc w:val="left"/>
        <w:keepLines w:val="0"/>
        <w:keepNext w:val="0"/>
        <w:pageBreakBefore w:val="0"/>
        <w:spacing w:line="480" w:lineRule="exact"/>
        <w:widowControl w:val="off"/>
        <w:rPr>
          <w:rFonts w:ascii="宋体" w:hAnsi="宋体" w:eastAsia="仿宋_GB2312" w:cs="Times New Roman"/>
          <w:color w:val="auto"/>
          <w:sz w:val="24"/>
          <w:szCs w:val="24"/>
          <w:highlight w:val="none"/>
        </w:rPr>
      </w:pPr>
      <w:r>
        <w:rPr>
          <w:rFonts w:ascii="宋体" w:hAnsi="宋体" w:cs="Times New Roman"/>
          <w:color w:val="auto"/>
          <w:sz w:val="24"/>
          <w:szCs w:val="24"/>
          <w:highlight w:val="none"/>
        </w:rPr>
        <w:t xml:space="preserve">7.1</w:t>
      </w:r>
      <w:r>
        <w:rPr>
          <w:rFonts w:hint="eastAsia" w:ascii="宋体" w:hAnsi="宋体" w:cs="Times New Roman"/>
          <w:color w:val="auto"/>
          <w:sz w:val="24"/>
          <w:szCs w:val="24"/>
          <w:highlight w:val="none"/>
        </w:rPr>
        <w:t xml:space="preserve"> 本合同范围内产品或服务，应由乙方直接供应，不得转让他人供应；</w:t>
      </w:r>
      <w:r/>
    </w:p>
    <w:p>
      <w:pPr>
        <w:ind w:firstLine="480"/>
        <w:jc w:val="left"/>
        <w:keepLines w:val="0"/>
        <w:keepNext w:val="0"/>
        <w:pageBreakBefore w:val="0"/>
        <w:spacing w:line="480" w:lineRule="exact"/>
        <w:widowControl w:val="off"/>
        <w:rPr>
          <w:rFonts w:ascii="宋体" w:hAnsi="宋体" w:eastAsia="仿宋_GB2312" w:cs="Times New Roman"/>
          <w:color w:val="auto"/>
          <w:sz w:val="24"/>
          <w:szCs w:val="24"/>
          <w:highlight w:val="none"/>
        </w:rPr>
      </w:pPr>
      <w:r>
        <w:rPr>
          <w:rFonts w:ascii="宋体" w:hAnsi="宋体" w:cs="Times New Roman"/>
          <w:color w:val="auto"/>
          <w:sz w:val="24"/>
          <w:szCs w:val="24"/>
          <w:highlight w:val="none"/>
        </w:rPr>
        <w:t xml:space="preserve">7.2</w:t>
      </w:r>
      <w:r>
        <w:rPr>
          <w:rFonts w:hint="eastAsia" w:ascii="宋体" w:hAnsi="宋体" w:cs="Times New Roman"/>
          <w:color w:val="auto"/>
          <w:sz w:val="24"/>
          <w:szCs w:val="24"/>
          <w:highlight w:val="none"/>
        </w:rPr>
        <w:t xml:space="preserve"> 除非得到甲方的书面同意，乙方不得部分分包给他人供应。</w:t>
      </w:r>
      <w:r/>
    </w:p>
    <w:p>
      <w:pPr>
        <w:ind w:firstLine="480"/>
        <w:jc w:val="left"/>
        <w:keepLines w:val="0"/>
        <w:keepNext w:val="0"/>
        <w:pageBreakBefore w:val="0"/>
        <w:spacing w:line="480" w:lineRule="exact"/>
        <w:widowControl w:val="off"/>
        <w:rPr>
          <w:rFonts w:ascii="宋体" w:hAnsi="宋体" w:eastAsia="仿宋_GB2312" w:cs="Times New Roman"/>
          <w:color w:val="auto"/>
          <w:sz w:val="24"/>
          <w:szCs w:val="24"/>
          <w:highlight w:val="none"/>
        </w:rPr>
      </w:pPr>
      <w:r>
        <w:rPr>
          <w:rFonts w:ascii="宋体" w:hAnsi="宋体" w:cs="Times New Roman"/>
          <w:color w:val="auto"/>
          <w:sz w:val="24"/>
          <w:szCs w:val="24"/>
          <w:highlight w:val="none"/>
        </w:rPr>
        <w:t xml:space="preserve">7.3</w:t>
      </w:r>
      <w:r>
        <w:rPr>
          <w:rFonts w:hint="eastAsia" w:ascii="宋体" w:hAnsi="宋体" w:cs="Times New Roman"/>
          <w:color w:val="auto"/>
          <w:sz w:val="24"/>
          <w:szCs w:val="24"/>
          <w:highlight w:val="none"/>
        </w:rPr>
        <w:t xml:space="preserve"> 如有转让和未经甲方同意的分包行为，甲方有权给予终止合同。 </w:t>
      </w:r>
      <w:r/>
    </w:p>
    <w:p>
      <w:pPr>
        <w:ind w:firstLine="482"/>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b/>
          <w:color w:val="auto"/>
          <w:sz w:val="24"/>
          <w:szCs w:val="24"/>
          <w:highlight w:val="none"/>
        </w:rPr>
        <w:t xml:space="preserve">八、服务期</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8.1 服务</w:t>
      </w:r>
      <w:r>
        <w:rPr>
          <w:rFonts w:ascii="宋体" w:hAnsi="宋体" w:cs="Times New Roman"/>
          <w:color w:val="auto"/>
          <w:sz w:val="24"/>
          <w:szCs w:val="24"/>
          <w:highlight w:val="none"/>
        </w:rPr>
        <w:t xml:space="preserve">期</w:t>
      </w:r>
      <w:r>
        <w:rPr>
          <w:rFonts w:hint="eastAsia" w:ascii="宋体" w:hAnsi="宋体" w:cs="Times New Roman"/>
          <w:color w:val="auto"/>
          <w:sz w:val="24"/>
          <w:szCs w:val="24"/>
          <w:highlight w:val="none"/>
        </w:rPr>
        <w:t xml:space="preserve">：</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8"/>
          <w:highlight w:val="none"/>
          <w:u w:val="single"/>
        </w:rPr>
        <w:t xml:space="preserve">      </w:t>
      </w:r>
      <w:r>
        <w:rPr>
          <w:rFonts w:hint="eastAsia" w:ascii="宋体" w:hAnsi="宋体" w:cs="Times New Roman"/>
          <w:color w:val="auto"/>
          <w:sz w:val="24"/>
          <w:szCs w:val="24"/>
          <w:highlight w:val="none"/>
          <w:u w:val="single"/>
        </w:rPr>
        <w:t xml:space="preserve"> </w:t>
      </w:r>
      <w:r>
        <w:rPr>
          <w:rFonts w:ascii="宋体" w:hAnsi="宋体" w:cs="Times New Roman"/>
          <w:color w:val="auto"/>
          <w:sz w:val="24"/>
          <w:szCs w:val="24"/>
          <w:highlight w:val="none"/>
        </w:rPr>
        <w:t xml:space="preserve">。</w:t>
      </w:r>
      <w:r/>
    </w:p>
    <w:p>
      <w:pPr>
        <w:ind w:firstLine="482"/>
        <w:jc w:val="left"/>
        <w:keepLines w:val="0"/>
        <w:keepNext w:val="0"/>
        <w:pageBreakBefore w:val="0"/>
        <w:spacing w:line="480" w:lineRule="exact"/>
        <w:widowControl w:val="off"/>
        <w:rPr>
          <w:rFonts w:ascii="Times New Roman" w:hAnsi="Times New Roman" w:cs="Times New Roman"/>
          <w:b/>
          <w:color w:val="auto"/>
          <w:sz w:val="24"/>
          <w:szCs w:val="24"/>
          <w:highlight w:val="none"/>
        </w:rPr>
      </w:pPr>
      <w:r>
        <w:rPr>
          <w:rFonts w:ascii="Times New Roman" w:hAnsi="宋体" w:cs="Times New Roman"/>
          <w:b/>
          <w:color w:val="auto"/>
          <w:sz w:val="24"/>
          <w:szCs w:val="24"/>
          <w:highlight w:val="none"/>
        </w:rPr>
        <w:t xml:space="preserve">九、交付期、交付方式及交付地点</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bCs/>
          <w:color w:val="auto"/>
          <w:sz w:val="24"/>
          <w:szCs w:val="24"/>
          <w:highlight w:val="none"/>
        </w:rPr>
        <w:t xml:space="preserve">9.1交 付 期：</w:t>
      </w:r>
      <w:r>
        <w:rPr>
          <w:rFonts w:ascii="宋体" w:hAnsi="宋体" w:cs="Times New Roman"/>
          <w:color w:val="auto"/>
          <w:sz w:val="24"/>
          <w:szCs w:val="24"/>
          <w:highlight w:val="none"/>
        </w:rPr>
        <w:t xml:space="preserve">_________。</w:t>
      </w:r>
      <w:r/>
    </w:p>
    <w:p>
      <w:pPr>
        <w:ind w:firstLine="480"/>
        <w:jc w:val="left"/>
        <w:keepLines w:val="0"/>
        <w:keepNext w:val="0"/>
        <w:pageBreakBefore w:val="0"/>
        <w:spacing w:line="480" w:lineRule="exact"/>
        <w:widowControl w:val="off"/>
        <w:rPr>
          <w:rFonts w:ascii="宋体" w:hAnsi="宋体" w:cs="Times New Roman"/>
          <w:bCs/>
          <w:color w:val="auto"/>
          <w:sz w:val="24"/>
          <w:szCs w:val="24"/>
          <w:highlight w:val="none"/>
        </w:rPr>
      </w:pPr>
      <w:r>
        <w:rPr>
          <w:rFonts w:ascii="宋体" w:hAnsi="宋体" w:cs="Times New Roman"/>
          <w:bCs/>
          <w:color w:val="auto"/>
          <w:sz w:val="24"/>
          <w:szCs w:val="24"/>
          <w:highlight w:val="none"/>
        </w:rPr>
        <w:t xml:space="preserve">9.2交付方式：</w:t>
      </w:r>
      <w:r>
        <w:rPr>
          <w:rFonts w:ascii="宋体" w:hAnsi="宋体" w:cs="Times New Roman"/>
          <w:color w:val="auto"/>
          <w:sz w:val="24"/>
          <w:szCs w:val="24"/>
          <w:highlight w:val="none"/>
        </w:rPr>
        <w:t xml:space="preserve">_________。</w:t>
      </w:r>
      <w:r/>
    </w:p>
    <w:p>
      <w:pPr>
        <w:ind w:firstLine="480"/>
        <w:jc w:val="left"/>
        <w:keepLines w:val="0"/>
        <w:keepNext w:val="0"/>
        <w:pageBreakBefore w:val="0"/>
        <w:spacing w:line="480" w:lineRule="exact"/>
        <w:widowControl w:val="off"/>
        <w:rPr>
          <w:rFonts w:ascii="宋体" w:hAnsi="宋体" w:cs="Times New Roman"/>
          <w:b/>
          <w:color w:val="auto"/>
          <w:sz w:val="24"/>
          <w:szCs w:val="24"/>
          <w:highlight w:val="none"/>
        </w:rPr>
      </w:pPr>
      <w:r>
        <w:rPr>
          <w:rFonts w:ascii="宋体" w:hAnsi="宋体" w:cs="Times New Roman"/>
          <w:bCs/>
          <w:color w:val="auto"/>
          <w:sz w:val="24"/>
          <w:szCs w:val="24"/>
          <w:highlight w:val="none"/>
        </w:rPr>
        <w:t xml:space="preserve">9.3交付地点：</w:t>
      </w:r>
      <w:r>
        <w:rPr>
          <w:rFonts w:ascii="宋体" w:hAnsi="宋体" w:cs="Times New Roman"/>
          <w:color w:val="auto"/>
          <w:sz w:val="24"/>
          <w:szCs w:val="24"/>
          <w:highlight w:val="none"/>
        </w:rPr>
        <w:t xml:space="preserve">_________。</w:t>
      </w:r>
      <w:r/>
    </w:p>
    <w:p>
      <w:pPr>
        <w:ind w:firstLine="482"/>
        <w:jc w:val="left"/>
        <w:keepLines w:val="0"/>
        <w:keepNext w:val="0"/>
        <w:pageBreakBefore w:val="0"/>
        <w:spacing w:line="480" w:lineRule="exact"/>
        <w:widowControl w:val="off"/>
        <w:rPr>
          <w:rFonts w:ascii="Times New Roman" w:hAnsi="Times New Roman" w:cs="Times New Roman"/>
          <w:b/>
          <w:color w:val="auto"/>
          <w:sz w:val="24"/>
          <w:szCs w:val="24"/>
          <w:highlight w:val="none"/>
        </w:rPr>
      </w:pPr>
      <w:r>
        <w:rPr>
          <w:rFonts w:ascii="Times New Roman" w:hAnsi="宋体" w:cs="Times New Roman"/>
          <w:b/>
          <w:color w:val="auto"/>
          <w:sz w:val="24"/>
          <w:szCs w:val="24"/>
          <w:highlight w:val="none"/>
        </w:rPr>
        <w:t xml:space="preserve">十、合同款支付</w:t>
      </w:r>
      <w:r/>
    </w:p>
    <w:p>
      <w:pPr>
        <w:ind w:firstLine="480"/>
        <w:jc w:val="left"/>
        <w:keepLines w:val="0"/>
        <w:keepNext w:val="0"/>
        <w:pageBreakBefore w:val="0"/>
        <w:spacing w:line="480" w:lineRule="exact"/>
        <w:widowControl w:val="off"/>
        <w:rPr>
          <w:rFonts w:hint="default" w:ascii="Times New Roman" w:hAnsi="宋体" w:cs="Times New Roman" w:eastAsiaTheme="minorEastAsia"/>
          <w:color w:val="auto"/>
          <w:sz w:val="24"/>
          <w:szCs w:val="24"/>
          <w:highlight w:val="none"/>
          <w:u w:val="single"/>
          <w:lang w:val="en-US" w:eastAsia="zh-CN"/>
        </w:rPr>
      </w:pPr>
      <w:r>
        <w:rPr>
          <w:rFonts w:ascii="Times New Roman" w:hAnsi="宋体" w:cs="Times New Roman"/>
          <w:color w:val="auto"/>
          <w:sz w:val="24"/>
          <w:szCs w:val="24"/>
          <w:highlight w:val="none"/>
        </w:rPr>
        <w:t xml:space="preserve">10.1付款方式：</w:t>
      </w:r>
      <w:r>
        <w:rPr>
          <w:rFonts w:hint="eastAsia" w:ascii="Times New Roman" w:hAnsi="宋体" w:cs="Times New Roman"/>
          <w:color w:val="auto"/>
          <w:sz w:val="24"/>
          <w:szCs w:val="24"/>
          <w:highlight w:val="none"/>
          <w:u w:val="single"/>
          <w:lang w:val="en-US" w:eastAsia="zh-CN"/>
        </w:rPr>
        <w:t xml:space="preserve">     </w:t>
      </w:r>
      <w:r/>
    </w:p>
    <w:p>
      <w:pPr>
        <w:ind w:firstLine="480"/>
        <w:jc w:val="left"/>
        <w:keepLines w:val="0"/>
        <w:keepNext w:val="0"/>
        <w:pageBreakBefore w:val="0"/>
        <w:spacing w:line="480" w:lineRule="exact"/>
        <w:widowControl w:val="off"/>
        <w:rPr>
          <w:rFonts w:ascii="Times New Roman" w:hAnsi="Times New Roman" w:cs="Times New Roman"/>
          <w:bCs/>
          <w:color w:val="auto"/>
          <w:sz w:val="24"/>
          <w:szCs w:val="24"/>
          <w:highlight w:val="none"/>
        </w:rPr>
      </w:pPr>
      <w:r>
        <w:rPr>
          <w:rFonts w:ascii="Times New Roman" w:hAnsi="宋体" w:cs="Times New Roman"/>
          <w:color w:val="auto"/>
          <w:sz w:val="24"/>
          <w:szCs w:val="24"/>
          <w:highlight w:val="none"/>
        </w:rPr>
        <w:t xml:space="preserve">10.2当采购数量与实际使用数量不一致时，乙方根据实际使用量提供</w:t>
      </w:r>
      <w:r>
        <w:rPr>
          <w:rFonts w:ascii="宋体" w:hAnsi="宋体" w:cs="Times New Roman"/>
          <w:color w:val="auto"/>
          <w:sz w:val="24"/>
          <w:szCs w:val="24"/>
          <w:highlight w:val="none"/>
        </w:rPr>
        <w:t xml:space="preserve">产品和服务</w:t>
      </w:r>
      <w:r>
        <w:rPr>
          <w:rFonts w:ascii="Times New Roman" w:hAnsi="宋体" w:cs="Times New Roman"/>
          <w:color w:val="auto"/>
          <w:sz w:val="24"/>
          <w:szCs w:val="24"/>
          <w:highlight w:val="none"/>
        </w:rPr>
        <w:t xml:space="preserve">，合同的最终结算金额按实际使用量乘以成交单价进行计算。</w:t>
      </w:r>
      <w:r/>
    </w:p>
    <w:p>
      <w:pPr>
        <w:ind w:firstLine="482"/>
        <w:jc w:val="left"/>
        <w:keepLines w:val="0"/>
        <w:keepNext w:val="0"/>
        <w:pageBreakBefore w:val="0"/>
        <w:spacing w:line="480" w:lineRule="exact"/>
        <w:widowControl w:val="off"/>
        <w:rPr>
          <w:rFonts w:cs="Times New Roman"/>
          <w:b/>
          <w:color w:val="auto"/>
          <w:sz w:val="24"/>
          <w:szCs w:val="24"/>
          <w:highlight w:val="none"/>
        </w:rPr>
      </w:pPr>
      <w:r>
        <w:rPr>
          <w:rFonts w:hAnsi="宋体" w:cs="Times New Roman"/>
          <w:b/>
          <w:color w:val="auto"/>
          <w:sz w:val="24"/>
          <w:szCs w:val="24"/>
          <w:highlight w:val="none"/>
        </w:rPr>
        <w:t xml:space="preserve">十一</w:t>
      </w:r>
      <w:r>
        <w:rPr>
          <w:rFonts w:hint="eastAsia" w:cs="Times New Roman"/>
          <w:b/>
          <w:color w:val="auto"/>
          <w:sz w:val="24"/>
          <w:szCs w:val="24"/>
          <w:highlight w:val="none"/>
        </w:rPr>
        <w:t xml:space="preserve">、</w:t>
      </w:r>
      <w:r>
        <w:rPr>
          <w:rFonts w:hAnsi="宋体" w:cs="Times New Roman"/>
          <w:b/>
          <w:color w:val="auto"/>
          <w:sz w:val="24"/>
          <w:szCs w:val="24"/>
          <w:highlight w:val="none"/>
        </w:rPr>
        <w:t xml:space="preserve">税费</w:t>
      </w:r>
      <w:r/>
    </w:p>
    <w:p>
      <w:pPr>
        <w:ind w:firstLine="480"/>
        <w:jc w:val="left"/>
        <w:keepLines w:val="0"/>
        <w:keepNext w:val="0"/>
        <w:pageBreakBefore w:val="0"/>
        <w:spacing w:line="480" w:lineRule="exact"/>
        <w:widowControl w:val="off"/>
        <w:rPr>
          <w:rFonts w:ascii="宋体" w:hAnsi="宋体" w:eastAsia="仿宋_GB2312" w:cs="Times New Roman"/>
          <w:color w:val="auto"/>
          <w:sz w:val="24"/>
          <w:szCs w:val="24"/>
          <w:highlight w:val="none"/>
        </w:rPr>
      </w:pPr>
      <w:r>
        <w:rPr>
          <w:rFonts w:hint="eastAsia" w:ascii="宋体" w:hAnsi="宋体" w:cs="Times New Roman"/>
          <w:color w:val="auto"/>
          <w:sz w:val="24"/>
          <w:szCs w:val="24"/>
          <w:highlight w:val="none"/>
        </w:rPr>
        <w:t xml:space="preserve">11.1 本合同执行中相关的一切税费均由乙方负担。</w:t>
      </w:r>
      <w:r/>
    </w:p>
    <w:p>
      <w:pPr>
        <w:ind w:firstLine="482"/>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b/>
          <w:color w:val="auto"/>
          <w:sz w:val="24"/>
          <w:szCs w:val="24"/>
          <w:highlight w:val="none"/>
        </w:rPr>
        <w:t xml:space="preserve">十二、质量保证及售后服务</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12.1乙方应按磋商文件规定和响应文件承诺的性能、技术要求、质量标准向甲方提供产品或服务。</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12.2乙方提供的产品或服务在质保期内因其本身出现质量问题，根据实际情况，经双方协商，可按以下办法处理：</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（1）更换：由乙方承担所发生的全部费用。</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（2）合同终止处理：合同终止，并退还甲方支付的合同款，同时应承担由此产生的所有费用，甲方不承担发生任何费用。</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12.3如在使用过程中发生质量问题，乙方在接到甲方通知后在</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48</w:t>
      </w:r>
      <w:r>
        <w:rPr>
          <w:rFonts w:hint="eastAsia" w:ascii="宋体" w:hAnsi="宋体" w:cs="Times New Roman"/>
          <w:color w:val="auto"/>
          <w:sz w:val="24"/>
          <w:szCs w:val="24"/>
          <w:highlight w:val="none"/>
          <w:u w:val="single"/>
        </w:rPr>
        <w:t xml:space="preserve">  </w:t>
      </w:r>
      <w:r>
        <w:rPr>
          <w:rFonts w:ascii="宋体" w:hAnsi="宋体" w:cs="Times New Roman"/>
          <w:color w:val="auto"/>
          <w:sz w:val="24"/>
          <w:szCs w:val="24"/>
          <w:highlight w:val="none"/>
        </w:rPr>
        <w:t xml:space="preserve">小时内到达甲方现场。</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12.4在质保期内，乙方应对产品或服务出现的质量及安全问题负责处理解决并承担一切费用。</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ascii="宋体" w:hAnsi="宋体" w:cs="Times New Roman"/>
          <w:b/>
          <w:color w:val="auto"/>
          <w:sz w:val="24"/>
          <w:szCs w:val="24"/>
          <w:highlight w:val="none"/>
        </w:rPr>
        <w:t xml:space="preserve">十三、合同内容的交付</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en-US" w:eastAsia="zh-CN"/>
        </w:rPr>
        <w:t xml:space="preserve">3</w:t>
      </w:r>
      <w:r>
        <w:rPr>
          <w:rFonts w:ascii="宋体" w:hAnsi="宋体" w:cs="Times New Roman"/>
          <w:color w:val="auto"/>
          <w:sz w:val="24"/>
          <w:szCs w:val="24"/>
          <w:highlight w:val="none"/>
        </w:rPr>
        <w:t xml:space="preserve">.1乙方应保证合同标的安全运达甲方指定地点。</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en-US" w:eastAsia="zh-CN"/>
        </w:rPr>
        <w:t xml:space="preserve">3</w:t>
      </w:r>
      <w:r>
        <w:rPr>
          <w:rFonts w:ascii="宋体" w:hAnsi="宋体" w:cs="Times New Roman"/>
          <w:color w:val="auto"/>
          <w:sz w:val="24"/>
          <w:szCs w:val="24"/>
          <w:highlight w:val="none"/>
        </w:rPr>
        <w:t xml:space="preserve">.2 使用说明书、质量检验证明书一并提交甲方。</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en-US" w:eastAsia="zh-CN"/>
        </w:rPr>
        <w:t xml:space="preserve">3</w:t>
      </w:r>
      <w:r>
        <w:rPr>
          <w:rFonts w:ascii="宋体" w:hAnsi="宋体" w:cs="Times New Roman"/>
          <w:color w:val="auto"/>
          <w:sz w:val="24"/>
          <w:szCs w:val="24"/>
          <w:highlight w:val="none"/>
        </w:rPr>
        <w:t xml:space="preserve">.3 乙方在合同标的交付甲方48小时前通知甲方准备接收。</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en-US" w:eastAsia="zh-CN"/>
        </w:rPr>
        <w:t xml:space="preserve">3</w:t>
      </w:r>
      <w:r>
        <w:rPr>
          <w:rFonts w:ascii="宋体" w:hAnsi="宋体" w:cs="Times New Roman"/>
          <w:color w:val="auto"/>
          <w:sz w:val="24"/>
          <w:szCs w:val="24"/>
          <w:highlight w:val="none"/>
        </w:rPr>
        <w:t xml:space="preserve">.4 合同标的在交付甲方前发生的风险均由乙方负责。</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en-US" w:eastAsia="zh-CN"/>
        </w:rPr>
        <w:t xml:space="preserve">3</w:t>
      </w:r>
      <w:r>
        <w:rPr>
          <w:rFonts w:ascii="宋体" w:hAnsi="宋体" w:cs="Times New Roman"/>
          <w:color w:val="auto"/>
          <w:sz w:val="24"/>
          <w:szCs w:val="24"/>
          <w:highlight w:val="none"/>
        </w:rPr>
        <w:t xml:space="preserve">.5 合同标的在规定的交付期限内由乙方送达甲方指定的地点视为交付，乙方同时需通知甲方已送达。</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ascii="宋体" w:hAnsi="宋体" w:cs="Times New Roman"/>
          <w:b/>
          <w:color w:val="auto"/>
          <w:sz w:val="24"/>
          <w:szCs w:val="24"/>
          <w:highlight w:val="none"/>
        </w:rPr>
        <w:t xml:space="preserve">十</w:t>
      </w:r>
      <w:r>
        <w:rPr>
          <w:rFonts w:hint="eastAsia" w:ascii="宋体" w:hAnsi="宋体" w:cs="Times New Roman"/>
          <w:b/>
          <w:color w:val="auto"/>
          <w:sz w:val="24"/>
          <w:szCs w:val="24"/>
          <w:highlight w:val="none"/>
          <w:lang w:val="en-US" w:eastAsia="zh-CN"/>
        </w:rPr>
        <w:t xml:space="preserve">四</w:t>
      </w:r>
      <w:r>
        <w:rPr>
          <w:rFonts w:ascii="宋体" w:hAnsi="宋体" w:cs="Times New Roman"/>
          <w:b/>
          <w:color w:val="auto"/>
          <w:sz w:val="24"/>
          <w:szCs w:val="24"/>
          <w:highlight w:val="none"/>
        </w:rPr>
        <w:t xml:space="preserve">、违约责任</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en-US" w:eastAsia="zh-CN"/>
        </w:rPr>
        <w:t xml:space="preserve">4</w:t>
      </w:r>
      <w:r>
        <w:rPr>
          <w:rFonts w:ascii="宋体" w:hAnsi="宋体" w:cs="Times New Roman"/>
          <w:color w:val="auto"/>
          <w:sz w:val="24"/>
          <w:szCs w:val="24"/>
          <w:highlight w:val="none"/>
        </w:rPr>
        <w:t xml:space="preserve">.1 甲方无正当理由拒收的，甲方向乙方偿付拒收货款总值的百分之五违约金。</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en-US" w:eastAsia="zh-CN"/>
        </w:rPr>
        <w:t xml:space="preserve">4</w:t>
      </w:r>
      <w:r>
        <w:rPr>
          <w:rFonts w:ascii="宋体" w:hAnsi="宋体" w:cs="Times New Roman"/>
          <w:color w:val="auto"/>
          <w:sz w:val="24"/>
          <w:szCs w:val="24"/>
          <w:highlight w:val="none"/>
        </w:rPr>
        <w:t xml:space="preserve">.2 甲方无故逾期验收和办理合同款支付手续的,甲方应按逾期付款总额每日万分之五向乙方支付违约金。</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en-US" w:eastAsia="zh-CN"/>
        </w:rPr>
        <w:t xml:space="preserve">4</w:t>
      </w:r>
      <w:r>
        <w:rPr>
          <w:rFonts w:ascii="宋体" w:hAnsi="宋体" w:cs="Times New Roman"/>
          <w:color w:val="auto"/>
          <w:sz w:val="24"/>
          <w:szCs w:val="24"/>
          <w:highlight w:val="none"/>
        </w:rPr>
        <w:t xml:space="preserve">.3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en-US" w:eastAsia="zh-CN"/>
        </w:rPr>
        <w:t xml:space="preserve">4</w:t>
      </w:r>
      <w:r>
        <w:rPr>
          <w:rFonts w:ascii="宋体" w:hAnsi="宋体" w:cs="Times New Roman"/>
          <w:color w:val="auto"/>
          <w:sz w:val="24"/>
          <w:szCs w:val="24"/>
          <w:highlight w:val="none"/>
        </w:rPr>
        <w:t xml:space="preserve">.4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ascii="宋体" w:hAnsi="宋体" w:cs="Times New Roman"/>
          <w:b/>
          <w:color w:val="auto"/>
          <w:sz w:val="24"/>
          <w:szCs w:val="24"/>
          <w:highlight w:val="none"/>
        </w:rPr>
        <w:t xml:space="preserve">十</w:t>
      </w:r>
      <w:r>
        <w:rPr>
          <w:rFonts w:hint="eastAsia" w:ascii="宋体" w:hAnsi="宋体" w:cs="Times New Roman"/>
          <w:b/>
          <w:color w:val="auto"/>
          <w:sz w:val="24"/>
          <w:szCs w:val="24"/>
          <w:highlight w:val="none"/>
          <w:lang w:val="en-US" w:eastAsia="zh-CN"/>
        </w:rPr>
        <w:t xml:space="preserve">五</w:t>
      </w:r>
      <w:r>
        <w:rPr>
          <w:rFonts w:ascii="宋体" w:hAnsi="宋体" w:cs="Times New Roman"/>
          <w:b/>
          <w:color w:val="auto"/>
          <w:sz w:val="24"/>
          <w:szCs w:val="24"/>
          <w:highlight w:val="none"/>
        </w:rPr>
        <w:t xml:space="preserve">、不可抗力事件处理</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en-US" w:eastAsia="zh-CN"/>
        </w:rPr>
        <w:t xml:space="preserve">5</w:t>
      </w:r>
      <w:r>
        <w:rPr>
          <w:rFonts w:ascii="宋体" w:hAnsi="宋体" w:cs="Times New Roman"/>
          <w:color w:val="auto"/>
          <w:sz w:val="24"/>
          <w:szCs w:val="24"/>
          <w:highlight w:val="none"/>
        </w:rPr>
        <w:t xml:space="preserve">.1 在合同有效期内，任何一方因不可抗力事件导致不能履行合同，则合同履行期延长，其延长期与不可抗力影响期相同。</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en-US" w:eastAsia="zh-CN"/>
        </w:rPr>
        <w:t xml:space="preserve">5</w:t>
      </w:r>
      <w:r>
        <w:rPr>
          <w:rFonts w:ascii="宋体" w:hAnsi="宋体" w:cs="Times New Roman"/>
          <w:color w:val="auto"/>
          <w:sz w:val="24"/>
          <w:szCs w:val="24"/>
          <w:highlight w:val="none"/>
        </w:rPr>
        <w:t xml:space="preserve">.2 不可抗力事件发生后，应立即通知对方，并寄送有关权威机构出具的证明。</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en-US" w:eastAsia="zh-CN"/>
        </w:rPr>
        <w:t xml:space="preserve">5</w:t>
      </w:r>
      <w:r>
        <w:rPr>
          <w:rFonts w:ascii="宋体" w:hAnsi="宋体" w:cs="Times New Roman"/>
          <w:color w:val="auto"/>
          <w:sz w:val="24"/>
          <w:szCs w:val="24"/>
          <w:highlight w:val="none"/>
        </w:rPr>
        <w:t xml:space="preserve">.3不可抗力事件延续120天以上，双方应通过友好协商，确定是否继续履行合同。</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ascii="宋体" w:hAnsi="宋体" w:cs="Times New Roman"/>
          <w:b/>
          <w:color w:val="auto"/>
          <w:sz w:val="24"/>
          <w:szCs w:val="24"/>
          <w:highlight w:val="none"/>
        </w:rPr>
        <w:t xml:space="preserve">十</w:t>
      </w:r>
      <w:r>
        <w:rPr>
          <w:rFonts w:hint="eastAsia" w:ascii="宋体" w:hAnsi="宋体" w:cs="Times New Roman"/>
          <w:b/>
          <w:color w:val="auto"/>
          <w:sz w:val="24"/>
          <w:szCs w:val="24"/>
          <w:highlight w:val="none"/>
          <w:lang w:val="en-US" w:eastAsia="zh-CN"/>
        </w:rPr>
        <w:t xml:space="preserve">六</w:t>
      </w:r>
      <w:r>
        <w:rPr>
          <w:rFonts w:ascii="宋体" w:hAnsi="宋体" w:cs="Times New Roman"/>
          <w:b/>
          <w:color w:val="auto"/>
          <w:sz w:val="24"/>
          <w:szCs w:val="24"/>
          <w:highlight w:val="none"/>
        </w:rPr>
        <w:t xml:space="preserve">、争议解决</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en-US" w:eastAsia="zh-CN"/>
        </w:rPr>
        <w:t xml:space="preserve">6</w:t>
      </w:r>
      <w:r>
        <w:rPr>
          <w:rFonts w:ascii="宋体" w:hAnsi="宋体" w:cs="Times New Roman"/>
          <w:color w:val="auto"/>
          <w:sz w:val="24"/>
          <w:szCs w:val="24"/>
          <w:highlight w:val="none"/>
        </w:rPr>
        <w:t xml:space="preserve">.1 </w:t>
      </w:r>
      <w:r>
        <w:rPr>
          <w:rFonts w:hint="eastAsia" w:ascii="宋体" w:hAnsi="宋体" w:cs="Times New Roman"/>
          <w:color w:val="auto"/>
          <w:sz w:val="24"/>
          <w:szCs w:val="24"/>
          <w:highlight w:val="none"/>
        </w:rPr>
        <w:t xml:space="preserve">双方在执行合同中所发生的一切争议，应通过协商解决。如协商不成，按下列第</w:t>
      </w:r>
      <w:r>
        <w:rPr>
          <w:rFonts w:hint="eastAsia" w:ascii="宋体" w:hAnsi="宋体" w:cs="Times New Roman"/>
          <w:color w:val="auto"/>
          <w:sz w:val="24"/>
          <w:szCs w:val="24"/>
          <w:highlight w:val="none"/>
          <w:u w:val="single"/>
        </w:rPr>
        <w:t xml:space="preserve"> （2） </w:t>
      </w:r>
      <w:r>
        <w:rPr>
          <w:rFonts w:hint="eastAsia" w:ascii="宋体" w:hAnsi="宋体" w:cs="Times New Roman"/>
          <w:color w:val="auto"/>
          <w:sz w:val="24"/>
          <w:szCs w:val="24"/>
          <w:highlight w:val="none"/>
        </w:rPr>
        <w:t xml:space="preserve">种方式解决：</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（1）向连云港仲裁委员会申请仲裁。</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（2）向合同签订地法院起诉，合同签订地在此约定为连云港市。</w:t>
      </w:r>
      <w:r/>
    </w:p>
    <w:p>
      <w:pPr>
        <w:ind w:firstLine="480"/>
        <w:jc w:val="left"/>
        <w:keepLines w:val="0"/>
        <w:keepNext w:val="0"/>
        <w:pageBreakBefore w:val="0"/>
        <w:spacing w:line="480" w:lineRule="exact"/>
        <w:widowControl w:val="off"/>
        <w:rPr>
          <w:rFonts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十七、保密条款</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17.1未经甲方书面同意，乙方不得将工作中涉及的资料、电子数据等相关信息提供给与履行本合同无关的任何其他人。即使向履行本合同有关的人员提供，也应注意保密并限于履行合同的必需范围。不得以任何方式向任何第三人披露、泄露或许可第三人使用，不得用于除评价工作开展以外的任何其他用途，否则追究其相应法律责任。</w:t>
      </w:r>
      <w:r/>
    </w:p>
    <w:p>
      <w:pPr>
        <w:ind w:firstLine="482"/>
        <w:jc w:val="left"/>
        <w:keepLines w:val="0"/>
        <w:keepNext w:val="0"/>
        <w:pageBreakBefore w:val="0"/>
        <w:spacing w:line="480" w:lineRule="exact"/>
        <w:widowControl w:val="off"/>
        <w:rPr>
          <w:rFonts w:ascii="宋体" w:hAnsi="宋体" w:cs="Times New Roman"/>
          <w:b/>
          <w:color w:val="auto"/>
          <w:sz w:val="24"/>
          <w:szCs w:val="24"/>
          <w:highlight w:val="none"/>
        </w:rPr>
      </w:pPr>
      <w:r>
        <w:rPr>
          <w:rFonts w:ascii="宋体" w:hAnsi="宋体" w:cs="Times New Roman"/>
          <w:b/>
          <w:color w:val="auto"/>
          <w:sz w:val="24"/>
          <w:szCs w:val="24"/>
          <w:highlight w:val="none"/>
        </w:rPr>
        <w:t xml:space="preserve">十八、合同生效及其它</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18.1 合同经双方法定代表人或委托代理人签字并加盖单位公章后生效。</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18.2本合同未尽事宜，遵照《中华人民共和国民法典》有关条文执行。</w:t>
      </w:r>
      <w:r/>
    </w:p>
    <w:p>
      <w:pPr>
        <w:ind w:firstLine="48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t xml:space="preserve">18.3本合同正本一式</w:t>
      </w:r>
      <w:r>
        <w:rPr>
          <w:rFonts w:hint="eastAsia" w:ascii="宋体" w:hAnsi="宋体" w:cs="Times New Roman"/>
          <w:color w:val="auto"/>
          <w:sz w:val="24"/>
          <w:szCs w:val="24"/>
          <w:highlight w:val="none"/>
          <w:lang w:val="en-US" w:eastAsia="zh-CN"/>
        </w:rPr>
        <w:t xml:space="preserve">五</w:t>
      </w:r>
      <w:r>
        <w:rPr>
          <w:rFonts w:ascii="宋体" w:hAnsi="宋体" w:cs="Times New Roman"/>
          <w:color w:val="auto"/>
          <w:sz w:val="24"/>
          <w:szCs w:val="24"/>
          <w:highlight w:val="none"/>
        </w:rPr>
        <w:t xml:space="preserve">份，具有同等法律效力，甲方、乙方各执</w:t>
      </w:r>
      <w:r>
        <w:rPr>
          <w:rFonts w:hint="eastAsia" w:ascii="宋体" w:hAnsi="宋体" w:cs="Times New Roman"/>
          <w:color w:val="auto"/>
          <w:sz w:val="24"/>
          <w:szCs w:val="24"/>
          <w:highlight w:val="none"/>
          <w:lang w:val="en-US" w:eastAsia="zh-CN"/>
        </w:rPr>
        <w:t xml:space="preserve">二</w:t>
      </w:r>
      <w:r>
        <w:rPr>
          <w:rFonts w:ascii="宋体" w:hAnsi="宋体" w:cs="Times New Roman"/>
          <w:color w:val="auto"/>
          <w:sz w:val="24"/>
          <w:szCs w:val="24"/>
          <w:highlight w:val="none"/>
        </w:rPr>
        <w:t xml:space="preserve">份、财政监管部门执一份。</w:t>
      </w:r>
      <w:r/>
    </w:p>
    <w:p>
      <w:pPr>
        <w:ind w:firstLine="36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p>
      <w:pPr>
        <w:ind w:firstLine="36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p>
      <w:pPr>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甲方：                                  乙方：                     </w:t>
      </w:r>
      <w:r/>
    </w:p>
    <w:p>
      <w:pPr>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地址：                                  地址：                   </w:t>
      </w:r>
      <w:r/>
    </w:p>
    <w:p>
      <w:pPr>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法定代表人：                            法定代表人：                 </w:t>
      </w:r>
      <w:r/>
    </w:p>
    <w:p>
      <w:pPr>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委托代理人：                            委托代理人：           </w:t>
      </w:r>
      <w:r/>
    </w:p>
    <w:p>
      <w:pPr>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电话：                                  电话：                       </w:t>
      </w:r>
      <w:r/>
    </w:p>
    <w:p>
      <w:pPr>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传真：                                  传真：                        </w:t>
      </w:r>
      <w:r/>
    </w:p>
    <w:p>
      <w:pPr>
        <w:jc w:val="left"/>
        <w:keepLines w:val="0"/>
        <w:keepNext w:val="0"/>
        <w:pageBreakBefore w:val="0"/>
        <w:spacing w:line="480" w:lineRule="exact"/>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签订日期：      年  月  日</w:t>
      </w:r>
      <w:r/>
    </w:p>
    <w:p>
      <w:pPr>
        <w:ind w:firstLine="360"/>
        <w:jc w:val="left"/>
        <w:keepLines w:val="0"/>
        <w:keepNext w:val="0"/>
        <w:pageBreakBefore w:val="0"/>
        <w:spacing w:line="480" w:lineRule="exact"/>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02"/>
        <w:numPr>
          <w:ilvl w:val="0"/>
          <w:numId w:val="1"/>
        </w:numPr>
        <w:ind w:firstLine="883"/>
        <w:jc w:val="center"/>
        <w:spacing w:before="156" w:after="156" w:line="360" w:lineRule="auto"/>
        <w:rPr>
          <w:rFonts w:hint="eastAsia" w:ascii="宋体" w:hAnsi="宋体" w:eastAsia="宋体" w:cs="宋体"/>
          <w:b/>
          <w:bCs w:val="0"/>
          <w:color w:val="auto"/>
          <w:highlight w:val="none"/>
        </w:rPr>
      </w:pPr>
      <w:r/>
      <w:bookmarkStart w:id="10" w:name="_Toc22419"/>
      <w:r/>
      <w:bookmarkStart w:id="11" w:name="_Toc161932694"/>
      <w:r>
        <w:rPr>
          <w:rFonts w:hint="eastAsia" w:ascii="宋体" w:hAnsi="宋体" w:eastAsia="宋体" w:cs="宋体"/>
          <w:b/>
          <w:bCs w:val="0"/>
          <w:color w:val="auto"/>
          <w:highlight w:val="none"/>
        </w:rPr>
        <w:t xml:space="preserve"> 采购需求</w:t>
      </w:r>
      <w:bookmarkEnd w:id="10"/>
      <w:r/>
      <w:bookmarkEnd w:id="11"/>
      <w:r/>
      <w:r/>
    </w:p>
    <w:p>
      <w:pPr>
        <w:ind w:firstLine="482"/>
        <w:jc w:val="left"/>
        <w:keepLines w:val="0"/>
        <w:keepNext w:val="0"/>
        <w:pageBreakBefore w:val="0"/>
        <w:spacing w:line="360" w:lineRule="auto"/>
        <w:widowControl w:val="off"/>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说明：</w:t>
      </w:r>
      <w:r/>
    </w:p>
    <w:p>
      <w:pPr>
        <w:ind w:firstLine="482"/>
        <w:jc w:val="left"/>
        <w:keepLines w:val="0"/>
        <w:keepNext w:val="0"/>
        <w:pageBreakBefore w:val="0"/>
        <w:spacing w:line="360" w:lineRule="auto"/>
        <w:widowControl w:val="off"/>
        <w:rPr>
          <w:rFonts w:hint="eastAsia" w:ascii="宋体" w:hAnsi="宋体" w:cs="Times New Roman"/>
          <w:b/>
          <w:bCs/>
          <w:color w:val="auto"/>
          <w:sz w:val="24"/>
          <w:szCs w:val="24"/>
          <w:highlight w:val="none"/>
          <w:lang w:val="en-US" w:eastAsia="zh-CN"/>
        </w:rPr>
      </w:pPr>
      <w:r>
        <w:rPr>
          <w:rFonts w:hint="eastAsia" w:ascii="宋体" w:hAnsi="宋体" w:eastAsia="宋体" w:cs="Times New Roman"/>
          <w:b/>
          <w:color w:val="auto"/>
          <w:sz w:val="24"/>
          <w:szCs w:val="24"/>
          <w:highlight w:val="none"/>
        </w:rPr>
        <w:t xml:space="preserve">1、</w:t>
      </w:r>
      <w:r>
        <w:rPr>
          <w:rFonts w:hint="eastAsia" w:ascii="Times New Roman" w:hAnsi="Times New Roman" w:eastAsia="宋体" w:cs="Times New Roman"/>
          <w:b/>
          <w:bCs/>
          <w:color w:val="auto"/>
          <w:sz w:val="24"/>
          <w:szCs w:val="24"/>
          <w:highlight w:val="none"/>
        </w:rPr>
        <w:t xml:space="preserve">本项目属性为</w:t>
      </w:r>
      <w:r>
        <w:rPr>
          <w:rFonts w:hint="eastAsia" w:ascii="Times New Roman" w:hAnsi="Times New Roman" w:eastAsia="宋体" w:cs="Times New Roman"/>
          <w:b/>
          <w:bCs/>
          <w:color w:val="auto"/>
          <w:sz w:val="24"/>
          <w:szCs w:val="24"/>
          <w:highlight w:val="none"/>
          <w:lang w:val="en-US" w:eastAsia="zh-CN"/>
        </w:rPr>
        <w:t xml:space="preserve">服务。</w:t>
      </w:r>
      <w:r>
        <w:rPr>
          <w:rFonts w:hint="eastAsia" w:ascii="宋体" w:hAnsi="宋体" w:eastAsia="宋体" w:cs="Times New Roman"/>
          <w:b/>
          <w:bCs/>
          <w:color w:val="auto"/>
          <w:sz w:val="24"/>
          <w:szCs w:val="24"/>
          <w:highlight w:val="none"/>
        </w:rPr>
        <w:t xml:space="preserve">本项目需求中标注★号的部分为实质性要求和条件（由采购人根据实际情况设置），</w:t>
      </w:r>
      <w:r>
        <w:rPr>
          <w:rFonts w:hint="eastAsia" w:ascii="宋体" w:hAnsi="宋体" w:eastAsia="宋体" w:cs="Times New Roman"/>
          <w:b/>
          <w:bCs/>
          <w:color w:val="auto"/>
          <w:sz w:val="24"/>
          <w:szCs w:val="24"/>
          <w:highlight w:val="none"/>
          <w:lang w:val="en-US" w:eastAsia="zh-CN"/>
        </w:rPr>
        <w:t xml:space="preserve">供应商</w:t>
      </w:r>
      <w:r>
        <w:rPr>
          <w:rFonts w:hint="eastAsia" w:ascii="宋体" w:hAnsi="宋体" w:eastAsia="宋体" w:cs="Times New Roman"/>
          <w:b/>
          <w:bCs/>
          <w:color w:val="auto"/>
          <w:sz w:val="24"/>
          <w:szCs w:val="24"/>
          <w:highlight w:val="none"/>
        </w:rPr>
        <w:t xml:space="preserve">必须作出满足或者优于原要求和条件的响应，否则</w:t>
      </w:r>
      <w:r>
        <w:rPr>
          <w:rFonts w:hint="eastAsia" w:ascii="宋体" w:hAnsi="宋体" w:eastAsia="宋体" w:cs="Times New Roman"/>
          <w:b/>
          <w:bCs/>
          <w:color w:val="auto"/>
          <w:sz w:val="24"/>
          <w:szCs w:val="24"/>
          <w:highlight w:val="none"/>
          <w:lang w:val="en-US" w:eastAsia="zh-CN"/>
        </w:rPr>
        <w:t xml:space="preserve">响应</w:t>
      </w:r>
      <w:r>
        <w:rPr>
          <w:rFonts w:hint="eastAsia" w:ascii="宋体" w:hAnsi="宋体" w:eastAsia="宋体" w:cs="Times New Roman"/>
          <w:b/>
          <w:bCs/>
          <w:color w:val="auto"/>
          <w:sz w:val="24"/>
          <w:szCs w:val="24"/>
          <w:highlight w:val="none"/>
        </w:rPr>
        <w:t xml:space="preserve">无效。</w:t>
      </w:r>
      <w:r/>
    </w:p>
    <w:p>
      <w:pPr>
        <w:jc w:val="left"/>
        <w:keepLines w:val="0"/>
        <w:keepNext w:val="0"/>
        <w:pageBreakBefore w:val="0"/>
        <w:spacing w:line="360" w:lineRule="auto"/>
        <w:widowControl w:val="off"/>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一、采购需求</w:t>
      </w:r>
      <w:r/>
    </w:p>
    <w:p>
      <w:pPr>
        <w:ind w:firstLine="482"/>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承保对象：</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w:t>
      </w:r>
      <w:r>
        <w:rPr>
          <w:rFonts w:hint="eastAsia" w:ascii="宋体" w:hAnsi="宋体" w:eastAsia="宋体" w:cs="宋体"/>
          <w:color w:val="auto"/>
          <w:sz w:val="24"/>
          <w:szCs w:val="24"/>
          <w:highlight w:val="none"/>
        </w:rPr>
        <w:t xml:space="preserve">连云港市公安局认定的</w:t>
      </w:r>
      <w:r>
        <w:rPr>
          <w:rFonts w:hint="eastAsia" w:ascii="宋体" w:hAnsi="宋体" w:eastAsia="宋体" w:cs="宋体"/>
          <w:color w:val="auto"/>
          <w:sz w:val="24"/>
          <w:szCs w:val="24"/>
          <w:highlight w:val="none"/>
          <w:lang w:val="en-US" w:eastAsia="zh-CN"/>
        </w:rPr>
        <w:t xml:space="preserve">警务辅助</w:t>
      </w:r>
      <w:r>
        <w:rPr>
          <w:rFonts w:hint="eastAsia" w:ascii="宋体" w:hAnsi="宋体" w:eastAsia="宋体" w:cs="宋体"/>
          <w:color w:val="auto"/>
          <w:sz w:val="24"/>
          <w:szCs w:val="24"/>
          <w:highlight w:val="none"/>
        </w:rPr>
        <w:t xml:space="preserve">人员可作为本保障方案的参保人。</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采购包2：</w:t>
      </w:r>
      <w:r>
        <w:rPr>
          <w:rFonts w:hint="eastAsia" w:ascii="宋体" w:hAnsi="宋体" w:eastAsia="宋体" w:cs="宋体"/>
          <w:color w:val="auto"/>
          <w:sz w:val="24"/>
          <w:szCs w:val="24"/>
          <w:highlight w:val="none"/>
        </w:rPr>
        <w:t xml:space="preserve">连云港市公安局认定的</w:t>
      </w:r>
      <w:r>
        <w:rPr>
          <w:rFonts w:hint="eastAsia" w:ascii="宋体" w:hAnsi="宋体" w:eastAsia="宋体" w:cs="宋体"/>
          <w:color w:val="auto"/>
          <w:sz w:val="24"/>
          <w:szCs w:val="24"/>
          <w:highlight w:val="none"/>
          <w:lang w:val="en-US" w:eastAsia="zh-CN"/>
        </w:rPr>
        <w:t xml:space="preserve">民警及职工人员</w:t>
      </w:r>
      <w:r>
        <w:rPr>
          <w:rFonts w:hint="eastAsia" w:ascii="宋体" w:hAnsi="宋体" w:eastAsia="宋体" w:cs="宋体"/>
          <w:color w:val="auto"/>
          <w:sz w:val="24"/>
          <w:szCs w:val="24"/>
          <w:highlight w:val="none"/>
        </w:rPr>
        <w:t xml:space="preserve">可作为本保障方案的参保人。</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保险保障</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在保险期间内发生的意外身故及伤残、意外医疗、住院、住院津贴、定期寿险、重大疾病、交通意外等保险保障。</w:t>
      </w:r>
      <w:r>
        <w:rPr>
          <w:rFonts w:hint="eastAsia" w:ascii="宋体" w:hAnsi="宋体" w:eastAsia="宋体" w:cs="宋体"/>
          <w:b/>
          <w:bCs/>
          <w:color w:val="auto"/>
          <w:sz w:val="24"/>
          <w:szCs w:val="24"/>
          <w:highlight w:val="none"/>
          <w:lang w:eastAsia="zh-CN"/>
        </w:rPr>
        <w:t xml:space="preserve">保险方案里的保障</w:t>
      </w:r>
      <w:r>
        <w:rPr>
          <w:rFonts w:hint="eastAsia" w:ascii="宋体" w:hAnsi="宋体" w:eastAsia="宋体" w:cs="宋体"/>
          <w:b/>
          <w:bCs/>
          <w:color w:val="auto"/>
          <w:sz w:val="24"/>
          <w:szCs w:val="24"/>
          <w:highlight w:val="none"/>
        </w:rPr>
        <w:t xml:space="preserve">及保险责任均是最低标准，</w:t>
      </w:r>
      <w:r>
        <w:rPr>
          <w:rFonts w:hint="eastAsia" w:ascii="宋体" w:hAnsi="宋体" w:eastAsia="宋体" w:cs="宋体"/>
          <w:b/>
          <w:bCs/>
          <w:color w:val="auto"/>
          <w:sz w:val="24"/>
          <w:szCs w:val="24"/>
          <w:highlight w:val="none"/>
          <w:lang w:val="en-US" w:eastAsia="zh-CN"/>
        </w:rPr>
        <w:t xml:space="preserve">须</w:t>
      </w:r>
      <w:r>
        <w:rPr>
          <w:rFonts w:hint="eastAsia" w:ascii="宋体" w:hAnsi="宋体" w:eastAsia="宋体" w:cs="宋体"/>
          <w:b/>
          <w:bCs/>
          <w:color w:val="auto"/>
          <w:sz w:val="24"/>
          <w:szCs w:val="24"/>
          <w:highlight w:val="none"/>
        </w:rPr>
        <w:t xml:space="preserve">完全响应，否则</w:t>
      </w:r>
      <w:r>
        <w:rPr>
          <w:rFonts w:hint="eastAsia" w:ascii="宋体" w:hAnsi="宋体" w:eastAsia="宋体" w:cs="宋体"/>
          <w:b/>
          <w:bCs/>
          <w:color w:val="auto"/>
          <w:sz w:val="24"/>
          <w:szCs w:val="24"/>
          <w:highlight w:val="none"/>
          <w:lang w:val="en-US" w:eastAsia="zh-CN"/>
        </w:rPr>
        <w:t xml:space="preserve">作无效响应处理</w:t>
      </w: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60" w:lineRule="auto"/>
        <w:widowControl w:val="off"/>
        <w:tabs>
          <w:tab w:val="left" w:pos="900"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3、项目明细：</w:t>
      </w:r>
      <w:r/>
    </w:p>
    <w:tbl>
      <w:tblPr>
        <w:tblStyle w:val="712"/>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2769"/>
        <w:gridCol w:w="1409"/>
        <w:gridCol w:w="937"/>
        <w:gridCol w:w="3649"/>
      </w:tblGrid>
      <w:tr>
        <w:trPr>
          <w:trHeight w:val="454"/>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407" w:type="pct"/>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标准(元/人)</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1854" w:type="pct"/>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备注</w:t>
            </w:r>
            <w:r/>
          </w:p>
        </w:tc>
      </w:tr>
      <w:tr>
        <w:trPr>
          <w:trHeight w:val="779"/>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360" w:lineRule="auto"/>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采购包1</w:t>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spacing w:line="360" w:lineRule="auto"/>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警务辅助人员人身意外保险</w:t>
            </w:r>
            <w:r/>
          </w:p>
        </w:tc>
        <w:tc>
          <w:tcPr>
            <w:shd w:val="clear" w:color="auto" w:fill="auto"/>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1300</w:t>
            </w:r>
            <w:r/>
          </w:p>
        </w:tc>
        <w:tc>
          <w:tcPr>
            <w:tcBorders>
              <w:top w:val="single" w:color="auto" w:sz="4" w:space="0"/>
              <w:left w:val="single" w:color="auto" w:sz="4" w:space="0"/>
              <w:right w:val="single" w:color="auto" w:sz="4" w:space="0"/>
            </w:tcBorders>
            <w:tcW w:w="1854" w:type="pct"/>
            <w:vAlign w:val="center"/>
            <w:vMerge w:val="restart"/>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本次采购保险内容：意外身故及伤残、意外医疗、住院、住院津贴、定期寿险、重大疾病、交通意外等。</w:t>
            </w:r>
            <w:r/>
          </w:p>
        </w:tc>
      </w:tr>
      <w:tr>
        <w:trPr>
          <w:trHeight w:val="803"/>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采购包2</w:t>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spacing w:line="360" w:lineRule="auto"/>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民警、职工人身意外保险</w:t>
            </w:r>
            <w:r/>
          </w:p>
        </w:tc>
        <w:tc>
          <w:tcPr>
            <w:shd w:val="clear" w:color="auto" w:fill="auto"/>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3200</w:t>
            </w:r>
            <w:r/>
          </w:p>
        </w:tc>
        <w:tc>
          <w:tcPr>
            <w:tcBorders>
              <w:left w:val="single" w:color="auto" w:sz="4" w:space="0"/>
              <w:right w:val="single" w:color="auto" w:sz="4" w:space="0"/>
            </w:tcBorders>
            <w:tcW w:w="1854" w:type="pct"/>
            <w:vAlign w:val="center"/>
            <w:vMerge w:val="continue"/>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bl>
    <w:p>
      <w:pPr>
        <w:jc w:val="left"/>
        <w:keepLines w:val="0"/>
        <w:keepNext w:val="0"/>
        <w:pageBreakBefore w:val="0"/>
        <w:spacing w:line="24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241"/>
        <w:jc w:val="left"/>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szCs w:val="24"/>
          <w:highlight w:val="none"/>
          <w:lang w:val="en-US" w:eastAsia="zh-CN"/>
        </w:rPr>
        <w:t xml:space="preserve">4、服务期限（保险期限）：</w:t>
      </w:r>
      <w:r>
        <w:rPr>
          <w:rFonts w:hint="eastAsia" w:ascii="宋体" w:hAnsi="宋体" w:eastAsia="宋体" w:cs="Times New Roman"/>
          <w:color w:val="auto"/>
          <w:sz w:val="24"/>
          <w:szCs w:val="24"/>
          <w:highlight w:val="none"/>
        </w:rPr>
        <w:t xml:space="preserve">1年</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2026年8月01日-2027年7月31日</w:t>
      </w:r>
      <w:r>
        <w:rPr>
          <w:rFonts w:hint="eastAsia" w:ascii="宋体" w:hAnsi="宋体" w:eastAsia="宋体" w:cs="Times New Roman"/>
          <w:color w:val="auto"/>
          <w:sz w:val="24"/>
          <w:szCs w:val="24"/>
          <w:highlight w:val="none"/>
          <w:lang w:eastAsia="zh-CN"/>
        </w:rPr>
        <w:t xml:space="preserve">）。</w:t>
      </w:r>
      <w:r/>
    </w:p>
    <w:p>
      <w:pPr>
        <w:pageBreakBefore w:val="0"/>
        <w:spacing w:line="50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商务条款及其他</w:t>
      </w:r>
      <w:r>
        <w:rPr>
          <w:rFonts w:hint="eastAsia" w:ascii="宋体" w:hAnsi="宋体" w:eastAsia="宋体" w:cs="宋体"/>
          <w:b/>
          <w:bCs/>
          <w:color w:val="auto"/>
          <w:sz w:val="24"/>
          <w:szCs w:val="24"/>
          <w:highlight w:val="none"/>
          <w:lang w:val="zh-CN"/>
        </w:rPr>
        <w:t xml:space="preserve">：</w:t>
      </w:r>
      <w:r/>
    </w:p>
    <w:p>
      <w:pPr>
        <w:ind w:firstLine="482"/>
        <w:pageBreakBefore w:val="0"/>
        <w:spacing w:line="500" w:lineRule="exact"/>
        <w:rPr>
          <w:rFonts w:hint="eastAsia" w:ascii="宋体" w:hAnsi="宋体" w:eastAsia="宋体" w:cs="宋体"/>
          <w:b w:val="0"/>
          <w:bCs w:val="0"/>
          <w:color w:val="ff0000"/>
          <w:sz w:val="24"/>
          <w:szCs w:val="24"/>
          <w:highlight w:val="none"/>
          <w:lang w:val="en-US" w:eastAsia="zh-CN"/>
        </w:rPr>
      </w:pPr>
      <w:r>
        <w:rPr>
          <w:rFonts w:hint="eastAsia" w:ascii="宋体" w:hAnsi="宋体" w:eastAsia="宋体" w:cs="宋体"/>
          <w:b/>
          <w:bCs/>
          <w:color w:val="ff0000"/>
          <w:sz w:val="24"/>
          <w:highlight w:val="none"/>
        </w:rPr>
        <w:t xml:space="preserve">★</w:t>
      </w:r>
      <w:r>
        <w:rPr>
          <w:rFonts w:hint="eastAsia" w:ascii="宋体" w:hAnsi="宋体" w:eastAsia="宋体" w:cs="宋体"/>
          <w:b w:val="0"/>
          <w:bCs w:val="0"/>
          <w:color w:val="ff0000"/>
          <w:sz w:val="24"/>
          <w:szCs w:val="24"/>
          <w:highlight w:val="none"/>
          <w:lang w:val="en-US" w:eastAsia="zh-CN"/>
        </w:rPr>
        <w:t xml:space="preserve">1</w:t>
      </w:r>
      <w:r>
        <w:rPr>
          <w:rFonts w:hint="eastAsia" w:ascii="宋体" w:hAnsi="宋体" w:eastAsia="宋体" w:cs="宋体"/>
          <w:b w:val="0"/>
          <w:bCs w:val="0"/>
          <w:color w:val="ff0000"/>
          <w:sz w:val="24"/>
          <w:szCs w:val="24"/>
          <w:highlight w:val="none"/>
          <w:lang w:eastAsia="zh-CN"/>
        </w:rPr>
        <w:t xml:space="preserve">、</w:t>
      </w:r>
      <w:r>
        <w:rPr>
          <w:rFonts w:hint="eastAsia" w:ascii="宋体" w:hAnsi="宋体" w:eastAsia="宋体" w:cs="宋体"/>
          <w:b w:val="0"/>
          <w:bCs w:val="0"/>
          <w:color w:val="ff0000"/>
          <w:sz w:val="24"/>
          <w:szCs w:val="24"/>
          <w:highlight w:val="none"/>
        </w:rPr>
        <w:t xml:space="preserve">付款方式：</w:t>
      </w:r>
      <w:r>
        <w:rPr>
          <w:rFonts w:hint="eastAsia" w:ascii="宋体" w:hAnsi="宋体" w:eastAsia="宋体" w:cs="宋体"/>
          <w:b w:val="0"/>
          <w:bCs w:val="0"/>
          <w:color w:val="ff0000"/>
          <w:sz w:val="24"/>
          <w:szCs w:val="24"/>
          <w:highlight w:val="none"/>
          <w:lang w:eastAsia="zh-CN"/>
        </w:rPr>
        <w:t xml:space="preserve">签订合同后</w:t>
      </w:r>
      <w:r>
        <w:rPr>
          <w:rFonts w:hint="eastAsia" w:ascii="宋体" w:hAnsi="宋体" w:eastAsia="宋体" w:cs="宋体"/>
          <w:b w:val="0"/>
          <w:bCs w:val="0"/>
          <w:color w:val="ff0000"/>
          <w:sz w:val="24"/>
          <w:szCs w:val="24"/>
          <w:highlight w:val="none"/>
          <w:lang w:val="en-US" w:eastAsia="zh-CN"/>
        </w:rPr>
        <w:t xml:space="preserve">，成交供应商提交正规、有效的全额发票在财政、市局等相关部门完成审批后10个工作日内，采购人一次性支付</w:t>
      </w:r>
      <w:r>
        <w:rPr>
          <w:rFonts w:hint="eastAsia" w:ascii="宋体" w:hAnsi="宋体" w:eastAsia="宋体" w:cs="宋体"/>
          <w:b w:val="0"/>
          <w:bCs w:val="0"/>
          <w:color w:val="ff0000"/>
          <w:sz w:val="24"/>
          <w:szCs w:val="24"/>
          <w:highlight w:val="none"/>
          <w:lang w:eastAsia="zh-CN"/>
        </w:rPr>
        <w:t xml:space="preserve">支付合同金额的</w:t>
      </w:r>
      <w:r>
        <w:rPr>
          <w:rFonts w:hint="eastAsia" w:ascii="宋体" w:hAnsi="宋体" w:eastAsia="宋体" w:cs="宋体"/>
          <w:b w:val="0"/>
          <w:bCs w:val="0"/>
          <w:color w:val="ff0000"/>
          <w:sz w:val="24"/>
          <w:szCs w:val="24"/>
          <w:highlight w:val="none"/>
          <w:lang w:val="en-US" w:eastAsia="zh-CN"/>
        </w:rPr>
        <w:t xml:space="preserve">100%。</w:t>
      </w:r>
      <w:r/>
    </w:p>
    <w:p>
      <w:pPr>
        <w:ind w:firstLine="480"/>
        <w:pageBreakBefore w:val="0"/>
        <w:spacing w:line="5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履约保证金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zh-TW" w:eastAsia="zh-TW"/>
        </w:rPr>
        <w:t xml:space="preserve">本项目</w:t>
      </w:r>
      <w:r>
        <w:rPr>
          <w:rFonts w:hint="eastAsia" w:ascii="宋体" w:hAnsi="宋体" w:eastAsia="宋体" w:cs="宋体"/>
          <w:b w:val="0"/>
          <w:bCs w:val="0"/>
          <w:color w:val="auto"/>
          <w:sz w:val="24"/>
          <w:szCs w:val="24"/>
          <w:highlight w:val="none"/>
          <w:lang w:val="en-US" w:eastAsia="zh-CN"/>
        </w:rPr>
        <w:t xml:space="preserve">不</w:t>
      </w:r>
      <w:r>
        <w:rPr>
          <w:rFonts w:hint="eastAsia" w:ascii="宋体" w:hAnsi="宋体" w:eastAsia="宋体" w:cs="宋体"/>
          <w:b w:val="0"/>
          <w:bCs w:val="0"/>
          <w:color w:val="auto"/>
          <w:sz w:val="24"/>
          <w:szCs w:val="24"/>
          <w:highlight w:val="none"/>
          <w:lang w:val="zh-TW" w:eastAsia="zh-TW"/>
        </w:rPr>
        <w:t xml:space="preserve">收取履约保证金</w:t>
      </w:r>
      <w:r>
        <w:rPr>
          <w:rFonts w:hint="eastAsia" w:ascii="宋体" w:hAnsi="宋体" w:eastAsia="宋体" w:cs="宋体"/>
          <w:b w:val="0"/>
          <w:bCs w:val="0"/>
          <w:color w:val="auto"/>
          <w:sz w:val="24"/>
          <w:szCs w:val="24"/>
          <w:highlight w:val="none"/>
          <w:lang w:val="zh-TW" w:eastAsia="zh-CN"/>
        </w:rPr>
        <w:t xml:space="preserve">。</w:t>
      </w:r>
      <w:r/>
    </w:p>
    <w:p>
      <w:pPr>
        <w:ind w:firstLine="482"/>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本项目采用固定单价，结算时</w:t>
      </w:r>
      <w:r>
        <w:rPr>
          <w:rFonts w:hint="eastAsia" w:ascii="宋体" w:hAnsi="宋体" w:eastAsia="宋体" w:cs="宋体"/>
          <w:b w:val="0"/>
          <w:bCs w:val="0"/>
          <w:color w:val="auto"/>
          <w:sz w:val="24"/>
          <w:szCs w:val="24"/>
          <w:highlight w:val="none"/>
        </w:rPr>
        <w:t xml:space="preserve">根据</w:t>
      </w:r>
      <w:r>
        <w:rPr>
          <w:rFonts w:hint="eastAsia" w:ascii="宋体" w:hAnsi="宋体" w:eastAsia="宋体" w:cs="宋体"/>
          <w:b w:val="0"/>
          <w:bCs w:val="0"/>
          <w:color w:val="auto"/>
          <w:sz w:val="24"/>
          <w:szCs w:val="24"/>
          <w:highlight w:val="none"/>
          <w:lang w:eastAsia="zh-CN"/>
        </w:rPr>
        <w:t xml:space="preserve">实际发生数量进行结算</w:t>
      </w:r>
      <w:r>
        <w:rPr>
          <w:rFonts w:hint="eastAsia" w:ascii="宋体" w:hAnsi="宋体" w:eastAsia="宋体" w:cs="宋体"/>
          <w:b w:val="0"/>
          <w:bCs w:val="0"/>
          <w:color w:val="auto"/>
          <w:sz w:val="24"/>
          <w:szCs w:val="24"/>
          <w:highlight w:val="none"/>
        </w:rPr>
        <w:t xml:space="preserve">。</w:t>
      </w:r>
      <w:r/>
    </w:p>
    <w:p>
      <w:pPr>
        <w:ind w:firstLine="480"/>
        <w:pageBreakBefore w:val="0"/>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工作中涉及的敏感资料、电子数据等相关信息，</w:t>
      </w:r>
      <w:r>
        <w:rPr>
          <w:rFonts w:hint="eastAsia" w:ascii="宋体" w:hAnsi="宋体" w:eastAsia="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rPr>
        <w:t xml:space="preserve">应严格执行保密的相关规定，不得以任何方式向任何第三人披露、泄露或许可第三人使用，否则追究其相应法律责任。</w:t>
      </w:r>
      <w:r/>
    </w:p>
    <w:p>
      <w:pPr>
        <w:jc w:val="left"/>
        <w:keepLines w:val="0"/>
        <w:keepNext w:val="0"/>
        <w:pageBreakBefore w:val="0"/>
        <w:spacing w:line="360" w:lineRule="auto"/>
        <w:widowControl w:val="off"/>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三、采购内容：</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ind w:firstLine="47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（一）保险方案</w:t>
      </w:r>
      <w:r/>
    </w:p>
    <w:tbl>
      <w:tblPr>
        <w:tblStyle w:val="712"/>
        <w:tblpPr w:horzAnchor="page" w:tblpX="1317" w:vertAnchor="text" w:tblpY="429"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663"/>
        <w:gridCol w:w="1421"/>
        <w:gridCol w:w="5714"/>
        <w:gridCol w:w="965"/>
        <w:gridCol w:w="790"/>
      </w:tblGrid>
      <w:tr>
        <w:trP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3"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1"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4"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5"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保险金额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保费</w:t>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3"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1" w:type="dxa"/>
            <w:vAlign w:val="center"/>
            <w:textDirection w:val="lrTb"/>
            <w:noWrap/>
          </w:tcPr>
          <w:p>
            <w:pPr>
              <w:jc w:val="center"/>
              <w:spacing w:line="360" w:lineRule="auto"/>
              <w:rPr>
                <w:rStyle w:val="741"/>
                <w:rFonts w:hint="eastAsia" w:ascii="宋体" w:hAnsi="宋体" w:eastAsia="宋体" w:cs="宋体"/>
                <w:b w:val="0"/>
                <w:color w:val="auto"/>
                <w:sz w:val="21"/>
                <w:szCs w:val="21"/>
                <w:highlight w:val="none"/>
                <w:shd w:val="clear" w:color="auto" w:fill="ffffff"/>
              </w:rPr>
            </w:pPr>
            <w:r>
              <w:rPr>
                <w:rStyle w:val="741"/>
                <w:rFonts w:hint="eastAsia" w:ascii="宋体" w:hAnsi="宋体" w:eastAsia="宋体" w:cs="宋体"/>
                <w:b w:val="0"/>
                <w:color w:val="auto"/>
                <w:sz w:val="21"/>
                <w:szCs w:val="21"/>
                <w:highlight w:val="none"/>
                <w:shd w:val="clear" w:color="auto" w:fill="ffffff"/>
                <w:lang w:val="en-US" w:eastAsia="zh-CN"/>
              </w:rPr>
              <w:t xml:space="preserve">意外伤害（</w:t>
            </w:r>
            <w:r>
              <w:rPr>
                <w:rStyle w:val="741"/>
                <w:rFonts w:hint="eastAsia" w:ascii="宋体" w:hAnsi="宋体" w:eastAsia="宋体" w:cs="宋体"/>
                <w:b w:val="0"/>
                <w:color w:val="auto"/>
                <w:sz w:val="21"/>
                <w:szCs w:val="21"/>
                <w:highlight w:val="none"/>
                <w:shd w:val="clear" w:color="auto" w:fill="ffffff"/>
              </w:rPr>
              <w:t xml:space="preserve">意外</w:t>
            </w:r>
            <w:r>
              <w:rPr>
                <w:rStyle w:val="741"/>
                <w:rFonts w:hint="eastAsia" w:ascii="宋体" w:hAnsi="宋体" w:eastAsia="宋体" w:cs="宋体"/>
                <w:b w:val="0"/>
                <w:color w:val="auto"/>
                <w:sz w:val="21"/>
                <w:szCs w:val="21"/>
                <w:highlight w:val="none"/>
                <w:shd w:val="clear" w:color="auto" w:fill="ffffff"/>
                <w:lang w:val="en-US" w:eastAsia="zh-CN"/>
              </w:rPr>
              <w:t xml:space="preserve">身故、意外伤残）</w:t>
            </w:r>
            <w:r/>
          </w:p>
        </w:tc>
        <w:tc>
          <w:tcPr>
            <w:tcBorders>
              <w:top w:val="single" w:color="000000" w:sz="4" w:space="0"/>
              <w:left w:val="single" w:color="000000" w:sz="4" w:space="0"/>
              <w:right w:val="single" w:color="000000" w:sz="4" w:space="0"/>
            </w:tcBorders>
            <w:tcMar>
              <w:left w:w="15" w:type="dxa"/>
              <w:top w:w="15" w:type="dxa"/>
              <w:right w:w="15" w:type="dxa"/>
            </w:tcMar>
            <w:tcW w:w="5714" w:type="dxa"/>
            <w:vAlign w:val="center"/>
            <w:textDirection w:val="lrTb"/>
            <w:noWrap/>
          </w:tcPr>
          <w:p>
            <w:pPr>
              <w:jc w:val="left"/>
              <w:spacing w:line="360" w:lineRule="auto"/>
              <w:rPr>
                <w:rStyle w:val="741"/>
                <w:rFonts w:hint="eastAsia" w:ascii="宋体" w:hAnsi="宋体" w:eastAsia="宋体" w:cs="宋体"/>
                <w:b w:val="0"/>
                <w:color w:val="auto"/>
                <w:sz w:val="21"/>
                <w:szCs w:val="21"/>
                <w:highlight w:val="none"/>
                <w:shd w:val="clear" w:color="auto" w:fill="ffffff"/>
                <w:lang w:eastAsia="zh-CN"/>
              </w:rPr>
            </w:pPr>
            <w:r>
              <w:rPr>
                <w:rStyle w:val="741"/>
                <w:rFonts w:hint="eastAsia" w:ascii="宋体" w:hAnsi="宋体" w:eastAsia="宋体" w:cs="宋体"/>
                <w:b w:val="0"/>
                <w:color w:val="auto"/>
                <w:sz w:val="21"/>
                <w:szCs w:val="21"/>
                <w:highlight w:val="none"/>
                <w:shd w:val="clear" w:color="auto" w:fill="ffffff"/>
                <w:lang w:eastAsia="zh-CN"/>
              </w:rPr>
              <w:t xml:space="preserve">因意外伤害导致身故给付保险金；因意外伤害导致伤残，依据《</w:t>
            </w:r>
            <w:r>
              <w:rPr>
                <w:rStyle w:val="741"/>
                <w:rFonts w:hint="eastAsia" w:ascii="宋体" w:hAnsi="宋体" w:eastAsia="宋体" w:cs="宋体"/>
                <w:b w:val="0"/>
                <w:color w:val="auto"/>
                <w:sz w:val="21"/>
                <w:szCs w:val="21"/>
                <w:highlight w:val="none"/>
                <w:shd w:val="clear" w:color="auto" w:fill="ffffff"/>
                <w:lang w:val="en-US" w:eastAsia="zh-CN"/>
              </w:rPr>
              <w:t xml:space="preserve">劳动能力鉴定职工工伤与职业病致残等级</w:t>
            </w:r>
            <w:r>
              <w:rPr>
                <w:rStyle w:val="741"/>
                <w:rFonts w:hint="eastAsia" w:ascii="宋体" w:hAnsi="宋体" w:eastAsia="宋体" w:cs="宋体"/>
                <w:b w:val="0"/>
                <w:color w:val="auto"/>
                <w:sz w:val="21"/>
                <w:szCs w:val="21"/>
                <w:highlight w:val="none"/>
                <w:shd w:val="clear" w:color="auto" w:fill="ffffff"/>
                <w:lang w:eastAsia="zh-CN"/>
              </w:rPr>
              <w:t xml:space="preserve">（</w:t>
            </w:r>
            <w:r>
              <w:rPr>
                <w:rStyle w:val="741"/>
                <w:rFonts w:hint="eastAsia" w:ascii="宋体" w:hAnsi="宋体" w:eastAsia="宋体" w:cs="宋体"/>
                <w:b w:val="0"/>
                <w:color w:val="auto"/>
                <w:sz w:val="21"/>
                <w:szCs w:val="21"/>
                <w:highlight w:val="none"/>
                <w:shd w:val="clear" w:color="auto" w:fill="ffffff"/>
                <w:lang w:val="en-US" w:eastAsia="zh-CN"/>
              </w:rPr>
              <w:t xml:space="preserve">GB/T16180-2014</w:t>
            </w:r>
            <w:r>
              <w:rPr>
                <w:rStyle w:val="741"/>
                <w:rFonts w:hint="eastAsia" w:ascii="宋体" w:hAnsi="宋体" w:eastAsia="宋体" w:cs="宋体"/>
                <w:b w:val="0"/>
                <w:color w:val="auto"/>
                <w:sz w:val="21"/>
                <w:szCs w:val="21"/>
                <w:highlight w:val="none"/>
                <w:shd w:val="clear" w:color="auto" w:fill="ffffff"/>
                <w:lang w:eastAsia="zh-CN"/>
              </w:rPr>
              <w:t xml:space="preserve">）分级予以理赔。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5" w:type="dxa"/>
            <w:vAlign w:val="center"/>
            <w:textDirection w:val="lrTb"/>
            <w:noWrap/>
          </w:tcPr>
          <w:p>
            <w:pPr>
              <w:jc w:val="center"/>
              <w:spacing w:before="140"/>
              <w:widowControl/>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5万</w:t>
            </w:r>
            <w:r/>
          </w:p>
        </w:tc>
        <w:tc>
          <w:tcPr>
            <w:tcBorders>
              <w:top w:val="single" w:color="000000" w:sz="4" w:space="0"/>
              <w:left w:val="single" w:color="000000" w:sz="4" w:space="0"/>
              <w:right w:val="single" w:color="000000" w:sz="4" w:space="0"/>
            </w:tcBorders>
            <w:tcMar>
              <w:left w:w="15" w:type="dxa"/>
              <w:top w:w="15" w:type="dxa"/>
              <w:right w:w="15" w:type="dxa"/>
            </w:tcMar>
            <w:tcW w:w="790" w:type="dxa"/>
            <w:vAlign w:val="center"/>
            <w:vMerge w:val="restart"/>
            <w:textDirection w:val="lrTb"/>
            <w:noWrap w:val="false"/>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200</w:t>
            </w:r>
            <w:r>
              <w:rPr>
                <w:rFonts w:hint="eastAsia" w:ascii="宋体" w:hAnsi="宋体" w:eastAsia="宋体" w:cs="宋体"/>
                <w:color w:val="auto"/>
                <w:sz w:val="21"/>
                <w:szCs w:val="21"/>
                <w:highlight w:val="none"/>
              </w:rPr>
              <w:t xml:space="preserve">元/人/年</w:t>
            </w:r>
            <w:r/>
          </w:p>
        </w:tc>
      </w:tr>
      <w:tr>
        <w:trPr>
          <w:trHeight w:val="11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3"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1" w:type="dxa"/>
            <w:vAlign w:val="center"/>
            <w:textDirection w:val="lrTb"/>
            <w:noWrap/>
          </w:tcPr>
          <w:p>
            <w:pPr>
              <w:jc w:val="center"/>
              <w:spacing w:line="360" w:lineRule="auto"/>
              <w:rPr>
                <w:rStyle w:val="741"/>
                <w:rFonts w:hint="eastAsia" w:ascii="宋体" w:hAnsi="宋体" w:eastAsia="宋体" w:cs="宋体"/>
                <w:b w:val="0"/>
                <w:color w:val="auto"/>
                <w:sz w:val="21"/>
                <w:szCs w:val="21"/>
                <w:highlight w:val="none"/>
                <w:shd w:val="clear" w:color="auto" w:fill="ffffff"/>
              </w:rPr>
            </w:pPr>
            <w:r>
              <w:rPr>
                <w:rStyle w:val="741"/>
                <w:rFonts w:hint="eastAsia" w:ascii="宋体" w:hAnsi="宋体" w:eastAsia="宋体" w:cs="宋体"/>
                <w:b w:val="0"/>
                <w:color w:val="auto"/>
                <w:sz w:val="21"/>
                <w:szCs w:val="21"/>
                <w:highlight w:val="none"/>
                <w:shd w:val="clear" w:color="auto" w:fill="ffffff"/>
              </w:rPr>
              <w:t xml:space="preserve">意外医疗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4" w:type="dxa"/>
            <w:vAlign w:val="center"/>
            <w:textDirection w:val="lrTb"/>
            <w:noWrap w:val="false"/>
          </w:tcPr>
          <w:p>
            <w:pPr>
              <w:jc w:val="left"/>
              <w:spacing w:line="360" w:lineRule="auto"/>
              <w:rPr>
                <w:rStyle w:val="741"/>
                <w:rFonts w:hint="eastAsia" w:ascii="宋体" w:hAnsi="宋体" w:eastAsia="宋体" w:cs="宋体"/>
                <w:b w:val="0"/>
                <w:color w:val="auto"/>
                <w:sz w:val="21"/>
                <w:szCs w:val="21"/>
                <w:highlight w:val="none"/>
                <w:shd w:val="clear" w:color="auto" w:fill="ffffff"/>
                <w:lang w:eastAsia="zh-CN"/>
              </w:rPr>
            </w:pPr>
            <w:r>
              <w:rPr>
                <w:rStyle w:val="741"/>
                <w:rFonts w:hint="eastAsia" w:ascii="宋体" w:hAnsi="宋体" w:eastAsia="宋体" w:cs="宋体"/>
                <w:b w:val="0"/>
                <w:color w:val="auto"/>
                <w:sz w:val="21"/>
                <w:szCs w:val="21"/>
                <w:highlight w:val="none"/>
                <w:shd w:val="clear" w:color="auto" w:fill="ffffff"/>
              </w:rPr>
              <w:t xml:space="preserve">因意外伤害引起的意外门诊或意外住院医疗费用，有医保，无免赔额，赔付比例95%</w:t>
            </w:r>
            <w:r>
              <w:rPr>
                <w:rStyle w:val="741"/>
                <w:rFonts w:hint="eastAsia" w:ascii="宋体" w:hAnsi="宋体" w:eastAsia="宋体" w:cs="宋体"/>
                <w:b w:val="0"/>
                <w:color w:val="auto"/>
                <w:sz w:val="21"/>
                <w:szCs w:val="21"/>
                <w:highlight w:val="none"/>
                <w:shd w:val="clear" w:color="auto" w:fill="ffffff"/>
                <w:lang w:eastAsia="zh-CN"/>
              </w:rPr>
              <w:t xml:space="preserve">；</w:t>
            </w:r>
            <w:r>
              <w:rPr>
                <w:rStyle w:val="741"/>
                <w:rFonts w:hint="eastAsia" w:ascii="宋体" w:hAnsi="宋体" w:eastAsia="宋体" w:cs="宋体"/>
                <w:b w:val="0"/>
                <w:color w:val="auto"/>
                <w:sz w:val="21"/>
                <w:szCs w:val="21"/>
                <w:highlight w:val="none"/>
                <w:shd w:val="clear" w:color="auto" w:fill="ffffff"/>
              </w:rPr>
              <w:t xml:space="preserve">无医保，无免赔额，赔付比例90%</w:t>
            </w:r>
            <w:r>
              <w:rPr>
                <w:rStyle w:val="741"/>
                <w:rFonts w:hint="eastAsia" w:ascii="宋体" w:hAnsi="宋体" w:eastAsia="宋体" w:cs="宋体"/>
                <w:b w:val="0"/>
                <w:color w:val="auto"/>
                <w:sz w:val="21"/>
                <w:szCs w:val="21"/>
                <w:highlight w:val="none"/>
                <w:shd w:val="clear" w:color="auto" w:fill="ffffff"/>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5" w:type="dxa"/>
            <w:vAlign w:val="center"/>
            <w:textDirection w:val="lrTb"/>
            <w:noWrap/>
          </w:tcPr>
          <w:p>
            <w:pPr>
              <w:jc w:val="center"/>
              <w:spacing w:before="140"/>
              <w:widowControl/>
              <w:rPr>
                <w:rFonts w:hint="eastAsia" w:ascii="宋体" w:hAnsi="宋体" w:eastAsia="宋体" w:cs="宋体"/>
                <w:color w:val="auto"/>
                <w:sz w:val="21"/>
                <w:szCs w:val="21"/>
                <w:highlight w:val="none"/>
              </w:rPr>
            </w:pPr>
            <w:r>
              <w:rPr>
                <w:rFonts w:hint="eastAsia" w:ascii="宋体" w:hAnsi="宋体" w:eastAsia="宋体" w:cs="宋体"/>
                <w:color w:val="auto"/>
                <w:spacing w:val="15"/>
                <w:sz w:val="21"/>
                <w:szCs w:val="21"/>
                <w:highlight w:val="none"/>
              </w:rPr>
              <w:t xml:space="preserve">0.5万</w:t>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3"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1" w:type="dxa"/>
            <w:vAlign w:val="center"/>
            <w:textDirection w:val="lrTb"/>
            <w:noWrap/>
          </w:tcPr>
          <w:p>
            <w:pPr>
              <w:jc w:val="center"/>
              <w:spacing w:line="360" w:lineRule="auto"/>
              <w:rPr>
                <w:rStyle w:val="741"/>
                <w:rFonts w:hint="eastAsia" w:ascii="宋体" w:hAnsi="宋体" w:eastAsia="宋体" w:cs="宋体"/>
                <w:b w:val="0"/>
                <w:color w:val="auto"/>
                <w:sz w:val="21"/>
                <w:szCs w:val="21"/>
                <w:highlight w:val="none"/>
                <w:shd w:val="clear" w:color="auto" w:fill="ffffff"/>
              </w:rPr>
            </w:pPr>
            <w:r>
              <w:rPr>
                <w:rStyle w:val="741"/>
                <w:rFonts w:hint="eastAsia" w:ascii="宋体" w:hAnsi="宋体" w:eastAsia="宋体" w:cs="宋体"/>
                <w:b w:val="0"/>
                <w:color w:val="auto"/>
                <w:sz w:val="21"/>
                <w:szCs w:val="21"/>
                <w:highlight w:val="none"/>
                <w:shd w:val="clear" w:color="auto" w:fill="ffffff"/>
              </w:rPr>
              <w:t xml:space="preserve">住院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4" w:type="dxa"/>
            <w:vAlign w:val="center"/>
            <w:textDirection w:val="lrTb"/>
            <w:noWrap/>
          </w:tcPr>
          <w:p>
            <w:pPr>
              <w:jc w:val="left"/>
              <w:spacing w:line="360" w:lineRule="auto"/>
              <w:rPr>
                <w:rStyle w:val="741"/>
                <w:rFonts w:hint="eastAsia" w:ascii="宋体" w:hAnsi="宋体" w:eastAsia="宋体" w:cs="宋体"/>
                <w:b w:val="0"/>
                <w:color w:val="auto"/>
                <w:sz w:val="21"/>
                <w:szCs w:val="21"/>
                <w:highlight w:val="none"/>
                <w:shd w:val="clear" w:color="auto" w:fill="ffffff"/>
                <w:lang w:eastAsia="zh-CN"/>
              </w:rPr>
            </w:pPr>
            <w:r>
              <w:rPr>
                <w:rStyle w:val="741"/>
                <w:rFonts w:hint="eastAsia" w:ascii="宋体" w:hAnsi="宋体" w:eastAsia="宋体" w:cs="宋体"/>
                <w:b w:val="0"/>
                <w:color w:val="auto"/>
                <w:sz w:val="21"/>
                <w:szCs w:val="21"/>
                <w:highlight w:val="none"/>
                <w:shd w:val="clear" w:color="auto" w:fill="ffffff"/>
              </w:rPr>
              <w:t xml:space="preserve">因疾病导致住院，免赔额300元/年，赔付比例90%</w:t>
            </w:r>
            <w:r>
              <w:rPr>
                <w:rStyle w:val="741"/>
                <w:rFonts w:hint="eastAsia" w:ascii="宋体" w:hAnsi="宋体" w:eastAsia="宋体" w:cs="宋体"/>
                <w:b w:val="0"/>
                <w:color w:val="auto"/>
                <w:sz w:val="21"/>
                <w:szCs w:val="21"/>
                <w:highlight w:val="none"/>
                <w:shd w:val="clear" w:color="auto" w:fill="ffffff"/>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5" w:type="dxa"/>
            <w:vAlign w:val="center"/>
            <w:textDirection w:val="lrTb"/>
            <w:noWrap/>
          </w:tcPr>
          <w:p>
            <w:pPr>
              <w:jc w:val="center"/>
              <w:spacing w:before="140"/>
              <w:widowControl/>
              <w:rPr>
                <w:rFonts w:hint="eastAsia" w:ascii="宋体" w:hAnsi="宋体" w:eastAsia="宋体" w:cs="宋体"/>
                <w:color w:val="auto"/>
                <w:sz w:val="21"/>
                <w:szCs w:val="21"/>
                <w:highlight w:val="none"/>
              </w:rPr>
            </w:pPr>
            <w:r>
              <w:rPr>
                <w:rFonts w:hint="eastAsia" w:ascii="宋体" w:hAnsi="宋体" w:eastAsia="宋体" w:cs="宋体"/>
                <w:color w:val="auto"/>
                <w:spacing w:val="15"/>
                <w:sz w:val="21"/>
                <w:szCs w:val="21"/>
                <w:highlight w:val="none"/>
              </w:rPr>
              <w:t xml:space="preserve">1万</w:t>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3"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1" w:type="dxa"/>
            <w:vAlign w:val="center"/>
            <w:textDirection w:val="lrTb"/>
            <w:noWrap/>
          </w:tcPr>
          <w:p>
            <w:pPr>
              <w:jc w:val="center"/>
              <w:spacing w:line="360" w:lineRule="auto"/>
              <w:rPr>
                <w:rStyle w:val="741"/>
                <w:rFonts w:hint="eastAsia" w:ascii="宋体" w:hAnsi="宋体" w:eastAsia="宋体" w:cs="宋体"/>
                <w:b w:val="0"/>
                <w:color w:val="auto"/>
                <w:sz w:val="21"/>
                <w:szCs w:val="21"/>
                <w:highlight w:val="none"/>
                <w:shd w:val="clear" w:color="auto" w:fill="ffffff"/>
              </w:rPr>
            </w:pPr>
            <w:r>
              <w:rPr>
                <w:rStyle w:val="741"/>
                <w:rFonts w:hint="eastAsia" w:ascii="宋体" w:hAnsi="宋体" w:eastAsia="宋体" w:cs="宋体"/>
                <w:b w:val="0"/>
                <w:color w:val="auto"/>
                <w:sz w:val="21"/>
                <w:szCs w:val="21"/>
                <w:highlight w:val="none"/>
                <w:shd w:val="clear" w:color="auto" w:fill="ffffff"/>
              </w:rPr>
              <w:t xml:space="preserve">住院津贴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4" w:type="dxa"/>
            <w:vAlign w:val="center"/>
            <w:textDirection w:val="lrTb"/>
            <w:noWrap w:val="false"/>
          </w:tcPr>
          <w:p>
            <w:pPr>
              <w:jc w:val="left"/>
              <w:spacing w:line="360" w:lineRule="auto"/>
              <w:rPr>
                <w:rStyle w:val="741"/>
                <w:rFonts w:hint="eastAsia" w:ascii="宋体" w:hAnsi="宋体" w:eastAsia="宋体" w:cs="宋体"/>
                <w:b w:val="0"/>
                <w:color w:val="auto"/>
                <w:sz w:val="21"/>
                <w:szCs w:val="21"/>
                <w:highlight w:val="none"/>
                <w:shd w:val="clear" w:color="auto" w:fill="ffffff"/>
                <w:lang w:eastAsia="zh-CN"/>
              </w:rPr>
            </w:pPr>
            <w:r>
              <w:rPr>
                <w:rStyle w:val="741"/>
                <w:rFonts w:hint="eastAsia" w:ascii="宋体" w:hAnsi="宋体" w:eastAsia="宋体" w:cs="宋体"/>
                <w:b w:val="0"/>
                <w:color w:val="auto"/>
                <w:sz w:val="21"/>
                <w:szCs w:val="21"/>
                <w:highlight w:val="none"/>
                <w:shd w:val="clear" w:color="auto" w:fill="ffffff"/>
              </w:rPr>
              <w:t xml:space="preserve">因疾病意外住院医疗，每日定额给付住院津贴</w:t>
            </w:r>
            <w:r>
              <w:rPr>
                <w:rStyle w:val="741"/>
                <w:rFonts w:hint="eastAsia" w:ascii="宋体" w:hAnsi="宋体" w:eastAsia="宋体" w:cs="宋体"/>
                <w:b w:val="0"/>
                <w:color w:val="auto"/>
                <w:sz w:val="21"/>
                <w:szCs w:val="21"/>
                <w:highlight w:val="none"/>
                <w:shd w:val="clear" w:color="auto" w:fill="ffffff"/>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5" w:type="dxa"/>
            <w:vAlign w:val="center"/>
            <w:textDirection w:val="lrTb"/>
            <w:noWrap/>
          </w:tcPr>
          <w:p>
            <w:pPr>
              <w:jc w:val="center"/>
              <w:spacing w:before="140"/>
              <w:widowControl/>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20元/天</w:t>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3" w:type="dxa"/>
            <w:vAlign w:val="center"/>
            <w:textDirection w:val="lrTb"/>
            <w:noWrap/>
          </w:tcPr>
          <w:p>
            <w:pPr>
              <w:jc w:val="center"/>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1" w:type="dxa"/>
            <w:vAlign w:val="center"/>
            <w:textDirection w:val="lrTb"/>
            <w:noWrap/>
          </w:tcPr>
          <w:p>
            <w:pPr>
              <w:jc w:val="center"/>
              <w:spacing w:line="360" w:lineRule="auto"/>
              <w:rPr>
                <w:rStyle w:val="741"/>
                <w:rFonts w:hint="eastAsia" w:ascii="宋体" w:hAnsi="宋体" w:eastAsia="宋体" w:cs="宋体"/>
                <w:b w:val="0"/>
                <w:color w:val="auto"/>
                <w:sz w:val="21"/>
                <w:szCs w:val="21"/>
                <w:highlight w:val="none"/>
                <w:shd w:val="clear" w:color="auto" w:fill="ffffff"/>
              </w:rPr>
            </w:pPr>
            <w:r>
              <w:rPr>
                <w:rStyle w:val="741"/>
                <w:rFonts w:hint="eastAsia" w:ascii="宋体" w:hAnsi="宋体" w:eastAsia="宋体" w:cs="宋体"/>
                <w:b w:val="0"/>
                <w:color w:val="auto"/>
                <w:sz w:val="21"/>
                <w:szCs w:val="21"/>
                <w:highlight w:val="none"/>
                <w:shd w:val="clear" w:color="auto" w:fill="ffffff"/>
              </w:rPr>
              <w:t xml:space="preserve">定期寿险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4" w:type="dxa"/>
            <w:vAlign w:val="center"/>
            <w:textDirection w:val="lrTb"/>
            <w:noWrap w:val="false"/>
          </w:tcPr>
          <w:p>
            <w:pPr>
              <w:jc w:val="left"/>
              <w:spacing w:line="360" w:lineRule="auto"/>
              <w:rPr>
                <w:rStyle w:val="741"/>
                <w:rFonts w:hint="eastAsia" w:ascii="宋体" w:hAnsi="宋体" w:eastAsia="宋体" w:cs="宋体"/>
                <w:b w:val="0"/>
                <w:color w:val="auto"/>
                <w:sz w:val="21"/>
                <w:szCs w:val="21"/>
                <w:highlight w:val="none"/>
                <w:shd w:val="clear" w:color="auto" w:fill="ffffff"/>
                <w:lang w:eastAsia="zh-CN"/>
              </w:rPr>
            </w:pPr>
            <w:r>
              <w:rPr>
                <w:rStyle w:val="741"/>
                <w:rFonts w:hint="eastAsia" w:ascii="宋体" w:hAnsi="宋体" w:eastAsia="宋体" w:cs="宋体"/>
                <w:b w:val="0"/>
                <w:color w:val="auto"/>
                <w:sz w:val="21"/>
                <w:szCs w:val="21"/>
                <w:highlight w:val="none"/>
                <w:shd w:val="clear" w:color="auto" w:fill="ffffff"/>
              </w:rPr>
              <w:t xml:space="preserve">因疾病或意外导致身故，给付保险金</w:t>
            </w:r>
            <w:r>
              <w:rPr>
                <w:rStyle w:val="741"/>
                <w:rFonts w:hint="eastAsia" w:ascii="宋体" w:hAnsi="宋体" w:eastAsia="宋体" w:cs="宋体"/>
                <w:b w:val="0"/>
                <w:color w:val="auto"/>
                <w:sz w:val="21"/>
                <w:szCs w:val="21"/>
                <w:highlight w:val="none"/>
                <w:shd w:val="clear" w:color="auto" w:fill="ffffff"/>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5" w:type="dxa"/>
            <w:vAlign w:val="center"/>
            <w:textDirection w:val="lrTb"/>
            <w:noWrap/>
          </w:tcPr>
          <w:p>
            <w:pPr>
              <w:jc w:val="center"/>
              <w:spacing w:before="140"/>
              <w:widowControl/>
              <w:rPr>
                <w:rFonts w:hint="eastAsia" w:ascii="宋体" w:hAnsi="宋体" w:eastAsia="宋体" w:cs="宋体"/>
                <w:color w:val="auto"/>
                <w:sz w:val="21"/>
                <w:szCs w:val="21"/>
                <w:highlight w:val="none"/>
              </w:rPr>
            </w:pPr>
            <w:r>
              <w:rPr>
                <w:rFonts w:hint="eastAsia" w:ascii="宋体" w:hAnsi="宋体" w:eastAsia="宋体" w:cs="宋体"/>
                <w:color w:val="auto"/>
                <w:spacing w:val="15"/>
                <w:sz w:val="21"/>
                <w:szCs w:val="21"/>
                <w:highlight w:val="none"/>
              </w:rPr>
              <w:t xml:space="preserve">0.5万</w:t>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3" w:type="dxa"/>
            <w:vAlign w:val="center"/>
            <w:textDirection w:val="lrTb"/>
            <w:noWrap/>
          </w:tcPr>
          <w:p>
            <w:pPr>
              <w:jc w:val="center"/>
              <w:spacing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1" w:type="dxa"/>
            <w:vAlign w:val="center"/>
            <w:textDirection w:val="lrTb"/>
            <w:noWrap/>
          </w:tcPr>
          <w:p>
            <w:pPr>
              <w:jc w:val="center"/>
              <w:spacing w:line="360" w:lineRule="auto"/>
              <w:rPr>
                <w:rStyle w:val="741"/>
                <w:rFonts w:hint="eastAsia" w:ascii="宋体" w:hAnsi="宋体" w:eastAsia="宋体" w:cs="宋体"/>
                <w:b w:val="0"/>
                <w:color w:val="auto"/>
                <w:sz w:val="21"/>
                <w:szCs w:val="21"/>
                <w:highlight w:val="none"/>
                <w:shd w:val="clear" w:color="auto" w:fill="ffffff"/>
              </w:rPr>
            </w:pPr>
            <w:r>
              <w:rPr>
                <w:rStyle w:val="741"/>
                <w:rFonts w:hint="eastAsia" w:ascii="宋体" w:hAnsi="宋体" w:eastAsia="宋体" w:cs="宋体"/>
                <w:b w:val="0"/>
                <w:color w:val="auto"/>
                <w:sz w:val="21"/>
                <w:szCs w:val="21"/>
                <w:highlight w:val="none"/>
                <w:shd w:val="clear" w:color="auto" w:fill="ffffff"/>
              </w:rPr>
              <w:t xml:space="preserve">重大疾病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4" w:type="dxa"/>
            <w:vAlign w:val="center"/>
            <w:textDirection w:val="lrTb"/>
            <w:noWrap w:val="false"/>
          </w:tcPr>
          <w:p>
            <w:pPr>
              <w:jc w:val="left"/>
              <w:spacing w:line="360" w:lineRule="auto"/>
              <w:rPr>
                <w:rStyle w:val="741"/>
                <w:rFonts w:hint="eastAsia" w:ascii="宋体" w:hAnsi="宋体" w:eastAsia="宋体" w:cs="宋体"/>
                <w:b w:val="0"/>
                <w:color w:val="auto"/>
                <w:sz w:val="21"/>
                <w:szCs w:val="21"/>
                <w:highlight w:val="none"/>
                <w:shd w:val="clear" w:color="auto" w:fill="ffffff"/>
                <w:lang w:eastAsia="zh-CN"/>
              </w:rPr>
            </w:pPr>
            <w:r>
              <w:rPr>
                <w:rStyle w:val="741"/>
                <w:rFonts w:hint="eastAsia" w:ascii="宋体" w:hAnsi="宋体" w:eastAsia="宋体" w:cs="宋体"/>
                <w:b w:val="0"/>
                <w:color w:val="auto"/>
                <w:sz w:val="21"/>
                <w:szCs w:val="21"/>
                <w:highlight w:val="none"/>
                <w:shd w:val="clear" w:color="auto" w:fill="ffffff"/>
              </w:rPr>
              <w:t xml:space="preserve">首次确诊条款列明的30种重疾，赔付保额</w:t>
            </w:r>
            <w:r>
              <w:rPr>
                <w:rStyle w:val="741"/>
                <w:rFonts w:hint="eastAsia" w:ascii="宋体" w:hAnsi="宋体" w:eastAsia="宋体" w:cs="宋体"/>
                <w:b w:val="0"/>
                <w:color w:val="auto"/>
                <w:sz w:val="21"/>
                <w:szCs w:val="21"/>
                <w:highlight w:val="none"/>
                <w:shd w:val="clear" w:color="auto" w:fill="ffffff"/>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5" w:type="dxa"/>
            <w:vAlign w:val="center"/>
            <w:textDirection w:val="lrTb"/>
            <w:noWrap/>
          </w:tcPr>
          <w:p>
            <w:pPr>
              <w:jc w:val="center"/>
              <w:spacing w:before="140"/>
              <w:widowControl/>
              <w:rPr>
                <w:rFonts w:hint="eastAsia" w:ascii="宋体" w:hAnsi="宋体" w:eastAsia="宋体" w:cs="宋体"/>
                <w:color w:val="auto"/>
                <w:sz w:val="21"/>
                <w:szCs w:val="21"/>
                <w:highlight w:val="none"/>
              </w:rPr>
            </w:pPr>
            <w:r>
              <w:rPr>
                <w:rFonts w:hint="eastAsia" w:ascii="宋体" w:hAnsi="宋体" w:eastAsia="宋体" w:cs="宋体"/>
                <w:color w:val="auto"/>
                <w:spacing w:val="15"/>
                <w:sz w:val="21"/>
                <w:szCs w:val="21"/>
                <w:highlight w:val="none"/>
              </w:rPr>
              <w:t xml:space="preserve">1万</w:t>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3" w:type="dxa"/>
            <w:vAlign w:val="center"/>
            <w:textDirection w:val="lrTb"/>
            <w:noWrap/>
          </w:tcPr>
          <w:p>
            <w:pPr>
              <w:jc w:val="center"/>
              <w:spacing w:line="5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1" w:type="dxa"/>
            <w:vAlign w:val="center"/>
            <w:textDirection w:val="lrTb"/>
            <w:noWrap/>
          </w:tcPr>
          <w:p>
            <w:pPr>
              <w:jc w:val="center"/>
              <w:spacing w:line="360" w:lineRule="auto"/>
              <w:rPr>
                <w:rStyle w:val="741"/>
                <w:rFonts w:hint="eastAsia" w:ascii="宋体" w:hAnsi="宋体" w:eastAsia="宋体" w:cs="宋体"/>
                <w:b w:val="0"/>
                <w:color w:val="auto"/>
                <w:sz w:val="21"/>
                <w:szCs w:val="21"/>
                <w:highlight w:val="none"/>
                <w:shd w:val="clear" w:color="auto" w:fill="ffffff"/>
              </w:rPr>
            </w:pPr>
            <w:r>
              <w:rPr>
                <w:rStyle w:val="741"/>
                <w:rFonts w:hint="eastAsia" w:ascii="宋体" w:hAnsi="宋体" w:eastAsia="宋体" w:cs="宋体"/>
                <w:b w:val="0"/>
                <w:color w:val="auto"/>
                <w:sz w:val="21"/>
                <w:szCs w:val="21"/>
                <w:highlight w:val="none"/>
                <w:shd w:val="clear" w:color="auto" w:fill="ffffff"/>
              </w:rPr>
              <w:t xml:space="preserve">交通意外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14" w:type="dxa"/>
            <w:vAlign w:val="center"/>
            <w:textDirection w:val="lrTb"/>
            <w:noWrap w:val="false"/>
          </w:tcPr>
          <w:p>
            <w:pPr>
              <w:jc w:val="left"/>
              <w:spacing w:line="360" w:lineRule="auto"/>
              <w:rPr>
                <w:rStyle w:val="741"/>
                <w:rFonts w:hint="eastAsia" w:ascii="宋体" w:hAnsi="宋体" w:eastAsia="宋体" w:cs="宋体"/>
                <w:b w:val="0"/>
                <w:color w:val="auto"/>
                <w:sz w:val="21"/>
                <w:szCs w:val="21"/>
                <w:highlight w:val="none"/>
                <w:shd w:val="clear" w:color="auto" w:fill="ffffff"/>
                <w:lang w:eastAsia="zh-CN"/>
              </w:rPr>
            </w:pPr>
            <w:r>
              <w:rPr>
                <w:rStyle w:val="741"/>
                <w:rFonts w:hint="eastAsia" w:ascii="宋体" w:hAnsi="宋体" w:eastAsia="宋体" w:cs="宋体"/>
                <w:b w:val="0"/>
                <w:color w:val="auto"/>
                <w:sz w:val="21"/>
                <w:szCs w:val="21"/>
                <w:highlight w:val="none"/>
                <w:shd w:val="clear" w:color="auto" w:fill="ffffff"/>
              </w:rPr>
              <w:t xml:space="preserve">被保险人乘坐飞机、水上交通工具、轨道交通工具、机动车意外伤害保险(航空、水上交通、轨道、机动车、机动车自驾)</w:t>
            </w:r>
            <w:r>
              <w:rPr>
                <w:rStyle w:val="741"/>
                <w:rFonts w:hint="eastAsia" w:ascii="宋体" w:hAnsi="宋体" w:eastAsia="宋体" w:cs="宋体"/>
                <w:b w:val="0"/>
                <w:color w:val="auto"/>
                <w:sz w:val="21"/>
                <w:szCs w:val="21"/>
                <w:highlight w:val="none"/>
                <w:shd w:val="clear" w:color="auto" w:fill="ffffff"/>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5" w:type="dxa"/>
            <w:vAlign w:val="center"/>
            <w:textDirection w:val="lrTb"/>
            <w:noWrap/>
          </w:tcPr>
          <w:p>
            <w:pPr>
              <w:jc w:val="center"/>
              <w:spacing w:before="140"/>
              <w:widowControl/>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10万</w:t>
            </w:r>
            <w:r/>
          </w:p>
        </w:tc>
        <w:tc>
          <w:tcPr>
            <w:tcBorders>
              <w:left w:val="single" w:color="000000" w:sz="4" w:space="0"/>
              <w:bottom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：保险金额为最低标准，低于该标准的</w:t>
      </w:r>
      <w:r>
        <w:rPr>
          <w:rFonts w:hint="eastAsia" w:ascii="宋体" w:hAnsi="宋体" w:eastAsia="宋体" w:cs="宋体"/>
          <w:b/>
          <w:bCs/>
          <w:color w:val="auto"/>
          <w:sz w:val="24"/>
          <w:szCs w:val="24"/>
          <w:highlight w:val="none"/>
          <w:lang w:val="en-US" w:eastAsia="zh-CN"/>
        </w:rPr>
        <w:t xml:space="preserve">作无效响应处理</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1、意外伤害责任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意外伤害责任包含意外身故以及意外伤残两个部分：在保险期间内，被保险人发生意外伤害，并因该伤害导致的身故，按照保险金额予以理赔；因该伤害导致的伤残，依据伤残鉴定等级分级予以理赔。</w:t>
      </w:r>
      <w:r/>
    </w:p>
    <w:p>
      <w:pPr>
        <w:pStyle w:val="910"/>
        <w:numPr>
          <w:ilvl w:val="0"/>
          <w:numId w:val="0"/>
        </w:numPr>
        <w:ind w:firstLine="513"/>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适用《劳动能力鉴定职工工伤与职业病致残等级》的规定，伤残等级所对应的保险金给付比例给付伤残保险金，详见下表。</w:t>
      </w:r>
      <w:r/>
    </w:p>
    <w:tbl>
      <w:tblPr>
        <w:tblStyle w:val="712"/>
        <w:tblW w:w="0" w:type="auto"/>
        <w:jc w:val="center"/>
        <w:tblLayout w:type="fixed"/>
        <w:tblCellMar>
          <w:left w:w="15" w:type="dxa"/>
          <w:top w:w="15" w:type="dxa"/>
          <w:right w:w="15" w:type="dxa"/>
          <w:bottom w:w="0" w:type="dxa"/>
        </w:tblCellMar>
        <w:tblLook w:val="04A0" w:firstRow="1" w:lastRow="0" w:firstColumn="1" w:lastColumn="0" w:noHBand="0" w:noVBand="1"/>
      </w:tblPr>
      <w:tblGrid>
        <w:gridCol w:w="3445"/>
        <w:gridCol w:w="3424"/>
      </w:tblGrid>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45"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伤残等级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424"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赔偿比例</w:t>
            </w:r>
            <w:r/>
          </w:p>
        </w:tc>
      </w:tr>
      <w:tr>
        <w:trPr>
          <w:jc w:val="center"/>
          <w:trHeight w:val="349"/>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445"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一级</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424"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100%</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45"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24"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75%</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45"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424"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50%</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45"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24"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45"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24"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45"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24"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45"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24"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45"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八级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24"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45"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24"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r>
      <w:tr>
        <w:trPr>
          <w:jc w:val="center"/>
          <w:trHeight w:val="3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45"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24"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2、意外医疗责任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在保险期间内，被保险人发生意外伤害，并因该意外伤害在二级以上（含二级）医院或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认可的其他医疗机构诊疗，对被保险人每次意外伤害事故发生并实际支出的医疗费用（含自费药）予以理赔。</w:t>
      </w:r>
      <w:r/>
    </w:p>
    <w:p>
      <w:pPr>
        <w:numPr>
          <w:ilvl w:val="0"/>
          <w:numId w:val="2"/>
        </w:numPr>
        <w:ind w:firstLine="47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疾病住院医疗保险责任</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被保险人在等待期</w:t>
      </w:r>
      <w:r>
        <w:rPr>
          <w:rFonts w:hint="eastAsia" w:ascii="宋体" w:hAnsi="宋体" w:eastAsia="宋体" w:cs="宋体"/>
          <w:color w:val="auto"/>
          <w:sz w:val="24"/>
          <w:highlight w:val="none"/>
          <w:lang w:eastAsia="zh-CN"/>
        </w:rPr>
        <w:t xml:space="preserve">（续保人员无等待期，新保人员等待期</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0天）</w:t>
      </w:r>
      <w:r>
        <w:rPr>
          <w:rFonts w:hint="eastAsia" w:ascii="宋体" w:hAnsi="宋体" w:eastAsia="宋体" w:cs="宋体"/>
          <w:color w:val="auto"/>
          <w:sz w:val="24"/>
          <w:highlight w:val="none"/>
        </w:rPr>
        <w:t xml:space="preserve">后因疾病在二级以上（含二级）医院或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认可的其他医疗机构住院诊疗，对被保险人实际支出的、符合当地基本医疗保险支付范围的住院医疗费用，</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按本附加合同约定的给付比例给付保险金。</w:t>
      </w:r>
      <w:r/>
    </w:p>
    <w:p>
      <w:pPr>
        <w:numPr>
          <w:ilvl w:val="0"/>
          <w:numId w:val="2"/>
        </w:numPr>
        <w:ind w:left="0" w:firstLine="47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住院津贴保险责任</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被保险人遭受意外伤害或在等待期</w:t>
      </w:r>
      <w:r>
        <w:rPr>
          <w:rFonts w:hint="eastAsia" w:ascii="宋体" w:hAnsi="宋体" w:eastAsia="宋体" w:cs="宋体"/>
          <w:color w:val="auto"/>
          <w:sz w:val="24"/>
          <w:highlight w:val="none"/>
          <w:lang w:eastAsia="zh-CN"/>
        </w:rPr>
        <w:t xml:space="preserve">（续保人员无等待期，新保人员等待期</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0天）</w:t>
      </w:r>
      <w:r>
        <w:rPr>
          <w:rFonts w:hint="eastAsia" w:ascii="宋体" w:hAnsi="宋体" w:eastAsia="宋体" w:cs="宋体"/>
          <w:color w:val="auto"/>
          <w:sz w:val="24"/>
          <w:highlight w:val="none"/>
        </w:rPr>
        <w:t xml:space="preserve">后因疾病在二级以上（含二级）医院或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认可的其他医疗机构住院诊疗，按本附加合同约定的住院日定额给付金额乘以实际住院日数给付保险金，但对该每次住院的给付日数以九十日为限。 </w:t>
      </w:r>
      <w:r/>
    </w:p>
    <w:p>
      <w:pPr>
        <w:numPr>
          <w:ilvl w:val="0"/>
          <w:numId w:val="2"/>
        </w:numPr>
        <w:ind w:left="0" w:firstLine="47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定期寿险责任</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被保险人在合同约定的等待期</w:t>
      </w:r>
      <w:r>
        <w:rPr>
          <w:rFonts w:hint="eastAsia" w:ascii="宋体" w:hAnsi="宋体" w:eastAsia="宋体" w:cs="宋体"/>
          <w:color w:val="auto"/>
          <w:sz w:val="24"/>
          <w:highlight w:val="none"/>
          <w:lang w:eastAsia="zh-CN"/>
        </w:rPr>
        <w:t xml:space="preserve">（续保人员无等待期，新保人员等待期</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0天）</w:t>
      </w:r>
      <w:r>
        <w:rPr>
          <w:rFonts w:hint="eastAsia" w:ascii="宋体" w:hAnsi="宋体" w:eastAsia="宋体" w:cs="宋体"/>
          <w:color w:val="auto"/>
          <w:sz w:val="24"/>
          <w:highlight w:val="none"/>
        </w:rPr>
        <w:t xml:space="preserve">内因疾病身故，本合同对该被保险人的保险责任终止，按该被保险人对应的已经交付的保险费（不计利息）给付保险金。被保险人因前述以外情形身故，本合同对该被保险人的保险责任终止，按保险单载明的该被保险人的保险金额给付保险金。</w:t>
      </w:r>
      <w:r/>
    </w:p>
    <w:p>
      <w:pPr>
        <w:numPr>
          <w:ilvl w:val="0"/>
          <w:numId w:val="2"/>
        </w:numPr>
        <w:ind w:left="0" w:firstLine="47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交通意外保险</w:t>
      </w:r>
      <w:r>
        <w:rPr>
          <w:rFonts w:hint="eastAsia" w:ascii="宋体" w:hAnsi="宋体" w:eastAsia="宋体" w:cs="宋体"/>
          <w:color w:val="auto"/>
          <w:sz w:val="24"/>
          <w:highlight w:val="none"/>
        </w:rPr>
        <w:t xml:space="preserve">责任</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在本合同保险期间内，被保险人以本合同约定的身份驾驶或搭乘本合同约定的交通工具时遭受意外伤害，依照约定给付保险金，包括意外身故保险责任、意外伤残保险责任、意外烧伤保险责任。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重大疾病责任</w:t>
      </w:r>
      <w:r/>
    </w:p>
    <w:p>
      <w:pPr>
        <w:ind w:firstLine="480"/>
        <w:jc w:val="left"/>
        <w:keepLines w:val="0"/>
        <w:keepNext w:val="0"/>
        <w:pageBreakBefore w:val="0"/>
        <w:spacing w:line="360" w:lineRule="auto"/>
        <w:widowControl w:val="off"/>
        <w:rPr>
          <w:rFonts w:hint="eastAsia" w:ascii="宋体" w:hAnsi="宋体" w:cs="Times New Roman"/>
          <w:b/>
          <w:bCs/>
          <w:color w:val="auto"/>
          <w:sz w:val="24"/>
          <w:szCs w:val="24"/>
          <w:highlight w:val="none"/>
          <w:lang w:val="en-US" w:eastAsia="zh-CN"/>
        </w:rPr>
      </w:pPr>
      <w:r>
        <w:rPr>
          <w:rFonts w:hint="eastAsia" w:ascii="宋体" w:hAnsi="宋体" w:eastAsia="宋体" w:cs="宋体"/>
          <w:color w:val="auto"/>
          <w:sz w:val="24"/>
          <w:highlight w:val="none"/>
        </w:rPr>
        <w:t xml:space="preserve">重大疾病是指在本合同保险期间内，被保险人在等待期</w:t>
      </w:r>
      <w:r>
        <w:rPr>
          <w:rFonts w:hint="eastAsia" w:ascii="宋体" w:hAnsi="宋体" w:eastAsia="宋体" w:cs="宋体"/>
          <w:color w:val="auto"/>
          <w:sz w:val="24"/>
          <w:highlight w:val="none"/>
          <w:lang w:eastAsia="zh-CN"/>
        </w:rPr>
        <w:t xml:space="preserve">（续保人员无等待期，新保人员等待期</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0天）</w:t>
      </w:r>
      <w:r>
        <w:rPr>
          <w:rFonts w:hint="eastAsia" w:ascii="宋体" w:hAnsi="宋体" w:eastAsia="宋体" w:cs="宋体"/>
          <w:color w:val="auto"/>
          <w:sz w:val="24"/>
          <w:highlight w:val="none"/>
        </w:rPr>
        <w:t xml:space="preserve">后初次发生并经专科医生明确诊断患本合同投保人所选择的重大疾病（无论一种或多种），本合同对该被保险人的保险责任终止，按该被保险人的重大疾病保险金额给付重大疾病保险金。</w:t>
      </w:r>
      <w:r/>
    </w:p>
    <w:p>
      <w:pPr>
        <w:ind w:firstLine="47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（二）服务人员要求</w:t>
      </w:r>
      <w:r/>
    </w:p>
    <w:p>
      <w:pPr>
        <w:ind w:firstLine="24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1.人员配备</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1.1对本采购项目须设立专项小组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其中项目经理1名，负责按照本次保险的有关要求为各被保险人提供承保、理赔及其他各类保险服务，包括必要的组织与协调工作</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客户服务专员：至少配备</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名，其中有</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名应为项目专职承保人员，</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名应为项目专职理赔人员，协助项目经理提供保险服务（提供专项小组</w:t>
      </w:r>
      <w:r>
        <w:rPr>
          <w:rFonts w:hint="eastAsia" w:ascii="宋体" w:hAnsi="宋体" w:eastAsia="宋体" w:cs="宋体"/>
          <w:bCs/>
          <w:color w:val="auto"/>
          <w:sz w:val="24"/>
          <w:szCs w:val="24"/>
          <w:highlight w:val="none"/>
          <w:lang w:val="en-US" w:eastAsia="zh-CN"/>
        </w:rPr>
        <w:t xml:space="preserve">人员身份证及劳动合同</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1.2根据相应文件内容，配合投保人完成核保与出单事宜，并在收到投保单和保费五个工作日内将保单正本和保费发票派专人送达投保人。 </w:t>
      </w:r>
      <w:r/>
    </w:p>
    <w:p>
      <w:pPr>
        <w:ind w:firstLine="24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2.承保服务：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2.1采取无清单方式投保，被保险人信息以</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提供有关证明为准。</w:t>
      </w:r>
      <w:r/>
    </w:p>
    <w:p>
      <w:pPr>
        <w:ind w:firstLine="24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3.理赔服务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3.1保险服务基础标准：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3.1.1统一实行24小时接报案</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3.1.2统一实行24小时查勘</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3.1.3统一实行24小时救援</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3.1.4统一实行8小时全年无休理赔工作</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3.1.5统一实行24小时投诉服务</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3.2若发生保险责任事故，需及时报案。理赔时需提供下列单证：</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xml:space="preserve">出险凭证；</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xml:space="preserve">公安部门、医疗机构出具的死亡伤残证明；</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xml:space="preserve">医院出具的疾病诊断证明书；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xml:space="preserve">出院小结（仅限于住院费用给付）；</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xml:space="preserve">治疗期间的医疗费用收据；医疗费用结算总清单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⑥</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xml:space="preserve">受益人的身份证明及保险公司所要求提供的其它材料。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3.3配合被保险人了解、熟悉理赔流程，指定专人上门收取索赔单证，并在约定的时间内上门收取，不得以任何理由拒绝上门服务，让保户足不出户即可办理保险索赔事宜。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保险公司上门收取理赔资料时，若认为有关证明或材料不完整，立刻以书面或口头方式通知被保险人需补充提供的有关证明或材料。若保险公司在接到索赔资料后</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个工作日内未给予有关审核意见，则视为认可索赔资料的完整性。</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在收到理赔材料后，简化理赔手续，应在规定时间内告知被保险人赔偿金额，除外金额或不予赔偿的理由，超过规定时间的，视为同意赔偿。</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3.7接到被保险人报案后，对于属于保险责任的事故，同意按照以下约定及时确定赔偿金额：</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3.7.1对于意外伤害</w:t>
      </w:r>
      <w:r>
        <w:rPr>
          <w:rFonts w:hint="eastAsia" w:ascii="宋体" w:hAnsi="宋体" w:eastAsia="宋体" w:cs="宋体"/>
          <w:bCs/>
          <w:color w:val="auto"/>
          <w:sz w:val="24"/>
          <w:szCs w:val="24"/>
          <w:highlight w:val="none"/>
          <w:lang w:val="en-US" w:eastAsia="zh-CN"/>
        </w:rPr>
        <w:t xml:space="preserve">责任</w:t>
      </w:r>
      <w:r>
        <w:rPr>
          <w:rFonts w:hint="eastAsia" w:ascii="宋体" w:hAnsi="宋体" w:eastAsia="宋体" w:cs="宋体"/>
          <w:bCs/>
          <w:color w:val="auto"/>
          <w:sz w:val="24"/>
          <w:szCs w:val="24"/>
          <w:highlight w:val="none"/>
        </w:rPr>
        <w:t xml:space="preserve">，自完整的理赔材料签收之日起</w:t>
      </w:r>
      <w:r>
        <w:rPr>
          <w:rFonts w:hint="eastAsia" w:ascii="宋体" w:hAnsi="宋体" w:eastAsia="宋体" w:cs="宋体"/>
          <w:bCs/>
          <w:color w:val="auto"/>
          <w:sz w:val="24"/>
          <w:szCs w:val="24"/>
          <w:highlight w:val="none"/>
          <w:lang w:val="en-US" w:eastAsia="zh-CN"/>
        </w:rPr>
        <w:t xml:space="preserve">15个工作日</w:t>
      </w:r>
      <w:r>
        <w:rPr>
          <w:rFonts w:hint="eastAsia" w:ascii="宋体" w:hAnsi="宋体" w:eastAsia="宋体" w:cs="宋体"/>
          <w:bCs/>
          <w:color w:val="auto"/>
          <w:sz w:val="24"/>
          <w:szCs w:val="24"/>
          <w:highlight w:val="none"/>
        </w:rPr>
        <w:t xml:space="preserve">完成赔偿。</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3.7.2</w:t>
      </w:r>
      <w:r>
        <w:rPr>
          <w:rFonts w:hint="eastAsia" w:ascii="宋体" w:hAnsi="宋体" w:eastAsia="宋体" w:cs="宋体"/>
          <w:bCs/>
          <w:color w:val="auto"/>
          <w:sz w:val="24"/>
          <w:szCs w:val="24"/>
          <w:highlight w:val="none"/>
        </w:rPr>
        <w:t xml:space="preserve">对于</w:t>
      </w:r>
      <w:r>
        <w:rPr>
          <w:rFonts w:hint="eastAsia" w:ascii="宋体" w:hAnsi="宋体" w:eastAsia="宋体" w:cs="宋体"/>
          <w:color w:val="auto"/>
          <w:sz w:val="24"/>
          <w:szCs w:val="24"/>
          <w:highlight w:val="none"/>
        </w:rPr>
        <w:t xml:space="preserve">意外</w:t>
      </w:r>
      <w:r>
        <w:rPr>
          <w:rFonts w:hint="eastAsia" w:ascii="宋体" w:hAnsi="宋体" w:eastAsia="宋体" w:cs="宋体"/>
          <w:color w:val="auto"/>
          <w:sz w:val="24"/>
          <w:szCs w:val="24"/>
          <w:highlight w:val="none"/>
          <w:lang w:val="en-US" w:eastAsia="zh-CN"/>
        </w:rPr>
        <w:t xml:space="preserve">医疗</w:t>
      </w:r>
      <w:r>
        <w:rPr>
          <w:rFonts w:hint="eastAsia" w:ascii="宋体" w:hAnsi="宋体" w:eastAsia="宋体" w:cs="宋体"/>
          <w:color w:val="auto"/>
          <w:sz w:val="24"/>
          <w:szCs w:val="24"/>
          <w:highlight w:val="none"/>
        </w:rPr>
        <w:t xml:space="preserve">责任</w:t>
      </w:r>
      <w:r>
        <w:rPr>
          <w:rFonts w:hint="eastAsia" w:ascii="宋体" w:hAnsi="宋体" w:eastAsia="宋体" w:cs="宋体"/>
          <w:bCs/>
          <w:color w:val="auto"/>
          <w:sz w:val="24"/>
          <w:szCs w:val="24"/>
          <w:highlight w:val="none"/>
        </w:rPr>
        <w:t xml:space="preserve">，自完整的理赔材料签收之日起</w:t>
      </w:r>
      <w:r>
        <w:rPr>
          <w:rFonts w:hint="eastAsia" w:ascii="宋体" w:hAnsi="宋体" w:eastAsia="宋体" w:cs="宋体"/>
          <w:bCs/>
          <w:color w:val="auto"/>
          <w:sz w:val="24"/>
          <w:szCs w:val="24"/>
          <w:highlight w:val="none"/>
          <w:lang w:val="en-US" w:eastAsia="zh-CN"/>
        </w:rPr>
        <w:t xml:space="preserve">15个工作日</w:t>
      </w:r>
      <w:r>
        <w:rPr>
          <w:rFonts w:hint="eastAsia" w:ascii="宋体" w:hAnsi="宋体" w:eastAsia="宋体" w:cs="宋体"/>
          <w:bCs/>
          <w:color w:val="auto"/>
          <w:sz w:val="24"/>
          <w:szCs w:val="24"/>
          <w:highlight w:val="none"/>
        </w:rPr>
        <w:t xml:space="preserve">完成赔偿。</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3.8对于不属于保险责任的，</w:t>
      </w:r>
      <w:r>
        <w:rPr>
          <w:rFonts w:hint="eastAsia" w:ascii="宋体" w:hAnsi="宋体" w:eastAsia="宋体" w:cs="宋体"/>
          <w:bCs/>
          <w:color w:val="auto"/>
          <w:sz w:val="24"/>
          <w:szCs w:val="24"/>
          <w:highlight w:val="none"/>
          <w:lang w:eastAsia="zh-CN"/>
        </w:rPr>
        <w:t xml:space="preserve">保险经纪公司</w:t>
      </w:r>
      <w:r>
        <w:rPr>
          <w:rFonts w:hint="eastAsia" w:ascii="宋体" w:hAnsi="宋体" w:eastAsia="宋体" w:cs="宋体"/>
          <w:bCs/>
          <w:color w:val="auto"/>
          <w:sz w:val="24"/>
          <w:szCs w:val="24"/>
          <w:highlight w:val="none"/>
          <w:lang w:val="en-US" w:eastAsia="zh-CN"/>
        </w:rPr>
        <w:t xml:space="preserve">复核</w:t>
      </w:r>
      <w:r>
        <w:rPr>
          <w:rFonts w:hint="eastAsia" w:ascii="宋体" w:hAnsi="宋体" w:eastAsia="宋体" w:cs="宋体"/>
          <w:bCs/>
          <w:color w:val="auto"/>
          <w:sz w:val="24"/>
          <w:szCs w:val="24"/>
          <w:highlight w:val="none"/>
          <w:lang w:eastAsia="zh-CN"/>
        </w:rPr>
        <w:t xml:space="preserve">后，</w:t>
      </w:r>
      <w:r>
        <w:rPr>
          <w:rFonts w:hint="eastAsia" w:ascii="宋体" w:hAnsi="宋体" w:eastAsia="宋体" w:cs="宋体"/>
          <w:bCs/>
          <w:color w:val="auto"/>
          <w:sz w:val="24"/>
          <w:szCs w:val="24"/>
          <w:highlight w:val="none"/>
          <w:lang w:val="en-US" w:eastAsia="zh-CN"/>
        </w:rPr>
        <w:t xml:space="preserve">由保险公司</w:t>
      </w:r>
      <w:r>
        <w:rPr>
          <w:rFonts w:hint="eastAsia" w:ascii="宋体" w:hAnsi="宋体" w:eastAsia="宋体" w:cs="宋体"/>
          <w:bCs/>
          <w:color w:val="auto"/>
          <w:sz w:val="24"/>
          <w:szCs w:val="24"/>
          <w:highlight w:val="none"/>
        </w:rPr>
        <w:t xml:space="preserve">在接到被保险人赔偿请求后5个工作日内向其发出《拒赔通知书》。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对于不属于保险责任的，保险公司在接到被保险人赔偿请求后没有按规定时间向其发出《拒赔通知书》，则按保险责任处理。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当和被保险人就赔偿结果无法达成一致时，应及时向</w:t>
      </w:r>
      <w:r>
        <w:rPr>
          <w:rFonts w:hint="eastAsia" w:ascii="宋体" w:hAnsi="宋体" w:eastAsia="宋体" w:cs="宋体"/>
          <w:bCs/>
          <w:color w:val="auto"/>
          <w:sz w:val="24"/>
          <w:szCs w:val="24"/>
          <w:highlight w:val="none"/>
          <w:lang w:eastAsia="zh-CN"/>
        </w:rPr>
        <w:t xml:space="preserve">连云港市公安局及保险经纪公司</w:t>
      </w:r>
      <w:r>
        <w:rPr>
          <w:rFonts w:hint="eastAsia" w:ascii="宋体" w:hAnsi="宋体" w:eastAsia="宋体" w:cs="宋体"/>
          <w:bCs/>
          <w:color w:val="auto"/>
          <w:sz w:val="24"/>
          <w:szCs w:val="24"/>
          <w:highlight w:val="none"/>
        </w:rPr>
        <w:t xml:space="preserve">汇报，最终以</w:t>
      </w:r>
      <w:r>
        <w:rPr>
          <w:rFonts w:hint="eastAsia" w:ascii="宋体" w:hAnsi="宋体" w:eastAsia="宋体" w:cs="宋体"/>
          <w:bCs/>
          <w:color w:val="auto"/>
          <w:sz w:val="24"/>
          <w:szCs w:val="24"/>
          <w:highlight w:val="none"/>
          <w:lang w:eastAsia="zh-CN"/>
        </w:rPr>
        <w:t xml:space="preserve">连云港市公安局</w:t>
      </w:r>
      <w:r>
        <w:rPr>
          <w:rFonts w:hint="eastAsia" w:ascii="宋体" w:hAnsi="宋体" w:eastAsia="宋体" w:cs="宋体"/>
          <w:bCs/>
          <w:color w:val="auto"/>
          <w:sz w:val="24"/>
          <w:szCs w:val="24"/>
          <w:highlight w:val="none"/>
        </w:rPr>
        <w:t xml:space="preserve">的意见为准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3.1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按月汇总承保及理赔数据，于次</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rPr>
        <w:t xml:space="preserve">10日前向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递交相关理赔数据</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rPr>
        <w:t xml:space="preserve">报。</w:t>
      </w:r>
      <w:r>
        <w:rPr>
          <w:rFonts w:hint="eastAsia" w:ascii="宋体" w:hAnsi="宋体" w:eastAsia="宋体" w:cs="宋体"/>
          <w:color w:val="auto"/>
          <w:sz w:val="24"/>
          <w:szCs w:val="24"/>
          <w:highlight w:val="none"/>
          <w:lang w:eastAsia="zh-CN"/>
        </w:rPr>
        <w:t xml:space="preserve">次年</w:t>
      </w:r>
      <w:r>
        <w:rPr>
          <w:rFonts w:hint="eastAsia" w:ascii="宋体" w:hAnsi="宋体" w:eastAsia="宋体" w:cs="宋体"/>
          <w:color w:val="auto"/>
          <w:sz w:val="24"/>
          <w:szCs w:val="24"/>
          <w:highlight w:val="none"/>
          <w:lang w:val="en-US" w:eastAsia="zh-CN"/>
        </w:rPr>
        <w:t xml:space="preserve">1月10日前递交年度理赔数据汇总报告。</w:t>
      </w:r>
      <w:r>
        <w:rPr>
          <w:rFonts w:hint="eastAsia" w:ascii="宋体" w:hAnsi="宋体" w:eastAsia="宋体" w:cs="宋体"/>
          <w:color w:val="auto"/>
          <w:sz w:val="24"/>
          <w:szCs w:val="24"/>
          <w:highlight w:val="none"/>
          <w:lang w:eastAsia="zh-CN"/>
        </w:rPr>
        <w:t xml:space="preserve">赔案统计报表包括的内容：出险时间、出险人员、出险人员年龄、出险原因、已决赔款金额、未决赔款金额、预付赔款金额等。</w:t>
      </w:r>
      <w:r/>
    </w:p>
    <w:p>
      <w:pPr>
        <w:ind w:firstLine="24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4.其他保险服务承诺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4.1定期沟通制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双方良好的沟通有利于保险服务工作顺利开展，保险公司承诺在保险期限内将: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4.1.1 定期例会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定期与</w:t>
      </w:r>
      <w:r>
        <w:rPr>
          <w:rFonts w:hint="eastAsia" w:ascii="宋体" w:hAnsi="宋体" w:eastAsia="宋体" w:cs="宋体"/>
          <w:bCs/>
          <w:color w:val="auto"/>
          <w:sz w:val="24"/>
          <w:szCs w:val="24"/>
          <w:highlight w:val="none"/>
          <w:lang w:eastAsia="zh-CN"/>
        </w:rPr>
        <w:t xml:space="preserve">保险经纪公司</w:t>
      </w:r>
      <w:r>
        <w:rPr>
          <w:rFonts w:hint="eastAsia" w:ascii="宋体" w:hAnsi="宋体" w:eastAsia="宋体" w:cs="宋体"/>
          <w:bCs/>
          <w:color w:val="auto"/>
          <w:sz w:val="24"/>
          <w:szCs w:val="24"/>
          <w:highlight w:val="none"/>
        </w:rPr>
        <w:t xml:space="preserve">召开保险工作例会，通报保险事故情况、理赔进展情况、商定各项服务计划和共同解决需双方协调的事宜</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并建立客户档案。</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4.2培训机制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保险经纪公司</w:t>
      </w:r>
      <w:r>
        <w:rPr>
          <w:rFonts w:hint="eastAsia" w:ascii="宋体" w:hAnsi="宋体" w:eastAsia="宋体" w:cs="宋体"/>
          <w:bCs/>
          <w:color w:val="auto"/>
          <w:sz w:val="24"/>
          <w:szCs w:val="24"/>
          <w:highlight w:val="none"/>
        </w:rPr>
        <w:t xml:space="preserve">不定期组织被保险人参加专项培训，培训内容主要包括保险的基础知识、保险合同责任及条款解释、保险事故索赔程序、风险管理等方面的内容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lang w:eastAsia="zh-CN"/>
        </w:rPr>
        <w:t xml:space="preserve">保险公司要积极配合</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4.3</w:t>
      </w:r>
      <w:r>
        <w:rPr>
          <w:rFonts w:hint="eastAsia" w:ascii="宋体" w:hAnsi="宋体" w:eastAsia="宋体" w:cs="宋体"/>
          <w:color w:val="auto"/>
          <w:sz w:val="24"/>
          <w:szCs w:val="24"/>
          <w:highlight w:val="none"/>
        </w:rPr>
        <w:t xml:space="preserve">关于对</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的监督</w:t>
      </w:r>
      <w:r/>
    </w:p>
    <w:p>
      <w:pPr>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4.3.1</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在合同有效期内，应接受采购人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监督。如一年内发生有效投诉超过3起（含），一经查实，情节严重的，取消</w:t>
      </w: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成交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资格，如有违规违纪行为的，按有关规定严肃查处。</w:t>
      </w:r>
      <w:r/>
    </w:p>
    <w:p>
      <w:pPr>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w:t>
      </w:r>
      <w:r/>
    </w:p>
    <w:p>
      <w:pPr>
        <w:ind w:firstLine="47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（一）保险方案</w:t>
      </w:r>
      <w:r/>
    </w:p>
    <w:tbl>
      <w:tblPr>
        <w:tblStyle w:val="712"/>
        <w:tblpPr w:horzAnchor="page" w:tblpXSpec="center" w:vertAnchor="text" w:tblpY="429" w:leftFromText="180" w:topFromText="0" w:rightFromText="180" w:bottomFromText="0"/>
        <w:tblW w:w="0" w:type="auto"/>
        <w:jc w:val="center"/>
        <w:tblLayout w:type="fixed"/>
        <w:tblCellMar>
          <w:left w:w="0" w:type="dxa"/>
          <w:top w:w="0" w:type="dxa"/>
          <w:right w:w="0" w:type="dxa"/>
          <w:bottom w:w="0" w:type="dxa"/>
        </w:tblCellMar>
        <w:tblLook w:val="04A0" w:firstRow="1" w:lastRow="0" w:firstColumn="1" w:lastColumn="0" w:noHBand="0" w:noVBand="1"/>
      </w:tblPr>
      <w:tblGrid>
        <w:gridCol w:w="630"/>
        <w:gridCol w:w="1241"/>
        <w:gridCol w:w="5655"/>
        <w:gridCol w:w="965"/>
        <w:gridCol w:w="790"/>
      </w:tblGrid>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5"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5"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保险金额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保费</w:t>
            </w:r>
            <w:r/>
          </w:p>
        </w:tc>
      </w:tr>
      <w:tr>
        <w:trPr>
          <w:jc w:val="cente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tcPr>
          <w:p>
            <w:pPr>
              <w:jc w:val="center"/>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意外身故</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655" w:type="dxa"/>
            <w:vAlign w:val="center"/>
            <w:textDirection w:val="lrTb"/>
            <w:noWrap/>
          </w:tcPr>
          <w:p>
            <w:pPr>
              <w:jc w:val="left"/>
              <w:widowControl/>
              <w:rPr>
                <w:rStyle w:val="7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 xml:space="preserve">因意外伤害导致身故给付保险金</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965" w:type="dxa"/>
            <w:vAlign w:val="center"/>
            <w:textDirection w:val="lrTb"/>
            <w:noWrap/>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万元</w:t>
            </w:r>
            <w:r/>
          </w:p>
        </w:tc>
        <w:tc>
          <w:tcPr>
            <w:tcBorders>
              <w:top w:val="single" w:color="000000" w:sz="4" w:space="0"/>
              <w:left w:val="single" w:color="000000" w:sz="4" w:space="0"/>
              <w:right w:val="single" w:color="000000" w:sz="4" w:space="0"/>
            </w:tcBorders>
            <w:tcMar>
              <w:left w:w="15" w:type="dxa"/>
              <w:top w:w="15" w:type="dxa"/>
              <w:right w:w="15" w:type="dxa"/>
            </w:tcMar>
            <w:tcW w:w="790" w:type="dxa"/>
            <w:vAlign w:val="center"/>
            <w:vMerge w:val="restart"/>
            <w:textDirection w:val="lrTb"/>
            <w:noWrap w:val="false"/>
          </w:tcPr>
          <w:p>
            <w:pPr>
              <w:jc w:val="center"/>
              <w:pageBreakBefore w:val="0"/>
              <w:spacing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pageBreakBefore w:val="0"/>
              <w:spacing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300</w:t>
            </w:r>
            <w:r>
              <w:rPr>
                <w:rFonts w:hint="eastAsia" w:ascii="宋体" w:hAnsi="宋体" w:eastAsia="宋体" w:cs="宋体"/>
                <w:color w:val="auto"/>
                <w:sz w:val="21"/>
                <w:szCs w:val="21"/>
                <w:highlight w:val="none"/>
              </w:rPr>
              <w:t xml:space="preserve">元/人/年</w:t>
            </w:r>
            <w:r/>
          </w:p>
        </w:tc>
      </w:tr>
      <w:tr>
        <w:trPr>
          <w:jc w:val="center"/>
          <w:trHeight w:val="8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tcPr>
          <w:p>
            <w:pPr>
              <w:jc w:val="center"/>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意外伤残</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655" w:type="dxa"/>
            <w:vAlign w:val="center"/>
            <w:textDirection w:val="lrTb"/>
            <w:noWrap w:val="false"/>
          </w:tcPr>
          <w:p>
            <w:pPr>
              <w:jc w:val="left"/>
              <w:widowControl/>
              <w:rPr>
                <w:rStyle w:val="7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 xml:space="preserve">因意外事故导致的残疾，按照《</w:t>
            </w:r>
            <w:r>
              <w:rPr>
                <w:rFonts w:hint="eastAsia" w:ascii="宋体" w:hAnsi="宋体" w:eastAsia="宋体" w:cs="宋体"/>
                <w:color w:val="auto"/>
                <w:sz w:val="21"/>
                <w:szCs w:val="21"/>
                <w:highlight w:val="none"/>
                <w:lang w:val="en-US" w:eastAsia="zh-CN"/>
              </w:rPr>
              <w:t xml:space="preserve">劳动能力鉴定职工工伤与职业病致残等级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GB/T16180-2014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赔付</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96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10万元</w:t>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tcPr>
          <w:p>
            <w:pPr>
              <w:jc w:val="center"/>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意外医疗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5" w:type="dxa"/>
            <w:vAlign w:val="center"/>
            <w:textDirection w:val="lrTb"/>
            <w:noWrap/>
          </w:tcPr>
          <w:p>
            <w:pPr>
              <w:jc w:val="left"/>
              <w:widowControl/>
              <w:rPr>
                <w:rStyle w:val="7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 xml:space="preserve">因意外伤害引起的意外门诊或意外住院医疗费用，在符合当地社保可报销范围内，免赔额</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0元/次，按</w:t>
            </w:r>
            <w:r>
              <w:rPr>
                <w:rFonts w:hint="eastAsia" w:ascii="宋体" w:hAnsi="宋体" w:eastAsia="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rPr>
              <w:t xml:space="preserve">%的比例报销，最高赔付金额为1万元/年/人</w:t>
            </w: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万元</w:t>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5"/>
        </w:trPr>
        <w:tc>
          <w:tcPr>
            <w:tcBorders>
              <w:top w:val="single" w:color="000000" w:sz="4" w:space="0"/>
              <w:left w:val="single" w:color="000000" w:sz="4" w:space="0"/>
              <w:right w:val="single" w:color="000000" w:sz="4" w:space="0"/>
            </w:tcBorders>
            <w:tcMar>
              <w:left w:w="15" w:type="dxa"/>
              <w:top w:w="15" w:type="dxa"/>
              <w:right w:w="15" w:type="dxa"/>
            </w:tcMar>
            <w:tcW w:w="630" w:type="dxa"/>
            <w:vAlign w:val="center"/>
            <w:vMerge w:val="restart"/>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right w:val="single" w:color="000000" w:sz="4" w:space="0"/>
            </w:tcBorders>
            <w:tcMar>
              <w:left w:w="15" w:type="dxa"/>
              <w:top w:w="15" w:type="dxa"/>
              <w:right w:w="15" w:type="dxa"/>
            </w:tcMar>
            <w:tcW w:w="1241" w:type="dxa"/>
            <w:vAlign w:val="center"/>
            <w:vMerge w:val="restart"/>
            <w:textDirection w:val="lrTb"/>
            <w:noWrap/>
          </w:tcPr>
          <w:p>
            <w:pPr>
              <w:jc w:val="center"/>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交通意外伤害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5" w:type="dxa"/>
            <w:vAlign w:val="center"/>
            <w:textDirection w:val="lrTb"/>
            <w:noWrap w:val="false"/>
          </w:tcPr>
          <w:p>
            <w:pPr>
              <w:jc w:val="left"/>
              <w:widowControl/>
              <w:rPr>
                <w:rStyle w:val="7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 xml:space="preserve">乘坐飞机时发生意外身故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rPr>
                <w:rFonts w:hint="eastAsia" w:ascii="宋体" w:hAnsi="宋体" w:eastAsia="宋体" w:cs="宋体"/>
                <w:color w:val="auto"/>
                <w:sz w:val="21"/>
                <w:szCs w:val="21"/>
                <w:highlight w:val="none"/>
                <w:lang w:val="en-US" w:eastAsia="zh-CN"/>
              </w:rPr>
              <w:t xml:space="preserve">万元</w:t>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5"/>
        </w:trPr>
        <w:tc>
          <w:tcPr>
            <w:tcBorders>
              <w:left w:val="single" w:color="000000" w:sz="4" w:space="0"/>
              <w:right w:val="single" w:color="000000" w:sz="4" w:space="0"/>
            </w:tcBorders>
            <w:tcMar>
              <w:left w:w="15" w:type="dxa"/>
              <w:top w:w="15" w:type="dxa"/>
              <w:right w:w="15" w:type="dxa"/>
            </w:tcMar>
            <w:tcW w:w="630" w:type="dxa"/>
            <w:vAlign w:val="center"/>
            <w:vMerge w:val="continue"/>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Mar>
              <w:left w:w="15" w:type="dxa"/>
              <w:top w:w="15" w:type="dxa"/>
              <w:right w:w="15" w:type="dxa"/>
            </w:tcMar>
            <w:tcW w:w="1241" w:type="dxa"/>
            <w:vAlign w:val="center"/>
            <w:vMerge w:val="continue"/>
            <w:textDirection w:val="lrTb"/>
            <w:noWrap/>
          </w:tcPr>
          <w:p>
            <w:pPr>
              <w:jc w:val="left"/>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b w:val="0"/>
                <w:color w:val="auto"/>
                <w:sz w:val="21"/>
                <w:szCs w:val="21"/>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5" w:type="dxa"/>
            <w:vAlign w:val="center"/>
            <w:textDirection w:val="lrTb"/>
            <w:noWrap w:val="false"/>
          </w:tcPr>
          <w:p>
            <w:pPr>
              <w:jc w:val="left"/>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乘坐轨道交通时发生意外身故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万元</w:t>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left w:val="single" w:color="000000" w:sz="4" w:space="0"/>
              <w:right w:val="single" w:color="000000" w:sz="4" w:space="0"/>
            </w:tcBorders>
            <w:tcMar>
              <w:left w:w="15" w:type="dxa"/>
              <w:top w:w="15" w:type="dxa"/>
              <w:right w:w="15" w:type="dxa"/>
            </w:tcMar>
            <w:tcW w:w="630" w:type="dxa"/>
            <w:vAlign w:val="center"/>
            <w:vMerge w:val="continue"/>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Mar>
              <w:left w:w="15" w:type="dxa"/>
              <w:top w:w="15" w:type="dxa"/>
              <w:right w:w="15" w:type="dxa"/>
            </w:tcMar>
            <w:tcW w:w="1241" w:type="dxa"/>
            <w:vAlign w:val="center"/>
            <w:vMerge w:val="continue"/>
            <w:textDirection w:val="lrTb"/>
            <w:noWrap/>
          </w:tcPr>
          <w:p>
            <w:pPr>
              <w:jc w:val="left"/>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b w:val="0"/>
                <w:color w:val="auto"/>
                <w:sz w:val="21"/>
                <w:szCs w:val="21"/>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5" w:type="dxa"/>
            <w:vAlign w:val="center"/>
            <w:textDirection w:val="lrTb"/>
            <w:noWrap w:val="false"/>
          </w:tcPr>
          <w:p>
            <w:pPr>
              <w:jc w:val="left"/>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乘坐水上交通时发生意外身故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万元</w:t>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80"/>
        </w:trPr>
        <w:tc>
          <w:tcPr>
            <w:tcBorders>
              <w:left w:val="single" w:color="000000" w:sz="4" w:space="0"/>
              <w:bottom w:val="single" w:color="000000" w:sz="4" w:space="0"/>
              <w:right w:val="single" w:color="000000" w:sz="4" w:space="0"/>
            </w:tcBorders>
            <w:tcMar>
              <w:left w:w="15" w:type="dxa"/>
              <w:top w:w="15" w:type="dxa"/>
              <w:right w:w="15" w:type="dxa"/>
            </w:tcMar>
            <w:tcW w:w="630" w:type="dxa"/>
            <w:vAlign w:val="center"/>
            <w:vMerge w:val="continue"/>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tcPr>
          <w:p>
            <w:pPr>
              <w:jc w:val="left"/>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b w:val="0"/>
                <w:color w:val="auto"/>
                <w:sz w:val="21"/>
                <w:szCs w:val="21"/>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5" w:type="dxa"/>
            <w:vAlign w:val="center"/>
            <w:textDirection w:val="lrTb"/>
            <w:noWrap w:val="false"/>
          </w:tcPr>
          <w:p>
            <w:pPr>
              <w:jc w:val="left"/>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乘</w:t>
            </w:r>
            <w:r>
              <w:rPr>
                <w:rFonts w:hint="eastAsia" w:ascii="宋体" w:hAnsi="宋体" w:eastAsia="宋体" w:cs="宋体"/>
                <w:color w:val="auto"/>
                <w:sz w:val="21"/>
                <w:szCs w:val="21"/>
                <w:highlight w:val="none"/>
                <w:lang w:val="en-US" w:eastAsia="zh-CN"/>
              </w:rPr>
              <w:t xml:space="preserve">坐</w:t>
            </w:r>
            <w:r>
              <w:rPr>
                <w:rFonts w:hint="eastAsia" w:ascii="宋体" w:hAnsi="宋体" w:eastAsia="宋体" w:cs="宋体"/>
                <w:color w:val="auto"/>
                <w:sz w:val="21"/>
                <w:szCs w:val="21"/>
                <w:highlight w:val="none"/>
              </w:rPr>
              <w:t xml:space="preserve">机动车时发生意外身故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万元</w:t>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tcPr>
          <w:p>
            <w:pPr>
              <w:jc w:val="center"/>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疾病身故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5" w:type="dxa"/>
            <w:vAlign w:val="center"/>
            <w:textDirection w:val="lrTb"/>
            <w:noWrap w:val="false"/>
          </w:tcPr>
          <w:p>
            <w:pPr>
              <w:jc w:val="left"/>
              <w:widowControl/>
              <w:rPr>
                <w:rStyle w:val="7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lang w:val="en-US" w:eastAsia="zh-CN" w:bidi="zh-TW"/>
              </w:rPr>
              <w:t xml:space="preserve">在保险期间内因疾病（生效前已患未治愈疾病的除外）身故，按保险金额赔付。</w:t>
            </w:r>
            <w:r>
              <w:rPr>
                <w:rFonts w:hint="eastAsia" w:ascii="宋体" w:hAnsi="宋体" w:eastAsia="宋体" w:cs="宋体"/>
                <w:color w:val="auto"/>
                <w:sz w:val="21"/>
                <w:szCs w:val="21"/>
                <w:highlight w:val="none"/>
              </w:rPr>
              <w:t xml:space="preserve">续保人员无等待期，新保人员等待</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0天</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5万元</w:t>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spacing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tcPr>
          <w:p>
            <w:pPr>
              <w:jc w:val="center"/>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住院津贴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5" w:type="dxa"/>
            <w:vAlign w:val="center"/>
            <w:textDirection w:val="lrTb"/>
            <w:noWrap w:val="false"/>
          </w:tcPr>
          <w:p>
            <w:pPr>
              <w:jc w:val="left"/>
              <w:widowControl/>
              <w:rPr>
                <w:rStyle w:val="7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 xml:space="preserve">保单生效之日起因意外伤害或疾病</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zh-TW"/>
              </w:rPr>
              <w:t xml:space="preserve">生效前已患未治愈疾病的除外）</w:t>
            </w:r>
            <w:r>
              <w:rPr>
                <w:rFonts w:hint="eastAsia" w:ascii="宋体" w:hAnsi="宋体" w:eastAsia="宋体" w:cs="宋体"/>
                <w:color w:val="auto"/>
                <w:sz w:val="21"/>
                <w:szCs w:val="21"/>
                <w:highlight w:val="none"/>
              </w:rPr>
              <w:t xml:space="preserve">住院在二级以上（含二级）医院或认可的其他医疗机构诊疗，对被保险人住院予以给付50元/天，每次住院给付限额</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0天，累计给付限额180天/年</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续保人员无等待期，新保人员等待期</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0天</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w:t>
            </w:r>
            <w:r>
              <w:rPr>
                <w:rFonts w:hint="eastAsia" w:ascii="宋体" w:hAnsi="宋体" w:eastAsia="宋体" w:cs="宋体"/>
                <w:color w:val="auto"/>
                <w:sz w:val="21"/>
                <w:szCs w:val="21"/>
                <w:highlight w:val="none"/>
                <w:lang w:val="en-US" w:eastAsia="zh-CN"/>
              </w:rPr>
              <w:t xml:space="preserve">万元</w:t>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spacing w:line="5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tcPr>
          <w:p>
            <w:pPr>
              <w:jc w:val="center"/>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重大疾病医疗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5" w:type="dxa"/>
            <w:vAlign w:val="center"/>
            <w:textDirection w:val="lrTb"/>
            <w:noWrap w:val="false"/>
          </w:tcPr>
          <w:p>
            <w:pPr>
              <w:jc w:val="left"/>
              <w:widowControl/>
              <w:rPr>
                <w:rStyle w:val="7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 xml:space="preserve">保单生效之日起，续保人员无等待期，新保人员等待期</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0天后，在二级以上医院初次发生并经专科医生明确诊断患</w:t>
            </w:r>
            <w:r>
              <w:rPr>
                <w:rFonts w:hint="eastAsia" w:ascii="宋体" w:hAnsi="宋体" w:eastAsia="宋体" w:cs="宋体"/>
                <w:color w:val="auto"/>
                <w:sz w:val="21"/>
                <w:szCs w:val="21"/>
                <w:highlight w:val="none"/>
                <w:lang w:val="en-US" w:eastAsia="zh-CN"/>
              </w:rPr>
              <w:t xml:space="preserve">二十八</w:t>
            </w:r>
            <w:r>
              <w:rPr>
                <w:rFonts w:hint="eastAsia" w:ascii="宋体" w:hAnsi="宋体" w:eastAsia="宋体" w:cs="宋体"/>
                <w:color w:val="auto"/>
                <w:sz w:val="21"/>
                <w:szCs w:val="21"/>
                <w:highlight w:val="none"/>
              </w:rPr>
              <w:t xml:space="preserve">种重大疾病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zh-TW"/>
              </w:rPr>
              <w:t xml:space="preserve">三种轻症（按保险金额20%给付）</w:t>
            </w:r>
            <w:r>
              <w:rPr>
                <w:rFonts w:hint="eastAsia" w:ascii="宋体" w:hAnsi="宋体" w:eastAsia="宋体" w:cs="宋体"/>
                <w:color w:val="auto"/>
                <w:sz w:val="21"/>
                <w:szCs w:val="21"/>
                <w:highlight w:val="none"/>
              </w:rPr>
              <w:t xml:space="preserve">赔付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zh-TW"/>
              </w:rPr>
              <w:t xml:space="preserve">生效前已患未治愈疾病的除外。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万元</w:t>
            </w:r>
            <w:r/>
          </w:p>
        </w:tc>
        <w:tc>
          <w:tcPr>
            <w:tcBorders>
              <w:left w:val="single" w:color="000000" w:sz="4" w:space="0"/>
              <w:bottom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41"/>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：保险金额为最低标准，低于该标准的</w:t>
      </w:r>
      <w:r>
        <w:rPr>
          <w:rFonts w:hint="eastAsia" w:ascii="宋体" w:hAnsi="宋体" w:eastAsia="宋体" w:cs="宋体"/>
          <w:b/>
          <w:bCs/>
          <w:color w:val="auto"/>
          <w:sz w:val="24"/>
          <w:szCs w:val="24"/>
          <w:highlight w:val="none"/>
          <w:lang w:val="en-US" w:eastAsia="zh-CN"/>
        </w:rPr>
        <w:t xml:space="preserve">作</w:t>
      </w:r>
      <w:r>
        <w:rPr>
          <w:rFonts w:hint="eastAsia" w:ascii="宋体" w:hAnsi="宋体" w:eastAsia="宋体" w:cs="宋体"/>
          <w:b/>
          <w:bCs/>
          <w:color w:val="auto"/>
          <w:sz w:val="24"/>
          <w:szCs w:val="24"/>
          <w:highlight w:val="none"/>
        </w:rPr>
        <w:t xml:space="preserve">无效</w:t>
      </w:r>
      <w:r>
        <w:rPr>
          <w:rFonts w:hint="eastAsia" w:ascii="宋体" w:hAnsi="宋体" w:eastAsia="宋体" w:cs="宋体"/>
          <w:b/>
          <w:bCs/>
          <w:color w:val="auto"/>
          <w:sz w:val="24"/>
          <w:szCs w:val="24"/>
          <w:highlight w:val="none"/>
          <w:lang w:val="en-US" w:eastAsia="zh-CN"/>
        </w:rPr>
        <w:t xml:space="preserve">响应处理</w:t>
      </w:r>
      <w:r>
        <w:rPr>
          <w:rFonts w:hint="eastAsia" w:ascii="宋体" w:hAnsi="宋体" w:eastAsia="宋体" w:cs="宋体"/>
          <w:b/>
          <w:bCs/>
          <w:color w:val="auto"/>
          <w:sz w:val="24"/>
          <w:szCs w:val="24"/>
          <w:highlight w:val="none"/>
        </w:rPr>
        <w:t xml:space="preserve">。</w:t>
      </w:r>
      <w:r/>
    </w:p>
    <w:p>
      <w:pPr>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保险责任补充：</w:t>
      </w:r>
      <w:r/>
    </w:p>
    <w:p>
      <w:pPr>
        <w:ind w:firstLine="48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1、保障民警工作及非工作期间出现的意外伤害甚至死亡情况（例如意外身故、车船飞机等交通工具意外身故、猝死、意外伤残、重大疾病、意外医疗等)。</w:t>
      </w:r>
      <w:r/>
    </w:p>
    <w:p>
      <w:pPr>
        <w:pStyle w:val="91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2、意外伤害保障 </w:t>
      </w:r>
      <w:r/>
    </w:p>
    <w:p>
      <w:pPr>
        <w:pStyle w:val="91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意外身故给付标准不低于10万元；</w:t>
      </w:r>
      <w:r/>
    </w:p>
    <w:p>
      <w:pPr>
        <w:pStyle w:val="91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意外残疾给付标准不低于10万元；</w:t>
      </w:r>
      <w:r/>
    </w:p>
    <w:p>
      <w:pPr>
        <w:pStyle w:val="91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意外门诊医疗、意外住院治疗给付标准不低于1万元。</w:t>
      </w:r>
      <w:r/>
    </w:p>
    <w:p>
      <w:pPr>
        <w:pStyle w:val="91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适用《劳动能力鉴定职工工伤与职业病致残等级》的规定，伤残等级所对应的保险金给付比例给付伤残保险金，详见下表。</w:t>
      </w:r>
      <w:r/>
    </w:p>
    <w:tbl>
      <w:tblPr>
        <w:tblStyle w:val="712"/>
        <w:tblW w:w="0" w:type="auto"/>
        <w:jc w:val="center"/>
        <w:tblLayout w:type="fixed"/>
        <w:tblCellMar>
          <w:left w:w="15" w:type="dxa"/>
          <w:top w:w="15" w:type="dxa"/>
          <w:right w:w="15" w:type="dxa"/>
          <w:bottom w:w="0" w:type="dxa"/>
        </w:tblCellMar>
        <w:tblLook w:val="04A0" w:firstRow="1" w:lastRow="0" w:firstColumn="1" w:lastColumn="0" w:noHBand="0" w:noVBand="1"/>
      </w:tblPr>
      <w:tblGrid>
        <w:gridCol w:w="3797"/>
        <w:gridCol w:w="3962"/>
      </w:tblGrid>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97"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伤残等级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62"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赔偿比例</w:t>
            </w:r>
            <w:r/>
          </w:p>
        </w:tc>
      </w:tr>
      <w:tr>
        <w:trPr>
          <w:jc w:val="center"/>
          <w:trHeight w:val="349"/>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797"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一级</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62"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100%</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97"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二级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2"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75%</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97"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三级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62"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50%</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97"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四级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2"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30%</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97"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五级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2"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20%</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97"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六级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2"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15%</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97"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七级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2"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10%</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97"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八级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2"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7%</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97"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九级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2"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5%</w:t>
            </w:r>
            <w:r/>
          </w:p>
        </w:tc>
      </w:tr>
      <w:tr>
        <w:trPr>
          <w:jc w:val="center"/>
          <w:trHeight w:val="3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97"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十级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2" w:type="dxa"/>
            <w:vAlign w:val="center"/>
            <w:textDirection w:val="lrTb"/>
            <w:noWrap w:val="false"/>
          </w:tcPr>
          <w:p>
            <w:pPr>
              <w:pStyle w:val="910"/>
              <w:numPr>
                <w:ilvl w:val="0"/>
                <w:numId w:val="0"/>
              </w:numPr>
              <w:ind w:firstLine="240"/>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3%</w:t>
            </w:r>
            <w:r/>
          </w:p>
        </w:tc>
      </w:tr>
    </w:tbl>
    <w:p>
      <w:pPr>
        <w:pStyle w:val="910"/>
        <w:numPr>
          <w:ilvl w:val="0"/>
          <w:numId w:val="0"/>
        </w:numPr>
        <w:ind w:firstLine="24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zh-TW"/>
        </w:rPr>
      </w:pPr>
      <w:r>
        <w:rPr>
          <w:rFonts w:hint="eastAsia" w:hAnsi="宋体" w:eastAsia="宋体" w:cs="宋体"/>
          <w:b w:val="0"/>
          <w:bCs w:val="0"/>
          <w:color w:val="auto"/>
          <w:sz w:val="24"/>
          <w:szCs w:val="24"/>
          <w:highlight w:val="none"/>
          <w:lang w:val="en-US" w:eastAsia="zh-CN" w:bidi="zh-TW"/>
        </w:rPr>
        <w:t xml:space="preserve">3</w:t>
      </w:r>
      <w:r>
        <w:rPr>
          <w:rFonts w:hint="eastAsia" w:ascii="宋体" w:hAnsi="宋体" w:eastAsia="宋体" w:cs="宋体"/>
          <w:b w:val="0"/>
          <w:bCs w:val="0"/>
          <w:color w:val="auto"/>
          <w:sz w:val="24"/>
          <w:szCs w:val="24"/>
          <w:highlight w:val="none"/>
          <w:lang w:val="en-US" w:eastAsia="zh-CN" w:bidi="zh-TW"/>
        </w:rPr>
        <w:t xml:space="preserve">、疾病、住院保障：</w:t>
      </w:r>
      <w:r/>
    </w:p>
    <w:p>
      <w:pPr>
        <w:pStyle w:val="91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疾病身故给付标准不低于5万元；</w:t>
      </w:r>
      <w:r/>
    </w:p>
    <w:p>
      <w:pPr>
        <w:pStyle w:val="91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意外或疾病住院给付标准不低于0.9万元；</w:t>
      </w:r>
      <w:r/>
    </w:p>
    <w:p>
      <w:pPr>
        <w:pStyle w:val="91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重大疾病给付标准不低于5万元，31种重大疾病按照中国保险行业协会《重大疾病保险的疾病定义使用规范(2020年修订版)》标准执行，包含28种重度疾病和3种特定疾病。</w:t>
      </w:r>
      <w:r/>
    </w:p>
    <w:p>
      <w:pPr>
        <w:pStyle w:val="910"/>
        <w:numPr>
          <w:ilvl w:val="0"/>
          <w:numId w:val="0"/>
        </w:numPr>
        <w:ind w:firstLine="24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zh-TW"/>
        </w:rPr>
      </w:pPr>
      <w:r>
        <w:rPr>
          <w:rFonts w:hint="eastAsia" w:hAnsi="宋体" w:eastAsia="宋体" w:cs="宋体"/>
          <w:b w:val="0"/>
          <w:bCs w:val="0"/>
          <w:color w:val="auto"/>
          <w:sz w:val="24"/>
          <w:szCs w:val="24"/>
          <w:highlight w:val="none"/>
          <w:lang w:val="en-US" w:eastAsia="zh-CN" w:bidi="zh-TW"/>
        </w:rPr>
        <w:t xml:space="preserve">4、</w:t>
      </w:r>
      <w:r>
        <w:rPr>
          <w:rFonts w:hint="eastAsia" w:ascii="宋体" w:hAnsi="宋体" w:eastAsia="宋体" w:cs="宋体"/>
          <w:b w:val="0"/>
          <w:bCs w:val="0"/>
          <w:color w:val="auto"/>
          <w:sz w:val="24"/>
          <w:szCs w:val="24"/>
          <w:highlight w:val="none"/>
          <w:lang w:val="en-US" w:eastAsia="zh-CN" w:bidi="zh-TW"/>
        </w:rPr>
        <w:t xml:space="preserve">交通意外保障：</w:t>
      </w:r>
      <w:r/>
    </w:p>
    <w:p>
      <w:pPr>
        <w:pStyle w:val="91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机动车交通意外保障给付标准不低于10万元；</w:t>
      </w:r>
      <w:r/>
    </w:p>
    <w:p>
      <w:pPr>
        <w:pStyle w:val="91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水上、轨道交通意外保障给付标准不低于20万元；</w:t>
      </w:r>
      <w:r/>
    </w:p>
    <w:p>
      <w:pPr>
        <w:pStyle w:val="910"/>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飞机交通意外保障给付标准不低于50万元。 </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（二）服务人员要求</w:t>
      </w:r>
      <w:r/>
    </w:p>
    <w:p>
      <w:pPr>
        <w:ind w:firstLine="48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eastAsia="zh-CN"/>
        </w:rPr>
        <w:t xml:space="preserve">承保服务</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eastAsia="zh-CN"/>
        </w:rPr>
        <w:t xml:space="preserve">）指定专门的客服人员，接受各方咨询，解释相关保险内容。</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eastAsia="zh-CN"/>
        </w:rPr>
        <w:t xml:space="preserve">）定期走访采购方，听取相关意见和建议，不断提高服务水平，为采购方分忧。</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eastAsia="zh-CN"/>
        </w:rPr>
        <w:t xml:space="preserve">）每季度按时向相关部门汇报上季度的理赔情况。</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eastAsia="zh-CN"/>
        </w:rPr>
        <w:t xml:space="preserve">理赔服务</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eastAsia="zh-CN"/>
        </w:rPr>
        <w:t xml:space="preserve">）保险服务基础标准：</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统一实行24小时接报案；统一实行24小时查勘；统一实行24小时救援；</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统一实行8小时全年无休理赔工作；统一实行24小时投诉服务；设立24小时保险服务专线电话，电脑录音系统和查勘调度系统保证畅通无误，及时准确。全年365天随时接受被保险人的出险报案，并立即通知保险公司本项目客户服务专员。  </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eastAsia="zh-CN"/>
        </w:rPr>
        <w:t xml:space="preserve">）设立专人专门窗口负责受理赔款案件，实行一站式服务，确保理赔、财务、信息技术等环节的高效畅通。</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eastAsia="zh-CN"/>
        </w:rPr>
        <w:t xml:space="preserve">）接到报案后应详细的告知被保险人注意事项，承保范围，保障内容及理赔时需要准备的材料等，不得欺骗、误导被保险人；</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eastAsia="zh-CN"/>
        </w:rPr>
        <w:t xml:space="preserve">）配合被保险人了解、熟悉理赔流程，指定专人上门收取索赔单证，并在约定的时间内上门收取，不得以任何理由拒绝上门服务。</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eastAsia="zh-CN"/>
        </w:rPr>
        <w:t xml:space="preserve">）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zh-CN" w:eastAsia="zh-CN"/>
        </w:rPr>
        <w:t xml:space="preserve">）接到被保险人报案后，对于属于保险责任的事故，同意按照以下约定及时确定赔偿金额：</w:t>
      </w:r>
      <w:r>
        <w:rPr>
          <w:rFonts w:hint="eastAsia" w:ascii="宋体" w:hAnsi="宋体" w:eastAsia="宋体" w:cs="宋体"/>
          <w:bCs/>
          <w:color w:val="auto"/>
          <w:sz w:val="24"/>
          <w:szCs w:val="24"/>
          <w:highlight w:val="none"/>
          <w:lang w:val="en-US" w:eastAsia="zh-CN"/>
        </w:rPr>
        <w:t xml:space="preserve">理赔</w:t>
      </w:r>
      <w:r>
        <w:rPr>
          <w:rFonts w:hint="eastAsia" w:ascii="宋体" w:hAnsi="宋体" w:eastAsia="宋体" w:cs="宋体"/>
          <w:bCs/>
          <w:color w:val="auto"/>
          <w:sz w:val="24"/>
          <w:szCs w:val="24"/>
          <w:highlight w:val="none"/>
          <w:lang w:val="zh-CN" w:eastAsia="zh-CN"/>
        </w:rPr>
        <w:t xml:space="preserve">资料齐全后10个工作日内确定赔偿金额。 </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zh-CN" w:eastAsia="zh-CN"/>
        </w:rPr>
        <w:t xml:space="preserve">）对于不属于保险责任的，同意在接到被保险人赔偿请求后5个工作日内向其发出《拒赔通知书》。</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zh-CN" w:eastAsia="zh-CN"/>
        </w:rPr>
        <w:t xml:space="preserve">）对于不属于保险责任的，保险公司在接到被保险人赔偿请求后没有按规定时间向其发出《拒赔通知书》，则按保险责任处理。 </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zh-CN" w:eastAsia="zh-CN"/>
        </w:rPr>
        <w:t xml:space="preserve">）每半年度向采购方提交《保险服务报告》，年终向采购方提交《年度服务综合报告》。</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eastAsia="zh-CN"/>
        </w:rPr>
        <w:t xml:space="preserve">其他保险服务</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eastAsia="zh-CN"/>
        </w:rPr>
        <w:t xml:space="preserve">）定期沟通制：每季度召开保险工作例会，通报保险事故情况、理赔进展情况、商定各项服务计划和共同解决需双方协调的事宜； </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eastAsia="zh-CN"/>
        </w:rPr>
        <w:t xml:space="preserve">）培训、考察机制：提供专项培训，培训内容主要包括保险的基础知识、保险合同责任及条款解释、保险事故索赔程序等方面的内容；</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eastAsia="zh-CN"/>
        </w:rPr>
        <w:t xml:space="preserve">）风险管理计划：每年举办一次针对意外事故防范的活动，培训活动时间由投保人、保险人共同拟定；</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eastAsia="zh-CN"/>
        </w:rPr>
        <w:t xml:space="preserve">）提供业主方要求的其他保险服务。</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人员配备</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对本采购项目须设立专项小组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其中项目经理1名，负责按照本次保险的有关要求为各被保险人提供承保、理赔及其他各类保险服务，包括必要的组织与协调工作</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客户服务专员：至少配备</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名，其中有</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名应为项目专职承保人员，</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名应为项目专职理赔人员，协助项目经理提供保险服务（提供专项小组</w:t>
      </w:r>
      <w:r>
        <w:rPr>
          <w:rFonts w:hint="eastAsia" w:ascii="宋体" w:hAnsi="宋体" w:eastAsia="宋体" w:cs="宋体"/>
          <w:bCs/>
          <w:color w:val="auto"/>
          <w:sz w:val="24"/>
          <w:szCs w:val="24"/>
          <w:highlight w:val="none"/>
          <w:lang w:val="en-US" w:eastAsia="zh-CN"/>
        </w:rPr>
        <w:t xml:space="preserve">人员身份证及劳动合同</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根据相应文件内容，配合投保人完成核保与出单事宜，并在收到投保单和保费五个工作日内将保单正本和保费发票派专人送达投保人。 </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w:t>
      </w:r>
      <w:r>
        <w:rPr>
          <w:rFonts w:hint="eastAsia" w:ascii="宋体" w:hAnsi="宋体" w:eastAsia="宋体" w:cs="宋体"/>
          <w:bCs/>
          <w:color w:val="auto"/>
          <w:sz w:val="24"/>
          <w:szCs w:val="24"/>
          <w:highlight w:val="none"/>
          <w:lang w:val="zh-CN" w:eastAsia="zh-CN"/>
        </w:rPr>
        <w:t xml:space="preserve">的承诺不得有违反保险行业相关法律法规内容，否则</w:t>
      </w:r>
      <w:r>
        <w:rPr>
          <w:rFonts w:hint="eastAsia" w:ascii="宋体" w:hAnsi="宋体" w:eastAsia="宋体" w:cs="宋体"/>
          <w:bCs/>
          <w:color w:val="auto"/>
          <w:sz w:val="24"/>
          <w:szCs w:val="24"/>
          <w:highlight w:val="none"/>
          <w:lang w:val="en-US" w:eastAsia="zh-CN"/>
        </w:rPr>
        <w:t xml:space="preserve">采购人有权终止项目。</w:t>
      </w:r>
      <w:r/>
    </w:p>
    <w:p>
      <w:pPr>
        <w:ind w:firstLine="470"/>
        <w:keepLines w:val="0"/>
        <w:keepNext w:val="0"/>
        <w:pageBreakBefore w:val="0"/>
        <w:spacing w:line="360" w:lineRule="auto"/>
        <w:tabs>
          <w:tab w:val="left" w:pos="36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6.供应商</w:t>
      </w:r>
      <w:r>
        <w:rPr>
          <w:rFonts w:hint="eastAsia" w:ascii="宋体" w:hAnsi="宋体" w:eastAsia="宋体" w:cs="宋体"/>
          <w:bCs/>
          <w:color w:val="auto"/>
          <w:sz w:val="24"/>
          <w:szCs w:val="24"/>
          <w:highlight w:val="none"/>
          <w:lang w:val="zh-CN" w:eastAsia="zh-CN"/>
        </w:rPr>
        <w:t xml:space="preserve">应明确投保、送交保单、保费缴纳、材料交接、赔款划付等有关工作的具体操作程序和步骤，以利于做好该保险项目的服务工作。</w:t>
      </w:r>
      <w:r/>
    </w:p>
    <w:p>
      <w:pPr>
        <w:ind w:firstLine="480"/>
        <w:keepLines w:val="0"/>
        <w:keepNext w:val="0"/>
        <w:pageBreakBefore w:val="0"/>
        <w:spacing w:line="360" w:lineRule="auto"/>
        <w:tabs>
          <w:tab w:val="left" w:pos="900" w:leader="none"/>
        </w:tabs>
        <w:rPr>
          <w:rFonts w:hint="eastAsia" w:ascii="宋体" w:hAnsi="宋体" w:eastAsia="宋体" w:cs="宋体"/>
          <w:b/>
          <w:bCs/>
          <w:color w:val="auto"/>
          <w:sz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zh-CN" w:eastAsia="zh-CN"/>
        </w:rPr>
        <w:t xml:space="preserve">承保的保险公司在采购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lang w:val="zh-CN" w:eastAsia="zh-CN"/>
        </w:rPr>
        <w:t xml:space="preserve">的统一领导下，为参加本保险的被保险人提供全面、便捷、高效的保险服务。协助做好政策宣传、解释等工作。</w:t>
      </w:r>
      <w:r/>
    </w:p>
    <w:p>
      <w:pPr>
        <w:pStyle w:val="702"/>
        <w:jc w:val="center"/>
        <w:spacing w:before="156" w:after="156" w:line="360" w:lineRule="auto"/>
        <w:rPr>
          <w:rFonts w:hint="eastAsia" w:ascii="宋体" w:hAnsi="宋体" w:eastAsia="宋体" w:cs="宋体"/>
          <w:b/>
          <w:bCs w:val="0"/>
          <w:color w:val="auto"/>
          <w:highlight w:val="none"/>
        </w:rPr>
      </w:pPr>
      <w:r/>
      <w:bookmarkStart w:id="12" w:name="_Toc12994"/>
      <w:r/>
      <w:bookmarkStart w:id="13" w:name="_Toc161932695"/>
      <w:r>
        <w:rPr>
          <w:rFonts w:hint="eastAsia" w:ascii="宋体" w:hAnsi="宋体" w:eastAsia="宋体" w:cs="宋体"/>
          <w:b/>
          <w:bCs w:val="0"/>
          <w:color w:val="auto"/>
          <w:highlight w:val="none"/>
        </w:rPr>
        <w:t xml:space="preserve">第五章  评审方法与评审标准</w:t>
      </w:r>
      <w:bookmarkEnd w:id="12"/>
      <w:r/>
      <w:bookmarkEnd w:id="13"/>
      <w:r/>
      <w:r/>
    </w:p>
    <w:p>
      <w:pPr>
        <w:pStyle w:val="908"/>
        <w:ind w:firstLine="482"/>
        <w:spacing w:line="400" w:lineRule="exact"/>
        <w:rPr>
          <w:rFonts w:ascii="Times New Roman" w:hAnsi="Times New Roman"/>
          <w:b/>
          <w:bCs/>
          <w:color w:val="000000"/>
          <w:highlight w:val="none"/>
        </w:rPr>
      </w:pPr>
      <w:r>
        <w:rPr>
          <w:rFonts w:ascii="Times New Roman" w:hAnsi="Times New Roman"/>
          <w:b/>
          <w:bCs/>
          <w:color w:val="000000"/>
          <w:highlight w:val="none"/>
        </w:rPr>
        <w:t xml:space="preserve">一、</w:t>
      </w:r>
      <w:r>
        <w:rPr>
          <w:rFonts w:ascii="Times New Roman" w:hAnsi="Times New Roman"/>
          <w:b/>
          <w:color w:val="000000"/>
          <w:highlight w:val="none"/>
        </w:rPr>
        <w:t xml:space="preserve">磋商小组：</w:t>
      </w:r>
      <w:r/>
    </w:p>
    <w:p>
      <w:pPr>
        <w:pStyle w:val="908"/>
        <w:spacing w:line="400" w:lineRule="exact"/>
        <w:rPr>
          <w:rFonts w:ascii="Times New Roman" w:hAnsi="Times New Roman"/>
          <w:bCs/>
          <w:color w:val="000000"/>
          <w:highlight w:val="none"/>
        </w:rPr>
      </w:pPr>
      <w:r>
        <w:rPr>
          <w:rFonts w:ascii="Times New Roman" w:hAnsi="Times New Roman"/>
          <w:bCs/>
          <w:color w:val="000000"/>
          <w:highlight w:val="none"/>
        </w:rPr>
        <w:t xml:space="preserve">本采购项目磋商小组由采购人代表和评审专家组成。</w:t>
      </w:r>
      <w:r/>
    </w:p>
    <w:p>
      <w:pPr>
        <w:pStyle w:val="908"/>
        <w:ind w:firstLine="482"/>
        <w:spacing w:line="400" w:lineRule="exact"/>
        <w:rPr>
          <w:rFonts w:ascii="Times New Roman" w:hAnsi="Times New Roman"/>
          <w:b/>
          <w:bCs/>
          <w:color w:val="000000"/>
          <w:highlight w:val="none"/>
        </w:rPr>
      </w:pPr>
      <w:r>
        <w:rPr>
          <w:rFonts w:ascii="Times New Roman" w:hAnsi="Times New Roman"/>
          <w:b/>
          <w:bCs/>
          <w:color w:val="000000"/>
          <w:highlight w:val="none"/>
        </w:rPr>
        <w:t xml:space="preserve">二</w:t>
      </w:r>
      <w:r>
        <w:rPr>
          <w:rFonts w:ascii="Times New Roman" w:hAnsi="Times New Roman"/>
          <w:b/>
          <w:color w:val="000000"/>
          <w:highlight w:val="none"/>
        </w:rPr>
        <w:t xml:space="preserve">、评审方法：</w:t>
      </w:r>
      <w:r>
        <w:rPr>
          <w:rFonts w:ascii="Times New Roman" w:hAnsi="Times New Roman"/>
          <w:b/>
          <w:bCs/>
          <w:color w:val="000000"/>
          <w:highlight w:val="none"/>
        </w:rPr>
        <w:t xml:space="preserve">综合评分法</w:t>
      </w:r>
      <w:r/>
    </w:p>
    <w:p>
      <w:pPr>
        <w:pStyle w:val="908"/>
        <w:spacing w:line="400" w:lineRule="exact"/>
        <w:rPr>
          <w:rFonts w:ascii="Times New Roman" w:hAnsi="Times New Roman"/>
          <w:color w:val="000000"/>
          <w:highlight w:val="none"/>
        </w:rPr>
      </w:pPr>
      <w:r>
        <w:rPr>
          <w:rFonts w:ascii="Times New Roman" w:hAnsi="Times New Roman"/>
          <w:color w:val="000000"/>
          <w:highlight w:val="none"/>
        </w:rPr>
        <w:t xml:space="preserve">经磋商确定最终采购需求和提交二轮（最后）报价的供应商后，由磋商小组采用综合评分法对提交二轮（最后）报价的供应商的响应文件和二轮（最后）报价进行综合评分。</w:t>
      </w:r>
      <w:r/>
    </w:p>
    <w:p>
      <w:pPr>
        <w:pStyle w:val="908"/>
        <w:spacing w:line="400" w:lineRule="exact"/>
        <w:rPr>
          <w:rFonts w:ascii="Times New Roman" w:hAnsi="Times New Roman"/>
          <w:color w:val="000000"/>
          <w:highlight w:val="none"/>
        </w:rPr>
      </w:pPr>
      <w:r>
        <w:rPr>
          <w:rFonts w:ascii="Times New Roman" w:hAnsi="Times New Roman"/>
          <w:color w:val="000000"/>
          <w:highlight w:val="none"/>
        </w:rPr>
        <w:t xml:space="preserve">综合评分法，是指响应文件满足磋商文件全部实质性要求且按评审因素的量化指标评审得分最高的供应商为成交候选供应商的评审方法。</w:t>
      </w:r>
      <w:r/>
    </w:p>
    <w:p>
      <w:pPr>
        <w:pStyle w:val="908"/>
        <w:ind w:firstLine="482"/>
        <w:spacing w:line="400" w:lineRule="exact"/>
        <w:rPr>
          <w:rFonts w:ascii="Times New Roman" w:hAnsi="Times New Roman"/>
          <w:b/>
          <w:bCs/>
          <w:color w:val="000000"/>
          <w:highlight w:val="none"/>
        </w:rPr>
      </w:pPr>
      <w:r>
        <w:rPr>
          <w:rFonts w:ascii="Times New Roman" w:hAnsi="Times New Roman"/>
          <w:b/>
          <w:bCs/>
          <w:color w:val="000000"/>
          <w:highlight w:val="none"/>
        </w:rPr>
        <w:t xml:space="preserve">三、</w:t>
      </w:r>
      <w:r>
        <w:rPr>
          <w:rFonts w:ascii="Times New Roman" w:hAnsi="Times New Roman"/>
          <w:b/>
          <w:color w:val="000000"/>
          <w:highlight w:val="none"/>
        </w:rPr>
        <w:t xml:space="preserve">评审</w:t>
      </w:r>
      <w:r>
        <w:rPr>
          <w:rFonts w:ascii="Times New Roman" w:hAnsi="Times New Roman"/>
          <w:b/>
          <w:bCs/>
          <w:color w:val="000000"/>
          <w:highlight w:val="none"/>
        </w:rPr>
        <w:t xml:space="preserve">原则：</w:t>
      </w:r>
      <w:r/>
    </w:p>
    <w:p>
      <w:pPr>
        <w:pStyle w:val="908"/>
        <w:spacing w:line="400" w:lineRule="exact"/>
        <w:rPr>
          <w:rFonts w:ascii="Times New Roman" w:hAnsi="Times New Roman"/>
          <w:bCs/>
          <w:color w:val="000000"/>
          <w:highlight w:val="none"/>
        </w:rPr>
      </w:pPr>
      <w:r>
        <w:rPr>
          <w:rFonts w:ascii="宋体" w:hAnsi="宋体" w:eastAsia="宋体" w:cs="宋体"/>
          <w:color w:val="000000"/>
          <w:sz w:val="24"/>
        </w:rPr>
        <w:t xml:space="preserve">磋商小组必须客观、公正、审慎，不带任何倾向性和启发性；不得向外界透露任何与评审有关的内容；任何单位和个人不得干扰、影响评审的正常进行；磋商小组及有关工作人员不得私下与供应商接触</w:t>
      </w:r>
      <w:r>
        <w:rPr>
          <w:rFonts w:ascii="Times New Roman" w:hAnsi="Times New Roman"/>
          <w:bCs/>
          <w:color w:val="000000"/>
          <w:highlight w:val="none"/>
        </w:rPr>
        <w:t xml:space="preserve">。</w:t>
      </w:r>
      <w:r/>
    </w:p>
    <w:p>
      <w:pPr>
        <w:pStyle w:val="908"/>
        <w:ind w:firstLine="482"/>
        <w:spacing w:line="400" w:lineRule="exact"/>
        <w:rPr>
          <w:rFonts w:ascii="Times New Roman" w:hAnsi="Times New Roman"/>
          <w:b/>
          <w:bCs/>
          <w:color w:val="000000"/>
          <w:highlight w:val="none"/>
        </w:rPr>
      </w:pPr>
      <w:r>
        <w:rPr>
          <w:rFonts w:ascii="Times New Roman" w:hAnsi="Times New Roman"/>
          <w:b/>
          <w:bCs/>
          <w:color w:val="000000"/>
          <w:highlight w:val="none"/>
        </w:rPr>
        <w:t xml:space="preserve">四、评审标准： </w:t>
      </w:r>
      <w:r/>
    </w:p>
    <w:p>
      <w:pPr>
        <w:pStyle w:val="908"/>
        <w:spacing w:line="400" w:lineRule="exact"/>
        <w:rPr>
          <w:rFonts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lang w:eastAsia="zh-CN"/>
        </w:rPr>
        <w:t xml:space="preserve">（</w:t>
      </w:r>
      <w:r>
        <w:rPr>
          <w:rFonts w:ascii="Times New Roman" w:hAnsi="Times New Roman" w:eastAsia="宋体" w:cs="Times New Roman"/>
          <w:bCs/>
          <w:color w:val="000000"/>
          <w:highlight w:val="none"/>
        </w:rPr>
        <w:t xml:space="preserve">一</w:t>
      </w:r>
      <w:r>
        <w:rPr>
          <w:rFonts w:hint="eastAsia" w:ascii="Times New Roman" w:hAnsi="Times New Roman" w:eastAsia="宋体" w:cs="Times New Roman"/>
          <w:bCs/>
          <w:color w:val="000000"/>
          <w:highlight w:val="none"/>
          <w:lang w:eastAsia="zh-CN"/>
        </w:rPr>
        <w:t xml:space="preserve">）</w:t>
      </w:r>
      <w:r>
        <w:rPr>
          <w:rFonts w:ascii="Times New Roman" w:hAnsi="Times New Roman" w:eastAsia="宋体" w:cs="Times New Roman"/>
          <w:bCs/>
          <w:color w:val="000000"/>
          <w:highlight w:val="none"/>
        </w:rPr>
        <w:t xml:space="preserve">评审时，磋商小组以磋商文件为评审依据，磋商小组各成员独立对每个有效响应的文件进行评价、打分，然后汇总每个供应商每项评分因素的得分。</w:t>
      </w:r>
      <w:r/>
    </w:p>
    <w:p>
      <w:pPr>
        <w:pStyle w:val="908"/>
        <w:spacing w:line="400" w:lineRule="exact"/>
        <w:rPr>
          <w:rFonts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lang w:eastAsia="zh-CN"/>
        </w:rPr>
        <w:t xml:space="preserve">（</w:t>
      </w:r>
      <w:r>
        <w:rPr>
          <w:rFonts w:ascii="Times New Roman" w:hAnsi="Times New Roman" w:eastAsia="宋体" w:cs="Times New Roman"/>
          <w:bCs/>
          <w:color w:val="000000"/>
          <w:highlight w:val="none"/>
        </w:rPr>
        <w:t xml:space="preserve">二</w:t>
      </w:r>
      <w:r>
        <w:rPr>
          <w:rFonts w:hint="eastAsia" w:ascii="Times New Roman" w:hAnsi="Times New Roman" w:eastAsia="宋体" w:cs="Times New Roman"/>
          <w:bCs/>
          <w:color w:val="000000"/>
          <w:highlight w:val="none"/>
          <w:lang w:eastAsia="zh-CN"/>
        </w:rPr>
        <w:t xml:space="preserve">）</w:t>
      </w:r>
      <w:r>
        <w:rPr>
          <w:rFonts w:ascii="Times New Roman" w:hAnsi="Times New Roman" w:eastAsia="宋体" w:cs="Times New Roman"/>
          <w:bCs/>
          <w:color w:val="000000"/>
          <w:highlight w:val="none"/>
        </w:rPr>
        <w:t xml:space="preserve">本项目评分总分为100分，按四舍五入取至小数点后两位。</w:t>
      </w:r>
      <w:r/>
    </w:p>
    <w:p>
      <w:pPr>
        <w:pStyle w:val="908"/>
        <w:ind w:firstLine="643"/>
        <w:jc w:val="center"/>
        <w:spacing w:line="400" w:lineRule="exact"/>
        <w:rPr>
          <w:rFonts w:hint="eastAsia" w:ascii="Times New Roman" w:hAnsi="Times New Roman" w:eastAsia="宋体"/>
          <w:b/>
          <w:bCs/>
          <w:color w:val="000000"/>
          <w:sz w:val="32"/>
          <w:szCs w:val="32"/>
          <w:highlight w:val="none"/>
          <w:lang w:eastAsia="zh-CN"/>
        </w:rPr>
      </w:pPr>
      <w:r>
        <w:rPr>
          <w:rFonts w:hint="eastAsia" w:ascii="Times New Roman" w:hAnsi="Times New Roman"/>
          <w:b/>
          <w:bCs/>
          <w:color w:val="000000"/>
          <w:sz w:val="32"/>
          <w:szCs w:val="32"/>
          <w:highlight w:val="none"/>
        </w:rPr>
        <w:t xml:space="preserve">综合评分法</w:t>
      </w:r>
      <w:r>
        <w:rPr>
          <w:rFonts w:hint="eastAsia" w:ascii="Times New Roman" w:hAnsi="Times New Roman"/>
          <w:b/>
          <w:bCs/>
          <w:color w:val="000000"/>
          <w:sz w:val="32"/>
          <w:szCs w:val="32"/>
          <w:highlight w:val="none"/>
          <w:lang w:eastAsia="zh-CN"/>
        </w:rPr>
        <w:t xml:space="preserve">（</w:t>
      </w:r>
      <w:r>
        <w:rPr>
          <w:rFonts w:hint="eastAsia" w:ascii="Times New Roman" w:hAnsi="Times New Roman" w:eastAsia="宋体" w:cs="Times New Roman"/>
          <w:b/>
          <w:bCs/>
          <w:color w:val="000000"/>
          <w:sz w:val="32"/>
          <w:szCs w:val="32"/>
          <w:highlight w:val="none"/>
          <w:lang w:val="en-US" w:eastAsia="zh-CN"/>
        </w:rPr>
        <w:t xml:space="preserve">采购包1</w:t>
      </w:r>
      <w:r>
        <w:rPr>
          <w:rFonts w:hint="eastAsia" w:ascii="Times New Roman" w:hAnsi="Times New Roman"/>
          <w:b/>
          <w:bCs/>
          <w:color w:val="000000"/>
          <w:sz w:val="32"/>
          <w:szCs w:val="32"/>
          <w:highlight w:val="none"/>
          <w:lang w:eastAsia="zh-CN"/>
        </w:rPr>
        <w:t xml:space="preserve">）</w:t>
      </w:r>
      <w:r/>
    </w:p>
    <w:p>
      <w:pPr>
        <w:ind w:firstLine="241"/>
        <w:spacing w:line="40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采购包1：</w:t>
      </w:r>
      <w:r/>
    </w:p>
    <w:tbl>
      <w:tblPr>
        <w:tblStyle w:val="712"/>
        <w:tblW w:w="93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1181"/>
        <w:gridCol w:w="744"/>
        <w:gridCol w:w="6225"/>
      </w:tblGrid>
      <w:tr>
        <w:trPr>
          <w:jc w:val="center"/>
        </w:trPr>
        <w:tc>
          <w:tcPr>
            <w:gridSpan w:val="2"/>
            <w:tcW w:w="2400" w:type="dxa"/>
            <w:vAlign w:val="top"/>
            <w:textDirection w:val="lrTb"/>
            <w:noWrap w:val="false"/>
          </w:tcPr>
          <w:p>
            <w:pPr>
              <w:jc w:val="center"/>
              <w:spacing w:before="120" w:after="12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24"/>
                <w:szCs w:val="24"/>
                <w:highlight w:val="none"/>
              </w:rPr>
              <w:t xml:space="preserve">评审因素</w:t>
            </w:r>
            <w:r/>
          </w:p>
        </w:tc>
        <w:tc>
          <w:tcPr>
            <w:tcW w:w="744" w:type="dxa"/>
            <w:vAlign w:val="top"/>
            <w:textDirection w:val="lrTb"/>
            <w:noWrap w:val="false"/>
          </w:tcPr>
          <w:p>
            <w:pPr>
              <w:jc w:val="center"/>
              <w:spacing w:before="120" w:after="12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24"/>
                <w:szCs w:val="24"/>
                <w:highlight w:val="none"/>
                <w:lang w:val="en-US" w:eastAsia="zh-CN"/>
              </w:rPr>
              <w:t xml:space="preserve">分值</w:t>
            </w:r>
            <w:r/>
          </w:p>
        </w:tc>
        <w:tc>
          <w:tcPr>
            <w:tcW w:w="6225" w:type="dxa"/>
            <w:vAlign w:val="top"/>
            <w:textDirection w:val="lrTb"/>
            <w:noWrap w:val="false"/>
          </w:tcPr>
          <w:p>
            <w:pPr>
              <w:jc w:val="center"/>
              <w:spacing w:before="120" w:after="12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24"/>
                <w:szCs w:val="24"/>
                <w:highlight w:val="none"/>
              </w:rPr>
              <w:t xml:space="preserve">评审因素细化和量化</w:t>
            </w:r>
            <w:r/>
          </w:p>
        </w:tc>
      </w:tr>
      <w:tr>
        <w:trPr>
          <w:jc w:val="center"/>
          <w:trHeight w:val="90"/>
        </w:trPr>
        <w:tc>
          <w:tcPr>
            <w:tcW w:w="1219" w:type="dxa"/>
            <w:vAlign w:val="center"/>
            <w:vMerge w:val="restart"/>
            <w:textDirection w:val="lrTb"/>
            <w:noWrap w:val="false"/>
          </w:tcPr>
          <w:p>
            <w:pPr>
              <w:jc w:val="center"/>
              <w:spacing w:before="120" w:after="120" w:line="0" w:lineRule="atLeas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保险金额部分</w:t>
            </w:r>
            <w:r/>
          </w:p>
          <w:p>
            <w:pPr>
              <w:jc w:val="center"/>
              <w:spacing w:before="120" w:after="120" w:line="0" w:lineRule="atLeas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11</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p>
        </w:tc>
        <w:tc>
          <w:tcPr>
            <w:tcW w:w="1181" w:type="dxa"/>
            <w:vAlign w:val="center"/>
            <w:textDirection w:val="lrTb"/>
            <w:noWrap w:val="false"/>
          </w:tcPr>
          <w:p>
            <w:pPr>
              <w:jc w:val="center"/>
              <w:spacing w:before="139"/>
              <w:widowControl/>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意外伤害</w:t>
            </w:r>
            <w:r/>
          </w:p>
        </w:tc>
        <w:tc>
          <w:tcPr>
            <w:tcW w:w="744" w:type="dxa"/>
            <w:vAlign w:val="center"/>
            <w:textDirection w:val="lrTb"/>
            <w:noWrap w:val="false"/>
          </w:tcPr>
          <w:p>
            <w:pPr>
              <w:jc w:val="center"/>
              <w:spacing w:before="139"/>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2分</w:t>
            </w:r>
            <w:r/>
          </w:p>
        </w:tc>
        <w:tc>
          <w:tcPr>
            <w:tcW w:w="6225" w:type="dxa"/>
            <w:vAlign w:val="center"/>
            <w:textDirection w:val="lrTb"/>
            <w:noWrap w:val="false"/>
          </w:tcPr>
          <w:p>
            <w:pPr>
              <w:jc w:val="left"/>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各</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得分=（</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保险金额/</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最高报价保险金额）*2</w:t>
            </w:r>
            <w:r/>
          </w:p>
        </w:tc>
      </w:tr>
      <w:tr>
        <w:trPr>
          <w:jc w:val="center"/>
          <w:trHeight w:val="519"/>
        </w:trPr>
        <w:tc>
          <w:tcPr>
            <w:tcW w:w="1219" w:type="dxa"/>
            <w:vAlign w:val="center"/>
            <w:vMerge w:val="continue"/>
            <w:textDirection w:val="lrTb"/>
            <w:noWrap w:val="false"/>
          </w:tcPr>
          <w:p>
            <w:pPr>
              <w:jc w:val="center"/>
              <w:spacing w:before="120" w:after="120" w:line="0" w:lineRule="atLeas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181" w:type="dxa"/>
            <w:vAlign w:val="center"/>
            <w:textDirection w:val="lrTb"/>
            <w:noWrap w:val="false"/>
          </w:tcPr>
          <w:p>
            <w:pPr>
              <w:jc w:val="center"/>
              <w:spacing w:before="140"/>
              <w:widowControl/>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意外医疗</w:t>
            </w:r>
            <w:r/>
          </w:p>
        </w:tc>
        <w:tc>
          <w:tcPr>
            <w:tcW w:w="744" w:type="dxa"/>
            <w:vAlign w:val="center"/>
            <w:textDirection w:val="lrTb"/>
            <w:noWrap w:val="false"/>
          </w:tcPr>
          <w:p>
            <w:pPr>
              <w:jc w:val="center"/>
              <w:spacing w:before="140"/>
              <w:widowControl/>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1分</w:t>
            </w:r>
            <w:r/>
          </w:p>
        </w:tc>
        <w:tc>
          <w:tcPr>
            <w:tcW w:w="6225" w:type="dxa"/>
            <w:vAlign w:val="center"/>
            <w:textDirection w:val="lrTb"/>
            <w:noWrap w:val="false"/>
          </w:tcPr>
          <w:p>
            <w:pPr>
              <w:jc w:val="left"/>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各</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得分=</w:t>
            </w:r>
            <w:r>
              <w:rPr>
                <w:rFonts w:hint="eastAsia" w:ascii="宋体" w:hAnsi="宋体" w:eastAsia="宋体" w:cs="宋体"/>
                <w:color w:val="auto"/>
                <w:sz w:val="21"/>
                <w:szCs w:val="21"/>
                <w:highlight w:val="none"/>
                <w:lang w:eastAsia="zh-CN"/>
              </w:rPr>
              <w:t xml:space="preserve">（供应商保险金额/供应商最高报价保险金额）</w:t>
            </w:r>
            <w:r>
              <w:rPr>
                <w:rFonts w:hint="eastAsia" w:ascii="宋体" w:hAnsi="宋体" w:eastAsia="宋体" w:cs="宋体"/>
                <w:color w:val="auto"/>
                <w:sz w:val="21"/>
                <w:szCs w:val="21"/>
                <w:highlight w:val="none"/>
              </w:rPr>
              <w:t xml:space="preserve">*1</w:t>
            </w:r>
            <w:r/>
          </w:p>
        </w:tc>
      </w:tr>
      <w:tr>
        <w:trPr>
          <w:jc w:val="center"/>
          <w:trHeight w:val="404"/>
        </w:trPr>
        <w:tc>
          <w:tcPr>
            <w:tcW w:w="1219" w:type="dxa"/>
            <w:vAlign w:val="center"/>
            <w:vMerge w:val="continue"/>
            <w:textDirection w:val="lrTb"/>
            <w:noWrap w:val="false"/>
          </w:tcPr>
          <w:p>
            <w:pPr>
              <w:jc w:val="center"/>
              <w:spacing w:line="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81" w:type="dxa"/>
            <w:vAlign w:val="center"/>
            <w:textDirection w:val="lrTb"/>
            <w:noWrap w:val="false"/>
          </w:tcPr>
          <w:p>
            <w:pPr>
              <w:jc w:val="center"/>
              <w:spacing w:before="140"/>
              <w:widowControl/>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住院</w:t>
            </w:r>
            <w:r/>
          </w:p>
        </w:tc>
        <w:tc>
          <w:tcPr>
            <w:tcW w:w="744" w:type="dxa"/>
            <w:vAlign w:val="center"/>
            <w:textDirection w:val="lrTb"/>
            <w:noWrap w:val="false"/>
          </w:tcPr>
          <w:p>
            <w:pPr>
              <w:jc w:val="center"/>
              <w:spacing w:before="140"/>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 xml:space="preserve">2</w:t>
            </w:r>
            <w:r>
              <w:rPr>
                <w:rFonts w:hint="eastAsia" w:ascii="宋体" w:hAnsi="宋体" w:eastAsia="宋体" w:cs="宋体"/>
                <w:color w:val="auto"/>
                <w:spacing w:val="8"/>
                <w:sz w:val="21"/>
                <w:szCs w:val="21"/>
                <w:highlight w:val="none"/>
              </w:rPr>
              <w:t xml:space="preserve">分</w:t>
            </w:r>
            <w:r/>
          </w:p>
        </w:tc>
        <w:tc>
          <w:tcPr>
            <w:tcW w:w="6225" w:type="dxa"/>
            <w:vAlign w:val="center"/>
            <w:textDirection w:val="lrTb"/>
            <w:noWrap w:val="false"/>
          </w:tcPr>
          <w:p>
            <w:pPr>
              <w:jc w:val="left"/>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各</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得分=</w:t>
            </w:r>
            <w:r>
              <w:rPr>
                <w:rFonts w:hint="eastAsia" w:ascii="宋体" w:hAnsi="宋体" w:eastAsia="宋体" w:cs="宋体"/>
                <w:color w:val="auto"/>
                <w:sz w:val="21"/>
                <w:szCs w:val="21"/>
                <w:highlight w:val="none"/>
                <w:lang w:eastAsia="zh-CN"/>
              </w:rPr>
              <w:t xml:space="preserve">（供应商保险金额/供应商最高报价保险金额）</w:t>
            </w:r>
            <w:r>
              <w:rPr>
                <w:rFonts w:hint="eastAsia" w:ascii="宋体" w:hAnsi="宋体" w:eastAsia="宋体" w:cs="宋体"/>
                <w:color w:val="auto"/>
                <w:sz w:val="21"/>
                <w:szCs w:val="21"/>
                <w:highlight w:val="none"/>
              </w:rPr>
              <w:t xml:space="preserve">*2</w:t>
            </w:r>
            <w:r/>
          </w:p>
        </w:tc>
      </w:tr>
      <w:tr>
        <w:trPr>
          <w:jc w:val="center"/>
          <w:trHeight w:val="541"/>
        </w:trPr>
        <w:tc>
          <w:tcPr>
            <w:tcW w:w="1219" w:type="dxa"/>
            <w:vAlign w:val="center"/>
            <w:vMerge w:val="continue"/>
            <w:textDirection w:val="lrTb"/>
            <w:noWrap w:val="false"/>
          </w:tcPr>
          <w:p>
            <w:pPr>
              <w:jc w:val="center"/>
              <w:spacing w:line="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81" w:type="dxa"/>
            <w:vAlign w:val="center"/>
            <w:textDirection w:val="lrTb"/>
            <w:noWrap w:val="false"/>
          </w:tcPr>
          <w:p>
            <w:pPr>
              <w:jc w:val="center"/>
              <w:spacing w:before="140"/>
              <w:widowControl/>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住院津贴</w:t>
            </w:r>
            <w:r/>
          </w:p>
        </w:tc>
        <w:tc>
          <w:tcPr>
            <w:tcW w:w="744" w:type="dxa"/>
            <w:vAlign w:val="center"/>
            <w:textDirection w:val="lrTb"/>
            <w:noWrap w:val="false"/>
          </w:tcPr>
          <w:p>
            <w:pPr>
              <w:jc w:val="center"/>
              <w:spacing w:before="140"/>
              <w:widowControl/>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1分</w:t>
            </w:r>
            <w:r/>
          </w:p>
        </w:tc>
        <w:tc>
          <w:tcPr>
            <w:tcW w:w="6225" w:type="dxa"/>
            <w:vAlign w:val="center"/>
            <w:textDirection w:val="lrTb"/>
            <w:noWrap w:val="false"/>
          </w:tcPr>
          <w:p>
            <w:pPr>
              <w:jc w:val="left"/>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各</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得分=</w:t>
            </w:r>
            <w:r>
              <w:rPr>
                <w:rFonts w:hint="eastAsia" w:ascii="宋体" w:hAnsi="宋体" w:eastAsia="宋体" w:cs="宋体"/>
                <w:color w:val="auto"/>
                <w:sz w:val="21"/>
                <w:szCs w:val="21"/>
                <w:highlight w:val="none"/>
                <w:lang w:eastAsia="zh-CN"/>
              </w:rPr>
              <w:t xml:space="preserve">（供应商保险金额/供应商最高报价保险金额）</w:t>
            </w:r>
            <w:r>
              <w:rPr>
                <w:rFonts w:hint="eastAsia" w:ascii="宋体" w:hAnsi="宋体" w:eastAsia="宋体" w:cs="宋体"/>
                <w:color w:val="auto"/>
                <w:sz w:val="21"/>
                <w:szCs w:val="21"/>
                <w:highlight w:val="none"/>
              </w:rPr>
              <w:t xml:space="preserve">*1</w:t>
            </w:r>
            <w:r/>
          </w:p>
        </w:tc>
      </w:tr>
      <w:tr>
        <w:trPr>
          <w:jc w:val="center"/>
          <w:trHeight w:val="541"/>
        </w:trPr>
        <w:tc>
          <w:tcPr>
            <w:tcW w:w="1219" w:type="dxa"/>
            <w:vAlign w:val="center"/>
            <w:vMerge w:val="continue"/>
            <w:textDirection w:val="lrTb"/>
            <w:noWrap w:val="false"/>
          </w:tcPr>
          <w:p>
            <w:pPr>
              <w:jc w:val="center"/>
              <w:spacing w:line="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81" w:type="dxa"/>
            <w:vAlign w:val="center"/>
            <w:textDirection w:val="lrTb"/>
            <w:noWrap w:val="false"/>
          </w:tcPr>
          <w:p>
            <w:pPr>
              <w:jc w:val="center"/>
              <w:spacing w:before="140"/>
              <w:widowControl/>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定期寿险</w:t>
            </w:r>
            <w:r/>
          </w:p>
        </w:tc>
        <w:tc>
          <w:tcPr>
            <w:tcW w:w="744" w:type="dxa"/>
            <w:vAlign w:val="center"/>
            <w:textDirection w:val="lrTb"/>
            <w:noWrap w:val="false"/>
          </w:tcPr>
          <w:p>
            <w:pPr>
              <w:jc w:val="center"/>
              <w:spacing w:before="140"/>
              <w:widowControl/>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2分</w:t>
            </w:r>
            <w:r/>
          </w:p>
        </w:tc>
        <w:tc>
          <w:tcPr>
            <w:tcW w:w="6225" w:type="dxa"/>
            <w:vAlign w:val="center"/>
            <w:textDirection w:val="lrTb"/>
            <w:noWrap w:val="false"/>
          </w:tcPr>
          <w:p>
            <w:pPr>
              <w:jc w:val="left"/>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各</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得分=</w:t>
            </w:r>
            <w:r>
              <w:rPr>
                <w:rFonts w:hint="eastAsia" w:ascii="宋体" w:hAnsi="宋体" w:eastAsia="宋体" w:cs="宋体"/>
                <w:color w:val="auto"/>
                <w:sz w:val="21"/>
                <w:szCs w:val="21"/>
                <w:highlight w:val="none"/>
                <w:lang w:eastAsia="zh-CN"/>
              </w:rPr>
              <w:t xml:space="preserve">（供应商保险金额/供应商最高报价保险金额）</w:t>
            </w:r>
            <w:r>
              <w:rPr>
                <w:rFonts w:hint="eastAsia" w:ascii="宋体" w:hAnsi="宋体" w:eastAsia="宋体" w:cs="宋体"/>
                <w:color w:val="auto"/>
                <w:sz w:val="21"/>
                <w:szCs w:val="21"/>
                <w:highlight w:val="none"/>
              </w:rPr>
              <w:t xml:space="preserve">*2</w:t>
            </w:r>
            <w:r/>
          </w:p>
        </w:tc>
      </w:tr>
      <w:tr>
        <w:trPr>
          <w:jc w:val="center"/>
          <w:trHeight w:val="498"/>
        </w:trPr>
        <w:tc>
          <w:tcPr>
            <w:tcW w:w="1219" w:type="dxa"/>
            <w:vAlign w:val="center"/>
            <w:vMerge w:val="continue"/>
            <w:textDirection w:val="lrTb"/>
            <w:noWrap w:val="false"/>
          </w:tcPr>
          <w:p>
            <w:pPr>
              <w:jc w:val="center"/>
              <w:spacing w:line="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81" w:type="dxa"/>
            <w:vAlign w:val="center"/>
            <w:textDirection w:val="lrTb"/>
            <w:noWrap w:val="false"/>
          </w:tcPr>
          <w:p>
            <w:pPr>
              <w:jc w:val="center"/>
              <w:spacing w:before="140"/>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9"/>
                <w:sz w:val="21"/>
                <w:szCs w:val="21"/>
                <w:highlight w:val="none"/>
              </w:rPr>
              <w:t xml:space="preserve">重大疾病</w:t>
            </w:r>
            <w:r/>
          </w:p>
        </w:tc>
        <w:tc>
          <w:tcPr>
            <w:tcW w:w="744" w:type="dxa"/>
            <w:vAlign w:val="center"/>
            <w:textDirection w:val="lrTb"/>
            <w:noWrap w:val="false"/>
          </w:tcPr>
          <w:p>
            <w:pPr>
              <w:jc w:val="center"/>
              <w:spacing w:before="140"/>
              <w:widowControl/>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 xml:space="preserve">2分</w:t>
            </w:r>
            <w:r/>
          </w:p>
        </w:tc>
        <w:tc>
          <w:tcPr>
            <w:tcW w:w="6225" w:type="dxa"/>
            <w:vAlign w:val="center"/>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得分=</w:t>
            </w:r>
            <w:r>
              <w:rPr>
                <w:rFonts w:hint="eastAsia" w:ascii="宋体" w:hAnsi="宋体" w:eastAsia="宋体" w:cs="宋体"/>
                <w:color w:val="auto"/>
                <w:sz w:val="21"/>
                <w:szCs w:val="21"/>
                <w:highlight w:val="none"/>
                <w:lang w:eastAsia="zh-CN"/>
              </w:rPr>
              <w:t xml:space="preserve">（供应商保险金额/供应商最高报价保险金额）</w:t>
            </w:r>
            <w:r>
              <w:rPr>
                <w:rFonts w:hint="eastAsia" w:ascii="宋体" w:hAnsi="宋体" w:eastAsia="宋体" w:cs="宋体"/>
                <w:color w:val="auto"/>
                <w:sz w:val="21"/>
                <w:szCs w:val="21"/>
                <w:highlight w:val="none"/>
              </w:rPr>
              <w:t xml:space="preserve">*2</w:t>
            </w:r>
            <w:r/>
          </w:p>
        </w:tc>
      </w:tr>
      <w:tr>
        <w:trPr>
          <w:jc w:val="center"/>
          <w:trHeight w:val="563"/>
        </w:trPr>
        <w:tc>
          <w:tcPr>
            <w:tcW w:w="1219" w:type="dxa"/>
            <w:vAlign w:val="center"/>
            <w:vMerge w:val="continue"/>
            <w:textDirection w:val="lrTb"/>
            <w:noWrap w:val="false"/>
          </w:tcPr>
          <w:p>
            <w:pPr>
              <w:jc w:val="center"/>
              <w:spacing w:line="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81" w:type="dxa"/>
            <w:vAlign w:val="center"/>
            <w:textDirection w:val="lrTb"/>
            <w:noWrap w:val="false"/>
          </w:tcPr>
          <w:p>
            <w:pPr>
              <w:jc w:val="center"/>
              <w:spacing w:before="140"/>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7"/>
                <w:sz w:val="21"/>
                <w:szCs w:val="21"/>
                <w:highlight w:val="none"/>
              </w:rPr>
              <w:t xml:space="preserve">交通意外</w:t>
            </w:r>
            <w:r/>
          </w:p>
        </w:tc>
        <w:tc>
          <w:tcPr>
            <w:tcW w:w="744" w:type="dxa"/>
            <w:vAlign w:val="center"/>
            <w:textDirection w:val="lrTb"/>
            <w:noWrap w:val="false"/>
          </w:tcPr>
          <w:p>
            <w:pPr>
              <w:jc w:val="center"/>
              <w:spacing w:before="140"/>
              <w:widowControl/>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1分</w:t>
            </w:r>
            <w:r/>
          </w:p>
        </w:tc>
        <w:tc>
          <w:tcPr>
            <w:tcW w:w="6225" w:type="dxa"/>
            <w:vAlign w:val="center"/>
            <w:textDirection w:val="lrTb"/>
            <w:noWrap w:val="false"/>
          </w:tcPr>
          <w:p>
            <w:pPr>
              <w:jc w:val="left"/>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各</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得分=</w:t>
            </w:r>
            <w:r>
              <w:rPr>
                <w:rFonts w:hint="eastAsia" w:ascii="宋体" w:hAnsi="宋体" w:eastAsia="宋体" w:cs="宋体"/>
                <w:color w:val="auto"/>
                <w:sz w:val="21"/>
                <w:szCs w:val="21"/>
                <w:highlight w:val="none"/>
                <w:lang w:eastAsia="zh-CN"/>
              </w:rPr>
              <w:t xml:space="preserve">（供应商保险金额/供应商最高报价保险金额）</w:t>
            </w:r>
            <w:r>
              <w:rPr>
                <w:rFonts w:hint="eastAsia" w:ascii="宋体" w:hAnsi="宋体" w:eastAsia="宋体" w:cs="宋体"/>
                <w:color w:val="auto"/>
                <w:sz w:val="21"/>
                <w:szCs w:val="21"/>
                <w:highlight w:val="none"/>
                <w:lang w:val="en-US" w:eastAsia="zh-CN"/>
              </w:rPr>
              <w:t xml:space="preserve">*1</w:t>
            </w:r>
            <w:r/>
          </w:p>
        </w:tc>
      </w:tr>
      <w:tr>
        <w:trPr>
          <w:jc w:val="center"/>
          <w:trHeight w:val="418"/>
        </w:trPr>
        <w:tc>
          <w:tcPr>
            <w:tcW w:w="1219" w:type="dxa"/>
            <w:vAlign w:val="center"/>
            <w:vMerge w:val="restart"/>
            <w:textDirection w:val="lrTb"/>
            <w:noWrap w:val="false"/>
          </w:tcPr>
          <w:p>
            <w:pPr>
              <w:jc w:val="center"/>
              <w:spacing w:line="0" w:lineRule="atLeast"/>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方案部分</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32</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p>
        </w:tc>
        <w:tc>
          <w:tcPr>
            <w:tcW w:w="118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服务能力</w:t>
            </w:r>
            <w:r/>
          </w:p>
        </w:tc>
        <w:tc>
          <w:tcPr>
            <w:tcW w:w="7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6225" w:type="dxa"/>
            <w:vAlign w:val="top"/>
            <w:textDirection w:val="lrTb"/>
            <w:noWrap w:val="false"/>
          </w:tcPr>
          <w:p>
            <w:pPr>
              <w:numPr>
                <w:ilvl w:val="0"/>
                <w:numId w:val="0"/>
              </w:numPr>
              <w:jc w:val="left"/>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rPr>
              <w:t xml:space="preserve">承保服务方案（</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方案的合理性、可行性、预期效果非常好的得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方案基本完整、有一定可实施性</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合理性、可行性、预期效果比较好的得2分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w:t>
            </w:r>
            <w:r>
              <w:rPr>
                <w:rFonts w:hint="eastAsia" w:ascii="宋体" w:hAnsi="宋体" w:eastAsia="宋体" w:cs="宋体"/>
                <w:b w:val="0"/>
                <w:bCs w:val="0"/>
                <w:color w:val="auto"/>
                <w:sz w:val="21"/>
                <w:szCs w:val="21"/>
                <w:highlight w:val="none"/>
                <w:lang w:eastAsia="zh-CN"/>
              </w:rPr>
              <w:t xml:space="preserve">较粗略，</w:t>
            </w:r>
            <w:r>
              <w:rPr>
                <w:rFonts w:hint="eastAsia" w:ascii="宋体" w:hAnsi="宋体" w:eastAsia="宋体" w:cs="宋体"/>
                <w:b w:val="0"/>
                <w:bCs w:val="0"/>
                <w:color w:val="auto"/>
                <w:sz w:val="21"/>
                <w:szCs w:val="21"/>
                <w:highlight w:val="none"/>
              </w:rPr>
              <w:t xml:space="preserve">合理性、可行性、预期效果一般的得1分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没有不得分。</w:t>
            </w:r>
            <w:r/>
          </w:p>
          <w:p>
            <w:pPr>
              <w:jc w:val="left"/>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.培训方案（</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方案的针对性、全面性效果非常好的得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方案的针对性、全面性效果比较好的得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方案的针对性、全面性效果一般的得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没有不得分。</w:t>
            </w:r>
            <w:r/>
          </w:p>
          <w:p>
            <w:pPr>
              <w:jc w:val="left"/>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服务优化措施</w:t>
            </w:r>
            <w:r>
              <w:rPr>
                <w:rFonts w:hint="eastAsia" w:ascii="宋体" w:hAnsi="宋体" w:eastAsia="宋体" w:cs="宋体"/>
                <w:b w:val="0"/>
                <w:bCs w:val="0"/>
                <w:color w:val="auto"/>
                <w:sz w:val="21"/>
                <w:szCs w:val="21"/>
                <w:highlight w:val="none"/>
              </w:rPr>
              <w:t xml:space="preserve">及合理化建议（</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供应商根据</w:t>
            </w:r>
            <w:r>
              <w:rPr>
                <w:rFonts w:hint="eastAsia" w:ascii="宋体" w:hAnsi="宋体" w:eastAsia="宋体" w:cs="宋体"/>
                <w:b w:val="0"/>
                <w:bCs w:val="0"/>
                <w:color w:val="auto"/>
                <w:sz w:val="21"/>
                <w:szCs w:val="21"/>
                <w:highlight w:val="none"/>
              </w:rPr>
              <w:t xml:space="preserve">本项目实际情况提供</w:t>
            </w:r>
            <w:r>
              <w:rPr>
                <w:rFonts w:hint="eastAsia" w:ascii="宋体" w:hAnsi="宋体" w:eastAsia="宋体" w:cs="宋体"/>
                <w:b w:val="0"/>
                <w:bCs w:val="0"/>
                <w:color w:val="auto"/>
                <w:sz w:val="21"/>
                <w:szCs w:val="21"/>
                <w:highlight w:val="none"/>
                <w:lang w:val="en-US" w:eastAsia="zh-CN"/>
              </w:rPr>
              <w:t xml:space="preserve">服务优化措施</w:t>
            </w:r>
            <w:r>
              <w:rPr>
                <w:rFonts w:hint="eastAsia" w:ascii="宋体" w:hAnsi="宋体" w:eastAsia="宋体" w:cs="宋体"/>
                <w:b w:val="0"/>
                <w:bCs w:val="0"/>
                <w:color w:val="auto"/>
                <w:sz w:val="21"/>
                <w:szCs w:val="21"/>
                <w:highlight w:val="none"/>
              </w:rPr>
              <w:t xml:space="preserve">及合理化建议，方案全面性效果非常好的得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方案全面性效果比较好的得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方案全面性效果一般的得1分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没有不得分。</w:t>
            </w:r>
            <w:r/>
          </w:p>
        </w:tc>
      </w:tr>
      <w:tr>
        <w:trPr>
          <w:jc w:val="center"/>
        </w:trPr>
        <w:tc>
          <w:tcPr>
            <w:tcW w:w="1219" w:type="dxa"/>
            <w:vAlign w:val="center"/>
            <w:vMerge w:val="continue"/>
            <w:textDirection w:val="lrTb"/>
            <w:noWrap w:val="false"/>
          </w:tcPr>
          <w:p>
            <w:pPr>
              <w:jc w:val="center"/>
              <w:spacing w:line="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8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理赔服务</w:t>
            </w:r>
            <w:r/>
          </w:p>
        </w:tc>
        <w:tc>
          <w:tcPr>
            <w:tcBorders>
              <w:bottom w:val="single" w:color="auto" w:sz="4" w:space="0"/>
            </w:tcBorders>
            <w:tcW w:w="7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分</w:t>
            </w:r>
            <w:r/>
          </w:p>
        </w:tc>
        <w:tc>
          <w:tcPr>
            <w:tcBorders>
              <w:bottom w:val="single" w:color="auto" w:sz="4" w:space="0"/>
            </w:tcBorders>
            <w:tcW w:w="6225" w:type="dxa"/>
            <w:vAlign w:val="top"/>
            <w:textDirection w:val="lrTb"/>
            <w:noWrap w:val="false"/>
          </w:tcPr>
          <w:p>
            <w:pPr>
              <w:numPr>
                <w:ilvl w:val="0"/>
                <w:numId w:val="0"/>
              </w:numPr>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rPr>
              <w:t xml:space="preserve">理赔方案（</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p>
            <w:pPr>
              <w:numPr>
                <w:ilvl w:val="0"/>
                <w:numId w:val="0"/>
              </w:numPr>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对</w:t>
            </w:r>
            <w:r>
              <w:rPr>
                <w:rFonts w:hint="eastAsia" w:ascii="宋体" w:hAnsi="宋体" w:eastAsia="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理赔服务</w:t>
            </w:r>
            <w:r>
              <w:rPr>
                <w:rFonts w:hint="eastAsia" w:ascii="宋体" w:hAnsi="宋体" w:eastAsia="宋体" w:cs="宋体"/>
                <w:b w:val="0"/>
                <w:bCs w:val="0"/>
                <w:color w:val="auto"/>
                <w:sz w:val="21"/>
                <w:szCs w:val="21"/>
                <w:highlight w:val="none"/>
                <w:lang w:val="en-US" w:eastAsia="zh-CN"/>
              </w:rPr>
              <w:t xml:space="preserve">内容</w:t>
            </w:r>
            <w:r>
              <w:rPr>
                <w:rFonts w:hint="eastAsia" w:ascii="宋体" w:hAnsi="宋体" w:eastAsia="宋体" w:cs="宋体"/>
                <w:b w:val="0"/>
                <w:bCs w:val="0"/>
                <w:color w:val="auto"/>
                <w:sz w:val="21"/>
                <w:szCs w:val="21"/>
                <w:highlight w:val="none"/>
              </w:rPr>
              <w:t xml:space="preserve">、方案措施的针对性、全面性</w:t>
            </w:r>
            <w:r>
              <w:rPr>
                <w:rFonts w:hint="eastAsia" w:ascii="宋体" w:hAnsi="宋体" w:eastAsia="宋体" w:cs="宋体"/>
                <w:b w:val="0"/>
                <w:bCs w:val="0"/>
                <w:color w:val="auto"/>
                <w:sz w:val="21"/>
                <w:szCs w:val="21"/>
                <w:highlight w:val="none"/>
                <w:lang w:val="en-US" w:eastAsia="zh-CN"/>
              </w:rPr>
              <w:t xml:space="preserve">进行评审</w:t>
            </w:r>
            <w:r>
              <w:rPr>
                <w:rFonts w:hint="eastAsia" w:ascii="宋体" w:hAnsi="宋体" w:eastAsia="宋体" w:cs="宋体"/>
                <w:b w:val="0"/>
                <w:bCs w:val="0"/>
                <w:color w:val="auto"/>
                <w:sz w:val="21"/>
                <w:szCs w:val="21"/>
                <w:highlight w:val="none"/>
              </w:rPr>
              <w:t xml:space="preserve">。方案的针对性、全面性，预期效果非常好的</w:t>
            </w:r>
            <w:r>
              <w:rPr>
                <w:rFonts w:hint="eastAsia" w:ascii="宋体" w:hAnsi="宋体" w:eastAsia="宋体" w:cs="宋体"/>
                <w:b w:val="0"/>
                <w:bCs w:val="0"/>
                <w:color w:val="auto"/>
                <w:sz w:val="21"/>
                <w:szCs w:val="21"/>
                <w:highlight w:val="none"/>
                <w:lang w:val="en-US" w:eastAsia="zh-CN"/>
              </w:rPr>
              <w:t xml:space="preserve">得3分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方案的针对性、全面性，预期效果比较好的得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方案的针对性、全面性，预期效果一般得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没有不得分。 </w:t>
            </w:r>
            <w:r/>
          </w:p>
          <w:p>
            <w:pPr>
              <w:jc w:val="left"/>
              <w:spacing w:line="240" w:lineRule="auto"/>
              <w:widowControl/>
              <w:tabs>
                <w:tab w:val="left" w:pos="419"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2.简易理赔程序（</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对供应商的</w:t>
            </w:r>
            <w:r>
              <w:rPr>
                <w:rFonts w:hint="eastAsia" w:ascii="宋体" w:hAnsi="宋体" w:eastAsia="宋体" w:cs="宋体"/>
                <w:b w:val="0"/>
                <w:bCs w:val="0"/>
                <w:color w:val="auto"/>
                <w:sz w:val="21"/>
                <w:szCs w:val="21"/>
                <w:highlight w:val="none"/>
              </w:rPr>
              <w:t xml:space="preserve">理赔</w:t>
            </w:r>
            <w:r>
              <w:rPr>
                <w:rFonts w:hint="eastAsia" w:ascii="宋体" w:hAnsi="宋体" w:eastAsia="宋体" w:cs="宋体"/>
                <w:b w:val="0"/>
                <w:bCs w:val="0"/>
                <w:color w:val="auto"/>
                <w:sz w:val="21"/>
                <w:szCs w:val="21"/>
                <w:highlight w:val="none"/>
                <w:lang w:val="en-US" w:eastAsia="zh-CN"/>
              </w:rPr>
              <w:t xml:space="preserve">程序是否</w:t>
            </w:r>
            <w:r>
              <w:rPr>
                <w:rFonts w:hint="eastAsia" w:ascii="宋体" w:hAnsi="宋体" w:eastAsia="宋体" w:cs="宋体"/>
                <w:b w:val="0"/>
                <w:bCs w:val="0"/>
                <w:color w:val="auto"/>
                <w:sz w:val="21"/>
                <w:szCs w:val="21"/>
                <w:highlight w:val="none"/>
              </w:rPr>
              <w:t xml:space="preserve">流程</w:t>
            </w:r>
            <w:r>
              <w:rPr>
                <w:rFonts w:hint="eastAsia" w:ascii="宋体" w:hAnsi="宋体" w:eastAsia="宋体" w:cs="宋体"/>
                <w:b w:val="0"/>
                <w:bCs w:val="0"/>
                <w:color w:val="auto"/>
                <w:sz w:val="21"/>
                <w:szCs w:val="21"/>
                <w:highlight w:val="none"/>
                <w:lang w:val="en-US" w:eastAsia="zh-CN"/>
              </w:rPr>
              <w:t xml:space="preserve">完备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理赔手续简化便捷等情况进行评审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理赔程序</w:t>
            </w:r>
            <w:r>
              <w:rPr>
                <w:rFonts w:hint="eastAsia" w:ascii="宋体" w:hAnsi="宋体" w:eastAsia="宋体" w:cs="宋体"/>
                <w:b w:val="0"/>
                <w:bCs w:val="0"/>
                <w:color w:val="auto"/>
                <w:sz w:val="21"/>
                <w:szCs w:val="21"/>
                <w:highlight w:val="none"/>
                <w:lang w:eastAsia="zh-CN"/>
              </w:rPr>
              <w:t xml:space="preserve">完整且理赔过程快捷高效的得</w:t>
            </w:r>
            <w:r>
              <w:rPr>
                <w:rFonts w:hint="eastAsia" w:ascii="宋体" w:hAnsi="宋体" w:eastAsia="宋体" w:cs="宋体"/>
                <w:b w:val="0"/>
                <w:bCs w:val="0"/>
                <w:color w:val="auto"/>
                <w:sz w:val="21"/>
                <w:szCs w:val="21"/>
                <w:highlight w:val="none"/>
                <w:lang w:val="en-US" w:eastAsia="zh-CN"/>
              </w:rPr>
              <w:t xml:space="preserve">3分；理赔程序较完整、理赔过程相对简便的得2分；理赔程序基本完整但理赔过程复杂繁琐的得1分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没有不得分</w:t>
            </w:r>
            <w:r>
              <w:rPr>
                <w:rFonts w:hint="eastAsia" w:ascii="宋体" w:hAnsi="宋体" w:eastAsia="宋体" w:cs="宋体"/>
                <w:b w:val="0"/>
                <w:bCs w:val="0"/>
                <w:color w:val="auto"/>
                <w:sz w:val="21"/>
                <w:szCs w:val="21"/>
                <w:highlight w:val="none"/>
                <w:lang w:val="en-US" w:eastAsia="zh-CN"/>
              </w:rPr>
              <w:t xml:space="preserve">。</w:t>
            </w:r>
            <w:r/>
          </w:p>
          <w:p>
            <w:pPr>
              <w:spacing w:line="240" w:lineRule="auto"/>
              <w:widowControl/>
              <w:tabs>
                <w:tab w:val="left" w:pos="419"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3.保险方案普及服务（4分）</w:t>
            </w:r>
            <w:r/>
          </w:p>
          <w:p>
            <w:pPr>
              <w:spacing w:line="240" w:lineRule="auto"/>
              <w:widowControl/>
              <w:tabs>
                <w:tab w:val="left" w:pos="419"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（1）承诺保险服务手册发放率达到100%得2分，不承诺不得分（承诺函格式自拟）。</w:t>
            </w:r>
            <w:r/>
          </w:p>
          <w:p>
            <w:pPr>
              <w:spacing w:line="240" w:lineRule="auto"/>
              <w:widowControl/>
              <w:tabs>
                <w:tab w:val="left" w:pos="419" w:leader="none"/>
              </w:tabs>
              <w:rPr>
                <w:rFonts w:hint="eastAsia" w:ascii="宋体" w:hAnsi="宋体" w:eastAsia="宋体" w:cs="宋体"/>
                <w:b w:val="0"/>
                <w:bCs w:val="0"/>
                <w:color w:val="auto"/>
                <w:highlight w:val="none"/>
              </w:rPr>
            </w:pPr>
            <w:r>
              <w:rPr>
                <w:rFonts w:hint="eastAsia" w:ascii="宋体" w:hAnsi="宋体" w:eastAsia="宋体" w:cs="宋体"/>
                <w:b w:val="0"/>
                <w:bCs w:val="0"/>
                <w:color w:val="auto"/>
                <w:sz w:val="21"/>
                <w:szCs w:val="21"/>
                <w:highlight w:val="none"/>
                <w:lang w:val="en-US" w:eastAsia="zh-CN"/>
              </w:rPr>
              <w:t xml:space="preserve">（2）承诺普及投保事项及保险政策知情率达到100%得2分，不承诺不得分（承诺函格式自拟）。</w:t>
            </w:r>
            <w:r/>
          </w:p>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4.档案管理（4分）</w:t>
            </w:r>
            <w:r/>
          </w:p>
          <w:p>
            <w:pPr>
              <w:spacing w:line="240" w:lineRule="auto"/>
              <w:widowControl/>
              <w:tabs>
                <w:tab w:val="left" w:pos="419"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供应商承诺</w:t>
            </w:r>
            <w:r>
              <w:rPr>
                <w:rFonts w:hint="eastAsia" w:ascii="宋体" w:hAnsi="宋体" w:eastAsia="宋体" w:cs="宋体"/>
                <w:b w:val="0"/>
                <w:bCs w:val="0"/>
                <w:color w:val="auto"/>
                <w:sz w:val="21"/>
                <w:szCs w:val="21"/>
                <w:highlight w:val="none"/>
                <w:lang w:val="en-US" w:eastAsia="zh-CN" w:bidi="ar"/>
              </w:rPr>
              <w:t xml:space="preserve">建立公安专属团体综合保险业务档案得2分；承诺公安保险业务与其他保险业务分开管理，单独核算业务损益得2分；</w:t>
            </w:r>
            <w:r>
              <w:rPr>
                <w:rFonts w:hint="eastAsia" w:ascii="宋体" w:hAnsi="宋体" w:eastAsia="宋体" w:cs="宋体"/>
                <w:b w:val="0"/>
                <w:bCs w:val="0"/>
                <w:color w:val="auto"/>
                <w:sz w:val="21"/>
                <w:szCs w:val="21"/>
                <w:highlight w:val="none"/>
                <w:lang w:val="en-US" w:eastAsia="zh-CN"/>
              </w:rPr>
              <w:t xml:space="preserve">不承诺不得分（承诺函格式自拟）。</w:t>
            </w:r>
            <w:r/>
          </w:p>
          <w:p>
            <w:pPr>
              <w:jc w:val="left"/>
              <w:spacing w:line="240" w:lineRule="auto"/>
              <w:widowControl/>
              <w:tabs>
                <w:tab w:val="left" w:pos="419" w:leader="none"/>
              </w:tabs>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bidi="ar"/>
              </w:rPr>
              <w:t xml:space="preserve">5.理赔案件汇总分析报告（2分）</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供应商承诺提供理赔案件汇报分析报告，多维度分析。基本维度包括：人员信息、就诊类型，票面金额，统筹</w:t>
            </w:r>
            <w:r>
              <w:rPr>
                <w:rFonts w:hint="eastAsia" w:ascii="宋体" w:hAnsi="宋体" w:eastAsia="宋体" w:cs="宋体"/>
                <w:color w:val="auto"/>
                <w:sz w:val="21"/>
                <w:szCs w:val="21"/>
                <w:highlight w:val="none"/>
                <w:lang w:val="en-US" w:eastAsia="zh-CN" w:bidi="ar"/>
              </w:rPr>
              <w:t xml:space="preserve">支付金额、自费金额、报销标准、实际赔付金额、出险原因、险种名称。在此基础上再增加维度。得2分</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rPr>
              <w:t xml:space="preserve">不承诺不得分（承诺函格式自拟）。</w:t>
            </w:r>
            <w:r/>
          </w:p>
        </w:tc>
      </w:tr>
      <w:tr>
        <w:trPr>
          <w:jc w:val="center"/>
          <w:trHeight w:val="2087"/>
        </w:trPr>
        <w:tc>
          <w:tcPr>
            <w:tcW w:w="1219" w:type="dxa"/>
            <w:vAlign w:val="center"/>
            <w:vMerge w:val="continue"/>
            <w:textDirection w:val="lrTb"/>
            <w:noWrap w:val="false"/>
          </w:tcPr>
          <w:p>
            <w:pPr>
              <w:ind w:firstLine="480"/>
              <w:jc w:val="center"/>
              <w:spacing w:before="120" w:after="12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8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风控管理</w:t>
            </w:r>
            <w:r/>
          </w:p>
        </w:tc>
        <w:tc>
          <w:tcPr>
            <w:tcW w:w="7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6分</w:t>
            </w:r>
            <w:r/>
          </w:p>
        </w:tc>
        <w:tc>
          <w:tcPr>
            <w:tcW w:w="6225" w:type="dxa"/>
            <w:vAlign w:val="center"/>
            <w:textDirection w:val="lrTb"/>
            <w:noWrap w:val="false"/>
          </w:tcPr>
          <w:p>
            <w:pPr>
              <w:jc w:val="both"/>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供应商针对风险识别、风险管理等进行必要的阐述，自2023年以来已有此类项目承保经验的可结合实际情况阐述，最高可得6分； </w:t>
            </w:r>
            <w:r/>
          </w:p>
          <w:p>
            <w:pPr>
              <w:jc w:val="both"/>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无该项目承保经验，主要风险因素有辨识、风险认识较为深刻，项目服务计划较全面，有可行性,最高得4分。</w:t>
            </w:r>
            <w:r/>
          </w:p>
          <w:p>
            <w:pPr>
              <w:jc w:val="both"/>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无该项目承保经验，风险因素辨识不能反映主要方面、项目服务可行性一般,最高得2分。</w:t>
            </w:r>
            <w:r/>
          </w:p>
          <w:p>
            <w:pPr>
              <w:jc w:val="both"/>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没有不得分</w:t>
            </w:r>
            <w:r>
              <w:rPr>
                <w:rFonts w:hint="eastAsia" w:ascii="宋体" w:hAnsi="宋体" w:eastAsia="宋体" w:cs="宋体"/>
                <w:b w:val="0"/>
                <w:bCs w:val="0"/>
                <w:color w:val="auto"/>
                <w:sz w:val="21"/>
                <w:szCs w:val="21"/>
                <w:highlight w:val="none"/>
                <w:lang w:eastAsia="zh-CN"/>
              </w:rPr>
              <w:t xml:space="preserve">。</w:t>
            </w:r>
            <w:r/>
          </w:p>
        </w:tc>
      </w:tr>
      <w:tr>
        <w:trPr>
          <w:jc w:val="center"/>
          <w:trHeight w:val="898"/>
        </w:trPr>
        <w:tc>
          <w:tcPr>
            <w:tcW w:w="1219" w:type="dxa"/>
            <w:vAlign w:val="center"/>
            <w:vMerge w:val="restart"/>
            <w:textDirection w:val="lrTb"/>
            <w:noWrap w:val="false"/>
          </w:tcPr>
          <w:p>
            <w:pPr>
              <w:jc w:val="center"/>
              <w:spacing w:before="120" w:after="120" w:line="0" w:lineRule="atLeas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商务部分</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57</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p>
        </w:tc>
        <w:tc>
          <w:tcPr>
            <w:tcW w:w="118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风险综合评级</w:t>
            </w:r>
            <w:r/>
          </w:p>
        </w:tc>
        <w:tc>
          <w:tcPr>
            <w:tcW w:w="744" w:type="dxa"/>
            <w:vAlign w:val="top"/>
            <w:textDirection w:val="lrTb"/>
            <w:noWrap w:val="false"/>
          </w:tcPr>
          <w:p>
            <w:pPr>
              <w:jc w:val="center"/>
              <w:spacing w:before="156" w:after="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8分</w:t>
            </w:r>
            <w:r/>
          </w:p>
        </w:tc>
        <w:tc>
          <w:tcPr>
            <w:tcW w:w="6225" w:type="dxa"/>
            <w:vAlign w:val="top"/>
            <w:textDirection w:val="lrTb"/>
            <w:noWrap w:val="false"/>
          </w:tcPr>
          <w:p>
            <w:pPr>
              <w:jc w:val="left"/>
              <w:keepLines w:val="0"/>
              <w:keepNext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提供银行保险监督管理委员会偿二代监管信息系统截图，供应商或其上级公司2025年获得过A类得8分；B类得6分；C类得4分；D类得2分；本项最高得8分。（</w:t>
            </w:r>
            <w:r>
              <w:rPr>
                <w:rFonts w:hint="eastAsia" w:ascii="宋体" w:hAnsi="宋体" w:eastAsia="宋体" w:cs="宋体"/>
                <w:color w:val="auto"/>
                <w:sz w:val="21"/>
                <w:szCs w:val="21"/>
                <w:highlight w:val="none"/>
              </w:rPr>
              <w:t xml:space="preserve">扫描件上传至电子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rPr>
                <w:rFonts w:hint="eastAsia" w:ascii="宋体" w:hAnsi="宋体" w:eastAsia="宋体" w:cs="宋体"/>
                <w:color w:val="auto"/>
                <w:sz w:val="21"/>
                <w:szCs w:val="21"/>
                <w:highlight w:val="none"/>
                <w:lang w:val="en-US" w:eastAsia="zh-CN" w:bidi="ar"/>
              </w:rPr>
              <w:t xml:space="preserve">）</w:t>
            </w:r>
            <w:r/>
          </w:p>
        </w:tc>
      </w:tr>
      <w:tr>
        <w:trPr>
          <w:jc w:val="center"/>
          <w:trHeight w:val="1026"/>
        </w:trPr>
        <w:tc>
          <w:tcPr>
            <w:tcW w:w="1219" w:type="dxa"/>
            <w:vAlign w:val="center"/>
            <w:vMerge w:val="continue"/>
            <w:textDirection w:val="lrTb"/>
            <w:noWrap w:val="false"/>
          </w:tcPr>
          <w:p>
            <w:pPr>
              <w:jc w:val="center"/>
              <w:spacing w:before="120" w:after="120" w:line="0" w:lineRule="atLeas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18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rPr>
              <w:t xml:space="preserve">综合偿付能力状况</w:t>
            </w:r>
            <w:r/>
          </w:p>
        </w:tc>
        <w:tc>
          <w:tcPr>
            <w:tcW w:w="744" w:type="dxa"/>
            <w:vAlign w:val="center"/>
            <w:textDirection w:val="lrTb"/>
            <w:noWrap w:val="false"/>
          </w:tcPr>
          <w:p>
            <w:pPr>
              <w:jc w:val="center"/>
              <w:spacing w:before="156" w:after="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c>
          <w:tcPr>
            <w:tcW w:w="6225" w:type="dxa"/>
            <w:vAlign w:val="center"/>
            <w:textDirection w:val="lrTb"/>
            <w:noWrap w:val="false"/>
          </w:tcPr>
          <w:p>
            <w:pPr>
              <w:pStyle w:val="737"/>
              <w:ind w:left="0" w:right="0" w:firstLine="0"/>
              <w:jc w:val="both"/>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
              </w:rPr>
              <w:t xml:space="preserve">供应商或其上级公司2025年度所公布的综合偿付能力充足率进行评分：综合偿付能力充足率≥200%得6分；低于200%≥150%得4分；低于150%≥100%得2分；低于100%不得分。（</w:t>
            </w:r>
            <w:r>
              <w:rPr>
                <w:rFonts w:hint="eastAsia" w:ascii="宋体" w:hAnsi="宋体" w:eastAsia="宋体" w:cs="宋体"/>
                <w:color w:val="auto"/>
                <w:sz w:val="21"/>
                <w:szCs w:val="21"/>
                <w:highlight w:val="none"/>
              </w:rPr>
              <w:t xml:space="preserve">扫描件上传至电子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rPr>
                <w:rFonts w:hint="eastAsia" w:ascii="宋体" w:hAnsi="宋体" w:eastAsia="宋体" w:cs="宋体"/>
                <w:color w:val="auto"/>
                <w:sz w:val="21"/>
                <w:szCs w:val="21"/>
                <w:highlight w:val="none"/>
                <w:lang w:val="en-US" w:eastAsia="zh-CN" w:bidi="ar"/>
              </w:rPr>
              <w:t xml:space="preserve">）</w:t>
            </w:r>
            <w:r/>
          </w:p>
        </w:tc>
      </w:tr>
      <w:tr>
        <w:trPr>
          <w:jc w:val="center"/>
        </w:trPr>
        <w:tc>
          <w:tcPr>
            <w:tcW w:w="1219" w:type="dxa"/>
            <w:vAlign w:val="top"/>
            <w:vMerge w:val="continue"/>
            <w:textDirection w:val="lrTb"/>
            <w:noWrap w:val="false"/>
          </w:tcPr>
          <w:p>
            <w:pPr>
              <w:spacing w:before="120" w:after="120" w:line="0" w:lineRule="atLeas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181" w:type="dxa"/>
            <w:vAlign w:val="center"/>
            <w:textDirection w:val="lrTb"/>
            <w:noWrap w:val="false"/>
          </w:tcPr>
          <w:p>
            <w:pPr>
              <w:jc w:val="center"/>
              <w:spacing w:before="156" w:after="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理赔经验</w:t>
            </w:r>
            <w:r/>
          </w:p>
        </w:tc>
        <w:tc>
          <w:tcPr>
            <w:tcW w:w="744" w:type="dxa"/>
            <w:vAlign w:val="center"/>
            <w:textDirection w:val="lrTb"/>
            <w:noWrap w:val="false"/>
          </w:tcPr>
          <w:p>
            <w:pPr>
              <w:jc w:val="center"/>
              <w:spacing w:before="156"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7分</w:t>
            </w:r>
            <w:r/>
          </w:p>
        </w:tc>
        <w:tc>
          <w:tcPr>
            <w:tcW w:w="6225" w:type="dxa"/>
            <w:vAlign w:val="center"/>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年1月1日以来（以赔付时间为准），</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lang w:val="en-US" w:eastAsia="zh-CN"/>
              </w:rPr>
              <w:t xml:space="preserve">或其上级公司</w:t>
            </w:r>
            <w:r>
              <w:rPr>
                <w:rFonts w:hint="eastAsia" w:ascii="宋体" w:hAnsi="宋体" w:eastAsia="宋体" w:cs="宋体"/>
                <w:color w:val="auto"/>
                <w:sz w:val="21"/>
                <w:szCs w:val="21"/>
                <w:highlight w:val="none"/>
              </w:rPr>
              <w:t xml:space="preserve">具有团体承保（不含个人渠道）单件重大疾病30万元</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的理赔案例经验或团体承保（不含个人渠道）身故理赔</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万元以上的理赔案例经验，提供5个案例得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分，在此基础上，每增加一个合格的案例得1分，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最高</w:t>
            </w:r>
            <w:r>
              <w:rPr>
                <w:rFonts w:hint="eastAsia" w:ascii="宋体" w:hAnsi="宋体" w:eastAsia="宋体" w:cs="宋体"/>
                <w:color w:val="auto"/>
                <w:sz w:val="21"/>
                <w:szCs w:val="21"/>
                <w:highlight w:val="none"/>
                <w:lang w:val="en-US" w:eastAsia="zh-CN"/>
              </w:rPr>
              <w:t xml:space="preserve">得7</w:t>
            </w:r>
            <w:r>
              <w:rPr>
                <w:rFonts w:hint="eastAsia" w:ascii="宋体" w:hAnsi="宋体" w:eastAsia="宋体" w:cs="宋体"/>
                <w:color w:val="auto"/>
                <w:sz w:val="21"/>
                <w:szCs w:val="21"/>
                <w:highlight w:val="none"/>
              </w:rPr>
              <w:t xml:space="preserve">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提供已决赔证明材料（如理赔通知书）扫描件上传至电子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文件中，证明材料需体现赔付时间及赔付金额。</w:t>
            </w:r>
            <w:r/>
          </w:p>
        </w:tc>
      </w:tr>
      <w:tr>
        <w:trPr>
          <w:jc w:val="center"/>
        </w:trPr>
        <w:tc>
          <w:tcPr>
            <w:tcW w:w="1219" w:type="dxa"/>
            <w:vAlign w:val="top"/>
            <w:vMerge w:val="continue"/>
            <w:textDirection w:val="lrTb"/>
            <w:noWrap w:val="false"/>
          </w:tcPr>
          <w:p>
            <w:pPr>
              <w:spacing w:before="120" w:after="12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81" w:type="dxa"/>
            <w:vAlign w:val="center"/>
            <w:textDirection w:val="lrTb"/>
            <w:noWrap w:val="false"/>
          </w:tcPr>
          <w:p>
            <w:pPr>
              <w:jc w:val="center"/>
              <w:spacing w:before="156" w:after="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承保经验</w:t>
            </w:r>
            <w:r/>
          </w:p>
        </w:tc>
        <w:tc>
          <w:tcPr>
            <w:tcW w:w="744" w:type="dxa"/>
            <w:vAlign w:val="center"/>
            <w:textDirection w:val="lrTb"/>
            <w:noWrap w:val="false"/>
          </w:tcPr>
          <w:p>
            <w:pPr>
              <w:jc w:val="center"/>
              <w:spacing w:before="156"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8分</w:t>
            </w:r>
            <w:r/>
          </w:p>
        </w:tc>
        <w:tc>
          <w:tcPr>
            <w:tcW w:w="6225" w:type="dxa"/>
            <w:vAlign w:val="center"/>
            <w:textDirection w:val="lrTb"/>
            <w:noWrap w:val="false"/>
          </w:tcPr>
          <w:p>
            <w:pPr>
              <w:jc w:val="left"/>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年1月1日以来（以保单签订时间为准），</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lang w:val="en-US" w:eastAsia="zh-CN"/>
              </w:rPr>
              <w:t xml:space="preserve">或其上级公司</w:t>
            </w:r>
            <w:r>
              <w:rPr>
                <w:rFonts w:hint="eastAsia" w:ascii="宋体" w:hAnsi="宋体" w:eastAsia="宋体" w:cs="宋体"/>
                <w:color w:val="auto"/>
                <w:sz w:val="21"/>
                <w:szCs w:val="21"/>
                <w:highlight w:val="none"/>
              </w:rPr>
              <w:t xml:space="preserve">具有团体补充医疗保险项目承保经验，</w:t>
            </w:r>
            <w:r>
              <w:rPr>
                <w:rFonts w:hint="eastAsia" w:ascii="宋体" w:hAnsi="宋体" w:eastAsia="宋体" w:cs="宋体"/>
                <w:color w:val="auto"/>
                <w:sz w:val="21"/>
                <w:szCs w:val="21"/>
                <w:highlight w:val="none"/>
                <w:lang w:val="en-US" w:eastAsia="zh-CN"/>
              </w:rPr>
              <w:t xml:space="preserve">有1个</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本项最高</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w:t>
            </w:r>
            <w:r/>
          </w:p>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提供保单扫描件上传至电子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保单内容须体现</w:t>
            </w:r>
            <w:r>
              <w:rPr>
                <w:rFonts w:hint="eastAsia" w:ascii="宋体" w:hAnsi="宋体" w:eastAsia="宋体" w:cs="宋体"/>
                <w:color w:val="auto"/>
                <w:sz w:val="21"/>
                <w:szCs w:val="21"/>
                <w:highlight w:val="none"/>
              </w:rPr>
              <w:t xml:space="preserve">签订时间、相关保险内容、被保险人数等关键信息，若无法体现以上关键信息，还需</w:t>
            </w:r>
            <w:r>
              <w:rPr>
                <w:rFonts w:hint="eastAsia" w:ascii="宋体" w:hAnsi="宋体" w:eastAsia="宋体" w:cs="宋体"/>
                <w:color w:val="auto"/>
                <w:sz w:val="21"/>
                <w:szCs w:val="21"/>
                <w:highlight w:val="none"/>
                <w:lang w:val="en-US" w:eastAsia="zh-CN"/>
              </w:rPr>
              <w:t xml:space="preserve">投保单位出具的</w:t>
            </w:r>
            <w:r>
              <w:rPr>
                <w:rFonts w:hint="eastAsia" w:ascii="宋体" w:hAnsi="宋体" w:eastAsia="宋体" w:cs="宋体"/>
                <w:color w:val="auto"/>
                <w:sz w:val="21"/>
                <w:szCs w:val="21"/>
                <w:highlight w:val="none"/>
              </w:rPr>
              <w:t xml:space="preserve">证明等有效证明材料）。</w:t>
            </w:r>
            <w:r/>
          </w:p>
        </w:tc>
      </w:tr>
      <w:tr>
        <w:trPr>
          <w:jc w:val="center"/>
          <w:trHeight w:val="341"/>
        </w:trPr>
        <w:tc>
          <w:tcPr>
            <w:tcW w:w="1219" w:type="dxa"/>
            <w:vAlign w:val="top"/>
            <w:vMerge w:val="continue"/>
            <w:textDirection w:val="lrTb"/>
            <w:noWrap w:val="false"/>
          </w:tcPr>
          <w:p>
            <w:pPr>
              <w:ind w:firstLine="480"/>
              <w:jc w:val="center"/>
              <w:spacing w:before="120" w:after="12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81" w:type="dxa"/>
            <w:vAlign w:val="center"/>
            <w:textDirection w:val="lrTb"/>
            <w:noWrap w:val="false"/>
          </w:tcPr>
          <w:p>
            <w:pPr>
              <w:jc w:val="center"/>
              <w:spacing w:before="156" w:after="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项目团队</w:t>
            </w:r>
            <w:r/>
          </w:p>
        </w:tc>
        <w:tc>
          <w:tcPr>
            <w:tcW w:w="744" w:type="dxa"/>
            <w:vAlign w:val="center"/>
            <w:textDirection w:val="lrTb"/>
            <w:noWrap w:val="false"/>
          </w:tcPr>
          <w:p>
            <w:pPr>
              <w:jc w:val="center"/>
              <w:spacing w:before="156"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10分</w:t>
            </w:r>
            <w:r/>
          </w:p>
        </w:tc>
        <w:tc>
          <w:tcPr>
            <w:tcW w:w="6225" w:type="dxa"/>
            <w:vAlign w:val="center"/>
            <w:textDirection w:val="lrTb"/>
            <w:noWrap w:val="false"/>
          </w:tcPr>
          <w:p>
            <w:pPr>
              <w:jc w:val="left"/>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1.供应商在5人的基础上，每增加1人得2分，本项最高得4分（提供人员身份证及劳动合同</w:t>
            </w:r>
            <w:r>
              <w:rPr>
                <w:rFonts w:hint="eastAsia" w:ascii="宋体" w:hAnsi="宋体" w:eastAsia="宋体" w:cs="宋体"/>
                <w:color w:val="auto"/>
                <w:sz w:val="21"/>
                <w:szCs w:val="21"/>
                <w:highlight w:val="none"/>
              </w:rPr>
              <w:t xml:space="preserve">扫描件上传至电子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rPr>
                <w:rFonts w:hint="eastAsia" w:ascii="宋体" w:hAnsi="宋体" w:eastAsia="宋体" w:cs="宋体"/>
                <w:color w:val="auto"/>
                <w:sz w:val="21"/>
                <w:szCs w:val="21"/>
                <w:highlight w:val="none"/>
                <w:lang w:val="en-US" w:eastAsia="zh-CN"/>
              </w:rPr>
              <w:t xml:space="preserve">）。</w:t>
            </w:r>
            <w:r/>
          </w:p>
          <w:p>
            <w:pPr>
              <w:jc w:val="left"/>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2.服务团队中每有1人为本科学历的得1分， 研究生学历的得2分，本项最高得4分（提供人员</w:t>
            </w:r>
            <w:r>
              <w:rPr>
                <w:rFonts w:hint="eastAsia" w:ascii="宋体" w:hAnsi="宋体" w:eastAsia="宋体" w:cs="宋体"/>
                <w:color w:val="auto"/>
                <w:sz w:val="21"/>
                <w:szCs w:val="21"/>
                <w:highlight w:val="none"/>
              </w:rPr>
              <w:t xml:space="preserve">学历（学位证）</w:t>
            </w:r>
            <w:r>
              <w:rPr>
                <w:rFonts w:hint="eastAsia" w:ascii="宋体" w:hAnsi="宋体" w:eastAsia="宋体" w:cs="宋体"/>
                <w:color w:val="auto"/>
                <w:sz w:val="21"/>
                <w:szCs w:val="21"/>
                <w:highlight w:val="none"/>
                <w:lang w:val="en-US" w:eastAsia="zh-CN"/>
              </w:rPr>
              <w:t xml:space="preserve">证明及劳动合同</w:t>
            </w:r>
            <w:r>
              <w:rPr>
                <w:rFonts w:hint="eastAsia" w:ascii="宋体" w:hAnsi="宋体" w:eastAsia="宋体" w:cs="宋体"/>
                <w:color w:val="auto"/>
                <w:sz w:val="21"/>
                <w:szCs w:val="21"/>
                <w:highlight w:val="none"/>
              </w:rPr>
              <w:t xml:space="preserve">扫描件上传至电子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rPr>
                <w:rFonts w:hint="eastAsia" w:ascii="宋体" w:hAnsi="宋体" w:eastAsia="宋体" w:cs="宋体"/>
                <w:color w:val="auto"/>
                <w:sz w:val="21"/>
                <w:szCs w:val="21"/>
                <w:highlight w:val="none"/>
                <w:lang w:val="en-US" w:eastAsia="zh-CN"/>
              </w:rPr>
              <w:t xml:space="preserve">）。</w:t>
            </w:r>
            <w:r/>
          </w:p>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3.服务团队中每有1人为</w:t>
            </w:r>
            <w:r>
              <w:rPr>
                <w:rFonts w:hint="eastAsia" w:ascii="宋体" w:hAnsi="宋体" w:eastAsia="宋体" w:cs="宋体"/>
                <w:color w:val="auto"/>
                <w:sz w:val="21"/>
                <w:szCs w:val="21"/>
                <w:highlight w:val="none"/>
              </w:rPr>
              <w:t xml:space="preserve">医学专业人员的得1分，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最高得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（提供人员专业证明</w:t>
            </w:r>
            <w:r>
              <w:rPr>
                <w:rFonts w:hint="eastAsia" w:ascii="宋体" w:hAnsi="宋体" w:eastAsia="宋体" w:cs="宋体"/>
                <w:color w:val="auto"/>
                <w:sz w:val="21"/>
                <w:szCs w:val="21"/>
                <w:highlight w:val="none"/>
              </w:rPr>
              <w:t xml:space="preserve">证书</w:t>
            </w:r>
            <w:r>
              <w:rPr>
                <w:rFonts w:hint="eastAsia" w:ascii="宋体" w:hAnsi="宋体" w:eastAsia="宋体" w:cs="宋体"/>
                <w:color w:val="auto"/>
                <w:sz w:val="21"/>
                <w:szCs w:val="21"/>
                <w:highlight w:val="none"/>
                <w:lang w:val="en-US" w:eastAsia="zh-CN"/>
              </w:rPr>
              <w:t xml:space="preserve">及劳动合同</w:t>
            </w:r>
            <w:r>
              <w:rPr>
                <w:rFonts w:hint="eastAsia" w:ascii="宋体" w:hAnsi="宋体" w:eastAsia="宋体" w:cs="宋体"/>
                <w:color w:val="auto"/>
                <w:sz w:val="21"/>
                <w:szCs w:val="21"/>
                <w:highlight w:val="none"/>
              </w:rPr>
              <w:t xml:space="preserve">扫描件上传至电子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rPr>
                <w:rFonts w:hint="eastAsia" w:ascii="宋体" w:hAnsi="宋体" w:eastAsia="宋体" w:cs="宋体"/>
                <w:color w:val="auto"/>
                <w:sz w:val="21"/>
                <w:szCs w:val="21"/>
                <w:highlight w:val="none"/>
                <w:lang w:val="en-US" w:eastAsia="zh-CN"/>
              </w:rPr>
              <w:t xml:space="preserve">）。</w:t>
            </w:r>
            <w:r/>
          </w:p>
        </w:tc>
      </w:tr>
      <w:tr>
        <w:trPr>
          <w:jc w:val="center"/>
          <w:trHeight w:val="606"/>
        </w:trPr>
        <w:tc>
          <w:tcPr>
            <w:tcW w:w="1219" w:type="dxa"/>
            <w:vAlign w:val="top"/>
            <w:vMerge w:val="continue"/>
            <w:textDirection w:val="lrTb"/>
            <w:noWrap w:val="false"/>
          </w:tcPr>
          <w:p>
            <w:pPr>
              <w:ind w:firstLine="480"/>
              <w:jc w:val="center"/>
              <w:spacing w:before="120" w:after="12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81" w:type="dxa"/>
            <w:vAlign w:val="center"/>
            <w:textDirection w:val="lrTb"/>
            <w:noWrap w:val="false"/>
          </w:tcPr>
          <w:p>
            <w:pPr>
              <w:jc w:val="center"/>
              <w:spacing w:before="156" w:after="1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等待期</w:t>
            </w:r>
            <w:r/>
          </w:p>
        </w:tc>
        <w:tc>
          <w:tcPr>
            <w:tcW w:w="744" w:type="dxa"/>
            <w:vAlign w:val="center"/>
            <w:textDirection w:val="lrTb"/>
            <w:noWrap w:val="false"/>
          </w:tcPr>
          <w:p>
            <w:pPr>
              <w:jc w:val="center"/>
              <w:spacing w:before="156" w:after="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c>
          <w:tcPr>
            <w:tcW w:w="6225" w:type="dxa"/>
            <w:vAlign w:val="center"/>
            <w:textDirection w:val="lrTb"/>
            <w:noWrap w:val="false"/>
          </w:tcPr>
          <w:p>
            <w:pPr>
              <w:jc w:val="left"/>
              <w:spacing w:before="156" w:after="12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供应商承诺：等待期为60日的得3分，等待期为30日的得6分（承诺书格式自拟）。</w:t>
            </w:r>
            <w:r/>
          </w:p>
        </w:tc>
      </w:tr>
      <w:tr>
        <w:trPr>
          <w:jc w:val="center"/>
          <w:trHeight w:val="923"/>
        </w:trPr>
        <w:tc>
          <w:tcPr>
            <w:tcW w:w="1219" w:type="dxa"/>
            <w:vAlign w:val="top"/>
            <w:vMerge w:val="continue"/>
            <w:textDirection w:val="lrTb"/>
            <w:noWrap w:val="false"/>
          </w:tcPr>
          <w:p>
            <w:pPr>
              <w:ind w:firstLine="480"/>
              <w:jc w:val="center"/>
              <w:spacing w:before="120" w:after="12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81" w:type="dxa"/>
            <w:vAlign w:val="center"/>
            <w:textDirection w:val="lrTb"/>
            <w:noWrap w:val="false"/>
          </w:tcPr>
          <w:p>
            <w:pPr>
              <w:jc w:val="center"/>
              <w:spacing w:before="156" w:after="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理赔时效</w:t>
            </w:r>
            <w:r/>
          </w:p>
        </w:tc>
        <w:tc>
          <w:tcPr>
            <w:tcW w:w="744" w:type="dxa"/>
            <w:vAlign w:val="center"/>
            <w:textDirection w:val="lrTb"/>
            <w:noWrap w:val="false"/>
          </w:tcPr>
          <w:p>
            <w:pPr>
              <w:jc w:val="center"/>
              <w:spacing w:before="156" w:after="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c>
          <w:tcPr>
            <w:tcW w:w="6225" w:type="dxa"/>
            <w:vAlign w:val="center"/>
            <w:textDirection w:val="lrTb"/>
            <w:noWrap w:val="false"/>
          </w:tcPr>
          <w:p>
            <w:pPr>
              <w:jc w:val="left"/>
              <w:spacing w:before="156" w:after="12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供应商承诺：资料齐全无误的理赔案件，在11-14个工作日内确定赔偿金额得2分，在6-10个工作日内确定赔偿金额得4分，在1-5个工作日内确定赔偿金额得6分（承诺书格式自拟）。</w:t>
            </w:r>
            <w:r/>
          </w:p>
        </w:tc>
      </w:tr>
      <w:tr>
        <w:trPr>
          <w:jc w:val="center"/>
          <w:trHeight w:val="1540"/>
        </w:trPr>
        <w:tc>
          <w:tcPr>
            <w:tcW w:w="1219" w:type="dxa"/>
            <w:vAlign w:val="top"/>
            <w:vMerge w:val="continue"/>
            <w:textDirection w:val="lrTb"/>
            <w:noWrap w:val="false"/>
          </w:tcPr>
          <w:p>
            <w:pPr>
              <w:ind w:firstLine="480"/>
              <w:jc w:val="center"/>
              <w:spacing w:before="120" w:after="12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81" w:type="dxa"/>
            <w:vAlign w:val="center"/>
            <w:textDirection w:val="lrTb"/>
            <w:noWrap w:val="false"/>
          </w:tcPr>
          <w:p>
            <w:pPr>
              <w:jc w:val="center"/>
              <w:spacing w:before="156" w:after="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理赔系统</w:t>
            </w:r>
            <w:r/>
          </w:p>
        </w:tc>
        <w:tc>
          <w:tcPr>
            <w:tcW w:w="744" w:type="dxa"/>
            <w:vAlign w:val="center"/>
            <w:textDirection w:val="lrTb"/>
            <w:noWrap w:val="false"/>
          </w:tcPr>
          <w:p>
            <w:pPr>
              <w:jc w:val="center"/>
              <w:spacing w:before="156"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6分</w:t>
            </w:r>
            <w:r/>
          </w:p>
        </w:tc>
        <w:tc>
          <w:tcPr>
            <w:tcW w:w="6225" w:type="dxa"/>
            <w:vAlign w:val="center"/>
            <w:textDirection w:val="lrTb"/>
            <w:noWrap w:val="false"/>
          </w:tcPr>
          <w:p>
            <w:pPr>
              <w:jc w:val="left"/>
              <w:spacing w:before="156" w:after="12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供应商或其上级公司自有线上理赔服务系统和客户服务系统的得6分（提供相对应的证书或其他的证明材料</w:t>
            </w:r>
            <w:r>
              <w:rPr>
                <w:rFonts w:hint="eastAsia" w:ascii="宋体" w:hAnsi="宋体" w:eastAsia="宋体" w:cs="宋体"/>
                <w:color w:val="auto"/>
                <w:sz w:val="21"/>
                <w:szCs w:val="21"/>
                <w:highlight w:val="none"/>
              </w:rPr>
              <w:t xml:space="preserve">扫描件上传至电子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rPr>
                <w:rFonts w:hint="eastAsia" w:ascii="宋体" w:hAnsi="宋体" w:eastAsia="宋体" w:cs="宋体"/>
                <w:color w:val="auto"/>
                <w:sz w:val="21"/>
                <w:szCs w:val="21"/>
                <w:highlight w:val="none"/>
                <w:lang w:val="en-US" w:eastAsia="zh-CN"/>
              </w:rPr>
              <w:t xml:space="preserve">）；供应商使用第三方线上理赔服务系统的得3分（提供供应商与第三方公司签订的合同、第三方系统相应的证书或其他证明材料</w:t>
            </w:r>
            <w:r>
              <w:rPr>
                <w:rFonts w:hint="eastAsia" w:ascii="宋体" w:hAnsi="宋体" w:eastAsia="宋体" w:cs="宋体"/>
                <w:color w:val="auto"/>
                <w:sz w:val="21"/>
                <w:szCs w:val="21"/>
                <w:highlight w:val="none"/>
              </w:rPr>
              <w:t xml:space="preserve">扫描件上传至电子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rPr>
                <w:rFonts w:hint="eastAsia" w:ascii="宋体" w:hAnsi="宋体" w:eastAsia="宋体" w:cs="宋体"/>
                <w:color w:val="auto"/>
                <w:sz w:val="21"/>
                <w:szCs w:val="21"/>
                <w:highlight w:val="none"/>
                <w:lang w:val="en-US" w:eastAsia="zh-CN"/>
              </w:rPr>
              <w:t xml:space="preserve">）。</w:t>
            </w:r>
            <w:r/>
          </w:p>
        </w:tc>
      </w:tr>
    </w:tbl>
    <w:p>
      <w:pPr>
        <w:numPr>
          <w:ilvl w:val="2"/>
          <w:numId w:val="0"/>
        </w:numPr>
        <w:ind w:firstLine="211"/>
        <w:jc w:val="both"/>
        <w:spacing w:before="120" w:line="360" w:lineRule="auto"/>
        <w:widowControl w:val="off"/>
        <w:rPr>
          <w:rFonts w:hint="eastAsia"/>
          <w:color w:val="auto"/>
        </w:rPr>
        <w:outlineLvl w:val="2"/>
      </w:pPr>
      <w:r>
        <w:rPr>
          <w:rFonts w:hint="eastAsia" w:ascii="宋体" w:hAnsi="宋体" w:eastAsia="宋体" w:cs="宋体"/>
          <w:b/>
          <w:bCs/>
          <w:color w:val="auto"/>
          <w:sz w:val="21"/>
          <w:szCs w:val="21"/>
          <w:highlight w:val="none"/>
          <w:lang w:val="en-US" w:eastAsia="zh-CN" w:bidi="ar-SA"/>
        </w:rPr>
        <w:t xml:space="preserve">注：因目前苏采云评标系统的报价分自动计算程序无法与本次磋商文件的报价计算规则匹配，报价（保险金额）部分将列入商务部分模块进行评审，磋商文件中的评分细则不进行改动和调整。</w:t>
      </w:r>
      <w:r/>
    </w:p>
    <w:p>
      <w:pPr>
        <w:ind w:firstLine="24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ind w:firstLine="24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ind w:firstLine="24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ind w:firstLine="24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rPr>
          <w:rFonts w:hint="eastAsia" w:ascii="Times New Roman" w:hAnsi="Times New Roman"/>
          <w:b/>
          <w:bCs/>
          <w:color w:val="000000"/>
          <w:sz w:val="32"/>
          <w:szCs w:val="32"/>
          <w:highlight w:val="none"/>
        </w:rPr>
      </w:pPr>
      <w:r>
        <w:rPr>
          <w:rFonts w:hint="eastAsia" w:ascii="Times New Roman" w:hAnsi="Times New Roman"/>
          <w:b/>
          <w:bCs/>
          <w:color w:val="000000"/>
          <w:sz w:val="32"/>
          <w:szCs w:val="32"/>
          <w:highlight w:val="none"/>
        </w:rPr>
        <w:br w:type="page" w:clear="all"/>
      </w:r>
      <w:r/>
    </w:p>
    <w:p>
      <w:pPr>
        <w:pStyle w:val="908"/>
        <w:ind w:firstLine="643"/>
        <w:jc w:val="center"/>
        <w:spacing w:line="400" w:lineRule="exact"/>
        <w:rPr>
          <w:rFonts w:hint="eastAsia" w:ascii="Times New Roman" w:hAnsi="Times New Roman" w:eastAsia="宋体"/>
          <w:b/>
          <w:bCs/>
          <w:color w:val="000000"/>
          <w:sz w:val="32"/>
          <w:szCs w:val="32"/>
          <w:highlight w:val="none"/>
          <w:lang w:eastAsia="zh-CN"/>
        </w:rPr>
      </w:pPr>
      <w:r>
        <w:rPr>
          <w:rFonts w:hint="eastAsia" w:ascii="Times New Roman" w:hAnsi="Times New Roman"/>
          <w:b/>
          <w:bCs/>
          <w:color w:val="000000"/>
          <w:sz w:val="32"/>
          <w:szCs w:val="32"/>
          <w:highlight w:val="none"/>
        </w:rPr>
        <w:t xml:space="preserve">综合评分法</w:t>
      </w:r>
      <w:r>
        <w:rPr>
          <w:rFonts w:hint="eastAsia" w:ascii="Times New Roman" w:hAnsi="Times New Roman"/>
          <w:b/>
          <w:bCs/>
          <w:color w:val="000000"/>
          <w:sz w:val="32"/>
          <w:szCs w:val="32"/>
          <w:highlight w:val="none"/>
          <w:lang w:eastAsia="zh-CN"/>
        </w:rPr>
        <w:t xml:space="preserve">（</w:t>
      </w:r>
      <w:r>
        <w:rPr>
          <w:rFonts w:hint="eastAsia" w:ascii="Times New Roman" w:hAnsi="Times New Roman" w:eastAsia="宋体" w:cs="Times New Roman"/>
          <w:b/>
          <w:bCs/>
          <w:color w:val="000000"/>
          <w:sz w:val="32"/>
          <w:szCs w:val="32"/>
          <w:highlight w:val="none"/>
          <w:lang w:val="en-US" w:eastAsia="zh-CN"/>
        </w:rPr>
        <w:t xml:space="preserve">采购包2</w:t>
      </w:r>
      <w:r>
        <w:rPr>
          <w:rFonts w:hint="eastAsia" w:ascii="Times New Roman" w:hAnsi="Times New Roman"/>
          <w:b/>
          <w:bCs/>
          <w:color w:val="000000"/>
          <w:sz w:val="32"/>
          <w:szCs w:val="32"/>
          <w:highlight w:val="none"/>
          <w:lang w:eastAsia="zh-CN"/>
        </w:rPr>
        <w:t xml:space="preserve">）</w:t>
      </w:r>
      <w:r/>
    </w:p>
    <w:p>
      <w:pPr>
        <w:ind w:firstLine="24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ind w:firstLine="24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采购包2：</w:t>
      </w:r>
      <w:r/>
    </w:p>
    <w:tbl>
      <w:tblPr>
        <w:tblStyle w:val="712"/>
        <w:tblW w:w="9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1061"/>
        <w:gridCol w:w="728"/>
        <w:gridCol w:w="6493"/>
      </w:tblGrid>
      <w:tr>
        <w:trPr>
          <w:jc w:val="center"/>
        </w:trPr>
        <w:tc>
          <w:tcPr>
            <w:gridSpan w:val="2"/>
            <w:tcW w:w="2176" w:type="dxa"/>
            <w:vAlign w:val="top"/>
            <w:textDirection w:val="lrTb"/>
            <w:noWrap w:val="false"/>
          </w:tcPr>
          <w:p>
            <w:pPr>
              <w:jc w:val="center"/>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728" w:type="dxa"/>
            <w:vAlign w:val="top"/>
            <w:textDirection w:val="lrTb"/>
            <w:noWrap w:val="false"/>
          </w:tcPr>
          <w:p>
            <w:pPr>
              <w:jc w:val="center"/>
              <w:spacing w:before="120" w:after="12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分值</w:t>
            </w:r>
            <w:r/>
          </w:p>
        </w:tc>
        <w:tc>
          <w:tcPr>
            <w:tcW w:w="6493" w:type="dxa"/>
            <w:vAlign w:val="top"/>
            <w:textDirection w:val="lrTb"/>
            <w:noWrap w:val="false"/>
          </w:tcPr>
          <w:p>
            <w:pPr>
              <w:jc w:val="center"/>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评审因素细化和量化</w:t>
            </w:r>
            <w:r/>
          </w:p>
        </w:tc>
      </w:tr>
      <w:tr>
        <w:trPr>
          <w:jc w:val="center"/>
          <w:trHeight w:val="450"/>
        </w:trPr>
        <w:tc>
          <w:tcPr>
            <w:tcW w:w="1115" w:type="dxa"/>
            <w:vAlign w:val="center"/>
            <w:vMerge w:val="restart"/>
            <w:textDirection w:val="lrTb"/>
            <w:noWrap w:val="false"/>
          </w:tcPr>
          <w:p>
            <w:pPr>
              <w:jc w:val="center"/>
              <w:spacing w:before="120" w:after="120" w:line="0" w:lineRule="atLeas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保险金额部分</w:t>
            </w:r>
            <w:r/>
          </w:p>
          <w:p>
            <w:pPr>
              <w:jc w:val="center"/>
              <w:spacing w:before="120" w:after="120" w:line="0" w:lineRule="atLeas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14</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p>
        </w:tc>
        <w:tc>
          <w:tcPr>
            <w:tcW w:w="10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意外身故</w:t>
            </w:r>
            <w:r/>
          </w:p>
        </w:tc>
        <w:tc>
          <w:tcPr>
            <w:tcW w:w="72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2分</w:t>
            </w:r>
            <w:r/>
          </w:p>
        </w:tc>
        <w:tc>
          <w:tcPr>
            <w:tcW w:w="6493" w:type="dxa"/>
            <w:vAlign w:val="center"/>
            <w:textDirection w:val="lrTb"/>
            <w:noWrap w:val="false"/>
          </w:tcPr>
          <w:p>
            <w:pPr>
              <w:numPr>
                <w:ilvl w:val="0"/>
                <w:numId w:val="0"/>
              </w:numPr>
              <w:spacing w:line="24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各供应商得分=（供应商保险金额/供应商最高报价保险金额）*2</w:t>
            </w:r>
            <w:r/>
          </w:p>
        </w:tc>
      </w:tr>
      <w:tr>
        <w:trPr>
          <w:jc w:val="center"/>
          <w:trHeight w:val="461"/>
        </w:trPr>
        <w:tc>
          <w:tcPr>
            <w:tcW w:w="1115" w:type="dxa"/>
            <w:vAlign w:val="center"/>
            <w:vMerge w:val="continue"/>
            <w:textDirection w:val="lrTb"/>
            <w:noWrap w:val="false"/>
          </w:tcPr>
          <w:p>
            <w:pPr>
              <w:jc w:val="center"/>
              <w:spacing w:before="120" w:after="120" w:line="0" w:lineRule="atLeas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0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疾病身故</w:t>
            </w:r>
            <w:r/>
          </w:p>
        </w:tc>
        <w:tc>
          <w:tcPr>
            <w:tcW w:w="72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2分</w:t>
            </w:r>
            <w:r/>
          </w:p>
        </w:tc>
        <w:tc>
          <w:tcPr>
            <w:tcW w:w="6493" w:type="dxa"/>
            <w:vAlign w:val="center"/>
            <w:textDirection w:val="lrTb"/>
            <w:noWrap w:val="false"/>
          </w:tcPr>
          <w:p>
            <w:pPr>
              <w:numPr>
                <w:ilvl w:val="0"/>
                <w:numId w:val="0"/>
              </w:numPr>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各供应商得分=（供应商保险金额/供应商最高报价保险金额）*2</w:t>
            </w:r>
            <w:r/>
          </w:p>
        </w:tc>
      </w:tr>
      <w:tr>
        <w:trPr>
          <w:jc w:val="center"/>
          <w:trHeight w:val="404"/>
        </w:trPr>
        <w:tc>
          <w:tcPr>
            <w:tcW w:w="1115" w:type="dxa"/>
            <w:vAlign w:val="center"/>
            <w:vMerge w:val="continue"/>
            <w:textDirection w:val="lrTb"/>
            <w:noWrap w:val="false"/>
          </w:tcPr>
          <w:p>
            <w:pPr>
              <w:jc w:val="center"/>
              <w:spacing w:line="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意外伤残</w:t>
            </w:r>
            <w:r/>
          </w:p>
        </w:tc>
        <w:tc>
          <w:tcPr>
            <w:tcW w:w="7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2分</w:t>
            </w:r>
            <w:r/>
          </w:p>
        </w:tc>
        <w:tc>
          <w:tcPr>
            <w:tcW w:w="6493" w:type="dxa"/>
            <w:vAlign w:val="center"/>
            <w:textDirection w:val="lrTb"/>
            <w:noWrap w:val="false"/>
          </w:tcPr>
          <w:p>
            <w:pPr>
              <w:numPr>
                <w:ilvl w:val="0"/>
                <w:numId w:val="0"/>
              </w:numPr>
              <w:spacing w:line="24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各供应商得分=（供应商保险金额/供应商最高报价保险金额）*2 </w:t>
            </w:r>
            <w:r/>
          </w:p>
        </w:tc>
      </w:tr>
      <w:tr>
        <w:trPr>
          <w:jc w:val="center"/>
          <w:trHeight w:val="471"/>
        </w:trPr>
        <w:tc>
          <w:tcPr>
            <w:tcW w:w="1115" w:type="dxa"/>
            <w:vAlign w:val="center"/>
            <w:vMerge w:val="continue"/>
            <w:textDirection w:val="lrTb"/>
            <w:noWrap w:val="false"/>
          </w:tcPr>
          <w:p>
            <w:pPr>
              <w:jc w:val="center"/>
              <w:spacing w:line="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意外医疗</w:t>
            </w:r>
            <w:r/>
          </w:p>
        </w:tc>
        <w:tc>
          <w:tcPr>
            <w:tcW w:w="72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2分</w:t>
            </w:r>
            <w:r/>
          </w:p>
        </w:tc>
        <w:tc>
          <w:tcPr>
            <w:tcW w:w="6493" w:type="dxa"/>
            <w:vAlign w:val="center"/>
            <w:textDirection w:val="lrTb"/>
            <w:noWrap w:val="false"/>
          </w:tcPr>
          <w:p>
            <w:pPr>
              <w:numPr>
                <w:ilvl w:val="0"/>
                <w:numId w:val="0"/>
              </w:numPr>
              <w:spacing w:line="24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各供应商得分=（供应商保险金额/供应商最高报价保险金额）*2</w:t>
            </w:r>
            <w:r/>
          </w:p>
        </w:tc>
      </w:tr>
      <w:tr>
        <w:trPr>
          <w:jc w:val="center"/>
          <w:trHeight w:val="428"/>
        </w:trPr>
        <w:tc>
          <w:tcPr>
            <w:tcW w:w="1115" w:type="dxa"/>
            <w:vAlign w:val="center"/>
            <w:vMerge w:val="continue"/>
            <w:textDirection w:val="lrTb"/>
            <w:noWrap w:val="false"/>
          </w:tcPr>
          <w:p>
            <w:pPr>
              <w:jc w:val="center"/>
              <w:spacing w:line="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住院津贴</w:t>
            </w:r>
            <w:r/>
          </w:p>
        </w:tc>
        <w:tc>
          <w:tcPr>
            <w:tcW w:w="7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2分</w:t>
            </w:r>
            <w:r/>
          </w:p>
        </w:tc>
        <w:tc>
          <w:tcPr>
            <w:tcW w:w="6493" w:type="dxa"/>
            <w:vAlign w:val="center"/>
            <w:textDirection w:val="lrTb"/>
            <w:noWrap w:val="false"/>
          </w:tcPr>
          <w:p>
            <w:pPr>
              <w:numPr>
                <w:ilvl w:val="0"/>
                <w:numId w:val="0"/>
              </w:numPr>
              <w:spacing w:line="24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各供应商得分=（供应商保险金额/供应商最高报价保险金额）*2</w:t>
            </w:r>
            <w:r/>
          </w:p>
        </w:tc>
      </w:tr>
      <w:tr>
        <w:trPr>
          <w:jc w:val="center"/>
          <w:trHeight w:val="428"/>
        </w:trPr>
        <w:tc>
          <w:tcPr>
            <w:tcW w:w="1115" w:type="dxa"/>
            <w:vAlign w:val="center"/>
            <w:vMerge w:val="continue"/>
            <w:textDirection w:val="lrTb"/>
            <w:noWrap w:val="false"/>
          </w:tcPr>
          <w:p>
            <w:pPr>
              <w:jc w:val="center"/>
              <w:spacing w:line="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1"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重大疾病</w:t>
            </w:r>
            <w:r/>
          </w:p>
        </w:tc>
        <w:tc>
          <w:tcPr>
            <w:tcW w:w="72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2分</w:t>
            </w:r>
            <w:r/>
          </w:p>
        </w:tc>
        <w:tc>
          <w:tcPr>
            <w:tcW w:w="6493" w:type="dxa"/>
            <w:vAlign w:val="center"/>
            <w:textDirection w:val="lrTb"/>
            <w:noWrap w:val="false"/>
          </w:tcPr>
          <w:p>
            <w:pPr>
              <w:numPr>
                <w:ilvl w:val="0"/>
                <w:numId w:val="0"/>
              </w:numPr>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各供应商得分=（供应商保险金额/供应商最高报价保险金额）*2 </w:t>
            </w:r>
            <w:r/>
          </w:p>
        </w:tc>
      </w:tr>
      <w:tr>
        <w:trPr>
          <w:jc w:val="center"/>
        </w:trPr>
        <w:tc>
          <w:tcPr>
            <w:tcW w:w="1115" w:type="dxa"/>
            <w:vAlign w:val="center"/>
            <w:vMerge w:val="continue"/>
            <w:textDirection w:val="lrTb"/>
            <w:noWrap w:val="false"/>
          </w:tcPr>
          <w:p>
            <w:pPr>
              <w:jc w:val="center"/>
              <w:spacing w:line="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1"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交通工具意外</w:t>
            </w:r>
            <w:r/>
          </w:p>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（含身故、残疾、烧伤）</w:t>
            </w:r>
            <w:r/>
          </w:p>
        </w:tc>
        <w:tc>
          <w:tcPr>
            <w:tcW w:w="728"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2分</w:t>
            </w:r>
            <w:r/>
          </w:p>
        </w:tc>
        <w:tc>
          <w:tcPr>
            <w:tcW w:w="6493" w:type="dxa"/>
            <w:vAlign w:val="center"/>
            <w:textDirection w:val="lrTb"/>
            <w:noWrap w:val="false"/>
          </w:tcPr>
          <w:p>
            <w:pPr>
              <w:numPr>
                <w:ilvl w:val="0"/>
                <w:numId w:val="0"/>
              </w:numPr>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乘坐飞机责任</w:t>
            </w:r>
            <w:r/>
          </w:p>
          <w:p>
            <w:pPr>
              <w:numPr>
                <w:ilvl w:val="0"/>
                <w:numId w:val="0"/>
              </w:numPr>
              <w:ind w:left="0" w:firstLine="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各供应商得分=（供应商保险金额/供应商最高报价保险金额）*0.5分</w:t>
            </w:r>
            <w:r/>
          </w:p>
        </w:tc>
      </w:tr>
      <w:tr>
        <w:trPr>
          <w:jc w:val="center"/>
          <w:trHeight w:val="930"/>
        </w:trPr>
        <w:tc>
          <w:tcPr>
            <w:tcW w:w="1115" w:type="dxa"/>
            <w:vAlign w:val="center"/>
            <w:vMerge w:val="continue"/>
            <w:textDirection w:val="lrTb"/>
            <w:noWrap w:val="false"/>
          </w:tcPr>
          <w:p>
            <w:pPr>
              <w:jc w:val="center"/>
              <w:spacing w:line="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1"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28"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493" w:type="dxa"/>
            <w:vAlign w:val="center"/>
            <w:textDirection w:val="lrTb"/>
            <w:noWrap w:val="false"/>
          </w:tcPr>
          <w:p>
            <w:pPr>
              <w:numPr>
                <w:ilvl w:val="0"/>
                <w:numId w:val="0"/>
              </w:numPr>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乘坐轨道交通工具</w:t>
            </w:r>
            <w:r/>
          </w:p>
          <w:p>
            <w:pPr>
              <w:numPr>
                <w:ilvl w:val="0"/>
                <w:numId w:val="0"/>
              </w:numPr>
              <w:ind w:left="0" w:firstLine="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责任各供应商得分=（供应商保险金额/供应商最高报价保险金额）*0.5分</w:t>
            </w:r>
            <w:r/>
          </w:p>
        </w:tc>
      </w:tr>
      <w:tr>
        <w:trPr>
          <w:jc w:val="center"/>
        </w:trPr>
        <w:tc>
          <w:tcPr>
            <w:tcW w:w="1115" w:type="dxa"/>
            <w:vAlign w:val="center"/>
            <w:vMerge w:val="continue"/>
            <w:textDirection w:val="lrTb"/>
            <w:noWrap w:val="false"/>
          </w:tcPr>
          <w:p>
            <w:pPr>
              <w:jc w:val="center"/>
              <w:spacing w:line="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1"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28"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493" w:type="dxa"/>
            <w:vAlign w:val="center"/>
            <w:textDirection w:val="lrTb"/>
            <w:noWrap w:val="false"/>
          </w:tcPr>
          <w:p>
            <w:pPr>
              <w:numPr>
                <w:ilvl w:val="0"/>
                <w:numId w:val="0"/>
              </w:numPr>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乘坐水上交通工具责任</w:t>
            </w:r>
            <w:r/>
          </w:p>
          <w:p>
            <w:pPr>
              <w:numPr>
                <w:ilvl w:val="0"/>
                <w:numId w:val="0"/>
              </w:numPr>
              <w:ind w:left="0" w:firstLine="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各供应商得分=（供应商保险金额/供应商最高报价保险金额）*0.5分</w:t>
            </w:r>
            <w:r/>
          </w:p>
        </w:tc>
      </w:tr>
      <w:tr>
        <w:trPr>
          <w:jc w:val="center"/>
        </w:trPr>
        <w:tc>
          <w:tcPr>
            <w:tcW w:w="1115" w:type="dxa"/>
            <w:vAlign w:val="center"/>
            <w:vMerge w:val="continue"/>
            <w:textDirection w:val="lrTb"/>
            <w:noWrap w:val="false"/>
          </w:tcPr>
          <w:p>
            <w:pPr>
              <w:jc w:val="center"/>
              <w:spacing w:line="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1"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728" w:type="dxa"/>
            <w:vAlign w:val="center"/>
            <w:vMerge w:val="continue"/>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6493"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乘坐机动车交通工具责任</w:t>
            </w:r>
            <w:r/>
          </w:p>
          <w:p>
            <w:pPr>
              <w:numPr>
                <w:ilvl w:val="0"/>
                <w:numId w:val="0"/>
              </w:num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各供应商得分=（供应商保险金额/供应商最高报价保险金额）*0.5分</w:t>
            </w:r>
            <w:r/>
          </w:p>
        </w:tc>
      </w:tr>
      <w:tr>
        <w:trPr>
          <w:jc w:val="center"/>
          <w:trHeight w:val="1358"/>
        </w:trPr>
        <w:tc>
          <w:tcPr>
            <w:tcW w:w="1115" w:type="dxa"/>
            <w:vAlign w:val="center"/>
            <w:vMerge w:val="restart"/>
            <w:textDirection w:val="lrTb"/>
            <w:noWrap w:val="false"/>
          </w:tcPr>
          <w:p>
            <w:pPr>
              <w:jc w:val="center"/>
              <w:spacing w:line="0" w:lineRule="atLeast"/>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方案部分</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32</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p>
        </w:tc>
        <w:tc>
          <w:tcPr>
            <w:tcW w:w="106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服务能力</w:t>
            </w:r>
            <w:r/>
          </w:p>
        </w:tc>
        <w:tc>
          <w:tcPr>
            <w:tcW w:w="72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6493" w:type="dxa"/>
            <w:vAlign w:val="top"/>
            <w:textDirection w:val="lrTb"/>
            <w:noWrap w:val="false"/>
          </w:tcPr>
          <w:p>
            <w:pPr>
              <w:numPr>
                <w:ilvl w:val="0"/>
                <w:numId w:val="0"/>
              </w:numPr>
              <w:jc w:val="left"/>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rPr>
              <w:t xml:space="preserve">承保服务方案（</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方案的合理性、可行性、预期效果非常好的得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方案基本完整、有一定可实施性</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合理性、可行性、预期效果比较好的得2分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w:t>
            </w:r>
            <w:r>
              <w:rPr>
                <w:rFonts w:hint="eastAsia" w:ascii="宋体" w:hAnsi="宋体" w:eastAsia="宋体" w:cs="宋体"/>
                <w:b w:val="0"/>
                <w:bCs w:val="0"/>
                <w:color w:val="auto"/>
                <w:sz w:val="21"/>
                <w:szCs w:val="21"/>
                <w:highlight w:val="none"/>
                <w:lang w:eastAsia="zh-CN"/>
              </w:rPr>
              <w:t xml:space="preserve">较粗略，</w:t>
            </w:r>
            <w:r>
              <w:rPr>
                <w:rFonts w:hint="eastAsia" w:ascii="宋体" w:hAnsi="宋体" w:eastAsia="宋体" w:cs="宋体"/>
                <w:b w:val="0"/>
                <w:bCs w:val="0"/>
                <w:color w:val="auto"/>
                <w:sz w:val="21"/>
                <w:szCs w:val="21"/>
                <w:highlight w:val="none"/>
              </w:rPr>
              <w:t xml:space="preserve">合理性、可行性、预期效果一般的得1分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没有不得分。</w:t>
            </w:r>
            <w:r/>
          </w:p>
          <w:p>
            <w:pPr>
              <w:jc w:val="left"/>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.培训方案（</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方案的针对性、全面性效果非常好的得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方案的针对性、全面性效果比较好的得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方案的针对性、全面性效果一般的得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没有不得分。</w:t>
            </w:r>
            <w:r/>
          </w:p>
          <w:p>
            <w:pPr>
              <w:jc w:val="left"/>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服务优化措施</w:t>
            </w:r>
            <w:r>
              <w:rPr>
                <w:rFonts w:hint="eastAsia" w:ascii="宋体" w:hAnsi="宋体" w:eastAsia="宋体" w:cs="宋体"/>
                <w:b w:val="0"/>
                <w:bCs w:val="0"/>
                <w:color w:val="auto"/>
                <w:sz w:val="21"/>
                <w:szCs w:val="21"/>
                <w:highlight w:val="none"/>
              </w:rPr>
              <w:t xml:space="preserve">及合理化建议（</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供应商根据</w:t>
            </w:r>
            <w:r>
              <w:rPr>
                <w:rFonts w:hint="eastAsia" w:ascii="宋体" w:hAnsi="宋体" w:eastAsia="宋体" w:cs="宋体"/>
                <w:b w:val="0"/>
                <w:bCs w:val="0"/>
                <w:color w:val="auto"/>
                <w:sz w:val="21"/>
                <w:szCs w:val="21"/>
                <w:highlight w:val="none"/>
              </w:rPr>
              <w:t xml:space="preserve">本项目实际情况提供</w:t>
            </w:r>
            <w:r>
              <w:rPr>
                <w:rFonts w:hint="eastAsia" w:ascii="宋体" w:hAnsi="宋体" w:eastAsia="宋体" w:cs="宋体"/>
                <w:b w:val="0"/>
                <w:bCs w:val="0"/>
                <w:color w:val="auto"/>
                <w:sz w:val="21"/>
                <w:szCs w:val="21"/>
                <w:highlight w:val="none"/>
                <w:lang w:val="en-US" w:eastAsia="zh-CN"/>
              </w:rPr>
              <w:t xml:space="preserve">服务优化措施</w:t>
            </w:r>
            <w:r>
              <w:rPr>
                <w:rFonts w:hint="eastAsia" w:ascii="宋体" w:hAnsi="宋体" w:eastAsia="宋体" w:cs="宋体"/>
                <w:b w:val="0"/>
                <w:bCs w:val="0"/>
                <w:color w:val="auto"/>
                <w:sz w:val="21"/>
                <w:szCs w:val="21"/>
                <w:highlight w:val="none"/>
              </w:rPr>
              <w:t xml:space="preserve">及合理化建议，方案全面性效果非常好的得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方案全面性效果比较好的得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方案全面性效果一般的得1分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没有不得分。</w:t>
            </w:r>
            <w:r/>
          </w:p>
        </w:tc>
      </w:tr>
      <w:tr>
        <w:trPr>
          <w:jc w:val="center"/>
        </w:trPr>
        <w:tc>
          <w:tcPr>
            <w:tcW w:w="1115" w:type="dxa"/>
            <w:vAlign w:val="center"/>
            <w:vMerge w:val="continue"/>
            <w:textDirection w:val="lrTb"/>
            <w:noWrap w:val="false"/>
          </w:tcPr>
          <w:p>
            <w:pPr>
              <w:jc w:val="center"/>
              <w:spacing w:line="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理赔服务</w:t>
            </w:r>
            <w:r/>
          </w:p>
        </w:tc>
        <w:tc>
          <w:tcPr>
            <w:tcBorders>
              <w:bottom w:val="single" w:color="auto" w:sz="4" w:space="0"/>
            </w:tcBorders>
            <w:tcW w:w="72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16分</w:t>
            </w:r>
            <w:r/>
          </w:p>
        </w:tc>
        <w:tc>
          <w:tcPr>
            <w:tcBorders>
              <w:bottom w:val="single" w:color="auto" w:sz="4" w:space="0"/>
            </w:tcBorders>
            <w:tcW w:w="6493" w:type="dxa"/>
            <w:vAlign w:val="top"/>
            <w:textDirection w:val="lrTb"/>
            <w:noWrap w:val="false"/>
          </w:tcPr>
          <w:p>
            <w:pPr>
              <w:numPr>
                <w:ilvl w:val="0"/>
                <w:numId w:val="0"/>
              </w:numPr>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rPr>
              <w:t xml:space="preserve">理赔方案（</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p>
            <w:pPr>
              <w:numPr>
                <w:ilvl w:val="0"/>
                <w:numId w:val="0"/>
              </w:numPr>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对</w:t>
            </w:r>
            <w:r>
              <w:rPr>
                <w:rFonts w:hint="eastAsia" w:ascii="宋体" w:hAnsi="宋体" w:eastAsia="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理赔服务</w:t>
            </w:r>
            <w:r>
              <w:rPr>
                <w:rFonts w:hint="eastAsia" w:ascii="宋体" w:hAnsi="宋体" w:eastAsia="宋体" w:cs="宋体"/>
                <w:b w:val="0"/>
                <w:bCs w:val="0"/>
                <w:color w:val="auto"/>
                <w:sz w:val="21"/>
                <w:szCs w:val="21"/>
                <w:highlight w:val="none"/>
                <w:lang w:val="en-US" w:eastAsia="zh-CN"/>
              </w:rPr>
              <w:t xml:space="preserve">内容</w:t>
            </w:r>
            <w:r>
              <w:rPr>
                <w:rFonts w:hint="eastAsia" w:ascii="宋体" w:hAnsi="宋体" w:eastAsia="宋体" w:cs="宋体"/>
                <w:b w:val="0"/>
                <w:bCs w:val="0"/>
                <w:color w:val="auto"/>
                <w:sz w:val="21"/>
                <w:szCs w:val="21"/>
                <w:highlight w:val="none"/>
              </w:rPr>
              <w:t xml:space="preserve">、方案措施的针对性、全面性</w:t>
            </w:r>
            <w:r>
              <w:rPr>
                <w:rFonts w:hint="eastAsia" w:ascii="宋体" w:hAnsi="宋体" w:eastAsia="宋体" w:cs="宋体"/>
                <w:b w:val="0"/>
                <w:bCs w:val="0"/>
                <w:color w:val="auto"/>
                <w:sz w:val="21"/>
                <w:szCs w:val="21"/>
                <w:highlight w:val="none"/>
                <w:lang w:val="en-US" w:eastAsia="zh-CN"/>
              </w:rPr>
              <w:t xml:space="preserve">进行评审</w:t>
            </w:r>
            <w:r>
              <w:rPr>
                <w:rFonts w:hint="eastAsia" w:ascii="宋体" w:hAnsi="宋体" w:eastAsia="宋体" w:cs="宋体"/>
                <w:b w:val="0"/>
                <w:bCs w:val="0"/>
                <w:color w:val="auto"/>
                <w:sz w:val="21"/>
                <w:szCs w:val="21"/>
                <w:highlight w:val="none"/>
              </w:rPr>
              <w:t xml:space="preserve">。方案的针对性、全面性，预期效果非常好的</w:t>
            </w:r>
            <w:r>
              <w:rPr>
                <w:rFonts w:hint="eastAsia" w:ascii="宋体" w:hAnsi="宋体" w:eastAsia="宋体" w:cs="宋体"/>
                <w:b w:val="0"/>
                <w:bCs w:val="0"/>
                <w:color w:val="auto"/>
                <w:sz w:val="21"/>
                <w:szCs w:val="21"/>
                <w:highlight w:val="none"/>
                <w:lang w:val="en-US" w:eastAsia="zh-CN"/>
              </w:rPr>
              <w:t xml:space="preserve">得3分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方案的针对性、全面性，预期效果比较好的得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方案的针对性、全面性，预期效果一般得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没有不得分。 </w:t>
            </w:r>
            <w:r/>
          </w:p>
          <w:p>
            <w:pPr>
              <w:jc w:val="left"/>
              <w:spacing w:line="240" w:lineRule="auto"/>
              <w:widowControl/>
              <w:tabs>
                <w:tab w:val="left" w:pos="419"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2.简易理赔程序（</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对供应商的</w:t>
            </w:r>
            <w:r>
              <w:rPr>
                <w:rFonts w:hint="eastAsia" w:ascii="宋体" w:hAnsi="宋体" w:eastAsia="宋体" w:cs="宋体"/>
                <w:b w:val="0"/>
                <w:bCs w:val="0"/>
                <w:color w:val="auto"/>
                <w:sz w:val="21"/>
                <w:szCs w:val="21"/>
                <w:highlight w:val="none"/>
              </w:rPr>
              <w:t xml:space="preserve">理赔</w:t>
            </w:r>
            <w:r>
              <w:rPr>
                <w:rFonts w:hint="eastAsia" w:ascii="宋体" w:hAnsi="宋体" w:eastAsia="宋体" w:cs="宋体"/>
                <w:b w:val="0"/>
                <w:bCs w:val="0"/>
                <w:color w:val="auto"/>
                <w:sz w:val="21"/>
                <w:szCs w:val="21"/>
                <w:highlight w:val="none"/>
                <w:lang w:val="en-US" w:eastAsia="zh-CN"/>
              </w:rPr>
              <w:t xml:space="preserve">程序是否</w:t>
            </w:r>
            <w:r>
              <w:rPr>
                <w:rFonts w:hint="eastAsia" w:ascii="宋体" w:hAnsi="宋体" w:eastAsia="宋体" w:cs="宋体"/>
                <w:b w:val="0"/>
                <w:bCs w:val="0"/>
                <w:color w:val="auto"/>
                <w:sz w:val="21"/>
                <w:szCs w:val="21"/>
                <w:highlight w:val="none"/>
              </w:rPr>
              <w:t xml:space="preserve">流程</w:t>
            </w:r>
            <w:r>
              <w:rPr>
                <w:rFonts w:hint="eastAsia" w:ascii="宋体" w:hAnsi="宋体" w:eastAsia="宋体" w:cs="宋体"/>
                <w:b w:val="0"/>
                <w:bCs w:val="0"/>
                <w:color w:val="auto"/>
                <w:sz w:val="21"/>
                <w:szCs w:val="21"/>
                <w:highlight w:val="none"/>
                <w:lang w:val="en-US" w:eastAsia="zh-CN"/>
              </w:rPr>
              <w:t xml:space="preserve">完备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理赔手续简化便捷等情况进行评审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理赔程序</w:t>
            </w:r>
            <w:r>
              <w:rPr>
                <w:rFonts w:hint="eastAsia" w:ascii="宋体" w:hAnsi="宋体" w:eastAsia="宋体" w:cs="宋体"/>
                <w:b w:val="0"/>
                <w:bCs w:val="0"/>
                <w:color w:val="auto"/>
                <w:sz w:val="21"/>
                <w:szCs w:val="21"/>
                <w:highlight w:val="none"/>
                <w:lang w:eastAsia="zh-CN"/>
              </w:rPr>
              <w:t xml:space="preserve">完整且理赔过程快捷高效的得</w:t>
            </w:r>
            <w:r>
              <w:rPr>
                <w:rFonts w:hint="eastAsia" w:ascii="宋体" w:hAnsi="宋体" w:eastAsia="宋体" w:cs="宋体"/>
                <w:b w:val="0"/>
                <w:bCs w:val="0"/>
                <w:color w:val="auto"/>
                <w:sz w:val="21"/>
                <w:szCs w:val="21"/>
                <w:highlight w:val="none"/>
                <w:lang w:val="en-US" w:eastAsia="zh-CN"/>
              </w:rPr>
              <w:t xml:space="preserve">3分；理赔程序较完整、理赔过程相对简便的得2分；理赔程序基本完整但理赔过程复杂繁琐的得1分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没有不得分</w:t>
            </w:r>
            <w:r>
              <w:rPr>
                <w:rFonts w:hint="eastAsia" w:ascii="宋体" w:hAnsi="宋体" w:eastAsia="宋体" w:cs="宋体"/>
                <w:b w:val="0"/>
                <w:bCs w:val="0"/>
                <w:color w:val="auto"/>
                <w:sz w:val="21"/>
                <w:szCs w:val="21"/>
                <w:highlight w:val="none"/>
                <w:lang w:val="en-US" w:eastAsia="zh-CN"/>
              </w:rPr>
              <w:t xml:space="preserve">。</w:t>
            </w:r>
            <w:r/>
          </w:p>
          <w:p>
            <w:pPr>
              <w:spacing w:line="240" w:lineRule="auto"/>
              <w:widowControl/>
              <w:tabs>
                <w:tab w:val="left" w:pos="419"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3.保险方案普及服务（4分）</w:t>
            </w:r>
            <w:r/>
          </w:p>
          <w:p>
            <w:pPr>
              <w:spacing w:line="240" w:lineRule="auto"/>
              <w:widowControl/>
              <w:tabs>
                <w:tab w:val="left" w:pos="419"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（1）承诺保险服务手册发放率达到100%得2分，不承诺不得分（承诺函格式自拟）。</w:t>
            </w:r>
            <w:r/>
          </w:p>
          <w:p>
            <w:pPr>
              <w:spacing w:line="240" w:lineRule="auto"/>
              <w:widowControl/>
              <w:tabs>
                <w:tab w:val="left" w:pos="419" w:leader="none"/>
              </w:tabs>
              <w:rPr>
                <w:rFonts w:hint="eastAsia" w:ascii="宋体" w:hAnsi="宋体" w:eastAsia="宋体" w:cs="宋体"/>
                <w:b w:val="0"/>
                <w:bCs w:val="0"/>
                <w:color w:val="auto"/>
                <w:highlight w:val="none"/>
              </w:rPr>
            </w:pPr>
            <w:r>
              <w:rPr>
                <w:rFonts w:hint="eastAsia" w:ascii="宋体" w:hAnsi="宋体" w:eastAsia="宋体" w:cs="宋体"/>
                <w:b w:val="0"/>
                <w:bCs w:val="0"/>
                <w:color w:val="auto"/>
                <w:sz w:val="21"/>
                <w:szCs w:val="21"/>
                <w:highlight w:val="none"/>
                <w:lang w:val="en-US" w:eastAsia="zh-CN"/>
              </w:rPr>
              <w:t xml:space="preserve">（2）承诺普及投保事项及保险政策知情率达到100%得2分，不承诺不得分（承诺函格式自拟）。</w:t>
            </w:r>
            <w:r/>
          </w:p>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4.档案管理（4分）</w:t>
            </w:r>
            <w:r/>
          </w:p>
          <w:p>
            <w:pPr>
              <w:spacing w:line="240" w:lineRule="auto"/>
              <w:widowControl/>
              <w:tabs>
                <w:tab w:val="left" w:pos="419"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供应商承诺</w:t>
            </w:r>
            <w:r>
              <w:rPr>
                <w:rFonts w:hint="eastAsia" w:ascii="宋体" w:hAnsi="宋体" w:eastAsia="宋体" w:cs="宋体"/>
                <w:b w:val="0"/>
                <w:bCs w:val="0"/>
                <w:color w:val="auto"/>
                <w:sz w:val="21"/>
                <w:szCs w:val="21"/>
                <w:highlight w:val="none"/>
                <w:lang w:val="en-US" w:eastAsia="zh-CN" w:bidi="ar"/>
              </w:rPr>
              <w:t xml:space="preserve">建立公安专属团体综合保险业务档案得2分；承诺公安保险业务与其他保险业务分开管理，单独核算业务损益得2分；</w:t>
            </w:r>
            <w:r>
              <w:rPr>
                <w:rFonts w:hint="eastAsia" w:ascii="宋体" w:hAnsi="宋体" w:eastAsia="宋体" w:cs="宋体"/>
                <w:b w:val="0"/>
                <w:bCs w:val="0"/>
                <w:color w:val="auto"/>
                <w:sz w:val="21"/>
                <w:szCs w:val="21"/>
                <w:highlight w:val="none"/>
                <w:lang w:val="en-US" w:eastAsia="zh-CN"/>
              </w:rPr>
              <w:t xml:space="preserve">不承诺不得分（承诺函格式自拟）。</w:t>
            </w:r>
            <w:r/>
          </w:p>
          <w:p>
            <w:pPr>
              <w:jc w:val="left"/>
              <w:spacing w:line="240" w:lineRule="auto"/>
              <w:widowControl/>
              <w:tabs>
                <w:tab w:val="left" w:pos="419" w:leader="none"/>
              </w:tabs>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bidi="ar"/>
              </w:rPr>
              <w:t xml:space="preserve">5.理赔案件汇总分析报告（2分）</w:t>
            </w:r>
            <w:r>
              <w:rPr>
                <w:rFonts w:hint="eastAsia" w:ascii="宋体" w:hAnsi="宋体" w:eastAsia="宋体" w:cs="宋体"/>
                <w:b w:val="0"/>
                <w:bCs w:val="0"/>
                <w:color w:val="auto"/>
                <w:sz w:val="21"/>
                <w:szCs w:val="21"/>
                <w:highlight w:val="none"/>
                <w:lang w:val="en-US" w:eastAsia="zh-CN" w:bidi="ar"/>
              </w:rPr>
              <w:br/>
            </w:r>
            <w:r>
              <w:rPr>
                <w:rFonts w:hint="eastAsia" w:ascii="宋体" w:hAnsi="宋体" w:eastAsia="宋体" w:cs="宋体"/>
                <w:b w:val="0"/>
                <w:bCs w:val="0"/>
                <w:color w:val="auto"/>
                <w:sz w:val="21"/>
                <w:szCs w:val="21"/>
                <w:highlight w:val="none"/>
                <w:lang w:val="en-US" w:eastAsia="zh-CN" w:bidi="ar"/>
              </w:rPr>
              <w:t xml:space="preserve">供应商承诺提供理赔案件汇报分析报告，多维度分析。基本维度包括：人员信息、就诊类型，票面金额，统筹</w:t>
            </w:r>
            <w:r>
              <w:rPr>
                <w:rFonts w:hint="eastAsia" w:ascii="宋体" w:hAnsi="宋体" w:eastAsia="宋体" w:cs="宋体"/>
                <w:color w:val="auto"/>
                <w:sz w:val="21"/>
                <w:szCs w:val="21"/>
                <w:highlight w:val="none"/>
                <w:lang w:val="en-US" w:eastAsia="zh-CN" w:bidi="ar"/>
              </w:rPr>
              <w:t xml:space="preserve">支付金额、自费金额、报销标准、实际赔付金额、出险原因、险种名称。在此基础上再增加维度。得2分</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rPr>
              <w:t xml:space="preserve">不承诺不得分（承诺函格式自拟）。</w:t>
            </w:r>
            <w:r/>
          </w:p>
        </w:tc>
      </w:tr>
      <w:tr>
        <w:trPr>
          <w:jc w:val="center"/>
          <w:trHeight w:val="2087"/>
        </w:trPr>
        <w:tc>
          <w:tcPr>
            <w:tcW w:w="1115" w:type="dxa"/>
            <w:vAlign w:val="center"/>
            <w:vMerge w:val="continue"/>
            <w:textDirection w:val="lrTb"/>
            <w:noWrap w:val="false"/>
          </w:tcPr>
          <w:p>
            <w:pPr>
              <w:ind w:firstLine="480"/>
              <w:jc w:val="center"/>
              <w:spacing w:before="120" w:after="12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风控管理</w:t>
            </w:r>
            <w:r/>
          </w:p>
        </w:tc>
        <w:tc>
          <w:tcPr>
            <w:tcW w:w="7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6分</w:t>
            </w:r>
            <w:r/>
          </w:p>
        </w:tc>
        <w:tc>
          <w:tcPr>
            <w:tcW w:w="6493" w:type="dxa"/>
            <w:vAlign w:val="center"/>
            <w:textDirection w:val="lrTb"/>
            <w:noWrap w:val="false"/>
          </w:tcPr>
          <w:p>
            <w:pPr>
              <w:jc w:val="both"/>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供应商针对风险识别、风险管理等进行必要的阐述，自2023年以来已有此类项目承保经验的可结合实际情况阐述，最高可得6分； </w:t>
            </w:r>
            <w:r/>
          </w:p>
          <w:p>
            <w:pPr>
              <w:jc w:val="both"/>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无该项目承保经验，主要风险因素有辨识、风险认识较为深刻，项目服务计划较全面，有可行性,最高得4分；</w:t>
            </w:r>
            <w:r/>
          </w:p>
          <w:p>
            <w:pPr>
              <w:jc w:val="both"/>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无该项目承保经验，风险因素辨识不能反映主要方面、项目服务可行性一般,最高得2分；</w:t>
            </w:r>
            <w:r/>
          </w:p>
          <w:p>
            <w:pPr>
              <w:jc w:val="both"/>
              <w:spacing w:line="240" w:lineRule="auto"/>
              <w:rPr>
                <w:rFonts w:hint="eastAsia" w:eastAsia="宋体"/>
                <w:color w:val="auto"/>
                <w:highlight w:val="none"/>
                <w:lang w:val="en-US" w:eastAsia="zh-CN"/>
              </w:rPr>
            </w:pPr>
            <w:r>
              <w:rPr>
                <w:rFonts w:hint="eastAsia" w:ascii="宋体" w:hAnsi="宋体" w:eastAsia="宋体" w:cs="宋体"/>
                <w:b w:val="0"/>
                <w:bCs w:val="0"/>
                <w:color w:val="auto"/>
                <w:sz w:val="21"/>
                <w:szCs w:val="21"/>
                <w:highlight w:val="none"/>
              </w:rPr>
              <w:t xml:space="preserve">没有不得分</w:t>
            </w:r>
            <w:r>
              <w:rPr>
                <w:rFonts w:hint="eastAsia" w:ascii="宋体" w:hAnsi="宋体" w:eastAsia="宋体" w:cs="宋体"/>
                <w:b w:val="0"/>
                <w:bCs w:val="0"/>
                <w:color w:val="auto"/>
                <w:sz w:val="21"/>
                <w:szCs w:val="21"/>
                <w:highlight w:val="none"/>
                <w:lang w:eastAsia="zh-CN"/>
              </w:rPr>
              <w:t xml:space="preserve">。</w:t>
            </w:r>
            <w:r/>
          </w:p>
        </w:tc>
      </w:tr>
      <w:tr>
        <w:trPr>
          <w:jc w:val="center"/>
          <w:trHeight w:val="920"/>
        </w:trPr>
        <w:tc>
          <w:tcPr>
            <w:tcW w:w="1115" w:type="dxa"/>
            <w:vAlign w:val="center"/>
            <w:vMerge w:val="restart"/>
            <w:textDirection w:val="lrTb"/>
            <w:noWrap w:val="false"/>
          </w:tcPr>
          <w:p>
            <w:pPr>
              <w:jc w:val="center"/>
              <w:spacing w:before="120" w:after="120" w:line="0" w:lineRule="atLeas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商务部分</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54</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p>
        </w:tc>
        <w:tc>
          <w:tcPr>
            <w:tcW w:w="1061" w:type="dxa"/>
            <w:vAlign w:val="center"/>
            <w:textDirection w:val="lrTb"/>
            <w:noWrap w:val="false"/>
          </w:tcPr>
          <w:p>
            <w:pPr>
              <w:jc w:val="center"/>
              <w:spacing w:before="120" w:after="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风险综合评级</w:t>
            </w:r>
            <w:r/>
          </w:p>
        </w:tc>
        <w:tc>
          <w:tcPr>
            <w:tcW w:w="728" w:type="dxa"/>
            <w:vAlign w:val="center"/>
            <w:textDirection w:val="lrTb"/>
            <w:noWrap w:val="false"/>
          </w:tcPr>
          <w:p>
            <w:pPr>
              <w:jc w:val="center"/>
              <w:spacing w:before="12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8分</w:t>
            </w:r>
            <w:r/>
          </w:p>
        </w:tc>
        <w:tc>
          <w:tcPr>
            <w:tcW w:w="6493" w:type="dxa"/>
            <w:vAlign w:val="top"/>
            <w:textDirection w:val="lrTb"/>
            <w:noWrap w:val="false"/>
          </w:tcPr>
          <w:p>
            <w:pPr>
              <w:jc w:val="left"/>
              <w:keepLines w:val="0"/>
              <w:keepNext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提供银行保险监督管理委员会偿二代监管信息系统截图，供应商或其上级公司2025年获得过A类得8分；B类得6分；C类得4分；D类得2分；本项最高得8分。（</w:t>
            </w:r>
            <w:r>
              <w:rPr>
                <w:rFonts w:hint="eastAsia" w:ascii="宋体" w:hAnsi="宋体" w:eastAsia="宋体" w:cs="宋体"/>
                <w:color w:val="auto"/>
                <w:sz w:val="21"/>
                <w:szCs w:val="21"/>
                <w:highlight w:val="none"/>
              </w:rPr>
              <w:t xml:space="preserve">扫描件上传至电子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rPr>
                <w:rFonts w:hint="eastAsia" w:ascii="宋体" w:hAnsi="宋体" w:eastAsia="宋体" w:cs="宋体"/>
                <w:color w:val="auto"/>
                <w:sz w:val="21"/>
                <w:szCs w:val="21"/>
                <w:highlight w:val="none"/>
                <w:lang w:val="en-US" w:eastAsia="zh-CN" w:bidi="ar"/>
              </w:rPr>
              <w:t xml:space="preserve">）</w:t>
            </w:r>
            <w:r/>
          </w:p>
        </w:tc>
      </w:tr>
      <w:tr>
        <w:trPr>
          <w:jc w:val="center"/>
          <w:trHeight w:val="1026"/>
        </w:trPr>
        <w:tc>
          <w:tcPr>
            <w:tcW w:w="1115" w:type="dxa"/>
            <w:vAlign w:val="center"/>
            <w:vMerge w:val="continue"/>
            <w:textDirection w:val="lrTb"/>
            <w:noWrap w:val="false"/>
          </w:tcPr>
          <w:p>
            <w:pPr>
              <w:jc w:val="center"/>
              <w:spacing w:before="120" w:after="120" w:line="0" w:lineRule="atLeas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06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rPr>
              <w:t xml:space="preserve">综合偿付能力状况</w:t>
            </w:r>
            <w:r/>
          </w:p>
        </w:tc>
        <w:tc>
          <w:tcPr>
            <w:tcW w:w="7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6分</w:t>
            </w:r>
            <w:r/>
          </w:p>
        </w:tc>
        <w:tc>
          <w:tcPr>
            <w:tcW w:w="6493" w:type="dxa"/>
            <w:vAlign w:val="center"/>
            <w:textDirection w:val="lrTb"/>
            <w:noWrap w:val="false"/>
          </w:tcPr>
          <w:p>
            <w:pPr>
              <w:pStyle w:val="737"/>
              <w:ind w:left="0" w:right="0" w:firstLine="0"/>
              <w:jc w:val="both"/>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
              </w:rPr>
              <w:t xml:space="preserve">供应商或其上级公司2025年度所公布的综合偿付能力充足率进行评分：综合偿付能力充足率≥200%得6分；低于200%≥150%得4分；低于150%≥100%得2分；低于100%不得分。（</w:t>
            </w:r>
            <w:r>
              <w:rPr>
                <w:rFonts w:hint="eastAsia" w:ascii="宋体" w:hAnsi="宋体" w:eastAsia="宋体" w:cs="宋体"/>
                <w:color w:val="auto"/>
                <w:sz w:val="21"/>
                <w:szCs w:val="21"/>
                <w:highlight w:val="none"/>
              </w:rPr>
              <w:t xml:space="preserve">扫描件上传至电子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rPr>
                <w:rFonts w:hint="eastAsia" w:ascii="宋体" w:hAnsi="宋体" w:eastAsia="宋体" w:cs="宋体"/>
                <w:color w:val="auto"/>
                <w:sz w:val="21"/>
                <w:szCs w:val="21"/>
                <w:highlight w:val="none"/>
                <w:lang w:val="en-US" w:eastAsia="zh-CN" w:bidi="ar"/>
              </w:rPr>
              <w:t xml:space="preserve">）</w:t>
            </w:r>
            <w:r/>
          </w:p>
        </w:tc>
      </w:tr>
      <w:tr>
        <w:trPr>
          <w:jc w:val="center"/>
        </w:trPr>
        <w:tc>
          <w:tcPr>
            <w:tcW w:w="1115" w:type="dxa"/>
            <w:vAlign w:val="top"/>
            <w:vMerge w:val="continue"/>
            <w:textDirection w:val="lrTb"/>
            <w:noWrap w:val="false"/>
          </w:tcPr>
          <w:p>
            <w:pPr>
              <w:spacing w:before="120" w:after="120" w:line="0" w:lineRule="atLeas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061" w:type="dxa"/>
            <w:vAlign w:val="center"/>
            <w:textDirection w:val="lrTb"/>
            <w:noWrap w:val="false"/>
          </w:tcPr>
          <w:p>
            <w:pPr>
              <w:jc w:val="center"/>
              <w:spacing w:before="156" w:after="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理赔经验</w:t>
            </w:r>
            <w:r/>
          </w:p>
        </w:tc>
        <w:tc>
          <w:tcPr>
            <w:tcW w:w="728" w:type="dxa"/>
            <w:vAlign w:val="center"/>
            <w:textDirection w:val="lrTb"/>
            <w:noWrap w:val="false"/>
          </w:tcPr>
          <w:p>
            <w:pPr>
              <w:jc w:val="center"/>
              <w:spacing w:before="156"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6分</w:t>
            </w:r>
            <w:r/>
          </w:p>
        </w:tc>
        <w:tc>
          <w:tcPr>
            <w:tcW w:w="6493" w:type="dxa"/>
            <w:vAlign w:val="center"/>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年1月1日以来（以赔付时间为准），</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lang w:val="en-US" w:eastAsia="zh-CN"/>
              </w:rPr>
              <w:t xml:space="preserve">或其上级公司</w:t>
            </w:r>
            <w:r>
              <w:rPr>
                <w:rFonts w:hint="eastAsia" w:ascii="宋体" w:hAnsi="宋体" w:eastAsia="宋体" w:cs="宋体"/>
                <w:color w:val="auto"/>
                <w:sz w:val="21"/>
                <w:szCs w:val="21"/>
                <w:highlight w:val="none"/>
              </w:rPr>
              <w:t xml:space="preserve">具有团体承保（不含个人渠道）单件重大疾病30万元</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的理赔案例经验或团体承保（不含个人渠道）身故理赔</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万元以上的理赔案例经验，提供5个案例得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分，在此基础上，每增加一个合格的案例得1分，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最高</w:t>
            </w:r>
            <w:r>
              <w:rPr>
                <w:rFonts w:hint="eastAsia" w:ascii="宋体" w:hAnsi="宋体" w:eastAsia="宋体" w:cs="宋体"/>
                <w:color w:val="auto"/>
                <w:sz w:val="21"/>
                <w:szCs w:val="21"/>
                <w:highlight w:val="none"/>
                <w:lang w:val="en-US" w:eastAsia="zh-CN"/>
              </w:rPr>
              <w:t xml:space="preserve">得6</w:t>
            </w:r>
            <w:r>
              <w:rPr>
                <w:rFonts w:hint="eastAsia" w:ascii="宋体" w:hAnsi="宋体" w:eastAsia="宋体" w:cs="宋体"/>
                <w:color w:val="auto"/>
                <w:sz w:val="21"/>
                <w:szCs w:val="21"/>
                <w:highlight w:val="none"/>
              </w:rPr>
              <w:t xml:space="preserve">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提供已决赔证明材料（如理赔通知书）扫描件上传至电子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文件中，证明材料需体现赔付时间及赔付金额。</w:t>
            </w:r>
            <w:r/>
          </w:p>
        </w:tc>
      </w:tr>
      <w:tr>
        <w:trPr>
          <w:jc w:val="center"/>
        </w:trPr>
        <w:tc>
          <w:tcPr>
            <w:tcW w:w="1115" w:type="dxa"/>
            <w:vAlign w:val="top"/>
            <w:vMerge w:val="continue"/>
            <w:textDirection w:val="lrTb"/>
            <w:noWrap w:val="false"/>
          </w:tcPr>
          <w:p>
            <w:pPr>
              <w:spacing w:before="120" w:after="12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1" w:type="dxa"/>
            <w:vAlign w:val="center"/>
            <w:textDirection w:val="lrTb"/>
            <w:noWrap w:val="false"/>
          </w:tcPr>
          <w:p>
            <w:pPr>
              <w:jc w:val="center"/>
              <w:spacing w:before="156" w:after="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承保经验</w:t>
            </w:r>
            <w:r/>
          </w:p>
        </w:tc>
        <w:tc>
          <w:tcPr>
            <w:tcW w:w="728" w:type="dxa"/>
            <w:vAlign w:val="center"/>
            <w:textDirection w:val="lrTb"/>
            <w:noWrap w:val="false"/>
          </w:tcPr>
          <w:p>
            <w:pPr>
              <w:jc w:val="center"/>
              <w:spacing w:before="156"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6分</w:t>
            </w:r>
            <w:r/>
          </w:p>
        </w:tc>
        <w:tc>
          <w:tcPr>
            <w:tcW w:w="6493" w:type="dxa"/>
            <w:vAlign w:val="center"/>
            <w:textDirection w:val="lrTb"/>
            <w:noWrap w:val="false"/>
          </w:tcPr>
          <w:p>
            <w:pPr>
              <w:jc w:val="left"/>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年1月1日以来（以保单签订时间为准），</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lang w:val="en-US" w:eastAsia="zh-CN"/>
              </w:rPr>
              <w:t xml:space="preserve">或其上级公司</w:t>
            </w:r>
            <w:r>
              <w:rPr>
                <w:rFonts w:hint="eastAsia" w:ascii="宋体" w:hAnsi="宋体" w:eastAsia="宋体" w:cs="宋体"/>
                <w:color w:val="auto"/>
                <w:sz w:val="21"/>
                <w:szCs w:val="21"/>
                <w:highlight w:val="none"/>
              </w:rPr>
              <w:t xml:space="preserve">具有团体补充医疗保险项目承保经验，</w:t>
            </w:r>
            <w:r>
              <w:rPr>
                <w:rFonts w:hint="eastAsia" w:ascii="宋体" w:hAnsi="宋体" w:eastAsia="宋体" w:cs="宋体"/>
                <w:color w:val="auto"/>
                <w:sz w:val="21"/>
                <w:szCs w:val="21"/>
                <w:highlight w:val="none"/>
                <w:lang w:val="en-US" w:eastAsia="zh-CN"/>
              </w:rPr>
              <w:t xml:space="preserve">有1个</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本项最高</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w:t>
            </w:r>
            <w:r/>
          </w:p>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提供保单扫描件上传至电子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保单内容须体现</w:t>
            </w:r>
            <w:r>
              <w:rPr>
                <w:rFonts w:hint="eastAsia" w:ascii="宋体" w:hAnsi="宋体" w:eastAsia="宋体" w:cs="宋体"/>
                <w:color w:val="auto"/>
                <w:sz w:val="21"/>
                <w:szCs w:val="21"/>
                <w:highlight w:val="none"/>
              </w:rPr>
              <w:t xml:space="preserve">签订时间、相关保险内容、被保险人数等关键信息，若无法体现以上关键信息，还需</w:t>
            </w:r>
            <w:r>
              <w:rPr>
                <w:rFonts w:hint="eastAsia" w:ascii="宋体" w:hAnsi="宋体" w:eastAsia="宋体" w:cs="宋体"/>
                <w:color w:val="auto"/>
                <w:sz w:val="21"/>
                <w:szCs w:val="21"/>
                <w:highlight w:val="none"/>
                <w:lang w:val="en-US" w:eastAsia="zh-CN"/>
              </w:rPr>
              <w:t xml:space="preserve">投保单位出具的</w:t>
            </w:r>
            <w:r>
              <w:rPr>
                <w:rFonts w:hint="eastAsia" w:ascii="宋体" w:hAnsi="宋体" w:eastAsia="宋体" w:cs="宋体"/>
                <w:color w:val="auto"/>
                <w:sz w:val="21"/>
                <w:szCs w:val="21"/>
                <w:highlight w:val="none"/>
              </w:rPr>
              <w:t xml:space="preserve">证明等有效证明材料）。</w:t>
            </w:r>
            <w:r/>
          </w:p>
        </w:tc>
      </w:tr>
      <w:tr>
        <w:trPr>
          <w:jc w:val="center"/>
          <w:trHeight w:val="341"/>
        </w:trPr>
        <w:tc>
          <w:tcPr>
            <w:tcW w:w="1115" w:type="dxa"/>
            <w:vAlign w:val="top"/>
            <w:vMerge w:val="continue"/>
            <w:textDirection w:val="lrTb"/>
            <w:noWrap w:val="false"/>
          </w:tcPr>
          <w:p>
            <w:pPr>
              <w:ind w:firstLine="480"/>
              <w:jc w:val="center"/>
              <w:spacing w:before="120" w:after="12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1" w:type="dxa"/>
            <w:vAlign w:val="center"/>
            <w:textDirection w:val="lrTb"/>
            <w:noWrap w:val="false"/>
          </w:tcPr>
          <w:p>
            <w:pPr>
              <w:jc w:val="center"/>
              <w:spacing w:before="156" w:after="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项目团队</w:t>
            </w:r>
            <w:r/>
          </w:p>
        </w:tc>
        <w:tc>
          <w:tcPr>
            <w:tcW w:w="728" w:type="dxa"/>
            <w:vAlign w:val="center"/>
            <w:textDirection w:val="lrTb"/>
            <w:noWrap w:val="false"/>
          </w:tcPr>
          <w:p>
            <w:pPr>
              <w:jc w:val="center"/>
              <w:spacing w:before="156"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10分</w:t>
            </w:r>
            <w:r/>
          </w:p>
        </w:tc>
        <w:tc>
          <w:tcPr>
            <w:tcW w:w="6493" w:type="dxa"/>
            <w:vAlign w:val="center"/>
            <w:textDirection w:val="lrTb"/>
            <w:noWrap w:val="false"/>
          </w:tcPr>
          <w:p>
            <w:pPr>
              <w:jc w:val="left"/>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1.供应商在5人的基础上，每增加1人得2分，本项最高得4分（提供人员身份证及劳动合同</w:t>
            </w:r>
            <w:r>
              <w:rPr>
                <w:rFonts w:hint="eastAsia" w:ascii="宋体" w:hAnsi="宋体" w:eastAsia="宋体" w:cs="宋体"/>
                <w:color w:val="auto"/>
                <w:sz w:val="21"/>
                <w:szCs w:val="21"/>
                <w:highlight w:val="none"/>
              </w:rPr>
              <w:t xml:space="preserve">扫描件上传至电子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rPr>
                <w:rFonts w:hint="eastAsia" w:ascii="宋体" w:hAnsi="宋体" w:eastAsia="宋体" w:cs="宋体"/>
                <w:color w:val="auto"/>
                <w:sz w:val="21"/>
                <w:szCs w:val="21"/>
                <w:highlight w:val="none"/>
                <w:lang w:val="en-US" w:eastAsia="zh-CN"/>
              </w:rPr>
              <w:t xml:space="preserve">）。</w:t>
            </w:r>
            <w:r/>
          </w:p>
          <w:p>
            <w:pPr>
              <w:jc w:val="left"/>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2.服务团队中每有1人为本科学历的得1分， 研究生学历的得2分，本项最高得4分（提供人员</w:t>
            </w:r>
            <w:r>
              <w:rPr>
                <w:rFonts w:hint="eastAsia" w:ascii="宋体" w:hAnsi="宋体" w:eastAsia="宋体" w:cs="宋体"/>
                <w:color w:val="auto"/>
                <w:sz w:val="21"/>
                <w:szCs w:val="21"/>
                <w:highlight w:val="none"/>
              </w:rPr>
              <w:t xml:space="preserve">学历（学位证）</w:t>
            </w:r>
            <w:r>
              <w:rPr>
                <w:rFonts w:hint="eastAsia" w:ascii="宋体" w:hAnsi="宋体" w:eastAsia="宋体" w:cs="宋体"/>
                <w:color w:val="auto"/>
                <w:sz w:val="21"/>
                <w:szCs w:val="21"/>
                <w:highlight w:val="none"/>
                <w:lang w:val="en-US" w:eastAsia="zh-CN"/>
              </w:rPr>
              <w:t xml:space="preserve">证明及劳动合同</w:t>
            </w:r>
            <w:r>
              <w:rPr>
                <w:rFonts w:hint="eastAsia" w:ascii="宋体" w:hAnsi="宋体" w:eastAsia="宋体" w:cs="宋体"/>
                <w:color w:val="auto"/>
                <w:sz w:val="21"/>
                <w:szCs w:val="21"/>
                <w:highlight w:val="none"/>
              </w:rPr>
              <w:t xml:space="preserve">扫描件上传至电子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rPr>
                <w:rFonts w:hint="eastAsia" w:ascii="宋体" w:hAnsi="宋体" w:eastAsia="宋体" w:cs="宋体"/>
                <w:color w:val="auto"/>
                <w:sz w:val="21"/>
                <w:szCs w:val="21"/>
                <w:highlight w:val="none"/>
                <w:lang w:val="en-US" w:eastAsia="zh-CN"/>
              </w:rPr>
              <w:t xml:space="preserve">）。</w:t>
            </w:r>
            <w:r/>
          </w:p>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3.服务团队中每有1人为</w:t>
            </w:r>
            <w:r>
              <w:rPr>
                <w:rFonts w:hint="eastAsia" w:ascii="宋体" w:hAnsi="宋体" w:eastAsia="宋体" w:cs="宋体"/>
                <w:color w:val="auto"/>
                <w:sz w:val="21"/>
                <w:szCs w:val="21"/>
                <w:highlight w:val="none"/>
              </w:rPr>
              <w:t xml:space="preserve">医学专业人员的得1分，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最高得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（提供人员专业证明</w:t>
            </w:r>
            <w:r>
              <w:rPr>
                <w:rFonts w:hint="eastAsia" w:ascii="宋体" w:hAnsi="宋体" w:eastAsia="宋体" w:cs="宋体"/>
                <w:color w:val="auto"/>
                <w:sz w:val="21"/>
                <w:szCs w:val="21"/>
                <w:highlight w:val="none"/>
              </w:rPr>
              <w:t xml:space="preserve">证书</w:t>
            </w:r>
            <w:r>
              <w:rPr>
                <w:rFonts w:hint="eastAsia" w:ascii="宋体" w:hAnsi="宋体" w:eastAsia="宋体" w:cs="宋体"/>
                <w:color w:val="auto"/>
                <w:sz w:val="21"/>
                <w:szCs w:val="21"/>
                <w:highlight w:val="none"/>
                <w:lang w:val="en-US" w:eastAsia="zh-CN"/>
              </w:rPr>
              <w:t xml:space="preserve">及劳动合同</w:t>
            </w:r>
            <w:r>
              <w:rPr>
                <w:rFonts w:hint="eastAsia" w:ascii="宋体" w:hAnsi="宋体" w:eastAsia="宋体" w:cs="宋体"/>
                <w:color w:val="auto"/>
                <w:sz w:val="21"/>
                <w:szCs w:val="21"/>
                <w:highlight w:val="none"/>
              </w:rPr>
              <w:t xml:space="preserve">扫描件上传至电子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rPr>
                <w:rFonts w:hint="eastAsia" w:ascii="宋体" w:hAnsi="宋体" w:eastAsia="宋体" w:cs="宋体"/>
                <w:color w:val="auto"/>
                <w:sz w:val="21"/>
                <w:szCs w:val="21"/>
                <w:highlight w:val="none"/>
                <w:lang w:val="en-US" w:eastAsia="zh-CN"/>
              </w:rPr>
              <w:t xml:space="preserve">）。</w:t>
            </w:r>
            <w:r/>
          </w:p>
        </w:tc>
      </w:tr>
      <w:tr>
        <w:trPr>
          <w:jc w:val="center"/>
          <w:trHeight w:val="606"/>
        </w:trPr>
        <w:tc>
          <w:tcPr>
            <w:tcW w:w="1115" w:type="dxa"/>
            <w:vAlign w:val="top"/>
            <w:vMerge w:val="continue"/>
            <w:textDirection w:val="lrTb"/>
            <w:noWrap w:val="false"/>
          </w:tcPr>
          <w:p>
            <w:pPr>
              <w:ind w:firstLine="480"/>
              <w:jc w:val="center"/>
              <w:spacing w:before="120" w:after="12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1" w:type="dxa"/>
            <w:vAlign w:val="center"/>
            <w:textDirection w:val="lrTb"/>
            <w:noWrap w:val="false"/>
          </w:tcPr>
          <w:p>
            <w:pPr>
              <w:jc w:val="center"/>
              <w:spacing w:before="156" w:after="1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等待期</w:t>
            </w:r>
            <w:r/>
          </w:p>
        </w:tc>
        <w:tc>
          <w:tcPr>
            <w:tcW w:w="728" w:type="dxa"/>
            <w:vAlign w:val="center"/>
            <w:textDirection w:val="lrTb"/>
            <w:noWrap w:val="false"/>
          </w:tcPr>
          <w:p>
            <w:pPr>
              <w:jc w:val="center"/>
              <w:spacing w:before="156" w:after="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c>
          <w:tcPr>
            <w:tcW w:w="6493" w:type="dxa"/>
            <w:vAlign w:val="center"/>
            <w:textDirection w:val="lrTb"/>
            <w:noWrap w:val="false"/>
          </w:tcPr>
          <w:p>
            <w:pPr>
              <w:jc w:val="left"/>
              <w:spacing w:before="156" w:after="12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供应商承诺：等待期为60日的得3分，等待期为30日的得6分（承诺书格式自拟）。</w:t>
            </w:r>
            <w:r/>
          </w:p>
        </w:tc>
      </w:tr>
      <w:tr>
        <w:trPr>
          <w:jc w:val="center"/>
          <w:trHeight w:val="923"/>
        </w:trPr>
        <w:tc>
          <w:tcPr>
            <w:tcW w:w="1115" w:type="dxa"/>
            <w:vAlign w:val="top"/>
            <w:vMerge w:val="continue"/>
            <w:textDirection w:val="lrTb"/>
            <w:noWrap w:val="false"/>
          </w:tcPr>
          <w:p>
            <w:pPr>
              <w:ind w:firstLine="480"/>
              <w:jc w:val="center"/>
              <w:spacing w:before="120" w:after="12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1" w:type="dxa"/>
            <w:vAlign w:val="center"/>
            <w:textDirection w:val="lrTb"/>
            <w:noWrap w:val="false"/>
          </w:tcPr>
          <w:p>
            <w:pPr>
              <w:jc w:val="center"/>
              <w:spacing w:before="156" w:after="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理赔时效</w:t>
            </w:r>
            <w:r/>
          </w:p>
        </w:tc>
        <w:tc>
          <w:tcPr>
            <w:tcW w:w="728" w:type="dxa"/>
            <w:vAlign w:val="center"/>
            <w:textDirection w:val="lrTb"/>
            <w:noWrap w:val="false"/>
          </w:tcPr>
          <w:p>
            <w:pPr>
              <w:jc w:val="center"/>
              <w:spacing w:before="156" w:after="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c>
          <w:tcPr>
            <w:tcW w:w="6493" w:type="dxa"/>
            <w:vAlign w:val="center"/>
            <w:textDirection w:val="lrTb"/>
            <w:noWrap w:val="false"/>
          </w:tcPr>
          <w:p>
            <w:pPr>
              <w:jc w:val="left"/>
              <w:spacing w:before="156" w:after="12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供应商承诺：资料齐全无误的理赔案件，在11-14个工作日内确定赔偿金额得2分，在6-10个工作日内确定赔偿金额得4分，在1-5个工作日内确定赔偿金额得6分（承诺书格式自拟）。</w:t>
            </w:r>
            <w:r/>
          </w:p>
        </w:tc>
      </w:tr>
      <w:tr>
        <w:trPr>
          <w:jc w:val="center"/>
          <w:trHeight w:val="1540"/>
        </w:trPr>
        <w:tc>
          <w:tcPr>
            <w:tcW w:w="1115" w:type="dxa"/>
            <w:vAlign w:val="top"/>
            <w:vMerge w:val="continue"/>
            <w:textDirection w:val="lrTb"/>
            <w:noWrap w:val="false"/>
          </w:tcPr>
          <w:p>
            <w:pPr>
              <w:ind w:firstLine="480"/>
              <w:jc w:val="center"/>
              <w:spacing w:before="120" w:after="12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1" w:type="dxa"/>
            <w:vAlign w:val="center"/>
            <w:textDirection w:val="lrTb"/>
            <w:noWrap w:val="false"/>
          </w:tcPr>
          <w:p>
            <w:pPr>
              <w:jc w:val="center"/>
              <w:spacing w:before="156" w:after="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理赔系统</w:t>
            </w:r>
            <w:r/>
          </w:p>
        </w:tc>
        <w:tc>
          <w:tcPr>
            <w:tcW w:w="728" w:type="dxa"/>
            <w:vAlign w:val="center"/>
            <w:textDirection w:val="lrTb"/>
            <w:noWrap w:val="false"/>
          </w:tcPr>
          <w:p>
            <w:pPr>
              <w:jc w:val="center"/>
              <w:spacing w:before="156"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6分</w:t>
            </w:r>
            <w:r/>
          </w:p>
        </w:tc>
        <w:tc>
          <w:tcPr>
            <w:tcW w:w="6493" w:type="dxa"/>
            <w:vAlign w:val="center"/>
            <w:textDirection w:val="lrTb"/>
            <w:noWrap w:val="false"/>
          </w:tcPr>
          <w:p>
            <w:pPr>
              <w:jc w:val="left"/>
              <w:spacing w:before="156" w:after="12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供应商或其上级公司自有线上理赔服务系统和客户服务系统的得6分（提供相对应的证书或其他的证明材料</w:t>
            </w:r>
            <w:r>
              <w:rPr>
                <w:rFonts w:hint="eastAsia" w:ascii="宋体" w:hAnsi="宋体" w:eastAsia="宋体" w:cs="宋体"/>
                <w:color w:val="auto"/>
                <w:sz w:val="21"/>
                <w:szCs w:val="21"/>
                <w:highlight w:val="none"/>
              </w:rPr>
              <w:t xml:space="preserve">扫描件上传至电子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rPr>
                <w:rFonts w:hint="eastAsia" w:ascii="宋体" w:hAnsi="宋体" w:eastAsia="宋体" w:cs="宋体"/>
                <w:color w:val="auto"/>
                <w:sz w:val="21"/>
                <w:szCs w:val="21"/>
                <w:highlight w:val="none"/>
                <w:lang w:val="en-US" w:eastAsia="zh-CN"/>
              </w:rPr>
              <w:t xml:space="preserve">）；供应商使用第三方线上理赔服务系统的得3分（提供供应商与第三方公司签订的合同、第三方系统相应的证书或其他证明材料</w:t>
            </w:r>
            <w:r>
              <w:rPr>
                <w:rFonts w:hint="eastAsia" w:ascii="宋体" w:hAnsi="宋体" w:eastAsia="宋体" w:cs="宋体"/>
                <w:color w:val="auto"/>
                <w:sz w:val="21"/>
                <w:szCs w:val="21"/>
                <w:highlight w:val="none"/>
              </w:rPr>
              <w:t xml:space="preserve">扫描件上传至电子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rPr>
                <w:rFonts w:hint="eastAsia" w:ascii="宋体" w:hAnsi="宋体" w:eastAsia="宋体" w:cs="宋体"/>
                <w:color w:val="auto"/>
                <w:sz w:val="21"/>
                <w:szCs w:val="21"/>
                <w:highlight w:val="none"/>
                <w:lang w:val="en-US" w:eastAsia="zh-CN"/>
              </w:rPr>
              <w:t xml:space="preserve">）。</w:t>
            </w:r>
            <w:r/>
          </w:p>
        </w:tc>
      </w:tr>
    </w:tbl>
    <w:p>
      <w:pPr>
        <w:numPr>
          <w:ilvl w:val="2"/>
          <w:numId w:val="0"/>
        </w:numPr>
        <w:ind w:firstLine="211"/>
        <w:jc w:val="both"/>
        <w:spacing w:before="120" w:line="360" w:lineRule="auto"/>
        <w:widowControl w:val="off"/>
        <w:rPr>
          <w:rFonts w:hint="eastAsia" w:ascii="宋体" w:hAnsi="宋体" w:eastAsia="宋体" w:cs="宋体"/>
          <w:b/>
          <w:bCs/>
          <w:color w:val="auto"/>
          <w:sz w:val="21"/>
          <w:szCs w:val="21"/>
          <w:highlight w:val="none"/>
          <w:lang w:val="en-US" w:eastAsia="zh-CN" w:bidi="ar-SA"/>
        </w:rPr>
        <w:outlineLvl w:val="2"/>
      </w:pPr>
      <w:r>
        <w:rPr>
          <w:rFonts w:hint="eastAsia" w:ascii="宋体" w:hAnsi="宋体" w:eastAsia="宋体" w:cs="宋体"/>
          <w:b/>
          <w:bCs/>
          <w:color w:val="auto"/>
          <w:sz w:val="21"/>
          <w:szCs w:val="21"/>
          <w:highlight w:val="none"/>
          <w:lang w:val="en-US" w:eastAsia="zh-CN" w:bidi="ar-SA"/>
        </w:rPr>
        <w:t xml:space="preserve">注：因目前苏采云评标系统的报价分自动计算程序无法与本次磋商文件的报价计算规则匹配，报价（保险金额）部分将列入商务部分模块进行评审，磋商文件中的评分细则不进行改动和调整。</w:t>
      </w:r>
      <w:r/>
    </w:p>
    <w:p>
      <w:pPr>
        <w:pStyle w:val="907"/>
        <w:ind w:firstLine="482"/>
        <w:keepLines w:val="0"/>
        <w:keepNext w:val="0"/>
        <w:pageBreakBefore w:val="0"/>
        <w:spacing w:line="360" w:lineRule="auto"/>
        <w:widowControl/>
        <w:tabs>
          <w:tab w:val="left" w:pos="7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五、成交标准：</w:t>
      </w:r>
      <w:r/>
    </w:p>
    <w:p>
      <w:pPr>
        <w:pStyle w:val="907"/>
        <w:ind w:firstLine="480"/>
        <w:spacing w:line="360" w:lineRule="auto"/>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二轮（最后）报价由低到高的顺序推荐。评审得分且二轮（最后）报价相同的，按照技术指标优劣顺序推荐。</w:t>
      </w:r>
      <w:r/>
    </w:p>
    <w:p>
      <w:pPr>
        <w:pStyle w:val="702"/>
        <w:jc w:val="center"/>
        <w:keepLines/>
        <w:keepNext/>
        <w:pageBreakBefore/>
        <w:spacing w:before="156" w:after="156" w:line="360" w:lineRule="auto"/>
        <w:widowControl w:val="off"/>
        <w:rPr>
          <w:rFonts w:hint="eastAsia" w:ascii="宋体" w:hAnsi="宋体" w:eastAsia="宋体" w:cs="宋体"/>
          <w:b/>
          <w:bCs w:val="0"/>
          <w:color w:val="auto"/>
          <w:highlight w:val="none"/>
        </w:rPr>
      </w:pPr>
      <w:r/>
      <w:bookmarkStart w:id="14" w:name="_Toc4866"/>
      <w:r/>
      <w:bookmarkStart w:id="15" w:name="_Toc161932696"/>
      <w:r>
        <w:rPr>
          <w:rFonts w:hint="eastAsia" w:ascii="宋体" w:hAnsi="宋体" w:eastAsia="宋体" w:cs="宋体"/>
          <w:b/>
          <w:bCs w:val="0"/>
          <w:color w:val="auto"/>
          <w:highlight w:val="none"/>
        </w:rPr>
        <w:t xml:space="preserve">第六章  响应文件格式</w:t>
      </w:r>
      <w:bookmarkEnd w:id="14"/>
      <w:r/>
      <w:bookmarkEnd w:id="15"/>
      <w:r/>
      <w:r/>
    </w:p>
    <w:p>
      <w:pPr>
        <w:jc w:val="both"/>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52"/>
          <w:highlight w:val="none"/>
        </w:rPr>
      </w:pPr>
      <w:r>
        <w:rPr>
          <w:rFonts w:hint="eastAsia" w:ascii="宋体" w:hAnsi="宋体" w:eastAsia="宋体" w:cs="宋体"/>
          <w:b/>
          <w:color w:val="auto"/>
          <w:sz w:val="72"/>
          <w:szCs w:val="52"/>
          <w:highlight w:val="none"/>
        </w:rPr>
        <w:t xml:space="preserve">连 云 港 市 政 府 采 购</w:t>
      </w:r>
      <w:r/>
    </w:p>
    <w:p>
      <w:pPr>
        <w:jc w:val="center"/>
        <w:rPr>
          <w:rFonts w:hint="eastAsia" w:ascii="宋体" w:hAnsi="宋体" w:eastAsia="宋体" w:cs="宋体"/>
          <w:b/>
          <w:color w:val="auto"/>
          <w:sz w:val="72"/>
          <w:szCs w:val="84"/>
          <w:highlight w:val="none"/>
        </w:rPr>
      </w:pPr>
      <w:r>
        <w:rPr>
          <w:rFonts w:hint="eastAsia" w:ascii="宋体" w:hAnsi="宋体" w:eastAsia="宋体" w:cs="宋体"/>
          <w:b/>
          <w:color w:val="auto"/>
          <w:sz w:val="72"/>
          <w:szCs w:val="84"/>
          <w:highlight w:val="none"/>
        </w:rPr>
      </w:r>
      <w:r/>
    </w:p>
    <w:p>
      <w:pPr>
        <w:jc w:val="center"/>
        <w:rPr>
          <w:rFonts w:hint="eastAsia" w:ascii="宋体" w:hAnsi="宋体" w:eastAsia="宋体" w:cs="宋体"/>
          <w:b/>
          <w:color w:val="auto"/>
          <w:sz w:val="72"/>
          <w:szCs w:val="84"/>
          <w:highlight w:val="none"/>
          <w:lang w:eastAsia="zh-CN"/>
        </w:rPr>
      </w:pPr>
      <w:r>
        <w:rPr>
          <w:rFonts w:hint="eastAsia" w:ascii="宋体" w:hAnsi="宋体" w:eastAsia="宋体" w:cs="宋体"/>
          <w:b/>
          <w:color w:val="auto"/>
          <w:sz w:val="72"/>
          <w:szCs w:val="84"/>
          <w:highlight w:val="none"/>
          <w:lang w:eastAsia="zh-CN"/>
        </w:rPr>
        <w:t xml:space="preserve">响应文件</w:t>
      </w:r>
      <w:r/>
    </w:p>
    <w:p>
      <w:pPr>
        <w:jc w:val="both"/>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spacing w:line="360" w:lineRule="auto"/>
        <w:rPr>
          <w:rFonts w:hint="eastAsia"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r>
      <w:r/>
    </w:p>
    <w:p>
      <w:pPr>
        <w:pStyle w:val="746"/>
        <w:rPr>
          <w:rFonts w:hint="eastAsia"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r>
      <w:r/>
    </w:p>
    <w:p>
      <w:pPr>
        <w:pStyle w:val="746"/>
        <w:rPr>
          <w:rFonts w:hint="eastAsia"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r>
      <w:r/>
    </w:p>
    <w:p>
      <w:pPr>
        <w:pStyle w:val="746"/>
        <w:rPr>
          <w:rFonts w:hint="eastAsia"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标 段 名 称：</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标 段 编 号：</w:t>
      </w:r>
      <w:r/>
    </w:p>
    <w:p>
      <w:pPr>
        <w:ind w:firstLine="1084"/>
        <w:spacing w:line="360" w:lineRule="auto"/>
        <w:rPr>
          <w:rFonts w:ascii="宋体" w:hAnsi="宋体" w:eastAsia="宋体" w:cs="Times New Roman"/>
          <w:b/>
          <w:color w:val="auto"/>
          <w:sz w:val="36"/>
          <w:szCs w:val="24"/>
          <w:highlight w:val="none"/>
        </w:rPr>
      </w:pPr>
      <w:r>
        <w:rPr>
          <w:rFonts w:ascii="宋体" w:hAnsi="宋体" w:eastAsia="宋体" w:cs="Times New Roman"/>
          <w:b/>
          <w:color w:val="auto"/>
          <w:sz w:val="36"/>
          <w:szCs w:val="24"/>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lang w:val="en-US" w:eastAsia="zh-CN"/>
        </w:rPr>
        <w:t xml:space="preserve">供应商</w:t>
      </w:r>
      <w:r>
        <w:rPr>
          <w:rFonts w:hint="eastAsia" w:ascii="宋体" w:hAnsi="宋体" w:eastAsia="宋体" w:cs="Times New Roman"/>
          <w:b/>
          <w:color w:val="auto"/>
          <w:sz w:val="36"/>
          <w:szCs w:val="24"/>
          <w:highlight w:val="none"/>
        </w:rPr>
        <w:t xml:space="preserve">名称：</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lang w:val="en-US" w:eastAsia="zh-CN"/>
        </w:rPr>
        <w:t xml:space="preserve">供应商</w:t>
      </w:r>
      <w:r>
        <w:rPr>
          <w:rFonts w:hint="eastAsia" w:ascii="宋体" w:hAnsi="宋体" w:eastAsia="宋体" w:cs="Times New Roman"/>
          <w:b/>
          <w:color w:val="auto"/>
          <w:sz w:val="36"/>
          <w:szCs w:val="24"/>
          <w:highlight w:val="none"/>
        </w:rPr>
        <w:t xml:space="preserve">地址： </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法定代表人：</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委托代理人（委托代理时填写）：</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日      期：</w:t>
      </w:r>
      <w:r/>
    </w:p>
    <w:p>
      <w:pPr>
        <w:ind w:firstLine="80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响应文件主要目录</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（格式自定）</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clear="all"/>
      </w:r>
      <w:r/>
    </w:p>
    <w:p>
      <w:pPr>
        <w:keepNext/>
        <w:spacing w:line="360" w:lineRule="auto"/>
        <w:rPr>
          <w:rFonts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格式1、响应函</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响应函</w:t>
      </w:r>
      <w:r/>
    </w:p>
    <w:p>
      <w:pPr>
        <w:spacing w:line="48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致：</w:t>
      </w:r>
      <w:r>
        <w:rPr>
          <w:rFonts w:hint="eastAsia" w:ascii="宋体" w:hAnsi="宋体" w:eastAsia="宋体" w:cs="Times New Roman"/>
          <w:color w:val="auto"/>
          <w:sz w:val="24"/>
          <w:szCs w:val="24"/>
          <w:highlight w:val="none"/>
          <w:lang w:eastAsia="zh-CN"/>
        </w:rPr>
        <w:t xml:space="preserve">连云港市公安局</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根据贵方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标段（标段编号：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）采购文件，正式授权下述签字人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全权代表</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参加贵方组织的采购活动，按照采购文件要求提交响应文件。</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据此函，签字人兹宣布同意如下：</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1.按采购文件项目需求提交响应报价，报价、</w:t>
      </w:r>
      <w:r>
        <w:rPr>
          <w:rFonts w:hint="eastAsia" w:ascii="宋体" w:hAnsi="宋体" w:eastAsia="宋体" w:cs="Times New Roman"/>
          <w:color w:val="auto"/>
          <w:sz w:val="24"/>
          <w:szCs w:val="24"/>
          <w:highlight w:val="none"/>
          <w:lang w:val="en-US" w:eastAsia="zh-CN"/>
        </w:rPr>
        <w:t xml:space="preserve">合同履行期限</w:t>
      </w:r>
      <w:r>
        <w:rPr>
          <w:rFonts w:hint="eastAsia" w:ascii="宋体" w:hAnsi="宋体" w:eastAsia="宋体" w:cs="Times New Roman"/>
          <w:color w:val="auto"/>
          <w:sz w:val="24"/>
          <w:szCs w:val="24"/>
          <w:highlight w:val="none"/>
        </w:rPr>
        <w:t xml:space="preserve">等详见开标一览表。</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2.我方同意在本标段采购文件中规定的响应文件递交截止之日起60天内遵守本响应文件中的承诺且在此期限期满之前均具有约束力。</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3.我方承诺已经具备《中华人民共和国政府采购法》中规定的参加政府采购活动的供应商应当具备的条件：</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(1)具有独立承担民事责任的能力；</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(2)具有良好的商业信誉和健全的财务会计制度；</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(3)具有履行合同所必需的设备和专业技术能力；</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(4)有依法缴纳税收和社会保障资金的良好记录；</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(5)参加此项采购活动前三年内，在经营活动中没有重大违法记录。</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4.我方根据采购文件的规定，承担完成合同的责任和义务。</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5.我方已详细审核采购文件，我方知道必须放弃提出含糊不清或误解问题的权利。</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6.如果在响应文件有效期内撤回或者有其他违约行为，我方的保证金可被贵方全部或部分没收。</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7.同意应贵方要求提供与本次采购活动有关的任何数据或资料。</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8.我方完全理解，最低报价不是中标（成交）的唯一条件。</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9.若贵方需要，我方愿意提供我方作出的一切承诺的证明材料。</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(1)提供虚假材料谋取中标、成交的；</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(2)采取不正当手段诋毁、排挤其他供应商的；</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(3)与采购人、其他供应商或者采购代理机构恶意串通的；</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(4)向采购人、采购代理机构行贿或者提供其他不正当利益的；</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(5)在招标采购过程中与采购人进行协商谈判的；</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(6)拒绝有关部门监督检查或提供虚假情况的。</w:t>
      </w:r>
      <w:r/>
    </w:p>
    <w:p>
      <w:pPr>
        <w:ind w:firstLine="420"/>
        <w:spacing w:line="48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法定代表人或其委托代理人签字（或盖章）： 　　</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供应商公章： </w:t>
      </w:r>
      <w:r/>
    </w:p>
    <w:p>
      <w:pPr>
        <w:ind w:firstLine="42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ind w:firstLine="420"/>
        <w:spacing w:line="48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w:t>
      </w:r>
      <w:r/>
    </w:p>
    <w:p>
      <w:pPr>
        <w:spacing w:line="480" w:lineRule="exact"/>
        <w:rPr>
          <w:rFonts w:ascii="宋体" w:hAnsi="宋体" w:eastAsia="宋体" w:cs="宋体"/>
          <w:color w:val="auto"/>
          <w:sz w:val="24"/>
          <w:szCs w:val="24"/>
          <w:highlight w:val="none"/>
          <w:lang w:val="zh-CN"/>
        </w:rPr>
      </w:pPr>
      <w:r>
        <w:rPr>
          <w:rFonts w:hint="eastAsia" w:ascii="宋体" w:hAnsi="宋体" w:eastAsia="宋体" w:cs="Times New Roman"/>
          <w:color w:val="auto"/>
          <w:sz w:val="24"/>
          <w:szCs w:val="24"/>
          <w:highlight w:val="none"/>
        </w:rPr>
        <w:t xml:space="preserve">注：未按照本响应函的格式要求填写的，将造成非实质响应，从而导致该供应商响应无效。</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格式2、开标一览表</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首次磋商报价表</w:t>
      </w:r>
      <w:r>
        <w:rPr>
          <w:rFonts w:hint="eastAsia" w:ascii="黑体" w:hAnsi="黑体" w:eastAsia="黑体" w:cs="宋体"/>
          <w:bCs/>
          <w:color w:val="auto"/>
          <w:sz w:val="36"/>
          <w:szCs w:val="28"/>
          <w:highlight w:val="none"/>
          <w:lang w:eastAsia="zh-CN"/>
        </w:rPr>
        <w:t xml:space="preserve">（</w:t>
      </w:r>
      <w:r>
        <w:rPr>
          <w:rFonts w:hint="eastAsia" w:ascii="黑体" w:hAnsi="黑体" w:eastAsia="黑体" w:cs="宋体"/>
          <w:bCs/>
          <w:color w:val="auto"/>
          <w:sz w:val="36"/>
          <w:szCs w:val="28"/>
          <w:highlight w:val="none"/>
        </w:rPr>
        <w:t xml:space="preserve">开标一览表</w:t>
      </w:r>
      <w:r>
        <w:rPr>
          <w:rFonts w:hint="eastAsia" w:ascii="黑体" w:hAnsi="黑体" w:eastAsia="黑体" w:cs="宋体"/>
          <w:bCs/>
          <w:color w:val="auto"/>
          <w:sz w:val="36"/>
          <w:szCs w:val="28"/>
          <w:highlight w:val="none"/>
          <w:lang w:eastAsia="zh-CN"/>
        </w:rPr>
        <w:t xml:space="preserve">）</w:t>
      </w:r>
      <w:r/>
    </w:p>
    <w:p>
      <w:pPr>
        <w:ind w:firstLine="720"/>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r>
      <w:r/>
    </w:p>
    <w:p>
      <w:pPr>
        <w:ind w:firstLine="720"/>
        <w:jc w:val="left"/>
        <w:spacing w:line="360" w:lineRule="auto"/>
        <w:rPr>
          <w:rFonts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标段编号： </w:t>
      </w:r>
      <w:r/>
    </w:p>
    <w:p>
      <w:pPr>
        <w:ind w:firstLine="720"/>
        <w:jc w:val="left"/>
        <w:spacing w:line="360" w:lineRule="auto"/>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标段名称：</w:t>
      </w:r>
      <w:r/>
    </w:p>
    <w:p>
      <w:pPr>
        <w:jc w:val="left"/>
        <w:rPr>
          <w:rFonts w:ascii="MS Mincho" w:hAnsi="Calibri" w:eastAsia="宋体" w:cs="Times New Roman"/>
          <w:color w:val="auto"/>
          <w:sz w:val="24"/>
          <w:szCs w:val="24"/>
          <w:highlight w:val="none"/>
        </w:rPr>
      </w:pPr>
      <w:r>
        <w:rPr>
          <w:rFonts w:ascii="MS Mincho" w:hAnsi="Calibri" w:eastAsia="宋体" w:cs="Times New Roman"/>
          <w:color w:val="auto"/>
          <w:sz w:val="24"/>
          <w:szCs w:val="24"/>
          <w:highlight w:val="none"/>
        </w:rPr>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39"/>
        <w:gridCol w:w="4966"/>
      </w:tblGrid>
      <w:tr>
        <w:trPr>
          <w:cantSplit/>
          <w:jc w:val="center"/>
          <w:trHeight w:val="1310"/>
        </w:trPr>
        <w:tc>
          <w:tcPr>
            <w:tcW w:w="263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标题</w:t>
            </w:r>
            <w:r/>
          </w:p>
        </w:tc>
        <w:tc>
          <w:tcPr>
            <w:tcW w:w="4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cantSplit/>
          <w:jc w:val="center"/>
          <w:trHeight w:val="1644"/>
        </w:trPr>
        <w:tc>
          <w:tcPr>
            <w:tcW w:w="2639" w:type="dxa"/>
            <w:vAlign w:val="center"/>
            <w:textDirection w:val="lrTb"/>
            <w:noWrap w:val="false"/>
          </w:tcPr>
          <w:p>
            <w:pPr>
              <w:jc w:val="center"/>
              <w:spacing w:before="75"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保费标准定额</w:t>
            </w:r>
            <w:r/>
          </w:p>
        </w:tc>
        <w:tc>
          <w:tcPr>
            <w:tcW w:w="4966" w:type="dxa"/>
            <w:vAlign w:val="center"/>
            <w:textDirection w:val="lrTb"/>
            <w:noWrap w:val="false"/>
          </w:tcPr>
          <w:p>
            <w:pPr>
              <w:jc w:val="center"/>
              <w:spacing w:before="75"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元</w:t>
            </w:r>
            <w:r>
              <w:rPr>
                <w:rFonts w:hint="eastAsia" w:ascii="宋体" w:hAnsi="宋体" w:eastAsia="宋体" w:cs="宋体"/>
                <w:bCs/>
                <w:color w:val="auto"/>
                <w:sz w:val="24"/>
                <w:szCs w:val="24"/>
                <w:highlight w:val="none"/>
              </w:rPr>
              <w:t xml:space="preserve">/人/年</w:t>
            </w:r>
            <w:r/>
          </w:p>
          <w:p>
            <w:pPr>
              <w:jc w:val="center"/>
              <w:spacing w:before="7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元/人/年</w:t>
            </w:r>
            <w:r>
              <w:rPr>
                <w:rFonts w:hint="eastAsia" w:ascii="宋体" w:hAnsi="宋体" w:eastAsia="宋体" w:cs="宋体"/>
                <w:color w:val="auto"/>
                <w:sz w:val="24"/>
                <w:szCs w:val="24"/>
                <w:highlight w:val="none"/>
              </w:rPr>
              <w:t xml:space="preserve">）</w:t>
            </w:r>
            <w:r/>
          </w:p>
        </w:tc>
      </w:tr>
      <w:tr>
        <w:trPr>
          <w:cantSplit/>
          <w:jc w:val="center"/>
          <w:trHeight w:val="1310"/>
        </w:trPr>
        <w:tc>
          <w:tcPr>
            <w:tcW w:w="2639" w:type="dxa"/>
            <w:vAlign w:val="center"/>
            <w:textDirection w:val="lrTb"/>
            <w:noWrap w:val="false"/>
          </w:tcPr>
          <w:p>
            <w:pPr>
              <w:jc w:val="cente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服务期限（</w:t>
            </w:r>
            <w:r>
              <w:rPr>
                <w:rFonts w:hint="eastAsia" w:ascii="宋体" w:hAnsi="宋体" w:eastAsia="宋体" w:cs="宋体"/>
                <w:bCs/>
                <w:color w:val="auto"/>
                <w:sz w:val="24"/>
                <w:szCs w:val="24"/>
                <w:highlight w:val="none"/>
              </w:rPr>
              <w:t xml:space="preserve">保险</w:t>
            </w:r>
            <w:r>
              <w:rPr>
                <w:rFonts w:hint="eastAsia" w:ascii="宋体" w:hAnsi="宋体" w:eastAsia="宋体" w:cs="宋体"/>
                <w:bCs/>
                <w:color w:val="auto"/>
                <w:sz w:val="24"/>
                <w:szCs w:val="24"/>
                <w:highlight w:val="none"/>
                <w:lang w:val="en-US" w:eastAsia="zh-CN"/>
              </w:rPr>
              <w:t xml:space="preserve">期限）</w:t>
            </w:r>
            <w:r/>
          </w:p>
        </w:tc>
        <w:tc>
          <w:tcPr>
            <w:tcW w:w="4966"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1年</w:t>
            </w:r>
            <w:r/>
          </w:p>
        </w:tc>
      </w:tr>
    </w:tbl>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供应商</w:t>
      </w:r>
      <w:r>
        <w:rPr>
          <w:rFonts w:hint="eastAsia" w:ascii="Times New Roman" w:hAnsi="Times New Roman" w:eastAsia="宋体" w:cs="Times New Roman"/>
          <w:color w:val="auto"/>
          <w:sz w:val="24"/>
          <w:szCs w:val="24"/>
          <w:highlight w:val="none"/>
        </w:rPr>
        <w:t xml:space="preserve">（盖章）：</w:t>
      </w:r>
      <w:r/>
    </w:p>
    <w:p>
      <w:pPr>
        <w:ind w:firstLine="42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2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firstLine="482"/>
        <w:spacing w:line="400" w:lineRule="exact"/>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ind w:firstLine="482"/>
        <w:spacing w:line="400" w:lineRule="exact"/>
        <w:rPr>
          <w:rFonts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t xml:space="preserve">注：</w:t>
      </w:r>
      <w:r>
        <w:rPr>
          <w:rFonts w:hint="eastAsia" w:ascii="宋体" w:hAnsi="宋体" w:eastAsia="宋体" w:cs="宋体"/>
          <w:b/>
          <w:bCs/>
          <w:i w:val="0"/>
          <w:iCs w:val="0"/>
          <w:color w:val="auto"/>
          <w:sz w:val="24"/>
          <w:highlight w:val="none"/>
          <w:lang w:val="en-US" w:eastAsia="zh-CN"/>
        </w:rPr>
        <w:t xml:space="preserve">1、</w:t>
      </w:r>
      <w:r>
        <w:rPr>
          <w:rFonts w:hint="eastAsia" w:ascii="宋体" w:hAnsi="宋体" w:eastAsia="宋体" w:cs="宋体"/>
          <w:b/>
          <w:bCs/>
          <w:i w:val="0"/>
          <w:iCs w:val="0"/>
          <w:color w:val="ff0000"/>
          <w:sz w:val="24"/>
          <w:highlight w:val="none"/>
        </w:rPr>
        <w:t xml:space="preserve">本项目为固定单价招标，报价超出、低于保费标准的按无效响应处理。</w:t>
      </w:r>
      <w:r/>
    </w:p>
    <w:p>
      <w:pPr>
        <w:ind w:firstLine="964"/>
        <w:spacing w:line="400" w:lineRule="exact"/>
        <w:rPr>
          <w:rFonts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lang w:val="en-US" w:eastAsia="zh-CN"/>
        </w:rPr>
        <w:t xml:space="preserve">2、</w:t>
      </w:r>
      <w:r>
        <w:rPr>
          <w:rFonts w:hint="eastAsia" w:ascii="宋体" w:hAnsi="宋体" w:eastAsia="宋体" w:cs="宋体"/>
          <w:b/>
          <w:bCs/>
          <w:i w:val="0"/>
          <w:iCs w:val="0"/>
          <w:color w:val="auto"/>
          <w:sz w:val="24"/>
          <w:highlight w:val="none"/>
        </w:rPr>
        <w:t xml:space="preserve">此表格式不得自行改动。</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keepNext/>
        <w:spacing w:line="360" w:lineRule="auto"/>
        <w:rPr>
          <w:rFonts w:ascii="Times New Roman" w:hAnsi="宋体" w:eastAsia="黑体" w:cs="Times New Roman"/>
          <w:color w:val="auto"/>
          <w:sz w:val="32"/>
          <w:szCs w:val="20"/>
          <w:highlight w:val="none"/>
        </w:rPr>
        <w:outlineLvl w:val="1"/>
      </w:pPr>
      <w:r>
        <w:rPr>
          <w:rFonts w:hint="eastAsia" w:ascii="Times New Roman" w:hAnsi="宋体" w:eastAsia="黑体" w:cs="Times New Roman"/>
          <w:color w:val="auto"/>
          <w:sz w:val="32"/>
          <w:szCs w:val="20"/>
          <w:highlight w:val="none"/>
        </w:rPr>
        <w:br w:type="page" w:clear="all"/>
      </w:r>
      <w:r>
        <w:rPr>
          <w:rFonts w:hint="eastAsia" w:ascii="宋体" w:hAnsi="宋体" w:eastAsia="宋体" w:cs="Times New Roman"/>
          <w:color w:val="auto"/>
          <w:sz w:val="24"/>
          <w:szCs w:val="24"/>
          <w:highlight w:val="none"/>
        </w:rPr>
        <w:t xml:space="preserve">格式3、</w:t>
      </w:r>
      <w:r>
        <w:rPr>
          <w:rFonts w:hint="eastAsia" w:ascii="宋体" w:hAnsi="宋体" w:eastAsia="宋体" w:cs="宋体"/>
          <w:color w:val="auto"/>
          <w:sz w:val="24"/>
          <w:highlight w:val="none"/>
        </w:rPr>
        <w:t xml:space="preserve">首次磋商报价明细表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详细报价书</w:t>
      </w:r>
      <w:r>
        <w:rPr>
          <w:rFonts w:hint="eastAsia" w:ascii="宋体" w:hAnsi="宋体" w:eastAsia="宋体" w:cs="宋体"/>
          <w:color w:val="auto"/>
          <w:sz w:val="24"/>
          <w:highlight w:val="none"/>
          <w:lang w:eastAsia="zh-CN"/>
        </w:rPr>
        <w:t xml:space="preserve">）</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首次磋商报价明细表</w:t>
      </w:r>
      <w:r/>
    </w:p>
    <w:p>
      <w:pPr>
        <w:ind w:firstLine="482"/>
        <w:pageBreakBefore w:val="0"/>
        <w:spacing w:line="500" w:lineRule="exact"/>
        <w:tabs>
          <w:tab w:val="left" w:pos="90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tbl>
      <w:tblPr>
        <w:tblStyle w:val="712"/>
        <w:tblpPr w:horzAnchor="page" w:tblpXSpec="center" w:vertAnchor="text" w:tblpY="429" w:leftFromText="180" w:topFromText="0" w:rightFromText="180" w:bottomFromText="0"/>
        <w:tblW w:w="9542" w:type="dxa"/>
        <w:jc w:val="center"/>
        <w:tblLayout w:type="fixed"/>
        <w:tblCellMar>
          <w:left w:w="0" w:type="dxa"/>
          <w:top w:w="0" w:type="dxa"/>
          <w:right w:w="0" w:type="dxa"/>
          <w:bottom w:w="0" w:type="dxa"/>
        </w:tblCellMar>
        <w:tblLook w:val="04A0" w:firstRow="1" w:lastRow="0" w:firstColumn="1" w:lastColumn="0" w:noHBand="0" w:noVBand="1"/>
      </w:tblPr>
      <w:tblGrid>
        <w:gridCol w:w="630"/>
        <w:gridCol w:w="1450"/>
        <w:gridCol w:w="4792"/>
        <w:gridCol w:w="1840"/>
        <w:gridCol w:w="830"/>
      </w:tblGrid>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0" w:type="dxa"/>
            <w:vAlign w:val="center"/>
            <w:textDirection w:val="lrTb"/>
            <w:noWrap/>
          </w:tcPr>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2" w:type="dxa"/>
            <w:vAlign w:val="center"/>
            <w:textDirection w:val="lrTb"/>
            <w:noWrap/>
          </w:tcPr>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tcPr>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保险金额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元/人</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0" w:type="dxa"/>
            <w:vAlign w:val="center"/>
            <w:textDirection w:val="lrTb"/>
            <w:noWrap/>
          </w:tcPr>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保费</w:t>
            </w:r>
            <w:r/>
          </w:p>
        </w:tc>
      </w:tr>
      <w:tr>
        <w:trPr>
          <w:jc w:val="cente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0" w:type="dxa"/>
            <w:vAlign w:val="center"/>
            <w:textDirection w:val="lrTb"/>
            <w:noWrap/>
          </w:tcPr>
          <w:p>
            <w:pPr>
              <w:jc w:val="center"/>
              <w:spacing w:line="240" w:lineRule="auto"/>
              <w:rPr>
                <w:rStyle w:val="741"/>
                <w:rFonts w:hint="eastAsia" w:ascii="宋体" w:hAnsi="宋体" w:eastAsia="宋体" w:cs="宋体"/>
                <w:b w:val="0"/>
                <w:color w:val="auto"/>
                <w:sz w:val="21"/>
                <w:szCs w:val="21"/>
                <w:highlight w:val="none"/>
                <w:shd w:val="clear" w:color="auto" w:fill="ffffff"/>
              </w:rPr>
            </w:pPr>
            <w:r>
              <w:rPr>
                <w:rStyle w:val="741"/>
                <w:rFonts w:hint="eastAsia" w:ascii="宋体" w:hAnsi="宋体" w:eastAsia="宋体" w:cs="宋体"/>
                <w:b w:val="0"/>
                <w:color w:val="auto"/>
                <w:sz w:val="21"/>
                <w:szCs w:val="21"/>
                <w:highlight w:val="none"/>
                <w:shd w:val="clear" w:color="auto" w:fill="ffffff"/>
                <w:lang w:val="en-US" w:eastAsia="zh-CN"/>
              </w:rPr>
              <w:t xml:space="preserve">意外伤害（</w:t>
            </w:r>
            <w:r>
              <w:rPr>
                <w:rStyle w:val="741"/>
                <w:rFonts w:hint="eastAsia" w:ascii="宋体" w:hAnsi="宋体" w:eastAsia="宋体" w:cs="宋体"/>
                <w:b w:val="0"/>
                <w:color w:val="auto"/>
                <w:sz w:val="21"/>
                <w:szCs w:val="21"/>
                <w:highlight w:val="none"/>
                <w:shd w:val="clear" w:color="auto" w:fill="ffffff"/>
              </w:rPr>
              <w:t xml:space="preserve">意外</w:t>
            </w:r>
            <w:r>
              <w:rPr>
                <w:rStyle w:val="741"/>
                <w:rFonts w:hint="eastAsia" w:ascii="宋体" w:hAnsi="宋体" w:eastAsia="宋体" w:cs="宋体"/>
                <w:b w:val="0"/>
                <w:color w:val="auto"/>
                <w:sz w:val="21"/>
                <w:szCs w:val="21"/>
                <w:highlight w:val="none"/>
                <w:shd w:val="clear" w:color="auto" w:fill="ffffff"/>
                <w:lang w:val="en-US" w:eastAsia="zh-CN"/>
              </w:rPr>
              <w:t xml:space="preserve">身故、意外伤残）</w:t>
            </w:r>
            <w:r/>
          </w:p>
        </w:tc>
        <w:tc>
          <w:tcPr>
            <w:tcBorders>
              <w:top w:val="single" w:color="000000" w:sz="4" w:space="0"/>
              <w:left w:val="single" w:color="000000" w:sz="4" w:space="0"/>
              <w:right w:val="single" w:color="000000" w:sz="4" w:space="0"/>
            </w:tcBorders>
            <w:tcMar>
              <w:left w:w="15" w:type="dxa"/>
              <w:top w:w="15" w:type="dxa"/>
              <w:right w:w="15" w:type="dxa"/>
            </w:tcMar>
            <w:tcW w:w="4792" w:type="dxa"/>
            <w:vAlign w:val="center"/>
            <w:textDirection w:val="lrTb"/>
            <w:noWrap/>
          </w:tcPr>
          <w:p>
            <w:pPr>
              <w:jc w:val="left"/>
              <w:spacing w:line="240" w:lineRule="auto"/>
              <w:rPr>
                <w:rStyle w:val="741"/>
                <w:rFonts w:hint="eastAsia" w:ascii="宋体" w:hAnsi="宋体" w:eastAsia="宋体" w:cs="宋体"/>
                <w:b w:val="0"/>
                <w:color w:val="auto"/>
                <w:sz w:val="21"/>
                <w:szCs w:val="21"/>
                <w:highlight w:val="none"/>
                <w:shd w:val="clear" w:color="auto" w:fill="ffffff"/>
                <w:lang w:eastAsia="zh-CN"/>
              </w:rPr>
            </w:pPr>
            <w:r>
              <w:rPr>
                <w:rStyle w:val="741"/>
                <w:rFonts w:hint="eastAsia" w:ascii="宋体" w:hAnsi="宋体" w:eastAsia="宋体" w:cs="宋体"/>
                <w:b w:val="0"/>
                <w:color w:val="auto"/>
                <w:sz w:val="21"/>
                <w:szCs w:val="21"/>
                <w:highlight w:val="none"/>
                <w:shd w:val="clear" w:color="auto" w:fill="ffffff"/>
                <w:lang w:eastAsia="zh-CN"/>
              </w:rPr>
              <w:t xml:space="preserve">因意外伤害导致身故给付保险金；因意外伤害导致伤残，依据《</w:t>
            </w:r>
            <w:r>
              <w:rPr>
                <w:rStyle w:val="741"/>
                <w:rFonts w:hint="eastAsia" w:ascii="宋体" w:hAnsi="宋体" w:eastAsia="宋体" w:cs="宋体"/>
                <w:b w:val="0"/>
                <w:color w:val="auto"/>
                <w:sz w:val="21"/>
                <w:szCs w:val="21"/>
                <w:highlight w:val="none"/>
                <w:shd w:val="clear" w:color="auto" w:fill="ffffff"/>
                <w:lang w:val="en-US" w:eastAsia="zh-CN"/>
              </w:rPr>
              <w:t xml:space="preserve">劳动能力鉴定职工工伤与职业病致残等级</w:t>
            </w:r>
            <w:r>
              <w:rPr>
                <w:rStyle w:val="741"/>
                <w:rFonts w:hint="eastAsia" w:ascii="宋体" w:hAnsi="宋体" w:eastAsia="宋体" w:cs="宋体"/>
                <w:b w:val="0"/>
                <w:color w:val="auto"/>
                <w:sz w:val="21"/>
                <w:szCs w:val="21"/>
                <w:highlight w:val="none"/>
                <w:shd w:val="clear" w:color="auto" w:fill="ffffff"/>
                <w:lang w:eastAsia="zh-CN"/>
              </w:rPr>
              <w:t xml:space="preserve">（</w:t>
            </w:r>
            <w:r>
              <w:rPr>
                <w:rStyle w:val="741"/>
                <w:rFonts w:hint="eastAsia" w:ascii="宋体" w:hAnsi="宋体" w:eastAsia="宋体" w:cs="宋体"/>
                <w:b w:val="0"/>
                <w:color w:val="auto"/>
                <w:sz w:val="21"/>
                <w:szCs w:val="21"/>
                <w:highlight w:val="none"/>
                <w:shd w:val="clear" w:color="auto" w:fill="ffffff"/>
                <w:lang w:val="en-US" w:eastAsia="zh-CN"/>
              </w:rPr>
              <w:t xml:space="preserve">GB/T16180-2014</w:t>
            </w:r>
            <w:r>
              <w:rPr>
                <w:rStyle w:val="741"/>
                <w:rFonts w:hint="eastAsia" w:ascii="宋体" w:hAnsi="宋体" w:eastAsia="宋体" w:cs="宋体"/>
                <w:b w:val="0"/>
                <w:color w:val="auto"/>
                <w:sz w:val="21"/>
                <w:szCs w:val="21"/>
                <w:highlight w:val="none"/>
                <w:shd w:val="clear" w:color="auto" w:fill="ffffff"/>
                <w:lang w:eastAsia="zh-CN"/>
              </w:rPr>
              <w:t xml:space="preserve">）分级予以理赔。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tcPr>
          <w:p>
            <w:pPr>
              <w:jc w:val="center"/>
              <w:spacing w:before="14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right w:val="single" w:color="000000" w:sz="4" w:space="0"/>
            </w:tcBorders>
            <w:tcMar>
              <w:left w:w="15" w:type="dxa"/>
              <w:top w:w="15" w:type="dxa"/>
              <w:right w:w="15" w:type="dxa"/>
            </w:tcMar>
            <w:tcW w:w="830" w:type="dxa"/>
            <w:vAlign w:val="center"/>
            <w:vMerge w:val="restart"/>
            <w:textDirection w:val="lrTb"/>
            <w:noWrap w:val="false"/>
          </w:tcPr>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200</w:t>
            </w:r>
            <w:r>
              <w:rPr>
                <w:rFonts w:hint="eastAsia" w:ascii="宋体" w:hAnsi="宋体" w:eastAsia="宋体" w:cs="宋体"/>
                <w:color w:val="auto"/>
                <w:sz w:val="21"/>
                <w:szCs w:val="21"/>
                <w:highlight w:val="none"/>
              </w:rPr>
              <w:t xml:space="preserve">元</w:t>
            </w:r>
            <w:r/>
          </w:p>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/人/年</w:t>
            </w:r>
            <w:r/>
          </w:p>
        </w:tc>
      </w:tr>
      <w:tr>
        <w:trPr>
          <w:jc w:val="center"/>
          <w:trHeight w:val="11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0" w:type="dxa"/>
            <w:vAlign w:val="center"/>
            <w:textDirection w:val="lrTb"/>
            <w:noWrap/>
          </w:tcPr>
          <w:p>
            <w:pPr>
              <w:jc w:val="center"/>
              <w:spacing w:line="240" w:lineRule="auto"/>
              <w:rPr>
                <w:rStyle w:val="741"/>
                <w:rFonts w:hint="eastAsia" w:ascii="宋体" w:hAnsi="宋体" w:eastAsia="宋体" w:cs="宋体"/>
                <w:b w:val="0"/>
                <w:color w:val="auto"/>
                <w:sz w:val="21"/>
                <w:szCs w:val="21"/>
                <w:highlight w:val="none"/>
                <w:shd w:val="clear" w:color="auto" w:fill="ffffff"/>
              </w:rPr>
            </w:pPr>
            <w:r>
              <w:rPr>
                <w:rStyle w:val="741"/>
                <w:rFonts w:hint="eastAsia" w:ascii="宋体" w:hAnsi="宋体" w:eastAsia="宋体" w:cs="宋体"/>
                <w:b w:val="0"/>
                <w:color w:val="auto"/>
                <w:sz w:val="21"/>
                <w:szCs w:val="21"/>
                <w:highlight w:val="none"/>
                <w:shd w:val="clear" w:color="auto" w:fill="ffffff"/>
              </w:rPr>
              <w:t xml:space="preserve">意外医疗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2" w:type="dxa"/>
            <w:vAlign w:val="center"/>
            <w:textDirection w:val="lrTb"/>
            <w:noWrap w:val="false"/>
          </w:tcPr>
          <w:p>
            <w:pPr>
              <w:jc w:val="left"/>
              <w:spacing w:line="240" w:lineRule="auto"/>
              <w:rPr>
                <w:rStyle w:val="741"/>
                <w:rFonts w:hint="eastAsia" w:ascii="宋体" w:hAnsi="宋体" w:eastAsia="宋体" w:cs="宋体"/>
                <w:b w:val="0"/>
                <w:color w:val="auto"/>
                <w:sz w:val="21"/>
                <w:szCs w:val="21"/>
                <w:highlight w:val="none"/>
                <w:shd w:val="clear" w:color="auto" w:fill="ffffff"/>
                <w:lang w:eastAsia="zh-CN"/>
              </w:rPr>
            </w:pPr>
            <w:r>
              <w:rPr>
                <w:rStyle w:val="741"/>
                <w:rFonts w:hint="eastAsia" w:ascii="宋体" w:hAnsi="宋体" w:eastAsia="宋体" w:cs="宋体"/>
                <w:b w:val="0"/>
                <w:color w:val="auto"/>
                <w:sz w:val="21"/>
                <w:szCs w:val="21"/>
                <w:highlight w:val="none"/>
                <w:shd w:val="clear" w:color="auto" w:fill="ffffff"/>
              </w:rPr>
              <w:t xml:space="preserve">因意外伤害引起的意外门诊或意外住院医疗费用，有医保，无免赔额，赔付比例95%</w:t>
            </w:r>
            <w:r>
              <w:rPr>
                <w:rStyle w:val="741"/>
                <w:rFonts w:hint="eastAsia" w:ascii="宋体" w:hAnsi="宋体" w:eastAsia="宋体" w:cs="宋体"/>
                <w:b w:val="0"/>
                <w:color w:val="auto"/>
                <w:sz w:val="21"/>
                <w:szCs w:val="21"/>
                <w:highlight w:val="none"/>
                <w:shd w:val="clear" w:color="auto" w:fill="ffffff"/>
                <w:lang w:eastAsia="zh-CN"/>
              </w:rPr>
              <w:t xml:space="preserve">；</w:t>
            </w:r>
            <w:r>
              <w:rPr>
                <w:rStyle w:val="741"/>
                <w:rFonts w:hint="eastAsia" w:ascii="宋体" w:hAnsi="宋体" w:eastAsia="宋体" w:cs="宋体"/>
                <w:b w:val="0"/>
                <w:color w:val="auto"/>
                <w:sz w:val="21"/>
                <w:szCs w:val="21"/>
                <w:highlight w:val="none"/>
                <w:shd w:val="clear" w:color="auto" w:fill="ffffff"/>
              </w:rPr>
              <w:t xml:space="preserve">无医保，无免赔额，赔付比例90%</w:t>
            </w:r>
            <w:r>
              <w:rPr>
                <w:rStyle w:val="741"/>
                <w:rFonts w:hint="eastAsia" w:ascii="宋体" w:hAnsi="宋体" w:eastAsia="宋体" w:cs="宋体"/>
                <w:b w:val="0"/>
                <w:color w:val="auto"/>
                <w:sz w:val="21"/>
                <w:szCs w:val="21"/>
                <w:highlight w:val="none"/>
                <w:shd w:val="clear" w:color="auto" w:fill="ffffff"/>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tcPr>
          <w:p>
            <w:pPr>
              <w:jc w:val="center"/>
              <w:spacing w:before="14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Mar>
              <w:left w:w="15" w:type="dxa"/>
              <w:top w:w="15" w:type="dxa"/>
              <w:right w:w="15" w:type="dxa"/>
            </w:tcMar>
            <w:tcW w:w="830"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0" w:type="dxa"/>
            <w:vAlign w:val="center"/>
            <w:textDirection w:val="lrTb"/>
            <w:noWrap/>
          </w:tcPr>
          <w:p>
            <w:pPr>
              <w:jc w:val="center"/>
              <w:spacing w:line="240" w:lineRule="auto"/>
              <w:rPr>
                <w:rStyle w:val="741"/>
                <w:rFonts w:hint="eastAsia" w:ascii="宋体" w:hAnsi="宋体" w:eastAsia="宋体" w:cs="宋体"/>
                <w:b w:val="0"/>
                <w:color w:val="auto"/>
                <w:sz w:val="21"/>
                <w:szCs w:val="21"/>
                <w:highlight w:val="none"/>
                <w:shd w:val="clear" w:color="auto" w:fill="ffffff"/>
              </w:rPr>
            </w:pPr>
            <w:r>
              <w:rPr>
                <w:rStyle w:val="741"/>
                <w:rFonts w:hint="eastAsia" w:ascii="宋体" w:hAnsi="宋体" w:eastAsia="宋体" w:cs="宋体"/>
                <w:b w:val="0"/>
                <w:color w:val="auto"/>
                <w:sz w:val="21"/>
                <w:szCs w:val="21"/>
                <w:highlight w:val="none"/>
                <w:shd w:val="clear" w:color="auto" w:fill="ffffff"/>
              </w:rPr>
              <w:t xml:space="preserve">住院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2" w:type="dxa"/>
            <w:vAlign w:val="center"/>
            <w:textDirection w:val="lrTb"/>
            <w:noWrap/>
          </w:tcPr>
          <w:p>
            <w:pPr>
              <w:jc w:val="left"/>
              <w:spacing w:line="240" w:lineRule="auto"/>
              <w:rPr>
                <w:rStyle w:val="741"/>
                <w:rFonts w:hint="eastAsia" w:ascii="宋体" w:hAnsi="宋体" w:eastAsia="宋体" w:cs="宋体"/>
                <w:b w:val="0"/>
                <w:color w:val="auto"/>
                <w:sz w:val="21"/>
                <w:szCs w:val="21"/>
                <w:highlight w:val="none"/>
                <w:shd w:val="clear" w:color="auto" w:fill="ffffff"/>
                <w:lang w:eastAsia="zh-CN"/>
              </w:rPr>
            </w:pPr>
            <w:r>
              <w:rPr>
                <w:rStyle w:val="741"/>
                <w:rFonts w:hint="eastAsia" w:ascii="宋体" w:hAnsi="宋体" w:eastAsia="宋体" w:cs="宋体"/>
                <w:b w:val="0"/>
                <w:color w:val="auto"/>
                <w:sz w:val="21"/>
                <w:szCs w:val="21"/>
                <w:highlight w:val="none"/>
                <w:shd w:val="clear" w:color="auto" w:fill="ffffff"/>
              </w:rPr>
              <w:t xml:space="preserve">因疾病导致住院，免赔额300元/年，赔付比例90%</w:t>
            </w:r>
            <w:r>
              <w:rPr>
                <w:rStyle w:val="741"/>
                <w:rFonts w:hint="eastAsia" w:ascii="宋体" w:hAnsi="宋体" w:eastAsia="宋体" w:cs="宋体"/>
                <w:b w:val="0"/>
                <w:color w:val="auto"/>
                <w:sz w:val="21"/>
                <w:szCs w:val="21"/>
                <w:highlight w:val="none"/>
                <w:shd w:val="clear" w:color="auto" w:fill="ffffff"/>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tcPr>
          <w:p>
            <w:pPr>
              <w:jc w:val="center"/>
              <w:spacing w:before="14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Mar>
              <w:left w:w="15" w:type="dxa"/>
              <w:top w:w="15" w:type="dxa"/>
              <w:right w:w="15" w:type="dxa"/>
            </w:tcMar>
            <w:tcW w:w="830"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0" w:type="dxa"/>
            <w:vAlign w:val="center"/>
            <w:textDirection w:val="lrTb"/>
            <w:noWrap/>
          </w:tcPr>
          <w:p>
            <w:pPr>
              <w:jc w:val="center"/>
              <w:spacing w:line="240" w:lineRule="auto"/>
              <w:rPr>
                <w:rStyle w:val="741"/>
                <w:rFonts w:hint="eastAsia" w:ascii="宋体" w:hAnsi="宋体" w:eastAsia="宋体" w:cs="宋体"/>
                <w:b w:val="0"/>
                <w:color w:val="auto"/>
                <w:sz w:val="21"/>
                <w:szCs w:val="21"/>
                <w:highlight w:val="none"/>
                <w:shd w:val="clear" w:color="auto" w:fill="ffffff"/>
              </w:rPr>
            </w:pPr>
            <w:r>
              <w:rPr>
                <w:rStyle w:val="741"/>
                <w:rFonts w:hint="eastAsia" w:ascii="宋体" w:hAnsi="宋体" w:eastAsia="宋体" w:cs="宋体"/>
                <w:b w:val="0"/>
                <w:color w:val="auto"/>
                <w:sz w:val="21"/>
                <w:szCs w:val="21"/>
                <w:highlight w:val="none"/>
                <w:shd w:val="clear" w:color="auto" w:fill="ffffff"/>
              </w:rPr>
              <w:t xml:space="preserve">住院津贴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2" w:type="dxa"/>
            <w:vAlign w:val="center"/>
            <w:textDirection w:val="lrTb"/>
            <w:noWrap w:val="false"/>
          </w:tcPr>
          <w:p>
            <w:pPr>
              <w:jc w:val="left"/>
              <w:spacing w:line="240" w:lineRule="auto"/>
              <w:rPr>
                <w:rStyle w:val="741"/>
                <w:rFonts w:hint="eastAsia" w:ascii="宋体" w:hAnsi="宋体" w:eastAsia="宋体" w:cs="宋体"/>
                <w:b w:val="0"/>
                <w:color w:val="auto"/>
                <w:sz w:val="21"/>
                <w:szCs w:val="21"/>
                <w:highlight w:val="none"/>
                <w:shd w:val="clear" w:color="auto" w:fill="ffffff"/>
                <w:lang w:eastAsia="zh-CN"/>
              </w:rPr>
            </w:pPr>
            <w:r>
              <w:rPr>
                <w:rStyle w:val="741"/>
                <w:rFonts w:hint="eastAsia" w:ascii="宋体" w:hAnsi="宋体" w:eastAsia="宋体" w:cs="宋体"/>
                <w:b w:val="0"/>
                <w:color w:val="auto"/>
                <w:sz w:val="21"/>
                <w:szCs w:val="21"/>
                <w:highlight w:val="none"/>
                <w:shd w:val="clear" w:color="auto" w:fill="ffffff"/>
              </w:rPr>
              <w:t xml:space="preserve">因疾病意外住院医疗，每日定额给付住院津贴</w:t>
            </w:r>
            <w:r>
              <w:rPr>
                <w:rStyle w:val="741"/>
                <w:rFonts w:hint="eastAsia" w:ascii="宋体" w:hAnsi="宋体" w:eastAsia="宋体" w:cs="宋体"/>
                <w:b w:val="0"/>
                <w:color w:val="auto"/>
                <w:sz w:val="21"/>
                <w:szCs w:val="21"/>
                <w:highlight w:val="none"/>
                <w:shd w:val="clear" w:color="auto" w:fill="ffffff"/>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tcPr>
          <w:p>
            <w:pPr>
              <w:jc w:val="center"/>
              <w:spacing w:before="14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Mar>
              <w:left w:w="15" w:type="dxa"/>
              <w:top w:w="15" w:type="dxa"/>
              <w:right w:w="15" w:type="dxa"/>
            </w:tcMar>
            <w:tcW w:w="830"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0" w:type="dxa"/>
            <w:vAlign w:val="center"/>
            <w:textDirection w:val="lrTb"/>
            <w:noWrap/>
          </w:tcPr>
          <w:p>
            <w:pPr>
              <w:jc w:val="center"/>
              <w:spacing w:line="240" w:lineRule="auto"/>
              <w:rPr>
                <w:rStyle w:val="741"/>
                <w:rFonts w:hint="eastAsia" w:ascii="宋体" w:hAnsi="宋体" w:eastAsia="宋体" w:cs="宋体"/>
                <w:b w:val="0"/>
                <w:color w:val="auto"/>
                <w:sz w:val="21"/>
                <w:szCs w:val="21"/>
                <w:highlight w:val="none"/>
                <w:shd w:val="clear" w:color="auto" w:fill="ffffff"/>
              </w:rPr>
            </w:pPr>
            <w:r>
              <w:rPr>
                <w:rStyle w:val="741"/>
                <w:rFonts w:hint="eastAsia" w:ascii="宋体" w:hAnsi="宋体" w:eastAsia="宋体" w:cs="宋体"/>
                <w:b w:val="0"/>
                <w:color w:val="auto"/>
                <w:sz w:val="21"/>
                <w:szCs w:val="21"/>
                <w:highlight w:val="none"/>
                <w:shd w:val="clear" w:color="auto" w:fill="ffffff"/>
              </w:rPr>
              <w:t xml:space="preserve">定期寿险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2" w:type="dxa"/>
            <w:vAlign w:val="center"/>
            <w:textDirection w:val="lrTb"/>
            <w:noWrap w:val="false"/>
          </w:tcPr>
          <w:p>
            <w:pPr>
              <w:jc w:val="left"/>
              <w:spacing w:line="240" w:lineRule="auto"/>
              <w:rPr>
                <w:rStyle w:val="741"/>
                <w:rFonts w:hint="eastAsia" w:ascii="宋体" w:hAnsi="宋体" w:eastAsia="宋体" w:cs="宋体"/>
                <w:b w:val="0"/>
                <w:color w:val="auto"/>
                <w:sz w:val="21"/>
                <w:szCs w:val="21"/>
                <w:highlight w:val="none"/>
                <w:shd w:val="clear" w:color="auto" w:fill="ffffff"/>
                <w:lang w:eastAsia="zh-CN"/>
              </w:rPr>
            </w:pPr>
            <w:r>
              <w:rPr>
                <w:rStyle w:val="741"/>
                <w:rFonts w:hint="eastAsia" w:ascii="宋体" w:hAnsi="宋体" w:eastAsia="宋体" w:cs="宋体"/>
                <w:b w:val="0"/>
                <w:color w:val="auto"/>
                <w:sz w:val="21"/>
                <w:szCs w:val="21"/>
                <w:highlight w:val="none"/>
                <w:shd w:val="clear" w:color="auto" w:fill="ffffff"/>
              </w:rPr>
              <w:t xml:space="preserve">因疾病或意外导致身故，给付保险金</w:t>
            </w:r>
            <w:r>
              <w:rPr>
                <w:rStyle w:val="741"/>
                <w:rFonts w:hint="eastAsia" w:ascii="宋体" w:hAnsi="宋体" w:eastAsia="宋体" w:cs="宋体"/>
                <w:b w:val="0"/>
                <w:color w:val="auto"/>
                <w:sz w:val="21"/>
                <w:szCs w:val="21"/>
                <w:highlight w:val="none"/>
                <w:shd w:val="clear" w:color="auto" w:fill="ffffff"/>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tcPr>
          <w:p>
            <w:pPr>
              <w:jc w:val="center"/>
              <w:spacing w:before="14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Mar>
              <w:left w:w="15" w:type="dxa"/>
              <w:top w:w="15" w:type="dxa"/>
              <w:right w:w="15" w:type="dxa"/>
            </w:tcMar>
            <w:tcW w:w="830"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0" w:type="dxa"/>
            <w:vAlign w:val="center"/>
            <w:textDirection w:val="lrTb"/>
            <w:noWrap/>
          </w:tcPr>
          <w:p>
            <w:pPr>
              <w:jc w:val="center"/>
              <w:spacing w:line="240" w:lineRule="auto"/>
              <w:rPr>
                <w:rStyle w:val="741"/>
                <w:rFonts w:hint="eastAsia" w:ascii="宋体" w:hAnsi="宋体" w:eastAsia="宋体" w:cs="宋体"/>
                <w:b w:val="0"/>
                <w:color w:val="auto"/>
                <w:sz w:val="21"/>
                <w:szCs w:val="21"/>
                <w:highlight w:val="none"/>
                <w:shd w:val="clear" w:color="auto" w:fill="ffffff"/>
              </w:rPr>
            </w:pPr>
            <w:r>
              <w:rPr>
                <w:rStyle w:val="741"/>
                <w:rFonts w:hint="eastAsia" w:ascii="宋体" w:hAnsi="宋体" w:eastAsia="宋体" w:cs="宋体"/>
                <w:b w:val="0"/>
                <w:color w:val="auto"/>
                <w:sz w:val="21"/>
                <w:szCs w:val="21"/>
                <w:highlight w:val="none"/>
                <w:shd w:val="clear" w:color="auto" w:fill="ffffff"/>
              </w:rPr>
              <w:t xml:space="preserve">重大疾病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2" w:type="dxa"/>
            <w:vAlign w:val="center"/>
            <w:textDirection w:val="lrTb"/>
            <w:noWrap w:val="false"/>
          </w:tcPr>
          <w:p>
            <w:pPr>
              <w:jc w:val="left"/>
              <w:spacing w:line="240" w:lineRule="auto"/>
              <w:rPr>
                <w:rStyle w:val="741"/>
                <w:rFonts w:hint="eastAsia" w:ascii="宋体" w:hAnsi="宋体" w:eastAsia="宋体" w:cs="宋体"/>
                <w:b w:val="0"/>
                <w:color w:val="auto"/>
                <w:sz w:val="21"/>
                <w:szCs w:val="21"/>
                <w:highlight w:val="none"/>
                <w:shd w:val="clear" w:color="auto" w:fill="ffffff"/>
                <w:lang w:eastAsia="zh-CN"/>
              </w:rPr>
            </w:pPr>
            <w:r>
              <w:rPr>
                <w:rStyle w:val="741"/>
                <w:rFonts w:hint="eastAsia" w:ascii="宋体" w:hAnsi="宋体" w:eastAsia="宋体" w:cs="宋体"/>
                <w:b w:val="0"/>
                <w:color w:val="auto"/>
                <w:sz w:val="21"/>
                <w:szCs w:val="21"/>
                <w:highlight w:val="none"/>
                <w:shd w:val="clear" w:color="auto" w:fill="ffffff"/>
              </w:rPr>
              <w:t xml:space="preserve">首次确诊条款列明的30种重疾，赔付保额</w:t>
            </w:r>
            <w:r>
              <w:rPr>
                <w:rStyle w:val="741"/>
                <w:rFonts w:hint="eastAsia" w:ascii="宋体" w:hAnsi="宋体" w:eastAsia="宋体" w:cs="宋体"/>
                <w:b w:val="0"/>
                <w:color w:val="auto"/>
                <w:sz w:val="21"/>
                <w:szCs w:val="21"/>
                <w:highlight w:val="none"/>
                <w:shd w:val="clear" w:color="auto" w:fill="ffffff"/>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tcPr>
          <w:p>
            <w:pPr>
              <w:jc w:val="center"/>
              <w:spacing w:before="14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Mar>
              <w:left w:w="15" w:type="dxa"/>
              <w:top w:w="15" w:type="dxa"/>
              <w:right w:w="15" w:type="dxa"/>
            </w:tcMar>
            <w:tcW w:w="830"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1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0" w:type="dxa"/>
            <w:vAlign w:val="center"/>
            <w:textDirection w:val="lrTb"/>
            <w:noWrap/>
          </w:tcPr>
          <w:p>
            <w:pPr>
              <w:jc w:val="center"/>
              <w:spacing w:line="240" w:lineRule="auto"/>
              <w:rPr>
                <w:rStyle w:val="741"/>
                <w:rFonts w:hint="eastAsia" w:ascii="宋体" w:hAnsi="宋体" w:eastAsia="宋体" w:cs="宋体"/>
                <w:b w:val="0"/>
                <w:color w:val="auto"/>
                <w:sz w:val="21"/>
                <w:szCs w:val="21"/>
                <w:highlight w:val="none"/>
                <w:shd w:val="clear" w:color="auto" w:fill="ffffff"/>
              </w:rPr>
            </w:pPr>
            <w:r>
              <w:rPr>
                <w:rStyle w:val="741"/>
                <w:rFonts w:hint="eastAsia" w:ascii="宋体" w:hAnsi="宋体" w:eastAsia="宋体" w:cs="宋体"/>
                <w:b w:val="0"/>
                <w:color w:val="auto"/>
                <w:sz w:val="21"/>
                <w:szCs w:val="21"/>
                <w:highlight w:val="none"/>
                <w:shd w:val="clear" w:color="auto" w:fill="ffffff"/>
              </w:rPr>
              <w:t xml:space="preserve">交通意外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2" w:type="dxa"/>
            <w:vAlign w:val="center"/>
            <w:textDirection w:val="lrTb"/>
            <w:noWrap w:val="false"/>
          </w:tcPr>
          <w:p>
            <w:pPr>
              <w:jc w:val="left"/>
              <w:spacing w:line="240" w:lineRule="auto"/>
              <w:rPr>
                <w:rStyle w:val="741"/>
                <w:rFonts w:hint="eastAsia" w:ascii="宋体" w:hAnsi="宋体" w:eastAsia="宋体" w:cs="宋体"/>
                <w:b w:val="0"/>
                <w:color w:val="auto"/>
                <w:sz w:val="21"/>
                <w:szCs w:val="21"/>
                <w:highlight w:val="none"/>
                <w:shd w:val="clear" w:color="auto" w:fill="ffffff"/>
                <w:lang w:eastAsia="zh-CN"/>
              </w:rPr>
            </w:pPr>
            <w:r>
              <w:rPr>
                <w:rStyle w:val="741"/>
                <w:rFonts w:hint="eastAsia" w:ascii="宋体" w:hAnsi="宋体" w:eastAsia="宋体" w:cs="宋体"/>
                <w:b w:val="0"/>
                <w:color w:val="auto"/>
                <w:sz w:val="21"/>
                <w:szCs w:val="21"/>
                <w:highlight w:val="none"/>
                <w:shd w:val="clear" w:color="auto" w:fill="ffffff"/>
              </w:rPr>
              <w:t xml:space="preserve">被保险人乘坐飞机、水上交通工具、轨道交通工具、机动车意外伤害保险(航空、水上交通、轨道、机动车、机动车自驾)</w:t>
            </w:r>
            <w:r>
              <w:rPr>
                <w:rStyle w:val="741"/>
                <w:rFonts w:hint="eastAsia" w:ascii="宋体" w:hAnsi="宋体" w:eastAsia="宋体" w:cs="宋体"/>
                <w:b w:val="0"/>
                <w:color w:val="auto"/>
                <w:sz w:val="21"/>
                <w:szCs w:val="21"/>
                <w:highlight w:val="none"/>
                <w:shd w:val="clear" w:color="auto" w:fill="ffffff"/>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tcPr>
          <w:p>
            <w:pPr>
              <w:jc w:val="center"/>
              <w:spacing w:before="14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830"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ageBreakBefore w:val="0"/>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供应商</w:t>
      </w:r>
      <w:r>
        <w:rPr>
          <w:rFonts w:hint="eastAsia" w:ascii="Times New Roman" w:hAnsi="Times New Roman" w:eastAsia="宋体" w:cs="Times New Roman"/>
          <w:color w:val="auto"/>
          <w:sz w:val="21"/>
          <w:szCs w:val="21"/>
          <w:highlight w:val="none"/>
        </w:rPr>
        <w:t xml:space="preserve">（盖章）：</w:t>
      </w:r>
      <w:r/>
    </w:p>
    <w:p>
      <w:pPr>
        <w:ind w:firstLine="420"/>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法定代表人或委托代理人（签字或盖章）：</w:t>
      </w:r>
      <w:r/>
    </w:p>
    <w:p>
      <w:pPr>
        <w:ind w:firstLine="420"/>
        <w:spacing w:line="360" w:lineRule="auto"/>
        <w:rPr>
          <w:rFonts w:ascii="宋体" w:hAnsi="宋体"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日期：    年     月     日</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注：</w:t>
      </w: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请供应商正确填写本表，所填内容将作为评审的依据，其内容应与对应的证明资料相符。</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项目如有分包，请各磋商供应商按响应的采购包分别列表。</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本表中事项填写不得有缺失，请如实填写，行数或事项不够，可自行增加。</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72"/>
        <w:pageBreakBefore w:val="0"/>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w:t>
      </w:r>
      <w:r/>
    </w:p>
    <w:tbl>
      <w:tblPr>
        <w:tblStyle w:val="712"/>
        <w:tblpPr w:horzAnchor="page" w:tblpX="1589" w:vertAnchor="text" w:tblpY="429" w:leftFromText="180" w:topFromText="0" w:rightFromText="180" w:bottomFromText="0"/>
        <w:tblW w:w="9281" w:type="dxa"/>
        <w:tblInd w:w="0" w:type="dxa"/>
        <w:tblLayout w:type="fixed"/>
        <w:tblCellMar>
          <w:left w:w="0" w:type="dxa"/>
          <w:top w:w="0" w:type="dxa"/>
          <w:right w:w="0" w:type="dxa"/>
          <w:bottom w:w="0" w:type="dxa"/>
        </w:tblCellMar>
        <w:tblLook w:val="04A0" w:firstRow="1" w:lastRow="0" w:firstColumn="1" w:lastColumn="0" w:noHBand="0" w:noVBand="1"/>
      </w:tblPr>
      <w:tblGrid>
        <w:gridCol w:w="630"/>
        <w:gridCol w:w="1241"/>
        <w:gridCol w:w="4626"/>
        <w:gridCol w:w="1994"/>
        <w:gridCol w:w="790"/>
      </w:tblGrid>
      <w:tr>
        <w:trP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26"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4"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保险金额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元/人</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0"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保费</w:t>
            </w:r>
            <w:r/>
          </w:p>
        </w:tc>
      </w:tr>
      <w:tr>
        <w:trPr>
          <w:trHeight w:val="3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tcPr>
          <w:p>
            <w:pPr>
              <w:jc w:val="center"/>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意外身故</w:t>
            </w:r>
            <w:r/>
          </w:p>
        </w:tc>
        <w:tc>
          <w:tcPr>
            <w:tcBorders>
              <w:top w:val="single" w:color="000000" w:sz="4" w:space="0"/>
              <w:left w:val="single" w:color="000000" w:sz="4" w:space="0"/>
              <w:right w:val="single" w:color="000000" w:sz="4" w:space="0"/>
            </w:tcBorders>
            <w:tcMar>
              <w:left w:w="15" w:type="dxa"/>
              <w:top w:w="15" w:type="dxa"/>
              <w:right w:w="15" w:type="dxa"/>
            </w:tcMar>
            <w:tcW w:w="4626" w:type="dxa"/>
            <w:vAlign w:val="center"/>
            <w:textDirection w:val="lrTb"/>
            <w:noWrap/>
          </w:tcPr>
          <w:p>
            <w:pPr>
              <w:jc w:val="left"/>
              <w:widowControl/>
              <w:rPr>
                <w:rStyle w:val="7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 xml:space="preserve">因意外伤害导致身故给付保险金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4" w:type="dxa"/>
            <w:vAlign w:val="center"/>
            <w:textDirection w:val="lrTb"/>
            <w:noWrap/>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right w:val="single" w:color="000000" w:sz="4" w:space="0"/>
            </w:tcBorders>
            <w:tcMar>
              <w:left w:w="15" w:type="dxa"/>
              <w:top w:w="15" w:type="dxa"/>
              <w:right w:w="15" w:type="dxa"/>
            </w:tcMar>
            <w:tcW w:w="790" w:type="dxa"/>
            <w:vAlign w:val="center"/>
            <w:vMerge w:val="restart"/>
            <w:textDirection w:val="lrTb"/>
            <w:noWrap w:val="false"/>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300</w:t>
            </w:r>
            <w:r>
              <w:rPr>
                <w:rFonts w:hint="eastAsia" w:ascii="宋体" w:hAnsi="宋体" w:eastAsia="宋体" w:cs="宋体"/>
                <w:color w:val="auto"/>
                <w:sz w:val="21"/>
                <w:szCs w:val="21"/>
                <w:highlight w:val="none"/>
              </w:rPr>
              <w:t xml:space="preserve">元</w:t>
            </w:r>
            <w:r/>
          </w:p>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/人/年</w:t>
            </w:r>
            <w:r/>
          </w:p>
        </w:tc>
      </w:tr>
      <w:tr>
        <w:trPr>
          <w:trHeight w:val="8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tcPr>
          <w:p>
            <w:pPr>
              <w:jc w:val="center"/>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意外伤残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26" w:type="dxa"/>
            <w:vAlign w:val="center"/>
            <w:textDirection w:val="lrTb"/>
            <w:noWrap w:val="false"/>
          </w:tcPr>
          <w:p>
            <w:pPr>
              <w:jc w:val="left"/>
              <w:widowControl/>
              <w:rPr>
                <w:rStyle w:val="7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 xml:space="preserve">因意外事故导致的残疾，按照《</w:t>
            </w:r>
            <w:r>
              <w:rPr>
                <w:rFonts w:hint="eastAsia" w:ascii="宋体" w:hAnsi="宋体" w:eastAsia="宋体" w:cs="宋体"/>
                <w:color w:val="auto"/>
                <w:sz w:val="21"/>
                <w:szCs w:val="21"/>
                <w:highlight w:val="none"/>
                <w:lang w:val="en-US" w:eastAsia="zh-CN"/>
              </w:rPr>
              <w:t xml:space="preserve">劳动能力鉴定职工工伤与职业病致残等级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GB/T16180-2014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赔付</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4"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tcPr>
          <w:p>
            <w:pPr>
              <w:jc w:val="center"/>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意外医疗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26" w:type="dxa"/>
            <w:vAlign w:val="center"/>
            <w:textDirection w:val="lrTb"/>
            <w:noWrap/>
          </w:tcPr>
          <w:p>
            <w:pPr>
              <w:jc w:val="left"/>
              <w:widowControl/>
              <w:rPr>
                <w:rStyle w:val="7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 xml:space="preserve">因意外伤害引起的意外门诊或意外住院医疗费用，在符合当地社保可报销范围内，免赔额</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0元/次，按</w:t>
            </w:r>
            <w:r>
              <w:rPr>
                <w:rFonts w:hint="eastAsia" w:ascii="宋体" w:hAnsi="宋体" w:eastAsia="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rPr>
              <w:t xml:space="preserve">%的比例报销，最高赔付金额为1万元/年/人</w:t>
            </w: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4"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5"/>
        </w:trPr>
        <w:tc>
          <w:tcPr>
            <w:tcBorders>
              <w:top w:val="single" w:color="000000" w:sz="4" w:space="0"/>
              <w:left w:val="single" w:color="000000" w:sz="4" w:space="0"/>
              <w:right w:val="single" w:color="000000" w:sz="4" w:space="0"/>
            </w:tcBorders>
            <w:tcMar>
              <w:left w:w="15" w:type="dxa"/>
              <w:top w:w="15" w:type="dxa"/>
              <w:right w:w="15" w:type="dxa"/>
            </w:tcMar>
            <w:tcW w:w="630" w:type="dxa"/>
            <w:vAlign w:val="center"/>
            <w:vMerge w:val="restart"/>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right w:val="single" w:color="000000" w:sz="4" w:space="0"/>
            </w:tcBorders>
            <w:tcMar>
              <w:left w:w="15" w:type="dxa"/>
              <w:top w:w="15" w:type="dxa"/>
              <w:right w:w="15" w:type="dxa"/>
            </w:tcMar>
            <w:tcW w:w="1241" w:type="dxa"/>
            <w:vAlign w:val="center"/>
            <w:vMerge w:val="restart"/>
            <w:textDirection w:val="lrTb"/>
            <w:noWrap/>
          </w:tcPr>
          <w:p>
            <w:pPr>
              <w:jc w:val="center"/>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交通意外伤害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26" w:type="dxa"/>
            <w:vAlign w:val="center"/>
            <w:textDirection w:val="lrTb"/>
            <w:noWrap w:val="false"/>
          </w:tcPr>
          <w:p>
            <w:pPr>
              <w:jc w:val="left"/>
              <w:widowControl/>
              <w:rPr>
                <w:rStyle w:val="7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 xml:space="preserve">乘坐飞机时发生意外身故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4"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95"/>
        </w:trPr>
        <w:tc>
          <w:tcPr>
            <w:tcBorders>
              <w:left w:val="single" w:color="000000" w:sz="4" w:space="0"/>
              <w:right w:val="single" w:color="000000" w:sz="4" w:space="0"/>
            </w:tcBorders>
            <w:tcMar>
              <w:left w:w="15" w:type="dxa"/>
              <w:top w:w="15" w:type="dxa"/>
              <w:right w:w="15" w:type="dxa"/>
            </w:tcMar>
            <w:tcW w:w="630" w:type="dxa"/>
            <w:vAlign w:val="center"/>
            <w:vMerge w:val="continue"/>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Mar>
              <w:left w:w="15" w:type="dxa"/>
              <w:top w:w="15" w:type="dxa"/>
              <w:right w:w="15" w:type="dxa"/>
            </w:tcMar>
            <w:tcW w:w="1241" w:type="dxa"/>
            <w:vAlign w:val="center"/>
            <w:vMerge w:val="continue"/>
            <w:textDirection w:val="lrTb"/>
            <w:noWrap/>
          </w:tcPr>
          <w:p>
            <w:pPr>
              <w:jc w:val="left"/>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b w:val="0"/>
                <w:color w:val="auto"/>
                <w:sz w:val="21"/>
                <w:szCs w:val="21"/>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26" w:type="dxa"/>
            <w:vAlign w:val="center"/>
            <w:textDirection w:val="lrTb"/>
            <w:noWrap w:val="false"/>
          </w:tcPr>
          <w:p>
            <w:pPr>
              <w:jc w:val="left"/>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乘坐轨道交通时发生意外身故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4"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0"/>
        </w:trPr>
        <w:tc>
          <w:tcPr>
            <w:tcBorders>
              <w:left w:val="single" w:color="000000" w:sz="4" w:space="0"/>
              <w:right w:val="single" w:color="000000" w:sz="4" w:space="0"/>
            </w:tcBorders>
            <w:tcMar>
              <w:left w:w="15" w:type="dxa"/>
              <w:top w:w="15" w:type="dxa"/>
              <w:right w:w="15" w:type="dxa"/>
            </w:tcMar>
            <w:tcW w:w="630" w:type="dxa"/>
            <w:vAlign w:val="center"/>
            <w:vMerge w:val="continue"/>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Mar>
              <w:left w:w="15" w:type="dxa"/>
              <w:top w:w="15" w:type="dxa"/>
              <w:right w:w="15" w:type="dxa"/>
            </w:tcMar>
            <w:tcW w:w="1241" w:type="dxa"/>
            <w:vAlign w:val="center"/>
            <w:vMerge w:val="continue"/>
            <w:textDirection w:val="lrTb"/>
            <w:noWrap/>
          </w:tcPr>
          <w:p>
            <w:pPr>
              <w:jc w:val="left"/>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b w:val="0"/>
                <w:color w:val="auto"/>
                <w:sz w:val="21"/>
                <w:szCs w:val="21"/>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26" w:type="dxa"/>
            <w:vAlign w:val="center"/>
            <w:textDirection w:val="lrTb"/>
            <w:noWrap w:val="false"/>
          </w:tcPr>
          <w:p>
            <w:pPr>
              <w:jc w:val="left"/>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乘坐水上交通时发生意外身故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4"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0"/>
        </w:trPr>
        <w:tc>
          <w:tcPr>
            <w:tcBorders>
              <w:left w:val="single" w:color="000000" w:sz="4" w:space="0"/>
              <w:bottom w:val="single" w:color="000000" w:sz="4" w:space="0"/>
              <w:right w:val="single" w:color="000000" w:sz="4" w:space="0"/>
            </w:tcBorders>
            <w:tcMar>
              <w:left w:w="15" w:type="dxa"/>
              <w:top w:w="15" w:type="dxa"/>
              <w:right w:w="15" w:type="dxa"/>
            </w:tcMar>
            <w:tcW w:w="630" w:type="dxa"/>
            <w:vAlign w:val="center"/>
            <w:vMerge w:val="continue"/>
            <w:textDirection w:val="lrTb"/>
            <w:noWrap/>
          </w:tcPr>
          <w:p>
            <w:pPr>
              <w:jc w:val="center"/>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tcPr>
          <w:p>
            <w:pPr>
              <w:jc w:val="left"/>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b w:val="0"/>
                <w:color w:val="auto"/>
                <w:sz w:val="21"/>
                <w:szCs w:val="21"/>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26" w:type="dxa"/>
            <w:vAlign w:val="center"/>
            <w:textDirection w:val="lrTb"/>
            <w:noWrap w:val="false"/>
          </w:tcPr>
          <w:p>
            <w:pPr>
              <w:jc w:val="left"/>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乘</w:t>
            </w:r>
            <w:r>
              <w:rPr>
                <w:rFonts w:hint="eastAsia" w:ascii="宋体" w:hAnsi="宋体" w:eastAsia="宋体" w:cs="宋体"/>
                <w:color w:val="auto"/>
                <w:sz w:val="21"/>
                <w:szCs w:val="21"/>
                <w:highlight w:val="none"/>
                <w:lang w:val="en-US" w:eastAsia="zh-CN"/>
              </w:rPr>
              <w:t xml:space="preserve">坐</w:t>
            </w:r>
            <w:r>
              <w:rPr>
                <w:rFonts w:hint="eastAsia" w:ascii="宋体" w:hAnsi="宋体" w:eastAsia="宋体" w:cs="宋体"/>
                <w:color w:val="auto"/>
                <w:sz w:val="21"/>
                <w:szCs w:val="21"/>
                <w:highlight w:val="none"/>
              </w:rPr>
              <w:t xml:space="preserve">机动车时发生意外身故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4"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tcPr>
          <w:p>
            <w:pPr>
              <w:jc w:val="center"/>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疾病身故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26" w:type="dxa"/>
            <w:vAlign w:val="center"/>
            <w:textDirection w:val="lrTb"/>
            <w:noWrap w:val="false"/>
          </w:tcPr>
          <w:p>
            <w:pPr>
              <w:jc w:val="left"/>
              <w:widowControl/>
              <w:rPr>
                <w:rStyle w:val="7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lang w:val="en-US" w:eastAsia="zh-CN" w:bidi="zh-TW"/>
              </w:rPr>
              <w:t xml:space="preserve">在保险期间内因疾病（生效前已患未治愈疾病的除外）身故，按保险金额赔付。</w:t>
            </w:r>
            <w:r>
              <w:rPr>
                <w:rFonts w:hint="eastAsia" w:ascii="宋体" w:hAnsi="宋体" w:eastAsia="宋体" w:cs="宋体"/>
                <w:color w:val="auto"/>
                <w:sz w:val="21"/>
                <w:szCs w:val="21"/>
                <w:highlight w:val="none"/>
              </w:rPr>
              <w:t xml:space="preserve">续保人员无等待期，新保人员等待</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0天</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4"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spacing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tcPr>
          <w:p>
            <w:pPr>
              <w:jc w:val="center"/>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住院津贴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26" w:type="dxa"/>
            <w:vAlign w:val="center"/>
            <w:textDirection w:val="lrTb"/>
            <w:noWrap w:val="false"/>
          </w:tcPr>
          <w:p>
            <w:pPr>
              <w:jc w:val="left"/>
              <w:widowControl/>
              <w:rPr>
                <w:rStyle w:val="7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 xml:space="preserve">保单生效之日起因意外伤害或疾病</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zh-TW"/>
              </w:rPr>
              <w:t xml:space="preserve">生效前已患未治愈疾病的除外）</w:t>
            </w:r>
            <w:r>
              <w:rPr>
                <w:rFonts w:hint="eastAsia" w:ascii="宋体" w:hAnsi="宋体" w:eastAsia="宋体" w:cs="宋体"/>
                <w:color w:val="auto"/>
                <w:sz w:val="21"/>
                <w:szCs w:val="21"/>
                <w:highlight w:val="none"/>
              </w:rPr>
              <w:t xml:space="preserve">住院在二级以上（含二级）医院或认可的其他医疗机构诊疗，对被保险人住院予以给付50元/天，每次住院给付限额</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0天，累计给付限额180天/年</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续保人员无等待期，新保人员等待期</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0天</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4"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1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spacing w:line="5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tcPr>
          <w:p>
            <w:pPr>
              <w:jc w:val="center"/>
              <w:widowControl/>
              <w:rPr>
                <w:rStyle w:val="7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 xml:space="preserve">重大疾病医疗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26" w:type="dxa"/>
            <w:vAlign w:val="center"/>
            <w:textDirection w:val="lrTb"/>
            <w:noWrap w:val="false"/>
          </w:tcPr>
          <w:p>
            <w:pPr>
              <w:jc w:val="left"/>
              <w:widowControl/>
              <w:rPr>
                <w:rStyle w:val="7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 xml:space="preserve">保单生效之日起，续保人员无等待期，新保人员等待期</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0天后，在二级以上医院初次发生并经专科医生明确诊断患</w:t>
            </w:r>
            <w:r>
              <w:rPr>
                <w:rFonts w:hint="eastAsia" w:ascii="宋体" w:hAnsi="宋体" w:eastAsia="宋体" w:cs="宋体"/>
                <w:color w:val="auto"/>
                <w:sz w:val="21"/>
                <w:szCs w:val="21"/>
                <w:highlight w:val="none"/>
                <w:lang w:val="en-US" w:eastAsia="zh-CN"/>
              </w:rPr>
              <w:t xml:space="preserve">二十八</w:t>
            </w:r>
            <w:r>
              <w:rPr>
                <w:rFonts w:hint="eastAsia" w:ascii="宋体" w:hAnsi="宋体" w:eastAsia="宋体" w:cs="宋体"/>
                <w:color w:val="auto"/>
                <w:sz w:val="21"/>
                <w:szCs w:val="21"/>
                <w:highlight w:val="none"/>
              </w:rPr>
              <w:t xml:space="preserve">种重大疾病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zh-TW"/>
              </w:rPr>
              <w:t xml:space="preserve">三种轻症（按保险金额20%给付）</w:t>
            </w:r>
            <w:r>
              <w:rPr>
                <w:rFonts w:hint="eastAsia" w:ascii="宋体" w:hAnsi="宋体" w:eastAsia="宋体" w:cs="宋体"/>
                <w:color w:val="auto"/>
                <w:sz w:val="21"/>
                <w:szCs w:val="21"/>
                <w:highlight w:val="none"/>
              </w:rPr>
              <w:t xml:space="preserve">赔付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zh-TW"/>
              </w:rPr>
              <w:t xml:space="preserve">生效前已患未治愈疾病的除外。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4"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790" w:type="dxa"/>
            <w:vAlign w:val="center"/>
            <w:vMerge w:val="continue"/>
            <w:textDirection w:val="lrTb"/>
            <w:noWrap w:val="false"/>
          </w:tcPr>
          <w:p>
            <w:pPr>
              <w:jc w:val="center"/>
              <w:pageBreakBefore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2"/>
        <w:pageBreakBefore w:val="0"/>
        <w:spacing w:line="500" w:lineRule="exact"/>
        <w:tabs>
          <w:tab w:val="left" w:pos="90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spacing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p>
      <w:pPr>
        <w:ind w:firstLine="420"/>
        <w:spacing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供应商（盖章）：</w:t>
      </w:r>
      <w:r/>
    </w:p>
    <w:p>
      <w:pPr>
        <w:ind w:firstLine="420"/>
        <w:spacing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法定代表人或委托代理人（签字或盖章）：</w:t>
      </w:r>
      <w:r/>
    </w:p>
    <w:p>
      <w:pPr>
        <w:ind w:firstLine="420"/>
        <w:spacing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日期：    年     月     日</w:t>
      </w:r>
      <w:r/>
    </w:p>
    <w:p>
      <w:pPr>
        <w:pStyle w:val="746"/>
        <w:rPr>
          <w:rFonts w:hint="eastAsia"/>
          <w:lang w:val="en-US" w:eastAsia="zh-CN"/>
        </w:rPr>
      </w:pPr>
      <w:r>
        <w:rPr>
          <w:rFonts w:hint="eastAsia"/>
          <w:lang w:val="en-US" w:eastAsia="zh-CN"/>
        </w:rPr>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注：</w:t>
      </w: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请供应商正确填写本表，所填内容将作为评审的依据，其内容应与对应的证明资料相符。</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项目如有分包，请各磋商供应商按响应的采购包分别列表。</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本表中事项填写不得有缺失，请如实填写，行数或事项不够，可自行增加。</w:t>
      </w:r>
      <w:r/>
    </w:p>
    <w:p>
      <w:pPr>
        <w:numPr>
          <w:ilvl w:val="0"/>
          <w:numId w:val="0"/>
        </w:numPr>
        <w:jc w:val="both"/>
        <w:keepNext/>
        <w:spacing w:line="360" w:lineRule="auto"/>
        <w:widowControl w:val="off"/>
        <w:rPr>
          <w:rFonts w:hint="default" w:ascii="Times New Roman" w:hAnsi="Times New Roman" w:eastAsia="黑体" w:cs="Times New Roman"/>
          <w:b/>
          <w:color w:val="auto"/>
          <w:sz w:val="28"/>
          <w:szCs w:val="20"/>
          <w:highlight w:val="none"/>
          <w:lang w:val="en-US" w:eastAsia="zh-CN" w:bidi="ar-SA"/>
        </w:rPr>
        <w:outlineLvl w:val="1"/>
      </w:pPr>
      <w:r>
        <w:rPr>
          <w:rFonts w:hint="default" w:ascii="Times New Roman" w:hAnsi="Times New Roman" w:eastAsia="黑体" w:cs="Times New Roman"/>
          <w:b/>
          <w:color w:val="auto"/>
          <w:sz w:val="28"/>
          <w:szCs w:val="20"/>
          <w:highlight w:val="none"/>
          <w:lang w:val="en-US" w:eastAsia="zh-CN" w:bidi="ar-SA"/>
        </w:rPr>
        <w:br w:type="page" w:clear="all"/>
      </w:r>
      <w:r>
        <w:rPr>
          <w:rFonts w:hint="eastAsia" w:ascii="宋体" w:hAnsi="宋体" w:eastAsia="宋体" w:cs="Times New Roman"/>
          <w:b w:val="0"/>
          <w:color w:val="auto"/>
          <w:sz w:val="24"/>
          <w:szCs w:val="24"/>
          <w:highlight w:val="none"/>
          <w:lang w:val="en-US" w:eastAsia="zh-CN" w:bidi="ar-SA"/>
        </w:rPr>
        <w:t xml:space="preserve">格式4、财务状况报告及税收、社会保障资金缴纳情况承诺函</w:t>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pStyle w:val="746"/>
        <w:rPr>
          <w:color w:val="auto"/>
          <w:highlight w:val="none"/>
        </w:rPr>
      </w:pPr>
      <w:r>
        <w:rPr>
          <w:color w:val="auto"/>
          <w:highlight w:val="none"/>
        </w:rPr>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致：</w:t>
      </w:r>
      <w:r>
        <w:rPr>
          <w:rFonts w:hint="eastAsia" w:ascii="宋体" w:hAnsi="宋体" w:eastAsia="宋体" w:cs="Times New Roman"/>
          <w:color w:val="auto"/>
          <w:sz w:val="24"/>
          <w:szCs w:val="24"/>
          <w:highlight w:val="none"/>
          <w:u w:val="single"/>
        </w:rPr>
        <w:t xml:space="preserve">【采购单位】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我方</w:t>
      </w:r>
      <w:r>
        <w:rPr>
          <w:rFonts w:hint="eastAsia" w:ascii="宋体" w:hAnsi="宋体" w:eastAsia="宋体" w:cs="Times New Roman"/>
          <w:color w:val="auto"/>
          <w:sz w:val="24"/>
          <w:szCs w:val="24"/>
          <w:highlight w:val="none"/>
          <w:u w:val="single"/>
        </w:rPr>
        <w:t xml:space="preserve"> 供应商名称 </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rPr>
        <w:t xml:space="preserve">【标段名称】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【标段编号】</w:t>
      </w:r>
      <w:r>
        <w:rPr>
          <w:rFonts w:hint="eastAsia" w:ascii="宋体" w:hAnsi="宋体"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（1）具有良好的商业信誉和健全的财务会计制度（财务状况报告）；</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（2）有依法缴纳税收和社会保障资金的良好记录。</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特此承诺</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（盖章）：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法定代表人或委托代理人（签字或盖章）：</w:t>
      </w:r>
      <w:r/>
    </w:p>
    <w:p>
      <w:pPr>
        <w:ind w:firstLine="480"/>
        <w:spacing w:line="360" w:lineRule="auto"/>
        <w:rPr>
          <w:rFonts w:ascii="宋体" w:hAnsi="宋体" w:eastAsia="宋体" w:cs="Times New Roman"/>
          <w:color w:val="auto"/>
          <w:sz w:val="24"/>
          <w:szCs w:val="24"/>
          <w:highlight w:val="none"/>
        </w:rPr>
        <w:sectPr>
          <w:footnotePr/>
          <w:endnotePr/>
          <w:type w:val="nextPage"/>
          <w:pgSz w:w="11906" w:h="16838" w:orient="portrait"/>
          <w:pgMar w:top="1134" w:right="1134" w:bottom="1134" w:left="1134" w:header="720" w:footer="720" w:gutter="0"/>
          <w:cols w:num="1" w:sep="0" w:space="720" w:equalWidth="1"/>
          <w:docGrid w:linePitch="360"/>
        </w:sectPr>
      </w:pPr>
      <w:r>
        <w:rPr>
          <w:rFonts w:hint="eastAsia" w:ascii="宋体" w:hAnsi="宋体" w:eastAsia="宋体" w:cs="Times New Roman"/>
          <w:color w:val="auto"/>
          <w:sz w:val="24"/>
          <w:szCs w:val="24"/>
          <w:highlight w:val="none"/>
        </w:rPr>
        <w:t xml:space="preserve">日期：    年     月     日</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宋体" w:hAnsi="宋体" w:eastAsia="宋体" w:cs="Times New Roman"/>
          <w:color w:val="auto"/>
          <w:sz w:val="24"/>
          <w:szCs w:val="24"/>
          <w:highlight w:val="none"/>
        </w:rPr>
        <w:t xml:space="preserve">格式</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、具备履行合同所必需的设备和专业技术能力的声明及证明材料</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具备履行合同所必需的设备和专业技术能力的声明</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rPr>
        <w:t xml:space="preserve">（供应商名称）</w:t>
      </w:r>
      <w:r>
        <w:rPr>
          <w:rFonts w:hint="eastAsia" w:ascii="Times New Roman" w:hAnsi="Times New Roman" w:eastAsia="宋体" w:cs="Times New Roman"/>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主要设备有：</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主要专业技术能力有：</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w:t>
      </w:r>
      <w:r/>
    </w:p>
    <w:p>
      <w:pPr>
        <w:ind w:firstLine="482"/>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注：须附证明材料。</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540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声明人（盖章）：</w:t>
      </w:r>
      <w:r/>
    </w:p>
    <w:p>
      <w:pPr>
        <w:ind w:firstLine="540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、参加政府采购活动前 3 年内在经营活动中没有重大违法记录的书面声明</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声  明</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供应商</w:t>
      </w:r>
      <w:r>
        <w:rPr>
          <w:rFonts w:hint="eastAsia" w:ascii="Times New Roman" w:hAnsi="Times New Roman" w:eastAsia="宋体" w:cs="Times New Roman"/>
          <w:color w:val="auto"/>
          <w:sz w:val="24"/>
          <w:szCs w:val="24"/>
          <w:highlight w:val="none"/>
        </w:rPr>
        <w:t xml:space="preserve">（盖章）：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keepNext/>
        <w:spacing w:line="360" w:lineRule="auto"/>
        <w:rPr>
          <w:rFonts w:ascii="Times New Roman" w:hAnsi="Times New Roman" w:eastAsia="宋体" w:cs="Times New Roman"/>
          <w:b/>
          <w:color w:val="auto"/>
          <w:sz w:val="28"/>
          <w:szCs w:val="20"/>
          <w:highlight w:val="none"/>
        </w:rPr>
        <w:outlineLvl w:val="1"/>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、法定代表人授权委托书与法定代表人（单位负责人）身份证明</w:t>
      </w:r>
      <w:r/>
    </w:p>
    <w:p>
      <w:pPr>
        <w:ind w:firstLine="720"/>
        <w:jc w:val="center"/>
        <w:spacing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法定代表人授权委托书</w:t>
      </w:r>
      <w:r/>
    </w:p>
    <w:p>
      <w:pPr>
        <w:ind w:firstLine="420"/>
        <w:spacing w:line="500" w:lineRule="exact"/>
        <w:rPr>
          <w:rFonts w:ascii="宋体" w:hAnsi="Courier New" w:eastAsia="宋体" w:cs="Times New Roman"/>
          <w:color w:val="auto"/>
          <w:szCs w:val="20"/>
          <w:highlight w:val="none"/>
        </w:rPr>
      </w:pPr>
      <w:r>
        <w:rPr>
          <w:rFonts w:ascii="宋体" w:hAnsi="Courier New" w:eastAsia="宋体" w:cs="Times New Roman"/>
          <w:color w:val="auto"/>
          <w:szCs w:val="20"/>
          <w:highlight w:val="none"/>
        </w:rPr>
      </w:r>
      <w:r/>
    </w:p>
    <w:p>
      <w:pPr>
        <w:spacing w:line="360" w:lineRule="auto"/>
        <w:rPr>
          <w:rFonts w:ascii="Times New Roman" w:hAnsi="Times New Roman" w:eastAsia="宋体" w:cs="Times New Roman"/>
          <w:b/>
          <w:bCs/>
          <w:color w:val="auto"/>
          <w:sz w:val="24"/>
          <w:szCs w:val="24"/>
          <w:highlight w:val="none"/>
        </w:rPr>
      </w:pPr>
      <w:r>
        <w:rPr>
          <w:rFonts w:hint="eastAsia" w:ascii="宋体" w:hAnsi="Courier New" w:eastAsia="宋体" w:cs="Times New Roman"/>
          <w:color w:val="auto"/>
          <w:sz w:val="24"/>
          <w:szCs w:val="24"/>
          <w:highlight w:val="none"/>
          <w:lang w:eastAsia="zh-CN"/>
        </w:rPr>
        <w:t xml:space="preserve">连云港市公安局</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本授权书声明：注册于</w:t>
      </w:r>
      <w:r>
        <w:rPr>
          <w:rFonts w:hint="eastAsia" w:ascii="Times New Roman" w:hAnsi="Times New Roman" w:eastAsia="宋体" w:cs="Times New Roman"/>
          <w:color w:val="auto"/>
          <w:sz w:val="24"/>
          <w:szCs w:val="24"/>
          <w:highlight w:val="none"/>
          <w:u w:val="single"/>
        </w:rPr>
        <w:t xml:space="preserve">  （委托单位全称） </w:t>
      </w:r>
      <w:r>
        <w:rPr>
          <w:rFonts w:hint="eastAsia" w:ascii="Times New Roman" w:hAnsi="Times New Roman" w:eastAsia="宋体" w:cs="Times New Roman"/>
          <w:color w:val="auto"/>
          <w:sz w:val="24"/>
          <w:szCs w:val="24"/>
          <w:highlight w:val="none"/>
        </w:rPr>
        <w:t xml:space="preserve">的法定代表人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代表本公司授权</w:t>
      </w:r>
      <w:r>
        <w:rPr>
          <w:rFonts w:hint="eastAsia" w:ascii="Times New Roman" w:hAnsi="Times New Roman" w:eastAsia="宋体" w:cs="Times New Roman"/>
          <w:color w:val="auto"/>
          <w:sz w:val="24"/>
          <w:szCs w:val="24"/>
          <w:highlight w:val="none"/>
          <w:u w:val="single"/>
        </w:rPr>
        <w:t xml:space="preserve">（姓名和职务）</w:t>
      </w:r>
      <w:r>
        <w:rPr>
          <w:rFonts w:hint="eastAsia" w:ascii="Times New Roman" w:hAnsi="Times New Roman" w:eastAsia="宋体" w:cs="Times New Roman"/>
          <w:color w:val="auto"/>
          <w:sz w:val="24"/>
          <w:szCs w:val="24"/>
          <w:highlight w:val="none"/>
        </w:rPr>
        <w:t xml:space="preserve">为本公司合法代理人，就贵方组织的有关</w:t>
      </w:r>
      <w:r>
        <w:rPr>
          <w:rFonts w:hint="eastAsia" w:ascii="Times New Roman" w:hAnsi="Times New Roman" w:eastAsia="宋体" w:cs="Times New Roman"/>
          <w:color w:val="auto"/>
          <w:sz w:val="24"/>
          <w:szCs w:val="24"/>
          <w:highlight w:val="none"/>
          <w:u w:val="single"/>
          <w:lang w:eastAsia="zh-CN"/>
        </w:rPr>
        <w:t xml:space="preserve">2026-2027年度民警、职工和警务辅助人员人身意外保险</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rPr>
        <w:t xml:space="preserve">项目（标段编号：</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）的招标采购及合同签订、执行、完成，以本单位名义处理一切与之有关的事务。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本授权书于</w:t>
      </w:r>
      <w:r>
        <w:rPr>
          <w:rFonts w:hint="eastAsia" w:ascii="宋体" w:hAnsi="Courier New" w:eastAsia="宋体" w:cs="Times New Roman"/>
          <w:color w:val="auto"/>
          <w:spacing w:val="10"/>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日签字（或盖章）生效，特此声明。</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委托单位（盖章）：                      法定代表人（签字或盖章）：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签发日期：</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日</w:t>
      </w:r>
      <w:r/>
    </w:p>
    <w:p>
      <w:pPr>
        <w:ind w:firstLine="482"/>
        <w:spacing w:line="360" w:lineRule="auto"/>
        <w:rPr>
          <w:rFonts w:ascii="Times New Roman" w:hAnsi="Times New Roman" w:eastAsia="宋体" w:cs="Times New Roman"/>
          <w:b/>
          <w:color w:val="auto"/>
          <w:sz w:val="24"/>
          <w:szCs w:val="24"/>
          <w:highlight w:val="none"/>
        </w:rPr>
      </w:pPr>
      <w:r>
        <w:rPr>
          <w:rFonts w:hint="eastAsia" w:ascii="宋体" w:hAnsi="Courier New" w:eastAsia="宋体" w:cs="Times New Roman"/>
          <w:b/>
          <w:color w:val="auto"/>
          <w:sz w:val="24"/>
          <w:szCs w:val="24"/>
          <w:highlight w:val="none"/>
        </w:rPr>
        <w:t xml:space="preserve">附法定代表人与委托代理人身份证明正反面电子件。</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pStyle w:val="746"/>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pStyle w:val="746"/>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说明：</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1．委托书内容填写应当明确、文字工整清楚，涂改无效。</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2．委托书不得转借、转让、买卖。</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3．委托代理人根据授权范围，以委托单位的名义签订合同，并将此委托书提交给对方作为合同附件。</w:t>
      </w:r>
      <w:r/>
    </w:p>
    <w:p>
      <w:pPr>
        <w:pStyle w:val="746"/>
        <w:rPr>
          <w:rFonts w:ascii="Times New Roman" w:hAnsi="Times New Roman"/>
          <w:color w:val="auto"/>
          <w:sz w:val="24"/>
          <w:highlight w:val="none"/>
        </w:rPr>
      </w:pPr>
      <w:r>
        <w:rPr>
          <w:rFonts w:ascii="Times New Roman" w:hAnsi="Times New Roman"/>
          <w:color w:val="auto"/>
          <w:sz w:val="24"/>
          <w:highlight w:val="none"/>
        </w:rPr>
      </w:r>
      <w:r/>
    </w:p>
    <w:p>
      <w:pPr>
        <w:pStyle w:val="746"/>
        <w:rPr>
          <w:rFonts w:ascii="Times New Roman" w:hAnsi="Times New Roman"/>
          <w:color w:val="auto"/>
          <w:sz w:val="24"/>
          <w:highlight w:val="none"/>
        </w:rPr>
        <w:sectPr>
          <w:footnotePr/>
          <w:endnotePr/>
          <w:type w:val="nextPage"/>
          <w:pgSz w:w="11906" w:h="16838" w:orient="portrait"/>
          <w:pgMar w:top="1134" w:right="1134" w:bottom="1134" w:left="1134" w:header="720" w:footer="720" w:gutter="0"/>
          <w:cols w:num="1" w:sep="0" w:space="720" w:equalWidth="1"/>
          <w:docGrid w:linePitch="360"/>
        </w:sectPr>
      </w:pPr>
      <w:r>
        <w:rPr>
          <w:rFonts w:ascii="Times New Roman" w:hAnsi="Times New Roman"/>
          <w:color w:val="auto"/>
          <w:sz w:val="24"/>
          <w:highlight w:val="none"/>
        </w:rPr>
      </w:r>
      <w:r/>
    </w:p>
    <w:p>
      <w:pPr>
        <w:pStyle w:val="746"/>
        <w:rPr>
          <w:rFonts w:ascii="Times New Roman" w:hAnsi="Times New Roman"/>
          <w:color w:val="auto"/>
          <w:sz w:val="24"/>
          <w:highlight w:val="none"/>
        </w:rPr>
      </w:pPr>
      <w:r>
        <w:rPr>
          <w:rFonts w:ascii="Times New Roman" w:hAnsi="Times New Roman"/>
          <w:color w:val="auto"/>
          <w:sz w:val="24"/>
          <w:highlight w:val="none"/>
        </w:rPr>
      </w:r>
      <w:r/>
    </w:p>
    <w:p>
      <w:pPr>
        <w:pStyle w:val="746"/>
        <w:rPr>
          <w:rFonts w:ascii="Times New Roman" w:hAnsi="Times New Roman"/>
          <w:color w:val="auto"/>
          <w:sz w:val="24"/>
          <w:highlight w:val="none"/>
        </w:rPr>
      </w:pPr>
      <w:r>
        <w:rPr>
          <w:rFonts w:ascii="Times New Roman" w:hAnsi="Times New Roman"/>
          <w:color w:val="auto"/>
          <w:sz w:val="24"/>
          <w:highlight w:val="none"/>
        </w:rPr>
      </w:r>
      <w:r/>
    </w:p>
    <w:p>
      <w:pPr>
        <w:jc w:val="center"/>
        <w:spacing w:line="360" w:lineRule="exact"/>
        <w:rPr>
          <w:rFonts w:ascii="宋体" w:hAnsi="宋体"/>
          <w:b/>
          <w:color w:val="auto"/>
          <w:sz w:val="36"/>
          <w:szCs w:val="36"/>
          <w:highlight w:val="none"/>
        </w:rPr>
      </w:pPr>
      <w:r>
        <w:rPr>
          <w:rFonts w:ascii="宋体" w:hAnsi="宋体"/>
          <w:b/>
          <w:color w:val="auto"/>
          <w:sz w:val="36"/>
          <w:szCs w:val="36"/>
          <w:highlight w:val="none"/>
        </w:rPr>
        <w:t xml:space="preserve">法定代表人（单位负责人）身份证明</w:t>
      </w:r>
      <w:r/>
    </w:p>
    <w:p>
      <w:pPr>
        <w:spacing w:line="200" w:lineRule="exact"/>
        <w:rPr>
          <w:rFonts w:ascii="宋体" w:hAnsi="宋体"/>
          <w:color w:val="auto"/>
          <w:sz w:val="20"/>
          <w:szCs w:val="20"/>
          <w:highlight w:val="none"/>
        </w:rPr>
      </w:pPr>
      <w:r>
        <w:rPr>
          <w:rFonts w:ascii="宋体" w:hAnsi="宋体"/>
          <w:color w:val="auto"/>
          <w:sz w:val="20"/>
          <w:szCs w:val="20"/>
          <w:highlight w:val="none"/>
        </w:rPr>
      </w:r>
      <w:r/>
    </w:p>
    <w:p>
      <w:pPr>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hint="eastAsia"/>
          <w:color w:val="auto"/>
          <w:sz w:val="24"/>
          <w:highlight w:val="none"/>
        </w:rPr>
        <w:t xml:space="preserve">【</w:t>
      </w:r>
      <w:r>
        <w:rPr>
          <w:rFonts w:hint="eastAsia" w:ascii="宋体" w:hAnsi="Courier New" w:eastAsia="宋体" w:cs="Times New Roman"/>
          <w:color w:val="auto"/>
          <w:sz w:val="24"/>
          <w:szCs w:val="24"/>
          <w:highlight w:val="none"/>
          <w:lang w:eastAsia="zh-CN"/>
        </w:rPr>
        <w:t xml:space="preserve">连云港市公安局</w:t>
      </w:r>
      <w:r>
        <w:rPr>
          <w:rFonts w:hint="eastAsia"/>
          <w:color w:val="auto"/>
          <w:sz w:val="24"/>
          <w:highlight w:val="none"/>
        </w:rPr>
        <w:t xml:space="preserve">】</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hint="eastAsia" w:ascii="宋体" w:hAnsi="宋体"/>
          <w:color w:val="auto"/>
          <w:sz w:val="24"/>
          <w:highlight w:val="none"/>
        </w:rPr>
        <w:t xml:space="preserve">兹证明，</w:t>
      </w:r>
      <w:r/>
    </w:p>
    <w:p>
      <w:pPr>
        <w:ind w:firstLine="480"/>
        <w:spacing w:before="120" w:line="335" w:lineRule="exact"/>
        <w:tabs>
          <w:tab w:val="left" w:pos="567" w:leader="none"/>
          <w:tab w:val="left" w:pos="1690" w:leader="none"/>
          <w:tab w:val="left" w:pos="3400" w:leader="none"/>
          <w:tab w:val="left" w:pos="5110" w:leader="none"/>
          <w:tab w:val="left" w:pos="6821" w:leader="none"/>
        </w:tabs>
        <w:rPr>
          <w:rFonts w:ascii="宋体" w:hAnsi="宋体"/>
          <w:color w:val="auto"/>
          <w:sz w:val="24"/>
          <w:highlight w:val="none"/>
        </w:rPr>
      </w:pPr>
      <w:r>
        <w:rPr>
          <w:rFonts w:ascii="宋体" w:hAnsi="宋体"/>
          <w:color w:val="auto"/>
          <w:sz w:val="24"/>
          <w:highlight w:val="none"/>
        </w:rPr>
        <w:t xml:space="preserve">姓名</w:t>
      </w:r>
      <w:r>
        <w:rPr>
          <w:rFonts w:hint="eastAsia" w:ascii="宋体" w:hAnsi="宋体"/>
          <w:color w:val="auto"/>
          <w:sz w:val="24"/>
          <w:highlight w:val="none"/>
        </w:rPr>
        <w:t xml:space="preserve">：</w:t>
      </w:r>
      <w:r>
        <w:rPr>
          <w:rFonts w:ascii="宋体" w:hAnsi="宋体"/>
          <w:color w:val="auto"/>
          <w:sz w:val="24"/>
          <w:highlight w:val="none"/>
        </w:rPr>
        <w:t xml:space="preserve">____性别：____年龄：____职务：____系</w:t>
      </w:r>
      <w:r>
        <w:rPr>
          <w:rFonts w:ascii="宋体" w:hAnsi="宋体"/>
          <w:color w:val="auto"/>
          <w:sz w:val="24"/>
          <w:highlight w:val="none"/>
          <w:u w:val="single"/>
        </w:rPr>
        <w:tab/>
      </w:r>
      <w:r>
        <w:rPr>
          <w:rFonts w:ascii="宋体" w:hAnsi="宋体"/>
          <w:color w:val="auto"/>
          <w:sz w:val="24"/>
          <w:highlight w:val="none"/>
        </w:rPr>
        <w:t xml:space="preserve">（</w:t>
      </w:r>
      <w:r>
        <w:rPr>
          <w:rFonts w:hint="eastAsia" w:ascii="宋体" w:hAnsi="宋体" w:eastAsia="宋体"/>
          <w:color w:val="auto"/>
          <w:sz w:val="24"/>
          <w:highlight w:val="none"/>
          <w:lang w:val="en-US" w:eastAsia="zh-CN"/>
        </w:rPr>
        <w:t xml:space="preserve">供应商</w:t>
      </w:r>
      <w:r>
        <w:rPr>
          <w:rFonts w:ascii="宋体" w:hAnsi="宋体"/>
          <w:color w:val="auto"/>
          <w:sz w:val="24"/>
          <w:highlight w:val="none"/>
        </w:rPr>
        <w:t xml:space="preserve">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ind w:right="-46"/>
        <w:spacing w:before="120" w:line="583" w:lineRule="auto"/>
        <w:tabs>
          <w:tab w:val="left" w:pos="567" w:leader="none"/>
        </w:tabs>
        <w:rPr>
          <w:rFonts w:hint="eastAsia" w:ascii="宋体" w:hAnsi="宋体"/>
          <w:color w:val="auto"/>
          <w:spacing w:val="-3"/>
          <w:sz w:val="24"/>
          <w:highlight w:val="none"/>
        </w:rPr>
      </w:pPr>
      <w:r>
        <w:rPr>
          <w:rFonts w:ascii="宋体" w:hAnsi="宋体"/>
          <w:color w:val="auto"/>
          <w:sz w:val="24"/>
          <w:highlight w:val="none"/>
        </w:rPr>
        <w:t xml:space="preserve">附：</w:t>
      </w:r>
      <w:r>
        <w:rPr>
          <w:rFonts w:ascii="宋体" w:hAnsi="宋体"/>
          <w:color w:val="auto"/>
          <w:spacing w:val="-3"/>
          <w:sz w:val="24"/>
          <w:highlight w:val="none"/>
        </w:rPr>
        <w:t xml:space="preserve">法</w:t>
      </w:r>
      <w:r>
        <w:rPr>
          <w:rFonts w:ascii="宋体" w:hAnsi="宋体"/>
          <w:color w:val="auto"/>
          <w:sz w:val="24"/>
          <w:highlight w:val="none"/>
        </w:rPr>
        <w:t xml:space="preserve">定</w:t>
      </w:r>
      <w:r>
        <w:rPr>
          <w:rFonts w:ascii="宋体" w:hAnsi="宋体"/>
          <w:color w:val="auto"/>
          <w:spacing w:val="-3"/>
          <w:sz w:val="24"/>
          <w:highlight w:val="none"/>
        </w:rPr>
        <w:t xml:space="preserve">代</w:t>
      </w:r>
      <w:r>
        <w:rPr>
          <w:rFonts w:ascii="宋体" w:hAnsi="宋体"/>
          <w:color w:val="auto"/>
          <w:sz w:val="24"/>
          <w:highlight w:val="none"/>
        </w:rPr>
        <w:t xml:space="preserve">表</w:t>
      </w:r>
      <w:r>
        <w:rPr>
          <w:rFonts w:ascii="宋体" w:hAnsi="宋体"/>
          <w:color w:val="auto"/>
          <w:spacing w:val="-3"/>
          <w:sz w:val="24"/>
          <w:highlight w:val="none"/>
        </w:rPr>
        <w:t xml:space="preserve">人</w:t>
      </w:r>
      <w:r>
        <w:rPr>
          <w:rFonts w:ascii="宋体" w:hAnsi="宋体"/>
          <w:color w:val="auto"/>
          <w:sz w:val="24"/>
          <w:highlight w:val="none"/>
        </w:rPr>
        <w:t xml:space="preserve">（</w:t>
      </w:r>
      <w:r>
        <w:rPr>
          <w:rFonts w:ascii="宋体" w:hAnsi="宋体"/>
          <w:color w:val="auto"/>
          <w:spacing w:val="-3"/>
          <w:sz w:val="24"/>
          <w:highlight w:val="none"/>
        </w:rPr>
        <w:t xml:space="preserve">单</w:t>
      </w:r>
      <w:r>
        <w:rPr>
          <w:rFonts w:ascii="宋体" w:hAnsi="宋体"/>
          <w:color w:val="auto"/>
          <w:sz w:val="24"/>
          <w:highlight w:val="none"/>
        </w:rPr>
        <w:t xml:space="preserve">位</w:t>
      </w:r>
      <w:r>
        <w:rPr>
          <w:rFonts w:ascii="宋体" w:hAnsi="宋体"/>
          <w:color w:val="auto"/>
          <w:spacing w:val="-3"/>
          <w:sz w:val="24"/>
          <w:highlight w:val="none"/>
        </w:rPr>
        <w:t xml:space="preserve">负</w:t>
      </w:r>
      <w:r>
        <w:rPr>
          <w:rFonts w:ascii="宋体" w:hAnsi="宋体"/>
          <w:color w:val="auto"/>
          <w:sz w:val="24"/>
          <w:highlight w:val="none"/>
        </w:rPr>
        <w:t xml:space="preserve">责人</w:t>
      </w:r>
      <w:r>
        <w:rPr>
          <w:rFonts w:ascii="宋体" w:hAnsi="宋体"/>
          <w:color w:val="auto"/>
          <w:spacing w:val="-3"/>
          <w:sz w:val="24"/>
          <w:highlight w:val="none"/>
        </w:rPr>
        <w:t xml:space="preserve">）有效期内的身</w:t>
      </w:r>
      <w:r>
        <w:rPr>
          <w:rFonts w:hint="eastAsia" w:ascii="宋体" w:hAnsi="宋体"/>
          <w:color w:val="auto"/>
          <w:spacing w:val="-3"/>
          <w:sz w:val="24"/>
          <w:highlight w:val="none"/>
        </w:rPr>
        <w:t xml:space="preserve">份</w:t>
      </w:r>
      <w:r>
        <w:rPr>
          <w:rFonts w:ascii="宋体" w:hAnsi="宋体"/>
          <w:color w:val="auto"/>
          <w:spacing w:val="-3"/>
          <w:sz w:val="24"/>
          <w:highlight w:val="none"/>
        </w:rPr>
        <w:t xml:space="preserve">证正反面</w:t>
      </w:r>
      <w:r>
        <w:rPr>
          <w:rFonts w:hint="eastAsia" w:ascii="宋体" w:hAnsi="宋体"/>
          <w:color w:val="auto"/>
          <w:spacing w:val="-3"/>
          <w:sz w:val="24"/>
          <w:highlight w:val="none"/>
        </w:rPr>
        <w:t xml:space="preserve">电子</w:t>
      </w:r>
      <w:r>
        <w:rPr>
          <w:rFonts w:ascii="宋体" w:hAnsi="宋体"/>
          <w:color w:val="auto"/>
          <w:spacing w:val="-3"/>
          <w:sz w:val="24"/>
          <w:highlight w:val="none"/>
        </w:rPr>
        <w:t xml:space="preserve">件</w:t>
      </w:r>
      <w:r>
        <w:rPr>
          <w:rFonts w:hint="eastAsia" w:ascii="宋体" w:hAnsi="宋体"/>
          <w:color w:val="auto"/>
          <w:spacing w:val="-3"/>
          <w:sz w:val="24"/>
          <w:highlight w:val="none"/>
        </w:rPr>
        <w:t xml:space="preserve">。</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right="-46"/>
        <w:spacing w:before="120" w:line="583" w:lineRule="auto"/>
        <w:tabs>
          <w:tab w:val="left" w:pos="567" w:leader="none"/>
        </w:tabs>
        <w:rPr>
          <w:rFonts w:hint="eastAsia" w:ascii="宋体" w:hAnsi="宋体"/>
          <w:color w:val="auto"/>
          <w:spacing w:val="-3"/>
          <w:sz w:val="24"/>
          <w:highlight w:val="none"/>
        </w:rPr>
      </w:pPr>
      <w:r>
        <w:rPr>
          <w:rFonts w:hint="eastAsia" w:ascii="宋体" w:hAnsi="宋体"/>
          <w:color w:val="auto"/>
          <w:spacing w:val="-3"/>
          <w:sz w:val="24"/>
          <w:highlight w:val="none"/>
        </w:rPr>
      </w:r>
      <w:r/>
    </w:p>
    <w:p>
      <w:pPr>
        <w:ind w:right="4305"/>
        <w:spacing w:before="120" w:line="583" w:lineRule="auto"/>
        <w:tabs>
          <w:tab w:val="left" w:pos="567" w:leader="none"/>
        </w:tabs>
        <w:rPr>
          <w:rFonts w:ascii="宋体" w:hAnsi="宋体"/>
          <w:color w:val="auto"/>
          <w:spacing w:val="-3"/>
          <w:sz w:val="24"/>
          <w:highlight w:val="none"/>
        </w:rPr>
      </w:pPr>
      <w:r>
        <w:rPr>
          <w:rFonts w:ascii="宋体" w:hAnsi="宋体"/>
          <w:color w:val="auto"/>
          <w:spacing w:val="-3"/>
          <w:sz w:val="24"/>
          <w:highlight w:val="none"/>
        </w:rPr>
      </w:r>
      <w:r/>
    </w:p>
    <w:p>
      <w:pPr>
        <w:rPr>
          <w:rFonts w:ascii="宋体" w:hAnsi="宋体"/>
          <w:color w:val="auto"/>
          <w:sz w:val="24"/>
          <w:highlight w:val="none"/>
          <w:lang w:val="zh-CN"/>
        </w:rPr>
      </w:pPr>
      <w:r>
        <w:rPr>
          <w:rFonts w:hint="eastAsia" w:ascii="宋体" w:hAnsi="宋体" w:eastAsia="宋体"/>
          <w:color w:val="auto"/>
          <w:sz w:val="24"/>
          <w:highlight w:val="none"/>
          <w:lang w:val="en-US" w:eastAsia="zh-CN"/>
        </w:rPr>
        <w:t xml:space="preserve">供应商</w:t>
      </w:r>
      <w:r>
        <w:rPr>
          <w:rFonts w:ascii="宋体" w:hAnsi="宋体"/>
          <w:color w:val="auto"/>
          <w:sz w:val="24"/>
          <w:highlight w:val="none"/>
        </w:rPr>
        <w:t xml:space="preserve">（加盖公章）</w:t>
      </w:r>
      <w:r>
        <w:rPr>
          <w:rFonts w:ascii="宋体" w:hAnsi="宋体"/>
          <w:color w:val="auto"/>
          <w:sz w:val="24"/>
          <w:highlight w:val="none"/>
          <w:lang w:val="zh-CN"/>
        </w:rPr>
        <w:t xml:space="preserve">：________________</w:t>
      </w:r>
      <w:r/>
    </w:p>
    <w:p>
      <w:pPr>
        <w:ind w:right="95"/>
        <w:spacing w:before="120" w:line="583" w:lineRule="auto"/>
        <w:tabs>
          <w:tab w:val="left" w:pos="567" w:leader="none"/>
        </w:tabs>
        <w:rPr>
          <w:rFonts w:ascii="宋体" w:hAnsi="宋体"/>
          <w:color w:val="auto"/>
          <w:spacing w:val="-3"/>
          <w:sz w:val="24"/>
          <w:highlight w:val="none"/>
        </w:rPr>
      </w:pPr>
      <w:r>
        <w:rPr>
          <w:rFonts w:hint="eastAsia" w:ascii="宋体" w:hAnsi="宋体"/>
          <w:color w:val="auto"/>
          <w:spacing w:val="-3"/>
          <w:sz w:val="24"/>
          <w:highlight w:val="none"/>
        </w:rPr>
        <w:t xml:space="preserve">法定代表人（</w:t>
      </w:r>
      <w:r>
        <w:rPr>
          <w:rFonts w:ascii="宋体" w:hAnsi="宋体"/>
          <w:color w:val="auto"/>
          <w:sz w:val="24"/>
          <w:highlight w:val="none"/>
        </w:rPr>
        <w:t xml:space="preserve">单位负责人</w:t>
      </w:r>
      <w:r>
        <w:rPr>
          <w:rFonts w:hint="eastAsia" w:ascii="宋体" w:hAnsi="宋体"/>
          <w:color w:val="auto"/>
          <w:spacing w:val="-3"/>
          <w:sz w:val="24"/>
          <w:highlight w:val="none"/>
        </w:rPr>
        <w:t xml:space="preserve">）（签字、签章或印鉴）：_</w:t>
      </w:r>
      <w:r>
        <w:rPr>
          <w:rFonts w:ascii="宋体" w:hAnsi="宋体"/>
          <w:color w:val="auto"/>
          <w:spacing w:val="-3"/>
          <w:sz w:val="24"/>
          <w:highlight w:val="none"/>
        </w:rPr>
        <w:t xml:space="preserve">______</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lang w:val="zh-CN"/>
        </w:rPr>
      </w:pPr>
      <w:r>
        <w:rPr>
          <w:rFonts w:ascii="宋体" w:hAnsi="宋体"/>
          <w:color w:val="auto"/>
          <w:sz w:val="24"/>
          <w:highlight w:val="none"/>
        </w:rPr>
        <w:t xml:space="preserve">日期：_____年______月______日</w:t>
      </w:r>
      <w:r/>
    </w:p>
    <w:p>
      <w:pPr>
        <w:rPr>
          <w:color w:val="auto"/>
          <w:highlight w:val="none"/>
        </w:rPr>
      </w:pPr>
      <w:r>
        <w:rPr>
          <w:color w:val="auto"/>
          <w:highlight w:val="none"/>
        </w:rPr>
        <w:br w:type="page" w:clear="all"/>
      </w:r>
      <w:r/>
    </w:p>
    <w:p>
      <w:pPr>
        <w:keepNext/>
        <w:spacing w:line="360" w:lineRule="auto"/>
        <w:rPr>
          <w:rFonts w:ascii="Times New Roman" w:hAnsi="Times New Roman" w:eastAsia="黑体" w:cs="Times New Roman"/>
          <w:bCs/>
          <w:color w:val="auto"/>
          <w:sz w:val="32"/>
          <w:szCs w:val="21"/>
          <w:highlight w:val="none"/>
        </w:rPr>
        <w:outlineLvl w:val="1"/>
      </w:pPr>
      <w:r>
        <w:rPr>
          <w:rFonts w:hint="eastAsia" w:ascii="宋体" w:hAnsi="宋体" w:eastAsia="宋体" w:cs="Times New Roman"/>
          <w:color w:val="auto"/>
          <w:sz w:val="24"/>
          <w:szCs w:val="24"/>
          <w:highlight w:val="none"/>
        </w:rPr>
        <w:t xml:space="preserve">格式</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、商务条款偏离表</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商务条款偏离表</w:t>
      </w:r>
      <w:r/>
    </w:p>
    <w:p>
      <w:pPr>
        <w:spacing w:line="360" w:lineRule="auto"/>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 xml:space="preserve">请逐条对应采购文件“</w:t>
      </w:r>
      <w:r>
        <w:rPr>
          <w:rFonts w:hint="eastAsia" w:ascii="宋体" w:hAnsi="宋体" w:eastAsia="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rPr>
        <w:t xml:space="preserve">需求”等内容要求的商务条件，填写该表。</w:t>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项号</w:t>
            </w:r>
            <w:r/>
          </w:p>
        </w:tc>
        <w:tc>
          <w:tcPr>
            <w:tcW w:w="2774"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采购文件的商务条款</w:t>
            </w:r>
            <w:r/>
          </w:p>
        </w:tc>
        <w:tc>
          <w:tcPr>
            <w:tcW w:w="2927"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响应文件的商务条款</w:t>
            </w:r>
            <w:r/>
          </w:p>
        </w:tc>
        <w:tc>
          <w:tcPr>
            <w:tcW w:w="2444"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偏离说明</w:t>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400" w:lineRule="exact"/>
        <w:rPr>
          <w:rFonts w:ascii="宋体" w:hAnsi="宋体" w:eastAsia="宋体" w:cs="Times New Roman"/>
          <w:color w:val="auto"/>
          <w:szCs w:val="20"/>
          <w:highlight w:val="none"/>
        </w:rPr>
      </w:pPr>
      <w:r>
        <w:rPr>
          <w:rFonts w:hint="eastAsia" w:ascii="宋体" w:hAnsi="宋体" w:eastAsia="宋体" w:cs="Times New Roman"/>
          <w:color w:val="auto"/>
          <w:sz w:val="24"/>
          <w:szCs w:val="24"/>
          <w:highlight w:val="none"/>
        </w:rPr>
        <w:t xml:space="preserve">注：“偏离说明”填写“正偏离”“负偏离”或“无偏离”。</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供应商</w:t>
      </w:r>
      <w:r>
        <w:rPr>
          <w:rFonts w:hint="eastAsia" w:ascii="Times New Roman" w:hAnsi="Times New Roman" w:eastAsia="宋体" w:cs="Times New Roman"/>
          <w:color w:val="auto"/>
          <w:sz w:val="24"/>
          <w:szCs w:val="24"/>
          <w:highlight w:val="none"/>
        </w:rPr>
        <w:t xml:space="preserve">（盖章）：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ind w:firstLine="420"/>
        <w:spacing w:line="600" w:lineRule="exact"/>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keepNext/>
        <w:spacing w:line="360" w:lineRule="auto"/>
        <w:rPr>
          <w:rFonts w:ascii="Times New Roman" w:hAnsi="宋体" w:eastAsia="黑体" w:cs="Times New Roman"/>
          <w:b/>
          <w:color w:val="auto"/>
          <w:sz w:val="28"/>
          <w:szCs w:val="21"/>
          <w:highlight w:val="none"/>
        </w:rPr>
        <w:outlineLvl w:val="1"/>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w:t>
      </w: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、承诺书</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承诺书</w:t>
      </w:r>
      <w:r/>
    </w:p>
    <w:p>
      <w:pPr>
        <w:pStyle w:val="722"/>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（请按“项目需求”等内容要求自行填写，格式自定)</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供应商</w:t>
      </w:r>
      <w:r>
        <w:rPr>
          <w:rFonts w:hint="eastAsia" w:ascii="Times New Roman" w:hAnsi="Times New Roman" w:eastAsia="宋体" w:cs="Times New Roman"/>
          <w:color w:val="auto"/>
          <w:sz w:val="24"/>
          <w:szCs w:val="24"/>
          <w:highlight w:val="none"/>
        </w:rPr>
        <w:t xml:space="preserve">（盖章）：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ind w:firstLine="562"/>
        <w:spacing w:line="360" w:lineRule="auto"/>
        <w:rPr>
          <w:rFonts w:ascii="宋体" w:hAnsi="Courier New" w:eastAsia="宋体" w:cs="Times New Roman"/>
          <w:color w:val="auto"/>
          <w:szCs w:val="20"/>
          <w:highlight w:val="none"/>
        </w:rPr>
      </w:pPr>
      <w:r>
        <w:rPr>
          <w:rFonts w:ascii="Times New Roman" w:hAnsi="Times New Roman" w:eastAsia="黑体" w:cs="Times New Roman"/>
          <w:b/>
          <w:color w:val="auto"/>
          <w:sz w:val="28"/>
          <w:szCs w:val="20"/>
          <w:highlight w:val="none"/>
        </w:rPr>
        <w:br w:type="page" w:clear="all"/>
      </w:r>
      <w:r/>
    </w:p>
    <w:p>
      <w:pPr>
        <w:keepNext/>
        <w:spacing w:line="360" w:lineRule="auto"/>
        <w:rPr>
          <w:rFonts w:ascii="宋体" w:hAnsi="宋体" w:eastAsia="宋体" w:cs="宋体"/>
          <w:color w:val="auto"/>
          <w:sz w:val="28"/>
          <w:szCs w:val="20"/>
          <w:highlight w:val="none"/>
        </w:rPr>
        <w:outlineLvl w:val="1"/>
      </w:pPr>
      <w:r>
        <w:rPr>
          <w:rFonts w:hint="eastAsia" w:ascii="宋体" w:hAnsi="宋体" w:eastAsia="宋体" w:cs="Times New Roman"/>
          <w:color w:val="auto"/>
          <w:sz w:val="24"/>
          <w:szCs w:val="24"/>
          <w:highlight w:val="none"/>
          <w:lang w:val="en-US" w:eastAsia="zh-CN"/>
        </w:rPr>
        <w:t xml:space="preserve">格式10、</w:t>
      </w:r>
      <w:r>
        <w:rPr>
          <w:rFonts w:hint="eastAsia" w:ascii="宋体" w:hAnsi="宋体" w:eastAsia="宋体" w:cs="Times New Roman"/>
          <w:color w:val="auto"/>
          <w:sz w:val="24"/>
          <w:szCs w:val="24"/>
          <w:highlight w:val="none"/>
        </w:rPr>
        <w:t xml:space="preserve">项目需求响应</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项目需求响应</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宋体"/>
          <w:color w:val="auto"/>
          <w:sz w:val="24"/>
          <w:highlight w:val="none"/>
        </w:rPr>
        <w:t xml:space="preserve">请按“项目需求”等内容要求自行填写，格式自定</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供应商</w:t>
      </w:r>
      <w:r>
        <w:rPr>
          <w:rFonts w:hint="eastAsia" w:ascii="Times New Roman" w:hAnsi="Times New Roman" w:eastAsia="宋体" w:cs="Times New Roman"/>
          <w:color w:val="auto"/>
          <w:sz w:val="24"/>
          <w:szCs w:val="24"/>
          <w:highlight w:val="none"/>
        </w:rPr>
        <w:t xml:space="preserve">（盖章）：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br w:type="page" w:clear="all"/>
      </w:r>
      <w:r/>
    </w:p>
    <w:p>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格式</w:t>
      </w: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其他材料</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其他材料</w:t>
      </w:r>
      <w:r/>
    </w:p>
    <w:p>
      <w:pPr>
        <w:ind w:right="0"/>
        <w:jc w:val="center"/>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（供应商对磋商文件响应有必要提供的材料或评标办法中要求提供的材料）</w:t>
      </w:r>
      <w:r/>
    </w:p>
    <w:p>
      <w:pPr>
        <w:rPr>
          <w:rFonts w:ascii="宋体" w:hAnsi="宋体" w:eastAsia="宋体" w:cs="宋体"/>
          <w:color w:val="000000"/>
          <w:sz w:val="24"/>
        </w:rPr>
      </w:pPr>
      <w:r>
        <w:rPr>
          <w:rFonts w:ascii="宋体" w:hAnsi="宋体" w:eastAsia="宋体" w:cs="宋体"/>
          <w:color w:val="000000"/>
          <w:sz w:val="24"/>
        </w:rPr>
        <w:br w:type="page" w:clear="all"/>
      </w:r>
      <w:r/>
    </w:p>
    <w:p>
      <w:pPr>
        <w:jc w:val="center"/>
        <w:pageBreakBefore w:val="0"/>
        <w:spacing w:line="360" w:lineRule="auto"/>
        <w:rPr>
          <w:rFonts w:ascii="Times New Roman" w:hAnsi="Times New Roman" w:eastAsia="黑体" w:cs="仿宋"/>
          <w:bCs/>
          <w:color w:val="000000"/>
          <w:sz w:val="40"/>
          <w:szCs w:val="32"/>
          <w:highlight w:val="none"/>
        </w:rPr>
      </w:pPr>
      <w:r>
        <w:rPr>
          <w:rFonts w:hint="eastAsia" w:ascii="Times New Roman" w:hAnsi="Times New Roman" w:eastAsia="黑体" w:cs="仿宋"/>
          <w:bCs/>
          <w:color w:val="000000"/>
          <w:sz w:val="40"/>
          <w:szCs w:val="32"/>
          <w:highlight w:val="none"/>
        </w:rPr>
        <w:t xml:space="preserve">质疑函范本</w:t>
      </w:r>
      <w:r/>
    </w:p>
    <w:p>
      <w:pPr>
        <w:ind w:firstLine="0"/>
        <w:pageBreakBefore w:val="0"/>
        <w:spacing w:line="293" w:lineRule="auto"/>
        <w:rPr>
          <w:rFonts w:ascii="Times New Roman" w:hAnsi="Times New Roman" w:eastAsia="黑体" w:cs="仿宋"/>
          <w:bCs/>
          <w:color w:val="000000"/>
          <w:sz w:val="24"/>
          <w:szCs w:val="24"/>
          <w:highlight w:val="none"/>
        </w:rPr>
      </w:pPr>
      <w:r>
        <w:rPr>
          <w:rFonts w:hint="eastAsia" w:ascii="Times New Roman" w:hAnsi="Times New Roman" w:eastAsia="黑体" w:cs="仿宋"/>
          <w:bCs/>
          <w:color w:val="000000"/>
          <w:sz w:val="24"/>
          <w:szCs w:val="24"/>
          <w:highlight w:val="none"/>
        </w:rPr>
        <w:t xml:space="preserve">一、质疑供应商基本信息</w:t>
      </w:r>
      <w:r/>
    </w:p>
    <w:p>
      <w:pPr>
        <w:ind w:firstLine="0"/>
        <w:pageBreakBefore w:val="0"/>
        <w:spacing w:line="293" w:lineRule="auto"/>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 xml:space="preserve">质疑供应商：</w:t>
      </w:r>
      <w:r>
        <w:rPr>
          <w:rFonts w:hint="eastAsia" w:ascii="Times New Roman" w:hAnsi="Times New Roman" w:cs="仿宋"/>
          <w:color w:val="000000"/>
          <w:sz w:val="24"/>
          <w:szCs w:val="24"/>
          <w:highlight w:val="none"/>
          <w:u w:val="single"/>
        </w:rPr>
        <w:t xml:space="preserve">                                                                                      </w:t>
      </w:r>
      <w:r/>
    </w:p>
    <w:p>
      <w:pPr>
        <w:ind w:firstLine="0"/>
        <w:pageBreakBefore w:val="0"/>
        <w:spacing w:line="293" w:lineRule="auto"/>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地址：</w:t>
      </w:r>
      <w:r>
        <w:rPr>
          <w:rFonts w:hint="eastAsia" w:cs="仿宋"/>
          <w:color w:val="000000"/>
          <w:sz w:val="24"/>
          <w:szCs w:val="24"/>
          <w:highlight w:val="none"/>
          <w:lang w:val="en-US" w:eastAsia="zh-CN"/>
        </w:rPr>
        <w:t xml:space="preserve">                          </w:t>
      </w:r>
      <w:r>
        <w:rPr>
          <w:rFonts w:hint="eastAsia" w:ascii="Times New Roman" w:hAnsi="Times New Roman" w:cs="仿宋"/>
          <w:color w:val="000000"/>
          <w:sz w:val="24"/>
          <w:szCs w:val="24"/>
          <w:highlight w:val="none"/>
        </w:rPr>
        <w:t xml:space="preserve">邮编：</w:t>
      </w:r>
      <w:r>
        <w:rPr>
          <w:rFonts w:hint="eastAsia" w:ascii="Times New Roman" w:hAnsi="Times New Roman" w:cs="仿宋"/>
          <w:color w:val="000000"/>
          <w:sz w:val="24"/>
          <w:szCs w:val="24"/>
          <w:highlight w:val="none"/>
          <w:u w:val="single"/>
        </w:rPr>
        <w:t xml:space="preserve">                            </w:t>
      </w:r>
      <w:r/>
    </w:p>
    <w:p>
      <w:pPr>
        <w:ind w:firstLine="0"/>
        <w:pageBreakBefore w:val="0"/>
        <w:spacing w:line="293" w:lineRule="auto"/>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联系人：</w:t>
      </w:r>
      <w:r>
        <w:rPr>
          <w:rFonts w:hint="eastAsia" w:cs="仿宋"/>
          <w:color w:val="000000"/>
          <w:sz w:val="24"/>
          <w:szCs w:val="24"/>
          <w:highlight w:val="none"/>
          <w:lang w:val="en-US" w:eastAsia="zh-CN"/>
        </w:rPr>
        <w:t xml:space="preserve">                        </w:t>
      </w:r>
      <w:r>
        <w:rPr>
          <w:rFonts w:hint="eastAsia" w:ascii="Times New Roman" w:hAnsi="Times New Roman" w:cs="仿宋"/>
          <w:color w:val="000000"/>
          <w:sz w:val="24"/>
          <w:szCs w:val="24"/>
          <w:highlight w:val="none"/>
        </w:rPr>
        <w:t xml:space="preserve">联系电话：</w:t>
      </w:r>
      <w:r>
        <w:rPr>
          <w:rFonts w:hint="eastAsia" w:ascii="Times New Roman" w:hAnsi="Times New Roman" w:cs="仿宋"/>
          <w:color w:val="000000"/>
          <w:sz w:val="24"/>
          <w:szCs w:val="24"/>
          <w:highlight w:val="none"/>
          <w:u w:val="single"/>
        </w:rPr>
        <w:t xml:space="preserve">                             </w:t>
      </w:r>
      <w:r/>
    </w:p>
    <w:p>
      <w:pPr>
        <w:ind w:firstLine="0"/>
        <w:pageBreakBefore w:val="0"/>
        <w:spacing w:line="293" w:lineRule="auto"/>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 xml:space="preserve">授权代表：</w:t>
      </w:r>
      <w:r>
        <w:rPr>
          <w:rFonts w:hint="eastAsia" w:ascii="Times New Roman" w:hAnsi="Times New Roman" w:cs="仿宋"/>
          <w:color w:val="000000"/>
          <w:sz w:val="24"/>
          <w:szCs w:val="24"/>
          <w:highlight w:val="none"/>
          <w:u w:val="single"/>
        </w:rPr>
        <w:t xml:space="preserve">                                                           </w:t>
      </w:r>
      <w:r/>
    </w:p>
    <w:p>
      <w:pPr>
        <w:ind w:firstLine="0"/>
        <w:pageBreakBefore w:val="0"/>
        <w:spacing w:line="293" w:lineRule="auto"/>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联系电话：</w:t>
      </w:r>
      <w:r>
        <w:rPr>
          <w:rFonts w:hint="eastAsia" w:ascii="Times New Roman" w:hAnsi="Times New Roman" w:cs="仿宋"/>
          <w:color w:val="000000"/>
          <w:sz w:val="24"/>
          <w:szCs w:val="24"/>
          <w:highlight w:val="none"/>
          <w:u w:val="single"/>
        </w:rPr>
        <w:t xml:space="preserve">                                                           </w:t>
      </w:r>
      <w:r/>
    </w:p>
    <w:p>
      <w:pPr>
        <w:ind w:firstLine="0"/>
        <w:pageBreakBefore w:val="0"/>
        <w:spacing w:line="293" w:lineRule="auto"/>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地址：</w:t>
      </w:r>
      <w:r>
        <w:rPr>
          <w:rFonts w:hint="eastAsia" w:cs="仿宋"/>
          <w:color w:val="000000"/>
          <w:sz w:val="24"/>
          <w:szCs w:val="24"/>
          <w:highlight w:val="none"/>
          <w:lang w:val="en-US" w:eastAsia="zh-CN"/>
        </w:rPr>
        <w:t xml:space="preserve">                          </w:t>
      </w:r>
      <w:r>
        <w:rPr>
          <w:rFonts w:hint="eastAsia" w:ascii="Times New Roman" w:hAnsi="Times New Roman" w:cs="仿宋"/>
          <w:color w:val="000000"/>
          <w:sz w:val="24"/>
          <w:szCs w:val="24"/>
          <w:highlight w:val="none"/>
        </w:rPr>
        <w:t xml:space="preserve">邮编：</w:t>
      </w:r>
      <w:r>
        <w:rPr>
          <w:rFonts w:hint="eastAsia" w:ascii="Times New Roman" w:hAnsi="Times New Roman" w:cs="仿宋"/>
          <w:color w:val="000000"/>
          <w:sz w:val="24"/>
          <w:szCs w:val="24"/>
          <w:highlight w:val="none"/>
          <w:u w:val="single"/>
        </w:rPr>
        <w:t xml:space="preserve">                                </w:t>
      </w:r>
      <w:r/>
    </w:p>
    <w:p>
      <w:pPr>
        <w:ind w:firstLine="0"/>
        <w:pageBreakBefore w:val="0"/>
        <w:spacing w:line="293" w:lineRule="auto"/>
        <w:rPr>
          <w:rFonts w:ascii="Times New Roman" w:hAnsi="Times New Roman" w:eastAsia="黑体" w:cs="仿宋"/>
          <w:bCs/>
          <w:color w:val="000000"/>
          <w:sz w:val="24"/>
          <w:szCs w:val="24"/>
          <w:highlight w:val="none"/>
        </w:rPr>
      </w:pPr>
      <w:r>
        <w:rPr>
          <w:rFonts w:hint="eastAsia" w:ascii="Times New Roman" w:hAnsi="Times New Roman" w:eastAsia="黑体" w:cs="仿宋"/>
          <w:bCs/>
          <w:color w:val="000000"/>
          <w:sz w:val="24"/>
          <w:szCs w:val="24"/>
          <w:highlight w:val="none"/>
        </w:rPr>
        <w:t xml:space="preserve">二、质疑项目基本情况</w:t>
      </w:r>
      <w:r/>
    </w:p>
    <w:p>
      <w:pPr>
        <w:ind w:firstLine="0"/>
        <w:pageBreakBefore w:val="0"/>
        <w:spacing w:line="293" w:lineRule="auto"/>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质疑项目的名称：</w:t>
      </w:r>
      <w:r>
        <w:rPr>
          <w:rFonts w:hint="eastAsia" w:ascii="Times New Roman" w:hAnsi="Times New Roman" w:cs="仿宋"/>
          <w:color w:val="000000"/>
          <w:sz w:val="24"/>
          <w:szCs w:val="24"/>
          <w:highlight w:val="none"/>
          <w:u w:val="single"/>
        </w:rPr>
        <w:t xml:space="preserve">                                                     </w:t>
      </w:r>
      <w:r/>
    </w:p>
    <w:p>
      <w:pPr>
        <w:ind w:firstLine="0"/>
        <w:pageBreakBefore w:val="0"/>
        <w:spacing w:line="293" w:lineRule="auto"/>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质疑项目的编号：</w:t>
      </w:r>
      <w:r>
        <w:rPr>
          <w:rFonts w:hint="eastAsia" w:cs="仿宋"/>
          <w:color w:val="000000"/>
          <w:sz w:val="24"/>
          <w:szCs w:val="24"/>
          <w:highlight w:val="none"/>
          <w:lang w:val="en-US" w:eastAsia="zh-CN"/>
        </w:rPr>
        <w:t xml:space="preserve">                </w:t>
      </w:r>
      <w:r>
        <w:rPr>
          <w:rFonts w:hint="eastAsia" w:ascii="Times New Roman" w:hAnsi="Times New Roman" w:cs="仿宋"/>
          <w:color w:val="000000"/>
          <w:sz w:val="24"/>
          <w:szCs w:val="24"/>
          <w:highlight w:val="none"/>
        </w:rPr>
        <w:t xml:space="preserve">包号：</w:t>
      </w:r>
      <w:r>
        <w:rPr>
          <w:rFonts w:hint="eastAsia" w:ascii="Times New Roman" w:hAnsi="Times New Roman" w:cs="仿宋"/>
          <w:color w:val="000000"/>
          <w:sz w:val="24"/>
          <w:szCs w:val="24"/>
          <w:highlight w:val="none"/>
          <w:u w:val="single"/>
        </w:rPr>
        <w:t xml:space="preserve">                      </w:t>
      </w:r>
      <w:r/>
    </w:p>
    <w:p>
      <w:pPr>
        <w:ind w:firstLine="0"/>
        <w:pageBreakBefore w:val="0"/>
        <w:spacing w:line="293" w:lineRule="auto"/>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 xml:space="preserve">采购人名称：</w:t>
      </w:r>
      <w:r>
        <w:rPr>
          <w:rFonts w:hint="eastAsia" w:ascii="Times New Roman" w:hAnsi="Times New Roman" w:cs="仿宋"/>
          <w:color w:val="000000"/>
          <w:sz w:val="24"/>
          <w:szCs w:val="24"/>
          <w:highlight w:val="none"/>
          <w:u w:val="single"/>
        </w:rPr>
        <w:t xml:space="preserve">                                                         </w:t>
      </w:r>
      <w:r/>
    </w:p>
    <w:p>
      <w:pPr>
        <w:ind w:firstLine="0"/>
        <w:pageBreakBefore w:val="0"/>
        <w:spacing w:line="293" w:lineRule="auto"/>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采购文件获取日期：</w:t>
      </w:r>
      <w:r>
        <w:rPr>
          <w:rFonts w:hint="eastAsia" w:ascii="Times New Roman" w:hAnsi="Times New Roman" w:cs="仿宋"/>
          <w:color w:val="000000"/>
          <w:sz w:val="24"/>
          <w:szCs w:val="24"/>
          <w:highlight w:val="none"/>
          <w:u w:val="single"/>
        </w:rPr>
        <w:t xml:space="preserve">                                                   </w:t>
      </w:r>
      <w:r/>
    </w:p>
    <w:p>
      <w:pPr>
        <w:ind w:firstLine="0"/>
        <w:pageBreakBefore w:val="0"/>
        <w:spacing w:line="293" w:lineRule="auto"/>
        <w:rPr>
          <w:rFonts w:ascii="Times New Roman" w:hAnsi="Times New Roman" w:eastAsia="黑体" w:cs="仿宋"/>
          <w:bCs/>
          <w:color w:val="000000"/>
          <w:sz w:val="24"/>
          <w:szCs w:val="24"/>
          <w:highlight w:val="none"/>
        </w:rPr>
      </w:pPr>
      <w:r>
        <w:rPr>
          <w:rFonts w:hint="eastAsia" w:ascii="Times New Roman" w:hAnsi="Times New Roman" w:eastAsia="黑体" w:cs="仿宋"/>
          <w:bCs/>
          <w:color w:val="000000"/>
          <w:sz w:val="24"/>
          <w:szCs w:val="24"/>
          <w:highlight w:val="none"/>
        </w:rPr>
        <w:t xml:space="preserve">三、质疑事项具体内容</w:t>
      </w:r>
      <w:r/>
    </w:p>
    <w:p>
      <w:pPr>
        <w:ind w:firstLine="0"/>
        <w:pageBreakBefore w:val="0"/>
        <w:spacing w:line="293" w:lineRule="auto"/>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 xml:space="preserve">质疑事项1：</w:t>
      </w:r>
      <w:r>
        <w:rPr>
          <w:rFonts w:hint="eastAsia" w:ascii="Times New Roman" w:hAnsi="Times New Roman" w:cs="仿宋"/>
          <w:color w:val="000000"/>
          <w:sz w:val="24"/>
          <w:szCs w:val="24"/>
          <w:highlight w:val="none"/>
          <w:u w:val="single"/>
        </w:rPr>
        <w:t xml:space="preserve">                                                          </w:t>
      </w:r>
      <w:r/>
    </w:p>
    <w:p>
      <w:pPr>
        <w:ind w:firstLine="0"/>
        <w:pageBreakBefore w:val="0"/>
        <w:spacing w:line="293" w:lineRule="auto"/>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 xml:space="preserve">事实依据：</w:t>
      </w:r>
      <w:r>
        <w:rPr>
          <w:rFonts w:hint="eastAsia" w:ascii="Times New Roman" w:hAnsi="Times New Roman" w:cs="仿宋"/>
          <w:color w:val="000000"/>
          <w:sz w:val="24"/>
          <w:szCs w:val="24"/>
          <w:highlight w:val="none"/>
          <w:u w:val="single"/>
        </w:rPr>
        <w:t xml:space="preserve">                                                            </w:t>
      </w:r>
      <w:r/>
    </w:p>
    <w:p>
      <w:pPr>
        <w:ind w:firstLine="0"/>
        <w:pageBreakBefore w:val="0"/>
        <w:spacing w:line="293" w:lineRule="auto"/>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u w:val="single"/>
        </w:rPr>
        <w:t xml:space="preserve">                                                                      </w:t>
      </w:r>
      <w:r/>
    </w:p>
    <w:p>
      <w:pPr>
        <w:ind w:firstLine="0"/>
        <w:pageBreakBefore w:val="0"/>
        <w:spacing w:line="293" w:lineRule="auto"/>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 xml:space="preserve">法律依据：</w:t>
      </w:r>
      <w:r>
        <w:rPr>
          <w:rFonts w:hint="eastAsia" w:ascii="Times New Roman" w:hAnsi="Times New Roman" w:cs="仿宋"/>
          <w:color w:val="000000"/>
          <w:sz w:val="24"/>
          <w:szCs w:val="24"/>
          <w:highlight w:val="none"/>
          <w:u w:val="single"/>
        </w:rPr>
        <w:t xml:space="preserve">                                                            </w:t>
      </w:r>
      <w:r/>
    </w:p>
    <w:p>
      <w:pPr>
        <w:ind w:firstLine="0"/>
        <w:pageBreakBefore w:val="0"/>
        <w:spacing w:line="293" w:lineRule="auto"/>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u w:val="single"/>
        </w:rPr>
        <w:t xml:space="preserve">                                                                      </w:t>
      </w:r>
      <w:r/>
    </w:p>
    <w:p>
      <w:pPr>
        <w:ind w:firstLine="0"/>
        <w:pageBreakBefore w:val="0"/>
        <w:spacing w:line="293" w:lineRule="auto"/>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 xml:space="preserve">质疑事项2</w:t>
      </w:r>
      <w:r/>
    </w:p>
    <w:p>
      <w:pPr>
        <w:ind w:firstLine="0"/>
        <w:pageBreakBefore w:val="0"/>
        <w:spacing w:line="293" w:lineRule="auto"/>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w:t>
      </w:r>
      <w:r/>
    </w:p>
    <w:p>
      <w:pPr>
        <w:ind w:firstLine="0"/>
        <w:pageBreakBefore w:val="0"/>
        <w:spacing w:line="293" w:lineRule="auto"/>
        <w:rPr>
          <w:rFonts w:ascii="Times New Roman" w:hAnsi="Times New Roman" w:eastAsia="黑体" w:cs="仿宋"/>
          <w:bCs/>
          <w:color w:val="000000"/>
          <w:sz w:val="24"/>
          <w:szCs w:val="24"/>
          <w:highlight w:val="none"/>
        </w:rPr>
      </w:pPr>
      <w:r>
        <w:rPr>
          <w:rFonts w:hint="eastAsia" w:ascii="Times New Roman" w:hAnsi="Times New Roman" w:eastAsia="黑体" w:cs="仿宋"/>
          <w:bCs/>
          <w:color w:val="000000"/>
          <w:sz w:val="24"/>
          <w:szCs w:val="24"/>
          <w:highlight w:val="none"/>
        </w:rPr>
        <w:t xml:space="preserve">四、与质疑事项相关的质疑请求</w:t>
      </w:r>
      <w:r/>
    </w:p>
    <w:p>
      <w:pPr>
        <w:ind w:firstLine="0"/>
        <w:pageBreakBefore w:val="0"/>
        <w:spacing w:line="293" w:lineRule="auto"/>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 xml:space="preserve">请求：</w:t>
      </w:r>
      <w:r>
        <w:rPr>
          <w:rFonts w:hint="eastAsia" w:ascii="Times New Roman" w:hAnsi="Times New Roman" w:cs="仿宋"/>
          <w:color w:val="000000"/>
          <w:sz w:val="24"/>
          <w:szCs w:val="24"/>
          <w:highlight w:val="none"/>
          <w:u w:val="single"/>
        </w:rPr>
        <w:t xml:space="preserve">                                                                </w:t>
      </w:r>
      <w:r/>
    </w:p>
    <w:p>
      <w:pPr>
        <w:ind w:firstLine="0"/>
        <w:pageBreakBefore w:val="0"/>
        <w:spacing w:line="293"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签字（签章）：                   公章：                      </w:t>
      </w:r>
      <w:r/>
    </w:p>
    <w:p>
      <w:pPr>
        <w:ind w:firstLine="0"/>
        <w:pageBreakBefore w:val="0"/>
        <w:spacing w:line="293"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w:t>
      </w:r>
      <w:r/>
    </w:p>
    <w:p>
      <w:pPr>
        <w:ind w:firstLine="0"/>
        <w:pageBreakBefore w:val="0"/>
        <w:spacing w:line="293"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质疑函制作说明：</w:t>
      </w:r>
      <w:r/>
    </w:p>
    <w:p>
      <w:pPr>
        <w:ind w:firstLine="0"/>
        <w:jc w:val="left"/>
        <w:pageBreakBefore w:val="0"/>
        <w:spacing w:line="293" w:lineRule="auto"/>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1.供应商提出质疑时，应提交质疑函和必要的证明材料。</w:t>
      </w:r>
      <w:r/>
    </w:p>
    <w:p>
      <w:pPr>
        <w:ind w:firstLine="0"/>
        <w:jc w:val="left"/>
        <w:pageBreakBefore w:val="0"/>
        <w:spacing w:line="293" w:lineRule="auto"/>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0"/>
        <w:jc w:val="left"/>
        <w:pageBreakBefore w:val="0"/>
        <w:spacing w:line="293" w:lineRule="auto"/>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3.质疑供应商若对项目的某一分包进行质疑，质疑函中应列明具体分包号。</w:t>
      </w:r>
      <w:r/>
    </w:p>
    <w:p>
      <w:pPr>
        <w:ind w:firstLine="0"/>
        <w:jc w:val="left"/>
        <w:pageBreakBefore w:val="0"/>
        <w:spacing w:line="293" w:lineRule="auto"/>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4.质疑函的质疑事项应具体、明确，并有必要的事实依据和法律依据。</w:t>
      </w:r>
      <w:r/>
    </w:p>
    <w:p>
      <w:pPr>
        <w:ind w:firstLine="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4"/>
          <w:highlight w:val="none"/>
        </w:rPr>
        <w:t xml:space="preserve">5.质疑函的质疑请求应与质疑事项相关。</w:t>
      </w:r>
      <w:r/>
    </w:p>
    <w:p>
      <w:pPr>
        <w:spacing w:line="360" w:lineRule="auto"/>
        <w:rPr>
          <w:rFonts w:hint="eastAsia"/>
          <w:color w:val="auto"/>
        </w:rPr>
      </w:pPr>
      <w:r>
        <w:rPr>
          <w:rFonts w:hint="eastAsia"/>
          <w:color w:val="auto"/>
        </w:rPr>
      </w:r>
      <w:r/>
    </w:p>
    <w:sectPr>
      <w:footerReference w:type="default" r:id="rId11"/>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alibri">
    <w:panose1 w:val="020F0502020204030204"/>
  </w:font>
  <w:font w:name="MS Mincho">
    <w:panose1 w:val="02020603050405090304"/>
  </w:font>
  <w:font w:name="华康简魏碑">
    <w:panose1 w:val="020B0503020202020204"/>
  </w:font>
  <w:font w:name="仿宋_GB2312">
    <w:panose1 w:val="02010609060101010101"/>
  </w:font>
  <w:font w:name="黑体">
    <w:panose1 w:val="02010609060101010101"/>
  </w:font>
  <w:font w:name="Courier New">
    <w:panose1 w:val="02070309020205020404"/>
  </w:font>
  <w:font w:name="Times New Roman">
    <w:panose1 w:val="020206030504050203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r/>
  </w:p>
  <w:p>
    <w:pPr>
      <w:pStyle w:val="7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rPr>
                              <w:rFonts w:hint="default" w:asciiTheme="minorHAnsi" w:hAnsiTheme="minorHAnsi" w:eastAsiaTheme="minorEastAsia" w:cstheme="minorBidi"/>
                              <w:sz w:val="18"/>
                              <w:szCs w:val="22"/>
                              <w:lang w:val="en-US" w:eastAsia="zh-CN" w:bidi="ar-SA"/>
                            </w:rPr>
                          </w:pPr>
                          <w:r>
                            <w:rPr>
                              <w:rFonts w:hint="default" w:cstheme="minorBidi"/>
                              <w:sz w:val="18"/>
                              <w:szCs w:val="22"/>
                              <w:lang w:val="en-US" w:eastAsia="zh-CN" w:bidi="ar-SA"/>
                            </w:rPr>
                            <w:t xml:space="preserve">第 </w:t>
                          </w:r>
                          <w:r>
                            <w:rPr>
                              <w:rFonts w:hint="default" w:cstheme="minorBidi"/>
                              <w:sz w:val="18"/>
                              <w:szCs w:val="22"/>
                              <w:lang w:val="en-US" w:eastAsia="zh-CN" w:bidi="ar-SA"/>
                            </w:rPr>
                            <w:fldChar w:fldCharType="begin"/>
                          </w:r>
                          <w:r>
                            <w:rPr>
                              <w:rFonts w:hint="default" w:cstheme="minorBidi"/>
                              <w:sz w:val="18"/>
                              <w:szCs w:val="22"/>
                              <w:lang w:val="en-US" w:eastAsia="zh-CN" w:bidi="ar-SA"/>
                            </w:rPr>
                            <w:instrText xml:space="preserve"> PAGE  \* MERGEFORMAT </w:instrText>
                          </w:r>
                          <w:r>
                            <w:rPr>
                              <w:rFonts w:hint="default" w:cstheme="minorBidi"/>
                              <w:sz w:val="18"/>
                              <w:szCs w:val="22"/>
                              <w:lang w:val="en-US" w:eastAsia="zh-CN" w:bidi="ar-SA"/>
                            </w:rPr>
                            <w:fldChar w:fldCharType="separate"/>
                          </w:r>
                          <w:r>
                            <w:rPr>
                              <w:rFonts w:hint="default" w:cstheme="minorBidi"/>
                              <w:sz w:val="18"/>
                              <w:szCs w:val="22"/>
                              <w:lang w:val="en-US" w:eastAsia="zh-CN" w:bidi="ar-SA"/>
                            </w:rPr>
                            <w:t xml:space="preserve">1</w:t>
                          </w:r>
                          <w:r>
                            <w:rPr>
                              <w:rFonts w:hint="default" w:cstheme="minorBidi"/>
                              <w:sz w:val="18"/>
                              <w:szCs w:val="22"/>
                              <w:lang w:val="en-US" w:eastAsia="zh-CN" w:bidi="ar-SA"/>
                            </w:rPr>
                            <w:fldChar w:fldCharType="end"/>
                          </w:r>
                          <w:r>
                            <w:rPr>
                              <w:rFonts w:hint="default" w:cstheme="minorBidi"/>
                              <w:sz w:val="18"/>
                              <w:szCs w:val="22"/>
                              <w:lang w:val="en-US" w:eastAsia="zh-CN" w:bidi="ar-SA"/>
                            </w:rPr>
                            <w:t xml:space="preserve"> 页 共 </w:t>
                          </w:r>
                          <w:r>
                            <w:rPr>
                              <w:rFonts w:hint="default" w:cstheme="minorBidi"/>
                              <w:sz w:val="18"/>
                              <w:szCs w:val="22"/>
                              <w:lang w:val="en-US" w:eastAsia="zh-CN" w:bidi="ar-SA"/>
                            </w:rPr>
                            <w:fldChar w:fldCharType="begin"/>
                          </w:r>
                          <w:r>
                            <w:rPr>
                              <w:rFonts w:hint="default" w:cstheme="minorBidi"/>
                              <w:sz w:val="18"/>
                              <w:szCs w:val="22"/>
                              <w:lang w:val="en-US" w:eastAsia="zh-CN" w:bidi="ar-SA"/>
                            </w:rPr>
                            <w:instrText xml:space="preserve"> NUMPAGES  \* MERGEFORMAT </w:instrText>
                          </w:r>
                          <w:r>
                            <w:rPr>
                              <w:rFonts w:hint="default" w:cstheme="minorBidi"/>
                              <w:sz w:val="18"/>
                              <w:szCs w:val="22"/>
                              <w:lang w:val="en-US" w:eastAsia="zh-CN" w:bidi="ar-SA"/>
                            </w:rPr>
                            <w:fldChar w:fldCharType="separate"/>
                          </w:r>
                          <w:r>
                            <w:rPr>
                              <w:rFonts w:hint="default" w:cstheme="minorBidi"/>
                              <w:sz w:val="18"/>
                              <w:szCs w:val="22"/>
                              <w:lang w:val="en-US" w:eastAsia="zh-CN" w:bidi="ar-SA"/>
                            </w:rPr>
                            <w:t xml:space="preserve">66</w:t>
                          </w:r>
                          <w:r>
                            <w:rPr>
                              <w:rFonts w:hint="default" w:cstheme="minorBidi"/>
                              <w:sz w:val="18"/>
                              <w:szCs w:val="22"/>
                              <w:lang w:val="en-US" w:eastAsia="zh-CN" w:bidi="ar-SA"/>
                            </w:rPr>
                            <w:fldChar w:fldCharType="end"/>
                          </w:r>
                          <w:r>
                            <w:rPr>
                              <w:rFonts w:hint="default" w:cstheme="minorBidi"/>
                              <w:sz w:val="18"/>
                              <w:szCs w:val="22"/>
                              <w:lang w:val="en-US" w:eastAsia="zh-CN" w:bidi="ar-S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rPr>
                        <w:rFonts w:hint="default" w:asciiTheme="minorHAnsi" w:hAnsiTheme="minorHAnsi" w:eastAsiaTheme="minorEastAsia" w:cstheme="minorBidi"/>
                        <w:sz w:val="18"/>
                        <w:szCs w:val="22"/>
                        <w:lang w:val="en-US" w:eastAsia="zh-CN" w:bidi="ar-SA"/>
                      </w:rPr>
                    </w:pPr>
                    <w:r>
                      <w:rPr>
                        <w:rFonts w:hint="default" w:cstheme="minorBidi"/>
                        <w:sz w:val="18"/>
                        <w:szCs w:val="22"/>
                        <w:lang w:val="en-US" w:eastAsia="zh-CN" w:bidi="ar-SA"/>
                      </w:rPr>
                      <w:t xml:space="preserve">第 </w:t>
                    </w:r>
                    <w:r>
                      <w:rPr>
                        <w:rFonts w:hint="default" w:cstheme="minorBidi"/>
                        <w:sz w:val="18"/>
                        <w:szCs w:val="22"/>
                        <w:lang w:val="en-US" w:eastAsia="zh-CN" w:bidi="ar-SA"/>
                      </w:rPr>
                      <w:fldChar w:fldCharType="begin"/>
                    </w:r>
                    <w:r>
                      <w:rPr>
                        <w:rFonts w:hint="default" w:cstheme="minorBidi"/>
                        <w:sz w:val="18"/>
                        <w:szCs w:val="22"/>
                        <w:lang w:val="en-US" w:eastAsia="zh-CN" w:bidi="ar-SA"/>
                      </w:rPr>
                      <w:instrText xml:space="preserve"> PAGE  \* MERGEFORMAT </w:instrText>
                    </w:r>
                    <w:r>
                      <w:rPr>
                        <w:rFonts w:hint="default" w:cstheme="minorBidi"/>
                        <w:sz w:val="18"/>
                        <w:szCs w:val="22"/>
                        <w:lang w:val="en-US" w:eastAsia="zh-CN" w:bidi="ar-SA"/>
                      </w:rPr>
                      <w:fldChar w:fldCharType="separate"/>
                    </w:r>
                    <w:r>
                      <w:rPr>
                        <w:rFonts w:hint="default" w:cstheme="minorBidi"/>
                        <w:sz w:val="18"/>
                        <w:szCs w:val="22"/>
                        <w:lang w:val="en-US" w:eastAsia="zh-CN" w:bidi="ar-SA"/>
                      </w:rPr>
                      <w:t xml:space="preserve">1</w:t>
                    </w:r>
                    <w:r>
                      <w:rPr>
                        <w:rFonts w:hint="default" w:cstheme="minorBidi"/>
                        <w:sz w:val="18"/>
                        <w:szCs w:val="22"/>
                        <w:lang w:val="en-US" w:eastAsia="zh-CN" w:bidi="ar-SA"/>
                      </w:rPr>
                      <w:fldChar w:fldCharType="end"/>
                    </w:r>
                    <w:r>
                      <w:rPr>
                        <w:rFonts w:hint="default" w:cstheme="minorBidi"/>
                        <w:sz w:val="18"/>
                        <w:szCs w:val="22"/>
                        <w:lang w:val="en-US" w:eastAsia="zh-CN" w:bidi="ar-SA"/>
                      </w:rPr>
                      <w:t xml:space="preserve"> 页 共 </w:t>
                    </w:r>
                    <w:r>
                      <w:rPr>
                        <w:rFonts w:hint="default" w:cstheme="minorBidi"/>
                        <w:sz w:val="18"/>
                        <w:szCs w:val="22"/>
                        <w:lang w:val="en-US" w:eastAsia="zh-CN" w:bidi="ar-SA"/>
                      </w:rPr>
                      <w:fldChar w:fldCharType="begin"/>
                    </w:r>
                    <w:r>
                      <w:rPr>
                        <w:rFonts w:hint="default" w:cstheme="minorBidi"/>
                        <w:sz w:val="18"/>
                        <w:szCs w:val="22"/>
                        <w:lang w:val="en-US" w:eastAsia="zh-CN" w:bidi="ar-SA"/>
                      </w:rPr>
                      <w:instrText xml:space="preserve"> NUMPAGES  \* MERGEFORMAT </w:instrText>
                    </w:r>
                    <w:r>
                      <w:rPr>
                        <w:rFonts w:hint="default" w:cstheme="minorBidi"/>
                        <w:sz w:val="18"/>
                        <w:szCs w:val="22"/>
                        <w:lang w:val="en-US" w:eastAsia="zh-CN" w:bidi="ar-SA"/>
                      </w:rPr>
                      <w:fldChar w:fldCharType="separate"/>
                    </w:r>
                    <w:r>
                      <w:rPr>
                        <w:rFonts w:hint="default" w:cstheme="minorBidi"/>
                        <w:sz w:val="18"/>
                        <w:szCs w:val="22"/>
                        <w:lang w:val="en-US" w:eastAsia="zh-CN" w:bidi="ar-SA"/>
                      </w:rPr>
                      <w:t xml:space="preserve">66</w:t>
                    </w:r>
                    <w:r>
                      <w:rPr>
                        <w:rFonts w:hint="default" w:cstheme="minorBidi"/>
                        <w:sz w:val="18"/>
                        <w:szCs w:val="22"/>
                        <w:lang w:val="en-US" w:eastAsia="zh-CN" w:bidi="ar-SA"/>
                      </w:rPr>
                      <w:fldChar w:fldCharType="end"/>
                    </w:r>
                    <w:r>
                      <w:rPr>
                        <w:rFonts w:hint="default" w:cstheme="minorBidi"/>
                        <w:sz w:val="18"/>
                        <w:szCs w:val="22"/>
                        <w:lang w:val="en-US" w:eastAsia="zh-CN" w:bidi="ar-S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7"/>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7"/>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02">
    <w:name w:val="Heading 1"/>
    <w:basedOn w:val="701"/>
    <w:next w:val="701"/>
    <w:link w:val="897"/>
    <w:uiPriority w:val="9"/>
    <w:qFormat/>
    <w:pPr>
      <w:keepLines/>
      <w:keepNext/>
      <w:spacing w:before="340" w:after="330" w:line="578" w:lineRule="auto"/>
      <w:outlineLvl w:val="0"/>
    </w:pPr>
    <w:rPr>
      <w:b/>
      <w:bCs/>
      <w:sz w:val="44"/>
      <w:szCs w:val="44"/>
    </w:rPr>
  </w:style>
  <w:style w:type="paragraph" w:styleId="703">
    <w:name w:val="Heading 2"/>
    <w:basedOn w:val="701"/>
    <w:next w:val="701"/>
    <w:link w:val="89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4">
    <w:name w:val="Heading 3"/>
    <w:basedOn w:val="701"/>
    <w:next w:val="713"/>
    <w:link w:val="900"/>
    <w:uiPriority w:val="9"/>
    <w:unhideWhenUsed/>
    <w:qFormat/>
    <w:pPr>
      <w:keepLines/>
      <w:keepNext/>
      <w:spacing w:before="260" w:after="260" w:line="416" w:lineRule="auto"/>
      <w:outlineLvl w:val="2"/>
    </w:pPr>
    <w:rPr>
      <w:b/>
      <w:bCs/>
      <w:sz w:val="32"/>
      <w:szCs w:val="32"/>
    </w:rPr>
  </w:style>
  <w:style w:type="paragraph" w:styleId="705">
    <w:name w:val="Heading 4"/>
    <w:basedOn w:val="701"/>
    <w:next w:val="701"/>
    <w:link w:val="750"/>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51"/>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52"/>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54"/>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55"/>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Normal Indent"/>
    <w:uiPriority w:val="0"/>
    <w:qFormat/>
    <w:pPr>
      <w:ind w:firstLine="420"/>
      <w:jc w:val="left"/>
      <w:widowControl/>
    </w:pPr>
    <w:rPr>
      <w:rFonts w:hint="default" w:asciiTheme="minorHAnsi" w:hAnsiTheme="minorHAnsi" w:eastAsiaTheme="minorEastAsia" w:cstheme="minorBidi"/>
      <w:sz w:val="20"/>
      <w:szCs w:val="22"/>
      <w:lang w:val="en-US" w:eastAsia="zh-CN" w:bidi="ar-SA"/>
    </w:rPr>
  </w:style>
  <w:style w:type="paragraph" w:styleId="714">
    <w:name w:val="toc 7"/>
    <w:basedOn w:val="701"/>
    <w:next w:val="701"/>
    <w:uiPriority w:val="39"/>
    <w:unhideWhenUsed/>
    <w:qFormat/>
    <w:pPr>
      <w:ind w:left="1701" w:right="0" w:firstLine="0"/>
      <w:spacing w:after="57"/>
    </w:pPr>
  </w:style>
  <w:style w:type="paragraph" w:styleId="715">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Document Map"/>
    <w:basedOn w:val="701"/>
    <w:link w:val="898"/>
    <w:uiPriority w:val="99"/>
    <w:semiHidden/>
    <w:unhideWhenUsed/>
    <w:qFormat/>
    <w:rPr>
      <w:rFonts w:ascii="宋体" w:eastAsia="宋体"/>
      <w:sz w:val="18"/>
      <w:szCs w:val="18"/>
    </w:rPr>
  </w:style>
  <w:style w:type="paragraph" w:styleId="717">
    <w:name w:val="annotation text"/>
    <w:basedOn w:val="701"/>
    <w:link w:val="902"/>
    <w:uiPriority w:val="0"/>
    <w:qFormat/>
    <w:pPr>
      <w:ind w:firstLine="922"/>
      <w:jc w:val="left"/>
      <w:spacing w:line="360" w:lineRule="auto"/>
    </w:pPr>
    <w:rPr>
      <w:rFonts w:ascii="Times New Roman" w:hAnsi="Times New Roman" w:eastAsia="宋体" w:cs="Times New Roman"/>
      <w:szCs w:val="24"/>
    </w:rPr>
  </w:style>
  <w:style w:type="paragraph" w:styleId="718">
    <w:name w:val="Body Text"/>
    <w:basedOn w:val="701"/>
    <w:next w:val="701"/>
    <w:uiPriority w:val="99"/>
    <w:semiHidden/>
    <w:unhideWhenUsed/>
    <w:qFormat/>
    <w:pPr>
      <w:spacing w:after="120" w:afterAutospacing="0"/>
    </w:pPr>
  </w:style>
  <w:style w:type="paragraph" w:styleId="719">
    <w:name w:val="Body Text Indent"/>
    <w:next w:val="701"/>
    <w:uiPriority w:val="0"/>
    <w:qFormat/>
    <w:pPr>
      <w:ind w:firstLine="552"/>
      <w:jc w:val="both"/>
      <w:spacing w:before="240" w:line="360" w:lineRule="auto"/>
      <w:widowControl w:val="off"/>
    </w:pPr>
    <w:rPr>
      <w:rFonts w:hint="default" w:ascii="宋体" w:hAnsi="宋体" w:eastAsia="宋体" w:cs="Times New Roman"/>
      <w:sz w:val="21"/>
      <w:szCs w:val="20"/>
      <w:lang w:val="en-US" w:eastAsia="zh-CN" w:bidi="ar-SA"/>
    </w:rPr>
  </w:style>
  <w:style w:type="paragraph" w:styleId="720">
    <w:name w:val="toc 5"/>
    <w:basedOn w:val="701"/>
    <w:next w:val="701"/>
    <w:uiPriority w:val="39"/>
    <w:unhideWhenUsed/>
    <w:qFormat/>
    <w:pPr>
      <w:ind w:left="1134" w:right="0" w:firstLine="0"/>
      <w:spacing w:after="57"/>
    </w:pPr>
  </w:style>
  <w:style w:type="paragraph" w:styleId="721">
    <w:name w:val="toc 3"/>
    <w:basedOn w:val="701"/>
    <w:next w:val="701"/>
    <w:uiPriority w:val="39"/>
    <w:unhideWhenUsed/>
    <w:qFormat/>
    <w:pPr>
      <w:ind w:left="567" w:right="0" w:firstLine="0"/>
      <w:spacing w:after="57"/>
    </w:pPr>
  </w:style>
  <w:style w:type="paragraph" w:styleId="722">
    <w:name w:val="Plain Text"/>
    <w:basedOn w:val="701"/>
    <w:link w:val="905"/>
    <w:uiPriority w:val="0"/>
    <w:qFormat/>
    <w:rPr>
      <w:rFonts w:ascii="宋体" w:hAnsi="Courier New" w:eastAsia="宋体" w:cs="Times New Roman"/>
      <w:szCs w:val="20"/>
    </w:rPr>
  </w:style>
  <w:style w:type="paragraph" w:styleId="723">
    <w:name w:val="toc 8"/>
    <w:basedOn w:val="701"/>
    <w:next w:val="701"/>
    <w:uiPriority w:val="39"/>
    <w:unhideWhenUsed/>
    <w:qFormat/>
    <w:pPr>
      <w:ind w:left="1984" w:right="0" w:firstLine="0"/>
      <w:spacing w:after="57"/>
    </w:pPr>
  </w:style>
  <w:style w:type="paragraph" w:styleId="724">
    <w:name w:val="Date"/>
    <w:basedOn w:val="701"/>
    <w:next w:val="701"/>
    <w:link w:val="901"/>
    <w:uiPriority w:val="99"/>
    <w:semiHidden/>
    <w:unhideWhenUsed/>
    <w:qFormat/>
    <w:pPr>
      <w:ind w:left="100"/>
    </w:pPr>
  </w:style>
  <w:style w:type="paragraph" w:styleId="725">
    <w:name w:val="endnote text"/>
    <w:basedOn w:val="701"/>
    <w:link w:val="893"/>
    <w:uiPriority w:val="99"/>
    <w:semiHidden/>
    <w:unhideWhenUsed/>
    <w:qFormat/>
    <w:pPr>
      <w:spacing w:after="0" w:line="240" w:lineRule="auto"/>
    </w:pPr>
    <w:rPr>
      <w:sz w:val="20"/>
    </w:rPr>
  </w:style>
  <w:style w:type="paragraph" w:styleId="726">
    <w:name w:val="Balloon Text"/>
    <w:basedOn w:val="701"/>
    <w:link w:val="903"/>
    <w:uiPriority w:val="99"/>
    <w:semiHidden/>
    <w:unhideWhenUsed/>
    <w:qFormat/>
    <w:rPr>
      <w:sz w:val="18"/>
      <w:szCs w:val="18"/>
    </w:rPr>
  </w:style>
  <w:style w:type="paragraph" w:styleId="727">
    <w:name w:val="Footer"/>
    <w:basedOn w:val="701"/>
    <w:link w:val="896"/>
    <w:uiPriority w:val="99"/>
    <w:unhideWhenUsed/>
    <w:qFormat/>
    <w:pPr>
      <w:jc w:val="left"/>
      <w:tabs>
        <w:tab w:val="center" w:pos="4153" w:leader="none"/>
        <w:tab w:val="right" w:pos="8306" w:leader="none"/>
      </w:tabs>
    </w:pPr>
    <w:rPr>
      <w:sz w:val="18"/>
      <w:szCs w:val="18"/>
    </w:rPr>
  </w:style>
  <w:style w:type="paragraph" w:styleId="728">
    <w:name w:val="Header"/>
    <w:basedOn w:val="701"/>
    <w:link w:val="89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9">
    <w:name w:val="toc 1"/>
    <w:basedOn w:val="701"/>
    <w:next w:val="701"/>
    <w:uiPriority w:val="39"/>
    <w:unhideWhenUsed/>
    <w:qFormat/>
    <w:pPr>
      <w:jc w:val="center"/>
      <w:tabs>
        <w:tab w:val="right" w:pos="8296" w:leader="dot"/>
      </w:tabs>
    </w:pPr>
    <w:rPr>
      <w:rFonts w:ascii="黑体" w:hAnsi="黑体" w:eastAsia="黑体"/>
      <w:sz w:val="36"/>
      <w:szCs w:val="32"/>
    </w:rPr>
  </w:style>
  <w:style w:type="paragraph" w:styleId="730">
    <w:name w:val="toc 4"/>
    <w:basedOn w:val="701"/>
    <w:next w:val="701"/>
    <w:uiPriority w:val="39"/>
    <w:unhideWhenUsed/>
    <w:qFormat/>
    <w:pPr>
      <w:ind w:left="850" w:right="0" w:firstLine="0"/>
      <w:spacing w:after="57"/>
    </w:pPr>
  </w:style>
  <w:style w:type="paragraph" w:styleId="731">
    <w:name w:val="Subtitle"/>
    <w:basedOn w:val="701"/>
    <w:next w:val="701"/>
    <w:link w:val="759"/>
    <w:uiPriority w:val="11"/>
    <w:qFormat/>
    <w:pPr>
      <w:spacing w:before="200" w:after="200"/>
    </w:pPr>
    <w:rPr>
      <w:sz w:val="24"/>
      <w:szCs w:val="24"/>
    </w:rPr>
  </w:style>
  <w:style w:type="paragraph" w:styleId="732">
    <w:name w:val="footnote text"/>
    <w:basedOn w:val="701"/>
    <w:link w:val="892"/>
    <w:uiPriority w:val="99"/>
    <w:semiHidden/>
    <w:unhideWhenUsed/>
    <w:qFormat/>
    <w:pPr>
      <w:spacing w:after="40" w:line="240" w:lineRule="auto"/>
    </w:pPr>
    <w:rPr>
      <w:sz w:val="18"/>
    </w:rPr>
  </w:style>
  <w:style w:type="paragraph" w:styleId="733">
    <w:name w:val="toc 6"/>
    <w:basedOn w:val="701"/>
    <w:next w:val="701"/>
    <w:uiPriority w:val="39"/>
    <w:unhideWhenUsed/>
    <w:qFormat/>
    <w:pPr>
      <w:ind w:left="1417" w:right="0" w:firstLine="0"/>
      <w:spacing w:after="57"/>
    </w:pPr>
  </w:style>
  <w:style w:type="paragraph" w:styleId="734">
    <w:name w:val="table of figures"/>
    <w:basedOn w:val="701"/>
    <w:next w:val="701"/>
    <w:uiPriority w:val="99"/>
    <w:unhideWhenUsed/>
    <w:qFormat/>
    <w:pPr>
      <w:spacing w:after="0" w:afterAutospacing="0"/>
    </w:pPr>
  </w:style>
  <w:style w:type="paragraph" w:styleId="735">
    <w:name w:val="toc 2"/>
    <w:basedOn w:val="701"/>
    <w:next w:val="701"/>
    <w:uiPriority w:val="39"/>
    <w:unhideWhenUsed/>
    <w:qFormat/>
    <w:pPr>
      <w:ind w:left="283" w:right="0" w:firstLine="0"/>
      <w:spacing w:after="57"/>
    </w:pPr>
  </w:style>
  <w:style w:type="paragraph" w:styleId="736">
    <w:name w:val="toc 9"/>
    <w:basedOn w:val="701"/>
    <w:next w:val="701"/>
    <w:uiPriority w:val="39"/>
    <w:unhideWhenUsed/>
    <w:qFormat/>
    <w:pPr>
      <w:ind w:left="2268" w:right="0" w:firstLine="0"/>
      <w:spacing w:after="57"/>
    </w:pPr>
  </w:style>
  <w:style w:type="paragraph" w:styleId="737">
    <w:name w:val="Normal (Web)"/>
    <w:uiPriority w:val="0"/>
    <w:qFormat/>
    <w:pPr>
      <w:jc w:val="left"/>
      <w:spacing w:beforeAutospacing="1" w:afterAutospacing="1"/>
      <w:widowControl w:val="off"/>
    </w:pPr>
    <w:rPr>
      <w:rFonts w:hint="default" w:cs="Times New Roman" w:asciiTheme="minorHAnsi" w:hAnsiTheme="minorHAnsi" w:eastAsiaTheme="minorEastAsia"/>
      <w:sz w:val="24"/>
      <w:szCs w:val="22"/>
      <w:lang w:val="en-US" w:eastAsia="zh-CN" w:bidi="ar-SA"/>
    </w:rPr>
  </w:style>
  <w:style w:type="paragraph" w:styleId="738">
    <w:name w:val="Title"/>
    <w:basedOn w:val="701"/>
    <w:next w:val="701"/>
    <w:link w:val="758"/>
    <w:uiPriority w:val="10"/>
    <w:qFormat/>
    <w:pPr>
      <w:contextualSpacing/>
      <w:spacing w:before="300" w:after="200"/>
    </w:pPr>
    <w:rPr>
      <w:sz w:val="48"/>
      <w:szCs w:val="48"/>
    </w:rPr>
  </w:style>
  <w:style w:type="paragraph" w:styleId="739">
    <w:name w:val="Body Text First Indent 2"/>
    <w:uiPriority w:val="99"/>
    <w:qFormat/>
    <w:pPr>
      <w:ind w:firstLine="420"/>
      <w:jc w:val="both"/>
      <w:widowControl w:val="off"/>
      <w:tabs>
        <w:tab w:val="left" w:pos="0" w:leader="none"/>
        <w:tab w:val="left" w:pos="993" w:leader="none"/>
        <w:tab w:val="left" w:pos="1134" w:leader="none"/>
        <w:tab w:val="left" w:pos="4606" w:leader="none"/>
      </w:tabs>
    </w:pPr>
    <w:rPr>
      <w:rFonts w:hint="default" w:ascii="仿宋_GB2312" w:eastAsia="仿宋_GB2312" w:hAnsiTheme="minorHAnsi" w:cstheme="minorBidi"/>
      <w:sz w:val="32"/>
      <w:szCs w:val="22"/>
      <w:lang w:val="en-US" w:eastAsia="zh-CN" w:bidi="ar-SA"/>
    </w:rPr>
  </w:style>
  <w:style w:type="table" w:styleId="740">
    <w:name w:val="Table Grid"/>
    <w:basedOn w:val="7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Strong"/>
    <w:uiPriority w:val="0"/>
    <w:qFormat/>
    <w:rPr>
      <w:b/>
      <w:bCs/>
    </w:rPr>
  </w:style>
  <w:style w:type="character" w:styleId="742">
    <w:name w:val="endnote reference"/>
    <w:basedOn w:val="711"/>
    <w:uiPriority w:val="99"/>
    <w:semiHidden/>
    <w:unhideWhenUsed/>
    <w:qFormat/>
    <w:rPr>
      <w:vertAlign w:val="superscript"/>
    </w:rPr>
  </w:style>
  <w:style w:type="character" w:styleId="743">
    <w:name w:val="Hyperlink"/>
    <w:uiPriority w:val="99"/>
    <w:qFormat/>
    <w:rPr>
      <w:color w:val="0000ff"/>
      <w:u w:val="none"/>
    </w:rPr>
  </w:style>
  <w:style w:type="character" w:styleId="744">
    <w:name w:val="annotation reference"/>
    <w:uiPriority w:val="0"/>
    <w:qFormat/>
    <w:rPr>
      <w:sz w:val="21"/>
      <w:szCs w:val="21"/>
    </w:rPr>
  </w:style>
  <w:style w:type="character" w:styleId="745">
    <w:name w:val="footnote reference"/>
    <w:basedOn w:val="711"/>
    <w:uiPriority w:val="99"/>
    <w:unhideWhenUsed/>
    <w:qFormat/>
    <w:rPr>
      <w:vertAlign w:val="superscript"/>
    </w:rPr>
  </w:style>
  <w:style w:type="paragraph" w:styleId="746" w:customStyle="1">
    <w:name w:val="Default"/>
    <w:link w:val="904"/>
    <w:uiPriority w:val="99"/>
    <w:qFormat/>
    <w:pPr>
      <w:widowControl w:val="off"/>
    </w:pPr>
    <w:rPr>
      <w:rFonts w:hint="default" w:ascii="MS Mincho" w:hAnsi="Calibri" w:eastAsia="宋体" w:cs="Times New Roman"/>
      <w:color w:val="000000"/>
      <w:sz w:val="21"/>
      <w:szCs w:val="24"/>
      <w:lang w:val="en-US" w:eastAsia="zh-CN" w:bidi="ar-SA"/>
    </w:rPr>
  </w:style>
  <w:style w:type="character" w:styleId="747" w:customStyle="1">
    <w:name w:val="Heading 1 Char"/>
    <w:basedOn w:val="711"/>
    <w:uiPriority w:val="9"/>
    <w:qFormat/>
    <w:rPr>
      <w:rFonts w:ascii="Arial" w:hAnsi="Arial" w:eastAsia="Arial" w:cs="Arial"/>
      <w:sz w:val="40"/>
      <w:szCs w:val="40"/>
    </w:rPr>
  </w:style>
  <w:style w:type="character" w:styleId="748" w:customStyle="1">
    <w:name w:val="Heading 2 Char"/>
    <w:basedOn w:val="711"/>
    <w:uiPriority w:val="9"/>
    <w:qFormat/>
    <w:rPr>
      <w:rFonts w:ascii="Arial" w:hAnsi="Arial" w:eastAsia="Arial" w:cs="Arial"/>
      <w:sz w:val="34"/>
    </w:rPr>
  </w:style>
  <w:style w:type="character" w:styleId="749" w:customStyle="1">
    <w:name w:val="Heading 3 Char"/>
    <w:basedOn w:val="711"/>
    <w:uiPriority w:val="9"/>
    <w:qFormat/>
    <w:rPr>
      <w:rFonts w:ascii="Arial" w:hAnsi="Arial" w:eastAsia="Arial" w:cs="Arial"/>
      <w:sz w:val="30"/>
      <w:szCs w:val="30"/>
    </w:rPr>
  </w:style>
  <w:style w:type="character" w:styleId="750" w:customStyle="1">
    <w:name w:val="Heading 4 Char"/>
    <w:basedOn w:val="711"/>
    <w:link w:val="705"/>
    <w:uiPriority w:val="9"/>
    <w:qFormat/>
    <w:rPr>
      <w:rFonts w:ascii="Arial" w:hAnsi="Arial" w:eastAsia="Arial" w:cs="Arial"/>
      <w:b/>
      <w:bCs/>
      <w:sz w:val="26"/>
      <w:szCs w:val="26"/>
    </w:rPr>
  </w:style>
  <w:style w:type="character" w:styleId="751" w:customStyle="1">
    <w:name w:val="Heading 5 Char"/>
    <w:basedOn w:val="711"/>
    <w:link w:val="706"/>
    <w:uiPriority w:val="9"/>
    <w:qFormat/>
    <w:rPr>
      <w:rFonts w:ascii="Arial" w:hAnsi="Arial" w:eastAsia="Arial" w:cs="Arial"/>
      <w:b/>
      <w:bCs/>
      <w:sz w:val="24"/>
      <w:szCs w:val="24"/>
    </w:rPr>
  </w:style>
  <w:style w:type="character" w:styleId="752" w:customStyle="1">
    <w:name w:val="Heading 6 Char"/>
    <w:basedOn w:val="711"/>
    <w:link w:val="707"/>
    <w:uiPriority w:val="9"/>
    <w:qFormat/>
    <w:rPr>
      <w:rFonts w:ascii="Arial" w:hAnsi="Arial" w:eastAsia="Arial" w:cs="Arial"/>
      <w:b/>
      <w:bCs/>
      <w:sz w:val="22"/>
      <w:szCs w:val="22"/>
    </w:rPr>
  </w:style>
  <w:style w:type="character" w:styleId="753" w:customStyle="1">
    <w:name w:val="Heading 7 Char"/>
    <w:basedOn w:val="711"/>
    <w:link w:val="708"/>
    <w:uiPriority w:val="9"/>
    <w:qFormat/>
    <w:rPr>
      <w:rFonts w:ascii="Arial" w:hAnsi="Arial" w:eastAsia="Arial" w:cs="Arial"/>
      <w:b/>
      <w:bCs/>
      <w:i/>
      <w:iCs/>
      <w:sz w:val="22"/>
      <w:szCs w:val="22"/>
    </w:rPr>
  </w:style>
  <w:style w:type="character" w:styleId="754" w:customStyle="1">
    <w:name w:val="Heading 8 Char"/>
    <w:basedOn w:val="711"/>
    <w:link w:val="709"/>
    <w:uiPriority w:val="9"/>
    <w:qFormat/>
    <w:rPr>
      <w:rFonts w:ascii="Arial" w:hAnsi="Arial" w:eastAsia="Arial" w:cs="Arial"/>
      <w:i/>
      <w:iCs/>
      <w:sz w:val="22"/>
      <w:szCs w:val="22"/>
    </w:rPr>
  </w:style>
  <w:style w:type="character" w:styleId="755" w:customStyle="1">
    <w:name w:val="Heading 9 Char"/>
    <w:basedOn w:val="711"/>
    <w:link w:val="710"/>
    <w:uiPriority w:val="9"/>
    <w:qFormat/>
    <w:rPr>
      <w:rFonts w:ascii="Arial" w:hAnsi="Arial" w:eastAsia="Arial" w:cs="Arial"/>
      <w:i/>
      <w:iCs/>
      <w:sz w:val="21"/>
      <w:szCs w:val="21"/>
    </w:rPr>
  </w:style>
  <w:style w:type="paragraph" w:styleId="756">
    <w:name w:val="List Paragraph"/>
    <w:basedOn w:val="701"/>
    <w:uiPriority w:val="34"/>
    <w:qFormat/>
    <w:pPr>
      <w:contextualSpacing/>
      <w:ind w:left="720"/>
    </w:pPr>
  </w:style>
  <w:style w:type="paragraph" w:styleId="757">
    <w:name w:val="No Spacing"/>
    <w:uiPriority w:val="1"/>
    <w:qFormat/>
    <w:pPr>
      <w:spacing w:before="0" w:after="0" w:line="240" w:lineRule="auto"/>
    </w:pPr>
    <w:rPr>
      <w:rFonts w:hint="default" w:asciiTheme="minorHAnsi" w:hAnsiTheme="minorHAnsi" w:eastAsiaTheme="minorEastAsia" w:cstheme="minorBidi"/>
    </w:rPr>
  </w:style>
  <w:style w:type="character" w:styleId="758" w:customStyle="1">
    <w:name w:val="Title Char"/>
    <w:basedOn w:val="711"/>
    <w:link w:val="738"/>
    <w:uiPriority w:val="10"/>
    <w:qFormat/>
    <w:rPr>
      <w:sz w:val="48"/>
      <w:szCs w:val="48"/>
    </w:rPr>
  </w:style>
  <w:style w:type="character" w:styleId="759" w:customStyle="1">
    <w:name w:val="Subtitle Char"/>
    <w:basedOn w:val="711"/>
    <w:link w:val="731"/>
    <w:uiPriority w:val="11"/>
    <w:qFormat/>
    <w:rPr>
      <w:sz w:val="24"/>
      <w:szCs w:val="24"/>
    </w:rPr>
  </w:style>
  <w:style w:type="paragraph" w:styleId="760">
    <w:name w:val="Quote"/>
    <w:basedOn w:val="701"/>
    <w:next w:val="701"/>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701"/>
    <w:next w:val="701"/>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basedOn w:val="711"/>
    <w:uiPriority w:val="99"/>
    <w:qFormat/>
  </w:style>
  <w:style w:type="character" w:styleId="765" w:customStyle="1">
    <w:name w:val="Footer Char"/>
    <w:basedOn w:val="711"/>
    <w:uiPriority w:val="99"/>
    <w:qFormat/>
  </w:style>
  <w:style w:type="character" w:styleId="766" w:customStyle="1">
    <w:name w:val="Caption Char"/>
    <w:uiPriority w:val="99"/>
    <w:qFormat/>
  </w:style>
  <w:style w:type="table" w:styleId="767" w:customStyle="1">
    <w:name w:val="Table Grid Light"/>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7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7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7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7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7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7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7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7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7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7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7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7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7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7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7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7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7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7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71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basedOn w:val="71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basedOn w:val="71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basedOn w:val="71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basedOn w:val="71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basedOn w:val="71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basedOn w:val="71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basedOn w:val="7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basedOn w:val="71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basedOn w:val="7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basedOn w:val="71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basedOn w:val="71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71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71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71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71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71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71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71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71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71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71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71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71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71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basedOn w:val="71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basedOn w:val="71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basedOn w:val="71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basedOn w:val="71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basedOn w:val="71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71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basedOn w:val="7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71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7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71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71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71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basedOn w:val="71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basedOn w:val="71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basedOn w:val="71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basedOn w:val="71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basedOn w:val="71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basedOn w:val="71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71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71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71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71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71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basedOn w:val="71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basedOn w:val="71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basedOn w:val="71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basedOn w:val="71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basedOn w:val="71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basedOn w:val="71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71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71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71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71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71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71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basedOn w:val="7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71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basedOn w:val="71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basedOn w:val="71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basedOn w:val="71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basedOn w:val="71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basedOn w:val="71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basedOn w:val="7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7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basedOn w:val="7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basedOn w:val="7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basedOn w:val="7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basedOn w:val="7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basedOn w:val="7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32"/>
    <w:uiPriority w:val="99"/>
    <w:qFormat/>
    <w:rPr>
      <w:sz w:val="18"/>
    </w:rPr>
  </w:style>
  <w:style w:type="character" w:styleId="893" w:customStyle="1">
    <w:name w:val="Endnote Text Char"/>
    <w:link w:val="725"/>
    <w:uiPriority w:val="99"/>
    <w:qFormat/>
    <w:rPr>
      <w:sz w:val="20"/>
    </w:rPr>
  </w:style>
  <w:style w:type="paragraph" w:styleId="894" w:customStyle="1">
    <w:name w:val="TOC Heading"/>
    <w:uiPriority w:val="39"/>
    <w:unhideWhenUsed/>
    <w:qFormat/>
    <w:rPr>
      <w:rFonts w:hint="default" w:asciiTheme="minorHAnsi" w:hAnsiTheme="minorHAnsi" w:eastAsiaTheme="minorEastAsia" w:cstheme="minorBidi"/>
    </w:rPr>
  </w:style>
  <w:style w:type="character" w:styleId="895" w:customStyle="1">
    <w:name w:val="页眉 字符"/>
    <w:basedOn w:val="711"/>
    <w:link w:val="728"/>
    <w:uiPriority w:val="99"/>
    <w:qFormat/>
    <w:rPr>
      <w:sz w:val="18"/>
      <w:szCs w:val="18"/>
    </w:rPr>
  </w:style>
  <w:style w:type="character" w:styleId="896" w:customStyle="1">
    <w:name w:val="页脚 字符"/>
    <w:basedOn w:val="711"/>
    <w:link w:val="727"/>
    <w:uiPriority w:val="99"/>
    <w:qFormat/>
    <w:rPr>
      <w:sz w:val="18"/>
      <w:szCs w:val="18"/>
    </w:rPr>
  </w:style>
  <w:style w:type="character" w:styleId="897" w:customStyle="1">
    <w:name w:val="标题 1 字符"/>
    <w:basedOn w:val="711"/>
    <w:link w:val="702"/>
    <w:uiPriority w:val="9"/>
    <w:qFormat/>
    <w:rPr>
      <w:b/>
      <w:bCs/>
      <w:sz w:val="44"/>
      <w:szCs w:val="44"/>
    </w:rPr>
  </w:style>
  <w:style w:type="character" w:styleId="898" w:customStyle="1">
    <w:name w:val="文档结构图 字符"/>
    <w:basedOn w:val="711"/>
    <w:link w:val="716"/>
    <w:uiPriority w:val="99"/>
    <w:semiHidden/>
    <w:qFormat/>
    <w:rPr>
      <w:rFonts w:ascii="宋体" w:eastAsia="宋体"/>
      <w:sz w:val="18"/>
      <w:szCs w:val="18"/>
    </w:rPr>
  </w:style>
  <w:style w:type="character" w:styleId="899" w:customStyle="1">
    <w:name w:val="标题 2 字符"/>
    <w:basedOn w:val="711"/>
    <w:link w:val="703"/>
    <w:uiPriority w:val="9"/>
    <w:qFormat/>
    <w:rPr>
      <w:rFonts w:asciiTheme="majorHAnsi" w:hAnsiTheme="majorHAnsi" w:eastAsiaTheme="majorEastAsia" w:cstheme="majorBidi"/>
      <w:b/>
      <w:bCs/>
      <w:sz w:val="32"/>
      <w:szCs w:val="32"/>
    </w:rPr>
  </w:style>
  <w:style w:type="character" w:styleId="900" w:customStyle="1">
    <w:name w:val="标题 3 字符"/>
    <w:basedOn w:val="711"/>
    <w:link w:val="704"/>
    <w:uiPriority w:val="9"/>
    <w:qFormat/>
    <w:rPr>
      <w:b/>
      <w:bCs/>
      <w:sz w:val="32"/>
      <w:szCs w:val="32"/>
    </w:rPr>
  </w:style>
  <w:style w:type="character" w:styleId="901" w:customStyle="1">
    <w:name w:val="日期 字符"/>
    <w:basedOn w:val="711"/>
    <w:link w:val="724"/>
    <w:uiPriority w:val="99"/>
    <w:semiHidden/>
    <w:qFormat/>
  </w:style>
  <w:style w:type="character" w:styleId="902" w:customStyle="1">
    <w:name w:val="批注文字 字符"/>
    <w:basedOn w:val="711"/>
    <w:link w:val="717"/>
    <w:uiPriority w:val="0"/>
    <w:qFormat/>
    <w:rPr>
      <w:rFonts w:ascii="Times New Roman" w:hAnsi="Times New Roman" w:eastAsia="宋体" w:cs="Times New Roman"/>
      <w:szCs w:val="24"/>
    </w:rPr>
  </w:style>
  <w:style w:type="character" w:styleId="903" w:customStyle="1">
    <w:name w:val="批注框文本 字符"/>
    <w:basedOn w:val="711"/>
    <w:link w:val="726"/>
    <w:uiPriority w:val="99"/>
    <w:semiHidden/>
    <w:qFormat/>
    <w:rPr>
      <w:sz w:val="18"/>
      <w:szCs w:val="18"/>
    </w:rPr>
  </w:style>
  <w:style w:type="character" w:styleId="904" w:customStyle="1">
    <w:name w:val="Default Char"/>
    <w:link w:val="746"/>
    <w:uiPriority w:val="99"/>
    <w:qFormat/>
    <w:rPr>
      <w:rFonts w:ascii="MS Mincho" w:hAnsi="Calibri" w:eastAsia="宋体" w:cs="Times New Roman"/>
      <w:color w:val="000000"/>
      <w:szCs w:val="24"/>
    </w:rPr>
  </w:style>
  <w:style w:type="character" w:styleId="905" w:customStyle="1">
    <w:name w:val="纯文本 字符"/>
    <w:basedOn w:val="711"/>
    <w:link w:val="722"/>
    <w:uiPriority w:val="0"/>
    <w:qFormat/>
    <w:rPr>
      <w:rFonts w:ascii="宋体" w:hAnsi="Courier New" w:eastAsia="宋体" w:cs="Times New Roman"/>
      <w:szCs w:val="20"/>
    </w:rPr>
  </w:style>
  <w:style w:type="character" w:styleId="906" w:customStyle="1">
    <w:name w:val="NormalCharacter"/>
    <w:uiPriority w:val="0"/>
    <w:qFormat/>
  </w:style>
  <w:style w:type="paragraph" w:styleId="907" w:customStyle="1">
    <w:name w:val="HTML 预设格式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黑体" w:hAnsi="Courier New" w:eastAsia="黑体" w:cs="Times New Roman"/>
      <w:sz w:val="20"/>
      <w:szCs w:val="20"/>
      <w:lang w:val="en-US" w:eastAsia="zh-CN" w:bidi="ar-SA"/>
    </w:rPr>
  </w:style>
  <w:style w:type="paragraph" w:styleId="908" w:customStyle="1">
    <w:name w:val="普通正文"/>
    <w:uiPriority w:val="0"/>
    <w:qFormat/>
    <w:pPr>
      <w:ind w:firstLine="480"/>
      <w:jc w:val="left"/>
      <w:spacing w:before="120" w:after="120" w:line="360" w:lineRule="auto"/>
      <w:widowControl w:val="off"/>
    </w:pPr>
    <w:rPr>
      <w:rFonts w:hint="default" w:ascii="Arial" w:hAnsi="Arial" w:eastAsia="宋体" w:cs="Times New Roman"/>
      <w:sz w:val="24"/>
      <w:szCs w:val="24"/>
      <w:lang w:val="en-US" w:eastAsia="zh-CN" w:bidi="ar-SA"/>
    </w:rPr>
  </w:style>
  <w:style w:type="table" w:styleId="909" w:customStyle="1">
    <w:name w:val="Table Grid"/>
    <w:uiPriority w:val="0"/>
    <w:qFormat/>
    <w:pPr>
      <w:spacing w:after="0" w:line="240" w:lineRule="auto"/>
    </w:pPr>
    <w:tblPr>
      <w:tblCellMar>
        <w:left w:w="0" w:type="dxa"/>
        <w:top w:w="0" w:type="dxa"/>
        <w:right w:w="0" w:type="dxa"/>
        <w:bottom w:w="0" w:type="dxa"/>
      </w:tblCellMar>
    </w:tblPr>
  </w:style>
  <w:style w:type="paragraph" w:styleId="910" w:customStyle="1">
    <w:name w:val="纯文本2"/>
    <w:uiPriority w:val="0"/>
    <w:qFormat/>
    <w:pPr>
      <w:jc w:val="both"/>
      <w:widowControl w:val="off"/>
    </w:pPr>
    <w:rPr>
      <w:rFonts w:hint="default" w:ascii="宋体" w:hAnsi="Times New Roman" w:eastAsiaTheme="minorEastAsia" w:cstheme="minorBidi"/>
      <w:sz w:val="28"/>
      <w:szCs w:val="20"/>
      <w:lang w:val="en-US" w:eastAsia="zh-CN" w:bidi="ar-SA"/>
    </w:rPr>
  </w:style>
  <w:style w:type="paragraph" w:styleId="911" w:customStyle="1">
    <w:name w:val="页眉1"/>
    <w:basedOn w:val="701"/>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912" w:customStyle="1">
    <w:name w:val="页脚11"/>
    <w:basedOn w:val="701"/>
    <w:uiPriority w:val="99"/>
    <w:qFormat/>
    <w:pPr>
      <w:jc w:val="left"/>
      <w:tabs>
        <w:tab w:val="center" w:pos="4153" w:leader="none"/>
        <w:tab w:val="right" w:pos="8306" w:leader="none"/>
      </w:tabs>
    </w:pPr>
    <w:rPr>
      <w:sz w:val="18"/>
      <w:szCs w:val="18"/>
    </w:rPr>
  </w:style>
  <w:style w:type="paragraph" w:styleId="913" w:customStyle="1">
    <w:name w:val="批注文字11"/>
    <w:basedOn w:val="701"/>
    <w:uiPriority w:val="99"/>
    <w:qFormat/>
    <w:pPr>
      <w:jc w:val="left"/>
    </w:pPr>
    <w:rPr>
      <w:sz w:val="21"/>
    </w:rPr>
  </w:style>
  <w:style w:type="paragraph" w:styleId="914" w:customStyle="1">
    <w:name w:val="普通(网站)1"/>
    <w:basedOn w:val="701"/>
    <w:uiPriority w:val="99"/>
    <w:qFormat/>
    <w:pPr>
      <w:jc w:val="left"/>
      <w:spacing w:before="100" w:beforeAutospacing="1" w:after="100" w:afterAutospacing="1"/>
      <w:widowControl/>
    </w:pPr>
    <w:rPr>
      <w:rFonts w:ascii="宋体" w:hAnsi="宋体" w:cs="宋体"/>
      <w:sz w:val="24"/>
    </w:rPr>
  </w:style>
  <w:style w:type="numbering" w:styleId="107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ACF87AE-9FD5-431C-A523-DCF71D81B41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陈林熙</cp:lastModifiedBy>
  <cp:revision>7</cp:revision>
  <dcterms:created xsi:type="dcterms:W3CDTF">2024-01-04T03:50:00Z</dcterms:created>
  <dcterms:modified xsi:type="dcterms:W3CDTF">2026-06-25T03:39:30Z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AD46E6F2D04C46FD81829123B9A4B4AF_13</vt:lpwstr>
  </property>
  <property fmtid="{D5CDD505-2E9C-101B-9397-08002B2CF9AE}" pid="4" name="KSOTemplateDocerSaveRecord">
    <vt:lpwstr>eyJoZGlkIjoiOTE5ZDhjYmQ4YjI1MzkzZTE2ZmVmZjVlNDM3NjRiODUiLCJ1c2VySWQiOiI4MTg5MDk5MTgifQ==</vt:lpwstr>
  </property>
</Properties>
</file>