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p>
    <w:p>
      <w:pPr>
        <w:jc w:val="center"/>
        <w:spacing w:before="120" w:after="120" w:line="360" w:lineRule="auto"/>
        <w:rPr>
          <w:rFonts w:hint="eastAsia" w:ascii="Arial" w:hAnsi="Arial" w:eastAsia="宋体" w:cs="Times New Roman"/>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w:t>
      </w:r>
      <w:r>
        <w:rPr>
          <w:rFonts w:hint="eastAsia" w:ascii="Arial" w:hAnsi="Arial" w:eastAsia="宋体" w:cs="Times New Roman"/>
          <w:b/>
          <w:bCs/>
          <w:color w:val="000000" w:themeColor="text1"/>
          <w:sz w:val="32"/>
          <w:szCs w:val="24"/>
          <w:highlight w:val="none"/>
          <w14:textFill>
            <w14:solidFill>
              <w14:schemeClr w14:val="tx1"/>
            </w14:solidFill>
          </w14:textFill>
        </w:rPr>
        <w:t xml:space="preserve">：宿迁学院新校区学生公寓北、东组团室内配套家具采购</w:t>
      </w:r>
      <w:r>
        <w:rPr>
          <w:rFonts w:hint="eastAsia" w:ascii="Times New Roman" w:hAnsi="Times New Roman"/>
          <w:b/>
          <w:color w:val="000000" w:themeColor="text1"/>
          <w:sz w:val="30"/>
          <w:szCs w:val="30"/>
          <w:highlight w:val="none"/>
          <w:lang w:val="en-US" w:eastAsia="zh-CN"/>
          <w14:textFill>
            <w14:solidFill>
              <w14:schemeClr w14:val="tx1"/>
            </w14:solidFill>
          </w14:textFill>
        </w:rPr>
        <w:t xml:space="preserve">项目</w:t>
      </w:r>
      <w:r/>
    </w:p>
    <w:p>
      <w:pPr>
        <w:jc w:val="center"/>
        <w:spacing w:before="120" w:after="120" w:line="360" w:lineRule="auto"/>
        <w:rPr>
          <w:rFonts w:hint="eastAsia" w:ascii="Arial" w:hAnsi="Arial" w:eastAsia="宋体" w:cs="Times New Roman"/>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Arial" w:hAnsi="Arial" w:eastAsia="宋体" w:cs="Times New Roman"/>
          <w:b/>
          <w:bCs/>
          <w:color w:val="000000" w:themeColor="text1"/>
          <w:sz w:val="32"/>
          <w:szCs w:val="24"/>
          <w:highlight w:val="none"/>
          <w14:textFill>
            <w14:solidFill>
              <w14:schemeClr w14:val="tx1"/>
            </w14:solidFill>
          </w14:textFill>
        </w:rPr>
        <w:t xml:space="preserve">：JSZC-320000-SQJW-G2026-0013</w:t>
      </w:r>
      <w:r/>
    </w:p>
    <w:p>
      <w:pPr>
        <w:ind w:left="2800" w:hanging="2800"/>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14:textFill>
            <w14:solidFill>
              <w14:schemeClr w14:val="tx1"/>
            </w14:solidFill>
          </w14:textFill>
        </w:rPr>
        <w:t xml:space="preserve">       </w:t>
      </w:r>
      <w:r>
        <w:rPr>
          <w:rFonts w:hint="eastAsia" w:ascii="Times New Roman" w:hAnsi="Times New Roman"/>
          <w:b/>
          <w:color w:val="000000" w:themeColor="text1"/>
          <w:sz w:val="28"/>
          <w:szCs w:val="28"/>
          <w:highlight w:val="none"/>
          <w14:textFill>
            <w14:solidFill>
              <w14:schemeClr w14:val="tx1"/>
            </w14:solidFill>
          </w14:textFill>
        </w:rPr>
        <w:t xml:space="preserve"> </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before="120" w:after="120" w:line="360" w:lineRule="auto"/>
        <w:rPr>
          <w:rFonts w:hint="default" w:ascii="Arial" w:hAnsi="Arial" w:eastAsia="宋体"/>
          <w:b/>
          <w:bCs/>
          <w:color w:val="000000" w:themeColor="text1"/>
          <w:sz w:val="32"/>
          <w:szCs w:val="24"/>
          <w:highlight w:val="none"/>
          <w:lang w:val="en-US" w:eastAsia="zh-CN"/>
          <w14:textFill>
            <w14:solidFill>
              <w14:schemeClr w14:val="tx1"/>
            </w14:solidFill>
          </w14:textFill>
        </w:rPr>
      </w:pPr>
      <w:r>
        <w:rPr>
          <w:rFonts w:hint="eastAsia" w:ascii="Arial" w:hAnsi="Arial"/>
          <w:b/>
          <w:bCs/>
          <w:color w:val="000000" w:themeColor="text1"/>
          <w:sz w:val="32"/>
          <w:szCs w:val="24"/>
          <w:highlight w:val="none"/>
          <w:lang w:val="en-US" w:eastAsia="zh-CN"/>
          <w14:textFill>
            <w14:solidFill>
              <w14:schemeClr w14:val="tx1"/>
            </w14:solidFill>
          </w14:textFill>
        </w:rPr>
        <w:t xml:space="preserve">宿迁建威工程咨询有限公司</w:t>
      </w:r>
      <w:r/>
    </w:p>
    <w:p>
      <w:pPr>
        <w:jc w:val="center"/>
        <w:spacing w:before="120" w:after="120" w:line="360" w:lineRule="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lang w:val="en-US" w:eastAsia="zh-CN"/>
          <w14:textFill>
            <w14:solidFill>
              <w14:schemeClr w14:val="tx1"/>
            </w14:solidFill>
          </w14:textFill>
        </w:rPr>
        <w:t xml:space="preserve">2026</w:t>
      </w:r>
      <w:r>
        <w:rPr>
          <w:rFonts w:hint="eastAsia" w:ascii="Arial" w:hAnsi="Arial"/>
          <w:b/>
          <w:bCs/>
          <w:color w:val="000000" w:themeColor="text1"/>
          <w:sz w:val="32"/>
          <w:szCs w:val="24"/>
          <w:highlight w:val="none"/>
          <w14:textFill>
            <w14:solidFill>
              <w14:schemeClr w14:val="tx1"/>
            </w14:solidFill>
          </w14:textFill>
        </w:rPr>
        <w:t xml:space="preserve">年</w:t>
      </w:r>
      <w:r>
        <w:rPr>
          <w:rFonts w:hint="eastAsia" w:ascii="Arial" w:hAnsi="Arial"/>
          <w:b/>
          <w:bCs/>
          <w:color w:val="000000" w:themeColor="text1"/>
          <w:sz w:val="32"/>
          <w:szCs w:val="24"/>
          <w:highlight w:val="none"/>
          <w:lang w:val="en-US" w:eastAsia="zh-CN"/>
          <w14:textFill>
            <w14:solidFill>
              <w14:schemeClr w14:val="tx1"/>
            </w14:solidFill>
          </w14:textFill>
        </w:rPr>
        <w:t xml:space="preserve">6</w:t>
      </w:r>
      <w:r>
        <w:rPr>
          <w:rFonts w:hint="eastAsia" w:ascii="Arial" w:hAnsi="Arial"/>
          <w:b/>
          <w:bCs/>
          <w:color w:val="000000" w:themeColor="text1"/>
          <w:sz w:val="32"/>
          <w:szCs w:val="24"/>
          <w:highlight w:val="none"/>
          <w14:textFill>
            <w14:solidFill>
              <w14:schemeClr w14:val="tx1"/>
            </w14:solidFill>
          </w14:textFill>
        </w:rPr>
        <w:t xml:space="preserve">月</w:t>
      </w: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jc w:val="center"/>
        <w:spacing w:before="120" w:after="120" w:line="360" w:lineRule="auto"/>
        <w:rPr>
          <w:rFonts w:hint="eastAsia"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outlineLvl w:val="0"/>
      </w:pPr>
      <w:r>
        <w:rPr>
          <w:rFonts w:ascii="Times New Roman" w:hAnsi="Times New Roman"/>
          <w:color w:val="000000" w:themeColor="text1"/>
          <w:szCs w:val="21"/>
          <w:highlight w:val="none"/>
          <w14:textFill>
            <w14:solidFill>
              <w14:schemeClr w14:val="tx1"/>
            </w14:solidFill>
          </w14:textFill>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spacing w:line="480" w:lineRule="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p>
    <w:p>
      <w:pPr>
        <w:numPr>
          <w:ilvl w:val="0"/>
          <w:numId w:val="4"/>
        </w:numPr>
        <w:spacing w:line="480" w:lineRule="auto"/>
        <w:rPr>
          <w:rFonts w:hint="eastAsia" w:ascii="黑体" w:hAnsi="Showcard Gothic" w:eastAsia="黑体"/>
          <w:color w:val="000000" w:themeColor="text1"/>
          <w:sz w:val="32"/>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投标邀请</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3</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投标人须知</w:t>
      </w:r>
      <w:r>
        <w:rPr>
          <w:rFonts w:hint="eastAsia" w:ascii="黑体" w:hAnsi="Showcard Gothic" w:eastAsia="黑体"/>
          <w:color w:val="000000" w:themeColor="text1"/>
          <w:sz w:val="36"/>
          <w:szCs w:val="36"/>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7</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合同文本</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18</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采购需求</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34</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评标方法与评标标准</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50</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投标文件格式</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54</w:t>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44"/>
          <w:highlight w:val="none"/>
          <w14:textFill>
            <w14:solidFill>
              <w14:schemeClr w14:val="tx1"/>
            </w14:solidFill>
          </w14:textFill>
        </w:rPr>
        <w:outlineLvl w:val="0"/>
      </w:pPr>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 xml:space="preserve">投标邀请</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val="en-US" w:eastAsia="zh-CN"/>
          <w14:textFill>
            <w14:solidFill>
              <w14:schemeClr w14:val="tx1"/>
            </w14:solidFill>
          </w14:textFill>
        </w:rPr>
        <w:t xml:space="preserve">宿迁学院</w:t>
      </w:r>
      <w:r>
        <w:rPr>
          <w:rFonts w:hint="eastAsia" w:ascii="宋体" w:hAnsi="宋体"/>
          <w:color w:val="000000" w:themeColor="text1"/>
          <w:sz w:val="24"/>
          <w:szCs w:val="24"/>
          <w:highlight w:val="none"/>
          <w14:textFill>
            <w14:solidFill>
              <w14:schemeClr w14:val="tx1"/>
            </w14:solidFill>
          </w14:textFill>
        </w:rPr>
        <w:t xml:space="preserve">的委托，宿迁建威工程咨询有限公司就宿迁学院新校区学生公寓北、东组团室内配套家具采购(JSZC-320000-SQJW-G2026-0013)项目进行公开招标采购，欢迎符合条件的供应商投标。</w:t>
      </w:r>
      <w:r/>
    </w:p>
    <w:p>
      <w:pPr>
        <w:spacing w:line="40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40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14:textFill>
            <w14:solidFill>
              <w14:schemeClr w14:val="tx1"/>
            </w14:solidFill>
          </w14:textFill>
        </w:rPr>
        <w:t xml:space="preserve">宿迁学院新校区学生公寓北、东组团室内配套家具采购</w:t>
      </w:r>
      <w:r>
        <w:rPr>
          <w:rFonts w:hint="eastAsia" w:ascii="宋体" w:hAnsi="宋体"/>
          <w:color w:val="000000" w:themeColor="text1"/>
          <w:sz w:val="24"/>
          <w:szCs w:val="24"/>
          <w:highlight w:val="none"/>
          <w14:textFill>
            <w14:solidFill>
              <w14:schemeClr w14:val="tx1"/>
            </w14:solidFill>
          </w14:textFill>
        </w:rPr>
        <w:t xml:space="preserve">招标项目的潜在投标人可在</w:t>
      </w:r>
      <w:r>
        <w:rPr>
          <w:rFonts w:hint="eastAsia" w:ascii="宋体" w:hAnsi="宋体"/>
          <w:color w:val="000000" w:themeColor="text1"/>
          <w:sz w:val="24"/>
          <w:szCs w:val="24"/>
          <w:highlight w:val="none"/>
          <w:u w:val="single"/>
          <w14:textFill>
            <w14:solidFill>
              <w14:schemeClr w14:val="tx1"/>
            </w14:solidFill>
          </w14:textFill>
        </w:rPr>
        <w:t xml:space="preserve">“江苏政府采购网”自行免费下载</w:t>
      </w:r>
      <w:r>
        <w:rPr>
          <w:rFonts w:hint="eastAsia" w:ascii="宋体" w:hAnsi="宋体"/>
          <w:color w:val="000000" w:themeColor="text1"/>
          <w:sz w:val="24"/>
          <w:szCs w:val="24"/>
          <w:highlight w:val="none"/>
          <w14:textFill>
            <w14:solidFill>
              <w14:schemeClr w14:val="tx1"/>
            </w14:solidFill>
          </w14:textFill>
        </w:rPr>
        <w:t xml:space="preserve">招标文件，并于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bCs/>
          <w:color w:val="000000" w:themeColor="text1"/>
          <w:sz w:val="24"/>
          <w:szCs w:val="24"/>
          <w:highlight w:val="none"/>
          <w:u w:val="single"/>
          <w14:textFill>
            <w14:solidFill>
              <w14:schemeClr w14:val="tx1"/>
            </w14:solidFill>
          </w14:textFill>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07</w:t>
      </w:r>
      <w:r>
        <w:rPr>
          <w:rFonts w:hint="eastAsia" w:ascii="宋体" w:hAnsi="宋体"/>
          <w:bCs/>
          <w:color w:val="000000" w:themeColor="text1"/>
          <w:sz w:val="24"/>
          <w:szCs w:val="24"/>
          <w:highlight w:val="none"/>
          <w:u w:val="single"/>
          <w14:textFill>
            <w14:solidFill>
              <w14:schemeClr w14:val="tx1"/>
            </w14:solidFill>
          </w14:textFill>
        </w:rPr>
        <w:t xml:space="preserve">月</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bCs/>
          <w:color w:val="000000" w:themeColor="text1"/>
          <w:sz w:val="24"/>
          <w:szCs w:val="24"/>
          <w:highlight w:val="none"/>
          <w:u w:val="single"/>
          <w14:textFill>
            <w14:solidFill>
              <w14:schemeClr w14:val="tx1"/>
            </w14:solidFill>
          </w14:textFill>
        </w:rPr>
        <w:t xml:space="preserve">日</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szCs w:val="24"/>
          <w:highlight w:val="none"/>
          <w:u w:val="single"/>
          <w14:textFill>
            <w14:solidFill>
              <w14:schemeClr w14:val="tx1"/>
            </w14:solidFill>
          </w14:textFill>
        </w:rPr>
        <w:t xml:space="preserve">点</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bCs/>
          <w:color w:val="000000" w:themeColor="text1"/>
          <w:sz w:val="24"/>
          <w:szCs w:val="24"/>
          <w:highlight w:val="none"/>
          <w:u w:val="singl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ind w:firstLine="496"/>
        <w:keepLines/>
        <w:keepNext/>
        <w:spacing w:before="156" w:after="156" w:line="400" w:lineRule="exact"/>
        <w:rPr>
          <w:rFonts w:ascii="Times New Roman" w:hAnsi="Times New Roman"/>
          <w:b/>
          <w:bCs/>
          <w:color w:val="000000" w:themeColor="text1"/>
          <w:sz w:val="32"/>
          <w:szCs w:val="32"/>
          <w:highlight w:val="none"/>
          <w14:textFill>
            <w14:solidFill>
              <w14:schemeClr w14:val="tx1"/>
            </w14:solidFill>
          </w14:textFill>
        </w:rPr>
        <w:outlineLvl w:val="2"/>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Times New Roman" w:hAnsi="Times New Roman"/>
          <w:b/>
          <w:bCs/>
          <w:color w:val="000000" w:themeColor="text1"/>
          <w:sz w:val="32"/>
          <w:szCs w:val="32"/>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1.项目编号：JSZC-320000-SQJW-G2026-0013</w:t>
      </w:r>
      <w:r/>
    </w:p>
    <w:p>
      <w:pPr>
        <w:ind w:firstLine="480"/>
        <w:spacing w:line="40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2.项目名称：宿迁学院新校区学生公寓北、东组团室内配套家具采购</w:t>
      </w:r>
      <w:r>
        <w:rPr>
          <w:rFonts w:hint="eastAsia" w:ascii="宋体" w:hAnsi="宋体"/>
          <w:color w:val="000000" w:themeColor="text1"/>
          <w:sz w:val="24"/>
          <w:szCs w:val="24"/>
          <w:highlight w:val="none"/>
          <w:lang w:val="en-US" w:eastAsia="zh-CN"/>
          <w14:textFill>
            <w14:solidFill>
              <w14:schemeClr w14:val="tx1"/>
            </w14:solidFill>
          </w14:textFill>
        </w:rPr>
        <w:t xml:space="preserve">项目</w:t>
      </w:r>
      <w:bookmarkEnd w:id="11"/>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p>
    <w:tbl>
      <w:tblPr>
        <w:tblStyle w:val="741"/>
        <w:tblW w:w="5671"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523"/>
      </w:tblGrid>
      <w:tr>
        <w:trPr/>
        <w:tc>
          <w:tcPr>
            <w:tcW w:w="1148" w:type="dxa"/>
            <w:vAlign w:val="center"/>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包号</w:t>
            </w:r>
            <w:r/>
          </w:p>
        </w:tc>
        <w:tc>
          <w:tcPr>
            <w:tcW w:w="4523"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预算</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金额</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（人民币</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：万元</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rHeight w:val="320"/>
        </w:trPr>
        <w:tc>
          <w:tcPr>
            <w:tcW w:w="1148" w:type="dxa"/>
            <w:vAlign w:val="center"/>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p>
        </w:tc>
        <w:tc>
          <w:tcPr>
            <w:tcW w:w="4523" w:type="dxa"/>
            <w:vAlign w:val="center"/>
            <w:textDirection w:val="lrTb"/>
            <w:noWrap w:val="false"/>
          </w:tcPr>
          <w:p>
            <w:pPr>
              <w:jc w:val="center"/>
              <w:keepLines w:val="0"/>
              <w:keepNext w:val="0"/>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2160.2</w:t>
            </w:r>
            <w:r/>
          </w:p>
        </w:tc>
      </w:tr>
      <w:tr>
        <w:trPr>
          <w:trHeight w:val="320"/>
        </w:trPr>
        <w:tc>
          <w:tcPr>
            <w:tcW w:w="1148" w:type="dxa"/>
            <w:vAlign w:val="center"/>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4523" w:type="dxa"/>
            <w:vAlign w:val="center"/>
            <w:textDirection w:val="lrTb"/>
            <w:noWrap w:val="false"/>
          </w:tcPr>
          <w:p>
            <w:pPr>
              <w:jc w:val="center"/>
              <w:keepLines w:val="0"/>
              <w:keepNext w:val="0"/>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1012</w:t>
            </w:r>
            <w:r/>
          </w:p>
        </w:tc>
      </w:tr>
      <w:tr>
        <w:trPr>
          <w:trHeight w:val="320"/>
        </w:trPr>
        <w:tc>
          <w:tcPr>
            <w:tcW w:w="1148" w:type="dxa"/>
            <w:vAlign w:val="center"/>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w:t>
            </w:r>
            <w:r/>
          </w:p>
        </w:tc>
        <w:tc>
          <w:tcPr>
            <w:tcW w:w="4523" w:type="dxa"/>
            <w:vAlign w:val="center"/>
            <w:textDirection w:val="lrTb"/>
            <w:noWrap w:val="false"/>
          </w:tcPr>
          <w:p>
            <w:pPr>
              <w:jc w:val="center"/>
              <w:keepLines w:val="0"/>
              <w:keepNext w:val="0"/>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526</w:t>
            </w:r>
            <w:r/>
          </w:p>
        </w:tc>
      </w:tr>
    </w:tbl>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4.最高</w:t>
      </w:r>
      <w:r>
        <w:rPr>
          <w:rFonts w:ascii="宋体" w:hAnsi="宋体"/>
          <w:color w:val="000000" w:themeColor="text1"/>
          <w:sz w:val="24"/>
          <w:szCs w:val="24"/>
          <w:highlight w:val="none"/>
          <w14:textFill>
            <w14:solidFill>
              <w14:schemeClr w14:val="tx1"/>
            </w14:solidFill>
          </w14:textFill>
        </w:rPr>
        <w:t xml:space="preserve">限价</w:t>
      </w:r>
      <w:r/>
    </w:p>
    <w:tbl>
      <w:tblPr>
        <w:tblStyle w:val="741"/>
        <w:tblW w:w="7083"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包号</w:t>
            </w:r>
            <w:r/>
          </w:p>
        </w:tc>
        <w:tc>
          <w:tcPr>
            <w:tcW w:w="2800" w:type="dxa"/>
            <w:vAlign w:val="top"/>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是否</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设定最高</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限价</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是/否</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3135"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最高</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限价</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（人民币</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：万元</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c>
          <w:tcPr>
            <w:tcW w:w="1148" w:type="dxa"/>
            <w:vAlign w:val="top"/>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2800" w:type="dxa"/>
            <w:vAlign w:val="top"/>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w:t>
            </w:r>
            <w:r/>
          </w:p>
        </w:tc>
        <w:tc>
          <w:tcPr>
            <w:tcW w:w="3135" w:type="dxa"/>
            <w:vAlign w:val="center"/>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2024.22</w:t>
            </w:r>
            <w:r/>
          </w:p>
        </w:tc>
      </w:tr>
      <w:tr>
        <w:trPr/>
        <w:tc>
          <w:tcPr>
            <w:tcW w:w="1148" w:type="dxa"/>
            <w:vAlign w:val="top"/>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bookmarkStart w:id="12" w:name="_Toc28359003"/>
            <w:r/>
            <w:bookmarkStart w:id="13" w:name="_Toc35393622"/>
            <w:r/>
            <w:bookmarkStart w:id="14" w:name="_Toc35393791"/>
            <w:r/>
            <w:bookmarkStart w:id="15" w:name="_Toc38985264"/>
            <w:r/>
            <w:bookmarkStart w:id="16" w:name="_Toc28359080"/>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2800"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w:t>
            </w:r>
            <w:r/>
          </w:p>
        </w:tc>
        <w:tc>
          <w:tcPr>
            <w:tcW w:w="3135" w:type="dxa"/>
            <w:vAlign w:val="center"/>
            <w:textDirection w:val="lrTb"/>
            <w:noWrap w:val="false"/>
          </w:tcPr>
          <w:p>
            <w:pPr>
              <w:jc w:val="center"/>
              <w:spacing w:line="0" w:lineRule="atLeast"/>
              <w:widowControl w:val="off"/>
              <w:rPr>
                <w:rFonts w:hint="eastAsia" w:ascii="Times New Roman" w:hAnsi="Times New Roman" w:eastAsia="宋体" w:cs="仿宋"/>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912.12</w:t>
            </w:r>
            <w:r/>
          </w:p>
        </w:tc>
      </w:tr>
      <w:tr>
        <w:trPr/>
        <w:tc>
          <w:tcPr>
            <w:tcW w:w="1148" w:type="dxa"/>
            <w:vAlign w:val="top"/>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w:t>
            </w:r>
            <w:r/>
          </w:p>
        </w:tc>
        <w:tc>
          <w:tcPr>
            <w:tcW w:w="2800"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w:t>
            </w:r>
            <w:r/>
          </w:p>
        </w:tc>
        <w:tc>
          <w:tcPr>
            <w:tcW w:w="3135" w:type="dxa"/>
            <w:vAlign w:val="center"/>
            <w:textDirection w:val="lrTb"/>
            <w:noWrap w:val="false"/>
          </w:tcPr>
          <w:p>
            <w:pPr>
              <w:jc w:val="center"/>
              <w:spacing w:line="0" w:lineRule="atLeast"/>
              <w:widowControl w:val="off"/>
              <w:rPr>
                <w:rFonts w:hint="eastAsia" w:ascii="Times New Roman" w:hAnsi="Times New Roman" w:eastAsia="宋体" w:cs="仿宋"/>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426</w:t>
            </w:r>
            <w:r/>
          </w:p>
        </w:tc>
      </w:tr>
    </w:tbl>
    <w:p>
      <w:pPr>
        <w:numPr>
          <w:ilvl w:val="0"/>
          <w:numId w:val="5"/>
        </w:numPr>
        <w:ind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采购需求(简介)：宿迁学院</w:t>
      </w:r>
      <w:r>
        <w:rPr>
          <w:rFonts w:hint="eastAsia" w:ascii="宋体" w:hAnsi="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olor w:val="000000" w:themeColor="text1"/>
          <w:sz w:val="24"/>
          <w:szCs w:val="24"/>
          <w:highlight w:val="none"/>
          <w14:textFill>
            <w14:solidFill>
              <w14:schemeClr w14:val="tx1"/>
            </w14:solidFill>
          </w14:textFill>
        </w:rPr>
        <w:t xml:space="preserve">新校区学生公寓北、东组团室内配套家具</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Times New Roman" w:hAnsi="Times New Roman" w:cs="方正仿宋_GBK"/>
          <w:color w:val="000000" w:themeColor="text1"/>
          <w:sz w:val="24"/>
          <w:szCs w:val="24"/>
          <w:highlight w:val="none"/>
          <w:u w:val="none"/>
          <w14:textFill>
            <w14:solidFill>
              <w14:schemeClr w14:val="tx1"/>
            </w14:solidFill>
          </w14:textFill>
        </w:rPr>
        <w:t xml:space="preserve">包括家具制作、运输、装卸、安装、调试及售后三包服务等</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w:t>
      </w:r>
      <w:r/>
    </w:p>
    <w:tbl>
      <w:tblPr>
        <w:tblStyle w:val="741"/>
        <w:tblW w:w="7159"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5653"/>
      </w:tblGrid>
      <w:tr>
        <w:trPr>
          <w:trHeight w:val="637"/>
        </w:trPr>
        <w:tc>
          <w:tcPr>
            <w:tcW w:w="150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采购包号</w:t>
            </w:r>
            <w:r/>
          </w:p>
        </w:tc>
        <w:tc>
          <w:tcPr>
            <w:tcW w:w="5653"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家具类型</w:t>
            </w:r>
            <w:r/>
          </w:p>
        </w:tc>
      </w:tr>
      <w:tr>
        <w:trPr>
          <w:trHeight w:val="323"/>
        </w:trPr>
        <w:tc>
          <w:tcPr>
            <w:tcW w:w="1506" w:type="dxa"/>
            <w:vAlign w:val="top"/>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5653" w:type="dxa"/>
            <w:vAlign w:val="top"/>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北组团步梯款</w:t>
            </w:r>
            <w:r/>
          </w:p>
        </w:tc>
      </w:tr>
      <w:tr>
        <w:trPr>
          <w:trHeight w:val="323"/>
        </w:trPr>
        <w:tc>
          <w:tcPr>
            <w:tcW w:w="1506" w:type="dxa"/>
            <w:vAlign w:val="top"/>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p>
        </w:tc>
        <w:tc>
          <w:tcPr>
            <w:tcW w:w="5653"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东组团步梯款</w:t>
            </w:r>
            <w:r/>
          </w:p>
        </w:tc>
      </w:tr>
      <w:tr>
        <w:trPr>
          <w:trHeight w:val="333"/>
        </w:trPr>
        <w:tc>
          <w:tcPr>
            <w:tcW w:w="1506" w:type="dxa"/>
            <w:vAlign w:val="top"/>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w:t>
            </w:r>
            <w:r/>
          </w:p>
        </w:tc>
        <w:tc>
          <w:tcPr>
            <w:tcW w:w="5653"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爬梯款</w:t>
            </w:r>
            <w:r/>
          </w:p>
        </w:tc>
      </w:tr>
    </w:tbl>
    <w:p>
      <w:pPr>
        <w:pStyle w:val="750"/>
        <w:numPr>
          <w:ilvl w:val="0"/>
          <w:numId w:val="0"/>
        </w:numPr>
        <w:jc w:val="both"/>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jc w:val="left"/>
        <w:spacing w:line="400" w:lineRule="exact"/>
        <w:rPr>
          <w:rFonts w:hint="default" w:ascii="Times New Roman" w:hAnsi="Times New Roman" w:eastAsia="宋体" w:cs="Times New Roman"/>
          <w:b w:val="0"/>
          <w:bCs w:val="0"/>
          <w:color w:val="000000" w:themeColor="text1"/>
          <w:sz w:val="24"/>
          <w:szCs w:val="24"/>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注：（</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本项目共分</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个采购包，</w:t>
      </w:r>
      <w:r>
        <w:rPr>
          <w:rFonts w:hint="eastAsia" w:ascii="Times New Roman" w:hAnsi="Times New Roman" w:eastAsia="宋体" w:cs="Times New Roman"/>
          <w:b w:val="0"/>
          <w:bCs w:val="0"/>
          <w:color w:val="000000" w:themeColor="text1"/>
          <w:sz w:val="24"/>
          <w:szCs w:val="24"/>
          <w:highlight w:val="none"/>
          <w:lang w:val="en-US"/>
          <w14:textFill>
            <w14:solidFill>
              <w14:schemeClr w14:val="tx1"/>
            </w14:solidFill>
          </w14:textFill>
        </w:rPr>
        <w:t xml:space="preserve">投标人应针对不同采购包分别编制投标文件，并上传至对应的采购包。如若未按要求操作和上传失误，自行负责。</w:t>
      </w:r>
      <w:r/>
    </w:p>
    <w:p>
      <w:pPr>
        <w:numPr>
          <w:numId w:val="0"/>
        </w:numPr>
        <w:ind w:right="0"/>
        <w:jc w:val="left"/>
        <w:keepLines w:val="0"/>
        <w:keepNext w:val="0"/>
        <w:pageBreakBefore w:val="0"/>
        <w:spacing w:before="0" w:beforeAutospacing="0" w:after="0" w:afterAutospacing="0" w:line="450" w:lineRule="atLeast"/>
        <w:shd w:val="clear" w:color="auto" w:fill="ffffff"/>
        <w:widowControl/>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Times New Roman"/>
          <w:b w:val="0"/>
          <w:bCs w:val="0"/>
          <w:color w:val="000000" w:themeColor="text1"/>
          <w:sz w:val="24"/>
          <w:szCs w:val="24"/>
          <w:highlight w:val="none"/>
          <w:lang w:eastAsia="zh-CN"/>
          <w14:textFill>
            <w14:solidFill>
              <w14:schemeClr w14:val="tx1"/>
            </w14:solidFill>
          </w14:textFill>
        </w:rPr>
        <w:t xml:space="preserve">（</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2</w:t>
      </w:r>
      <w:r>
        <w:rPr>
          <w:rFonts w:hint="eastAsia"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兼投不兼中，即投标人可参与任意采购包或全部采购包的投标，需对拟参与采购包分别进行制作投标文件，但同一供应商最多只能中一个采购包。评标、中标的顺序为：</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采购包1、采购包2</w:t>
      </w:r>
      <w:r>
        <w:rPr>
          <w:rFonts w:hint="eastAsia"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采购包</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，已被推荐为</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采购</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包</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1的中标候选人不再参与</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采购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2</w:t>
      </w:r>
      <w:r>
        <w:rPr>
          <w:rFonts w:hint="eastAsia" w:cs="Times New Roman"/>
          <w:b w:val="0"/>
          <w:bCs w:val="0"/>
          <w:color w:val="000000" w:themeColor="text1"/>
          <w:sz w:val="24"/>
          <w:szCs w:val="24"/>
          <w:highlight w:val="none"/>
          <w:lang w:eastAsia="zh-CN"/>
          <w14:textFill>
            <w14:solidFill>
              <w14:schemeClr w14:val="tx1"/>
            </w14:solidFill>
          </w14:textFill>
        </w:rPr>
        <w:t xml:space="preserve">、</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采购包3</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的评审</w:t>
      </w:r>
      <w:r>
        <w:rPr>
          <w:rFonts w:hint="eastAsia" w:cs="Times New Roman"/>
          <w:b w:val="0"/>
          <w:bCs w:val="0"/>
          <w:color w:val="000000" w:themeColor="text1"/>
          <w:sz w:val="24"/>
          <w:szCs w:val="24"/>
          <w:highlight w:val="none"/>
          <w:lang w:eastAsia="zh-CN"/>
          <w14:textFill>
            <w14:solidFill>
              <w14:schemeClr w14:val="tx1"/>
            </w14:solidFill>
          </w14:textFill>
        </w:rPr>
        <w:t xml:space="preserve">，</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已被推荐为</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采购</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包2</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的中标候选人不再参与</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采购包3</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的评审。</w:t>
      </w:r>
      <w:r/>
    </w:p>
    <w:p>
      <w:pPr>
        <w:numPr>
          <w:numId w:val="0"/>
        </w:numPr>
        <w:ind w:right="0"/>
        <w:jc w:val="left"/>
        <w:keepLines w:val="0"/>
        <w:keepNext w:val="0"/>
        <w:pageBreakBefore w:val="0"/>
        <w:spacing w:before="0" w:beforeAutospacing="0" w:after="0" w:afterAutospacing="0" w:line="450" w:lineRule="atLeast"/>
        <w:shd w:val="clear" w:color="auto" w:fill="ffffff"/>
        <w:widowControl/>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Times New Roman"/>
          <w:b w:val="0"/>
          <w:bCs w:val="0"/>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在合同签订之前，若</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采购包</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因质疑、投诉等事项导致</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中标</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结果改变的，不影响其余</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采购包</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的</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中标</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结果。</w:t>
      </w:r>
      <w:r/>
    </w:p>
    <w:p>
      <w:pPr>
        <w:numPr>
          <w:ilvl w:val="0"/>
          <w:numId w:val="5"/>
        </w:numPr>
        <w:ind w:left="0" w:right="0" w:firstLine="480"/>
        <w:jc w:val="left"/>
        <w:keepLines w:val="0"/>
        <w:keepNext w:val="0"/>
        <w:pageBreakBefore w:val="0"/>
        <w:spacing w:before="0" w:beforeAutospacing="0" w:after="0" w:afterAutospacing="0" w:line="450" w:lineRule="atLeast"/>
        <w:shd w:val="clear" w:color="auto" w:fill="ffffff"/>
        <w:widowControl/>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合同履行期限</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w:t>
      </w:r>
      <w:r/>
    </w:p>
    <w:p>
      <w:pPr>
        <w:ind w:left="0" w:right="0" w:firstLine="480"/>
        <w:jc w:val="left"/>
        <w:keepLines w:val="0"/>
        <w:keepNext w:val="0"/>
        <w:pageBreakBefore w:val="0"/>
        <w:spacing w:before="0" w:beforeAutospacing="0" w:after="0" w:afterAutospacing="0" w:line="450" w:lineRule="atLeast"/>
        <w:shd w:val="clear" w:color="auto" w:fill="ffffff"/>
        <w:widowControl/>
        <w:rPr>
          <w:rFonts w:hint="eastAsia" w:cs="Times New Roman"/>
          <w:b w:val="0"/>
          <w:bCs w:val="0"/>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Times New Roman"/>
          <w:b w:val="0"/>
          <w:bCs w:val="0"/>
          <w:color w:val="000000" w:themeColor="text1"/>
          <w:sz w:val="24"/>
          <w:szCs w:val="24"/>
          <w:highlight w:val="none"/>
          <w:lang w:eastAsia="zh-CN"/>
          <w14:textFill>
            <w14:solidFill>
              <w14:schemeClr w14:val="tx1"/>
            </w14:solidFill>
          </w14:textFill>
        </w:rPr>
        <w:t xml:space="preserve">采购包</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1：合同签订后50日历天内送到甲方指定地点完成安装、调试、检测并经验收合格后交付甲方使用（含二次搬运费）。</w:t>
      </w:r>
      <w:r/>
    </w:p>
    <w:p>
      <w:pPr>
        <w:ind w:left="0" w:right="0" w:firstLine="480"/>
        <w:jc w:val="left"/>
        <w:keepLines w:val="0"/>
        <w:keepNext w:val="0"/>
        <w:pageBreakBefore w:val="0"/>
        <w:spacing w:before="0" w:beforeAutospacing="0" w:after="0" w:afterAutospacing="0" w:line="450" w:lineRule="atLeast"/>
        <w:shd w:val="clear" w:color="auto" w:fill="ffffff"/>
        <w:widowControl/>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Times New Roman"/>
          <w:b w:val="0"/>
          <w:bCs w:val="0"/>
          <w:color w:val="000000" w:themeColor="text1"/>
          <w:sz w:val="24"/>
          <w:szCs w:val="24"/>
          <w:highlight w:val="none"/>
          <w:lang w:eastAsia="zh-CN"/>
          <w14:textFill>
            <w14:solidFill>
              <w14:schemeClr w14:val="tx1"/>
            </w14:solidFill>
          </w14:textFill>
        </w:rPr>
        <w:t xml:space="preserve">采购包</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合同签订后50日历天内送到甲方指定地点完成安装、调试、检测并经验收合格后交付甲方使用（含二次搬运费）。</w:t>
      </w:r>
      <w:r/>
    </w:p>
    <w:p>
      <w:pPr>
        <w:ind w:left="0" w:right="0" w:firstLine="480"/>
        <w:jc w:val="left"/>
        <w:keepLines w:val="0"/>
        <w:keepNext w:val="0"/>
        <w:pageBreakBefore w:val="0"/>
        <w:spacing w:before="0" w:beforeAutospacing="0" w:after="0" w:afterAutospacing="0" w:line="450" w:lineRule="atLeast"/>
        <w:shd w:val="clear" w:color="auto" w:fill="ffffff"/>
        <w:widowControl/>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Times New Roman"/>
          <w:b w:val="0"/>
          <w:bCs w:val="0"/>
          <w:color w:val="000000" w:themeColor="text1"/>
          <w:sz w:val="24"/>
          <w:szCs w:val="24"/>
          <w:highlight w:val="none"/>
          <w:lang w:eastAsia="zh-CN"/>
          <w14:textFill>
            <w14:solidFill>
              <w14:schemeClr w14:val="tx1"/>
            </w14:solidFill>
          </w14:textFill>
        </w:rPr>
        <w:t xml:space="preserve">采购包</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3：</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合同签订后50日历天内送到甲方指定地点完成安装、调试、检测并经验收合格后交付甲方使用（含二次搬运费）。</w:t>
      </w:r>
      <w:r/>
    </w:p>
    <w:p>
      <w:pPr>
        <w:ind w:firstLine="496"/>
        <w:keepLines/>
        <w:keepNext/>
        <w:spacing w:before="156" w:after="156" w:line="360" w:lineRule="auto"/>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themeColor="text1"/>
          <w:sz w:val="28"/>
          <w:szCs w:val="28"/>
          <w:highlight w:val="none"/>
          <w14:textFill>
            <w14:solidFill>
              <w14:schemeClr w14:val="tx1"/>
            </w14:solidFill>
          </w14:textFill>
        </w:rPr>
      </w:pPr>
      <w:r/>
      <w:bookmarkStart w:id="17" w:name="_Toc28359081"/>
      <w:r/>
      <w:bookmarkStart w:id="18" w:name="_Toc35393623"/>
      <w:r/>
      <w:bookmarkStart w:id="19" w:name="_Toc35393792"/>
      <w:r/>
      <w:bookmarkStart w:id="20" w:name="_Toc28359004"/>
      <w:r/>
      <w:bookmarkStart w:id="21" w:name="_Toc38985265"/>
      <w:r>
        <w:rPr>
          <w:rFonts w:hint="eastAsia" w:ascii="宋体" w:hAnsi="宋体"/>
          <w:color w:val="000000" w:themeColor="text1"/>
          <w:sz w:val="28"/>
          <w:szCs w:val="28"/>
          <w:highlight w:val="none"/>
          <w14:textFill>
            <w14:solidFill>
              <w14:schemeClr w14:val="tx1"/>
            </w14:solidFill>
          </w14:textFill>
        </w:rPr>
        <w:t xml:space="preserve">（一</w:t>
      </w:r>
      <w:r>
        <w:rPr>
          <w:rFonts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通用</w:t>
      </w:r>
      <w:r>
        <w:rPr>
          <w:rFonts w:ascii="宋体" w:hAnsi="宋体"/>
          <w:color w:val="000000" w:themeColor="text1"/>
          <w:sz w:val="28"/>
          <w:szCs w:val="28"/>
          <w:highlight w:val="none"/>
          <w14:textFill>
            <w14:solidFill>
              <w14:schemeClr w14:val="tx1"/>
            </w14:solidFill>
          </w14:textFill>
        </w:rPr>
        <w:t xml:space="preserve">资格要求</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lang w:val="en-US" w:eastAsia="zh-CN"/>
          <w14:textFill>
            <w14:solidFill>
              <w14:schemeClr w14:val="tx1"/>
            </w14:solidFill>
          </w14:textFill>
        </w:rPr>
        <w:t xml:space="preserve"> 2024或2025</w:t>
      </w:r>
      <w:r>
        <w:rPr>
          <w:rFonts w:hint="eastAsia" w:ascii="宋体" w:hAnsi="宋体"/>
          <w:color w:val="000000" w:themeColor="text1"/>
          <w:sz w:val="24"/>
          <w:szCs w:val="24"/>
          <w:highlight w:val="none"/>
          <w14:textFill>
            <w14:solidFill>
              <w14:schemeClr w14:val="tx1"/>
            </w14:solidFill>
          </w14:textFill>
        </w:rPr>
        <w:t xml:space="preserve">年度的财务状况报告（成立不满一年无需提供）；</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1.4具备履行合同所必需的设备和专业技术能力的书面声明；</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1.5参加政府采购活动前3年内在经营活动中没有重大违法记录的书面声明。</w:t>
      </w:r>
      <w:r/>
    </w:p>
    <w:p>
      <w:pPr>
        <w:ind w:firstLine="480"/>
        <w:spacing w:line="400" w:lineRule="exact"/>
        <w:rPr>
          <w:rFonts w:hint="eastAsia" w:ascii="华文新魏"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3.落实政府采购政策需满足的资格要求：无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4.联合</w:t>
      </w:r>
      <w:r>
        <w:rPr>
          <w:rFonts w:ascii="宋体" w:hAnsi="宋体"/>
          <w:color w:val="000000" w:themeColor="text1"/>
          <w:sz w:val="24"/>
          <w:szCs w:val="24"/>
          <w:highlight w:val="none"/>
          <w14:textFill>
            <w14:solidFill>
              <w14:schemeClr w14:val="tx1"/>
            </w14:solidFill>
          </w14:textFill>
        </w:rPr>
        <w:t xml:space="preserve">体投标</w:t>
      </w:r>
      <w:r/>
    </w:p>
    <w:tbl>
      <w:tblPr>
        <w:tblStyle w:val="741"/>
        <w:tblW w:w="7083"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w:t>
            </w:r>
            <w:r/>
          </w:p>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包号</w:t>
            </w:r>
            <w:r/>
          </w:p>
        </w:tc>
        <w:tc>
          <w:tcPr>
            <w:tcW w:w="2968" w:type="dxa"/>
            <w:vAlign w:val="top"/>
            <w:textDirection w:val="lrTb"/>
            <w:noWrap w:val="false"/>
          </w:tcPr>
          <w:p>
            <w:pPr>
              <w:jc w:val="center"/>
              <w:spacing w:line="400" w:lineRule="exac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是否接受联合体</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w:t>
            </w:r>
            <w:r/>
          </w:p>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是/否</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296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该采购包中</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联合体成员数量</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上限</w:t>
            </w:r>
            <w:r/>
          </w:p>
        </w:tc>
      </w:tr>
      <w:tr>
        <w:trPr/>
        <w:tc>
          <w:tcPr>
            <w:tcW w:w="114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2968" w:type="dxa"/>
            <w:vAlign w:val="top"/>
            <w:textDirection w:val="lrTb"/>
            <w:noWrap w:val="false"/>
          </w:tcPr>
          <w:p>
            <w:pPr>
              <w:jc w:val="center"/>
              <w:spacing w:line="400" w:lineRule="exac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否</w:t>
            </w:r>
            <w:r/>
          </w:p>
        </w:tc>
        <w:tc>
          <w:tcPr>
            <w:tcW w:w="296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c>
          <w:tcPr>
            <w:tcW w:w="1148" w:type="dxa"/>
            <w:vAlign w:val="top"/>
            <w:textDirection w:val="lrTb"/>
            <w:noWrap w:val="false"/>
          </w:tcPr>
          <w:p>
            <w:pPr>
              <w:jc w:val="center"/>
              <w:spacing w:line="400" w:lineRule="exac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296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否</w:t>
            </w:r>
            <w:r/>
          </w:p>
        </w:tc>
        <w:tc>
          <w:tcPr>
            <w:tcW w:w="296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c>
          <w:tcPr>
            <w:tcW w:w="1148" w:type="dxa"/>
            <w:vAlign w:val="top"/>
            <w:textDirection w:val="lrTb"/>
            <w:noWrap w:val="false"/>
          </w:tcPr>
          <w:p>
            <w:pPr>
              <w:jc w:val="center"/>
              <w:spacing w:line="400" w:lineRule="exac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w:t>
            </w:r>
            <w:r/>
          </w:p>
        </w:tc>
        <w:tc>
          <w:tcPr>
            <w:tcW w:w="296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否</w:t>
            </w:r>
            <w:r/>
          </w:p>
        </w:tc>
        <w:tc>
          <w:tcPr>
            <w:tcW w:w="296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bl>
    <w:p>
      <w:pPr>
        <w:ind w:firstLine="560"/>
        <w:spacing w:line="40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（二）本项目的特定资格要求</w:t>
      </w:r>
      <w:r/>
    </w:p>
    <w:tbl>
      <w:tblPr>
        <w:tblStyle w:val="741"/>
        <w:tblW w:w="7069"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5631"/>
      </w:tblGrid>
      <w:tr>
        <w:trPr/>
        <w:tc>
          <w:tcPr>
            <w:tcW w:w="143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采购包号</w:t>
            </w:r>
            <w:r/>
          </w:p>
        </w:tc>
        <w:tc>
          <w:tcPr>
            <w:tcW w:w="563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特定</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资格要求</w:t>
            </w:r>
            <w:r/>
          </w:p>
        </w:tc>
      </w:tr>
      <w:tr>
        <w:trPr/>
        <w:tc>
          <w:tcPr>
            <w:tcW w:w="143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563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c>
          <w:tcPr>
            <w:tcW w:w="1438" w:type="dxa"/>
            <w:vAlign w:val="top"/>
            <w:textDirection w:val="lrTb"/>
            <w:noWrap w:val="false"/>
          </w:tcPr>
          <w:p>
            <w:pPr>
              <w:jc w:val="center"/>
              <w:spacing w:line="400" w:lineRule="exac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563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c>
          <w:tcPr>
            <w:tcW w:w="1438" w:type="dxa"/>
            <w:vAlign w:val="top"/>
            <w:textDirection w:val="lrTb"/>
            <w:noWrap w:val="false"/>
          </w:tcPr>
          <w:p>
            <w:pPr>
              <w:jc w:val="center"/>
              <w:spacing w:line="400" w:lineRule="exac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w:t>
            </w:r>
            <w:r/>
          </w:p>
        </w:tc>
        <w:tc>
          <w:tcPr>
            <w:tcW w:w="563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bl>
    <w:p>
      <w:pPr>
        <w:ind w:firstLine="496"/>
        <w:keepLines/>
        <w:keepNext/>
        <w:spacing w:before="156" w:after="156" w:line="360" w:lineRule="auto"/>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三、获取招标文件</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1.时间：自招标文件公告发布之日起5个工作日。</w:t>
      </w:r>
      <w:r/>
    </w:p>
    <w:p>
      <w:pPr>
        <w:ind w:firstLine="540"/>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rFonts w:ascii="Times New Roman" w:hAnsi="Times New Roman"/>
          <w:b/>
          <w:bCs/>
          <w:color w:val="000000" w:themeColor="text1"/>
          <w:sz w:val="32"/>
          <w:szCs w:val="32"/>
          <w:highlight w:val="none"/>
          <w14:textFill>
            <w14:solidFill>
              <w14:schemeClr w14:val="tx1"/>
            </w14:solidFill>
          </w14:textFill>
        </w:rPr>
        <w:outlineLvl w:val="2"/>
      </w:pPr>
      <w:r/>
      <w:bookmarkStart w:id="22" w:name="_Toc28359082"/>
      <w:r/>
      <w:bookmarkStart w:id="23" w:name="_Toc28359005"/>
      <w:r/>
      <w:bookmarkStart w:id="24" w:name="_Toc35393793"/>
      <w:r/>
      <w:bookmarkStart w:id="25" w:name="_Toc38985266"/>
      <w:r/>
      <w:bookmarkStart w:id="26" w:name="_Toc35393624"/>
      <w:r>
        <w:rPr>
          <w:rFonts w:hint="eastAsia" w:ascii="Times New Roman" w:hAnsi="Times New Roman"/>
          <w:b/>
          <w:bCs/>
          <w:color w:val="000000" w:themeColor="text1"/>
          <w:sz w:val="32"/>
          <w:szCs w:val="32"/>
          <w:highlight w:val="none"/>
          <w14:textFill>
            <w14:solidFill>
              <w14:schemeClr w14:val="tx1"/>
            </w14:solidFill>
          </w14:textFill>
        </w:rPr>
        <w:t xml:space="preserve">四、提交投标文件</w:t>
      </w:r>
      <w:bookmarkEnd w:id="22"/>
      <w:r/>
      <w:bookmarkEnd w:id="23"/>
      <w:r>
        <w:rPr>
          <w:rFonts w:hint="eastAsia" w:ascii="Times New Roman" w:hAnsi="Times New Roman"/>
          <w:b/>
          <w:bCs/>
          <w:color w:val="000000" w:themeColor="text1"/>
          <w:sz w:val="32"/>
          <w:szCs w:val="32"/>
          <w:highlight w:val="none"/>
          <w14:textFill>
            <w14:solidFill>
              <w14:schemeClr w14:val="tx1"/>
            </w14:solidFill>
          </w14:textFill>
        </w:rPr>
        <w:t xml:space="preserve">截止时间、开标时间和地点</w:t>
      </w:r>
      <w:bookmarkEnd w:id="24"/>
      <w:r/>
      <w:bookmarkEnd w:id="25"/>
      <w:r/>
      <w:bookmarkEnd w:id="26"/>
      <w:r/>
      <w:r/>
    </w:p>
    <w:p>
      <w:pPr>
        <w:ind w:firstLine="480"/>
        <w:spacing w:line="400" w:lineRule="exact"/>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u w:val="single"/>
          <w14:textFill>
            <w14:solidFill>
              <w14:schemeClr w14:val="tx1"/>
            </w14:solidFill>
          </w14:textFill>
        </w:rPr>
        <w:t xml:space="preserve">2026年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07</w:t>
      </w:r>
      <w:r>
        <w:rPr>
          <w:rFonts w:hint="eastAsia" w:ascii="宋体" w:hAnsi="宋体"/>
          <w:bCs/>
          <w:color w:val="000000" w:themeColor="text1"/>
          <w:sz w:val="24"/>
          <w:szCs w:val="24"/>
          <w:highlight w:val="none"/>
          <w:u w:val="single"/>
          <w14:textFill>
            <w14:solidFill>
              <w14:schemeClr w14:val="tx1"/>
            </w14:solidFill>
          </w14:textFill>
        </w:rPr>
        <w:t xml:space="preserve">月</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bCs/>
          <w:color w:val="000000" w:themeColor="text1"/>
          <w:sz w:val="24"/>
          <w:szCs w:val="24"/>
          <w:highlight w:val="none"/>
          <w:u w:val="single"/>
          <w14:textFill>
            <w14:solidFill>
              <w14:schemeClr w14:val="tx1"/>
            </w14:solidFill>
          </w14:textFill>
        </w:rPr>
        <w:t xml:space="preserve">日</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szCs w:val="24"/>
          <w:highlight w:val="none"/>
          <w:u w:val="single"/>
          <w:lang w:eastAsia="zh-CN"/>
          <w14:textFill>
            <w14:solidFill>
              <w14:schemeClr w14:val="tx1"/>
            </w14:solidFill>
          </w14:textFill>
        </w:rPr>
        <w:t xml:space="preserve">时</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bCs/>
          <w:color w:val="000000" w:themeColor="text1"/>
          <w:sz w:val="24"/>
          <w:szCs w:val="24"/>
          <w:highlight w:val="none"/>
          <w:u w:val="singl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2.地点：“苏采云”政府采购交易系统。</w:t>
      </w:r>
      <w:r/>
    </w:p>
    <w:p>
      <w:pPr>
        <w:ind w:firstLine="496"/>
        <w:keepLines/>
        <w:keepNext/>
        <w:spacing w:before="156" w:after="156" w:line="360" w:lineRule="auto"/>
        <w:rPr>
          <w:rFonts w:ascii="Times New Roman" w:hAnsi="Times New Roman"/>
          <w:b/>
          <w:bCs/>
          <w:color w:val="000000" w:themeColor="text1"/>
          <w:sz w:val="32"/>
          <w:szCs w:val="32"/>
          <w:highlight w:val="none"/>
          <w14:textFill>
            <w14:solidFill>
              <w14:schemeClr w14:val="tx1"/>
            </w14:solidFill>
          </w14:textFill>
        </w:rPr>
        <w:outlineLvl w:val="2"/>
      </w:pPr>
      <w:r/>
      <w:bookmarkStart w:id="27" w:name="_Toc38985267"/>
      <w:r/>
      <w:bookmarkStart w:id="28" w:name="_Toc28359084"/>
      <w:r/>
      <w:bookmarkStart w:id="29" w:name="_Toc35393625"/>
      <w:r/>
      <w:bookmarkStart w:id="30" w:name="_Toc28359007"/>
      <w:r/>
      <w:bookmarkStart w:id="31" w:name="_Toc35393794"/>
      <w:r>
        <w:rPr>
          <w:rFonts w:hint="eastAsia" w:ascii="Times New Roman" w:hAnsi="Times New Roman"/>
          <w:b/>
          <w:bCs/>
          <w:color w:val="000000" w:themeColor="text1"/>
          <w:sz w:val="32"/>
          <w:szCs w:val="32"/>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招标公告及招标文件公告期限为自本公告发布之日起5个工作日。</w:t>
      </w:r>
      <w:r/>
    </w:p>
    <w:p>
      <w:pPr>
        <w:ind w:firstLine="496"/>
        <w:keepLines/>
        <w:keepNext/>
        <w:spacing w:before="156" w:after="156" w:line="400" w:lineRule="exact"/>
        <w:rPr>
          <w:rFonts w:hint="eastAsia" w:ascii="Times New Roman" w:hAnsi="Times New Roman" w:eastAsia="宋体"/>
          <w:b/>
          <w:bCs/>
          <w:color w:val="000000" w:themeColor="text1"/>
          <w:sz w:val="32"/>
          <w:szCs w:val="32"/>
          <w:highlight w:val="none"/>
          <w:u w:val="single"/>
          <w14:textFill>
            <w14:solidFill>
              <w14:schemeClr w14:val="tx1"/>
            </w14:solidFill>
          </w14:textFill>
        </w:rPr>
        <w:outlineLvl w:val="2"/>
      </w:pPr>
      <w:r/>
      <w:bookmarkStart w:id="32" w:name="_Toc35393795"/>
      <w:r/>
      <w:bookmarkStart w:id="33" w:name="_Toc38985268"/>
      <w:r/>
      <w:bookmarkStart w:id="34" w:name="_Toc35393626"/>
      <w:r>
        <w:rPr>
          <w:rFonts w:hint="eastAsia" w:ascii="Times New Roman" w:hAnsi="Times New Roman"/>
          <w:b/>
          <w:bCs/>
          <w:color w:val="000000" w:themeColor="text1"/>
          <w:sz w:val="32"/>
          <w:szCs w:val="32"/>
          <w:highlight w:val="none"/>
          <w14:textFill>
            <w14:solidFill>
              <w14:schemeClr w14:val="tx1"/>
            </w14:solidFill>
          </w14:textFill>
        </w:rPr>
        <w:t xml:space="preserve">六、其他补充事宜</w:t>
      </w:r>
      <w:bookmarkEnd w:id="32"/>
      <w:r/>
      <w:bookmarkEnd w:id="33"/>
      <w:r/>
      <w:bookmarkEnd w:id="34"/>
      <w:r>
        <w:rPr>
          <w:rFonts w:hint="eastAsia"/>
          <w:b/>
          <w:bCs/>
          <w:color w:val="000000" w:themeColor="text1"/>
          <w:sz w:val="32"/>
          <w:szCs w:val="32"/>
          <w:highlight w:val="none"/>
          <w:lang w:val="en-US" w:eastAsia="zh-CN"/>
          <w14:textFill>
            <w14:solidFill>
              <w14:schemeClr w14:val="tx1"/>
            </w14:solidFill>
          </w14:textFill>
        </w:rPr>
        <w:t xml:space="preserve">  </w:t>
      </w:r>
      <w:r>
        <w:rPr>
          <w:rFonts w:hint="eastAsia"/>
          <w:b/>
          <w:bCs/>
          <w:color w:val="000000" w:themeColor="text1"/>
          <w:sz w:val="32"/>
          <w:szCs w:val="32"/>
          <w:highlight w:val="none"/>
          <w:u w:val="single"/>
          <w:lang w:val="en-US" w:eastAsia="zh-CN"/>
          <w14:textFill>
            <w14:solidFill>
              <w14:schemeClr w14:val="tx1"/>
            </w14:solidFill>
          </w14:textFill>
        </w:rPr>
        <w:t xml:space="preserve">无</w:t>
      </w:r>
      <w:r/>
    </w:p>
    <w:p>
      <w:pPr>
        <w:ind w:firstLine="496"/>
        <w:keepLines/>
        <w:keepNext/>
        <w:spacing w:before="156" w:after="156" w:line="400" w:lineRule="exact"/>
        <w:rPr>
          <w:rFonts w:ascii="Times New Roman" w:hAnsi="Times New Roman"/>
          <w:b/>
          <w:bCs/>
          <w:color w:val="000000" w:themeColor="text1"/>
          <w:sz w:val="32"/>
          <w:szCs w:val="32"/>
          <w:highlight w:val="none"/>
          <w14:textFill>
            <w14:solidFill>
              <w14:schemeClr w14:val="tx1"/>
            </w14:solidFill>
          </w14:textFill>
        </w:rPr>
        <w:outlineLvl w:val="2"/>
      </w:pPr>
      <w:r/>
      <w:bookmarkStart w:id="35" w:name="_Toc38985269"/>
      <w:r/>
      <w:bookmarkStart w:id="36" w:name="_Toc35393627"/>
      <w:r/>
      <w:bookmarkStart w:id="37" w:name="_Toc35393796"/>
      <w:r/>
      <w:bookmarkStart w:id="38" w:name="_Toc28359008"/>
      <w:r/>
      <w:bookmarkStart w:id="39" w:name="_Toc28359085"/>
      <w:r>
        <w:rPr>
          <w:rFonts w:hint="eastAsia" w:ascii="Times New Roman" w:hAnsi="Times New Roman"/>
          <w:b/>
          <w:bCs/>
          <w:color w:val="000000" w:themeColor="text1"/>
          <w:sz w:val="32"/>
          <w:szCs w:val="32"/>
          <w:highlight w:val="none"/>
          <w14:textFill>
            <w14:solidFill>
              <w14:schemeClr w14:val="tx1"/>
            </w14:solidFill>
          </w14:textFill>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w:t>
      </w:r>
      <w:bookmarkStart w:id="40" w:name="_Toc28359086"/>
      <w:r/>
      <w:bookmarkStart w:id="41" w:name="_Toc28359009"/>
      <w:r>
        <w:rPr>
          <w:rFonts w:hint="eastAsia" w:ascii="仿宋" w:hAnsi="仿宋" w:eastAsia="仿宋"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jc w:val="left"/>
        <w:spacing w:line="40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宿迁学院</w:t>
      </w:r>
      <w:r/>
    </w:p>
    <w:p>
      <w:pPr>
        <w:ind w:firstLine="480"/>
        <w:jc w:val="left"/>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szCs w:val="24"/>
          <w:highlight w:val="none"/>
          <w:u w:val="single"/>
          <w14:textFill>
            <w14:solidFill>
              <w14:schemeClr w14:val="tx1"/>
            </w14:solidFill>
          </w14:textFill>
        </w:rPr>
        <w:t xml:space="preserve">宿迁市</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黄河南路399号</w:t>
      </w:r>
      <w:r/>
    </w:p>
    <w:p>
      <w:pPr>
        <w:ind w:firstLine="480"/>
        <w:jc w:val="left"/>
        <w:spacing w:line="400" w:lineRule="exact"/>
        <w:rPr>
          <w:rFonts w:ascii="宋体" w:hAnsi="宋体" w:eastAsia="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宗老师</w:t>
      </w:r>
      <w:r>
        <w:rPr>
          <w:rFonts w:ascii="宋体" w:hAnsi="宋体"/>
          <w:color w:val="000000" w:themeColor="text1"/>
          <w:sz w:val="24"/>
          <w:szCs w:val="24"/>
          <w:highlight w:val="none"/>
          <w:u w:val="single"/>
          <w:lang w:val="en-US" w:eastAsia="zh-CN"/>
          <w14:textFill>
            <w14:solidFill>
              <w14:schemeClr w14:val="tx1"/>
            </w14:solidFill>
          </w14:textFill>
        </w:rPr>
        <w:t xml:space="preserve">       </w:t>
      </w:r>
      <w:r/>
    </w:p>
    <w:p>
      <w:pPr>
        <w:ind w:firstLine="480"/>
        <w:jc w:val="left"/>
        <w:spacing w:line="400" w:lineRule="exact"/>
        <w:rPr>
          <w:rFonts w:ascii="宋体" w:hAnsi="宋体" w:eastAsia="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0527-84201886</w:t>
      </w:r>
      <w:bookmarkEnd w:id="40"/>
      <w:r/>
      <w:bookmarkEnd w:id="41"/>
      <w:r/>
      <w:r/>
    </w:p>
    <w:p>
      <w:pPr>
        <w:ind w:firstLine="480"/>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2.采购代理机构信息</w:t>
      </w:r>
      <w:r/>
    </w:p>
    <w:p>
      <w:pPr>
        <w:ind w:firstLine="480"/>
        <w:jc w:val="left"/>
        <w:spacing w:line="480" w:lineRule="exact"/>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bidi="ar-SA"/>
          <w14:textFill>
            <w14:solidFill>
              <w14:schemeClr w14:val="tx1"/>
            </w14:solidFill>
          </w14:textFill>
        </w:rPr>
        <w:t xml:space="preserve">名    称：</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宿迁建威工程咨询有限公司</w:t>
      </w:r>
      <w:r/>
    </w:p>
    <w:p>
      <w:pPr>
        <w:ind w:firstLine="480"/>
        <w:jc w:val="left"/>
        <w:spacing w:line="48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bidi="ar-SA"/>
          <w14:textFill>
            <w14:solidFill>
              <w14:schemeClr w14:val="tx1"/>
            </w14:solidFill>
          </w14:textFill>
        </w:rPr>
        <w:t xml:space="preserve">地  　址：</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宿迁市府苑小区商住楼A座二楼</w:t>
      </w:r>
      <w:r/>
    </w:p>
    <w:p>
      <w:pPr>
        <w:ind w:firstLine="480"/>
        <w:jc w:val="left"/>
        <w:spacing w:line="480" w:lineRule="exact"/>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bidi="ar-SA"/>
          <w14:textFill>
            <w14:solidFill>
              <w14:schemeClr w14:val="tx1"/>
            </w14:solidFill>
          </w14:textFill>
        </w:rPr>
        <w:t xml:space="preserve">联 系 人：</w:t>
      </w:r>
      <w:r>
        <w:rPr>
          <w:rFonts w:hint="eastAsia" w:ascii="宋体" w:hAnsi="宋体" w:cs="宋体"/>
          <w:color w:val="000000" w:themeColor="text1"/>
          <w:sz w:val="24"/>
          <w:szCs w:val="24"/>
          <w:highlight w:val="none"/>
          <w:u w:val="single"/>
          <w:lang w:val="en-US" w:bidi="ar-SA"/>
          <w14:textFill>
            <w14:solidFill>
              <w14:schemeClr w14:val="tx1"/>
            </w14:solidFill>
          </w14:textFill>
        </w:rPr>
        <w:t xml:space="preserve">李</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许静</w:t>
      </w:r>
      <w:r/>
    </w:p>
    <w:p>
      <w:pPr>
        <w:ind w:firstLine="480"/>
        <w:jc w:val="left"/>
        <w:spacing w:line="48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bidi="ar-SA"/>
          <w14:textFill>
            <w14:solidFill>
              <w14:schemeClr w14:val="tx1"/>
            </w14:solidFill>
          </w14:textFill>
        </w:rPr>
        <w:t xml:space="preserve">联系方式：</w:t>
      </w:r>
      <w:bookmarkStart w:id="42" w:name="_Toc28359010"/>
      <w:r/>
      <w:bookmarkStart w:id="43" w:name="_Toc28359087"/>
      <w:r>
        <w:rPr>
          <w:rFonts w:hint="eastAsia" w:ascii="宋体" w:hAnsi="宋体" w:cs="宋体"/>
          <w:color w:val="000000" w:themeColor="text1"/>
          <w:sz w:val="24"/>
          <w:szCs w:val="24"/>
          <w:highlight w:val="none"/>
          <w:u w:val="single"/>
          <w:lang w:val="en-US" w:bidi="ar-SA"/>
          <w14:textFill>
            <w14:solidFill>
              <w14:schemeClr w14:val="tx1"/>
            </w14:solidFill>
          </w14:textFill>
        </w:rPr>
        <w:t xml:space="preserve">0527-</w:t>
      </w:r>
      <w:bookmarkEnd w:id="42"/>
      <w:r/>
      <w:bookmarkEnd w:id="43"/>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81888178</w:t>
      </w:r>
      <w:r/>
    </w:p>
    <w:p>
      <w:pPr>
        <w:ind w:firstLine="496"/>
        <w:keepLines/>
        <w:keepNext/>
        <w:spacing w:before="156" w:after="156" w:line="360" w:lineRule="auto"/>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八、其他</w:t>
      </w: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根据省财政厅《关于更换全省政府采购交易系统C A数字证书和电子签章的通知》（苏财购〔2023〕101号），</w:t>
      </w:r>
      <w:r>
        <w:rPr>
          <w:rFonts w:hint="eastAsia" w:ascii="宋体" w:hAnsi="宋体"/>
          <w:color w:val="000000" w:themeColor="text1"/>
          <w:sz w:val="24"/>
          <w:szCs w:val="24"/>
          <w:highlight w:val="none"/>
          <w14:textFill>
            <w14:solidFill>
              <w14:schemeClr w14:val="tx1"/>
            </w14:solidFill>
          </w14:textFill>
        </w:rPr>
        <w:t xml:space="preserve">“苏采云”政府采购交易系统（以下简称苏采云系统）</w:t>
      </w:r>
      <w:r>
        <w:rPr>
          <w:rFonts w:hint="eastAsia" w:ascii="宋体" w:hAnsi="宋体"/>
          <w:bCs/>
          <w:color w:val="000000" w:themeColor="text1"/>
          <w:sz w:val="24"/>
          <w:szCs w:val="24"/>
          <w:highlight w:val="none"/>
          <w14:textFill>
            <w14:solidFill>
              <w14:schemeClr w14:val="tx1"/>
            </w14:solidFill>
          </w14:textFill>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参与政府采购项目，需要更换CA数字证书和电子签章。具体办理指南和操作手册见链接：</w:t>
      </w:r>
      <w:r>
        <w:rPr>
          <w:rFonts w:ascii="Times New Roman" w:hAnsi="Times New Roman"/>
          <w:bCs/>
          <w:color w:val="000000" w:themeColor="text1"/>
          <w:szCs w:val="21"/>
          <w:highlight w:val="none"/>
          <w:u w:val="none"/>
          <w14:textFill>
            <w14:solidFill>
              <w14:schemeClr w14:val="tx1"/>
            </w14:solidFill>
          </w14:textFill>
        </w:rPr>
        <w:t xml:space="preserve">http://www.ccgp-jiangsu.gov.cn/jiangsu/zlxz/ee/ee3a4bc5a3454aa2b0d9312230633ce9.html</w:t>
      </w:r>
      <w:r>
        <w:rPr>
          <w:rFonts w:ascii="Times New Roman" w:hAnsi="Times New Roman"/>
          <w:bCs/>
          <w:color w:val="000000" w:themeColor="text1"/>
          <w:szCs w:val="21"/>
          <w:highlight w:val="none"/>
          <w14:textFill>
            <w14:solidFill>
              <w14:schemeClr w14:val="tx1"/>
            </w14:solidFill>
          </w14:textFill>
        </w:rPr>
        <w:t xml:space="preserve">。</w:t>
      </w: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color w:val="000000" w:themeColor="text1"/>
          <w:szCs w:val="21"/>
          <w:highlight w:val="none"/>
          <w14:textFill>
            <w14:solidFill>
              <w14:schemeClr w14:val="tx1"/>
            </w14:solidFill>
          </w14:textFill>
        </w:rPr>
        <w:t xml:space="preserve">（www.jszwfw.gov.cn）</w:t>
      </w:r>
      <w:r>
        <w:rPr>
          <w:rFonts w:hint="eastAsia" w:ascii="宋体" w:hAnsi="宋体"/>
          <w:bCs/>
          <w:color w:val="000000" w:themeColor="text1"/>
          <w:sz w:val="24"/>
          <w:szCs w:val="24"/>
          <w:highlight w:val="none"/>
          <w14:textFill>
            <w14:solidFill>
              <w14:schemeClr w14:val="tx1"/>
            </w14:solidFill>
          </w14:textFill>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如果“江苏政府采购网”</w:t>
      </w:r>
      <w:r>
        <w:rPr>
          <w:rFonts w:ascii="Times New Roman" w:hAnsi="Times New Roman"/>
          <w:bCs/>
          <w:color w:val="000000" w:themeColor="text1"/>
          <w:szCs w:val="21"/>
          <w:highlight w:val="none"/>
          <w14:textFill>
            <w14:solidFill>
              <w14:schemeClr w14:val="tx1"/>
            </w14:solidFill>
          </w14:textFill>
        </w:rPr>
        <w:t xml:space="preserve">（www.ccgp-jiangsu.gov.cn）</w:t>
      </w:r>
      <w:r>
        <w:rPr>
          <w:rFonts w:hint="eastAsia" w:ascii="Times New Roman" w:hAnsi="Times New Roman"/>
          <w:bCs/>
          <w:color w:val="000000" w:themeColor="text1"/>
          <w:sz w:val="24"/>
          <w:szCs w:val="24"/>
          <w:highlight w:val="none"/>
          <w14:textFill>
            <w14:solidFill>
              <w14:schemeClr w14:val="tx1"/>
            </w14:solidFill>
          </w14:textFill>
        </w:rPr>
        <w:t xml:space="preserve">信息</w:t>
      </w:r>
      <w:r>
        <w:rPr>
          <w:rFonts w:hint="eastAsia" w:ascii="宋体" w:hAnsi="宋体"/>
          <w:bCs/>
          <w:color w:val="000000" w:themeColor="text1"/>
          <w:sz w:val="24"/>
          <w:szCs w:val="24"/>
          <w:highlight w:val="none"/>
          <w14:textFill>
            <w14:solidFill>
              <w14:schemeClr w14:val="tx1"/>
            </w14:solidFill>
          </w14:textFill>
        </w:rPr>
        <w:t xml:space="preserve">与“江苏政务服务网” </w:t>
      </w:r>
      <w:r>
        <w:rPr>
          <w:rFonts w:ascii="Times New Roman" w:hAnsi="Times New Roman"/>
          <w:bCs/>
          <w:color w:val="000000" w:themeColor="text1"/>
          <w:szCs w:val="21"/>
          <w:highlight w:val="none"/>
          <w14:textFill>
            <w14:solidFill>
              <w14:schemeClr w14:val="tx1"/>
            </w14:solidFill>
          </w14:textFill>
        </w:rPr>
        <w:t xml:space="preserve">（www.jszwfw.gov.cn）</w:t>
      </w:r>
      <w:r>
        <w:rPr>
          <w:rFonts w:hint="eastAsia" w:ascii="宋体" w:hAnsi="宋体"/>
          <w:bCs/>
          <w:color w:val="000000" w:themeColor="text1"/>
          <w:sz w:val="24"/>
          <w:szCs w:val="24"/>
          <w:highlight w:val="none"/>
          <w14:textFill>
            <w14:solidFill>
              <w14:schemeClr w14:val="tx1"/>
            </w14:solidFill>
          </w14:textFill>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.有关本次招标的事项若存在变动或修改，敬请及时关注“江苏政府采购网”发布的更正公告。</w:t>
      </w:r>
      <w:r/>
    </w:p>
    <w:p>
      <w:pPr>
        <w:ind w:firstLine="480"/>
        <w:spacing w:line="4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spacing w:line="400" w:lineRule="exact"/>
        <w:tabs>
          <w:tab w:val="left" w:pos="900" w:leader="none"/>
        </w:tabs>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4.本项目</w:t>
      </w:r>
      <w:r>
        <w:rPr>
          <w:rFonts w:hint="eastAsia" w:ascii="Times New Roman" w:hAnsi="Times New Roman" w:cs="仿宋"/>
          <w:color w:val="000000" w:themeColor="text1"/>
          <w:sz w:val="24"/>
          <w:szCs w:val="24"/>
          <w:highlight w:val="none"/>
          <w14:textFill>
            <w14:solidFill>
              <w14:schemeClr w14:val="tx1"/>
            </w14:solidFill>
          </w14:textFill>
        </w:rPr>
        <w:t xml:space="preserve">不接受进口产品。</w:t>
      </w:r>
      <w:r/>
    </w:p>
    <w:p>
      <w:pPr>
        <w:ind w:right="84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bookmarkEnd w:id="1"/>
      <w:r/>
      <w:bookmarkEnd w:id="2"/>
      <w:r/>
      <w:bookmarkEnd w:id="3"/>
      <w:r/>
      <w:bookmarkEnd w:id="4"/>
      <w:r/>
      <w:bookmarkEnd w:id="5"/>
      <w:r/>
      <w:r/>
    </w:p>
    <w:p>
      <w:pPr>
        <w:ind w:firstLine="2429"/>
        <w:keepLines/>
        <w:keepNext/>
        <w:spacing w:before="260" w:after="260" w:line="416" w:lineRule="auto"/>
        <w:rPr>
          <w:rFonts w:hint="eastAsia" w:ascii="黑体" w:hAnsi="Arial" w:eastAsia="黑体" w:cs="Arial"/>
          <w:color w:val="000000" w:themeColor="text1"/>
          <w:sz w:val="44"/>
          <w:szCs w:val="44"/>
          <w:highlight w:val="none"/>
          <w14:textFill>
            <w14:solidFill>
              <w14:schemeClr w14:val="tx1"/>
            </w14:solidFill>
          </w14:textFill>
        </w:rPr>
        <w:outlineLvl w:val="1"/>
      </w:pPr>
      <w:r/>
      <w:bookmarkStart w:id="44" w:name="_Toc120614211"/>
      <w:r/>
      <w:bookmarkStart w:id="45" w:name="_Toc479757207"/>
      <w:r/>
      <w:bookmarkStart w:id="46" w:name="_Toc120614221"/>
      <w:r/>
      <w:bookmarkStart w:id="47" w:name="_Toc16938558"/>
      <w:r/>
      <w:bookmarkStart w:id="48" w:name="_Toc20823314"/>
      <w:r/>
      <w:bookmarkStart w:id="49" w:name="_Toc513029242"/>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44"/>
      <w:r/>
      <w:bookmarkStart w:id="50" w:name="_Toc20823274"/>
      <w:r/>
      <w:bookmarkStart w:id="51" w:name="_Toc16938518"/>
      <w:r/>
      <w:bookmarkStart w:id="52" w:name="_Toc120614213"/>
      <w:r/>
      <w:bookmarkStart w:id="53" w:name="_Toc513029202"/>
      <w:r>
        <w:rPr>
          <w:rFonts w:hint="eastAsia" w:ascii="黑体" w:hAnsi="Arial" w:eastAsia="黑体" w:cs="Arial"/>
          <w:b/>
          <w:bCs/>
          <w:color w:val="000000" w:themeColor="text1"/>
          <w:sz w:val="44"/>
          <w:szCs w:val="44"/>
          <w:highlight w:val="none"/>
          <w14:textFill>
            <w14:solidFill>
              <w14:schemeClr w14:val="tx1"/>
            </w14:solidFill>
          </w14:textFill>
        </w:rPr>
        <w:t xml:space="preserve">投标人须知</w:t>
      </w:r>
      <w:bookmarkEnd w:id="50"/>
      <w:r/>
      <w:bookmarkEnd w:id="51"/>
      <w:r/>
      <w:bookmarkEnd w:id="52"/>
      <w:r/>
      <w:bookmarkEnd w:id="53"/>
      <w:r/>
      <w:r/>
    </w:p>
    <w:p>
      <w:pPr>
        <w:ind w:firstLine="498"/>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54" w:name="_Toc513029203"/>
      <w:r/>
      <w:bookmarkStart w:id="55" w:name="_Toc20823275"/>
      <w:r/>
      <w:bookmarkStart w:id="56" w:name="_Toc120614214"/>
      <w:r/>
      <w:bookmarkStart w:id="57" w:name="_Toc16938519"/>
      <w:r>
        <w:rPr>
          <w:rFonts w:hint="eastAsia" w:ascii="Times New Roman" w:hAnsi="Times New Roman"/>
          <w:b/>
          <w:bCs/>
          <w:color w:val="000000" w:themeColor="text1"/>
          <w:sz w:val="32"/>
          <w:szCs w:val="32"/>
          <w:highlight w:val="none"/>
          <w14:textFill>
            <w14:solidFill>
              <w14:schemeClr w14:val="tx1"/>
            </w14:solidFill>
          </w14:textFill>
        </w:rPr>
        <w:t xml:space="preserve">一、总则</w:t>
      </w:r>
      <w:bookmarkEnd w:id="54"/>
      <w:r/>
      <w:bookmarkEnd w:id="55"/>
      <w:r/>
      <w:bookmarkEnd w:id="56"/>
      <w:r/>
      <w:bookmarkEnd w:id="57"/>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58" w:name="_Hlt16619475"/>
      <w:r/>
      <w:bookmarkEnd w:id="58"/>
      <w:r/>
      <w:bookmarkStart w:id="59" w:name="_Toc458694821"/>
      <w:r/>
      <w:bookmarkStart w:id="60" w:name="_Toc513029204"/>
      <w:r/>
      <w:bookmarkStart w:id="61" w:name="_Toc20823276"/>
      <w:r/>
      <w:bookmarkStart w:id="62" w:name="_Toc16938520"/>
      <w:r>
        <w:rPr>
          <w:rFonts w:hint="eastAsia" w:ascii="Arial" w:hAnsi="Arial" w:eastAsia="黑体" w:cs="Arial"/>
          <w:color w:val="000000" w:themeColor="text1"/>
          <w:sz w:val="28"/>
          <w:szCs w:val="28"/>
          <w:highlight w:val="none"/>
          <w14:textFill>
            <w14:solidFill>
              <w14:schemeClr w14:val="tx1"/>
            </w14:solidFill>
          </w14:textFill>
        </w:rPr>
        <w:t xml:space="preserve">1</w:t>
      </w:r>
      <w:bookmarkEnd w:id="59"/>
      <w:r>
        <w:rPr>
          <w:rFonts w:hint="eastAsia" w:ascii="Arial" w:hAnsi="Arial" w:eastAsia="黑体" w:cs="Arial"/>
          <w:color w:val="000000" w:themeColor="text1"/>
          <w:sz w:val="28"/>
          <w:szCs w:val="28"/>
          <w:highlight w:val="none"/>
          <w14:textFill>
            <w14:solidFill>
              <w14:schemeClr w14:val="tx1"/>
            </w14:solidFill>
          </w14:textFill>
        </w:rPr>
        <w:t xml:space="preserve">、招标方式</w:t>
      </w:r>
      <w:bookmarkEnd w:id="60"/>
      <w:r/>
      <w:bookmarkEnd w:id="61"/>
      <w:r/>
      <w:bookmarkEnd w:id="62"/>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63" w:name="_Toc16938521"/>
      <w:r/>
      <w:bookmarkStart w:id="64" w:name="_Toc20823277"/>
      <w:r/>
      <w:bookmarkStart w:id="65" w:name="_Toc513029205"/>
      <w:r>
        <w:rPr>
          <w:rFonts w:hint="eastAsia" w:ascii="Arial" w:hAnsi="Arial" w:eastAsia="黑体" w:cs="Arial"/>
          <w:color w:val="000000" w:themeColor="text1"/>
          <w:sz w:val="28"/>
          <w:szCs w:val="28"/>
          <w:highlight w:val="none"/>
          <w14:textFill>
            <w14:solidFill>
              <w14:schemeClr w14:val="tx1"/>
            </w14:solidFill>
          </w14:textFill>
        </w:rPr>
        <w:t xml:space="preserve">2、合格的投标人</w:t>
      </w:r>
      <w:bookmarkEnd w:id="63"/>
      <w:r/>
      <w:bookmarkEnd w:id="64"/>
      <w:r/>
      <w:bookmarkEnd w:id="65"/>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2.1满足招标公告中供应商的资格要求的规定。</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满足本文件实质性要求的规定。</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66" w:name="_Toc16938522"/>
      <w:r/>
      <w:bookmarkStart w:id="67" w:name="_Toc20823278"/>
      <w:r/>
      <w:bookmarkStart w:id="68" w:name="_Toc513029206"/>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66"/>
      <w:r/>
      <w:bookmarkEnd w:id="67"/>
      <w:r/>
      <w:bookmarkEnd w:id="68"/>
      <w:r>
        <w:rPr>
          <w:rFonts w:hint="eastAsia" w:ascii="Arial" w:hAnsi="Arial" w:eastAsia="黑体" w:cs="Arial"/>
          <w:color w:val="000000" w:themeColor="text1"/>
          <w:sz w:val="28"/>
          <w:szCs w:val="28"/>
          <w:highlight w:val="none"/>
          <w:lang w:eastAsia="zh-CN"/>
          <w14:textFill>
            <w14:solidFill>
              <w14:schemeClr w14:val="tx1"/>
            </w14:solidFill>
          </w14:textFill>
        </w:rPr>
        <w:t xml:space="preserve">和标准</w:t>
      </w: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ind w:firstLine="420"/>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69" w:name="_Toc513029207"/>
      <w:r/>
      <w:bookmarkStart w:id="70" w:name="_Toc20823279"/>
      <w:r/>
      <w:bookmarkStart w:id="71" w:name="_Toc16938523"/>
      <w:r/>
      <w:bookmarkStart w:id="72" w:name="_Toc462564067"/>
      <w:r>
        <w:rPr>
          <w:rFonts w:hint="eastAsia" w:ascii="Arial" w:hAnsi="Arial" w:eastAsia="黑体" w:cs="Arial"/>
          <w:color w:val="000000" w:themeColor="text1"/>
          <w:sz w:val="28"/>
          <w:szCs w:val="28"/>
          <w:highlight w:val="none"/>
          <w14:textFill>
            <w14:solidFill>
              <w14:schemeClr w14:val="tx1"/>
            </w14:solidFill>
          </w14:textFill>
        </w:rPr>
        <w:t xml:space="preserve">4、投标费用</w:t>
      </w:r>
      <w:bookmarkEnd w:id="69"/>
      <w:r/>
      <w:bookmarkEnd w:id="70"/>
      <w:r/>
      <w:bookmarkEnd w:id="71"/>
      <w:r/>
      <w:bookmarkEnd w:id="72"/>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w:t>
      </w:r>
      <w:r>
        <w:rPr>
          <w:rFonts w:hint="eastAsia" w:ascii="宋体" w:hAnsi="宋体"/>
          <w:color w:val="000000" w:themeColor="text1"/>
          <w:sz w:val="24"/>
          <w:szCs w:val="21"/>
          <w:highlight w:val="none"/>
          <w:lang w:val="en-US" w:eastAsia="zh-CN"/>
          <w14:textFill>
            <w14:solidFill>
              <w14:schemeClr w14:val="tx1"/>
            </w14:solidFill>
          </w14:textFill>
        </w:rPr>
        <w:t xml:space="preserve">宿迁建威工程咨询有限公司</w:t>
      </w:r>
      <w:r>
        <w:rPr>
          <w:rFonts w:hint="eastAsia" w:ascii="宋体" w:hAnsi="宋体"/>
          <w:color w:val="000000" w:themeColor="text1"/>
          <w:sz w:val="24"/>
          <w:szCs w:val="21"/>
          <w:highlight w:val="none"/>
          <w14:textFill>
            <w14:solidFill>
              <w14:schemeClr w14:val="tx1"/>
            </w14:solidFill>
          </w14:textFill>
        </w:rPr>
        <w:t xml:space="preserve">（以下简称采购</w:t>
      </w:r>
      <w:r>
        <w:rPr>
          <w:rFonts w:hint="eastAsia" w:ascii="宋体" w:hAnsi="宋体"/>
          <w:color w:val="000000" w:themeColor="text1"/>
          <w:sz w:val="24"/>
          <w:szCs w:val="21"/>
          <w:highlight w:val="none"/>
          <w:lang w:val="en-US"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）在任何情况下均无义务和责任承担这些费用。</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4.2本次采购</w:t>
      </w:r>
      <w:r>
        <w:rPr>
          <w:rFonts w:hint="eastAsia" w:ascii="宋体" w:hAnsi="宋体"/>
          <w:color w:val="000000" w:themeColor="text1"/>
          <w:sz w:val="24"/>
          <w:szCs w:val="21"/>
          <w:highlight w:val="none"/>
          <w:lang w:val="en-US"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和采购人不收取标书工本费。</w:t>
      </w:r>
      <w:r/>
    </w:p>
    <w:p>
      <w:pPr>
        <w:ind w:firstLine="480"/>
        <w:spacing w:line="400" w:lineRule="exact"/>
        <w:rPr>
          <w:rFonts w:hint="default" w:ascii="宋体" w:hAnsi="宋体" w:eastAsia="宋体"/>
          <w:color w:val="000000" w:themeColor="text1"/>
          <w:sz w:val="24"/>
          <w:szCs w:val="21"/>
          <w:highlight w:val="none"/>
          <w:lang w:val="en-US" w:eastAsia="zh-CN"/>
          <w14:textFill>
            <w14:solidFill>
              <w14:schemeClr w14:val="tx1"/>
            </w14:solidFill>
          </w14:textFill>
        </w:rPr>
      </w:pPr>
      <w:r>
        <w:rPr>
          <w:rFonts w:hint="eastAsia" w:ascii="宋体" w:hAnsi="宋体"/>
          <w:color w:val="000000" w:themeColor="text1"/>
          <w:sz w:val="24"/>
          <w:szCs w:val="21"/>
          <w:highlight w:val="none"/>
          <w:lang w:val="en-US" w:eastAsia="zh-CN"/>
          <w14:textFill>
            <w14:solidFill>
              <w14:schemeClr w14:val="tx1"/>
            </w14:solidFill>
          </w14:textFill>
        </w:rPr>
        <w:t xml:space="preserve">4.3中标</w:t>
      </w:r>
      <w:r>
        <w:rPr>
          <w:rFonts w:hint="eastAsia" w:ascii="宋体" w:hAnsi="宋体"/>
          <w:color w:val="000000" w:themeColor="text1"/>
          <w:sz w:val="24"/>
          <w:szCs w:val="21"/>
          <w:highlight w:val="none"/>
          <w14:textFill>
            <w14:solidFill>
              <w14:schemeClr w14:val="tx1"/>
            </w14:solidFill>
          </w14:textFill>
        </w:rPr>
        <w:t xml:space="preserve">人应</w:t>
      </w:r>
      <w:r>
        <w:rPr>
          <w:rFonts w:hint="eastAsia" w:ascii="宋体" w:hAnsi="宋体" w:eastAsia="宋体" w:cs="宋体"/>
          <w:color w:val="000000" w:themeColor="text1"/>
          <w:sz w:val="24"/>
          <w:szCs w:val="24"/>
          <w:highlight w:val="none"/>
          <w14:textFill>
            <w14:solidFill>
              <w14:schemeClr w14:val="tx1"/>
            </w14:solidFill>
          </w14:textFill>
        </w:rPr>
        <w:t xml:space="preserve">按计价格【2002】1980号文件规定标准的4</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%计取</w:t>
      </w:r>
      <w:r>
        <w:rPr>
          <w:rFonts w:hint="eastAsia" w:ascii="宋体" w:hAnsi="宋体" w:cs="宋体"/>
          <w:color w:val="000000" w:themeColor="text1"/>
          <w:sz w:val="24"/>
          <w:szCs w:val="24"/>
          <w:highlight w:val="none"/>
          <w:lang w:val="en-US" w:eastAsia="zh-CN"/>
          <w14:textFill>
            <w14:solidFill>
              <w14:schemeClr w14:val="tx1"/>
            </w14:solidFill>
          </w14:textFill>
        </w:rPr>
        <w:t xml:space="preserve">支付采购代理服务费。</w:t>
      </w:r>
      <w:r/>
    </w:p>
    <w:p>
      <w:pPr>
        <w:ind w:firstLine="452"/>
        <w:keepLines/>
        <w:keepNext/>
        <w:spacing w:line="400" w:lineRule="exact"/>
        <w:rPr>
          <w:rFonts w:hint="eastAsia" w:ascii="黑体" w:hAnsi="宋体" w:eastAsia="黑体" w:cs="Arial"/>
          <w:color w:val="000000" w:themeColor="text1"/>
          <w:sz w:val="28"/>
          <w:szCs w:val="28"/>
          <w:highlight w:val="none"/>
          <w14:textFill>
            <w14:solidFill>
              <w14:schemeClr w14:val="tx1"/>
            </w14:solidFill>
          </w14:textFill>
        </w:rPr>
        <w:outlineLvl w:val="3"/>
      </w:pPr>
      <w:r>
        <w:rPr>
          <w:rFonts w:hint="eastAsia" w:ascii="宋体" w:hAnsi="宋体" w:eastAsia="黑体" w:cs="Arial"/>
          <w:b/>
          <w:bCs/>
          <w:color w:val="000000" w:themeColor="text1"/>
          <w:sz w:val="30"/>
          <w:szCs w:val="28"/>
          <w:highlight w:val="none"/>
          <w14:textFill>
            <w14:solidFill>
              <w14:schemeClr w14:val="tx1"/>
            </w14:solidFill>
          </w14:textFill>
        </w:rPr>
        <w:t xml:space="preserve">5、</w:t>
      </w:r>
      <w:r>
        <w:rPr>
          <w:rFonts w:hint="eastAsia" w:ascii="黑体" w:hAnsi="宋体" w:eastAsia="黑体" w:cs="Arial"/>
          <w:color w:val="000000" w:themeColor="text1"/>
          <w:sz w:val="28"/>
          <w:szCs w:val="28"/>
          <w:highlight w:val="none"/>
          <w14:textFill>
            <w14:solidFill>
              <w14:schemeClr w14:val="tx1"/>
            </w14:solidFill>
          </w14:textFill>
        </w:rPr>
        <w:t xml:space="preserve">招标文件的约束力</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ind w:firstLine="321"/>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73" w:name="_Toc120614215"/>
      <w:r/>
      <w:bookmarkStart w:id="74" w:name="_Toc16938525"/>
      <w:r/>
      <w:bookmarkStart w:id="75" w:name="_Toc513029209"/>
      <w:r/>
      <w:bookmarkStart w:id="76" w:name="_Toc20823281"/>
      <w:r>
        <w:rPr>
          <w:rFonts w:hint="eastAsia" w:ascii="Times New Roman" w:hAnsi="Times New Roman"/>
          <w:b/>
          <w:bCs/>
          <w:color w:val="000000" w:themeColor="text1"/>
          <w:sz w:val="32"/>
          <w:szCs w:val="32"/>
          <w:highlight w:val="none"/>
          <w14:textFill>
            <w14:solidFill>
              <w14:schemeClr w14:val="tx1"/>
            </w14:solidFill>
          </w14:textFill>
        </w:rPr>
        <w:t xml:space="preserve">二、招标文件</w:t>
      </w:r>
      <w:bookmarkEnd w:id="73"/>
      <w:r/>
      <w:bookmarkEnd w:id="74"/>
      <w:r/>
      <w:bookmarkEnd w:id="75"/>
      <w:r/>
      <w:bookmarkEnd w:id="76"/>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77" w:name="_Toc16938526"/>
      <w:r/>
      <w:bookmarkStart w:id="78" w:name="_Toc513029210"/>
      <w:r/>
      <w:bookmarkStart w:id="79" w:name="_Toc20823282"/>
      <w:r>
        <w:rPr>
          <w:rFonts w:hint="eastAsia" w:ascii="Arial" w:hAnsi="Arial" w:eastAsia="黑体" w:cs="Arial"/>
          <w:color w:val="000000" w:themeColor="text1"/>
          <w:sz w:val="28"/>
          <w:szCs w:val="28"/>
          <w:highlight w:val="none"/>
          <w14:textFill>
            <w14:solidFill>
              <w14:schemeClr w14:val="tx1"/>
            </w14:solidFill>
          </w14:textFill>
        </w:rPr>
        <w:t xml:space="preserve">6、招标文件构成</w:t>
      </w:r>
      <w:bookmarkEnd w:id="77"/>
      <w:r/>
      <w:bookmarkEnd w:id="78"/>
      <w:r/>
      <w:bookmarkEnd w:id="79"/>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 招标文件由以下部分组成：</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360"/>
        <w:spacing w:line="40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Times New Roman" w:hAnsi="宋体"/>
          <w:color w:val="000000" w:themeColor="text1"/>
          <w:sz w:val="24"/>
          <w:szCs w:val="24"/>
          <w:highlight w:val="none"/>
          <w14:textFill>
            <w14:solidFill>
              <w14:schemeClr w14:val="tx1"/>
            </w14:solidFill>
          </w14:textFill>
        </w:rPr>
        <w:t xml:space="preserve">评标方法与评标标准</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（6）投标文件格式</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请仔细检查招标文件是否齐全，如有缺漏请立即与</w:t>
      </w:r>
      <w:r>
        <w:rPr>
          <w:rFonts w:hint="eastAsia" w:ascii="宋体" w:hAnsi="宋体"/>
          <w:color w:val="000000" w:themeColor="text1"/>
          <w:sz w:val="24"/>
          <w:szCs w:val="21"/>
          <w:highlight w:val="none"/>
          <w:lang w:eastAsia="zh-CN"/>
          <w14:textFill>
            <w14:solidFill>
              <w14:schemeClr w14:val="tx1"/>
            </w14:solidFill>
          </w14:textFill>
        </w:rPr>
        <w:t xml:space="preserve">采购代理机构</w:t>
      </w:r>
      <w:r>
        <w:rPr>
          <w:rFonts w:hint="eastAsia" w:ascii="宋体" w:hAnsi="宋体"/>
          <w:color w:val="000000" w:themeColor="text1"/>
          <w:sz w:val="24"/>
          <w:szCs w:val="21"/>
          <w:highlight w:val="none"/>
          <w14:textFill>
            <w14:solidFill>
              <w14:schemeClr w14:val="tx1"/>
            </w14:solidFill>
          </w14:textFill>
        </w:rPr>
        <w:t xml:space="preserve">联系解决。</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80" w:name="_Toc513029212"/>
      <w:r/>
      <w:bookmarkStart w:id="81" w:name="_Toc16938528"/>
      <w:r/>
      <w:bookmarkStart w:id="82" w:name="_Toc462564071"/>
      <w:r/>
      <w:bookmarkStart w:id="83" w:name="_Toc20823284"/>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、招标文件的修改</w:t>
      </w:r>
      <w:bookmarkEnd w:id="80"/>
      <w:r/>
      <w:bookmarkEnd w:id="81"/>
      <w:r/>
      <w:bookmarkEnd w:id="82"/>
      <w:r/>
      <w:bookmarkEnd w:id="83"/>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在投标截止时间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采购代理机构</w:t>
      </w:r>
      <w:r>
        <w:rPr>
          <w:rFonts w:hint="eastAsia" w:ascii="宋体" w:hAnsi="宋体"/>
          <w:color w:val="000000" w:themeColor="text1"/>
          <w:sz w:val="24"/>
          <w:szCs w:val="21"/>
          <w:highlight w:val="none"/>
          <w14:textFill>
            <w14:solidFill>
              <w14:schemeClr w14:val="tx1"/>
            </w14:solidFill>
          </w14:textFill>
        </w:rPr>
        <w:t xml:space="preserve">可以对招标文件进行修改。</w:t>
      </w:r>
      <w:r/>
    </w:p>
    <w:p>
      <w:pPr>
        <w:ind w:firstLine="480"/>
        <w:spacing w:line="400" w:lineRule="exact"/>
        <w:rPr>
          <w:rFonts w:hint="eastAsia" w:ascii="宋体" w:hAnsi="Arial"/>
          <w:color w:val="000000" w:themeColor="text1"/>
          <w:sz w:val="28"/>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 </w:t>
      </w:r>
      <w:r>
        <w:rPr>
          <w:rFonts w:hint="eastAsia" w:ascii="宋体" w:hAnsi="宋体"/>
          <w:color w:val="000000" w:themeColor="text1"/>
          <w:sz w:val="24"/>
          <w:szCs w:val="21"/>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有权按照法定的要求</w:t>
      </w:r>
      <w:r>
        <w:rPr>
          <w:rFonts w:hint="eastAsia" w:ascii="宋体" w:hAnsi="宋体"/>
          <w:color w:val="000000" w:themeColor="text1"/>
          <w:sz w:val="24"/>
          <w:szCs w:val="21"/>
          <w:highlight w:val="none"/>
          <w14:textFill>
            <w14:solidFill>
              <w14:schemeClr w14:val="tx1"/>
            </w14:solidFill>
          </w14:textFill>
        </w:rPr>
        <w:t xml:space="preserve">推迟投标截止日期和开标日期。</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 </w:t>
      </w:r>
      <w:r>
        <w:rPr>
          <w:rFonts w:hint="eastAsia" w:ascii="宋体" w:hAnsi="宋体"/>
          <w:color w:val="000000" w:themeColor="text1"/>
          <w:sz w:val="24"/>
          <w:szCs w:val="21"/>
          <w:highlight w:val="none"/>
          <w14:textFill>
            <w14:solidFill>
              <w14:schemeClr w14:val="tx1"/>
            </w14:solidFill>
          </w14:textFill>
        </w:rPr>
        <w:t xml:space="preserve">招标文件的修改将在江苏政府采购网公布，</w:t>
      </w:r>
      <w:r>
        <w:rPr>
          <w:rFonts w:hint="eastAsia" w:ascii="宋体" w:hAnsi="宋体"/>
          <w:color w:val="000000" w:themeColor="text1"/>
          <w:sz w:val="24"/>
          <w:szCs w:val="24"/>
          <w:highlight w:val="none"/>
          <w14:textFill>
            <w14:solidFill>
              <w14:schemeClr w14:val="tx1"/>
            </w14:solidFill>
          </w14:textFill>
        </w:rPr>
        <w:t xml:space="preserve">补充文件将作为招标文件的组成部分，</w:t>
      </w:r>
      <w:r>
        <w:rPr>
          <w:rFonts w:hint="eastAsia" w:ascii="宋体" w:hAnsi="宋体"/>
          <w:color w:val="000000" w:themeColor="text1"/>
          <w:sz w:val="24"/>
          <w:szCs w:val="21"/>
          <w:highlight w:val="none"/>
          <w14:textFill>
            <w14:solidFill>
              <w14:schemeClr w14:val="tx1"/>
            </w14:solidFill>
          </w14:textFill>
        </w:rPr>
        <w:t xml:space="preserve">并对投标人具有约束力。</w:t>
      </w:r>
      <w:r/>
    </w:p>
    <w:p>
      <w:pPr>
        <w:ind w:firstLine="482"/>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84" w:name="_Toc20823285"/>
      <w:r/>
      <w:bookmarkStart w:id="85" w:name="_Toc513029213"/>
      <w:r/>
      <w:bookmarkStart w:id="86" w:name="_Toc462564072"/>
      <w:r/>
      <w:bookmarkStart w:id="87" w:name="_Toc16938529"/>
      <w:r/>
      <w:bookmarkStart w:id="88" w:name="_Toc120614216"/>
      <w:r>
        <w:rPr>
          <w:rFonts w:hint="eastAsia" w:ascii="Times New Roman" w:hAnsi="Times New Roman"/>
          <w:b/>
          <w:bCs/>
          <w:color w:val="000000" w:themeColor="text1"/>
          <w:sz w:val="32"/>
          <w:szCs w:val="32"/>
          <w:highlight w:val="none"/>
          <w14:textFill>
            <w14:solidFill>
              <w14:schemeClr w14:val="tx1"/>
            </w14:solidFill>
          </w14:textFill>
        </w:rPr>
        <w:t xml:space="preserve">三、投标文件的编制</w:t>
      </w:r>
      <w:bookmarkEnd w:id="84"/>
      <w:r/>
      <w:bookmarkEnd w:id="85"/>
      <w:r/>
      <w:bookmarkEnd w:id="86"/>
      <w:r/>
      <w:bookmarkEnd w:id="87"/>
      <w:r/>
      <w:bookmarkEnd w:id="88"/>
      <w:r/>
      <w:r/>
    </w:p>
    <w:p>
      <w:pPr>
        <w:ind w:firstLine="560"/>
        <w:keepLines/>
        <w:keepNext/>
        <w:spacing w:line="400" w:lineRule="exact"/>
        <w:rPr>
          <w:rFonts w:hint="eastAsia" w:ascii="Arial" w:hAnsi="Arial" w:eastAsia="黑体" w:cs="Arial"/>
          <w:b/>
          <w:color w:val="000000" w:themeColor="text1"/>
          <w:sz w:val="28"/>
          <w:szCs w:val="28"/>
          <w:highlight w:val="none"/>
          <w14:textFill>
            <w14:solidFill>
              <w14:schemeClr w14:val="tx1"/>
            </w14:solidFill>
          </w14:textFill>
        </w:rPr>
        <w:outlineLvl w:val="3"/>
      </w:pPr>
      <w:r/>
      <w:bookmarkStart w:id="89" w:name="_Toc20823286"/>
      <w:r/>
      <w:bookmarkStart w:id="90" w:name="_Toc513029214"/>
      <w:r/>
      <w:bookmarkStart w:id="91" w:name="_Toc16938530"/>
      <w:r/>
      <w:bookmarkStart w:id="92" w:name="_Toc462564073"/>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、投标文件的语言及度量衡单位</w:t>
      </w:r>
      <w:bookmarkEnd w:id="89"/>
      <w:r/>
      <w:bookmarkEnd w:id="90"/>
      <w:r/>
      <w:bookmarkEnd w:id="91"/>
      <w:r/>
      <w:bookmarkEnd w:id="92"/>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投标人提交的投标文件以及投标人与</w:t>
      </w:r>
      <w:r>
        <w:rPr>
          <w:rFonts w:hint="eastAsia" w:ascii="宋体" w:hAnsi="宋体"/>
          <w:color w:val="000000" w:themeColor="text1"/>
          <w:sz w:val="24"/>
          <w:szCs w:val="21"/>
          <w:highlight w:val="none"/>
          <w:lang w:eastAsia="zh-CN"/>
          <w14:textFill>
            <w14:solidFill>
              <w14:schemeClr w14:val="tx1"/>
            </w14:solidFill>
          </w14:textFill>
        </w:rPr>
        <w:t xml:space="preserve">采购代理机构</w:t>
      </w:r>
      <w:r>
        <w:rPr>
          <w:rFonts w:hint="eastAsia" w:ascii="宋体" w:hAnsi="宋体"/>
          <w:color w:val="000000" w:themeColor="text1"/>
          <w:sz w:val="24"/>
          <w:szCs w:val="21"/>
          <w:highlight w:val="none"/>
          <w14:textFill>
            <w14:solidFill>
              <w14:schemeClr w14:val="tx1"/>
            </w14:solidFill>
          </w14:textFill>
        </w:rPr>
        <w:t xml:space="preserve">就有关投标的所有来往通知、函件和文件均应使用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93" w:name="_Toc462564074"/>
      <w:r/>
      <w:bookmarkStart w:id="94" w:name="_Toc20823287"/>
      <w:r/>
      <w:bookmarkStart w:id="95" w:name="_Toc16938531"/>
      <w:r/>
      <w:bookmarkStart w:id="96" w:name="_Toc513029215"/>
      <w:r>
        <w:rPr>
          <w:rFonts w:ascii="Arial" w:hAnsi="Arial" w:eastAsia="黑体" w:cs="Arial"/>
          <w:color w:val="000000" w:themeColor="text1"/>
          <w:sz w:val="28"/>
          <w:szCs w:val="28"/>
          <w:highlight w:val="none"/>
          <w14:textFill>
            <w14:solidFill>
              <w14:schemeClr w14:val="tx1"/>
            </w14:solidFill>
          </w14:textFill>
        </w:rPr>
        <w:t xml:space="preserve">9</w:t>
      </w:r>
      <w:r>
        <w:rPr>
          <w:rFonts w:hint="eastAsia" w:ascii="Arial" w:hAnsi="Arial" w:eastAsia="黑体" w:cs="Arial"/>
          <w:color w:val="000000" w:themeColor="text1"/>
          <w:sz w:val="28"/>
          <w:szCs w:val="28"/>
          <w:highlight w:val="none"/>
          <w14:textFill>
            <w14:solidFill>
              <w14:schemeClr w14:val="tx1"/>
            </w14:solidFill>
          </w14:textFill>
        </w:rPr>
        <w:t xml:space="preserve">、投标文件构成</w:t>
      </w:r>
      <w:bookmarkEnd w:id="93"/>
      <w:r/>
      <w:bookmarkEnd w:id="94"/>
      <w:r/>
      <w:bookmarkEnd w:id="95"/>
      <w:r/>
      <w:bookmarkEnd w:id="96"/>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投标人编写的投标文件应包括资格证明文件、</w:t>
      </w:r>
      <w:r>
        <w:rPr>
          <w:rFonts w:hint="eastAsia" w:ascii="宋体" w:hAnsi="宋体"/>
          <w:color w:val="000000" w:themeColor="text1"/>
          <w:sz w:val="24"/>
          <w:szCs w:val="24"/>
          <w:highlight w:val="none"/>
          <w14:textFill>
            <w14:solidFill>
              <w14:schemeClr w14:val="tx1"/>
            </w14:solidFill>
          </w14:textFill>
        </w:rPr>
        <w:t xml:space="preserve">实质性要求响应及偏离表</w:t>
      </w:r>
      <w:r>
        <w:rPr>
          <w:rFonts w:hint="eastAsia" w:ascii="宋体" w:hAnsi="宋体"/>
          <w:color w:val="000000" w:themeColor="text1"/>
          <w:sz w:val="24"/>
          <w:szCs w:val="21"/>
          <w:highlight w:val="none"/>
          <w14:textFill>
            <w14:solidFill>
              <w14:schemeClr w14:val="tx1"/>
            </w14:solidFill>
          </w14:textFill>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9</w:t>
      </w:r>
      <w:r>
        <w:rPr>
          <w:rFonts w:hint="eastAsia" w:ascii="宋体" w:hAnsi="宋体"/>
          <w:color w:val="000000" w:themeColor="text1"/>
          <w:sz w:val="24"/>
          <w:szCs w:val="21"/>
          <w:highlight w:val="none"/>
          <w14:textFill>
            <w14:solidFill>
              <w14:schemeClr w14:val="tx1"/>
            </w14:solidFill>
          </w14:textFill>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97" w:name="_Hlt26668975"/>
      <w:r/>
      <w:bookmarkEnd w:id="97"/>
      <w:r/>
      <w:bookmarkStart w:id="98" w:name="_Hlt26954838"/>
      <w:r/>
      <w:bookmarkEnd w:id="98"/>
      <w:r/>
      <w:bookmarkStart w:id="99" w:name="_Hlt26670360"/>
      <w:r/>
      <w:bookmarkEnd w:id="99"/>
      <w:r/>
      <w:bookmarkStart w:id="100" w:name="_Toc513029216"/>
      <w:r/>
      <w:bookmarkStart w:id="101" w:name="_Toc14577354"/>
      <w:r/>
      <w:bookmarkStart w:id="102" w:name="_Toc14577357"/>
      <w:r/>
      <w:bookmarkStart w:id="103" w:name="_Toc49090509"/>
      <w:r/>
      <w:bookmarkStart w:id="104" w:name="_Toc513029219"/>
      <w:r/>
      <w:bookmarkStart w:id="105" w:name="_Toc49090507"/>
      <w:r/>
      <w:bookmarkStart w:id="106" w:name="_Toc14577355"/>
      <w:r/>
      <w:bookmarkStart w:id="107" w:name="_Toc49090508"/>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、证明投标人及投标标的符合招标文件规定的文件</w:t>
      </w:r>
      <w:bookmarkEnd w:id="100"/>
      <w:r/>
      <w:bookmarkEnd w:id="101"/>
      <w:r/>
      <w:bookmarkEnd w:id="102"/>
      <w:r/>
      <w:bookmarkEnd w:id="103"/>
      <w:r/>
      <w:bookmarkEnd w:id="104"/>
      <w:r/>
      <w:bookmarkEnd w:id="105"/>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.1 投标人应按照招标文件要求提交证明文件，证明其及投标标的符合招标文件规定。</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.2招标文件对证明文件无明确形式要求的，证明文件可以以文字资料、图纸和数据等形式提交。</w:t>
      </w:r>
      <w:bookmarkEnd w:id="106"/>
      <w:r/>
      <w:bookmarkEnd w:id="107"/>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、投标分项报价表</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w:t>
      </w:r>
      <w:bookmarkStart w:id="108" w:name="_Hlt26954840"/>
      <w:r/>
      <w:bookmarkEnd w:id="108"/>
      <w:r>
        <w:rPr>
          <w:rFonts w:hint="eastAsia" w:ascii="宋体" w:hAnsi="宋体"/>
          <w:color w:val="000000" w:themeColor="text1"/>
          <w:sz w:val="24"/>
          <w:szCs w:val="21"/>
          <w:highlight w:val="none"/>
          <w14:textFill>
            <w14:solidFill>
              <w14:schemeClr w14:val="tx1"/>
            </w14:solidFill>
          </w14:textFill>
        </w:rPr>
        <w:t xml:space="preserve">标人按照招标文件规定格式填报投标分项报价表</w:t>
      </w:r>
      <w:bookmarkStart w:id="109" w:name="_Hlt26670399"/>
      <w:r/>
      <w:bookmarkEnd w:id="109"/>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招标文件中另有规定的按规定执行。</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0" w:name="_Hlt26954846"/>
      <w:r/>
      <w:bookmarkEnd w:id="110"/>
      <w:r/>
      <w:bookmarkStart w:id="111" w:name="_Hlt26954731"/>
      <w:r/>
      <w:bookmarkEnd w:id="111"/>
      <w:r/>
      <w:bookmarkStart w:id="112" w:name="_Hlt26670486"/>
      <w:r/>
      <w:bookmarkEnd w:id="112"/>
      <w:r/>
      <w:bookmarkStart w:id="113" w:name="_Hlt26670482"/>
      <w:r/>
      <w:bookmarkEnd w:id="113"/>
      <w:r/>
      <w:bookmarkStart w:id="114" w:name="_Hlt26954848"/>
      <w:r/>
      <w:bookmarkEnd w:id="114"/>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2</w:t>
      </w:r>
      <w:r>
        <w:rPr>
          <w:rFonts w:hint="eastAsia" w:ascii="Arial" w:hAnsi="Arial" w:eastAsia="黑体" w:cs="Arial"/>
          <w:color w:val="000000" w:themeColor="text1"/>
          <w:sz w:val="28"/>
          <w:szCs w:val="28"/>
          <w:highlight w:val="none"/>
          <w14:textFill>
            <w14:solidFill>
              <w14:schemeClr w14:val="tx1"/>
            </w14:solidFill>
          </w14:textFill>
        </w:rPr>
        <w:t xml:space="preserve">、技术要求响应及偏离表、商务要求响应及偏离表</w:t>
      </w:r>
      <w:r/>
    </w:p>
    <w:p>
      <w:pPr>
        <w:ind w:firstLine="480"/>
        <w:spacing w:line="400" w:lineRule="exact"/>
        <w:rPr>
          <w:rFonts w:hint="eastAsia" w:ascii="宋体" w:hAnsi="Arial" w:cs="宋体"/>
          <w:color w:val="000000" w:themeColor="text1"/>
          <w:sz w:val="24"/>
          <w:szCs w:val="21"/>
          <w:highlight w:val="none"/>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12.1</w:t>
      </w:r>
      <w:r>
        <w:rPr>
          <w:rFonts w:hint="eastAsia" w:ascii="宋体" w:hAnsi="Arial" w:cs="宋体"/>
          <w:bCs/>
          <w:color w:val="000000" w:themeColor="text1"/>
          <w:sz w:val="24"/>
          <w:szCs w:val="21"/>
          <w:highlight w:val="none"/>
          <w:lang w:val="zh-CN"/>
          <w14:textFill>
            <w14:solidFill>
              <w14:schemeClr w14:val="tx1"/>
            </w14:solidFill>
          </w14:textFill>
        </w:rPr>
        <w:t xml:space="preserve"> </w:t>
      </w:r>
      <w:r>
        <w:rPr>
          <w:rFonts w:hint="eastAsia" w:ascii="宋体" w:hAnsi="Arial" w:cs="宋体"/>
          <w:color w:val="000000" w:themeColor="text1"/>
          <w:sz w:val="24"/>
          <w:szCs w:val="21"/>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themeColor="text1"/>
          <w:sz w:val="24"/>
          <w:szCs w:val="21"/>
          <w:highlight w:val="none"/>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w:t>
      </w:r>
      <w:r>
        <w:rPr>
          <w:rFonts w:ascii="宋体" w:hAnsi="Arial" w:cs="宋体"/>
          <w:color w:val="000000" w:themeColor="text1"/>
          <w:sz w:val="24"/>
          <w:szCs w:val="21"/>
          <w:highlight w:val="none"/>
          <w:lang w:val="zh-CN"/>
          <w14:textFill>
            <w14:solidFill>
              <w14:schemeClr w14:val="tx1"/>
            </w14:solidFill>
          </w14:textFill>
        </w:rPr>
        <w:t xml:space="preserve">2</w:t>
      </w:r>
      <w:r>
        <w:rPr>
          <w:rFonts w:hint="eastAsia" w:ascii="宋体" w:hAnsi="Arial" w:cs="宋体"/>
          <w:color w:val="000000" w:themeColor="text1"/>
          <w:sz w:val="24"/>
          <w:szCs w:val="21"/>
          <w:highlight w:val="none"/>
          <w:lang w:val="zh-CN"/>
          <w14:textFill>
            <w14:solidFill>
              <w14:schemeClr w14:val="tx1"/>
            </w14:solidFill>
          </w14:textFill>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、服务承诺、培训计划、人员安排及其他</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.2 投标人需根据招标文件要求提供培训计划。</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.3 投标人需根据招标文件要求提供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5" w:name="_Toc14577359"/>
      <w:r/>
      <w:bookmarkStart w:id="116" w:name="_Toc49090510"/>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4</w:t>
      </w:r>
      <w:r>
        <w:rPr>
          <w:rFonts w:hint="eastAsia" w:ascii="Arial" w:hAnsi="Arial" w:eastAsia="黑体" w:cs="Arial"/>
          <w:color w:val="000000" w:themeColor="text1"/>
          <w:sz w:val="28"/>
          <w:szCs w:val="28"/>
          <w:highlight w:val="none"/>
          <w14:textFill>
            <w14:solidFill>
              <w14:schemeClr w14:val="tx1"/>
            </w14:solidFill>
          </w14:textFill>
        </w:rPr>
        <w:t xml:space="preserve">、投标函和开标一览表</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 对于采用货币报价的项目，开标一览表中的投标总报价应与投标分项报价表中的投标总报价一致，如不一致，不作为无效投标处理，但评标时按开标一览表中价格为准。</w:t>
      </w:r>
      <w:bookmarkEnd w:id="115"/>
      <w:r/>
      <w:bookmarkEnd w:id="116"/>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7" w:name="_Toc14577360"/>
      <w:r/>
      <w:bookmarkStart w:id="118" w:name="_Toc49090511"/>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、投标有效期</w:t>
      </w:r>
      <w:bookmarkEnd w:id="117"/>
      <w:r/>
      <w:bookmarkEnd w:id="118"/>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.1投标有效期为</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规定的开标之日后</w:t>
      </w:r>
      <w:r>
        <w:rPr>
          <w:rFonts w:hint="eastAsia" w:ascii="仿宋_GB2312" w:hAnsi="仿宋_GB2312"/>
          <w:b/>
          <w:color w:val="000000" w:themeColor="text1"/>
          <w:sz w:val="24"/>
          <w:szCs w:val="21"/>
          <w:highlight w:val="none"/>
          <w:u w:val="single"/>
          <w14:textFill>
            <w14:solidFill>
              <w14:schemeClr w14:val="tx1"/>
            </w14:solidFill>
          </w14:textFill>
        </w:rPr>
        <w:t xml:space="preserve">六十（60）天</w:t>
      </w:r>
      <w:r>
        <w:rPr>
          <w:rFonts w:hint="eastAsia" w:ascii="宋体" w:hAnsi="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、投标有效期的延长</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.1在特殊情况下，</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的这一要求而放弃投标，同意延长投标有效期的投标人既不能要求也不允许修改其投标文件。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19" w:name="_Hlt26954739"/>
      <w:r/>
      <w:bookmarkEnd w:id="119"/>
      <w:r/>
      <w:bookmarkStart w:id="120" w:name="_Hlt26954852"/>
      <w:r/>
      <w:bookmarkEnd w:id="120"/>
      <w:r/>
      <w:bookmarkStart w:id="121" w:name="_Toc120614217"/>
      <w:r/>
      <w:bookmarkStart w:id="122" w:name="_Toc20823296"/>
      <w:r/>
      <w:bookmarkStart w:id="123" w:name="_Toc513029224"/>
      <w:r/>
      <w:bookmarkStart w:id="124" w:name="_Toc16938540"/>
      <w:r>
        <w:rPr>
          <w:rFonts w:hint="eastAsia" w:ascii="Times New Roman" w:hAnsi="Times New Roman"/>
          <w:b/>
          <w:bCs/>
          <w:color w:val="000000" w:themeColor="text1"/>
          <w:sz w:val="32"/>
          <w:szCs w:val="32"/>
          <w:highlight w:val="none"/>
          <w14:textFill>
            <w14:solidFill>
              <w14:schemeClr w14:val="tx1"/>
            </w14:solidFill>
          </w14:textFill>
        </w:rPr>
        <w:t xml:space="preserve">四、投标文件的递交</w:t>
      </w:r>
      <w:bookmarkEnd w:id="121"/>
      <w:r/>
      <w:bookmarkEnd w:id="122"/>
      <w:r/>
      <w:bookmarkEnd w:id="123"/>
      <w:r/>
      <w:bookmarkEnd w:id="124"/>
      <w:r/>
      <w:r/>
    </w:p>
    <w:p>
      <w:pPr>
        <w:ind w:firstLine="420"/>
        <w:keepLines/>
        <w:keepNext/>
        <w:spacing w:line="400" w:lineRule="exact"/>
        <w:rPr>
          <w:rFonts w:hint="eastAsia" w:ascii="黑体" w:hAnsi="Arial" w:eastAsia="黑体" w:cs="Arial"/>
          <w:color w:val="000000" w:themeColor="text1"/>
          <w:sz w:val="28"/>
          <w:szCs w:val="28"/>
          <w:highlight w:val="none"/>
          <w14:textFill>
            <w14:solidFill>
              <w14:schemeClr w14:val="tx1"/>
            </w14:solidFill>
          </w14:textFill>
        </w:rPr>
        <w:outlineLvl w:val="3"/>
      </w:pPr>
      <w:r/>
      <w:bookmarkStart w:id="125" w:name="_Toc20823297"/>
      <w:r/>
      <w:bookmarkStart w:id="126" w:name="_Toc513029225"/>
      <w:r/>
      <w:bookmarkStart w:id="127" w:name="_Toc462564084"/>
      <w:r/>
      <w:bookmarkStart w:id="128" w:name="_Toc16938541"/>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投标文件</w:t>
      </w:r>
      <w:bookmarkEnd w:id="125"/>
      <w:r/>
      <w:bookmarkEnd w:id="126"/>
      <w:r/>
      <w:bookmarkEnd w:id="127"/>
      <w:r/>
      <w:bookmarkEnd w:id="128"/>
      <w:r>
        <w:rPr>
          <w:rFonts w:hint="eastAsia" w:ascii="黑体" w:hAnsi="Arial" w:eastAsia="黑体" w:cs="Arial"/>
          <w:color w:val="000000" w:themeColor="text1"/>
          <w:sz w:val="28"/>
          <w:szCs w:val="28"/>
          <w:highlight w:val="none"/>
          <w14:textFill>
            <w14:solidFill>
              <w14:schemeClr w14:val="tx1"/>
            </w14:solidFill>
          </w14:textFill>
        </w:rPr>
        <w:t xml:space="preserve">的递交</w:t>
      </w:r>
      <w:r/>
    </w:p>
    <w:p>
      <w:pPr>
        <w:ind w:left="525"/>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.1投标人应当按照《操作手册》规定，在投标截止时间前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w:t>
      </w: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子投标文件。</w:t>
      </w:r>
      <w:bookmarkStart w:id="129" w:name="_Toc20823298"/>
      <w:r/>
      <w:bookmarkStart w:id="130" w:name="_Toc513029226"/>
      <w:r/>
      <w:bookmarkStart w:id="131" w:name="_Toc16938542"/>
      <w:r/>
      <w:r/>
    </w:p>
    <w:p>
      <w:pPr>
        <w:ind w:firstLine="420"/>
        <w:keepLines/>
        <w:keepNext/>
        <w:spacing w:before="280" w:after="290" w:line="400" w:lineRule="exact"/>
        <w:rPr>
          <w:rFonts w:hint="eastAsia"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18</w:t>
      </w:r>
      <w:r>
        <w:rPr>
          <w:rFonts w:hint="eastAsia" w:ascii="Arial" w:hAnsi="Arial" w:eastAsia="黑体" w:cs="Arial"/>
          <w:bCs/>
          <w:color w:val="000000" w:themeColor="text1"/>
          <w:sz w:val="28"/>
          <w:szCs w:val="28"/>
          <w:highlight w:val="none"/>
          <w14:textFill>
            <w14:solidFill>
              <w14:schemeClr w14:val="tx1"/>
            </w14:solidFill>
          </w14:textFill>
        </w:rPr>
        <w:t xml:space="preserve">、投标截止日期</w:t>
      </w:r>
      <w:bookmarkEnd w:id="129"/>
      <w:r/>
      <w:bookmarkEnd w:id="130"/>
      <w:r/>
      <w:bookmarkEnd w:id="131"/>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18</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投标人上传电子投标文件的时间不得迟于招标公告中规定的投标截止时间。</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.1.2条规定做无效投标处理。</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18</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2" w:name="_Toc16938543"/>
      <w:r/>
      <w:bookmarkStart w:id="133" w:name="_Toc513029227"/>
      <w:r/>
      <w:bookmarkStart w:id="134" w:name="_Toc20823299"/>
      <w:r>
        <w:rPr>
          <w:rFonts w:ascii="Arial" w:hAnsi="Arial" w:eastAsia="黑体" w:cs="Arial"/>
          <w:color w:val="000000" w:themeColor="text1"/>
          <w:sz w:val="28"/>
          <w:szCs w:val="28"/>
          <w:highlight w:val="none"/>
          <w14:textFill>
            <w14:solidFill>
              <w14:schemeClr w14:val="tx1"/>
            </w14:solidFill>
          </w14:textFill>
        </w:rPr>
        <w:t xml:space="preserve">19</w:t>
      </w:r>
      <w:r>
        <w:rPr>
          <w:rFonts w:hint="eastAsia" w:ascii="Arial" w:hAnsi="Arial" w:eastAsia="黑体" w:cs="Arial"/>
          <w:color w:val="000000" w:themeColor="text1"/>
          <w:sz w:val="28"/>
          <w:szCs w:val="28"/>
          <w:highlight w:val="none"/>
          <w14:textFill>
            <w14:solidFill>
              <w14:schemeClr w14:val="tx1"/>
            </w14:solidFill>
          </w14:textFill>
        </w:rPr>
        <w:t xml:space="preserve">、投标文件</w:t>
      </w:r>
      <w:bookmarkEnd w:id="132"/>
      <w:r/>
      <w:bookmarkEnd w:id="133"/>
      <w:r/>
      <w:bookmarkEnd w:id="134"/>
      <w:r>
        <w:rPr>
          <w:rFonts w:hint="eastAsia" w:ascii="Arial" w:hAnsi="Arial" w:eastAsia="黑体" w:cs="Arial"/>
          <w:color w:val="000000" w:themeColor="text1"/>
          <w:sz w:val="28"/>
          <w:szCs w:val="28"/>
          <w:highlight w:val="none"/>
          <w14:textFill>
            <w14:solidFill>
              <w14:schemeClr w14:val="tx1"/>
            </w14:solidFill>
          </w14:textFill>
        </w:rPr>
        <w:t xml:space="preserve">的拒收</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19</w:t>
      </w:r>
      <w:r>
        <w:rPr>
          <w:rFonts w:hint="eastAsia" w:ascii="宋体" w:hAnsi="宋体"/>
          <w:bCs/>
          <w:color w:val="000000" w:themeColor="text1"/>
          <w:sz w:val="24"/>
          <w:szCs w:val="21"/>
          <w:highlight w:val="none"/>
          <w14:textFill>
            <w14:solidFill>
              <w14:schemeClr w14:val="tx1"/>
            </w14:solidFill>
          </w14:textFill>
        </w:rPr>
        <w:t xml:space="preserve">.1 </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拒绝接收在其规定的投标截止时间后上传的任何投标文件。</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5" w:name="_Toc16938544"/>
      <w:r/>
      <w:bookmarkStart w:id="136" w:name="_Toc20823300"/>
      <w:r/>
      <w:bookmarkStart w:id="137" w:name="_Toc513029228"/>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、投标文件的撤回和修改</w:t>
      </w:r>
      <w:bookmarkEnd w:id="135"/>
      <w:r/>
      <w:bookmarkEnd w:id="136"/>
      <w:r/>
      <w:bookmarkEnd w:id="137"/>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.1 投标文件的撤回</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.1.1 电子投标文件的撤回</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 投标文件的修改</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p>
    <w:p>
      <w:pPr>
        <w:ind w:firstLine="482"/>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38" w:name="_Toc20823301"/>
      <w:r/>
      <w:bookmarkStart w:id="139" w:name="_Toc513029229"/>
      <w:r/>
      <w:bookmarkStart w:id="140" w:name="_Toc120614218"/>
      <w:r/>
      <w:bookmarkStart w:id="141" w:name="_Toc16938545"/>
      <w:r>
        <w:rPr>
          <w:rFonts w:hint="eastAsia" w:ascii="Times New Roman" w:hAnsi="Times New Roman"/>
          <w:b/>
          <w:bCs/>
          <w:color w:val="000000" w:themeColor="text1"/>
          <w:sz w:val="32"/>
          <w:szCs w:val="32"/>
          <w:highlight w:val="none"/>
          <w14:textFill>
            <w14:solidFill>
              <w14:schemeClr w14:val="tx1"/>
            </w14:solidFill>
          </w14:textFill>
        </w:rPr>
        <w:t xml:space="preserve">五、开标与评标</w:t>
      </w:r>
      <w:bookmarkEnd w:id="138"/>
      <w:r/>
      <w:bookmarkEnd w:id="139"/>
      <w:r/>
      <w:bookmarkEnd w:id="140"/>
      <w:r/>
      <w:bookmarkEnd w:id="141"/>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2" w:name="_Toc16938546"/>
      <w:r/>
      <w:bookmarkStart w:id="143" w:name="_Toc20823302"/>
      <w:r/>
      <w:bookmarkStart w:id="144" w:name="_Toc513029230"/>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、开标</w:t>
      </w:r>
      <w:bookmarkEnd w:id="142"/>
      <w:r/>
      <w:bookmarkEnd w:id="143"/>
      <w:r/>
      <w:bookmarkEnd w:id="144"/>
      <w:r/>
      <w:r/>
    </w:p>
    <w:p>
      <w:pPr>
        <w:ind w:firstLine="48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和在苏采云系统规定的时间内对投标文件进行解密。</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开标仪式由</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组织。苏采云系统将自动对</w:t>
      </w:r>
      <w:r>
        <w:rPr>
          <w:rFonts w:ascii="宋体" w:hAnsi="宋体"/>
          <w:color w:val="000000" w:themeColor="text1"/>
          <w:sz w:val="24"/>
          <w:szCs w:val="24"/>
          <w:highlight w:val="none"/>
          <w14:textFill>
            <w14:solidFill>
              <w14:schemeClr w14:val="tx1"/>
            </w14:solidFill>
          </w14:textFill>
        </w:rPr>
        <w:t xml:space="preserve">项目进行开标，</w:t>
      </w:r>
      <w:r>
        <w:rPr>
          <w:rFonts w:hint="eastAsia" w:ascii="宋体" w:hAnsi="宋体"/>
          <w:color w:val="000000" w:themeColor="text1"/>
          <w:sz w:val="24"/>
          <w:szCs w:val="24"/>
          <w:highlight w:val="none"/>
          <w14:textFill>
            <w14:solidFill>
              <w14:schemeClr w14:val="tx1"/>
            </w14:solidFill>
          </w14:textFill>
        </w:rPr>
        <w:t xml:space="preserve">并宣布各投标人名称和投标价格。</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.3投标人在开标过程中涉及到的投标文件解密、开标结果确认等工作，应按照《操作手册》规定执行。</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5" w:name="_Toc16938547"/>
      <w:r/>
      <w:bookmarkStart w:id="146" w:name="_Toc513029231"/>
      <w:r/>
      <w:bookmarkStart w:id="147" w:name="_Toc20823303"/>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2</w:t>
      </w:r>
      <w:r>
        <w:rPr>
          <w:rFonts w:hint="eastAsia" w:ascii="Arial" w:hAnsi="Arial" w:eastAsia="黑体" w:cs="Arial"/>
          <w:color w:val="000000" w:themeColor="text1"/>
          <w:sz w:val="28"/>
          <w:szCs w:val="28"/>
          <w:highlight w:val="none"/>
          <w14:textFill>
            <w14:solidFill>
              <w14:schemeClr w14:val="tx1"/>
            </w14:solidFill>
          </w14:textFill>
        </w:rPr>
        <w:t xml:space="preserve">、评标委员会</w:t>
      </w:r>
      <w:r/>
    </w:p>
    <w:p>
      <w:pPr>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开标后，</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将立即组织评标委员会进行评标。</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.2 </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由采购人代表和有关技术、经济等方面的专家组成，且人员构成符合政府采购有关规定。</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独立工作，负责评审所有投标文件并确定中标侯选人。</w:t>
      </w:r>
      <w:r/>
    </w:p>
    <w:p>
      <w:pPr>
        <w:ind w:firstLine="420"/>
        <w:keepLines/>
        <w:keepNext/>
        <w:spacing w:line="400" w:lineRule="exact"/>
        <w:rPr>
          <w:rFonts w:hint="eastAsia"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3</w:t>
      </w:r>
      <w:r>
        <w:rPr>
          <w:rFonts w:hint="eastAsia" w:ascii="黑体" w:hAnsi="Arial" w:eastAsia="黑体" w:cs="Arial"/>
          <w:color w:val="000000" w:themeColor="text1"/>
          <w:sz w:val="28"/>
          <w:szCs w:val="28"/>
          <w:highlight w:val="none"/>
          <w14:textFill>
            <w14:solidFill>
              <w14:schemeClr w14:val="tx1"/>
            </w14:solidFill>
          </w14:textFill>
        </w:rPr>
        <w:t xml:space="preserve">、评标过程的保密与公正</w:t>
      </w:r>
      <w:bookmarkEnd w:id="145"/>
      <w:r/>
      <w:bookmarkEnd w:id="146"/>
      <w:r/>
      <w:bookmarkEnd w:id="147"/>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均不得向投标人或与评标无关的其他人员透露。</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23</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8" w:name="_Toc513029232"/>
      <w:r/>
      <w:bookmarkStart w:id="149" w:name="_Toc16938548"/>
      <w:r/>
      <w:bookmarkStart w:id="150" w:name="_Toc20823304"/>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4</w:t>
      </w:r>
      <w:r>
        <w:rPr>
          <w:rFonts w:hint="eastAsia" w:ascii="Arial" w:hAnsi="Arial" w:eastAsia="黑体" w:cs="Arial"/>
          <w:color w:val="000000" w:themeColor="text1"/>
          <w:sz w:val="28"/>
          <w:szCs w:val="28"/>
          <w:highlight w:val="none"/>
          <w14:textFill>
            <w14:solidFill>
              <w14:schemeClr w14:val="tx1"/>
            </w14:solidFill>
          </w14:textFill>
        </w:rPr>
        <w:t xml:space="preserve">、投标文件的澄清</w:t>
      </w:r>
      <w:bookmarkEnd w:id="148"/>
      <w:r/>
      <w:bookmarkEnd w:id="149"/>
      <w:r/>
      <w:bookmarkEnd w:id="150"/>
      <w:r/>
      <w:r/>
    </w:p>
    <w:p>
      <w:pPr>
        <w:ind w:firstLine="480"/>
        <w:spacing w:line="400" w:lineRule="exact"/>
        <w:rPr>
          <w:rFonts w:ascii="宋体" w:hAnsi="宋体"/>
          <w:color w:val="000000" w:themeColor="text1"/>
          <w:sz w:val="24"/>
          <w:szCs w:val="24"/>
          <w:highlight w:val="none"/>
          <w14:textFill>
            <w14:solidFill>
              <w14:schemeClr w14:val="tx1"/>
            </w14:solidFill>
          </w14:textFill>
        </w:rPr>
      </w:pPr>
      <w:r/>
      <w:bookmarkStart w:id="151" w:name="_Toc20823305"/>
      <w:r/>
      <w:bookmarkStart w:id="152" w:name="_Toc16938549"/>
      <w:r/>
      <w:bookmarkStart w:id="153" w:name="_Toc513029233"/>
      <w:r>
        <w:rPr>
          <w:rFonts w:ascii="宋体" w:hAnsi="宋体"/>
          <w:color w:val="000000" w:themeColor="text1"/>
          <w:sz w:val="24"/>
          <w:szCs w:val="24"/>
          <w:highlight w:val="none"/>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对投标文件中含义不明确、同类问题表述不一致或者有明显文字和计算错误的内容</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w:t>
      </w:r>
      <w:r>
        <w:rPr>
          <w:rFonts w:ascii="宋体" w:hAnsi="宋体"/>
          <w:color w:val="000000" w:themeColor="text1"/>
          <w:sz w:val="24"/>
          <w:szCs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.2需要供应商进行澄清、说明和补正的，</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.3 接到</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、对投标文件的初审</w:t>
      </w:r>
      <w:bookmarkEnd w:id="151"/>
      <w:r/>
      <w:bookmarkEnd w:id="152"/>
      <w:r/>
      <w:bookmarkEnd w:id="153"/>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投标文件初审分为资格审查和符合性审查。</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进行反馈。</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采购人在进行资格性审查的同时，将在“信用中国”网站</w:t>
      </w:r>
      <w:r>
        <w:rPr>
          <w:rFonts w:ascii="Times New Roman" w:hAnsi="Times New Roman"/>
          <w:bCs/>
          <w:color w:val="000000" w:themeColor="text1"/>
          <w:szCs w:val="21"/>
          <w:highlight w:val="none"/>
          <w14:textFill>
            <w14:solidFill>
              <w14:schemeClr w14:val="tx1"/>
            </w14:solidFill>
          </w14:textFill>
        </w:rPr>
        <w:t xml:space="preserve">（www.creditchina.gov.cn）</w:t>
      </w:r>
      <w:r>
        <w:rPr>
          <w:rFonts w:hint="eastAsia" w:ascii="宋体" w:hAnsi="宋体"/>
          <w:bCs/>
          <w:color w:val="000000" w:themeColor="text1"/>
          <w:sz w:val="24"/>
          <w:szCs w:val="21"/>
          <w:highlight w:val="none"/>
          <w14:textFill>
            <w14:solidFill>
              <w14:schemeClr w14:val="tx1"/>
            </w14:solidFill>
          </w14:textFill>
        </w:rPr>
        <w:t xml:space="preserve">查询投标人的信用记录，以确定投标人是否具备投标资格,查询结果留存并归档。</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.1.2 符合性审查：依据招标文件的规定，由</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未通过资格审查或符合性审查的投标人，</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将不再告知未通过资格审查或符合性审查的原因。</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在详细评标之前，</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以少数服从多数的原则作出结论。</w:t>
      </w:r>
      <w:r>
        <w:rPr>
          <w:rFonts w:hint="eastAsia" w:ascii="宋体" w:hAnsi="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如果投标文件实质上没有响应招标文件的要求，</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将对确定为实质性响应的投标进行进一步审核，看其是否有计算上或累加上的算术错误，修正错误的原则如下：</w:t>
      </w: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 xml:space="preserve">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告知</w:t>
      </w:r>
      <w:r>
        <w:rPr>
          <w:rFonts w:ascii="宋体" w:hAnsi="宋体"/>
          <w:bCs/>
          <w:color w:val="000000" w:themeColor="text1"/>
          <w:sz w:val="24"/>
          <w:szCs w:val="21"/>
          <w:highlight w:val="none"/>
          <w14:textFill>
            <w14:solidFill>
              <w14:schemeClr w14:val="tx1"/>
            </w14:solidFill>
          </w14:textFill>
        </w:rPr>
        <w:t xml:space="preserve">投标人，</w:t>
      </w:r>
      <w:r>
        <w:rPr>
          <w:rFonts w:hint="eastAsia" w:ascii="宋体" w:hAnsi="宋体"/>
          <w:bCs/>
          <w:color w:val="000000" w:themeColor="text1"/>
          <w:sz w:val="24"/>
          <w:szCs w:val="21"/>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400" w:lineRule="exact"/>
        <w:rPr>
          <w:rFonts w:ascii="宋体" w:hAnsi="宋体"/>
          <w:color w:val="000000" w:themeColor="text1"/>
          <w:sz w:val="24"/>
          <w:szCs w:val="21"/>
          <w:highlight w:val="none"/>
          <w14:textFill>
            <w14:solidFill>
              <w14:schemeClr w14:val="tx1"/>
            </w14:solidFill>
          </w14:textFill>
        </w:rPr>
      </w:pPr>
      <w:r/>
      <w:bookmarkStart w:id="154" w:name="_Toc16938550"/>
      <w:r/>
      <w:bookmarkStart w:id="155" w:name="_Toc513029234"/>
      <w:r/>
      <w:bookmarkStart w:id="156" w:name="_Toc20823306"/>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.7投标人在开、评标全过程中应保持通讯畅通，及时登录</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1"/>
          <w:highlight w:val="none"/>
          <w14:textFill>
            <w14:solidFill>
              <w14:schemeClr w14:val="tx1"/>
            </w14:solidFill>
          </w14:textFill>
        </w:rPr>
        <w:t xml:space="preserve">查阅</w:t>
      </w:r>
      <w:r>
        <w:rPr>
          <w:rFonts w:ascii="宋体" w:hAnsi="宋体"/>
          <w:color w:val="000000" w:themeColor="text1"/>
          <w:sz w:val="24"/>
          <w:szCs w:val="21"/>
          <w:highlight w:val="none"/>
          <w14:textFill>
            <w14:solidFill>
              <w14:schemeClr w14:val="tx1"/>
            </w14:solidFill>
          </w14:textFill>
        </w:rPr>
        <w:t xml:space="preserve">、答复相关</w:t>
      </w:r>
      <w:r>
        <w:rPr>
          <w:rFonts w:hint="eastAsia" w:ascii="宋体" w:hAnsi="宋体"/>
          <w:color w:val="000000" w:themeColor="text1"/>
          <w:sz w:val="24"/>
          <w:szCs w:val="21"/>
          <w:highlight w:val="none"/>
          <w14:textFill>
            <w14:solidFill>
              <w14:schemeClr w14:val="tx1"/>
            </w14:solidFill>
          </w14:textFill>
        </w:rPr>
        <w:t xml:space="preserve">信息</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并安排专人与</w:t>
      </w:r>
      <w:r>
        <w:rPr>
          <w:rFonts w:hint="eastAsia" w:ascii="宋体" w:hAnsi="宋体"/>
          <w:color w:val="000000" w:themeColor="text1"/>
          <w:sz w:val="24"/>
          <w:szCs w:val="21"/>
          <w:highlight w:val="none"/>
          <w:lang w:eastAsia="zh-CN"/>
          <w14:textFill>
            <w14:solidFill>
              <w14:schemeClr w14:val="tx1"/>
            </w14:solidFill>
          </w14:textFill>
        </w:rPr>
        <w:t xml:space="preserve">采购代理机构</w:t>
      </w:r>
      <w:r>
        <w:rPr>
          <w:rFonts w:hint="eastAsia" w:ascii="宋体" w:hAnsi="宋体"/>
          <w:color w:val="000000" w:themeColor="text1"/>
          <w:sz w:val="24"/>
          <w:szCs w:val="21"/>
          <w:highlight w:val="none"/>
          <w14:textFill>
            <w14:solidFill>
              <w14:schemeClr w14:val="tx1"/>
            </w14:solidFill>
          </w14:textFill>
        </w:rPr>
        <w:t xml:space="preserve">及评标委员会联系。</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25.8 异常低价投标审查</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25.8.1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（1）投标报价低于全部通过符合性审查供应商投标报价平均值</w:t>
      </w:r>
      <w:r>
        <w:rPr>
          <w:rFonts w:hint="eastAsia" w:ascii="方正魏碑_GBK" w:hAnsi="方正魏碑_GBK" w:eastAsia="方正魏碑_GBK" w:cs="方正魏碑_GBK"/>
          <w:color w:val="000000" w:themeColor="text1"/>
          <w:sz w:val="24"/>
          <w:szCs w:val="21"/>
          <w:highlight w:val="none"/>
          <w:u w:val="single"/>
          <w14:textFill>
            <w14:solidFill>
              <w14:schemeClr w14:val="tx1"/>
            </w14:solidFill>
          </w14:textFill>
        </w:rPr>
        <w:t xml:space="preserve">50%</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的，即投标报价&lt;全部通过符合性审查供应商投标报价平均值×</w:t>
      </w:r>
      <w:r>
        <w:rPr>
          <w:rFonts w:hint="eastAsia" w:ascii="方正魏碑_GBK" w:hAnsi="方正魏碑_GBK" w:eastAsia="方正魏碑_GBK" w:cs="方正魏碑_GBK"/>
          <w:color w:val="000000" w:themeColor="text1"/>
          <w:sz w:val="24"/>
          <w:szCs w:val="21"/>
          <w:highlight w:val="none"/>
          <w:u w:val="single"/>
          <w14:textFill>
            <w14:solidFill>
              <w14:schemeClr w14:val="tx1"/>
            </w14:solidFill>
          </w14:textFill>
        </w:rPr>
        <w:t xml:space="preserve">50%</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（2）投标报价低于通过符合性审查的次低报价供应商投标报价</w:t>
      </w:r>
      <w:r>
        <w:rPr>
          <w:rFonts w:hint="eastAsia" w:ascii="方正魏碑_GBK" w:hAnsi="方正魏碑_GBK" w:eastAsia="方正魏碑_GBK" w:cs="方正魏碑_GBK"/>
          <w:color w:val="000000" w:themeColor="text1"/>
          <w:sz w:val="24"/>
          <w:szCs w:val="21"/>
          <w:highlight w:val="none"/>
          <w:u w:val="single"/>
          <w14:textFill>
            <w14:solidFill>
              <w14:schemeClr w14:val="tx1"/>
            </w14:solidFill>
          </w14:textFill>
        </w:rPr>
        <w:t xml:space="preserve">50%</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的，即投标报价&lt;通过符合性审查的次低报价供应商投标报价×</w:t>
      </w:r>
      <w:r>
        <w:rPr>
          <w:rFonts w:hint="eastAsia" w:ascii="方正魏碑_GBK" w:hAnsi="方正魏碑_GBK" w:eastAsia="方正魏碑_GBK" w:cs="方正魏碑_GBK"/>
          <w:color w:val="000000" w:themeColor="text1"/>
          <w:sz w:val="24"/>
          <w:szCs w:val="21"/>
          <w:highlight w:val="none"/>
          <w:u w:val="single"/>
          <w14:textFill>
            <w14:solidFill>
              <w14:schemeClr w14:val="tx1"/>
            </w14:solidFill>
          </w14:textFill>
        </w:rPr>
        <w:t xml:space="preserve">50%</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lang w:eastAsia="zh-CN"/>
          <w14:textFill>
            <w14:solidFill>
              <w14:schemeClr w14:val="tx1"/>
            </w14:solidFill>
          </w14:textFill>
        </w:rPr>
        <w:t xml:space="preserve">（</w:t>
      </w:r>
      <w:r>
        <w:rPr>
          <w:rFonts w:hint="eastAsia" w:ascii="方正魏碑_GBK" w:hAnsi="方正魏碑_GBK" w:eastAsia="方正魏碑_GBK" w:cs="方正魏碑_GBK"/>
          <w:color w:val="000000" w:themeColor="text1"/>
          <w:sz w:val="24"/>
          <w:szCs w:val="21"/>
          <w:highlight w:val="none"/>
          <w:lang w:val="en-US" w:eastAsia="zh-CN"/>
          <w14:textFill>
            <w14:solidFill>
              <w14:schemeClr w14:val="tx1"/>
            </w14:solidFill>
          </w14:textFill>
        </w:rPr>
        <w:t xml:space="preserve">3</w:t>
      </w:r>
      <w:r>
        <w:rPr>
          <w:rFonts w:hint="eastAsia" w:ascii="方正魏碑_GBK" w:hAnsi="方正魏碑_GBK" w:eastAsia="方正魏碑_GBK" w:cs="方正魏碑_GBK"/>
          <w:color w:val="000000" w:themeColor="text1"/>
          <w:sz w:val="24"/>
          <w:szCs w:val="21"/>
          <w:highlight w:val="none"/>
          <w:lang w:eastAsia="zh-CN"/>
          <w14:textFill>
            <w14:solidFill>
              <w14:schemeClr w14:val="tx1"/>
            </w14:solidFill>
          </w14:textFill>
        </w:rPr>
        <w:t xml:space="preserve">）投标报价低于采购项目最高限价</w:t>
      </w:r>
      <w:r>
        <w:rPr>
          <w:rFonts w:hint="eastAsia" w:ascii="方正魏碑_GBK" w:hAnsi="方正魏碑_GBK" w:eastAsia="方正魏碑_GBK" w:cs="方正魏碑_GBK"/>
          <w:color w:val="000000" w:themeColor="text1"/>
          <w:sz w:val="24"/>
          <w:szCs w:val="21"/>
          <w:highlight w:val="none"/>
          <w:u w:val="single"/>
          <w:lang w:eastAsia="zh-CN"/>
          <w14:textFill>
            <w14:solidFill>
              <w14:schemeClr w14:val="tx1"/>
            </w14:solidFill>
          </w14:textFill>
        </w:rPr>
        <w:t xml:space="preserve">45%</w:t>
      </w:r>
      <w:r>
        <w:rPr>
          <w:rFonts w:hint="eastAsia" w:ascii="方正魏碑_GBK" w:hAnsi="方正魏碑_GBK" w:eastAsia="方正魏碑_GBK" w:cs="方正魏碑_GBK"/>
          <w:color w:val="000000" w:themeColor="text1"/>
          <w:sz w:val="24"/>
          <w:szCs w:val="21"/>
          <w:highlight w:val="none"/>
          <w:lang w:eastAsia="zh-CN"/>
          <w14:textFill>
            <w14:solidFill>
              <w14:schemeClr w14:val="tx1"/>
            </w14:solidFill>
          </w14:textFill>
        </w:rPr>
        <w:t xml:space="preserve">的，即投标报价&lt;采购项目最高限价×</w:t>
      </w:r>
      <w:r>
        <w:rPr>
          <w:rFonts w:hint="eastAsia" w:ascii="方正魏碑_GBK" w:hAnsi="方正魏碑_GBK" w:eastAsia="方正魏碑_GBK" w:cs="方正魏碑_GBK"/>
          <w:color w:val="000000" w:themeColor="text1"/>
          <w:sz w:val="24"/>
          <w:szCs w:val="21"/>
          <w:highlight w:val="none"/>
          <w:u w:val="single"/>
          <w:lang w:eastAsia="zh-CN"/>
          <w14:textFill>
            <w14:solidFill>
              <w14:schemeClr w14:val="tx1"/>
            </w14:solidFill>
          </w14:textFill>
        </w:rPr>
        <w:t xml:space="preserve">45%</w:t>
      </w:r>
      <w:r>
        <w:rPr>
          <w:rFonts w:hint="eastAsia" w:ascii="方正魏碑_GBK" w:hAnsi="方正魏碑_GBK" w:eastAsia="方正魏碑_GBK" w:cs="方正魏碑_GBK"/>
          <w:color w:val="000000" w:themeColor="text1"/>
          <w:sz w:val="24"/>
          <w:szCs w:val="21"/>
          <w:highlight w:val="none"/>
          <w:lang w:eastAsia="zh-CN"/>
          <w14:textFill>
            <w14:solidFill>
              <w14:schemeClr w14:val="tx1"/>
            </w14:solidFill>
          </w14:textFill>
        </w:rPr>
        <w:t xml:space="preserve">；</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w:t>
      </w:r>
      <w:r>
        <w:rPr>
          <w:rFonts w:hint="eastAsia" w:ascii="方正魏碑_GBK" w:hAnsi="方正魏碑_GBK" w:eastAsia="方正魏碑_GBK" w:cs="方正魏碑_GBK"/>
          <w:color w:val="000000" w:themeColor="text1"/>
          <w:sz w:val="24"/>
          <w:szCs w:val="21"/>
          <w:highlight w:val="none"/>
          <w:lang w:val="en-US" w:eastAsia="zh-CN"/>
          <w14:textFill>
            <w14:solidFill>
              <w14:schemeClr w14:val="tx1"/>
            </w14:solidFill>
          </w14:textFill>
        </w:rPr>
        <w:t xml:space="preserve">4</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w:t>
      </w:r>
      <w:r>
        <w:rPr>
          <w:rFonts w:hint="eastAsia" w:ascii="方正魏碑_GBK" w:hAnsi="方正魏碑_GBK" w:eastAsia="方正魏碑_GBK" w:cs="方正魏碑_GBK"/>
          <w:color w:val="000000" w:themeColor="text1"/>
          <w:sz w:val="24"/>
          <w:szCs w:val="21"/>
          <w:highlight w:val="none"/>
          <w:lang w:eastAsia="zh-CN"/>
          <w14:textFill>
            <w14:solidFill>
              <w14:schemeClr w14:val="tx1"/>
            </w14:solidFill>
          </w14:textFill>
        </w:rPr>
        <w:t xml:space="preserve">评标</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25.8.2 </w:t>
      </w:r>
      <w:r>
        <w:rPr>
          <w:rFonts w:hint="eastAsia" w:ascii="方正魏碑_GBK" w:hAnsi="方正魏碑_GBK" w:eastAsia="方正魏碑_GBK" w:cs="方正魏碑_GBK"/>
          <w:color w:val="000000" w:themeColor="text1"/>
          <w:sz w:val="24"/>
          <w:szCs w:val="21"/>
          <w:highlight w:val="none"/>
          <w:lang w:val="en-US" w:eastAsia="zh-CN"/>
          <w14:textFill>
            <w14:solidFill>
              <w14:schemeClr w14:val="tx1"/>
            </w14:solidFill>
          </w14:textFill>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lang w:val="en-US" w:eastAsia="zh-CN"/>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w:t>
      </w:r>
      <w:bookmarkEnd w:id="154"/>
      <w:r/>
      <w:bookmarkEnd w:id="155"/>
      <w:r/>
      <w:bookmarkEnd w:id="156"/>
      <w:r>
        <w:rPr>
          <w:rFonts w:hint="eastAsia" w:ascii="Arial" w:hAnsi="Arial" w:eastAsia="黑体" w:cs="Arial"/>
          <w:color w:val="000000" w:themeColor="text1"/>
          <w:sz w:val="28"/>
          <w:szCs w:val="28"/>
          <w:highlight w:val="none"/>
          <w14:textFill>
            <w14:solidFill>
              <w14:schemeClr w14:val="tx1"/>
            </w14:solidFill>
          </w14:textFill>
        </w:rPr>
        <w:t xml:space="preserve">无效投标条款和废标条款</w:t>
      </w:r>
      <w:r/>
    </w:p>
    <w:p>
      <w:pPr>
        <w:ind w:left="479"/>
        <w:spacing w:line="400" w:lineRule="exact"/>
        <w:rPr>
          <w:rFonts w:hint="eastAsia" w:ascii="宋体" w:hAnsi="宋体"/>
          <w:bCs/>
          <w:color w:val="000000" w:themeColor="text1"/>
          <w:sz w:val="24"/>
          <w:szCs w:val="21"/>
          <w:highlight w:val="none"/>
          <w14:textFill>
            <w14:solidFill>
              <w14:schemeClr w14:val="tx1"/>
            </w14:solidFill>
          </w14:textFill>
        </w:rPr>
      </w:pPr>
      <w:r/>
      <w:bookmarkStart w:id="157" w:name="_Toc513029235"/>
      <w:r/>
      <w:bookmarkStart w:id="158" w:name="_Toc16938551"/>
      <w:r/>
      <w:bookmarkStart w:id="159" w:name="_Toc20823307"/>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.1无效投标条款</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投标人在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规定的时间内未成功解密电子投标文件的。</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投标人未按照招标文件要求上传电子投标文件的。</w:t>
      </w:r>
      <w:r/>
    </w:p>
    <w:p>
      <w:pPr>
        <w:ind w:left="479"/>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投标人同一</w:t>
      </w:r>
      <w:r>
        <w:rPr>
          <w:rFonts w:ascii="宋体" w:hAnsi="宋体"/>
          <w:bCs/>
          <w:color w:val="000000" w:themeColor="text1"/>
          <w:sz w:val="24"/>
          <w:szCs w:val="21"/>
          <w:highlight w:val="none"/>
          <w14:textFill>
            <w14:solidFill>
              <w14:schemeClr w14:val="tx1"/>
            </w14:solidFill>
          </w14:textFill>
        </w:rPr>
        <w:t xml:space="preserve">采购包</w:t>
      </w:r>
      <w:r>
        <w:rPr>
          <w:rFonts w:hint="eastAsia" w:ascii="宋体" w:hAnsi="宋体"/>
          <w:bCs/>
          <w:color w:val="000000" w:themeColor="text1"/>
          <w:sz w:val="24"/>
          <w:szCs w:val="21"/>
          <w:highlight w:val="none"/>
          <w14:textFill>
            <w14:solidFill>
              <w14:schemeClr w14:val="tx1"/>
            </w14:solidFill>
          </w14:textFill>
        </w:rPr>
        <w:t xml:space="preserve">提交两个</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含</w:t>
      </w:r>
      <w:r>
        <w:rPr>
          <w:rFonts w:ascii="宋体" w:hAnsi="宋体"/>
          <w:bCs/>
          <w:color w:val="000000" w:themeColor="text1"/>
          <w:sz w:val="24"/>
          <w:szCs w:val="21"/>
          <w:highlight w:val="none"/>
          <w14:textFill>
            <w14:solidFill>
              <w14:schemeClr w14:val="tx1"/>
            </w14:solidFill>
          </w14:textFill>
        </w:rPr>
        <w:t xml:space="preserve">两个）</w:t>
      </w:r>
      <w:r>
        <w:rPr>
          <w:rFonts w:hint="eastAsia" w:ascii="宋体" w:hAnsi="宋体"/>
          <w:bCs/>
          <w:color w:val="000000" w:themeColor="text1"/>
          <w:sz w:val="24"/>
          <w:szCs w:val="21"/>
          <w:highlight w:val="none"/>
          <w14:textFill>
            <w14:solidFill>
              <w14:schemeClr w14:val="tx1"/>
            </w14:solidFill>
          </w14:textFill>
        </w:rPr>
        <w:t xml:space="preserve">以上不同的</w:t>
      </w:r>
      <w:r>
        <w:rPr>
          <w:rFonts w:ascii="宋体" w:hAnsi="宋体"/>
          <w:bCs/>
          <w:color w:val="000000" w:themeColor="text1"/>
          <w:sz w:val="24"/>
          <w:szCs w:val="21"/>
          <w:highlight w:val="none"/>
          <w14:textFill>
            <w14:solidFill>
              <w14:schemeClr w14:val="tx1"/>
            </w14:solidFill>
          </w14:textFill>
        </w:rPr>
        <w:t xml:space="preserve">投标报价的。</w:t>
      </w:r>
      <w:r/>
    </w:p>
    <w:p>
      <w:pPr>
        <w:ind w:left="479"/>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投标人不具备招标文件中规定资格要求的。</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投标人的报价超过了采购预算或最高限价的。</w:t>
      </w:r>
      <w:r/>
    </w:p>
    <w:p>
      <w:pPr>
        <w:ind w:firstLine="480"/>
        <w:spacing w:line="400" w:lineRule="exact"/>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未通过符合性审查的。</w:t>
      </w:r>
      <w:r/>
    </w:p>
    <w:p>
      <w:pPr>
        <w:ind w:firstLine="360"/>
        <w:spacing w:line="400" w:lineRule="exact"/>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不符合招标文件中规定的实质性要求的</w:t>
      </w:r>
      <w:r>
        <w:rPr>
          <w:rFonts w:hint="eastAsia" w:ascii="宋体" w:hAnsi="宋体"/>
          <w:b/>
          <w:bCs/>
          <w:color w:val="000000" w:themeColor="text1"/>
          <w:sz w:val="24"/>
          <w:szCs w:val="21"/>
          <w:highlight w:val="none"/>
          <w14:textFill>
            <w14:solidFill>
              <w14:schemeClr w14:val="tx1"/>
            </w14:solidFill>
          </w14:textFill>
        </w:rPr>
        <w:t xml:space="preserve">（本招标文件中</w:t>
      </w:r>
      <w:r>
        <w:rPr>
          <w:rFonts w:hint="eastAsia" w:ascii="宋体" w:hAnsi="宋体"/>
          <w:b/>
          <w:bCs/>
          <w:i/>
          <w:color w:val="000000" w:themeColor="text1"/>
          <w:sz w:val="24"/>
          <w:szCs w:val="21"/>
          <w:highlight w:val="none"/>
          <w:u w:val="single"/>
          <w14:textFill>
            <w14:solidFill>
              <w14:schemeClr w14:val="tx1"/>
            </w14:solidFill>
          </w14:textFill>
        </w:rPr>
        <w:t xml:space="preserve">斜体且有下划线部分</w:t>
      </w:r>
      <w:r>
        <w:rPr>
          <w:rFonts w:hint="eastAsia" w:ascii="宋体" w:hAnsi="宋体"/>
          <w:b/>
          <w:bCs/>
          <w:color w:val="000000" w:themeColor="text1"/>
          <w:sz w:val="24"/>
          <w:szCs w:val="21"/>
          <w:highlight w:val="none"/>
          <w14:textFill>
            <w14:solidFill>
              <w14:schemeClr w14:val="tx1"/>
            </w14:solidFill>
          </w14:textFill>
        </w:rPr>
        <w:t xml:space="preserve">或加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b/>
          <w:bCs/>
          <w:color w:val="000000" w:themeColor="text1"/>
          <w:sz w:val="24"/>
          <w:szCs w:val="21"/>
          <w:highlight w:val="none"/>
          <w14:textFill>
            <w14:solidFill>
              <w14:schemeClr w14:val="tx1"/>
            </w14:solidFill>
          </w14:textFill>
        </w:rPr>
        <w:t xml:space="preserve">号条款为实质性要求）</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  投标文件含有采购人不能接受的附加条件的。</w:t>
      </w:r>
      <w:r/>
    </w:p>
    <w:p>
      <w:pPr>
        <w:ind w:firstLine="420"/>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投标文件未按照招标文件要求加盖CA电子公章的。</w:t>
      </w:r>
      <w:r/>
    </w:p>
    <w:p>
      <w:pPr>
        <w:ind w:firstLine="420"/>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26.1.13 投标人所投标产品不符合招标文件中所列国家强制性标准的。</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w:t>
      </w:r>
      <w:r>
        <w:rPr>
          <w:rFonts w:hint="eastAsia" w:ascii="宋体" w:hAnsi="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其他法律、法规及本招标文件规定的属无效投标的情形。</w:t>
      </w:r>
      <w:r/>
    </w:p>
    <w:p>
      <w:pPr>
        <w:ind w:left="479"/>
        <w:spacing w:line="400" w:lineRule="exact"/>
        <w:rPr>
          <w:rFonts w:hint="eastAsia" w:ascii="宋体" w:hAnsi="宋体" w:eastAsia="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.2废标条款</w:t>
      </w:r>
      <w:r>
        <w:rPr>
          <w:rFonts w:hint="eastAsia" w:ascii="宋体" w:hAnsi="宋体"/>
          <w:bCs/>
          <w:color w:val="000000" w:themeColor="text1"/>
          <w:sz w:val="24"/>
          <w:szCs w:val="21"/>
          <w:highlight w:val="none"/>
          <w:lang w:val="en-US" w:eastAsia="zh-CN"/>
          <w14:textFill>
            <w14:solidFill>
              <w14:schemeClr w14:val="tx1"/>
            </w14:solidFill>
          </w14:textFill>
        </w:rPr>
        <w:t xml:space="preserve"> </w:t>
      </w: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.2.1符合专业条件的供应商或者对招标文件作实质响应的供应商不足三</w:t>
      </w: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家的。</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.2.2出现影响采购公正的违法、违规行为的。</w:t>
      </w:r>
      <w:r/>
    </w:p>
    <w:p>
      <w:pPr>
        <w:ind w:left="479"/>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.2.3因重大变故，采购任务取消的。</w:t>
      </w: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.2.4评标委员会认定招标文件存在歧义、重大缺陷导致评审工作无法进</w:t>
      </w: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行。</w:t>
      </w:r>
      <w:r/>
    </w:p>
    <w:p>
      <w:pPr>
        <w:ind w:left="479"/>
        <w:spacing w:line="400" w:lineRule="exact"/>
        <w:rPr>
          <w:rFonts w:ascii="宋体" w:hAnsi="宋体" w:eastAsia="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.2.5 因</w:t>
      </w:r>
      <w:r>
        <w:rPr>
          <w:rFonts w:hint="eastAsia" w:ascii="宋体" w:hAnsi="宋体"/>
          <w:color w:val="000000" w:themeColor="text1"/>
          <w:sz w:val="24"/>
          <w:szCs w:val="24"/>
          <w:highlight w:val="none"/>
          <w14:textFill>
            <w14:solidFill>
              <w14:schemeClr w14:val="tx1"/>
            </w14:solidFill>
          </w14:textFill>
        </w:rPr>
        <w:t xml:space="preserve">苏采云</w:t>
      </w:r>
      <w:r>
        <w:rPr>
          <w:rFonts w:ascii="宋体" w:hAnsi="宋体"/>
          <w:bCs/>
          <w:color w:val="000000" w:themeColor="text1"/>
          <w:sz w:val="24"/>
          <w:szCs w:val="21"/>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1"/>
          <w:highlight w:val="none"/>
          <w14:textFill>
            <w14:solidFill>
              <w14:schemeClr w14:val="tx1"/>
            </w14:solidFill>
          </w14:textFill>
        </w:rPr>
        <w:t xml:space="preserve">的</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lang w:val="en-US" w:eastAsia="zh-CN"/>
          <w14:textFill>
            <w14:solidFill>
              <w14:schemeClr w14:val="tx1"/>
            </w14:solidFill>
          </w14:textFill>
        </w:rPr>
        <w:t xml:space="preserve">  </w:t>
      </w:r>
      <w:r/>
    </w:p>
    <w:p>
      <w:pPr>
        <w:ind w:left="479"/>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.3 投标截止时间结束后参加投标的供应商不足三家的处理：</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60" w:name="_Toc120614219"/>
      <w:r>
        <w:rPr>
          <w:rFonts w:hint="eastAsia" w:ascii="Times New Roman" w:hAnsi="Times New Roman"/>
          <w:b/>
          <w:bCs/>
          <w:color w:val="000000" w:themeColor="text1"/>
          <w:sz w:val="32"/>
          <w:szCs w:val="32"/>
          <w:highlight w:val="none"/>
          <w14:textFill>
            <w14:solidFill>
              <w14:schemeClr w14:val="tx1"/>
            </w14:solidFill>
          </w14:textFill>
        </w:rPr>
        <w:t xml:space="preserve">六、</w:t>
      </w:r>
      <w:bookmarkEnd w:id="157"/>
      <w:r/>
      <w:bookmarkEnd w:id="158"/>
      <w:r/>
      <w:bookmarkEnd w:id="159"/>
      <w:r>
        <w:rPr>
          <w:rFonts w:hint="eastAsia" w:ascii="Times New Roman" w:hAnsi="Times New Roman"/>
          <w:b/>
          <w:bCs/>
          <w:color w:val="000000" w:themeColor="text1"/>
          <w:sz w:val="32"/>
          <w:szCs w:val="32"/>
          <w:highlight w:val="none"/>
          <w14:textFill>
            <w14:solidFill>
              <w14:schemeClr w14:val="tx1"/>
            </w14:solidFill>
          </w14:textFill>
        </w:rPr>
        <w:t xml:space="preserve">定标</w:t>
      </w:r>
      <w:bookmarkEnd w:id="160"/>
      <w: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61" w:name="_Toc513029238"/>
      <w:r/>
      <w:bookmarkStart w:id="162" w:name="_Toc20823310"/>
      <w:r/>
      <w:bookmarkStart w:id="163" w:name="_Toc16938554"/>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7</w:t>
      </w:r>
      <w:r>
        <w:rPr>
          <w:rFonts w:hint="eastAsia" w:ascii="黑体" w:hAnsi="宋体" w:eastAsia="黑体"/>
          <w:bCs/>
          <w:color w:val="000000" w:themeColor="text1"/>
          <w:sz w:val="30"/>
          <w:szCs w:val="30"/>
          <w:highlight w:val="none"/>
          <w14:textFill>
            <w14:solidFill>
              <w14:schemeClr w14:val="tx1"/>
            </w14:solidFill>
          </w14:textFill>
        </w:rPr>
        <w:t xml:space="preserve">、</w:t>
      </w:r>
      <w:bookmarkEnd w:id="161"/>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162"/>
      <w:r/>
      <w:bookmarkEnd w:id="163"/>
      <w:r>
        <w:rPr>
          <w:rFonts w:hint="eastAsia" w:ascii="黑体" w:hAnsi="宋体" w:eastAsia="黑体"/>
          <w:bCs/>
          <w:color w:val="000000" w:themeColor="text1"/>
          <w:sz w:val="30"/>
          <w:szCs w:val="30"/>
          <w:highlight w:val="none"/>
          <w14:textFill>
            <w14:solidFill>
              <w14:schemeClr w14:val="tx1"/>
            </w14:solidFill>
          </w14:textFill>
        </w:rPr>
        <w:t xml:space="preserve">中标单位</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27.1中标候选人的选取原则和数量见招标文件第五章规定。 </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27.2 采购人应根据</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推荐的中标候选人确定中标供应商。</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 </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 若有充分证据证明，中标供应商出现下列情况之一的，一经查实，将被取消中标资格：</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行贿或者提供其他不正当利益的。</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27.4.3属于本文件规定的无效条件，但在评标过程中又未被</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发现的。</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400" w:lineRule="exact"/>
        <w:rPr>
          <w:rFonts w:ascii="宋体" w:hAnsi="宋体"/>
          <w:color w:val="000000" w:themeColor="text1"/>
          <w:sz w:val="24"/>
          <w:szCs w:val="24"/>
          <w:highlight w:val="none"/>
          <w14:textFill>
            <w14:solidFill>
              <w14:schemeClr w14:val="tx1"/>
            </w14:solidFill>
          </w14:textFill>
        </w:rPr>
      </w:pPr>
      <w:r/>
      <w:bookmarkStart w:id="164" w:name="_Toc200451960"/>
      <w:r>
        <w:rPr>
          <w:rFonts w:hint="eastAsia" w:ascii="宋体" w:hAnsi="宋体"/>
          <w:color w:val="000000" w:themeColor="text1"/>
          <w:sz w:val="24"/>
          <w:szCs w:val="24"/>
          <w:highlight w:val="none"/>
          <w14:textFill>
            <w14:solidFill>
              <w14:schemeClr w14:val="tx1"/>
            </w14:solidFill>
          </w14:textFill>
        </w:rPr>
        <w:t xml:space="preserve">27.5 </w:t>
      </w:r>
      <w:r>
        <w:rPr>
          <w:rFonts w:ascii="Times New Roman" w:hAnsi="宋体" w:cs="宋体"/>
          <w:color w:val="000000" w:themeColor="text1"/>
          <w:sz w:val="24"/>
          <w:szCs w:val="24"/>
          <w:highlight w:val="none"/>
          <w14:textFill>
            <w14:solidFill>
              <w14:schemeClr w14:val="tx1"/>
            </w14:solidFill>
          </w14:textFill>
        </w:rPr>
        <w:t xml:space="preserve">有下列情形之一的，</w:t>
      </w:r>
      <w:r>
        <w:rPr>
          <w:rFonts w:hint="eastAsia" w:ascii="Times New Roman" w:hAnsi="宋体" w:cs="宋体"/>
          <w:color w:val="000000" w:themeColor="text1"/>
          <w:sz w:val="24"/>
          <w:szCs w:val="24"/>
          <w:highlight w:val="none"/>
          <w14:textFill>
            <w14:solidFill>
              <w14:schemeClr w14:val="tx1"/>
            </w14:solidFill>
          </w14:textFill>
        </w:rPr>
        <w:t xml:space="preserve">视为投标人</w:t>
      </w:r>
      <w:r>
        <w:rPr>
          <w:rFonts w:ascii="Times New Roman" w:hAnsi="宋体" w:cs="宋体"/>
          <w:color w:val="000000" w:themeColor="text1"/>
          <w:sz w:val="24"/>
          <w:szCs w:val="24"/>
          <w:highlight w:val="none"/>
          <w14:textFill>
            <w14:solidFill>
              <w14:schemeClr w14:val="tx1"/>
            </w14:solidFill>
          </w14:textFill>
        </w:rPr>
        <w:t xml:space="preserve">串通</w:t>
      </w:r>
      <w:r>
        <w:rPr>
          <w:rFonts w:hint="eastAsia" w:ascii="Times New Roman" w:hAnsi="宋体" w:cs="宋体"/>
          <w:color w:val="000000" w:themeColor="text1"/>
          <w:sz w:val="24"/>
          <w:szCs w:val="24"/>
          <w:highlight w:val="none"/>
          <w14:textFill>
            <w14:solidFill>
              <w14:schemeClr w14:val="tx1"/>
            </w14:solidFill>
          </w14:textFill>
        </w:rPr>
        <w:t xml:space="preserve">投标，投标无效：</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28</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164"/>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或采购人提出质疑。上述应知其权益受到损害之日，是指：</w:t>
      </w:r>
      <w:r/>
    </w:p>
    <w:p>
      <w:pPr>
        <w:ind w:firstLine="480"/>
        <w:spacing w:line="400" w:lineRule="exact"/>
        <w:rPr>
          <w:rFonts w:hint="eastAsia" w:ascii="Times New Roman"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2.1</w:t>
      </w:r>
      <w:r>
        <w:rPr>
          <w:rFonts w:ascii="Times New Roman"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2.2</w:t>
      </w:r>
      <w:r>
        <w:rPr>
          <w:rFonts w:ascii="Times New Roman" w:hAnsi="宋体" w:cs="宋体"/>
          <w:color w:val="000000" w:themeColor="text1"/>
          <w:sz w:val="24"/>
          <w:szCs w:val="24"/>
          <w:highlight w:val="none"/>
          <w14:textFill>
            <w14:solidFill>
              <w14:schemeClr w14:val="tx1"/>
            </w14:solidFill>
          </w14:textFill>
        </w:rPr>
        <w:t xml:space="preserve">对采购过程提出质疑的，为各采购程序环节结束之日；</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2.3</w:t>
      </w:r>
      <w:r>
        <w:rPr>
          <w:rFonts w:ascii="Times New Roman" w:hAnsi="宋体"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themeColor="text1"/>
          <w:sz w:val="24"/>
          <w:szCs w:val="24"/>
          <w:highlight w:val="none"/>
          <w14:textFill>
            <w14:solidFill>
              <w14:schemeClr w14:val="tx1"/>
            </w14:solidFill>
          </w14:textFill>
        </w:rPr>
      </w:pPr>
      <w:r>
        <w:rPr>
          <w:rFonts w:hint="eastAsia" w:ascii="Times New Roman"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hAnsi="宋体" w:cs="宋体"/>
          <w:color w:val="000000" w:themeColor="text1"/>
          <w:sz w:val="24"/>
          <w:szCs w:val="24"/>
          <w:highlight w:val="none"/>
          <w:lang w:eastAsia="zh-CN"/>
          <w14:textFill>
            <w14:solidFill>
              <w14:schemeClr w14:val="tx1"/>
            </w14:solidFill>
          </w14:textFill>
        </w:rPr>
        <w:t xml:space="preserve">采购代理机构</w:t>
      </w:r>
      <w:r>
        <w:rPr>
          <w:rFonts w:hint="eastAsia" w:ascii="Times New Roman" w:hAnsi="宋体" w:cs="宋体"/>
          <w:color w:val="000000" w:themeColor="text1"/>
          <w:sz w:val="24"/>
          <w:szCs w:val="24"/>
          <w:highlight w:val="none"/>
          <w14:textFill>
            <w14:solidFill>
              <w14:schemeClr w14:val="tx1"/>
            </w14:solidFill>
          </w14:textFill>
        </w:rPr>
        <w:t xml:space="preserve">、</w:t>
      </w:r>
      <w:r>
        <w:rPr>
          <w:rFonts w:ascii="Times New Roman" w:hAnsi="宋体" w:cs="宋体"/>
          <w:color w:val="000000" w:themeColor="text1"/>
          <w:sz w:val="24"/>
          <w:szCs w:val="24"/>
          <w:highlight w:val="none"/>
          <w14:textFill>
            <w14:solidFill>
              <w14:schemeClr w14:val="tx1"/>
            </w14:solidFill>
          </w14:textFill>
        </w:rPr>
        <w:t xml:space="preserve">采购人</w:t>
      </w:r>
      <w:r>
        <w:rPr>
          <w:rFonts w:hint="eastAsia" w:ascii="Times New Roman" w:hAnsi="宋体"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4 供应商（含潜在</w:t>
      </w:r>
      <w:r>
        <w:rPr>
          <w:rFonts w:ascii="宋体" w:hAnsi="宋体"/>
          <w:color w:val="000000" w:themeColor="text1"/>
          <w:sz w:val="24"/>
          <w:szCs w:val="24"/>
          <w:highlight w:val="none"/>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）对与</w:t>
      </w:r>
      <w:r>
        <w:rPr>
          <w:rFonts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14:textFill>
            <w14:solidFill>
              <w14:schemeClr w14:val="tx1"/>
            </w14:solidFill>
          </w14:textFill>
        </w:rPr>
        <w:t xml:space="preserve">有关的</w:t>
      </w:r>
      <w:r>
        <w:rPr>
          <w:rFonts w:ascii="宋体" w:hAnsi="宋体"/>
          <w:color w:val="000000" w:themeColor="text1"/>
          <w:sz w:val="24"/>
          <w:szCs w:val="24"/>
          <w:highlight w:val="none"/>
          <w14:textFill>
            <w14:solidFill>
              <w14:schemeClr w14:val="tx1"/>
            </w14:solidFill>
          </w14:textFill>
        </w:rPr>
        <w:t xml:space="preserve">所有询问、质疑请向采购人提出，由采购人负责答复。</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lang w:val="en-US" w:eastAsia="zh-CN"/>
          <w14:textFill>
            <w14:solidFill>
              <w14:schemeClr w14:val="tx1"/>
            </w14:solidFill>
          </w14:textFill>
        </w:rPr>
        <w:t xml:space="preserve">及采购代理机构</w:t>
      </w:r>
      <w:r>
        <w:rPr>
          <w:rFonts w:hint="eastAsia" w:ascii="宋体" w:hAnsi="宋体"/>
          <w:color w:val="000000" w:themeColor="text1"/>
          <w:sz w:val="24"/>
          <w:szCs w:val="24"/>
          <w:highlight w:val="none"/>
          <w14:textFill>
            <w14:solidFill>
              <w14:schemeClr w14:val="tx1"/>
            </w14:solidFill>
          </w14:textFill>
        </w:rPr>
        <w:t xml:space="preserve">只接收以纸质原件形式送达的质疑,建议供应商尽量通过邮寄方式提交质疑（采购人和</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不接受无快递运</w:t>
      </w:r>
      <w:r>
        <w:rPr>
          <w:rFonts w:ascii="宋体" w:hAnsi="宋体"/>
          <w:color w:val="000000" w:themeColor="text1"/>
          <w:sz w:val="24"/>
          <w:szCs w:val="24"/>
          <w:highlight w:val="none"/>
          <w14:textFill>
            <w14:solidFill>
              <w14:schemeClr w14:val="tx1"/>
            </w14:solidFill>
          </w14:textFill>
        </w:rPr>
        <w:t xml:space="preserve">单号</w:t>
      </w:r>
      <w:r>
        <w:rPr>
          <w:rFonts w:hint="eastAsia" w:ascii="宋体" w:hAnsi="宋体"/>
          <w:color w:val="000000" w:themeColor="text1"/>
          <w:sz w:val="24"/>
          <w:szCs w:val="24"/>
          <w:highlight w:val="none"/>
          <w14:textFill>
            <w14:solidFill>
              <w14:schemeClr w14:val="tx1"/>
            </w14:solidFill>
          </w14:textFill>
        </w:rPr>
        <w:t xml:space="preserve">的快递）。</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采购人质疑接收人及联系方式见招标文件第一章。</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 以下情形的质疑不予受理</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5.1 内容不符合《政府采购质疑和投诉办法》第十二条规定的质疑。</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5.2 超出政府采购法定期限的质疑。</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5.3 以传真、电子邮件等方式递交的非原件形式的质疑。</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6 供应商提出书面质疑必须有理、有据，不得捏造事实、提供虚假材料进行恶意质疑。否则，一经查实，</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、中标通知书</w:t>
      </w: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l中标结果确定后，</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65" w:name="_Toc513029236"/>
      <w:r/>
      <w:bookmarkStart w:id="166" w:name="_Toc20823308"/>
      <w:r/>
      <w:bookmarkStart w:id="167" w:name="_Toc16938552"/>
      <w:r/>
      <w:bookmarkStart w:id="168" w:name="_Toc120614220"/>
      <w:r>
        <w:rPr>
          <w:rFonts w:hint="eastAsia" w:ascii="Times New Roman" w:hAnsi="Times New Roman"/>
          <w:b/>
          <w:bCs/>
          <w:color w:val="000000" w:themeColor="text1"/>
          <w:sz w:val="32"/>
          <w:szCs w:val="32"/>
          <w:highlight w:val="none"/>
          <w14:textFill>
            <w14:solidFill>
              <w14:schemeClr w14:val="tx1"/>
            </w14:solidFill>
          </w14:textFill>
        </w:rPr>
        <w:t xml:space="preserve">七、授予合同</w:t>
      </w:r>
      <w:bookmarkEnd w:id="165"/>
      <w:r/>
      <w:bookmarkEnd w:id="166"/>
      <w:r/>
      <w:bookmarkEnd w:id="167"/>
      <w:r/>
      <w:bookmarkEnd w:id="168"/>
      <w: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69" w:name="_Toc20823309"/>
      <w:r/>
      <w:bookmarkStart w:id="170" w:name="_Toc513029237"/>
      <w:r/>
      <w:bookmarkStart w:id="171" w:name="_Toc16938553"/>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、签订合同</w:t>
      </w: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招标文件、中标供应商的投标文件及招标过程中有关澄清、承诺文件均应作为合同附件。</w:t>
      </w: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、货物（包含与货物相关的服务）的追加</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9"/>
      <w:r/>
      <w:bookmarkEnd w:id="170"/>
      <w:r/>
      <w:bookmarkEnd w:id="171"/>
      <w:r/>
      <w:r/>
    </w:p>
    <w:p>
      <w:pPr>
        <w:ind w:firstLine="600"/>
        <w:keepLines/>
        <w:keepNext/>
        <w:spacing w:line="400" w:lineRule="exact"/>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、政府采购履约资金扶持政策</w:t>
      </w:r>
      <w:r/>
    </w:p>
    <w:p>
      <w:pPr>
        <w:ind w:firstLine="555"/>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2640"/>
        <w:jc w:val="left"/>
        <w:keepLines w:val="0"/>
        <w:keepNext w:val="0"/>
        <w:pageBreakBefore w:val="0"/>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keepLines w:val="0"/>
        <w:keepNext w:val="0"/>
        <w:pageBreakBefore w:val="0"/>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keepLines w:val="0"/>
        <w:keepNext w:val="0"/>
        <w:pageBreakBefore w:val="0"/>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pStyle w:val="750"/>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46"/>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46"/>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t xml:space="preserve">第三章  合同</w:t>
      </w:r>
      <w:bookmarkEnd w:id="45"/>
      <w:r/>
      <w:bookmarkEnd w:id="46"/>
      <w:r/>
      <w:bookmarkEnd w:id="47"/>
      <w:r/>
      <w:bookmarkEnd w:id="48"/>
      <w:r/>
      <w:bookmarkEnd w:id="49"/>
      <w:r>
        <w:rPr>
          <w:rFonts w:hint="eastAsia" w:ascii="黑体" w:hAnsi="Times New Roman" w:eastAsia="黑体"/>
          <w:bCs/>
          <w:color w:val="000000" w:themeColor="text1"/>
          <w:sz w:val="44"/>
          <w:szCs w:val="28"/>
          <w:highlight w:val="none"/>
          <w14:textFill>
            <w14:solidFill>
              <w14:schemeClr w14:val="tx1"/>
            </w14:solidFill>
          </w14:textFill>
        </w:rPr>
        <w:t xml:space="preserve">文本</w:t>
      </w:r>
      <w:r/>
    </w:p>
    <w:p>
      <w:pPr>
        <w:spacing w:line="400" w:lineRule="exact"/>
        <w:rPr>
          <w:rFonts w:ascii="宋体" w:hAnsi="宋体"/>
          <w:bCs/>
          <w:color w:val="000000" w:themeColor="text1"/>
          <w:sz w:val="24"/>
          <w:szCs w:val="24"/>
          <w:highlight w:val="none"/>
          <w14:textFill>
            <w14:solidFill>
              <w14:schemeClr w14:val="tx1"/>
            </w14:solidFill>
          </w14:textFill>
        </w:rPr>
      </w:pPr>
      <w:r/>
      <w:bookmarkStart w:id="172" w:name="_Toc16938559"/>
      <w:r/>
      <w:bookmarkEnd w:id="172"/>
      <w:r/>
      <w:bookmarkStart w:id="173" w:name="_Toc3995"/>
      <w:r/>
      <w:bookmarkEnd w:id="173"/>
      <w:r/>
      <w:bookmarkStart w:id="174" w:name="_Toc513029243"/>
      <w:r/>
      <w:bookmarkEnd w:id="174"/>
      <w:r/>
      <w:bookmarkStart w:id="175" w:name="_Toc20823315"/>
      <w:r/>
      <w:bookmarkEnd w:id="175"/>
      <w:r/>
      <w:bookmarkStart w:id="176" w:name="_Hlt16619350"/>
      <w:r/>
      <w:bookmarkStart w:id="177" w:name="_Toc120614244"/>
      <w:r/>
      <w:bookmarkStart w:id="178" w:name="_Toc20823346"/>
      <w:r/>
      <w:bookmarkStart w:id="179" w:name="_Toc16938590"/>
      <w:r/>
      <w:bookmarkStart w:id="180" w:name="_Toc479757211"/>
      <w:r/>
      <w:bookmarkStart w:id="181" w:name="_Toc462564139"/>
      <w:r/>
      <w:r/>
    </w:p>
    <w:p>
      <w:pPr>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973"/>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ascii="宋体" w:hAnsi="宋体" w:eastAsia="宋体" w:cs="宋体"/>
          <w:b/>
          <w:bCs/>
          <w:color w:val="000000" w:themeColor="text1"/>
          <w:spacing w:val="-20"/>
          <w:sz w:val="32"/>
          <w:szCs w:val="32"/>
          <w:highlight w:val="none"/>
          <w14:textFill>
            <w14:solidFill>
              <w14:schemeClr w14:val="tx1"/>
            </w14:solidFill>
          </w14:textFill>
        </w:rPr>
      </w:r>
      <w:r/>
    </w:p>
    <w:p>
      <w:pPr>
        <w:pStyle w:val="973"/>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ascii="宋体" w:hAnsi="宋体" w:eastAsia="宋体" w:cs="宋体"/>
          <w:b/>
          <w:bCs/>
          <w:color w:val="000000" w:themeColor="text1"/>
          <w:spacing w:val="-20"/>
          <w:sz w:val="32"/>
          <w:szCs w:val="32"/>
          <w:highlight w:val="none"/>
          <w14:textFill>
            <w14:solidFill>
              <w14:schemeClr w14:val="tx1"/>
            </w14:solidFill>
          </w14:textFill>
        </w:rPr>
      </w:r>
      <w:r/>
    </w:p>
    <w:p>
      <w:pPr>
        <w:pStyle w:val="973"/>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14:textFill>
            <w14:solidFill>
              <w14:schemeClr w14:val="tx1"/>
            </w14:solidFill>
          </w14:textFill>
        </w:rPr>
        <w:t xml:space="preserve">财政部 政府采购货物买卖合同（试行）</w:t>
      </w:r>
      <w:r/>
    </w:p>
    <w:p>
      <w:pPr>
        <w:pStyle w:val="973"/>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14:textFill>
            <w14:solidFill>
              <w14:schemeClr w14:val="tx1"/>
            </w14:solidFill>
          </w14:textFill>
        </w:rPr>
        <w:t xml:space="preserve">范    本</w:t>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ind w:left="420"/>
        <w:spacing w:line="360" w:lineRule="auto"/>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合同编号：</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甲    方：</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乙    方：</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签订时间：</w:t>
      </w:r>
      <w:r>
        <w:rPr>
          <w:rFonts w:hint="eastAsia"/>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pStyle w:val="1004"/>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pStyle w:val="1004"/>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jc w:val="center"/>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使 用 说 明</w:t>
      </w: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ascii="仿宋_GB2312" w:hAnsi="仿宋_GB2312" w:eastAsia="仿宋_GB2312" w:cs="仿宋_GB2312"/>
          <w:color w:val="000000" w:themeColor="text1"/>
          <w:sz w:val="32"/>
          <w:szCs w:val="32"/>
          <w:highlight w:val="none"/>
          <w14:textFill>
            <w14:solidFill>
              <w14:schemeClr w14:val="tx1"/>
            </w14:solidFill>
          </w14:textFill>
        </w:rPr>
      </w: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1.本合同标准文本适用于购买现成货物的采购项目，不包括需要供应商定制开发、创新研发的货物采购项目。</w:t>
      </w:r>
      <w:r/>
    </w:p>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s="仿宋_GB2312"/>
          <w:color w:val="000000" w:themeColor="text1"/>
          <w:sz w:val="28"/>
          <w:szCs w:val="28"/>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themeColor="text1"/>
          <w:sz w:val="44"/>
          <w:szCs w:val="44"/>
          <w:highlight w:val="none"/>
          <w14:textFill>
            <w14:solidFill>
              <w14:schemeClr w14:val="tx1"/>
            </w14:solidFill>
          </w14:textFill>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p>
    <w:p>
      <w:pPr>
        <w:pStyle w:val="945"/>
        <w:spacing w:line="400" w:lineRule="exact"/>
        <w:rPr>
          <w:rFonts w:ascii="黑体" w:hAnsi="华文中宋"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t xml:space="preserve">第一节 </w:t>
      </w:r>
      <w:r>
        <w:rPr>
          <w:rFonts w:hint="eastAsia" w:ascii="黑体" w:hAnsi="华文中宋" w:eastAsia="黑体"/>
          <w:b w:val="0"/>
          <w:bCs w:val="0"/>
          <w:color w:val="000000" w:themeColor="text1"/>
          <w:sz w:val="28"/>
          <w:szCs w:val="28"/>
          <w:highlight w:val="none"/>
          <w14:textFill>
            <w14:solidFill>
              <w14:schemeClr w14:val="tx1"/>
            </w14:solidFill>
          </w14:textFill>
        </w:rPr>
        <w:t xml:space="preserve">政府采购合同协议书</w:t>
      </w:r>
      <w:r/>
    </w:p>
    <w:p>
      <w:pPr>
        <w:pStyle w:val="945"/>
        <w:spacing w:line="400" w:lineRule="exact"/>
        <w:rPr>
          <w:rFonts w:ascii="黑体" w:hAnsi="华文中宋" w:eastAsia="黑体"/>
          <w:b w:val="0"/>
          <w:bCs w:val="0"/>
          <w:color w:val="000000" w:themeColor="text1"/>
          <w:sz w:val="28"/>
          <w:szCs w:val="28"/>
          <w:highlight w:val="none"/>
          <w14:textFill>
            <w14:solidFill>
              <w14:schemeClr w14:val="tx1"/>
            </w14:solidFill>
          </w14:textFill>
        </w:rPr>
      </w:pPr>
      <w:r>
        <w:rPr>
          <w:rFonts w:ascii="黑体" w:hAnsi="华文中宋" w:eastAsia="黑体"/>
          <w:b w:val="0"/>
          <w:bCs w:val="0"/>
          <w:color w:val="000000" w:themeColor="text1"/>
          <w:sz w:val="28"/>
          <w:szCs w:val="28"/>
          <w:highlight w:val="none"/>
          <w14:textFill>
            <w14:solidFill>
              <w14:schemeClr w14:val="tx1"/>
            </w14:solidFill>
          </w14:textFill>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（采购人、受采购人委托签订合同的单位或采购文件约定的合同甲方）</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乙方1（全称）：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（供应商）</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乙方2（全称）：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（联合体成员供应商或其他合同主体）（如有）</w:t>
      </w:r>
      <w:r/>
    </w:p>
    <w:p>
      <w:pPr>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（联合体成员供应商或其他合同主体）（如有）</w:t>
      </w:r>
      <w:r/>
    </w:p>
    <w:p>
      <w:pPr>
        <w:pStyle w:val="975"/>
        <w:ind w:left="0" w:firstLine="420"/>
        <w:spacing w:after="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p>
    <w:p>
      <w:pPr>
        <w:pStyle w:val="975"/>
        <w:numPr>
          <w:ilvl w:val="0"/>
          <w:numId w:val="7"/>
        </w:numPr>
        <w:ind w:left="0" w:firstLine="420"/>
        <w:spacing w:after="0"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ascii="宋体" w:hAnsi="宋体"/>
          <w:color w:val="000000" w:themeColor="text1"/>
          <w:szCs w:val="21"/>
          <w:highlight w:val="none"/>
          <w:u w:val="single"/>
          <w14:textFill>
            <w14:solidFill>
              <w14:schemeClr w14:val="tx1"/>
            </w14:solidFill>
          </w14:textFill>
        </w:rPr>
        <w:t xml:space="preserve">                                          </w:t>
      </w:r>
      <w:r/>
    </w:p>
    <w:p>
      <w:pPr>
        <w:pStyle w:val="975"/>
        <w:ind w:left="0"/>
        <w:spacing w:after="0"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                                          </w:t>
      </w:r>
      <w:r/>
    </w:p>
    <w:p>
      <w:pPr>
        <w:pStyle w:val="975"/>
        <w:ind w:left="0" w:firstLine="420"/>
        <w:spacing w:after="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个</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组等）：</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p>
    <w:p>
      <w:pPr>
        <w:ind w:firstLine="94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p>
    <w:p>
      <w:pPr>
        <w:ind w:firstLine="945"/>
        <w:spacing w:line="400" w:lineRule="exact"/>
        <w:rPr>
          <w:rFonts w:ascii="宋体" w:hAnsi="宋体" w:cs="宋体"/>
          <w:color w:val="000000" w:themeColor="text1"/>
          <w:szCs w:val="21"/>
          <w:highlight w:val="none"/>
          <w14:textFill>
            <w14:solidFill>
              <w14:schemeClr w14:val="tx1"/>
            </w14:solidFill>
          </w14:textFill>
        </w:rPr>
      </w:pP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①</w:t>
      </w:r>
      <w:r>
        <w:rPr>
          <w:rFonts w:hint="eastAsia" w:ascii="宋体" w:hAnsi="宋体" w:cs="宋体"/>
          <w:color w:val="000000" w:themeColor="text1"/>
          <w:szCs w:val="21"/>
          <w:highlight w:val="none"/>
          <w14:textFill>
            <w14:solidFill>
              <w14:schemeClr w14:val="tx1"/>
            </w14:solidFill>
          </w14:textFill>
        </w:rPr>
        <w:t xml:space="preserve">涉及信息类产品，请填写该产品关键部件的品牌、型号：</w:t>
      </w: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pStyle w:val="105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105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1052"/>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052"/>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汉仪书宋二S" w:hAnsi="汉仪书宋二S" w:eastAsia="汉仪书宋二S" w:cs="汉仪书宋二S"/>
          <w:color w:val="000000" w:themeColor="text1"/>
          <w:sz w:val="21"/>
          <w:highlight w:val="none"/>
          <w14:textFill>
            <w14:solidFill>
              <w14:schemeClr w14:val="tx1"/>
            </w14:solidFill>
          </w14:textFill>
        </w:rPr>
        <w:t xml:space="preserve">②</w:t>
      </w:r>
      <w:r>
        <w:rPr>
          <w:rFonts w:hint="eastAsia" w:ascii="宋体" w:hAnsi="宋体" w:eastAsia="宋体" w:cs="宋体"/>
          <w:color w:val="000000" w:themeColor="text1"/>
          <w:sz w:val="21"/>
          <w:highlight w:val="none"/>
          <w14:textFill>
            <w14:solidFill>
              <w14:schemeClr w14:val="tx1"/>
            </w14:solidFill>
          </w14:textFill>
        </w:rPr>
        <w:t xml:space="preserve">涉及车辆采购，请填写是否属于新能源汽车：</w:t>
      </w:r>
      <w:r/>
    </w:p>
    <w:p>
      <w:pPr>
        <w:pStyle w:val="1052"/>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数量：</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金额：</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1052"/>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否</w:t>
      </w:r>
      <w:r/>
    </w:p>
    <w:p>
      <w:pPr>
        <w:pStyle w:val="1052"/>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宋体" w:hAnsi="宋体" w:eastAsia="宋体" w:cs="宋体"/>
          <w:color w:val="000000" w:themeColor="text1"/>
          <w:sz w:val="21"/>
          <w:highlight w:val="none"/>
          <w14:textFill>
            <w14:solidFill>
              <w14:schemeClr w14:val="tx1"/>
            </w14:solidFill>
          </w14:textFill>
        </w:rPr>
        <w:t xml:space="preserve">4</w:t>
      </w:r>
      <w:r>
        <w:rPr>
          <w:rFonts w:hint="eastAsia" w:ascii="宋体" w:hAnsi="宋体" w:eastAsia="宋体" w:cs="宋体"/>
          <w:color w:val="000000" w:themeColor="text1"/>
          <w:sz w:val="21"/>
          <w:highlight w:val="none"/>
          <w14:textFill>
            <w14:solidFill>
              <w14:schemeClr w14:val="tx1"/>
            </w14:solidFill>
          </w14:textFill>
        </w:rPr>
        <w:t xml:space="preserve">）政府采购组织形式：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政府集中采购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部门集中采购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分散采购</w:t>
      </w:r>
      <w:r/>
    </w:p>
    <w:p>
      <w:pPr>
        <w:pStyle w:val="105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w:t>
      </w:r>
      <w:r>
        <w:rPr>
          <w:rFonts w:ascii="宋体" w:hAnsi="宋体" w:eastAsia="宋体" w:cs="宋体"/>
          <w:color w:val="000000" w:themeColor="text1"/>
          <w:sz w:val="21"/>
          <w:highlight w:val="none"/>
          <w14:textFill>
            <w14:solidFill>
              <w14:schemeClr w14:val="tx1"/>
            </w14:solidFill>
          </w14:textFill>
        </w:rPr>
        <w:t xml:space="preserve">5</w:t>
      </w:r>
      <w:r>
        <w:rPr>
          <w:rFonts w:hint="eastAsia" w:ascii="宋体" w:hAnsi="宋体" w:eastAsia="宋体" w:cs="宋体"/>
          <w:color w:val="000000" w:themeColor="text1"/>
          <w:sz w:val="21"/>
          <w:highlight w:val="none"/>
          <w14:textFill>
            <w14:solidFill>
              <w14:schemeClr w14:val="tx1"/>
            </w14:solidFill>
          </w14:textFill>
        </w:rPr>
        <w:t xml:space="preserve">）政府采购方式：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公开招标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邀请招标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竞争性谈判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竞争性磋商</w:t>
      </w:r>
      <w:r/>
    </w:p>
    <w:p>
      <w:pPr>
        <w:pStyle w:val="1052"/>
        <w:ind w:firstLine="420"/>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询价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单一来源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框架协议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其他：</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105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（注：在框架协议采购的第二阶段，可选择使用该合同文本）</w:t>
      </w:r>
      <w:r/>
    </w:p>
    <w:p>
      <w:pPr>
        <w:pStyle w:val="1052"/>
        <w:ind w:firstLine="220"/>
        <w:rPr>
          <w:rFonts w:ascii="宋体" w:hAnsi="宋体" w:eastAsia="宋体" w:cs="Times New Roman"/>
          <w:color w:val="000000" w:themeColor="text1"/>
          <w:sz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否</w:t>
      </w:r>
      <w:r/>
    </w:p>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ascii="宋体" w:hAnsi="宋体"/>
          <w:i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ascii="宋体" w:hAnsi="宋体"/>
          <w:i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rFonts w:hint="eastAsia" w:ascii="宋体" w:hAnsi="宋体"/>
          <w:color w:val="000000" w:themeColor="text1"/>
          <w:szCs w:val="21"/>
          <w:highlight w:val="none"/>
          <w:u w:val="single"/>
          <w14:textFill>
            <w14:solidFill>
              <w14:schemeClr w14:val="tx1"/>
            </w14:solidFill>
          </w14:textFill>
        </w:rPr>
        <w:t xml:space="preserve">                                            </w:t>
      </w: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p>
    <w:p>
      <w:pPr>
        <w:ind w:firstLine="840"/>
        <w:spacing w:line="400" w:lineRule="exact"/>
        <w:rPr>
          <w:rFonts w:eastAsia="华文楷体"/>
          <w:color w:val="000000" w:themeColor="text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p>
    <w:p>
      <w:pPr>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pStyle w:val="1052"/>
        <w:ind w:firstLine="420"/>
        <w:tabs>
          <w:tab w:val="left" w:pos="1340" w:leader="none"/>
        </w:tabs>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外商投资企业类型：</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iCs/>
          <w:color w:val="000000" w:themeColor="text1"/>
          <w:sz w:val="21"/>
          <w:highlight w:val="none"/>
          <w14:textFill>
            <w14:solidFill>
              <w14:schemeClr w14:val="tx1"/>
            </w14:solidFill>
          </w14:textFill>
        </w:rPr>
        <w:t xml:space="preserve">部分由外国投资者投资</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p>
    <w:p>
      <w:pPr>
        <w:ind w:firstLine="84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宋体" w:hAnsi="宋体"/>
          <w:iCs/>
          <w:color w:val="000000" w:themeColor="text1"/>
          <w:szCs w:val="21"/>
          <w:highlight w:val="non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pStyle w:val="1052"/>
        <w:ind w:firstLine="0"/>
        <w:rPr>
          <w:rFonts w:ascii="宋体" w:hAnsi="宋体" w:eastAsia="宋体" w:cs="Times New Roman"/>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          </w:t>
      </w:r>
      <w:r>
        <w:rPr>
          <w:rFonts w:hint="eastAsia" w:ascii="宋体" w:hAnsi="宋体" w:eastAsia="宋体" w:cs="Times New Roman"/>
          <w:color w:val="000000" w:themeColor="text1"/>
          <w:sz w:val="21"/>
          <w:highlight w:val="none"/>
          <w14:textFill>
            <w14:solidFill>
              <w14:schemeClr w14:val="tx1"/>
            </w14:solidFill>
          </w14:textFill>
        </w:rPr>
        <w:t xml:space="preserve">是否涉及绿色产品： </w:t>
      </w:r>
      <w:r/>
    </w:p>
    <w:p>
      <w:pPr>
        <w:pStyle w:val="1052"/>
        <w:ind w:firstLine="420"/>
        <w:rPr>
          <w:rFonts w:ascii="宋体" w:hAnsi="宋体" w:eastAsia="宋体"/>
          <w:color w:val="000000" w:themeColor="text1"/>
          <w:highlight w:val="none"/>
          <w:u w:val="singl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是，绿色产品政府采购相关政策确定的底级品目名称：</w:t>
      </w:r>
      <w:r>
        <w:rPr>
          <w:rFonts w:hint="eastAsia" w:ascii="宋体" w:hAnsi="宋体" w:eastAsia="宋体"/>
          <w:color w:val="000000" w:themeColor="text1"/>
          <w:highlight w:val="none"/>
          <w:u w:val="single"/>
          <w14:textFill>
            <w14:solidFill>
              <w14:schemeClr w14:val="tx1"/>
            </w14:solidFill>
          </w14:textFill>
        </w:rPr>
        <w:t xml:space="preserve">         </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pStyle w:val="1052"/>
        <w:ind w:firstLine="420"/>
        <w:rPr>
          <w:rFonts w:ascii="宋体" w:hAnsi="宋体"/>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否</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大写：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u w:val="single"/>
          <w14:textFill>
            <w14:solidFill>
              <w14:schemeClr w14:val="tx1"/>
            </w14:solidFill>
          </w14:textFill>
        </w:rPr>
        <w:t xml:space="preserve">       </w:t>
      </w:r>
      <w:r/>
    </w:p>
    <w:p>
      <w:pPr>
        <w:pStyle w:val="1019"/>
        <w:ind w:left="0" w:firstLine="420"/>
        <w:spacing w:line="400" w:lineRule="exact"/>
        <w:rPr>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r/>
    </w:p>
    <w:p>
      <w:pPr>
        <w:ind w:firstLine="630"/>
        <w:spacing w:line="400" w:lineRule="exact"/>
        <w:rPr>
          <w:color w:val="000000" w:themeColor="text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（应明确预付款的支付比例和支付条件） </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p>
    <w:p>
      <w:pPr>
        <w:numPr>
          <w:ilvl w:val="0"/>
          <w:numId w:val="6"/>
        </w:numPr>
        <w:ind w:firstLine="420"/>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þ</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pStyle w:val="1052"/>
        <w:rPr>
          <w:rFonts w:ascii="宋体" w:hAnsi="宋体" w:eastAsia="宋体" w:cs="宋体"/>
          <w:color w:val="000000" w:themeColor="text1"/>
          <w:sz w:val="2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收取履约保证金形式：</w:t>
      </w:r>
      <w:r>
        <w:rPr>
          <w:rFonts w:hint="eastAsia" w:ascii="宋体" w:hAnsi="宋体" w:eastAsia="宋体" w:cs="宋体"/>
          <w:bCs/>
          <w:color w:val="000000" w:themeColor="text1"/>
          <w:sz w:val="21"/>
          <w:highlight w:val="none"/>
          <w:u w:val="single"/>
          <w14:textFill>
            <w14:solidFill>
              <w14:schemeClr w14:val="tx1"/>
            </w14:solidFill>
          </w14:textFill>
        </w:rPr>
        <w:t xml:space="preserve">                            </w:t>
      </w:r>
      <w:r/>
    </w:p>
    <w:p>
      <w:pPr>
        <w:pStyle w:val="105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收取履约保证金金额：</w:t>
      </w:r>
      <w:r>
        <w:rPr>
          <w:rFonts w:hint="eastAsia" w:ascii="宋体" w:hAnsi="宋体" w:eastAsia="宋体" w:cs="宋体"/>
          <w:bCs/>
          <w:color w:val="000000" w:themeColor="text1"/>
          <w:sz w:val="21"/>
          <w:highlight w:val="none"/>
          <w:u w:val="single"/>
          <w14:textFill>
            <w14:solidFill>
              <w14:schemeClr w14:val="tx1"/>
            </w14:solidFill>
          </w14:textFill>
        </w:rPr>
        <w:t xml:space="preserve">                            </w:t>
      </w:r>
      <w:r/>
    </w:p>
    <w:p>
      <w:pPr>
        <w:ind w:firstLine="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p>
    <w:p>
      <w:pPr>
        <w:numPr>
          <w:ilvl w:val="0"/>
          <w:numId w:val="8"/>
        </w:num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rFonts w:hint="eastAsia" w:ascii="宋体" w:hAnsi="宋体"/>
          <w:bCs/>
          <w:color w:val="000000" w:themeColor="text1"/>
          <w:szCs w:val="21"/>
          <w:highlight w:val="none"/>
          <w:u w:val="single"/>
          <w14:textFill>
            <w14:solidFill>
              <w14:schemeClr w14:val="tx1"/>
            </w14:solidFill>
          </w14:textFill>
        </w:rPr>
        <w:t xml:space="preserve">                  </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14:textFill>
            <w14:solidFill>
              <w14:schemeClr w14:val="tx1"/>
            </w14:solidFill>
          </w14:textFill>
        </w:rPr>
        <w:t xml:space="preserve">/</w:t>
      </w:r>
      <w:r>
        <w:rPr>
          <w:rFonts w:hint="eastAsia" w:ascii="宋体" w:hAnsi="宋体"/>
          <w:bCs/>
          <w:color w:val="000000" w:themeColor="text1"/>
          <w:szCs w:val="21"/>
          <w:highlight w:val="none"/>
          <w:u w:val="single"/>
          <w14:textFill>
            <w14:solidFill>
              <w14:schemeClr w14:val="tx1"/>
            </w14:solidFill>
          </w14:textFill>
        </w:rPr>
        <w:t xml:space="preserve">分项验收的工作安排）  </w:t>
      </w: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w:t>
      </w:r>
      <w:r/>
    </w:p>
    <w:p>
      <w:pPr>
        <w:pStyle w:val="105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否</w:t>
      </w:r>
      <w:r/>
    </w:p>
    <w:p>
      <w:pPr>
        <w:ind w:firstLine="420"/>
        <w:spacing w:line="40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p>
    <w:p>
      <w:pPr>
        <w:pStyle w:val="105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（8）国家法律、行政法规和规章制度规定或合同约定的作为合同组成部分的其他文件</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生效。</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rPr>
          <w:rFonts w:hint="eastAsia"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rPr>
          <w:color w:val="000000" w:themeColor="text1"/>
          <w:highlight w:val="none"/>
          <w14:textFill>
            <w14:solidFill>
              <w14:schemeClr w14:val="tx1"/>
            </w14:solidFill>
          </w14:textFill>
        </w:rPr>
        <w:t xml:space="preserve">   </w:t>
      </w:r>
      <w:r/>
    </w:p>
    <w:p>
      <w:pPr>
        <w:pStyle w:val="10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41"/>
        <w:tblW w:w="8398" w:type="dxa"/>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25"/>
        <w:gridCol w:w="3177"/>
        <w:gridCol w:w="1178"/>
        <w:gridCol w:w="2918"/>
      </w:tblGrid>
      <w:tr>
        <w:trPr>
          <w:trHeight w:val="490"/>
        </w:trPr>
        <w:tc>
          <w:tcPr>
            <w:gridSpan w:val="2"/>
            <w:tcW w:w="4302"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甲方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（采购人</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、受采购人委托签订合同的单位或</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采购文件约定的合同甲方）</w:t>
            </w:r>
            <w:r/>
          </w:p>
        </w:tc>
        <w:tc>
          <w:tcPr>
            <w:gridSpan w:val="2"/>
            <w:tcW w:w="4096"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乙方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（供应商）</w:t>
            </w:r>
            <w:r/>
          </w:p>
        </w:tc>
      </w:tr>
      <w:tr>
        <w:trPr>
          <w:trHeight w:val="917"/>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1171"/>
        </w:trPr>
        <w:tc>
          <w:tcPr>
            <w:tcW w:w="1125"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p>
          <w:p>
            <w:pPr>
              <w:ind w:firstLine="100"/>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p>
        </w:tc>
        <w:tc>
          <w:tcPr>
            <w:tcW w:w="3177"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p>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r>
      <w:tr>
        <w:trPr>
          <w:trHeight w:val="483"/>
        </w:trPr>
        <w:tc>
          <w:tcPr>
            <w:tcW w:w="1125" w:type="dxa"/>
            <w:vAlign w:val="center"/>
            <w:vMerge w:val="continue"/>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3177" w:type="dxa"/>
            <w:vAlign w:val="center"/>
            <w:vMerge w:val="continue"/>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拥有者性别</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开户名称</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开户银行</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银行账号</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586"/>
        </w:trPr>
        <w:tc>
          <w:tcPr>
            <w:gridSpan w:val="4"/>
            <w:tcW w:w="8398" w:type="dxa"/>
            <w:vAlign w:val="center"/>
            <w:textDirection w:val="lrTb"/>
            <w:noWrap w:val="false"/>
          </w:tcPr>
          <w:p>
            <w:pPr>
              <w:pStyle w:val="975"/>
              <w:ind w:left="0"/>
              <w:jc w:val="left"/>
              <w:spacing w:before="156" w:after="0" w:line="360" w:lineRule="auto"/>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注：涉及联合体或其他合同主体的信息应按上表格式加列。</w:t>
            </w:r>
            <w:r/>
          </w:p>
        </w:tc>
      </w:tr>
    </w:tbl>
    <w:p>
      <w:pPr>
        <w:pStyle w:val="945"/>
        <w:spacing w:before="156"/>
        <w:rPr>
          <w:rFonts w:ascii="黑体" w:hAnsi="黑体" w:eastAsia="黑体"/>
          <w:color w:val="000000" w:themeColor="text1"/>
          <w:sz w:val="28"/>
          <w:szCs w:val="28"/>
          <w:highlight w:val="non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br w:type="page" w:clear="all"/>
      </w:r>
      <w:r>
        <w:rPr>
          <w:rFonts w:hint="eastAsia" w:ascii="黑体" w:hAnsi="黑体" w:eastAsia="黑体"/>
          <w:b w:val="0"/>
          <w:bCs w:val="0"/>
          <w:color w:val="000000" w:themeColor="text1"/>
          <w:sz w:val="28"/>
          <w:szCs w:val="28"/>
          <w:highlight w:val="none"/>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 </w:t>
      </w:r>
      <w:r>
        <w:rPr>
          <w:rFonts w:hint="eastAsia" w:ascii="宋体" w:hAnsi="宋体"/>
          <w:b/>
          <w:bCs/>
          <w:color w:val="000000" w:themeColor="text1"/>
          <w:sz w:val="24"/>
          <w:highlight w:val="none"/>
          <w14:textFill>
            <w14:solidFill>
              <w14:schemeClr w14:val="tx1"/>
            </w14:solidFill>
          </w14:textFill>
        </w:rPr>
        <w:t xml:space="preserve">定义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（3）“货物”系指乙方根据本合同规定须向甲方提供的各种形态和种类的物品，包括原材料、设备、产品（包括软件）及相关的备品备件、工具、手册及</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9"/>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乙方有权根据合同约定向甲方收取合同价款。</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约定应由乙方承担的其他义务和责任。</w:t>
      </w:r>
      <w:r/>
    </w:p>
    <w:p>
      <w:pPr>
        <w:numPr>
          <w:ilvl w:val="0"/>
          <w:numId w:val="10"/>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p>
    <w:p>
      <w:pPr>
        <w:pStyle w:val="1052"/>
        <w:ind w:firstLine="420"/>
        <w:rPr>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 质量标准和保证</w:t>
      </w:r>
      <w:r/>
    </w:p>
    <w:p>
      <w:pPr>
        <w:pStyle w:val="977"/>
        <w:ind w:firstLine="420"/>
        <w:jc w:val="left"/>
        <w:spacing w:line="400" w:lineRule="exact"/>
        <w:rPr>
          <w:rFonts w:hAnsi="宋体"/>
          <w:b/>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8.1 质量标准</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77"/>
        <w:ind w:firstLine="420"/>
        <w:jc w:val="left"/>
        <w:spacing w:line="400" w:lineRule="exact"/>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（2）采用中华人民共和国法定计量单位。</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9. 权利瑕疵担保</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11. 保密义务</w:t>
      </w:r>
      <w:r/>
    </w:p>
    <w:p>
      <w:pPr>
        <w:ind w:firstLine="420"/>
        <w:jc w:val="left"/>
        <w:spacing w:line="400" w:lineRule="exact"/>
        <w:rPr>
          <w:rFonts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12. 合同价款支付</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13. 履约保证金</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14. </w:t>
      </w:r>
      <w:r>
        <w:rPr>
          <w:rFonts w:hint="eastAsia"/>
          <w:b/>
          <w:color w:val="000000" w:themeColor="text1"/>
          <w:sz w:val="24"/>
          <w:highlight w:val="none"/>
          <w14:textFill>
            <w14:solidFill>
              <w14:schemeClr w14:val="tx1"/>
            </w14:solidFill>
          </w14:textFill>
        </w:rPr>
        <w:t xml:space="preserve">售后</w:t>
      </w:r>
      <w:r>
        <w:rPr>
          <w:rFonts w:hint="eastAsia" w:ascii="宋体" w:hAnsi="宋体"/>
          <w:b/>
          <w:color w:val="000000" w:themeColor="text1"/>
          <w:sz w:val="24"/>
          <w:highlight w:val="none"/>
          <w14:textFill>
            <w14:solidFill>
              <w14:schemeClr w14:val="tx1"/>
            </w14:solidFill>
          </w14:textFill>
        </w:rPr>
        <w:t xml:space="preserve">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pStyle w:val="105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15. 违约责任</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p>
    <w:p>
      <w:pPr>
        <w:numPr>
          <w:ilvl w:val="0"/>
          <w:numId w:val="11"/>
        </w:num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合同变更、中止与终止</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16.1合同的变更</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2"/>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p>
    <w:p>
      <w:pPr>
        <w:pStyle w:val="1052"/>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16.4 </w:t>
      </w:r>
      <w:r>
        <w:rPr>
          <w:rFonts w:hint="eastAsia" w:ascii="宋体" w:hAnsi="宋体" w:eastAsia="宋体" w:cs="Times New Roman"/>
          <w:color w:val="000000" w:themeColor="text1"/>
          <w:sz w:val="21"/>
          <w:highlight w:val="none"/>
          <w14:textFill>
            <w14:solidFill>
              <w14:schemeClr w14:val="tx1"/>
            </w14:solidFill>
          </w14:textFill>
        </w:rPr>
        <w:t xml:space="preserve">涉及国家利益、社会公共利益的情形</w:t>
      </w:r>
      <w:r/>
    </w:p>
    <w:p>
      <w:pPr>
        <w:pStyle w:val="1052"/>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17. 合同分包</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18. 不可抗力</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19. 解决争议的方法</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20. 政府采购政策</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14:textFill>
            <w14:solidFill>
              <w14:schemeClr w14:val="tx1"/>
            </w14:solidFill>
          </w14:textFill>
        </w:rPr>
        <w:t xml:space="preserve">本合同应当按照规定执行政府采购政策。</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 xml:space="preserve">甲乙双方未按规定要求执行政府采购政策造成损失的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 法律适用</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 本合同的订立、生效、解释、履行及与本合同有关的争议解决，均适用法律、行政法规。</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 通知</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52"/>
        <w:ind w:firstLine="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p>
    <w:p>
      <w:pPr>
        <w:numPr>
          <w:ilvl w:val="0"/>
          <w:numId w:val="12"/>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合同未尽事项</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23.2 合同附件与合同正文具有同等的法律效力。</w:t>
      </w:r>
      <w:r/>
    </w:p>
    <w:p>
      <w:pPr>
        <w:jc w:val="center"/>
        <w:rPr>
          <w:rFonts w:ascii="黑体" w:hAnsi="华文中宋" w:eastAsia="黑体"/>
          <w:b/>
          <w:bCs/>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rFonts w:hint="eastAsia" w:ascii="黑体" w:hAnsi="华文中宋" w:eastAsia="黑体"/>
          <w:b/>
          <w:bCs/>
          <w:color w:val="000000" w:themeColor="text1"/>
          <w:sz w:val="28"/>
          <w:szCs w:val="28"/>
          <w:highlight w:val="none"/>
          <w14:textFill>
            <w14:solidFill>
              <w14:schemeClr w14:val="tx1"/>
            </w14:solidFill>
          </w14:textFill>
        </w:rPr>
        <w:t xml:space="preserve">第三节 政府采购合同专用条款</w:t>
      </w:r>
      <w:r/>
    </w:p>
    <w:tbl>
      <w:tblPr>
        <w:tblStyle w:val="741"/>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第1.2（6）项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联合体具体要求</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第1.2（7）项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其他术语解释</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第4.4款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第4.6款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约定甲方承担的其他义务和责任</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第5.4款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约定乙方承担的其他义务和责任</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第6.1款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履行合同义务的顺序</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667"/>
        </w:trPr>
        <w:tc>
          <w:tcPr>
            <w:tcW w:w="1607" w:type="dxa"/>
            <w:vAlign w:val="center"/>
            <w:vMerge w:val="restart"/>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第7.1款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包装特殊要求</w:t>
            </w:r>
            <w:r/>
          </w:p>
        </w:tc>
        <w:tc>
          <w:tcPr>
            <w:tcW w:w="5170" w:type="dxa"/>
            <w:vAlign w:val="center"/>
            <w:textDirection w:val="lrTb"/>
            <w:noWrap w:val="false"/>
          </w:tcPr>
          <w:p>
            <w:pPr>
              <w:jc w:val="both"/>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r>
            <w:r/>
          </w:p>
        </w:tc>
      </w:tr>
      <w:tr>
        <w:trPr>
          <w:trHeight w:val="667"/>
        </w:trPr>
        <w:tc>
          <w:tcPr>
            <w:tcW w:w="1607" w:type="dxa"/>
            <w:vAlign w:val="center"/>
            <w:vMerge w:val="continue"/>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指定现场</w:t>
            </w:r>
            <w:r/>
          </w:p>
        </w:tc>
        <w:tc>
          <w:tcPr>
            <w:tcW w:w="5170" w:type="dxa"/>
            <w:vAlign w:val="center"/>
            <w:textDirection w:val="lrTb"/>
            <w:noWrap w:val="false"/>
          </w:tcPr>
          <w:p>
            <w:pPr>
              <w:jc w:val="both"/>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第7.2款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运输特殊要求</w:t>
            </w:r>
            <w:r/>
          </w:p>
        </w:tc>
        <w:tc>
          <w:tcPr>
            <w:tcW w:w="5170" w:type="dxa"/>
            <w:vAlign w:val="center"/>
            <w:textDirection w:val="lrTb"/>
            <w:noWrap w:val="false"/>
          </w:tcPr>
          <w:p>
            <w:pPr>
              <w:jc w:val="both"/>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第7.3款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保险要求</w:t>
            </w:r>
            <w:r/>
          </w:p>
        </w:tc>
        <w:tc>
          <w:tcPr>
            <w:tcW w:w="5170" w:type="dxa"/>
            <w:vAlign w:val="center"/>
            <w:textDirection w:val="lrTb"/>
            <w:noWrap w:val="false"/>
          </w:tcPr>
          <w:p>
            <w:pPr>
              <w:jc w:val="both"/>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第8.2（1）项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质量保证期</w:t>
            </w:r>
            <w:r/>
          </w:p>
        </w:tc>
        <w:tc>
          <w:tcPr>
            <w:tcW w:w="5170" w:type="dxa"/>
            <w:vAlign w:val="center"/>
            <w:textDirection w:val="lrTb"/>
            <w:noWrap w:val="false"/>
          </w:tcPr>
          <w:p>
            <w:pPr>
              <w:ind w:firstLine="420"/>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第8.2（3）项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货物质量缺陷</w:t>
            </w:r>
            <w:r/>
          </w:p>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响应时间</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第二节</w:t>
            </w:r>
            <w:r/>
          </w:p>
          <w:p>
            <w:pPr>
              <w:pStyle w:val="1052"/>
              <w:ind w:firstLine="0"/>
              <w:jc w:val="center"/>
              <w:spacing w:line="400" w:lineRule="exact"/>
              <w:rPr>
                <w:rFonts w:ascii="华文楷体" w:hAnsi="华文楷体" w:eastAsia="华文楷体" w:cs="华文楷体"/>
                <w:color w:val="000000" w:themeColor="text1"/>
                <w:sz w:val="22"/>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SA"/>
                <w14:textFill>
                  <w14:solidFill>
                    <w14:schemeClr w14:val="tx1"/>
                  </w14:solidFill>
                </w14:textFill>
              </w:rPr>
              <w:t xml:space="preserve">第11.1款</w:t>
            </w:r>
            <w:r/>
          </w:p>
        </w:tc>
        <w:tc>
          <w:tcPr>
            <w:tcW w:w="1742" w:type="dxa"/>
            <w:vAlign w:val="center"/>
            <w:textDirection w:val="lrTb"/>
            <w:noWrap w:val="false"/>
          </w:tcPr>
          <w:p>
            <w:pPr>
              <w:jc w:val="both"/>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其他应当保密的信息</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第12.2款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合同价款支付时间</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第13.2款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履约保证金不予退还的情形</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第13.3款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第14.1（3）项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运行监督、维修期限</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第14.1（5）项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货物回收的约定</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第14.1（6）项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乙方提供的其他服务</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第15.1款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修理、重作、更换相关具体规定</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第15.2（2）项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迟延交货赔偿费</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第15.3款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逾期付款利息</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第15.4款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其他违约责任</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第19.2款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解决争议的方法</w:t>
            </w:r>
            <w:r/>
          </w:p>
        </w:tc>
        <w:tc>
          <w:tcPr>
            <w:tcW w:w="5170" w:type="dxa"/>
            <w:vAlign w:val="center"/>
            <w:textDirection w:val="lrTb"/>
            <w:noWrap w:val="false"/>
          </w:tcPr>
          <w:p>
            <w:pPr>
              <w:jc w:val="left"/>
              <w:spacing w:line="400" w:lineRule="exact"/>
              <w:widowControl w:val="off"/>
              <w:rPr>
                <w:rFonts w:ascii="宋体" w:hAnsi="宋体" w:eastAsia="宋体" w:cs="宋体"/>
                <w:i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ascii="宋体" w:hAnsi="宋体" w:eastAsia="宋体" w:cs="宋体"/>
                <w:i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widowControl w:val="off"/>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第23.1款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t xml:space="preserve">其他专用条款</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bl>
    <w:p>
      <w:pPr>
        <w:pStyle w:val="973"/>
        <w:jc w:val="center"/>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pStyle w:val="973"/>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bookmarkEnd w:id="176"/>
      <w:r/>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r/>
    </w:p>
    <w:p>
      <w:pPr>
        <w:numPr>
          <w:ilvl w:val="0"/>
          <w:numId w:val="13"/>
        </w:num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77"/>
      <w:r/>
      <w:bookmarkEnd w:id="178"/>
      <w:r/>
      <w:bookmarkEnd w:id="179"/>
      <w:r/>
      <w:r/>
    </w:p>
    <w:p>
      <w:pPr>
        <w:numPr>
          <w:ilvl w:val="0"/>
          <w:numId w:val="0"/>
        </w:numPr>
        <w:jc w:val="both"/>
        <w:spacing w:before="120" w:after="120" w:line="0" w:lineRule="atLeast"/>
        <w:rPr>
          <w:rFonts w:hint="default" w:ascii="黑体" w:hAnsi="Courier New" w:eastAsia="黑体" w:cs="Courier New"/>
          <w:bCs/>
          <w:color w:val="000000" w:themeColor="text1"/>
          <w:sz w:val="28"/>
          <w:szCs w:val="28"/>
          <w:highlight w:val="none"/>
          <w:lang w:val="en-US" w:eastAsia="zh-CN"/>
          <w14:textFill>
            <w14:solidFill>
              <w14:schemeClr w14:val="tx1"/>
            </w14:solidFill>
          </w14:textFill>
        </w:rPr>
      </w:pPr>
      <w:r>
        <w:rPr>
          <w:rFonts w:hint="eastAsia" w:ascii="黑体" w:hAnsi="Courier New" w:eastAsia="黑体" w:cs="Courier New"/>
          <w:bCs/>
          <w:color w:val="000000" w:themeColor="text1"/>
          <w:sz w:val="28"/>
          <w:szCs w:val="28"/>
          <w:highlight w:val="none"/>
          <w:lang w:val="en-US" w:eastAsia="zh-CN"/>
          <w14:textFill>
            <w14:solidFill>
              <w14:schemeClr w14:val="tx1"/>
            </w14:solidFill>
          </w14:textFill>
        </w:rPr>
        <w:t xml:space="preserve">采购包1：</w:t>
      </w:r>
      <w:r/>
    </w:p>
    <w:p>
      <w:pPr>
        <w:spacing w:line="360" w:lineRule="auto"/>
        <w:widowControl/>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、基本情况</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1</w:t>
      </w:r>
      <w:r>
        <w:rPr>
          <w:rFonts w:hint="default" w:ascii="Calibri" w:hAnsi="Calibri"/>
          <w:bCs/>
          <w:color w:val="000000" w:themeColor="text1"/>
          <w:sz w:val="24"/>
          <w:szCs w:val="24"/>
          <w:highlight w:val="none"/>
          <w:lang w:val="en-US" w:bidi="ar-SA"/>
          <w14:textFill>
            <w14:solidFill>
              <w14:schemeClr w14:val="tx1"/>
            </w14:solidFill>
          </w14:textFill>
        </w:rPr>
        <w:t xml:space="preserve"> 预算金额：</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2160.2</w:t>
      </w:r>
      <w:r>
        <w:rPr>
          <w:rFonts w:hint="default" w:ascii="Calibri" w:hAnsi="Calibri"/>
          <w:color w:val="000000" w:themeColor="text1"/>
          <w:sz w:val="24"/>
          <w:szCs w:val="24"/>
          <w:highlight w:val="none"/>
          <w:lang w:val="en-US" w:bidi="ar-SA"/>
          <w14:textFill>
            <w14:solidFill>
              <w14:schemeClr w14:val="tx1"/>
            </w14:solidFill>
          </w14:textFill>
        </w:rPr>
        <w:t xml:space="preserve">万元</w:t>
      </w:r>
      <w:r>
        <w:rPr>
          <w:rFonts w:hint="default" w:ascii="Calibri" w:hAnsi="Calibri"/>
          <w:bCs/>
          <w:color w:val="000000" w:themeColor="text1"/>
          <w:sz w:val="24"/>
          <w:szCs w:val="24"/>
          <w:highlight w:val="none"/>
          <w:lang w:val="en-US" w:bidi="ar-SA"/>
          <w14:textFill>
            <w14:solidFill>
              <w14:schemeClr w14:val="tx1"/>
            </w14:solidFill>
          </w14:textFill>
        </w:rPr>
        <w:t xml:space="preserve">。</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2</w:t>
      </w:r>
      <w:r>
        <w:rPr>
          <w:rFonts w:hint="default" w:ascii="Calibri" w:hAnsi="Calibri"/>
          <w:bCs/>
          <w:color w:val="000000" w:themeColor="text1"/>
          <w:sz w:val="24"/>
          <w:szCs w:val="24"/>
          <w:highlight w:val="none"/>
          <w:lang w:val="en-US" w:bidi="ar-SA"/>
          <w14:textFill>
            <w14:solidFill>
              <w14:schemeClr w14:val="tx1"/>
            </w14:solidFill>
          </w14:textFill>
        </w:rPr>
        <w:t xml:space="preserve">设定最高限价，最高限价为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2024.22</w:t>
      </w:r>
      <w:r>
        <w:rPr>
          <w:rFonts w:hint="default" w:ascii="Calibri" w:hAnsi="Calibri"/>
          <w:color w:val="000000" w:themeColor="text1"/>
          <w:sz w:val="24"/>
          <w:szCs w:val="24"/>
          <w:highlight w:val="none"/>
          <w:lang w:val="en-US" w:bidi="ar-SA"/>
          <w14:textFill>
            <w14:solidFill>
              <w14:schemeClr w14:val="tx1"/>
            </w14:solidFill>
          </w14:textFill>
        </w:rPr>
        <w:t xml:space="preserve">万元。</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w:t>
      </w:r>
      <w:r>
        <w:rPr>
          <w:rFonts w:hint="default" w:ascii="Calibri" w:hAnsi="Calibri"/>
          <w:bCs/>
          <w:color w:val="000000" w:themeColor="text1"/>
          <w:sz w:val="24"/>
          <w:szCs w:val="24"/>
          <w:highlight w:val="none"/>
          <w:lang w:val="en-US" w:bidi="ar-SA"/>
          <w14:textFill>
            <w14:solidFill>
              <w14:schemeClr w14:val="tx1"/>
            </w14:solidFill>
          </w14:textFill>
        </w:rPr>
        <w:t xml:space="preserve">采购需求：步梯款家具采购，包括家具制作、运输、装卸、安装、调试及售后三包服务等。</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4</w:t>
      </w:r>
      <w:r>
        <w:rPr>
          <w:rFonts w:hint="default" w:ascii="Calibri" w:hAnsi="Calibri"/>
          <w:bCs/>
          <w:color w:val="000000" w:themeColor="text1"/>
          <w:sz w:val="24"/>
          <w:szCs w:val="24"/>
          <w:highlight w:val="none"/>
          <w:lang w:val="en-US" w:bidi="ar-SA"/>
          <w14:textFill>
            <w14:solidFill>
              <w14:schemeClr w14:val="tx1"/>
            </w14:solidFill>
          </w14:textFill>
        </w:rPr>
        <w:t xml:space="preserve">实施地点：采购人指定地点。</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bookmarkStart w:id="182" w:name="_Hlk230959535"/>
      <w:r>
        <w:rPr>
          <w:rFonts w:hint="eastAsia" w:ascii="Calibri" w:hAnsi="Calibri"/>
          <w:bCs/>
          <w:color w:val="000000" w:themeColor="text1"/>
          <w:sz w:val="24"/>
          <w:szCs w:val="24"/>
          <w:highlight w:val="none"/>
          <w:lang w:val="en-US" w:eastAsia="zh-CN" w:bidi="ar-SA"/>
          <w14:textFill>
            <w14:solidFill>
              <w14:schemeClr w14:val="tx1"/>
            </w14:solidFill>
          </w14:textFill>
        </w:rPr>
        <w:t xml:space="preserve">5</w:t>
      </w:r>
      <w:r>
        <w:rPr>
          <w:rFonts w:hint="default" w:ascii="Calibri" w:hAnsi="Calibri"/>
          <w:color w:val="000000" w:themeColor="text1"/>
          <w:sz w:val="24"/>
          <w:szCs w:val="24"/>
          <w:highlight w:val="none"/>
          <w:lang w:val="en-US" w:bidi="ar-SA"/>
          <w14:textFill>
            <w14:solidFill>
              <w14:schemeClr w14:val="tx1"/>
            </w14:solidFill>
          </w14:textFill>
        </w:rPr>
        <w:t xml:space="preserve">合同履行期限：合同签订后50日历天内送到甲方指定地点完成安装、调试、检测并经验收合格后交付甲方使用（含二次搬运费）。</w:t>
      </w:r>
      <w:bookmarkEnd w:id="18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14:textFill>
            <w14:solidFill>
              <w14:schemeClr w14:val="tx1"/>
            </w14:solidFill>
          </w14:textFill>
        </w:rPr>
        <w:t xml:space="preserve">采购标的所属行业为：工业</w:t>
      </w:r>
      <w:bookmarkStart w:id="183" w:name="_Toc26554093"/>
      <w:r/>
      <w:bookmarkStart w:id="184" w:name="_Toc49090575"/>
      <w:r/>
      <w:r/>
    </w:p>
    <w:p>
      <w:pPr>
        <w:numPr>
          <w:ilvl w:val="0"/>
          <w:numId w:val="14"/>
        </w:numP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采购标的清单</w:t>
      </w:r>
      <w:r/>
    </w:p>
    <w:tbl>
      <w:tblPr>
        <w:tblStyle w:val="741"/>
        <w:tblpPr w:horzAnchor="page" w:tblpX="870" w:vertAnchor="text" w:tblpY="301" w:leftFromText="180" w:topFromText="0" w:rightFromText="180" w:bottomFromText="0"/>
        <w:tblW w:w="95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665"/>
        <w:gridCol w:w="2460"/>
        <w:gridCol w:w="855"/>
        <w:gridCol w:w="1110"/>
        <w:gridCol w:w="930"/>
        <w:gridCol w:w="1881"/>
      </w:tblGrid>
      <w:tr>
        <w:trPr>
          <w:trHeight w:val="617"/>
        </w:trPr>
        <w:tc>
          <w:tcPr>
            <w:tcW w:w="655" w:type="dxa"/>
            <w:vAlign w:val="center"/>
            <w:textDirection w:val="lrTb"/>
            <w:noWrap w:val="false"/>
          </w:tcPr>
          <w:p>
            <w:pPr>
              <w:jc w:val="both"/>
              <w:keepLines w:val="0"/>
              <w:keepNext w:val="0"/>
              <w:pageBreakBefore w:val="0"/>
              <w:spacing w:after="0" w:line="32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序号</w:t>
            </w:r>
            <w:r/>
          </w:p>
        </w:tc>
        <w:tc>
          <w:tcPr>
            <w:tcW w:w="166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名称</w:t>
            </w:r>
            <w:r/>
          </w:p>
        </w:tc>
        <w:tc>
          <w:tcPr>
            <w:tcW w:w="2460"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规格</w:t>
            </w:r>
            <w:r/>
          </w:p>
        </w:tc>
        <w:tc>
          <w:tcPr>
            <w:tcW w:w="85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单位</w:t>
            </w:r>
            <w:r/>
          </w:p>
        </w:tc>
        <w:tc>
          <w:tcPr>
            <w:tcW w:w="1110"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数量</w:t>
            </w:r>
            <w:r/>
          </w:p>
        </w:tc>
        <w:tc>
          <w:tcPr>
            <w:tcW w:w="930"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是否核心产品</w:t>
            </w:r>
            <w:r/>
          </w:p>
        </w:tc>
        <w:tc>
          <w:tcPr>
            <w:tcW w:w="1881"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对应中小企业划分标准所属行业</w:t>
            </w:r>
            <w:r/>
          </w:p>
        </w:tc>
      </w:tr>
      <w:tr>
        <w:trPr>
          <w:trHeight w:val="593"/>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上床下柜（桌）组合家具</w:t>
            </w:r>
            <w:r/>
          </w:p>
        </w:tc>
        <w:tc>
          <w:tcPr>
            <w:tcW w:w="2460"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2010*930*3050mm</w:t>
            </w:r>
            <w:r/>
          </w:p>
        </w:tc>
        <w:tc>
          <w:tcPr>
            <w:tcW w:w="85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套</w:t>
            </w:r>
            <w:r/>
          </w:p>
        </w:tc>
        <w:tc>
          <w:tcPr>
            <w:tcW w:w="1110"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5264</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是</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trHeight w:val="563"/>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步梯</w:t>
            </w:r>
            <w:r/>
          </w:p>
        </w:tc>
        <w:tc>
          <w:tcPr>
            <w:tcW w:w="2460"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560*920*1418mm</w:t>
            </w:r>
            <w:r/>
          </w:p>
        </w:tc>
        <w:tc>
          <w:tcPr>
            <w:tcW w:w="85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个</w:t>
            </w:r>
            <w:r/>
          </w:p>
        </w:tc>
        <w:tc>
          <w:tcPr>
            <w:tcW w:w="1110"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2632</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否</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trHeight w:val="563"/>
        </w:trPr>
        <w:tc>
          <w:tcPr>
            <w:tcW w:w="655" w:type="dxa"/>
            <w:vAlign w:val="center"/>
            <w:textDirection w:val="lrTb"/>
            <w:noWrap w:val="false"/>
          </w:tcPr>
          <w:p>
            <w:pPr>
              <w:jc w:val="center"/>
              <w:spacing w:after="0"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tcW w:w="1665" w:type="dxa"/>
            <w:vAlign w:val="center"/>
            <w:textDirection w:val="lrTb"/>
            <w:noWrap w:val="false"/>
          </w:tcPr>
          <w:p>
            <w:pPr>
              <w:jc w:val="center"/>
              <w:spacing w:line="24" w:lineRule="atLeast"/>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学生椅</w:t>
            </w:r>
            <w:r/>
          </w:p>
        </w:tc>
        <w:tc>
          <w:tcPr>
            <w:tcW w:w="2460" w:type="dxa"/>
            <w:vAlign w:val="center"/>
            <w:textDirection w:val="lrTb"/>
            <w:noWrap w:val="false"/>
          </w:tcPr>
          <w:p>
            <w:pPr>
              <w:jc w:val="center"/>
              <w:spacing w:line="24" w:lineRule="atLeas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450*500*850mm</w:t>
            </w:r>
            <w:r/>
          </w:p>
        </w:tc>
        <w:tc>
          <w:tcPr>
            <w:tcW w:w="855" w:type="dxa"/>
            <w:vAlign w:val="center"/>
            <w:textDirection w:val="lrTb"/>
            <w:noWrap w:val="false"/>
          </w:tcPr>
          <w:p>
            <w:pPr>
              <w:jc w:val="center"/>
              <w:spacing w:line="24" w:lineRule="atLeas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把</w:t>
            </w:r>
            <w:r/>
          </w:p>
        </w:tc>
        <w:tc>
          <w:tcPr>
            <w:tcW w:w="1110" w:type="dxa"/>
            <w:vAlign w:val="center"/>
            <w:textDirection w:val="lrTb"/>
            <w:noWrap w:val="false"/>
          </w:tcPr>
          <w:p>
            <w:pPr>
              <w:jc w:val="center"/>
              <w:spacing w:line="24" w:lineRule="atLeast"/>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5264</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否</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bl>
    <w:p>
      <w:pPr>
        <w:jc w:val="left"/>
        <w:spacing w:line="360" w:lineRule="exact"/>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default" w:ascii="宋体" w:hAnsi="宋体" w:cs="宋体"/>
          <w:b w:val="0"/>
          <w:bCs w:val="0"/>
          <w:color w:val="000000" w:themeColor="text1"/>
          <w:sz w:val="24"/>
          <w:szCs w:val="24"/>
          <w:highlight w:val="none"/>
          <w:lang w:val="en-US" w:eastAsia="zh-CN"/>
          <w14:textFill>
            <w14:solidFill>
              <w14:schemeClr w14:val="tx1"/>
            </w14:solidFill>
          </w14:textFill>
        </w:rPr>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注：</w:t>
      </w:r>
      <w:r>
        <w:rPr>
          <w:rFonts w:hint="default" w:ascii="Calibri" w:hAnsi="Calibri"/>
          <w:bCs/>
          <w:color w:val="000000" w:themeColor="text1"/>
          <w:sz w:val="24"/>
          <w:szCs w:val="24"/>
          <w:highlight w:val="none"/>
          <w:lang w:val="en-US" w:bidi="ar-SA"/>
          <w14:textFill>
            <w14:solidFill>
              <w14:schemeClr w14:val="tx1"/>
            </w14:solidFill>
          </w14:textFill>
        </w:rPr>
        <w:t xml:space="preserve">当采购数量与实际使用数量不一致时，</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中标人</w:t>
      </w:r>
      <w:r>
        <w:rPr>
          <w:rFonts w:hint="default" w:ascii="Calibri" w:hAnsi="Calibri"/>
          <w:bCs/>
          <w:color w:val="000000" w:themeColor="text1"/>
          <w:sz w:val="24"/>
          <w:szCs w:val="24"/>
          <w:highlight w:val="none"/>
          <w:lang w:val="en-US" w:bidi="ar-SA"/>
          <w14:textFill>
            <w14:solidFill>
              <w14:schemeClr w14:val="tx1"/>
            </w14:solidFill>
          </w14:textFill>
        </w:rPr>
        <w:t xml:space="preserve">应根据实际使用量供货，合同</w:t>
      </w:r>
      <w:r>
        <w:rPr>
          <w:rFonts w:hint="eastAsia" w:ascii="Calibri" w:hAnsi="Calibri"/>
          <w:bCs/>
          <w:color w:val="000000" w:themeColor="text1"/>
          <w:sz w:val="24"/>
          <w:szCs w:val="24"/>
          <w:highlight w:val="none"/>
          <w:lang w:val="en-US" w:bidi="ar-SA"/>
          <w14:textFill>
            <w14:solidFill>
              <w14:schemeClr w14:val="tx1"/>
            </w14:solidFill>
          </w14:textFill>
        </w:rPr>
        <w:t xml:space="preserve">的最终结算金额按实际使用量乘以</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中标</w:t>
      </w:r>
      <w:r>
        <w:rPr>
          <w:rFonts w:hint="eastAsia" w:ascii="Calibri" w:hAnsi="Calibri"/>
          <w:bCs/>
          <w:color w:val="000000" w:themeColor="text1"/>
          <w:sz w:val="24"/>
          <w:szCs w:val="24"/>
          <w:highlight w:val="none"/>
          <w:lang w:val="en-US" w:bidi="ar-SA"/>
          <w14:textFill>
            <w14:solidFill>
              <w14:schemeClr w14:val="tx1"/>
            </w14:solidFill>
          </w14:textFill>
        </w:rPr>
        <w:t xml:space="preserve">单价进行计算。</w:t>
      </w:r>
      <w:r/>
    </w:p>
    <w:p>
      <w:pPr>
        <w:ind w:firstLine="480"/>
        <w:spacing w:line="360" w:lineRule="auto"/>
        <w:widowControl/>
        <w:rPr>
          <w:rFonts w:hint="default" w:ascii="Calibri" w:hAnsi="Calibri"/>
          <w:b/>
          <w:bCs w:val="0"/>
          <w:color w:val="000000" w:themeColor="text1"/>
          <w:sz w:val="24"/>
          <w:szCs w:val="24"/>
          <w:highlight w:val="none"/>
          <w:lang w:val="en-US" w:eastAsia="zh-CN" w:bidi="ar-SA"/>
          <w14:textFill>
            <w14:solidFill>
              <w14:schemeClr w14:val="tx1"/>
            </w14:solidFill>
          </w14:textFill>
        </w:rPr>
      </w:pPr>
      <w:r>
        <w:rPr>
          <w:rFonts w:hint="eastAsia" w:ascii="Calibri" w:hAnsi="Calibri"/>
          <w:b/>
          <w:bCs w:val="0"/>
          <w:color w:val="000000" w:themeColor="text1"/>
          <w:sz w:val="24"/>
          <w:szCs w:val="24"/>
          <w:highlight w:val="none"/>
          <w:lang w:val="en-US" w:eastAsia="zh-CN" w:bidi="ar-SA"/>
          <w14:textFill>
            <w14:solidFill>
              <w14:schemeClr w14:val="tx1"/>
            </w14:solidFill>
          </w14:textFill>
        </w:rPr>
        <w:t xml:space="preserve">三、采购图纸及技术参数要求</w:t>
      </w:r>
      <w:r/>
    </w:p>
    <w:p>
      <w:pPr>
        <w:ind w:firstLine="480"/>
        <w:spacing w:line="360" w:lineRule="auto"/>
        <w:widowControl/>
        <w:rPr>
          <w:rFonts w:hint="default"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3.1采购图纸（</w:t>
      </w:r>
      <w:r>
        <w:rPr>
          <w:rFonts w:hint="eastAsia" w:ascii="Calibri" w:hAnsi="Calibri"/>
          <w:bCs/>
          <w:color w:val="000000" w:themeColor="text1"/>
          <w:sz w:val="24"/>
          <w:szCs w:val="24"/>
          <w:highlight w:val="none"/>
          <w:lang w:val="en-US" w:bidi="ar-SA"/>
          <w14:textFill>
            <w14:solidFill>
              <w14:schemeClr w14:val="tx1"/>
            </w14:solidFill>
          </w14:textFill>
        </w:rPr>
        <w:t xml:space="preserve">图纸与技术参数不一致之处，以技术参数要求为准</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房型1</w: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539105" cy="3353435"/>
                <wp:effectExtent l="0" t="0" r="4445" b="18415"/>
                <wp:docPr id="1"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13"/>
                        <a:stretch/>
                      </pic:blipFill>
                      <pic:spPr bwMode="auto">
                        <a:xfrm>
                          <a:off x="0" y="0"/>
                          <a:ext cx="5539105" cy="335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6.1pt;height:264.1pt;mso-wrap-distance-left:0.0pt;mso-wrap-distance-top:0.0pt;mso-wrap-distance-right:0.0pt;mso-wrap-distance-bottom:0.0pt;" stroked="f">
                <v:path textboxrect="0,0,0,0"/>
                <v:imagedata r:id="rId13"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536565" cy="3911600"/>
                <wp:effectExtent l="0" t="0" r="6985" b="12700"/>
                <wp:docPr id="2"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14"/>
                        <a:stretch/>
                      </pic:blipFill>
                      <pic:spPr bwMode="auto">
                        <a:xfrm>
                          <a:off x="0" y="0"/>
                          <a:ext cx="5536565" cy="391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5.9pt;height:308.0pt;mso-wrap-distance-left:0.0pt;mso-wrap-distance-top:0.0pt;mso-wrap-distance-right:0.0pt;mso-wrap-distance-bottom:0.0pt;" stroked="f">
                <v:path textboxrect="0,0,0,0"/>
                <v:imagedata r:id="rId14"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14745" cy="4391025"/>
                <wp:effectExtent l="0" t="0" r="14604" b="9525"/>
                <wp:docPr id="3"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15"/>
                        <a:stretch/>
                      </pic:blipFill>
                      <pic:spPr bwMode="auto">
                        <a:xfrm>
                          <a:off x="0" y="0"/>
                          <a:ext cx="6214745"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9.3pt;height:345.8pt;mso-wrap-distance-left:0.0pt;mso-wrap-distance-top:0.0pt;mso-wrap-distance-right:0.0pt;mso-wrap-distance-bottom:0.0pt;" stroked="f">
                <v:path textboxrect="0,0,0,0"/>
                <v:imagedata r:id="rId15"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42685" cy="3781425"/>
                <wp:effectExtent l="0" t="0" r="5715" b="9525"/>
                <wp:docPr id="4"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r/>
                      </pic:nvPicPr>
                      <pic:blipFill>
                        <a:blip r:embed="rId16"/>
                        <a:srcRect l="0" t="14236" r="0" b="0"/>
                        <a:stretch/>
                      </pic:blipFill>
                      <pic:spPr bwMode="auto">
                        <a:xfrm>
                          <a:off x="0" y="0"/>
                          <a:ext cx="6242685" cy="3781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91.5pt;height:297.8pt;mso-wrap-distance-left:0.0pt;mso-wrap-distance-top:0.0pt;mso-wrap-distance-right:0.0pt;mso-wrap-distance-bottom:0.0pt;" stroked="f">
                <v:path textboxrect="0,0,0,0"/>
                <v:imagedata r:id="rId16"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83325" cy="3230880"/>
                <wp:effectExtent l="0" t="0" r="3175" b="7620"/>
                <wp:docPr id="5"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17"/>
                        <a:srcRect l="0" t="14999" r="0" b="12069"/>
                        <a:stretch/>
                      </pic:blipFill>
                      <pic:spPr bwMode="auto">
                        <a:xfrm>
                          <a:off x="0" y="0"/>
                          <a:ext cx="6283325" cy="3230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94.8pt;height:254.4pt;mso-wrap-distance-left:0.0pt;mso-wrap-distance-top:0.0pt;mso-wrap-distance-right:0.0pt;mso-wrap-distance-bottom:0.0pt;" stroked="f">
                <v:path textboxrect="0,0,0,0"/>
                <v:imagedata r:id="rId17"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66485" cy="4356735"/>
                <wp:effectExtent l="0" t="0" r="5715" b="5715"/>
                <wp:docPr id="6" name="图片 29"/>
                <wp:cNvGraphicFramePr/>
                <a:graphic xmlns:a="http://schemas.openxmlformats.org/drawingml/2006/main">
                  <a:graphicData uri="http://schemas.openxmlformats.org/drawingml/2006/picture">
                    <pic:pic xmlns:pic="http://schemas.openxmlformats.org/drawingml/2006/picture">
                      <pic:nvPicPr>
                        <pic:cNvPr id="29" name="图片 29"/>
                        <pic:cNvPicPr/>
                        <pic:nvPr/>
                      </pic:nvPicPr>
                      <pic:blipFill>
                        <a:blip r:embed="rId18"/>
                        <a:stretch/>
                      </pic:blipFill>
                      <pic:spPr bwMode="auto">
                        <a:xfrm>
                          <a:off x="0" y="0"/>
                          <a:ext cx="6166485" cy="435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5.5pt;height:343.1pt;mso-wrap-distance-left:0.0pt;mso-wrap-distance-top:0.0pt;mso-wrap-distance-right:0.0pt;mso-wrap-distance-bottom:0.0pt;" stroked="f">
                <v:path textboxrect="0,0,0,0"/>
                <v:imagedata r:id="rId18"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49010" cy="4273550"/>
                <wp:effectExtent l="0" t="0" r="8890" b="12700"/>
                <wp:docPr id="7"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r/>
                      </pic:nvPicPr>
                      <pic:blipFill>
                        <a:blip r:embed="rId19"/>
                        <a:stretch/>
                      </pic:blipFill>
                      <pic:spPr bwMode="auto">
                        <a:xfrm>
                          <a:off x="0" y="0"/>
                          <a:ext cx="6049010" cy="42735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6.3pt;height:336.5pt;mso-wrap-distance-left:0.0pt;mso-wrap-distance-top:0.0pt;mso-wrap-distance-right:0.0pt;mso-wrap-distance-bottom:0.0pt;" stroked="f">
                <v:path textboxrect="0,0,0,0"/>
                <v:imagedata r:id="rId19"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36335" cy="4406265"/>
                <wp:effectExtent l="0" t="0" r="12065" b="13335"/>
                <wp:docPr id="8" name="图片 31"/>
                <wp:cNvGraphicFramePr/>
                <a:graphic xmlns:a="http://schemas.openxmlformats.org/drawingml/2006/main">
                  <a:graphicData uri="http://schemas.openxmlformats.org/drawingml/2006/picture">
                    <pic:pic xmlns:pic="http://schemas.openxmlformats.org/drawingml/2006/picture">
                      <pic:nvPicPr>
                        <pic:cNvPr id="31" name="图片 31"/>
                        <pic:cNvPicPr/>
                        <pic:nvPr/>
                      </pic:nvPicPr>
                      <pic:blipFill>
                        <a:blip r:embed="rId20"/>
                        <a:stretch/>
                      </pic:blipFill>
                      <pic:spPr bwMode="auto">
                        <a:xfrm>
                          <a:off x="0" y="0"/>
                          <a:ext cx="6236335" cy="440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91.0pt;height:346.9pt;mso-wrap-distance-left:0.0pt;mso-wrap-distance-top:0.0pt;mso-wrap-distance-right:0.0pt;mso-wrap-distance-bottom:0.0pt;" stroked="f">
                <v:path textboxrect="0,0,0,0"/>
                <v:imagedata r:id="rId20"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28690" cy="4258945"/>
                <wp:effectExtent l="0" t="0" r="10160" b="8255"/>
                <wp:docPr id="9" name="图片 32"/>
                <wp:cNvGraphicFramePr/>
                <a:graphic xmlns:a="http://schemas.openxmlformats.org/drawingml/2006/main">
                  <a:graphicData uri="http://schemas.openxmlformats.org/drawingml/2006/picture">
                    <pic:pic xmlns:pic="http://schemas.openxmlformats.org/drawingml/2006/picture">
                      <pic:nvPicPr>
                        <pic:cNvPr id="32" name="图片 32"/>
                        <pic:cNvPicPr/>
                        <pic:nvPr/>
                      </pic:nvPicPr>
                      <pic:blipFill>
                        <a:blip r:embed="rId21"/>
                        <a:stretch/>
                      </pic:blipFill>
                      <pic:spPr bwMode="auto">
                        <a:xfrm>
                          <a:off x="0" y="0"/>
                          <a:ext cx="6028690" cy="4258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4.7pt;height:335.3pt;mso-wrap-distance-left:0.0pt;mso-wrap-distance-top:0.0pt;mso-wrap-distance-right:0.0pt;mso-wrap-distance-bottom:0.0pt;" stroked="f">
                <v:path textboxrect="0,0,0,0"/>
                <v:imagedata r:id="rId21"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96610" cy="2981325"/>
                <wp:effectExtent l="0" t="0" r="8890" b="9525"/>
                <wp:docPr id="10"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r/>
                      </pic:nvPicPr>
                      <pic:blipFill>
                        <a:blip r:embed="rId22"/>
                        <a:srcRect l="0" t="15685" r="0" b="12772"/>
                        <a:stretch/>
                      </pic:blipFill>
                      <pic:spPr bwMode="auto">
                        <a:xfrm>
                          <a:off x="0" y="0"/>
                          <a:ext cx="5896610"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64.3pt;height:234.8pt;mso-wrap-distance-left:0.0pt;mso-wrap-distance-top:0.0pt;mso-wrap-distance-right:0.0pt;mso-wrap-distance-bottom:0.0pt;" stroked="f">
                <v:path textboxrect="0,0,0,0"/>
                <v:imagedata r:id="rId22"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19140" cy="4116070"/>
                <wp:effectExtent l="0" t="0" r="10160" b="17780"/>
                <wp:docPr id="11" name="图片 34"/>
                <wp:cNvGraphicFramePr/>
                <a:graphic xmlns:a="http://schemas.openxmlformats.org/drawingml/2006/main">
                  <a:graphicData uri="http://schemas.openxmlformats.org/drawingml/2006/picture">
                    <pic:pic xmlns:pic="http://schemas.openxmlformats.org/drawingml/2006/picture">
                      <pic:nvPicPr>
                        <pic:cNvPr id="34" name="图片 34"/>
                        <pic:cNvPicPr/>
                        <pic:nvPr/>
                      </pic:nvPicPr>
                      <pic:blipFill>
                        <a:blip r:embed="rId23"/>
                        <a:srcRect l="21" t="0" r="21" b="0"/>
                        <a:stretch/>
                      </pic:blipFill>
                      <pic:spPr bwMode="auto">
                        <a:xfrm>
                          <a:off x="0" y="0"/>
                          <a:ext cx="5819140" cy="411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8.2pt;height:324.1pt;mso-wrap-distance-left:0.0pt;mso-wrap-distance-top:0.0pt;mso-wrap-distance-right:0.0pt;mso-wrap-distance-bottom:0.0pt;" stroked="f">
                <v:path textboxrect="0,0,0,0"/>
                <v:imagedata r:id="rId23"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备注：</w:t>
      </w:r>
      <w:r/>
    </w:p>
    <w:p>
      <w:pPr>
        <w:ind w:firstLine="480"/>
        <w:jc w:val="both"/>
        <w:widowControl w:val="off"/>
        <w:rPr>
          <w:rFonts w:ascii="Times New Roman" w:hAnsi="Times New Roman" w:eastAsia="宋体" w:cs="Times New Roman"/>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ascii="宋体" w:hAnsi="宋体" w:eastAsia="宋体" w:cs="宋体"/>
          <w:color w:val="000000" w:themeColor="text1"/>
          <w:sz w:val="24"/>
          <w:szCs w:val="21"/>
          <w:highlight w:val="none"/>
          <w:lang w:val="en-US" w:eastAsia="zh-CN" w:bidi="ar-SA"/>
          <w14:textFill>
            <w14:solidFill>
              <w14:schemeClr w14:val="tx1"/>
            </w14:solidFill>
          </w14:textFill>
        </w:rPr>
        <w:t xml:space="preserve">家具颜色：中标单位在中标后提供色板给甲方，按甲方选定的颜色生产。</w:t>
      </w:r>
      <w:r/>
    </w:p>
    <w:p>
      <w:pPr>
        <w:ind w:firstLine="480"/>
        <w:jc w:val="left"/>
        <w:spacing w:line="431"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ascii="宋体" w:hAnsi="宋体" w:eastAsia="宋体" w:cs="宋体"/>
          <w:color w:val="000000" w:themeColor="text1"/>
          <w:sz w:val="24"/>
          <w:highlight w:val="none"/>
          <w14:textFill>
            <w14:solidFill>
              <w14:schemeClr w14:val="tx1"/>
            </w14:solidFill>
          </w14:textFill>
        </w:rPr>
        <w:t xml:space="preserve">.中标单位在中标后自行复核现场实际尺寸及家具方向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确保家具能够正常安装</w:t>
      </w:r>
      <w:r>
        <w:rPr>
          <w:rFonts w:ascii="宋体" w:hAnsi="宋体" w:eastAsia="宋体" w:cs="宋体"/>
          <w:color w:val="000000" w:themeColor="text1"/>
          <w:sz w:val="24"/>
          <w:highlight w:val="none"/>
          <w14:textFill>
            <w14:solidFill>
              <w14:schemeClr w14:val="tx1"/>
            </w14:solidFill>
          </w14:textFill>
        </w:rPr>
        <w:t xml:space="preserve">。</w:t>
      </w:r>
      <w:r/>
    </w:p>
    <w:p>
      <w:pPr>
        <w:numPr>
          <w:ilvl w:val="0"/>
          <w:numId w:val="0"/>
        </w:numPr>
        <w:spacing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3.2技术参数要求：</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（一）</w:t>
      </w:r>
      <w:bookmarkStart w:id="185" w:name="OLE_LINK167"/>
      <w:r>
        <w:rPr>
          <w:rFonts w:hint="eastAsia" w:ascii="Times New Roman" w:hAnsi="Times New Roman"/>
          <w:color w:val="000000" w:themeColor="text1"/>
          <w:sz w:val="24"/>
          <w:szCs w:val="21"/>
          <w:highlight w:val="none"/>
          <w14:textFill>
            <w14:solidFill>
              <w14:schemeClr w14:val="tx1"/>
            </w14:solidFill>
          </w14:textFill>
        </w:rPr>
        <w:t xml:space="preserve">上床下柜（桌）组合家具</w:t>
      </w:r>
      <w:bookmarkEnd w:id="185"/>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1、尺寸：W2010*D930*H3050mm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Calibri" w:hAnsi="Calibri"/>
          <w:bCs/>
          <w:color w:val="000000" w:themeColor="text1"/>
          <w:sz w:val="24"/>
          <w:szCs w:val="24"/>
          <w:highlight w:val="none"/>
          <w:lang w:val="en-US" w:bidi="ar-SA"/>
          <w14:textFill>
            <w14:solidFill>
              <w14:schemeClr w14:val="tx1"/>
            </w14:solidFill>
          </w14:textFill>
        </w:rPr>
        <w:t xml:space="preserve">尺寸</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5%偏差）</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2、钢材：经环氧聚酯塑粉静电喷塑处理。</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立柱：采用优质冷轧钢板经特制成型线轧制而成，其立面为中空异形闭口型材，立柱正面为圆弧形设计，起到防撞作用，外侧设有安全斜边,内侧直角设计，避免组合柜与床立柱之间的缝隙，立面成型后尺寸规格≥72mm*72mm，材料厚度为≥1.5mm。</w:t>
      </w:r>
      <w:r/>
    </w:p>
    <w:p>
      <w:pPr>
        <w:ind w:firstLine="482"/>
        <w:jc w:val="both"/>
        <w:keepLines w:val="0"/>
        <w:keepNext w:val="0"/>
        <w:pageBreakBefore w:val="0"/>
        <w:spacing w:line="460" w:lineRule="exact"/>
        <w:widowControl w:val="off"/>
        <w:rPr>
          <w:rFonts w:hint="default" w:ascii="宋体" w:hAnsi="宋体" w:cs="宋体"/>
          <w:color w:val="000000" w:themeColor="text1"/>
          <w:sz w:val="24"/>
          <w:szCs w:val="21"/>
          <w:highlight w:val="none"/>
          <w:lang w:val="en-US"/>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4、▲立柱喷塑涂层硬度为</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5H</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★前床厅及后床厅：采用优质冷轧钢板经特制成型线轧制而成，其立面尺寸规格≥80mm*30mm矩形管,材料厚度为≥1.5mm</w:t>
      </w:r>
      <w:r>
        <w:rPr>
          <w:rFonts w:hint="default" w:ascii="宋体" w:hAnsi="宋体" w:cs="Times New Roman"/>
          <w:b/>
          <w:bCs/>
          <w:i/>
          <w:color w:val="000000" w:themeColor="text1"/>
          <w:sz w:val="24"/>
          <w:szCs w:val="21"/>
          <w:highlight w:val="none"/>
          <w:u w:val="single"/>
          <w:lang w:eastAsia="zh-CN" w:bidi="ar-SA"/>
          <w14:textFill>
            <w14:solidFill>
              <w14:schemeClr w14:val="tx1"/>
            </w14:solidFill>
          </w14:textFill>
        </w:rPr>
        <w:t xml:space="preserve">，</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后床厅管材规格≥80mm*30mm矩形管,材料厚度≥1.5mm</w:t>
      </w:r>
      <w:r>
        <w:rPr>
          <w:rFonts w:hint="default" w:ascii="宋体" w:hAnsi="宋体" w:cs="Times New Roman"/>
          <w:b/>
          <w:bCs/>
          <w:i/>
          <w:color w:val="000000" w:themeColor="text1"/>
          <w:sz w:val="24"/>
          <w:szCs w:val="21"/>
          <w:highlight w:val="none"/>
          <w:u w:val="single"/>
          <w:lang w:eastAsia="zh-CN" w:bidi="ar-SA"/>
          <w14:textFill>
            <w14:solidFill>
              <w14:schemeClr w14:val="tx1"/>
            </w14:solidFill>
          </w14:textFill>
        </w:rPr>
        <w:t xml:space="preserve">，</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侧床厅管材规格≥80mm*30mm矩形管,材料厚度≥1.5mm，左右两侧与立柱连接，床厅与立柱采取隐藏式卡扣连接，带锁死功能，更加美观牢固。</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6、▲塑粉涂层和覆面层中</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可迁移有害元素</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，金属喷漆（塑）涂层附着力不低于1级。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7、床前护栏:采用钢、铝、塑、木材料,方管规格≥25*25*1.5mm，护栏高度为450mm嵌入一块18mm厚E0级三聚氰胺饰面实木多层板, 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前护栏带推拉窗，推拉窗整体格:≥700*300*40mm，观察窗带隐藏式储物功能,不占用床铺空间,方便存放手机、眼镜、书本等随身携带物品,外形采用跑道圆设计，圆弧部分ABS材质注塑工艺成型，滑道采用铝型材，确保稳固安全，观察窗透明全封闭,同时具备推拉开启关闭功能，保护使用者的隐私。</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、床后护栏:采钢木结构,方管≥25*25*1.5mm,护栏高度为450mm+蚊帐杆链接高度720mm嵌入一块18mm厚E0级三聚氰胺饰面实木多层板, 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等级不低于B1级,具有良好的抗变形性能,后护栏内嵌隐藏式水杯架。</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、床头护栏:采用钢木结构,管材规格≥20*20*1.5mm方管,护栏高度为450mm,嵌入一块18mm厚E0级三聚氰胺饰面实木多层板，多层板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等级不低于B1级,具有良好的抗变形性能，护栏整体与立柱连接。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、床尾护栏:采用钢木结构,方管≥20*20*1.5mm,圆弧设计,护栏中间设一根横杆,整体与立柱连接,嵌入一块18mm厚E0级三聚氰胺饰面实木多层板，多层板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、床换:采用规格≥20*30*1.5mm矩形管，矩形管自带锁定槽与床厅稳固连接，每张床配置数量不少于5根。</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、蚊帐架采用规格≥φ19*1.5mm 圆管制作尺寸≥1870*910mm，与后护栏接。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、铺板:采用双面刨光杉木床板，含水率≤12%，经干燥、防虫处理，宽度≥70mm，厚度≥18mm，每两根木条的距离间隙≤10mm，每块床板需要有≥4根（≥40×20mm）实木方料做横档加固,板条与横档之间</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用不锈钢螺丝固定连接。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、床下书桌:桌面采用≥25mm厚E0级三聚氰胺饰面板,前口鸭嘴边设计，其余三边圆弧角设计，整体采用PVC吸塑工艺；桌架和书架板材采用≥18mm厚E0级三聚氰胺饰面实木多层板，多层板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等级不低于B1级，具有良好的抗变形性能，同色 PVC 封边，封边条厚度不低于2mm，桌子上方为书架，桌背板与中架侧板共用，桌下设有双抽屉，抽屉门板(尺寸:400±2mm*170±2mm)采用≥18mm厚E0级三聚氰胺饰面实木多层板，多层板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等级不低于B1级，抽屉门板采用铝合金暗扣拉手,四周边缘采用PP环保塑料注塑封边；配备高强度、耐磨损、耐腐蚀等特性导轨，五金配件表面处理具有美观性和保护性；底部防潮架采用规格≥20*20*1.5mm方管制作。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、床下衣柜:设有两个门，一个门开向朝走道，内部设一块层板，层板下方配≥φ22*1.2mm铝合金挂衣杆，另一个门开向朝书桌，内部设置两块层板，底部防潮架采用≥20*20*1.5mm方管制作。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、衣柜小门板尺寸(1505±2mm*350±2mm)门板均采</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用≥18mm厚E0级环保三聚氰胺饰面实木多层板，多层板,燃烧性能等级不低于B1级,具有良好的抗变形性能，四周边缘采用PP环保塑料注塑封边,门板铰链固定孔采用一次成型注塑成型，衣柜门板采用铝合金暗扣拉手和</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、衣柜大门板(尺寸:1505±2mm *560±2mm)门板均采用≥18mm厚E0级环保三聚氰胺饰面实木多层板，多层板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、▲公寓床形状和位置公差合格，外观性能要求中金属件、木制件、塑料件检测结果合格，木制件表面装饰层(软硬质覆面层)耐干热和耐湿热不低于4级，</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单层床</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强度和耐久性合格</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（二）步梯</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1、尺寸：560*920*1418mm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Calibri" w:hAnsi="Calibri"/>
          <w:bCs/>
          <w:color w:val="000000" w:themeColor="text1"/>
          <w:sz w:val="24"/>
          <w:szCs w:val="24"/>
          <w:highlight w:val="none"/>
          <w:lang w:val="en-US" w:bidi="ar-SA"/>
          <w14:textFill>
            <w14:solidFill>
              <w14:schemeClr w14:val="tx1"/>
            </w14:solidFill>
          </w14:textFill>
        </w:rPr>
        <w:t xml:space="preserve">允许</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5%偏差）</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Times New Roman"/>
          <w:b/>
          <w:bCs/>
          <w:i/>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★步梯柜体：采用钢木结构，主体受力结构为钢制喷涂框架，管材规格≥20mm*20mm*1.5mm。</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3、步梯柜板材采用≥18mm厚E0级三聚氰胺饰面实木多层板制作，多层板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等级不低于B1级,具有良好的抗变形性能，每级踏板前端配有铝合金防护条，前端防护条内嵌PVC夜光耐磨防滑条，提升夜间起居安全性。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4、抽屉门由下往上开启,正面设有四层储物抽屉，门板均采用≥18mm厚E0级环保三聚氰胺饰面实木多层板，多层板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等级不低于B1级,具有良好的抗变形性能，四周边缘采用PP环保塑料注塑封边，柜门板采用铝合金暗扣拉手，楼梯扶手采用规格≥Φ25*1.5mm圆管与立柱通过螺丝连接。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三</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）学生椅</w:t>
      </w:r>
      <w:r/>
    </w:p>
    <w:p>
      <w:pPr>
        <w:ind w:firstLine="482"/>
        <w:jc w:val="both"/>
        <w:keepLines w:val="0"/>
        <w:keepNext w:val="0"/>
        <w:pageBreakBefore w:val="0"/>
        <w:spacing w:line="460" w:lineRule="exact"/>
        <w:widowControl w:val="off"/>
        <w:rPr>
          <w:rFonts w:hint="default"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1、尺寸：≥450*500*850mm</w:t>
      </w:r>
      <w:r>
        <w:rPr>
          <w:rFonts w:hint="default" w:ascii="宋体" w:hAnsi="宋体" w:cs="宋体"/>
          <w:color w:val="000000" w:themeColor="text1"/>
          <w:sz w:val="24"/>
          <w:szCs w:val="21"/>
          <w:highlight w:val="none"/>
          <w:lang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2、椅座：采用聚丙烯加玻璃纤维全新材料模具一体成型制作，厚度≥8mm。座面安装高度≥440mm，座宽≥450mm，座深≥500mm，深装饰沟槽面</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背面配PP材质弧形螺丝闷盖。</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3、椅背：采用聚丙烯加玻璃纤维全新材料模具一体成型制作厚度≥6mm，座椅总高度≥850mm，背宽≥410mm，背高≥410mm；防滑面设有多根筋位。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★椅脚：采用优质圆管≥φ19mm*2.0mm厚；各金属件进行打磨、去油、酸洗、磷化、清洗、防锈等工艺处理后，通过粉末喷涂设备进行静电喷塑，防锈防腐蚀；地脚配有4个优质PP材质脚垫。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 塑料件外观应无裂纹、明显变形、缩水、针孔；应无凹陷、飞边、杂质、伤痕、白印；表面应光洁，应无划痕、毛刺、拉毛、污渍；应无明显色差。</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特别说明：</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钢制部分材质要求：床框架采用公寓床隐藏式卡扣件连接，所有钢材均采用国家标准钢，未喷涂前厚度≥1.5mm，各钢件经除油、防锈等工序处理，外层采用聚脂环氧粉末喷塑，具有长时间使用不生锈、不掉漆的特性；所有焊接部位要求满焊，表面波纹均匀，焊接处无夹渣、气孔、焊瘤、焊丝头咬边飞溅，无脱焊、虚焊及焊穿等现象。</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2、木质部分材质要求：本次招标范围内所有板材（包括但不限于桌面板、柜门板、侧板、层板、背板、底板、顶板）采用≥18mm厚E0级三聚氰胺饰面实木多层板，多层板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等级不低于B1级，其中桌面板厚度≥25mm。</w:t>
      </w:r>
      <w:r/>
    </w:p>
    <w:p>
      <w:pPr>
        <w:ind w:firstLine="480"/>
        <w:spacing w:line="400" w:lineRule="exact"/>
        <w:rPr>
          <w:rFonts w:hint="default"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Times New Roman" w:hAnsi="Times New Roman"/>
          <w:color w:val="000000" w:themeColor="text1"/>
          <w:sz w:val="24"/>
          <w:szCs w:val="21"/>
          <w:highlight w:val="none"/>
          <w14:textFill>
            <w14:solidFill>
              <w14:schemeClr w14:val="tx1"/>
            </w14:solidFill>
          </w14:textFill>
        </w:rPr>
        <w:t xml:space="preserve">技术参数要求未提及的</w:t>
      </w:r>
      <w:r>
        <w:rPr>
          <w:rFonts w:ascii="Times New Roman" w:hAnsi="Times New Roman"/>
          <w:color w:val="000000" w:themeColor="text1"/>
          <w:sz w:val="24"/>
          <w:szCs w:val="21"/>
          <w:highlight w:val="none"/>
          <w14:textFill>
            <w14:solidFill>
              <w14:schemeClr w14:val="tx1"/>
            </w14:solidFill>
          </w14:textFill>
        </w:rPr>
        <w:t xml:space="preserve">，按照国家强制性标准履行</w:t>
      </w:r>
      <w:r>
        <w:rPr>
          <w:rFonts w:hint="eastAsia" w:ascii="Times New Roman" w:hAnsi="Times New Roman"/>
          <w:color w:val="000000" w:themeColor="text1"/>
          <w:sz w:val="24"/>
          <w:szCs w:val="21"/>
          <w:highlight w:val="none"/>
          <w14:textFill>
            <w14:solidFill>
              <w14:schemeClr w14:val="tx1"/>
            </w14:solidFill>
          </w14:textFill>
        </w:rPr>
        <w:t xml:space="preserve">。</w:t>
      </w:r>
      <w:r/>
    </w:p>
    <w:p>
      <w:pPr>
        <w:ind w:firstLine="482"/>
        <w:jc w:val="left"/>
        <w:spacing w:line="50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四、检测报告要求：</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4.1</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投标人需提供所投产品成品检验合格报告:报告由具备CMA资质认定的检测机构出具签发日期距投标截止之日不超过</w:t>
      </w:r>
      <w:r>
        <w:rPr>
          <w:rFonts w:hint="eastAsia"/>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jc w:val="left"/>
        <w:spacing w:line="560" w:lineRule="exact"/>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公寓床，检验项目</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包含：外观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（焊接件、喷漆(塑)涂层 、塑料件）、结构安全、金属喷漆（塑）涂层理化性能要求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单层床强度和耐久性、甲醛释放量、TVOC、苯并[a]芘）。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2.床下</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衣柜和床下书桌</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包含：外观要求（</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软硬质覆面人造板</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、五金件、塑料件）、</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木制件表面理化性能</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、金属拉手耐腐蚀性要求中检测时间不少于200小时、柜架类强度和耐久性、柜</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架</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类稳定性、结构安全性、甲醛释放量、TVOC、苯并[a]芘</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p>
    <w:p>
      <w:pPr>
        <w:ind w:firstLine="480"/>
        <w:jc w:val="left"/>
        <w:spacing w:line="560" w:lineRule="exact"/>
        <w:widowControl/>
        <w:rPr>
          <w:rFonts w:hint="default" w:ascii="Times New Roman" w:hAnsi="Times New Roman" w:eastAsia="宋体"/>
          <w:color w:val="000000" w:themeColor="text1"/>
          <w:sz w:val="24"/>
          <w:szCs w:val="32"/>
          <w:highlight w:val="none"/>
          <w:lang w:val="en-US"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3.学生椅</w:t>
      </w:r>
      <w:r>
        <w:rPr>
          <w:rFonts w:hint="eastAsia" w:ascii="Times New Roman" w:hAnsi="Times New Roman"/>
          <w:color w:val="000000" w:themeColor="text1"/>
          <w:sz w:val="24"/>
          <w:szCs w:val="32"/>
          <w:highlight w:val="none"/>
          <w14:textFill>
            <w14:solidFill>
              <w14:schemeClr w14:val="tx1"/>
            </w14:solidFill>
          </w14:textFill>
        </w:rPr>
        <w:t xml:space="preserve">，</w:t>
      </w:r>
      <w:bookmarkStart w:id="186" w:name="OLE_LINK84"/>
      <w:r>
        <w:rPr>
          <w:rFonts w:ascii="Times New Roman" w:hAnsi="Times New Roman"/>
          <w:color w:val="000000" w:themeColor="text1"/>
          <w:sz w:val="24"/>
          <w:szCs w:val="21"/>
          <w:highlight w:val="none"/>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ascii="Times New Roman" w:hAnsi="Times New Roman"/>
          <w:color w:val="000000" w:themeColor="text1"/>
          <w:sz w:val="24"/>
          <w:szCs w:val="21"/>
          <w:highlight w:val="none"/>
          <w14:textFill>
            <w14:solidFill>
              <w14:schemeClr w14:val="tx1"/>
            </w14:solidFill>
          </w14:textFill>
        </w:rPr>
        <w:t xml:space="preserve">包含</w:t>
      </w:r>
      <w:r>
        <w:rPr>
          <w:rFonts w:hint="eastAsia" w:ascii="Times New Roman" w:hAnsi="Times New Roman"/>
          <w:color w:val="000000" w:themeColor="text1"/>
          <w:sz w:val="24"/>
          <w:szCs w:val="21"/>
          <w:highlight w:val="none"/>
          <w14:textFill>
            <w14:solidFill>
              <w14:schemeClr w14:val="tx1"/>
            </w14:solidFill>
          </w14:textFill>
        </w:rPr>
        <w:t xml:space="preserve">：</w:t>
      </w:r>
      <w:bookmarkEnd w:id="186"/>
      <w:r>
        <w:rPr>
          <w:rFonts w:ascii="Times New Roman" w:hAnsi="Times New Roman"/>
          <w:color w:val="000000" w:themeColor="text1"/>
          <w:sz w:val="24"/>
          <w:szCs w:val="32"/>
          <w:highlight w:val="none"/>
          <w14:textFill>
            <w14:solidFill>
              <w14:schemeClr w14:val="tx1"/>
            </w14:solidFill>
          </w14:textFill>
        </w:rPr>
        <w:t xml:space="preserve">阻燃性≥2级，抑菌率≥99%，产烟毒性危险分级≤ZA1级）。</w:t>
      </w:r>
      <w:r/>
    </w:p>
    <w:p>
      <w:pPr>
        <w:ind w:firstLine="480"/>
        <w:jc w:val="left"/>
        <w:spacing w:line="400" w:lineRule="exact"/>
        <w:widowControl/>
        <w:rPr>
          <w:rFonts w:hint="eastAsia" w:ascii="Times New Roman" w:hAnsi="Times New Roman"/>
          <w:color w:val="000000" w:themeColor="text1"/>
          <w:sz w:val="24"/>
          <w:szCs w:val="32"/>
          <w:highlight w:val="none"/>
          <w14:textFill>
            <w14:solidFill>
              <w14:schemeClr w14:val="tx1"/>
            </w14:solidFill>
          </w14:textFill>
        </w:rPr>
      </w:pPr>
      <w:r/>
      <w:bookmarkStart w:id="187" w:name="OLE_LINK89"/>
      <w:r>
        <w:rPr>
          <w:rFonts w:hint="eastAsia" w:ascii="Times New Roman" w:hAnsi="Times New Roman"/>
          <w:color w:val="000000" w:themeColor="text1"/>
          <w:sz w:val="24"/>
          <w:szCs w:val="32"/>
          <w:highlight w:val="none"/>
          <w14:textFill>
            <w14:solidFill>
              <w14:schemeClr w14:val="tx1"/>
            </w14:solidFill>
          </w14:textFill>
        </w:rPr>
        <w:t xml:space="preserve">注：</w:t>
      </w:r>
      <w:r>
        <w:rPr>
          <w:rFonts w:hint="eastAsia"/>
          <w:color w:val="000000" w:themeColor="text1"/>
          <w:sz w:val="24"/>
          <w:szCs w:val="32"/>
          <w:highlight w:val="none"/>
          <w:lang w:val="en-US" w:eastAsia="zh-CN"/>
          <w14:textFill>
            <w14:solidFill>
              <w14:schemeClr w14:val="tx1"/>
            </w14:solidFill>
          </w14:textFill>
        </w:rPr>
        <w:t xml:space="preserve">1、</w:t>
      </w:r>
      <w:r>
        <w:rPr>
          <w:rFonts w:hint="eastAsia" w:ascii="Times New Roman" w:hAnsi="Times New Roman"/>
          <w:color w:val="000000" w:themeColor="text1"/>
          <w:sz w:val="24"/>
          <w:szCs w:val="32"/>
          <w:highlight w:val="none"/>
          <w14:textFill>
            <w14:solidFill>
              <w14:schemeClr w14:val="tx1"/>
            </w14:solidFill>
          </w14:textFill>
        </w:rPr>
        <w:t xml:space="preserve">以上检测项目可在同一份或多份CMA报告中体现，但须完整覆盖。</w:t>
      </w:r>
      <w:bookmarkEnd w:id="187"/>
      <w:r/>
      <w:r/>
    </w:p>
    <w:p>
      <w:pPr>
        <w:ind w:firstLine="480"/>
        <w:jc w:val="left"/>
        <w:spacing w:line="400" w:lineRule="exact"/>
        <w:widowControl/>
        <w:rPr>
          <w:rFonts w:hint="eastAsia" w:ascii="Times New Roman" w:hAnsi="Times New Roman"/>
          <w:color w:val="000000" w:themeColor="text1"/>
          <w:sz w:val="24"/>
          <w:szCs w:val="32"/>
          <w:highlight w:val="none"/>
          <w14:textFill>
            <w14:solidFill>
              <w14:schemeClr w14:val="tx1"/>
            </w14:solidFill>
          </w14:textFill>
        </w:rPr>
      </w:pPr>
      <w:r>
        <w:rPr>
          <w:rFonts w:hint="eastAsia" w:ascii="宋体" w:hAnsi="宋体"/>
          <w:color w:val="000000" w:themeColor="text1"/>
          <w:sz w:val="24"/>
          <w:szCs w:val="32"/>
          <w:highlight w:val="none"/>
          <w:lang w:val="en-US" w:eastAsia="zh-CN"/>
          <w14:textFill>
            <w14:solidFill>
              <w14:schemeClr w14:val="tx1"/>
            </w14:solidFill>
          </w14:textFill>
        </w:rPr>
        <w:t xml:space="preserve">2、</w:t>
      </w:r>
      <w:r>
        <w:rPr>
          <w:rFonts w:hint="eastAsia" w:ascii="宋体" w:hAnsi="宋体"/>
          <w:color w:val="000000" w:themeColor="text1"/>
          <w:sz w:val="24"/>
          <w:szCs w:val="32"/>
          <w:highlight w:val="none"/>
          <w14:textFill>
            <w14:solidFill>
              <w14:schemeClr w14:val="tx1"/>
            </w14:solidFill>
          </w14:textFill>
        </w:rPr>
        <w:t xml:space="preserve">在项目履约及验收阶段，所有检测标准均依据国家级行业现行有效标准。</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lang w:eastAsia="zh-CN"/>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4.2 </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w:t>
      </w:r>
      <w:r>
        <w:rPr>
          <w:rFonts w:hint="eastAsia"/>
          <w:b/>
          <w:bCs/>
          <w:color w:val="000000" w:themeColor="text1"/>
          <w:sz w:val="24"/>
          <w:szCs w:val="32"/>
          <w:highlight w:val="none"/>
          <w:lang w:val="en-US" w:eastAsia="zh-CN"/>
          <w14:textFill>
            <w14:solidFill>
              <w14:schemeClr w14:val="tx1"/>
            </w14:solidFill>
          </w14:textFill>
        </w:rPr>
        <w:t xml:space="preserve">原材料</w:t>
      </w:r>
      <w:r>
        <w:rPr>
          <w:rFonts w:hint="eastAsia" w:ascii="Times New Roman" w:hAnsi="Times New Roman"/>
          <w:b/>
          <w:bCs/>
          <w:color w:val="000000" w:themeColor="text1"/>
          <w:sz w:val="24"/>
          <w:szCs w:val="32"/>
          <w:highlight w:val="none"/>
          <w14:textFill>
            <w14:solidFill>
              <w14:schemeClr w14:val="tx1"/>
            </w14:solidFill>
          </w14:textFill>
        </w:rPr>
        <w:t xml:space="preserve">检验合格报告:报告由具备CMA资质认定的检测机构出具签发日期距投标截止之日不超过</w:t>
      </w:r>
      <w:r>
        <w:rPr>
          <w:rFonts w:hint="eastAsia"/>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1.多层实木板，检测项目需要包含：甲醛释放量≤0.050mg/m³；苯、甲苯、二甲苯释放量符合要求；TVOC≤0.05mg/m³,燃烧性能等级不低于B1级。</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2.封边条，</w:t>
      </w:r>
      <w:bookmarkStart w:id="188" w:name="OLE_LINK35"/>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检验项目需要包含</w:t>
      </w:r>
      <w:bookmarkEnd w:id="188"/>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：抗菌性能：抗菌率≥99%，甲醛释放量、可迁移元素(可溶性重金属)邻苯二甲酸酯：未检出，耐磨性：磨40r后，应无露底现象；耐干热性≥四级【70℃】;  耐光色牢度(灰色样卡)≥4级。</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3.钢管，</w:t>
      </w:r>
      <w:bookmarkStart w:id="189" w:name="OLE_LINK38"/>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检验项目需要包含：</w:t>
      </w:r>
      <w:bookmarkEnd w:id="189"/>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3.1.外观性能金属件喷漆(塑)涂层：应无漏喷、锈蚀、脱色、掉色等；应光滑均匀，色泽一致，应无流挂、疙瘩、皱皮、飞漆等。3.2.金属喷漆(塑)涂层硬度≥5H,附着力达到不低于1级，冲击强度、耐盐浴:划道两侧3mm外，应无鼓泡、锈蚀、剥落和起皱等现象。3.中性盐雾试验、乙酸盐雾试验、铜加速乙酸盐雾试验、铜加速乙酸盐雾试验连续喷雾≥200h,镀层本身的耐腐蚀等级和镀层对基体的保护等级≥10级；4.产品有害物质8项元素均未检出。</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4.铰链（阻尼门铰），检验项目需要包含：中性盐雾试验（200h）≥10级，耐久性：10万次，操作力：在耐久性试验前后，打开力和关闭力不应大于20N,下沉量≤1mm。</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5.导轨，检验项目需要包含：中性盐雾试验（200h）≥10级、耐久性：10万次。</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6.PP塑料，检验项目需要包含：防霉菌性能、硬度符合要求 。</w:t>
      </w:r>
      <w:r/>
    </w:p>
    <w:p>
      <w:pPr>
        <w:ind w:firstLine="480"/>
        <w:spacing w:line="360" w:lineRule="auto"/>
        <w:widowControl/>
        <w:rPr>
          <w:rFonts w:hint="eastAsia" w:ascii="Times New Roman" w:hAnsi="Times New Roman"/>
          <w:color w:val="000000" w:themeColor="text1"/>
          <w:sz w:val="24"/>
          <w:szCs w:val="32"/>
          <w:highlight w:val="none"/>
          <w14:textFill>
            <w14:solidFill>
              <w14:schemeClr w14:val="tx1"/>
            </w14:solidFill>
          </w14:textFill>
        </w:rPr>
      </w:pPr>
      <w:r>
        <w:rPr>
          <w:rFonts w:hint="eastAsia" w:ascii="Times New Roman" w:hAnsi="Times New Roman"/>
          <w:color w:val="000000" w:themeColor="text1"/>
          <w:sz w:val="24"/>
          <w:szCs w:val="32"/>
          <w:highlight w:val="none"/>
          <w14:textFill>
            <w14:solidFill>
              <w14:schemeClr w14:val="tx1"/>
            </w14:solidFill>
          </w14:textFill>
        </w:rPr>
        <w:t xml:space="preserve">注：</w:t>
      </w:r>
      <w:r>
        <w:rPr>
          <w:rFonts w:hint="eastAsia"/>
          <w:color w:val="000000" w:themeColor="text1"/>
          <w:sz w:val="24"/>
          <w:szCs w:val="32"/>
          <w:highlight w:val="none"/>
          <w:lang w:val="en-US" w:eastAsia="zh-CN"/>
          <w14:textFill>
            <w14:solidFill>
              <w14:schemeClr w14:val="tx1"/>
            </w14:solidFill>
          </w14:textFill>
        </w:rPr>
        <w:t xml:space="preserve">1、</w:t>
      </w:r>
      <w:r>
        <w:rPr>
          <w:rFonts w:hint="eastAsia" w:ascii="Times New Roman" w:hAnsi="Times New Roman"/>
          <w:color w:val="000000" w:themeColor="text1"/>
          <w:sz w:val="24"/>
          <w:szCs w:val="32"/>
          <w:highlight w:val="none"/>
          <w14:textFill>
            <w14:solidFill>
              <w14:schemeClr w14:val="tx1"/>
            </w14:solidFill>
          </w14:textFill>
        </w:rPr>
        <w:t xml:space="preserve">以上检测项目可在同一份或多份CMA报告中体现，但须完整覆盖。</w:t>
      </w:r>
      <w:r/>
    </w:p>
    <w:p>
      <w:pPr>
        <w:numPr>
          <w:ilvl w:val="0"/>
          <w:numId w:val="15"/>
        </w:numPr>
        <w:ind w:firstLine="480"/>
        <w:spacing w:line="360" w:lineRule="auto"/>
        <w:widowControl/>
        <w:rPr>
          <w:rFonts w:hint="eastAsia" w:ascii="宋体" w:hAnsi="宋体"/>
          <w:color w:val="000000" w:themeColor="text1"/>
          <w:sz w:val="24"/>
          <w:szCs w:val="32"/>
          <w:highlight w:val="none"/>
          <w14:textFill>
            <w14:solidFill>
              <w14:schemeClr w14:val="tx1"/>
            </w14:solidFill>
          </w14:textFill>
        </w:rPr>
      </w:pPr>
      <w:r>
        <w:rPr>
          <w:rFonts w:hint="eastAsia" w:ascii="宋体" w:hAnsi="宋体"/>
          <w:color w:val="000000" w:themeColor="text1"/>
          <w:sz w:val="24"/>
          <w:szCs w:val="32"/>
          <w:highlight w:val="none"/>
          <w14:textFill>
            <w14:solidFill>
              <w14:schemeClr w14:val="tx1"/>
            </w14:solidFill>
          </w14:textFill>
        </w:rPr>
        <w:t xml:space="preserve">在项目履约及验收阶段，所有检测标准均依据国家级行业现行有效标准。</w:t>
      </w:r>
      <w:r/>
    </w:p>
    <w:p>
      <w:pPr>
        <w:numPr>
          <w:ilvl w:val="0"/>
          <w:numId w:val="0"/>
        </w:numPr>
        <w:ind w:left="420"/>
        <w:jc w:val="left"/>
        <w:spacing w:line="500" w:lineRule="exact"/>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五、投标样品提供</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.2投标供应商递交以下样品：</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.2.1材料样品一套：请投标供应商按照招标文件的要求提供所投产品的小样，具体如下：</w:t>
      </w:r>
      <w:r/>
    </w:p>
    <w:tbl>
      <w:tblPr>
        <w:tblStyle w:val="741"/>
        <w:tblW w:w="5300" w:type="pct"/>
        <w:jc w:val="center"/>
        <w:tblLayout w:type="fixed"/>
        <w:tblCellMar>
          <w:left w:w="108" w:type="dxa"/>
          <w:top w:w="0" w:type="dxa"/>
          <w:right w:w="108" w:type="dxa"/>
          <w:bottom w:w="0" w:type="dxa"/>
        </w:tblCellMar>
        <w:tblLook w:val="04A0" w:firstRow="1" w:lastRow="0" w:firstColumn="1" w:lastColumn="0" w:noHBand="0" w:noVBand="1"/>
      </w:tblPr>
      <w:tblGrid>
        <w:gridCol w:w="595"/>
        <w:gridCol w:w="885"/>
        <w:gridCol w:w="1718"/>
        <w:gridCol w:w="4848"/>
        <w:gridCol w:w="994"/>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样品名称</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样品尺寸</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ascii="Times New Roman" w:hAnsi="Times New Roman"/>
                <w:b/>
                <w:bCs/>
                <w:color w:val="000000" w:themeColor="text1"/>
                <w:sz w:val="24"/>
                <w:szCs w:val="24"/>
                <w:highlight w:val="none"/>
                <w14:textFill>
                  <w14:solidFill>
                    <w14:schemeClr w14:val="tx1"/>
                  </w14:solidFill>
                </w14:textFill>
              </w:rPr>
              <w:t xml:space="preserve">样品</w:t>
            </w:r>
            <w:r>
              <w:rPr>
                <w:rFonts w:hint="eastAsia" w:ascii="Times New Roman" w:hAnsi="Times New Roman"/>
                <w:b/>
                <w:bCs/>
                <w:color w:val="000000" w:themeColor="text1"/>
                <w:sz w:val="24"/>
                <w:szCs w:val="24"/>
                <w:highlight w:val="none"/>
                <w14:textFill>
                  <w14:solidFill>
                    <w14:schemeClr w14:val="tx1"/>
                  </w14:solidFill>
                </w14:textFill>
              </w:rPr>
              <w:t xml:space="preserve">材质、工艺、外观</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备注</w:t>
            </w:r>
            <w:r/>
          </w:p>
        </w:tc>
      </w:tr>
      <w:tr>
        <w:trPr>
          <w:jc w:val="center"/>
          <w:trHeight w:val="39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床前护栏</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850mm（含推拉窗，推拉窗整体格:≥700*300*40mm）</w:t>
            </w:r>
            <w:r/>
          </w:p>
          <w:p>
            <w:pPr>
              <w:jc w:val="center"/>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高度≥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450mm</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采用钢、铝、塑、木材料</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工艺：嵌入一块18mm厚的实木多层板</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前护栏带推拉窗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推拉窗整体规格：700*300*40，外形采用跑道圆设计，圆弧部分</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ABS</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材质注塑工艺一次成型，滑道采用铝型材，设一个观察窗。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无流挂、疙瘩、皱皮等缺陷，安全稳定</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不生锈、不掉漆的特性；焊接表面波纹均匀，焊接处无夹渣、气孔、焊瘤、焊丝头咬边飞溅，无脱焊、虚焊及焊穿现象。整体美观，表面涂层应光滑均匀，色泽一致</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立柱</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立面成型后尺寸规格≥72mm*72mm，壁厚≥1.5mm</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材质：钢；立柱脚采用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塑料的防滑静音内塞。</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工艺：立面为中空异形闭口型材，正面为圆弧形设计，无流挂、疙瘩、皱皮等缺陷，安全稳定。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外观：整体美观，表面涂层应光滑均匀，色泽一致。</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前/后床厅管/侧床厅矩形管</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立面尺寸≥80mm*30mm管,壁厚≥1.5mm</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整体美观，表面涂层应光滑均匀，色泽一致</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衣柜柜门</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门板尺寸：</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300mm×300mm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带铝合金暗拉手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采用≥</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18mm厚</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门板采用铝合金暗扣拉手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配置隐藏式圆柱孔门锁</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，四周边缘采用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环保塑料成型注塑封边，</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材质均匀细腻，表面平整光滑无瑕疵，结构稳定且不易变形开裂，拉手手感顺滑无毛刺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外观造型要求，整体美观，色彩搭配合理</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桌面板</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尺寸</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300mm×300mm截面厚度</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≥25mm</w:t>
            </w:r>
            <w:r/>
          </w:p>
        </w:tc>
        <w:tc>
          <w:tcPr>
            <w:tcBorders>
              <w:top w:val="single" w:color="000000" w:sz="4" w:space="0"/>
              <w:left w:val="single" w:color="000000" w:sz="4" w:space="0"/>
              <w:bottom w:val="none" w:color="000000" w:sz="4" w:space="0"/>
              <w:right w:val="single" w:color="000000" w:sz="4" w:space="0"/>
            </w:tcBorders>
            <w:tcW w:w="4848"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前口鸭嘴边设计，其余三边圆弧角设计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具有较高的强度和平整度。</w:t>
            </w:r>
            <w:r/>
          </w:p>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平整光滑、无异味，无开裂现象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none" w:color="000000" w:sz="4" w:space="0"/>
              <w:right w:val="single" w:color="000000" w:sz="4" w:space="0"/>
            </w:tcBorders>
            <w:tcW w:w="99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铰链</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工艺：手感顺滑无毛刺、无可见的变形、翘曲。</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外观：整体安全美观，耐磨损等特性。</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导轨</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工艺：轨道推拉顺滑无卡顿。</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床板</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长度300mm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br/>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宽度≥70mm，</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厚度≥18mm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双面刨光杉木床板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每两根木条的距离间隙≤10mm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每块床板需要有≥4根（≥40×20mm）实木方料做横档加固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板条与横档需要用不锈钢螺丝固定连接</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材质均匀细腻，表面平整光滑无瑕疵,具有较高的强度和平整度。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造型要求，平整光滑、无异味，无开裂现象</w:t>
            </w:r>
            <w:r>
              <w:rPr>
                <w:rFonts w:hint="eastAsia" w:ascii="Times New Roman" w:hAnsi="Times New Roman" w:eastAsia="宋体" w:cs="Times New Roman"/>
                <w:color w:val="000000" w:themeColor="text1"/>
                <w:sz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学生椅</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line="374"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190" w:name="OLE_LINK151"/>
            <w:r>
              <w:rPr>
                <w:rFonts w:ascii="Times New Roman" w:hAnsi="Times New Roman"/>
                <w:color w:val="000000" w:themeColor="text1"/>
                <w:sz w:val="24"/>
                <w:szCs w:val="24"/>
                <w:highlight w:val="none"/>
                <w14:textFill>
                  <w14:solidFill>
                    <w14:schemeClr w14:val="tx1"/>
                  </w14:solidFill>
                </w14:textFill>
              </w:rPr>
              <w:t xml:space="preserve">尺寸：≥450*500*850mm</w:t>
            </w:r>
            <w:bookmarkEnd w:id="190"/>
            <w:r>
              <w:rPr>
                <w:rFonts w:hint="eastAsia" w:ascii="Times New Roman" w:hAnsi="Times New Roman"/>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PP(聚丙烯)</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工艺及细节要求：1.椅座：</w:t>
            </w:r>
            <w:bookmarkStart w:id="191" w:name="OLE_LINK188"/>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一体成型</w:t>
            </w:r>
            <w:bookmarkEnd w:id="191"/>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厚度≥8mm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座面安装高度≥440mm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深装饰沟槽面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背面配PP材质弧形螺丝闷盖</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2.椅背：</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一体成型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厚度≥6mm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座椅总高度≥850mm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背宽≥410mm，背高≥410mm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座宽≥450mm，座深≥500mm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防滑透气面设有多根筋位，防滑透气；</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椅脚：采用圆管≥φ19mm*2.0mm厚</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地脚配有4个PP材质脚垫。</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喷塑涂层厚薄均匀、无流挂、无褶皱，结构稳定，符合人体工程学。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造型要求，整体安全美观，边口圆润光滑无毛刺，平整牢固。</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整件</w:t>
            </w:r>
            <w:r/>
          </w:p>
        </w:tc>
      </w:tr>
    </w:tbl>
    <w:p>
      <w:pPr>
        <w:ind w:firstLine="48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注:</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（1）</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样品制作标准参照采购需求中的技术参数要求制作。</w:t>
      </w:r>
      <w:r/>
    </w:p>
    <w:p>
      <w:pPr>
        <w:numPr>
          <w:ilvl w:val="0"/>
          <w:numId w:val="8"/>
        </w:numPr>
        <w:ind w:left="0" w:firstLine="420"/>
        <w:jc w:val="left"/>
        <w:spacing w:line="431" w:lineRule="exact"/>
        <w:rPr>
          <w:rFonts w:hint="eastAsia"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投标人所提供的样品与招标文件要求不符合或未提供对应样品不得分，3D打印的样品不得分。</w:t>
      </w:r>
      <w:r/>
    </w:p>
    <w:p>
      <w:pPr>
        <w:numPr>
          <w:ilvl w:val="0"/>
          <w:numId w:val="8"/>
        </w:numPr>
        <w:ind w:left="0" w:firstLine="42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bookmarkStart w:id="192" w:name="OLE_LINK168"/>
      <w:r>
        <w:rPr>
          <w:rFonts w:hint="eastAsia" w:ascii="宋体" w:hAnsi="宋体" w:cs="宋体"/>
          <w:color w:val="000000" w:themeColor="text1"/>
          <w:sz w:val="24"/>
          <w:highlight w:val="none"/>
          <w:lang w:val="en-US" w:eastAsia="zh-CN"/>
          <w14:textFill>
            <w14:solidFill>
              <w14:schemeClr w14:val="tx1"/>
            </w14:solidFill>
          </w14:textFill>
        </w:rPr>
        <w:t xml:space="preserve">采购包1、采购包2、采购包3涉及的相同样品（如：床前护栏、立柱、前/后床厅管、侧床厅矩形管、衣柜柜门、桌面板、铰链、导轨、学生椅、床板），投标人可选择整体提交一套，也可选择按采购包分别提供。</w:t>
      </w:r>
      <w:r/>
    </w:p>
    <w:p>
      <w:pPr>
        <w:numPr>
          <w:ilvl w:val="0"/>
          <w:numId w:val="0"/>
        </w:numPr>
        <w:ind w:left="42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样品提交</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（1）投标人提供的样品应为全新的产品。样品提交时间：2026年</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月   </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日</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上午10</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30-12:00、下午14:00-17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0。</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样品不显示品牌、制造商及投标单位名称信息。样品制作及运输费用由投标人自行承担，因投标人原因导致样品无法按要求送达指定地点的，责任由投标人自负。</w:t>
      </w:r>
      <w:r/>
    </w:p>
    <w:p>
      <w:pPr>
        <w:ind w:firstLine="480"/>
        <w:spacing w:line="360" w:lineRule="auto"/>
        <w:widowControl/>
        <w:rPr>
          <w:rFonts w:hint="default"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采购人接收及退还要求</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（1）样品由采购人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和采购代理机构</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负责接收，每</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种</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样品只接收一个。接收地点：宿迁市公共资源交易中心（宿迁市便民方舟2#10</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层</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或</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11</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层</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开标厅，具体房间号按现场指示牌要求执行）。联系人：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杨</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老师</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，联系方式：13218917936；李许静，联系方式：18036985612。</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样品递交截止时间后递交的样品将被拒绝接收。</w:t>
      </w:r>
      <w:r/>
    </w:p>
    <w:p>
      <w:pPr>
        <w:ind w:firstLine="480"/>
        <w:spacing w:line="360" w:lineRule="auto"/>
        <w:widowControl/>
        <w:rPr>
          <w:rFonts w:hint="eastAsia" w:ascii="宋体" w:hAnsi="宋体" w:eastAsia="宋体" w:cs="Times New Roman"/>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（2）样品的退还。未中标样品在在招标投标活动结束后由投标人自行搬运离开（费用自理）。各投标人应在接到退还通知后，48小时内将样品搬离；</w:t>
      </w:r>
      <w:bookmarkStart w:id="193" w:name="OLE_LINK169"/>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超时</w:t>
      </w:r>
      <w:bookmarkEnd w:id="193"/>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未取走的，由采购人自行处置。中标人的样品由中标人负责运送到采购人指定地点并封存，作为履约验收参考。</w:t>
      </w:r>
      <w:bookmarkEnd w:id="192"/>
      <w:r/>
      <w:r/>
    </w:p>
    <w:p>
      <w:pPr>
        <w:ind w:firstLine="480"/>
        <w:spacing w:line="360" w:lineRule="auto"/>
        <w:widowControl/>
        <w:rPr>
          <w:rFonts w:hint="default" w:ascii="宋体" w:hAnsi="宋体" w:eastAsia="宋体" w:cs="Times New Roman"/>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投标人提交、取回样品时，不得破坏或损毁其他投标人的样品，也不得对其他投标人的样品拍照、录像。</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样板间要求</w:t>
      </w:r>
      <w:r/>
    </w:p>
    <w:p>
      <w:pPr>
        <w:ind w:firstLine="480"/>
        <w:jc w:val="left"/>
        <w:spacing w:line="431" w:lineRule="exact"/>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46"/>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t xml:space="preserve">采购包2</w:t>
      </w:r>
      <w:r/>
    </w:p>
    <w:p>
      <w:pPr>
        <w:ind w:firstLine="482"/>
        <w:jc w:val="both"/>
        <w:keepLines/>
        <w:keepNext/>
        <w:spacing w:before="320" w:after="200"/>
        <w:widowControl w:val="off"/>
        <w:rPr>
          <w:rFonts w:hint="eastAsia" w:ascii="宋体" w:hAnsi="宋体" w:eastAsia="宋体" w:cs="微软雅黑"/>
          <w:b/>
          <w:bCs/>
          <w:color w:val="000000" w:themeColor="text1"/>
          <w:sz w:val="24"/>
          <w:szCs w:val="20"/>
          <w:highlight w:val="none"/>
          <w:lang w:val="en-US" w:eastAsia="zh-CN"/>
          <w14:textFill>
            <w14:solidFill>
              <w14:schemeClr w14:val="tx1"/>
            </w14:solidFill>
          </w14:textFill>
        </w:rPr>
        <w:outlineLvl w:val="2"/>
      </w:pPr>
      <w:r>
        <w:rPr>
          <w:rFonts w:hint="eastAsia" w:ascii="宋体" w:hAnsi="宋体" w:eastAsia="宋体" w:cs="微软雅黑"/>
          <w:b/>
          <w:bCs/>
          <w:color w:val="000000" w:themeColor="text1"/>
          <w:sz w:val="24"/>
          <w:szCs w:val="20"/>
          <w:highlight w:val="none"/>
          <w:lang w:val="en-US" w:eastAsia="zh-CN"/>
          <w14:textFill>
            <w14:solidFill>
              <w14:schemeClr w14:val="tx1"/>
            </w14:solidFill>
          </w14:textFill>
        </w:rPr>
        <w:t xml:space="preserve">一、基本情况</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bookmarkStart w:id="194" w:name="_Hlk28680462"/>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1</w:t>
      </w:r>
      <w:r>
        <w:rPr>
          <w:rFonts w:hint="default" w:ascii="Calibri" w:hAnsi="Calibri"/>
          <w:bCs/>
          <w:color w:val="000000" w:themeColor="text1"/>
          <w:sz w:val="24"/>
          <w:szCs w:val="24"/>
          <w:highlight w:val="none"/>
          <w:lang w:val="en-US" w:bidi="ar-SA"/>
          <w14:textFill>
            <w14:solidFill>
              <w14:schemeClr w14:val="tx1"/>
            </w14:solidFill>
          </w14:textFill>
        </w:rPr>
        <w:t xml:space="preserve"> 预算金额：</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1012</w:t>
      </w:r>
      <w:r>
        <w:rPr>
          <w:rFonts w:hint="default" w:ascii="Calibri" w:hAnsi="Calibri"/>
          <w:color w:val="000000" w:themeColor="text1"/>
          <w:sz w:val="24"/>
          <w:szCs w:val="24"/>
          <w:highlight w:val="none"/>
          <w:lang w:val="en-US" w:bidi="ar-SA"/>
          <w14:textFill>
            <w14:solidFill>
              <w14:schemeClr w14:val="tx1"/>
            </w14:solidFill>
          </w14:textFill>
        </w:rPr>
        <w:t xml:space="preserve">万元</w:t>
      </w:r>
      <w:r>
        <w:rPr>
          <w:rFonts w:hint="default" w:ascii="Calibri" w:hAnsi="Calibri"/>
          <w:bCs/>
          <w:color w:val="000000" w:themeColor="text1"/>
          <w:sz w:val="24"/>
          <w:szCs w:val="24"/>
          <w:highlight w:val="none"/>
          <w:lang w:val="en-US" w:bidi="ar-SA"/>
          <w14:textFill>
            <w14:solidFill>
              <w14:schemeClr w14:val="tx1"/>
            </w14:solidFill>
          </w14:textFill>
        </w:rPr>
        <w:t xml:space="preserve">。</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2</w:t>
      </w:r>
      <w:r>
        <w:rPr>
          <w:rFonts w:hint="default" w:ascii="Calibri" w:hAnsi="Calibri"/>
          <w:bCs/>
          <w:color w:val="000000" w:themeColor="text1"/>
          <w:sz w:val="24"/>
          <w:szCs w:val="24"/>
          <w:highlight w:val="none"/>
          <w:lang w:val="en-US" w:bidi="ar-SA"/>
          <w14:textFill>
            <w14:solidFill>
              <w14:schemeClr w14:val="tx1"/>
            </w14:solidFill>
          </w14:textFill>
        </w:rPr>
        <w:t xml:space="preserve">设定最高限价，最高限价为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912.12</w:t>
      </w:r>
      <w:r>
        <w:rPr>
          <w:rFonts w:hint="default" w:ascii="Calibri" w:hAnsi="Calibri"/>
          <w:color w:val="000000" w:themeColor="text1"/>
          <w:sz w:val="24"/>
          <w:szCs w:val="24"/>
          <w:highlight w:val="none"/>
          <w:lang w:val="en-US" w:bidi="ar-SA"/>
          <w14:textFill>
            <w14:solidFill>
              <w14:schemeClr w14:val="tx1"/>
            </w14:solidFill>
          </w14:textFill>
        </w:rPr>
        <w:t xml:space="preserve">万元。</w:t>
      </w:r>
      <w:bookmarkEnd w:id="194"/>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w:t>
      </w:r>
      <w:r>
        <w:rPr>
          <w:rFonts w:hint="default" w:ascii="Calibri" w:hAnsi="Calibri"/>
          <w:bCs/>
          <w:color w:val="000000" w:themeColor="text1"/>
          <w:sz w:val="24"/>
          <w:szCs w:val="24"/>
          <w:highlight w:val="none"/>
          <w:lang w:val="en-US" w:bidi="ar-SA"/>
          <w14:textFill>
            <w14:solidFill>
              <w14:schemeClr w14:val="tx1"/>
            </w14:solidFill>
          </w14:textFill>
        </w:rPr>
        <w:t xml:space="preserve">采购需求：</w:t>
      </w:r>
      <w:r>
        <w:rPr>
          <w:rFonts w:hint="eastAsia" w:ascii="Calibri" w:hAnsi="Calibri"/>
          <w:bCs/>
          <w:color w:val="000000" w:themeColor="text1"/>
          <w:sz w:val="24"/>
          <w:szCs w:val="24"/>
          <w:highlight w:val="none"/>
          <w:lang w:val="en-US" w:bidi="ar-SA"/>
          <w14:textFill>
            <w14:solidFill>
              <w14:schemeClr w14:val="tx1"/>
            </w14:solidFill>
          </w14:textFill>
        </w:rPr>
        <w:t xml:space="preserve">东组团步梯款</w:t>
      </w:r>
      <w:r>
        <w:rPr>
          <w:rFonts w:hint="default" w:ascii="Calibri" w:hAnsi="Calibri"/>
          <w:bCs/>
          <w:color w:val="000000" w:themeColor="text1"/>
          <w:sz w:val="24"/>
          <w:szCs w:val="24"/>
          <w:highlight w:val="none"/>
          <w:lang w:val="en-US" w:bidi="ar-SA"/>
          <w14:textFill>
            <w14:solidFill>
              <w14:schemeClr w14:val="tx1"/>
            </w14:solidFill>
          </w14:textFill>
        </w:rPr>
        <w:t xml:space="preserve">家具采购，包括家具制作、运输、装卸、安装、调试及售后三包服务等。</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4</w:t>
      </w:r>
      <w:r>
        <w:rPr>
          <w:rFonts w:hint="default" w:ascii="Calibri" w:hAnsi="Calibri"/>
          <w:bCs/>
          <w:color w:val="000000" w:themeColor="text1"/>
          <w:sz w:val="24"/>
          <w:szCs w:val="24"/>
          <w:highlight w:val="none"/>
          <w:lang w:val="en-US" w:bidi="ar-SA"/>
          <w14:textFill>
            <w14:solidFill>
              <w14:schemeClr w14:val="tx1"/>
            </w14:solidFill>
          </w14:textFill>
        </w:rPr>
        <w:t xml:space="preserve">实施地点：采购人指定地点。</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5</w:t>
      </w:r>
      <w:r>
        <w:rPr>
          <w:rFonts w:hint="default" w:ascii="Calibri" w:hAnsi="Calibri"/>
          <w:bCs/>
          <w:color w:val="000000" w:themeColor="text1"/>
          <w:sz w:val="24"/>
          <w:szCs w:val="24"/>
          <w:highlight w:val="none"/>
          <w:lang w:val="en-US" w:bidi="ar-SA"/>
          <w14:textFill>
            <w14:solidFill>
              <w14:schemeClr w14:val="tx1"/>
            </w14:solidFill>
          </w14:textFill>
        </w:rPr>
        <w:t xml:space="preserve">实施时间期限：合同履行期限：合同签订后50日历天内送到甲方指定地点完成安装、调试、检测并经验收合格后交付甲方使用（含二次搬运费）。</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1</w:t>
      </w:r>
      <w:r>
        <w:rPr>
          <w:rFonts w:hint="eastAsia" w:ascii="Calibri" w:hAnsi="Calibri"/>
          <w:bCs/>
          <w:color w:val="000000" w:themeColor="text1"/>
          <w:sz w:val="24"/>
          <w:szCs w:val="24"/>
          <w:highlight w:val="none"/>
          <w:lang w:val="en-US" w:bidi="ar-SA"/>
          <w14:textFill>
            <w14:solidFill>
              <w14:schemeClr w14:val="tx1"/>
            </w14:solidFill>
          </w14:textFill>
        </w:rPr>
        <w:t xml:space="preserve">.</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6</w:t>
      </w:r>
      <w:r>
        <w:rPr>
          <w:rFonts w:hint="eastAsia" w:ascii="Calibri" w:hAnsi="Calibri"/>
          <w:bCs/>
          <w:color w:val="000000" w:themeColor="text1"/>
          <w:sz w:val="24"/>
          <w:szCs w:val="24"/>
          <w:highlight w:val="none"/>
          <w:lang w:val="en-US" w:bidi="ar-SA"/>
          <w14:textFill>
            <w14:solidFill>
              <w14:schemeClr w14:val="tx1"/>
            </w14:solidFill>
          </w14:textFill>
        </w:rPr>
        <w:t xml:space="preserve">采购标的所属行业为：工业</w:t>
      </w:r>
      <w:r/>
    </w:p>
    <w:p>
      <w:pPr>
        <w:pStyle w:val="746"/>
        <w:rPr>
          <w:rFonts w:hint="default" w:eastAsia="宋体"/>
          <w:b/>
          <w:bCs/>
          <w:color w:val="000000" w:themeColor="text1"/>
          <w:highlight w:val="none"/>
          <w:lang w:val="en-US" w:eastAsia="zh-CN"/>
          <w14:textFill>
            <w14:solidFill>
              <w14:schemeClr w14:val="tx1"/>
            </w14:solidFill>
          </w14:textFill>
        </w:rPr>
      </w:pPr>
      <w:r>
        <w:rPr>
          <w:rFonts w:hint="eastAsia" w:hAnsi="宋体" w:cs="微软雅黑"/>
          <w:b/>
          <w:bCs/>
          <w:color w:val="000000" w:themeColor="text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highlight w:val="none"/>
          <w14:textFill>
            <w14:solidFill>
              <w14:schemeClr w14:val="tx1"/>
            </w14:solidFill>
          </w14:textFill>
        </w:rPr>
        <w:t xml:space="preserve">采购标的清单</w:t>
      </w:r>
      <w:r/>
    </w:p>
    <w:tbl>
      <w:tblPr>
        <w:tblStyle w:val="741"/>
        <w:tblpPr w:horzAnchor="page" w:tblpX="870" w:vertAnchor="text" w:tblpY="301" w:leftFromText="180" w:topFromText="0" w:rightFromText="180" w:bottomFromText="0"/>
        <w:tblW w:w="95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665"/>
        <w:gridCol w:w="2460"/>
        <w:gridCol w:w="855"/>
        <w:gridCol w:w="1110"/>
        <w:gridCol w:w="930"/>
        <w:gridCol w:w="1881"/>
      </w:tblGrid>
      <w:tr>
        <w:trPr>
          <w:trHeight w:val="587"/>
        </w:trPr>
        <w:tc>
          <w:tcPr>
            <w:tcW w:w="65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序号</w:t>
            </w:r>
            <w:r/>
          </w:p>
        </w:tc>
        <w:tc>
          <w:tcPr>
            <w:tcW w:w="166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名称</w:t>
            </w:r>
            <w:r/>
          </w:p>
        </w:tc>
        <w:tc>
          <w:tcPr>
            <w:tcW w:w="2460"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规格</w:t>
            </w:r>
            <w:r/>
          </w:p>
        </w:tc>
        <w:tc>
          <w:tcPr>
            <w:tcW w:w="85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单位</w:t>
            </w:r>
            <w:r/>
          </w:p>
        </w:tc>
        <w:tc>
          <w:tcPr>
            <w:tcW w:w="1110"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数量</w:t>
            </w:r>
            <w:r/>
          </w:p>
        </w:tc>
        <w:tc>
          <w:tcPr>
            <w:tcW w:w="930"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是否核心产品</w:t>
            </w:r>
            <w:r/>
          </w:p>
        </w:tc>
        <w:tc>
          <w:tcPr>
            <w:tcW w:w="1881"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对应中小企业划分标准所属行业</w:t>
            </w:r>
            <w:r/>
          </w:p>
        </w:tc>
      </w:tr>
      <w:tr>
        <w:trPr>
          <w:trHeight w:val="563"/>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上床下柜（桌）组合家具</w:t>
            </w:r>
            <w:r/>
          </w:p>
        </w:tc>
        <w:tc>
          <w:tcPr>
            <w:tcW w:w="2460"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2010*930*3050mm</w:t>
            </w:r>
            <w:r/>
          </w:p>
        </w:tc>
        <w:tc>
          <w:tcPr>
            <w:tcW w:w="85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套</w:t>
            </w:r>
            <w:r/>
          </w:p>
        </w:tc>
        <w:tc>
          <w:tcPr>
            <w:tcW w:w="1110"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2372</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是</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trHeight w:val="563"/>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步梯</w:t>
            </w:r>
            <w:r/>
          </w:p>
        </w:tc>
        <w:tc>
          <w:tcPr>
            <w:tcW w:w="2460"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560*920*1418mm</w:t>
            </w:r>
            <w:r/>
          </w:p>
        </w:tc>
        <w:tc>
          <w:tcPr>
            <w:tcW w:w="85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个</w:t>
            </w:r>
            <w:r/>
          </w:p>
        </w:tc>
        <w:tc>
          <w:tcPr>
            <w:tcW w:w="1110"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1186</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否</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trHeight w:val="563"/>
        </w:trPr>
        <w:tc>
          <w:tcPr>
            <w:tcW w:w="655" w:type="dxa"/>
            <w:vAlign w:val="center"/>
            <w:textDirection w:val="lrTb"/>
            <w:noWrap w:val="false"/>
          </w:tcPr>
          <w:p>
            <w:pPr>
              <w:jc w:val="center"/>
              <w:spacing w:after="0"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tcW w:w="1665" w:type="dxa"/>
            <w:vAlign w:val="center"/>
            <w:textDirection w:val="lrTb"/>
            <w:noWrap w:val="false"/>
          </w:tcPr>
          <w:p>
            <w:pPr>
              <w:jc w:val="center"/>
              <w:spacing w:line="24" w:lineRule="atLeast"/>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学生椅</w:t>
            </w:r>
            <w:r/>
          </w:p>
        </w:tc>
        <w:tc>
          <w:tcPr>
            <w:tcW w:w="2460" w:type="dxa"/>
            <w:vAlign w:val="center"/>
            <w:textDirection w:val="lrTb"/>
            <w:noWrap w:val="false"/>
          </w:tcPr>
          <w:p>
            <w:pPr>
              <w:jc w:val="center"/>
              <w:spacing w:line="24" w:lineRule="atLeas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450*500*850mm</w:t>
            </w:r>
            <w:r/>
          </w:p>
        </w:tc>
        <w:tc>
          <w:tcPr>
            <w:tcW w:w="855" w:type="dxa"/>
            <w:vAlign w:val="center"/>
            <w:textDirection w:val="lrTb"/>
            <w:noWrap w:val="false"/>
          </w:tcPr>
          <w:p>
            <w:pPr>
              <w:jc w:val="center"/>
              <w:spacing w:line="24" w:lineRule="atLeas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把</w:t>
            </w:r>
            <w:r/>
          </w:p>
        </w:tc>
        <w:tc>
          <w:tcPr>
            <w:tcW w:w="1110" w:type="dxa"/>
            <w:vAlign w:val="center"/>
            <w:textDirection w:val="lrTb"/>
            <w:noWrap w:val="false"/>
          </w:tcPr>
          <w:p>
            <w:pPr>
              <w:jc w:val="center"/>
              <w:spacing w:line="24" w:lineRule="atLeast"/>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2372</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否</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bl>
    <w:p>
      <w:pPr>
        <w:jc w:val="left"/>
        <w:spacing w:line="360" w:lineRule="exact"/>
        <w:rPr>
          <w:rFonts w:ascii="宋体" w:hAnsi="宋体" w:cs="宋体"/>
          <w:b w:val="0"/>
          <w:bCs w:val="0"/>
          <w:color w:val="000000" w:themeColor="text1"/>
          <w:sz w:val="24"/>
          <w:szCs w:val="24"/>
          <w:highlight w:val="none"/>
          <w:lang w:val="en-US" w:eastAsia="zh-CN"/>
          <w14:textFill>
            <w14:solidFill>
              <w14:schemeClr w14:val="tx1"/>
            </w14:solidFill>
          </w14:textFill>
        </w:rPr>
      </w:pPr>
      <w:r>
        <w:rPr>
          <w:rFonts w:ascii="宋体" w:hAnsi="宋体" w:cs="宋体"/>
          <w:b w:val="0"/>
          <w:bCs w:val="0"/>
          <w:color w:val="000000" w:themeColor="text1"/>
          <w:sz w:val="24"/>
          <w:szCs w:val="24"/>
          <w:highlight w:val="none"/>
          <w:lang w:val="en-US" w:eastAsia="zh-CN"/>
          <w14:textFill>
            <w14:solidFill>
              <w14:schemeClr w14:val="tx1"/>
            </w14:solidFill>
          </w14:textFill>
        </w:rPr>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注：</w:t>
      </w:r>
      <w:r>
        <w:rPr>
          <w:rFonts w:hint="default" w:ascii="Calibri" w:hAnsi="Calibri"/>
          <w:bCs/>
          <w:color w:val="000000" w:themeColor="text1"/>
          <w:sz w:val="24"/>
          <w:szCs w:val="24"/>
          <w:highlight w:val="none"/>
          <w:lang w:val="en-US" w:bidi="ar-SA"/>
          <w14:textFill>
            <w14:solidFill>
              <w14:schemeClr w14:val="tx1"/>
            </w14:solidFill>
          </w14:textFill>
        </w:rPr>
        <w:t xml:space="preserve">当采购数量与实际使用数量不一致时，</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中标人</w:t>
      </w:r>
      <w:r>
        <w:rPr>
          <w:rFonts w:hint="default" w:ascii="Calibri" w:hAnsi="Calibri"/>
          <w:bCs/>
          <w:color w:val="000000" w:themeColor="text1"/>
          <w:sz w:val="24"/>
          <w:szCs w:val="24"/>
          <w:highlight w:val="none"/>
          <w:lang w:val="en-US" w:bidi="ar-SA"/>
          <w14:textFill>
            <w14:solidFill>
              <w14:schemeClr w14:val="tx1"/>
            </w14:solidFill>
          </w14:textFill>
        </w:rPr>
        <w:t xml:space="preserve">应根据实际使用量供货，合同的最终结算金额按实际使用量乘以</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中标</w:t>
      </w:r>
      <w:r>
        <w:rPr>
          <w:rFonts w:hint="default" w:ascii="Calibri" w:hAnsi="Calibri"/>
          <w:bCs/>
          <w:color w:val="000000" w:themeColor="text1"/>
          <w:sz w:val="24"/>
          <w:szCs w:val="24"/>
          <w:highlight w:val="none"/>
          <w:lang w:val="en-US" w:bidi="ar-SA"/>
          <w14:textFill>
            <w14:solidFill>
              <w14:schemeClr w14:val="tx1"/>
            </w14:solidFill>
          </w14:textFill>
        </w:rPr>
        <w:t xml:space="preserve">单价进行计算。</w:t>
      </w:r>
      <w:r/>
    </w:p>
    <w:p>
      <w:pPr>
        <w:numPr>
          <w:ilvl w:val="0"/>
          <w:numId w:val="14"/>
        </w:numPr>
        <w:ind w:left="0" w:firstLine="0"/>
        <w:spacing w:line="360" w:lineRule="auto"/>
        <w:widowControl/>
        <w:rPr>
          <w:rFonts w:hint="eastAsia" w:ascii="Calibri" w:hAnsi="Calibri"/>
          <w:b/>
          <w:bCs w:val="0"/>
          <w:color w:val="000000" w:themeColor="text1"/>
          <w:sz w:val="24"/>
          <w:szCs w:val="24"/>
          <w:highlight w:val="none"/>
          <w:lang w:val="en-US" w:eastAsia="zh-CN" w:bidi="ar-SA"/>
          <w14:textFill>
            <w14:solidFill>
              <w14:schemeClr w14:val="tx1"/>
            </w14:solidFill>
          </w14:textFill>
        </w:rPr>
      </w:pPr>
      <w:r>
        <w:rPr>
          <w:rFonts w:hint="eastAsia" w:ascii="Calibri" w:hAnsi="Calibri"/>
          <w:b/>
          <w:bCs w:val="0"/>
          <w:color w:val="000000" w:themeColor="text1"/>
          <w:sz w:val="24"/>
          <w:szCs w:val="24"/>
          <w:highlight w:val="none"/>
          <w:lang w:val="en-US" w:eastAsia="zh-CN" w:bidi="ar-SA"/>
          <w14:textFill>
            <w14:solidFill>
              <w14:schemeClr w14:val="tx1"/>
            </w14:solidFill>
          </w14:textFill>
        </w:rPr>
        <w:t xml:space="preserve">采购图纸及技术参数要求</w:t>
      </w:r>
      <w:r/>
    </w:p>
    <w:p>
      <w:pPr>
        <w:numPr>
          <w:ilvl w:val="0"/>
          <w:numId w:val="0"/>
        </w:numPr>
        <w:spacing w:line="360" w:lineRule="auto"/>
        <w:widowControl/>
        <w:rPr>
          <w:rFonts w:hint="default" w:ascii="Calibri" w:hAnsi="Calibri"/>
          <w:b/>
          <w:bCs w:val="0"/>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3.1采购图纸（</w:t>
      </w:r>
      <w:r>
        <w:rPr>
          <w:rFonts w:hint="eastAsia" w:ascii="Calibri" w:hAnsi="Calibri"/>
          <w:bCs/>
          <w:color w:val="000000" w:themeColor="text1"/>
          <w:sz w:val="24"/>
          <w:szCs w:val="24"/>
          <w:highlight w:val="none"/>
          <w:lang w:val="en-US" w:bidi="ar-SA"/>
          <w14:textFill>
            <w14:solidFill>
              <w14:schemeClr w14:val="tx1"/>
            </w14:solidFill>
          </w14:textFill>
        </w:rPr>
        <w:t xml:space="preserve">图纸与技术参数不一致之处，以技术参数要求为准</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房型1</w:t>
      </w:r>
      <w:r/>
    </w:p>
    <w:p>
      <w:pPr>
        <w:jc w:val="left"/>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539105" cy="3353435"/>
                <wp:effectExtent l="0" t="0" r="4445" b="18415"/>
                <wp:docPr id="1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5539105" cy="335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36.1pt;height:264.1pt;mso-wrap-distance-left:0.0pt;mso-wrap-distance-top:0.0pt;mso-wrap-distance-right:0.0pt;mso-wrap-distance-bottom:0.0pt;" stroked="f">
                <v:path textboxrect="0,0,0,0"/>
                <v:imagedata r:id="rId13"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536565" cy="3911600"/>
                <wp:effectExtent l="0" t="0" r="6985" b="12700"/>
                <wp:docPr id="1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536565" cy="391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35.9pt;height:308.0pt;mso-wrap-distance-left:0.0pt;mso-wrap-distance-top:0.0pt;mso-wrap-distance-right:0.0pt;mso-wrap-distance-bottom:0.0pt;" stroked="f">
                <v:path textboxrect="0,0,0,0"/>
                <v:imagedata r:id="rId14"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14745" cy="4391025"/>
                <wp:effectExtent l="0" t="0" r="14604" b="9525"/>
                <wp:docPr id="1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6214745"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9.3pt;height:345.8pt;mso-wrap-distance-left:0.0pt;mso-wrap-distance-top:0.0pt;mso-wrap-distance-right:0.0pt;mso-wrap-distance-bottom:0.0pt;" stroked="f">
                <v:path textboxrect="0,0,0,0"/>
                <v:imagedata r:id="rId15"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42685" cy="3781425"/>
                <wp:effectExtent l="0" t="0" r="5715" b="9525"/>
                <wp:docPr id="1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rcRect l="0" t="14236" r="0" b="0"/>
                        <a:stretch/>
                      </pic:blipFill>
                      <pic:spPr bwMode="auto">
                        <a:xfrm>
                          <a:off x="0" y="0"/>
                          <a:ext cx="6242685" cy="3781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91.5pt;height:297.8pt;mso-wrap-distance-left:0.0pt;mso-wrap-distance-top:0.0pt;mso-wrap-distance-right:0.0pt;mso-wrap-distance-bottom:0.0pt;" stroked="f">
                <v:path textboxrect="0,0,0,0"/>
                <v:imagedata r:id="rId16"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83325" cy="3230880"/>
                <wp:effectExtent l="0" t="0" r="3175" b="7620"/>
                <wp:docPr id="1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rcRect l="0" t="14999" r="0" b="12069"/>
                        <a:stretch/>
                      </pic:blipFill>
                      <pic:spPr bwMode="auto">
                        <a:xfrm>
                          <a:off x="0" y="0"/>
                          <a:ext cx="6283325" cy="3230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94.8pt;height:254.4pt;mso-wrap-distance-left:0.0pt;mso-wrap-distance-top:0.0pt;mso-wrap-distance-right:0.0pt;mso-wrap-distance-bottom:0.0pt;" stroked="f">
                <v:path textboxrect="0,0,0,0"/>
                <v:imagedata r:id="rId17"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66485" cy="4356735"/>
                <wp:effectExtent l="0" t="0" r="5715" b="5715"/>
                <wp:docPr id="1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6166485" cy="435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85.5pt;height:343.1pt;mso-wrap-distance-left:0.0pt;mso-wrap-distance-top:0.0pt;mso-wrap-distance-right:0.0pt;mso-wrap-distance-bottom:0.0pt;" stroked="f">
                <v:path textboxrect="0,0,0,0"/>
                <v:imagedata r:id="rId18"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49010" cy="4273550"/>
                <wp:effectExtent l="0" t="0" r="8890" b="12700"/>
                <wp:docPr id="18"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6049010" cy="427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6.3pt;height:336.5pt;mso-wrap-distance-left:0.0pt;mso-wrap-distance-top:0.0pt;mso-wrap-distance-right:0.0pt;mso-wrap-distance-bottom:0.0pt;" stroked="f">
                <v:path textboxrect="0,0,0,0"/>
                <v:imagedata r:id="rId19"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36335" cy="4406265"/>
                <wp:effectExtent l="0" t="0" r="12065" b="13335"/>
                <wp:docPr id="19"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6236335" cy="440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91.0pt;height:346.9pt;mso-wrap-distance-left:0.0pt;mso-wrap-distance-top:0.0pt;mso-wrap-distance-right:0.0pt;mso-wrap-distance-bottom:0.0pt;" stroked="f">
                <v:path textboxrect="0,0,0,0"/>
                <v:imagedata r:id="rId20"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28690" cy="4258945"/>
                <wp:effectExtent l="0" t="0" r="10160" b="8255"/>
                <wp:docPr id="20"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1"/>
                        <a:stretch/>
                      </pic:blipFill>
                      <pic:spPr bwMode="auto">
                        <a:xfrm>
                          <a:off x="0" y="0"/>
                          <a:ext cx="6028690" cy="4258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4.7pt;height:335.3pt;mso-wrap-distance-left:0.0pt;mso-wrap-distance-top:0.0pt;mso-wrap-distance-right:0.0pt;mso-wrap-distance-bottom:0.0pt;" stroked="f">
                <v:path textboxrect="0,0,0,0"/>
                <v:imagedata r:id="rId21"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96610" cy="2981325"/>
                <wp:effectExtent l="0" t="0" r="8890" b="9525"/>
                <wp:docPr id="21"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2"/>
                        <a:srcRect l="0" t="15685" r="0" b="12772"/>
                        <a:stretch/>
                      </pic:blipFill>
                      <pic:spPr bwMode="auto">
                        <a:xfrm>
                          <a:off x="0" y="0"/>
                          <a:ext cx="5896610"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64.3pt;height:234.8pt;mso-wrap-distance-left:0.0pt;mso-wrap-distance-top:0.0pt;mso-wrap-distance-right:0.0pt;mso-wrap-distance-bottom:0.0pt;" stroked="f">
                <v:path textboxrect="0,0,0,0"/>
                <v:imagedata r:id="rId22"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19140" cy="4116070"/>
                <wp:effectExtent l="0" t="0" r="10160" b="17780"/>
                <wp:docPr id="22"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23"/>
                        <a:srcRect l="21" t="0" r="21" b="0"/>
                        <a:stretch/>
                      </pic:blipFill>
                      <pic:spPr bwMode="auto">
                        <a:xfrm>
                          <a:off x="0" y="0"/>
                          <a:ext cx="5819140" cy="411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8.2pt;height:324.1pt;mso-wrap-distance-left:0.0pt;mso-wrap-distance-top:0.0pt;mso-wrap-distance-right:0.0pt;mso-wrap-distance-bottom:0.0pt;" stroked="f">
                <v:path textboxrect="0,0,0,0"/>
                <v:imagedata r:id="rId23"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备注：</w:t>
      </w:r>
      <w:r/>
    </w:p>
    <w:p>
      <w:pPr>
        <w:ind w:firstLine="480"/>
        <w:jc w:val="both"/>
        <w:widowControl w:val="off"/>
        <w:rPr>
          <w:rFonts w:ascii="Times New Roman" w:hAnsi="Times New Roman" w:eastAsia="宋体" w:cs="Times New Roman"/>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ascii="宋体" w:hAnsi="宋体" w:eastAsia="宋体" w:cs="宋体"/>
          <w:color w:val="000000" w:themeColor="text1"/>
          <w:sz w:val="24"/>
          <w:szCs w:val="21"/>
          <w:highlight w:val="none"/>
          <w:lang w:val="en-US" w:eastAsia="zh-CN" w:bidi="ar-SA"/>
          <w14:textFill>
            <w14:solidFill>
              <w14:schemeClr w14:val="tx1"/>
            </w14:solidFill>
          </w14:textFill>
        </w:rPr>
        <w:t xml:space="preserve">家具颜色：中标单位在中标后提供色板给甲方，按甲方选定的颜色生产。</w:t>
      </w:r>
      <w:r/>
    </w:p>
    <w:p>
      <w:pPr>
        <w:ind w:firstLine="480"/>
        <w:jc w:val="left"/>
        <w:spacing w:line="431"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ascii="宋体" w:hAnsi="宋体" w:eastAsia="宋体" w:cs="宋体"/>
          <w:color w:val="000000" w:themeColor="text1"/>
          <w:sz w:val="24"/>
          <w:highlight w:val="none"/>
          <w14:textFill>
            <w14:solidFill>
              <w14:schemeClr w14:val="tx1"/>
            </w14:solidFill>
          </w14:textFill>
        </w:rPr>
        <w:t xml:space="preserve">.中标单位在中标后自行复核现场实际尺寸及家具方向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确保家具能够正常安装</w:t>
      </w:r>
      <w:r>
        <w:rPr>
          <w:rFonts w:ascii="宋体" w:hAnsi="宋体" w:eastAsia="宋体" w:cs="宋体"/>
          <w:color w:val="000000" w:themeColor="text1"/>
          <w:sz w:val="24"/>
          <w:highlight w:val="none"/>
          <w14:textFill>
            <w14:solidFill>
              <w14:schemeClr w14:val="tx1"/>
            </w14:solidFill>
          </w14:textFill>
        </w:rPr>
        <w:t xml:space="preserve">。</w:t>
      </w:r>
      <w:r/>
    </w:p>
    <w:p>
      <w:pPr>
        <w:numPr>
          <w:ilvl w:val="0"/>
          <w:numId w:val="0"/>
        </w:numPr>
        <w:spacing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3.2技术参数要求：</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（一）</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上床下柜（桌）组合家具</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1、尺寸：W2010*D930*H3050mm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Calibri" w:hAnsi="Calibri"/>
          <w:bCs/>
          <w:color w:val="000000" w:themeColor="text1"/>
          <w:sz w:val="24"/>
          <w:szCs w:val="24"/>
          <w:highlight w:val="none"/>
          <w:lang w:val="en-US" w:bidi="ar-SA"/>
          <w14:textFill>
            <w14:solidFill>
              <w14:schemeClr w14:val="tx1"/>
            </w14:solidFill>
          </w14:textFill>
        </w:rPr>
        <w:t xml:space="preserve">允许</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5%偏差）</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2、钢材：经环氧聚酯塑粉静电喷塑处理。</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立柱：采用优质冷轧钢板经特制成型线轧制而成，其立面为中空异形闭口型材，立柱正面为圆弧形设计，起到防撞作用，外侧设有安全斜边,内侧直角设计，避免组合柜与床立柱之间的缝隙，立面成型后尺寸规格≥72mm*72mm，材料厚度为≥1.5mm。</w:t>
      </w:r>
      <w:r/>
    </w:p>
    <w:p>
      <w:pPr>
        <w:ind w:firstLine="482"/>
        <w:jc w:val="both"/>
        <w:keepLines w:val="0"/>
        <w:keepNext w:val="0"/>
        <w:pageBreakBefore w:val="0"/>
        <w:spacing w:line="460" w:lineRule="exact"/>
        <w:widowControl w:val="off"/>
        <w:rPr>
          <w:rFonts w:ascii="宋体" w:hAnsi="宋体" w:cs="宋体"/>
          <w:color w:val="000000" w:themeColor="text1"/>
          <w:sz w:val="24"/>
          <w:szCs w:val="21"/>
          <w:highlight w:val="none"/>
          <w14:textFill>
            <w14:solidFill>
              <w14:schemeClr w14:val="tx1"/>
            </w14:solidFill>
          </w14:textFill>
        </w:rPr>
      </w:pPr>
      <w:r/>
      <w:bookmarkStart w:id="195" w:name="OLE_LINK6"/>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w:t>
      </w:r>
      <w:bookmarkEnd w:id="195"/>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▲立柱喷塑涂层硬度为5H，</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★前床厅及后床厅：</w:t>
      </w:r>
      <w:bookmarkStart w:id="196" w:name="OLE_LINK1"/>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采用优质冷轧钢板经特制成型线轧制而成，其立面尺寸规格≥80mm*30mm矩形管,材料厚度为≥1.5mm。后床厅管材规格≥80mm*30mm矩形管,材料厚度≥1.5mm。侧床厅管材规格≥80mm*30mm矩形管,材料厚度≥1.5mm，左右两侧与立柱连接，床厅与立柱采取隐藏式卡扣连接，带锁死功能，更加美观牢固。</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6、▲塑粉涂层和覆面层中</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可迁移有害元素</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，金属喷漆（塑）涂层附着力不低于1级。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7、床前护栏:采用钢、铝、塑、木材料,方管规格≥25*25*1.5mm，护栏高度为450mm嵌入一块18mm厚E0级三聚氰胺饰面实木多层板, 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w:t>
      </w:r>
      <w:bookmarkEnd w:id="196"/>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前护栏带推拉窗，推拉窗整体格:≥700*300*40mm，观察窗带隐藏式储物功能,不占用床铺空间,方便存放手机、眼镜、书本等随身携带物品,外形采用跑道圆设计，圆弧部分ABS材质注塑工艺成型，滑道采用铝型材，确保稳固安全，观察窗透明全封闭,同时具备推拉开启关闭功能，保护使用者的隐私。</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、床后护栏:采钢木结构,方管≥25*25*1.5mm,护栏高度为450mm+蚊帐杆链接高度720mm嵌入一块18mm厚E0级三聚氰胺饰面实木多层板, 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等级不低于B1级,具有良好的抗变形性能,后护栏内嵌隐藏式水杯架。</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、床头护栏:采用钢木结构,管材规格≥20*20*1.5mm方管,护栏高度为450mm,嵌入一块18mm厚E0级三聚氰胺饰面实木多层板，多层板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等级不低于B1级,具有良好的抗变形性能，护栏整体与立柱连接。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、床尾护栏:采用钢木结构,方管≥20*20*1.5mm,圆弧设计,护栏中间设一根横杆,整体与立柱连接,嵌入一块18mm厚E0级三聚氰胺饰面实木多层板，多层板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、床换:采用规格≥20*30*1.5mm矩形管，矩形管自带锁定槽与床厅稳固连接，每张床配置数量不少于5根。</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、蚊帐架采用规格≥φ19*1.5mm 圆管制作尺寸≥1870*910mm，与后护栏接。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、铺板:采用双面刨光杉木床板，含水率≤12%，经干燥、防虫处理，宽度≥70mm，厚度≥18mm，每两根木条的距离间隙≤10mm，每块床板需要有≥4根（≥40×20mm）实木方料做横档加固,板条与横档之间</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用不锈钢螺丝固定连接。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、床下书桌:桌面采用≥25mm厚E0级三聚氰胺饰面板,前口鸭嘴边设计，其余三边圆弧角设计，整体采用PVC吸塑工艺；桌架和书架板材采用≥18mm厚E0级三聚氰胺饰面实木多层板，多层板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等级不低于B1级，具有良好的抗变形性能，同色 PVC 封边，封边条厚度不低于2mm，桌子上方为书架，桌背板与中架侧板共用，桌下设有双抽屉，抽屉门板(尺寸:400±2mm*170±2mm)采用≥18mm厚E0级三聚氰胺饰面实木多层板，多层板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等级不低于B1级，抽屉门板采用铝合金暗扣拉手,四周边缘采用PP环保塑料注塑封边；配备高强度、耐磨损、耐腐蚀等特性导轨，五金配件表面处理具有美观性和保护性；底部防潮架采用规格≥20*20*1.5mm方管制作。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、床下衣柜:设有两个门，一个门开向朝走道，内部设一块层板，层板下方配≥φ22*1.2mm铝合金挂衣杆，另一个门开向朝书桌，内部设置两块层板，底部防潮架采用≥20*20*1.5mm方管制作。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、衣柜小门板尺寸(1505±2mm*350±2mm)门板均采用≥18mm厚E0级环保三聚氰胺饰面实木多层板，多层板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、衣柜大门板(尺寸:1505±2mm *560±2mm)门板均采用≥18mm厚E0级环保三聚氰胺饰面实木多层板，多层板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、▲公寓床形状和位置公差合格，外观性能要求中金属件、木制件、塑料件检测结果合格，木制件表面装饰层(软硬质覆面层)耐干热和耐湿热不低于4级，</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单层床</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强度和耐久性合格</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（二）步梯</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1、尺寸：560*920*1418mm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Calibri" w:hAnsi="Calibri"/>
          <w:bCs/>
          <w:color w:val="000000" w:themeColor="text1"/>
          <w:sz w:val="24"/>
          <w:szCs w:val="24"/>
          <w:highlight w:val="none"/>
          <w:lang w:val="en-US" w:bidi="ar-SA"/>
          <w14:textFill>
            <w14:solidFill>
              <w14:schemeClr w14:val="tx1"/>
            </w14:solidFill>
          </w14:textFill>
        </w:rPr>
        <w:t xml:space="preserve">允许</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5%偏差）</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Times New Roman"/>
          <w:b/>
          <w:bCs/>
          <w:i/>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★步梯柜体：采用钢木结构，主体受力结构为钢制喷涂框架，管材规格≥20mm*20mm*1.5mm。</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3、步梯柜板材采用≥18mm厚E0级三聚氰胺饰面实木多层板制作，</w:t>
      </w:r>
      <w:bookmarkStart w:id="197" w:name="OLE_LINK8"/>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等级不低于B1级,具有良好的抗变形性能，每级踏板前端配有铝合金防护条，</w:t>
      </w:r>
      <w:bookmarkEnd w:id="197"/>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前端防护条内嵌PVC夜光耐磨防滑条，提升夜间起居安全性。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4、抽屉门由下往上开启,正面设有四层储物抽屉，门板均采用≥18mm厚E0级环保三聚氰胺饰面实木多层板，多层板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w:t>
      </w:r>
      <w:bookmarkStart w:id="198" w:name="OLE_LINK13"/>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bookmarkEnd w:id="198"/>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柜门板采用铝合金暗扣拉手，楼梯扶手采用规格≥Φ25*1.5mm圆管与立柱通过螺丝连接。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三</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）学生椅</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1、尺寸：≥450*500*850mm</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2、椅座：采用聚丙烯加玻璃纤维全新材料模具一体成型制作，厚度≥8mm。座面安装高度≥440mm，座宽≥450mm，座深≥500mm，深装饰沟槽面</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背面配PP材质弧形螺丝闷盖。</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3、椅背：采用聚丙烯加玻璃纤维全新材料模具一体成型制作厚度≥6mm，座椅总高度≥850mm，背宽≥410mm，背高≥410mm；防滑面设有多根筋位。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★椅脚：采用优质圆管≥φ19mm*2.0mm厚；各金属件进行打磨、去油、酸洗、磷化、清洗、防锈等工艺处理后，通过粉末喷涂设备进行静电喷塑，防锈防腐蚀；地脚配有4个优质PP材质脚垫。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5、塑料件外观应无裂纹、明显变形、缩水、针孔；应无凹陷、飞边、 杂质、伤痕、白印；表面应光洁，应无划痕、毛刺、拉毛、污渍；应无明显色差。</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特别说明：</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钢制部分材质要求：床框架采用公寓床隐藏式卡扣件连接，所有钢材均采用国家标准钢，未喷涂前厚度≥1.5mm，各钢件经除油、防锈等工序处理，外层采用聚脂环氧粉末喷塑，具有长时间使用不生锈、不掉漆的特性；所有焊接部位要求满焊，表面波纹均匀，焊接处无夹渣、气孔、焊瘤、焊丝头咬边飞溅，无脱焊、虚焊及焊穿等现象。</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2、木质部分材质要求：本次招标范围内所有板材（包括但不限于桌面板、柜门板、侧板、层板、背板、底板、顶板）采用≥18mm厚E0级三聚氰胺饰面实木多层板，多层板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等级不低于B1级，其中桌面板厚度≥25mm。</w:t>
      </w:r>
      <w:r/>
    </w:p>
    <w:p>
      <w:pPr>
        <w:ind w:firstLine="480"/>
        <w:spacing w:line="400" w:lineRule="exact"/>
        <w:rPr>
          <w:rFonts w:hint="default"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Times New Roman" w:hAnsi="Times New Roman"/>
          <w:color w:val="000000" w:themeColor="text1"/>
          <w:sz w:val="24"/>
          <w:szCs w:val="21"/>
          <w:highlight w:val="none"/>
          <w14:textFill>
            <w14:solidFill>
              <w14:schemeClr w14:val="tx1"/>
            </w14:solidFill>
          </w14:textFill>
        </w:rPr>
        <w:t xml:space="preserve">技术参数要求未提及的</w:t>
      </w:r>
      <w:r>
        <w:rPr>
          <w:rFonts w:ascii="Times New Roman" w:hAnsi="Times New Roman"/>
          <w:color w:val="000000" w:themeColor="text1"/>
          <w:sz w:val="24"/>
          <w:szCs w:val="21"/>
          <w:highlight w:val="none"/>
          <w14:textFill>
            <w14:solidFill>
              <w14:schemeClr w14:val="tx1"/>
            </w14:solidFill>
          </w14:textFill>
        </w:rPr>
        <w:t xml:space="preserve">，按照国家强制性标准履行</w:t>
      </w:r>
      <w:r>
        <w:rPr>
          <w:rFonts w:hint="eastAsia" w:ascii="Times New Roman" w:hAnsi="Times New Roman"/>
          <w:color w:val="000000" w:themeColor="text1"/>
          <w:sz w:val="24"/>
          <w:szCs w:val="21"/>
          <w:highlight w:val="none"/>
          <w14:textFill>
            <w14:solidFill>
              <w14:schemeClr w14:val="tx1"/>
            </w14:solidFill>
          </w14:textFill>
        </w:rPr>
        <w:t xml:space="preserve">。</w:t>
      </w:r>
      <w:r/>
    </w:p>
    <w:p>
      <w:pPr>
        <w:ind w:firstLine="482"/>
        <w:jc w:val="left"/>
        <w:spacing w:line="50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四、检测报告要求：</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4.1</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投标人需提供所投产品成品检验合格报告:报告由具备CMA资质认定的检测机构出具签发日期距投标截止之日不超过</w:t>
      </w:r>
      <w:r>
        <w:rPr>
          <w:rFonts w:hint="eastAsia" w:ascii="Times New Roman" w:eastAsia="宋体"/>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jc w:val="left"/>
        <w:spacing w:line="560" w:lineRule="exact"/>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公寓床，检验项目</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包含：外观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（焊接件、喷漆(塑)涂层 、塑料件）、结构安全、金属喷漆（塑）涂层理化性能要求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单层床强度和耐久性、甲醛释放量、TVOC、苯并[a]芘）。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2.床下</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衣柜和床下书桌</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包含：外观要求（</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软硬质覆面人造板</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、五金件、塑料件）、</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木制件表面理化性能</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、金属拉手耐腐蚀性要求中检测时间不少于200小时、柜架类强度和耐久性、柜</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架</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类稳定性、结构安全性、甲醛释放量、TVOC、苯并[a]芘</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p>
    <w:p>
      <w:pPr>
        <w:ind w:firstLine="480"/>
        <w:jc w:val="left"/>
        <w:spacing w:line="560" w:lineRule="exact"/>
        <w:widowControl/>
        <w:rPr>
          <w:rFonts w:hint="default" w:ascii="Times New Roman" w:hAnsi="Times New Roman" w:eastAsia="宋体"/>
          <w:color w:val="000000" w:themeColor="text1"/>
          <w:sz w:val="24"/>
          <w:szCs w:val="32"/>
          <w:highlight w:val="none"/>
          <w:lang w:val="en-US"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3.学生椅</w:t>
      </w:r>
      <w:r>
        <w:rPr>
          <w:rFonts w:hint="eastAsia" w:ascii="Times New Roman" w:hAnsi="Times New Roman"/>
          <w:color w:val="000000" w:themeColor="text1"/>
          <w:sz w:val="24"/>
          <w:szCs w:val="32"/>
          <w:highlight w:val="none"/>
          <w14:textFill>
            <w14:solidFill>
              <w14:schemeClr w14:val="tx1"/>
            </w14:solidFill>
          </w14:textFill>
        </w:rPr>
        <w:t xml:space="preserve">，</w:t>
      </w:r>
      <w:r>
        <w:rPr>
          <w:rFonts w:ascii="Times New Roman" w:hAnsi="Times New Roman"/>
          <w:color w:val="000000" w:themeColor="text1"/>
          <w:sz w:val="24"/>
          <w:szCs w:val="21"/>
          <w:highlight w:val="none"/>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ascii="Times New Roman" w:hAnsi="Times New Roman"/>
          <w:color w:val="000000" w:themeColor="text1"/>
          <w:sz w:val="24"/>
          <w:szCs w:val="21"/>
          <w:highlight w:val="none"/>
          <w14:textFill>
            <w14:solidFill>
              <w14:schemeClr w14:val="tx1"/>
            </w14:solidFill>
          </w14:textFill>
        </w:rPr>
        <w:t xml:space="preserve">包含</w:t>
      </w:r>
      <w:r>
        <w:rPr>
          <w:rFonts w:hint="eastAsia" w:ascii="Times New Roman" w:hAnsi="Times New Roman"/>
          <w:color w:val="000000" w:themeColor="text1"/>
          <w:sz w:val="24"/>
          <w:szCs w:val="21"/>
          <w:highlight w:val="none"/>
          <w14:textFill>
            <w14:solidFill>
              <w14:schemeClr w14:val="tx1"/>
            </w14:solidFill>
          </w14:textFill>
        </w:rPr>
        <w:t xml:space="preserve">：</w:t>
      </w:r>
      <w:r>
        <w:rPr>
          <w:rFonts w:ascii="Times New Roman" w:hAnsi="Times New Roman"/>
          <w:color w:val="000000" w:themeColor="text1"/>
          <w:sz w:val="24"/>
          <w:szCs w:val="32"/>
          <w:highlight w:val="none"/>
          <w14:textFill>
            <w14:solidFill>
              <w14:schemeClr w14:val="tx1"/>
            </w14:solidFill>
          </w14:textFill>
        </w:rPr>
        <w:t xml:space="preserve">阻燃性≥2级，抑菌率≥99%，产烟毒性危险分级≤ZA1级）。</w:t>
      </w:r>
      <w:r/>
    </w:p>
    <w:p>
      <w:pPr>
        <w:ind w:firstLine="480"/>
        <w:jc w:val="left"/>
        <w:spacing w:line="400" w:lineRule="exact"/>
        <w:widowControl/>
        <w:rPr>
          <w:rFonts w:hint="eastAsia" w:ascii="Times New Roman" w:hAnsi="Times New Roman"/>
          <w:color w:val="000000" w:themeColor="text1"/>
          <w:sz w:val="24"/>
          <w:szCs w:val="32"/>
          <w:highlight w:val="none"/>
          <w14:textFill>
            <w14:solidFill>
              <w14:schemeClr w14:val="tx1"/>
            </w14:solidFill>
          </w14:textFill>
        </w:rPr>
      </w:pPr>
      <w:r>
        <w:rPr>
          <w:rFonts w:hint="eastAsia" w:ascii="Times New Roman" w:hAnsi="Times New Roman"/>
          <w:color w:val="000000" w:themeColor="text1"/>
          <w:sz w:val="24"/>
          <w:szCs w:val="32"/>
          <w:highlight w:val="none"/>
          <w14:textFill>
            <w14:solidFill>
              <w14:schemeClr w14:val="tx1"/>
            </w14:solidFill>
          </w14:textFill>
        </w:rPr>
        <w:t xml:space="preserve">注：以上检测项目可在同一份或多份CMA报告中体现，但须完整覆盖。</w:t>
      </w:r>
      <w:r/>
    </w:p>
    <w:p>
      <w:pPr>
        <w:ind w:firstLine="480"/>
        <w:spacing w:line="400" w:lineRule="exact"/>
        <w:widowControl/>
        <w:rPr>
          <w:rFonts w:hint="eastAsia" w:ascii="Times New Roman" w:hAnsi="Times New Roman"/>
          <w:color w:val="000000" w:themeColor="text1"/>
          <w:sz w:val="24"/>
          <w:szCs w:val="32"/>
          <w:highlight w:val="none"/>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 xml:space="preserve">2.</w:t>
      </w:r>
      <w:r>
        <w:rPr>
          <w:rFonts w:hint="eastAsia" w:ascii="宋体" w:hAnsi="宋体"/>
          <w:color w:val="000000" w:themeColor="text1"/>
          <w:sz w:val="24"/>
          <w:szCs w:val="32"/>
          <w:highlight w:val="none"/>
          <w14:textFill>
            <w14:solidFill>
              <w14:schemeClr w14:val="tx1"/>
            </w14:solidFill>
          </w14:textFill>
        </w:rPr>
        <w:t xml:space="preserve">在项目履约及验收阶段，所有检测标准均依据国家级行业现行有效标准。</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4.2 </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w:t>
      </w:r>
      <w:r>
        <w:rPr>
          <w:rFonts w:hint="eastAsia"/>
          <w:b/>
          <w:bCs/>
          <w:color w:val="000000" w:themeColor="text1"/>
          <w:sz w:val="24"/>
          <w:szCs w:val="32"/>
          <w:highlight w:val="none"/>
          <w:lang w:val="en-US" w:eastAsia="zh-CN"/>
          <w14:textFill>
            <w14:solidFill>
              <w14:schemeClr w14:val="tx1"/>
            </w14:solidFill>
          </w14:textFill>
        </w:rPr>
        <w:t xml:space="preserve">原材料</w:t>
      </w:r>
      <w:r>
        <w:rPr>
          <w:rFonts w:hint="eastAsia" w:ascii="Times New Roman" w:hAnsi="Times New Roman"/>
          <w:b/>
          <w:bCs/>
          <w:color w:val="000000" w:themeColor="text1"/>
          <w:sz w:val="24"/>
          <w:szCs w:val="32"/>
          <w:highlight w:val="none"/>
          <w14:textFill>
            <w14:solidFill>
              <w14:schemeClr w14:val="tx1"/>
            </w14:solidFill>
          </w14:textFill>
        </w:rPr>
        <w:t xml:space="preserve">检验合格报告:报告由具备CMA资质认定的检测机构出具签发日期距投标截止之日不超过</w:t>
      </w:r>
      <w:r>
        <w:rPr>
          <w:rFonts w:hint="eastAsia" w:ascii="Times New Roman" w:eastAsia="宋体"/>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1.多层实木板，检测项目需要包含：甲醛释放量≤0.050mg/m³；苯、甲苯、二甲苯释放量符合要求；TVOC≤0.05mg/m³,燃烧性能等级不低于B1级。</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2.封边条，检验项目需要包含：抗菌性能：抗菌率≥99%，甲醛释放量、可迁移元素(可溶性重金属)邻苯二甲酸酯：未检出，耐磨性：磨40r后，应无露底现象；耐干热性≥四级【70℃】;  耐光色牢度(灰色样卡)≥4级。</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3.钢管，检验项目需要包含：</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1.外观性能金属件喷漆(塑)涂层：应无漏喷、锈蚀、脱色、掉色等；应光滑均匀，色泽一致，应无流挂、疙瘩、皱皮、飞漆等</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金属喷漆(塑)涂层硬度≥5H,附着力达到不低于1级，冲击强度、耐盐浴:划道两侧3mm外，应无鼓泡、锈蚀、剥落和起皱等现象。3.中性盐雾试验、乙酸盐雾试验、铜加速乙酸盐雾试验、铜加速乙酸盐雾试验连续喷雾≥200h,镀层本身的耐腐蚀等级和镀层对基体的保护等级≥10级；4.产品有害物质8项元素均未检出。</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4.铰链（阻尼门铰），检验项目需要包含：中性盐雾试验（200h）≥10级，耐久性：10万次，操作力：在耐久性试验前后，打开力和关闭力不应大于20N,下沉量≤1mm。</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5.导轨，检验项目需要包含：中性盐雾试验（200h）≥10级、耐久性：10万次。</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6.PP塑料，检验项目需要包含：防霉菌性能、硬度符合要求。</w:t>
      </w:r>
      <w:r/>
    </w:p>
    <w:p>
      <w:pPr>
        <w:ind w:firstLine="480"/>
        <w:jc w:val="left"/>
        <w:spacing w:line="560" w:lineRule="exact"/>
        <w:widowControl/>
        <w:rPr>
          <w:rFonts w:hint="eastAsia" w:ascii="Times New Roman" w:hAnsi="Times New Roman"/>
          <w:color w:val="000000" w:themeColor="text1"/>
          <w:sz w:val="24"/>
          <w:szCs w:val="32"/>
          <w:highlight w:val="none"/>
          <w14:textFill>
            <w14:solidFill>
              <w14:schemeClr w14:val="tx1"/>
            </w14:solidFill>
          </w14:textFill>
        </w:rPr>
      </w:pPr>
      <w:r>
        <w:rPr>
          <w:rFonts w:hint="eastAsia" w:ascii="Times New Roman" w:hAnsi="Times New Roman"/>
          <w:color w:val="000000" w:themeColor="text1"/>
          <w:sz w:val="24"/>
          <w:szCs w:val="32"/>
          <w:highlight w:val="none"/>
          <w14:textFill>
            <w14:solidFill>
              <w14:schemeClr w14:val="tx1"/>
            </w14:solidFill>
          </w14:textFill>
        </w:rPr>
        <w:t xml:space="preserve">注：</w:t>
      </w:r>
      <w:r>
        <w:rPr>
          <w:rFonts w:hint="eastAsia"/>
          <w:color w:val="000000" w:themeColor="text1"/>
          <w:sz w:val="24"/>
          <w:szCs w:val="32"/>
          <w:highlight w:val="none"/>
          <w:lang w:val="en-US" w:eastAsia="zh-CN"/>
          <w14:textFill>
            <w14:solidFill>
              <w14:schemeClr w14:val="tx1"/>
            </w14:solidFill>
          </w14:textFill>
        </w:rPr>
        <w:t xml:space="preserve">1.</w:t>
      </w:r>
      <w:r>
        <w:rPr>
          <w:rFonts w:hint="eastAsia" w:ascii="Times New Roman" w:hAnsi="Times New Roman"/>
          <w:color w:val="000000" w:themeColor="text1"/>
          <w:sz w:val="24"/>
          <w:szCs w:val="32"/>
          <w:highlight w:val="none"/>
          <w14:textFill>
            <w14:solidFill>
              <w14:schemeClr w14:val="tx1"/>
            </w14:solidFill>
          </w14:textFill>
        </w:rPr>
        <w:t xml:space="preserve">以上检测项目可在同一份或多份CMA报告中体现，但须完整覆盖。</w:t>
      </w:r>
      <w:r/>
    </w:p>
    <w:p>
      <w:pPr>
        <w:ind w:firstLine="480"/>
        <w:spacing w:line="400" w:lineRule="exact"/>
        <w:widowControl/>
        <w:rPr>
          <w:rFonts w:hint="default" w:ascii="Times New Roman" w:hAnsi="Times New Roman"/>
          <w:color w:val="000000" w:themeColor="text1"/>
          <w:sz w:val="24"/>
          <w:szCs w:val="32"/>
          <w:highlight w:val="none"/>
          <w:lang w:val="en-US" w:eastAsia="zh-CN"/>
          <w14:textFill>
            <w14:solidFill>
              <w14:schemeClr w14:val="tx1"/>
            </w14:solidFill>
          </w14:textFill>
        </w:rPr>
      </w:pPr>
      <w:r>
        <w:rPr>
          <w:rFonts w:hint="eastAsia" w:ascii="宋体" w:hAnsi="宋体"/>
          <w:color w:val="000000" w:themeColor="text1"/>
          <w:sz w:val="24"/>
          <w:szCs w:val="32"/>
          <w:highlight w:val="none"/>
          <w14:textFill>
            <w14:solidFill>
              <w14:schemeClr w14:val="tx1"/>
            </w14:solidFill>
          </w14:textFill>
        </w:rPr>
        <w:t xml:space="preserve">2.在项目履约及验收阶段，所有检测标准均依据国家级行业现行有效标准。</w:t>
      </w:r>
      <w:r/>
    </w:p>
    <w:p>
      <w:pPr>
        <w:numPr>
          <w:ilvl w:val="0"/>
          <w:numId w:val="0"/>
        </w:numPr>
        <w:ind w:left="420"/>
        <w:jc w:val="left"/>
        <w:spacing w:line="500" w:lineRule="exact"/>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五、投标样品提供</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.2投标供应商递交以下样品：</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.2.1材料样品一套：请投标供应商按照招标文件的要求提供所投产品的小样，具体如下：</w:t>
      </w:r>
      <w:r/>
    </w:p>
    <w:tbl>
      <w:tblPr>
        <w:tblStyle w:val="741"/>
        <w:tblW w:w="5300" w:type="pct"/>
        <w:jc w:val="center"/>
        <w:tblLayout w:type="fixed"/>
        <w:tblCellMar>
          <w:left w:w="108" w:type="dxa"/>
          <w:top w:w="0" w:type="dxa"/>
          <w:right w:w="108" w:type="dxa"/>
          <w:bottom w:w="0" w:type="dxa"/>
        </w:tblCellMar>
        <w:tblLook w:val="04A0" w:firstRow="1" w:lastRow="0" w:firstColumn="1" w:lastColumn="0" w:noHBand="0" w:noVBand="1"/>
      </w:tblPr>
      <w:tblGrid>
        <w:gridCol w:w="595"/>
        <w:gridCol w:w="885"/>
        <w:gridCol w:w="1718"/>
        <w:gridCol w:w="4810"/>
        <w:gridCol w:w="1032"/>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样品名称</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样品尺寸</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bookmarkStart w:id="199" w:name="OLE_LINK125"/>
            <w:r>
              <w:rPr>
                <w:rFonts w:ascii="Times New Roman" w:hAnsi="Times New Roman"/>
                <w:b/>
                <w:bCs/>
                <w:color w:val="000000" w:themeColor="text1"/>
                <w:sz w:val="24"/>
                <w:szCs w:val="24"/>
                <w:highlight w:val="none"/>
                <w14:textFill>
                  <w14:solidFill>
                    <w14:schemeClr w14:val="tx1"/>
                  </w14:solidFill>
                </w14:textFill>
              </w:rPr>
              <w:t xml:space="preserve">样品</w:t>
            </w:r>
            <w:r>
              <w:rPr>
                <w:rFonts w:hint="eastAsia" w:ascii="Times New Roman" w:hAnsi="Times New Roman"/>
                <w:b/>
                <w:bCs/>
                <w:color w:val="000000" w:themeColor="text1"/>
                <w:sz w:val="24"/>
                <w:szCs w:val="24"/>
                <w:highlight w:val="none"/>
                <w14:textFill>
                  <w14:solidFill>
                    <w14:schemeClr w14:val="tx1"/>
                  </w14:solidFill>
                </w14:textFill>
              </w:rPr>
              <w:t xml:space="preserve">材质、工艺、外观</w:t>
            </w:r>
            <w:bookmarkEnd w:id="199"/>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备注</w:t>
            </w:r>
            <w:r/>
          </w:p>
        </w:tc>
      </w:tr>
      <w:tr>
        <w:trPr>
          <w:jc w:val="center"/>
          <w:trHeight w:val="58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床前护栏</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850mm（含推拉窗，推拉窗整体格:≥700*300*40mm）</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高度≥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450mm</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采用钢、铝、塑、木材料</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工艺：嵌入一块18mm厚的实木多层板</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前护栏带推拉窗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推拉窗整体规格：700*300*40，外形采用跑道圆设计，圆弧部分</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ABS</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材质注塑工艺一次成型，滑道采用铝型材，设一个观察窗。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无流挂、疙瘩、皱皮等缺陷，安全稳定</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不生锈、不掉漆的特性；焊接表面波纹均匀，焊接处无夹渣、气孔、焊瘤、焊丝头咬边飞溅，无脱焊、虚焊及焊穿现象。整体美观，表面涂层应光滑均匀，色泽一致</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立柱</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立面成型后尺寸规格≥72mm*72mm，壁厚≥1.5mm</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材质：钢；立柱脚采用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塑料的防滑静音内塞。</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工艺：立面为中空异形闭口型材，正面为圆弧形设计，无流挂、疙瘩、皱皮等缺陷，安全稳定。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外观：整体美观，表面涂层应光滑均匀，色泽一致。</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前/后床厅管/侧床厅矩形管</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立面尺寸≥80mm*30mm管,壁厚≥1.5mm</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整体美观，表面涂层应光滑均匀，色泽一致</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衣柜柜门</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门板尺寸：</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300mm×300mm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带铝合金暗拉手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采用≥</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18mm厚</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门板采用铝合金暗扣拉手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配置隐藏式圆柱孔门锁</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，四周边缘采用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环保塑料成型注塑封边，</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材质均匀细腻，表面平整光滑无瑕疵，结构稳定且不易变形开裂，拉手手感顺滑无毛刺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外观造型要求，整体美观，色彩搭配合理</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桌面板</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尺寸</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300mm×300mm截面厚度</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≥25mm</w:t>
            </w:r>
            <w:r/>
          </w:p>
        </w:tc>
        <w:tc>
          <w:tcPr>
            <w:tcBorders>
              <w:top w:val="single" w:color="000000" w:sz="4" w:space="0"/>
              <w:left w:val="single" w:color="000000" w:sz="4" w:space="0"/>
              <w:bottom w:val="none" w:color="000000" w:sz="4" w:space="0"/>
              <w:right w:val="single" w:color="000000" w:sz="4" w:space="0"/>
            </w:tcBorders>
            <w:tcW w:w="481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前口鸭嘴边设计，其余三边圆弧角设计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具有较高的强度和平整度。</w:t>
            </w:r>
            <w:r/>
          </w:p>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平整光滑、无异味，无开裂现象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none" w:color="000000" w:sz="4" w:space="0"/>
              <w:right w:val="single" w:color="000000" w:sz="4" w:space="0"/>
            </w:tcBorders>
            <w:tcW w:w="1032"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铰链</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工艺：手感顺滑无毛刺、无可见的变形、翘曲。</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外观：整体安全美观，耐磨损等特性。</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导轨</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工艺：轨道推拉顺滑无卡顿。</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床板</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长度300mm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br/>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宽度≥70mm，</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厚度≥18mm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双面刨光杉木床板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每两根木条的距离间隙≤10mm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每块床板需要有≥4根（≥40×20mm）实木方料做横档加固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板条与横档需要用不锈钢螺丝固定连接</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材质均匀细腻，表面平整光滑无瑕疵,具有较高的强度和平整度。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造型要求，平整光滑、无异味，无开裂现象</w:t>
            </w:r>
            <w:r>
              <w:rPr>
                <w:rFonts w:hint="eastAsia" w:ascii="Times New Roman" w:hAnsi="Times New Roman" w:eastAsia="宋体" w:cs="Times New Roman"/>
                <w:color w:val="000000" w:themeColor="text1"/>
                <w:sz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学生椅</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line="374"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尺寸：≥450*500*850mm</w:t>
            </w:r>
            <w:r>
              <w:rPr>
                <w:rFonts w:hint="eastAsia" w:ascii="Times New Roman" w:hAnsi="Times New Roman"/>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PP(聚丙烯)</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工艺及细节要求：1.椅座：一体成型，</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厚度≥8mm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座面安装高度≥440mm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深装饰沟槽面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背面配PP材质弧形螺丝闷盖</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2.椅背：</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一体成型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厚度≥6mm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座椅总高度≥850mm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背宽≥410mm，背高≥410mm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座宽≥450mm，座深≥500mm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防滑透气面设有多根筋位，防滑透气；</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椅脚：采用圆管≥φ19mm*2.0mm厚</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地脚配有4个PP材质脚垫。</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喷塑涂层厚薄均匀、无流挂、无褶皱，结构稳定，符合人体工程学。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造型要求，整体安全美观，边口圆润光滑无毛刺，平整牢固。</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整件</w:t>
            </w:r>
            <w:r/>
          </w:p>
        </w:tc>
      </w:tr>
    </w:tbl>
    <w:p>
      <w:pPr>
        <w:ind w:firstLine="48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注:</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（1）</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样品制作标准参照采购需求中的技术参数要求制作。</w:t>
      </w:r>
      <w:r/>
    </w:p>
    <w:p>
      <w:pPr>
        <w:numPr>
          <w:ilvl w:val="0"/>
          <w:numId w:val="0"/>
        </w:numPr>
        <w:ind w:left="420"/>
        <w:jc w:val="left"/>
        <w:spacing w:line="431" w:lineRule="exact"/>
        <w:rPr>
          <w:rFonts w:hint="eastAsia"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投标人所提供的样品与招标文件要求不符合或未提供对应样品不得分，3D打印的样品不得分。</w:t>
      </w:r>
      <w:r/>
    </w:p>
    <w:p>
      <w:pPr>
        <w:numPr>
          <w:ilvl w:val="0"/>
          <w:numId w:val="0"/>
        </w:numPr>
        <w:ind w:left="42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采购包1、采购包2、采购包3涉及的相同样品（如：床前护栏、立柱、前/后床厅管、侧床厅矩形管、衣柜柜门、桌面板、铰链、导轨、学生椅、床板），投标人可选择整体提交一套，也可选择按采购包分别提供。</w:t>
      </w:r>
      <w:r/>
    </w:p>
    <w:p>
      <w:pPr>
        <w:numPr>
          <w:ilvl w:val="0"/>
          <w:numId w:val="0"/>
        </w:numPr>
        <w:ind w:left="42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样品提交</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（1）投标人提供的样品应为全新的产品。样品提交时间：2026年</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月   </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日</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上午10</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30-12:00、下午14:00-17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0。</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样品不显示品牌、制造商及投标单位名称信息。样品制作及运输费用由投标人自行承担，因投标人原因导致样品无法按要求送达指定地点的，责任由投标人自负。</w:t>
      </w:r>
      <w:r/>
    </w:p>
    <w:p>
      <w:pPr>
        <w:ind w:firstLine="480"/>
        <w:spacing w:line="360" w:lineRule="auto"/>
        <w:widowControl/>
        <w:rPr>
          <w:rFonts w:hint="default"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采购人接收及退还要求</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（1）样品由采购人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和采购代理机构</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负责接收，每种样品只接收一个。接收地点：宿迁市公共资源交易中心（宿迁市便民方舟2#10</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层</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或</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11</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层</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开标厅，具体房间号按现场指示牌要求执行）。联系人：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杨</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老师</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，联系方式：13218917936；李许静，联系方式：18036985612。</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样品递交截止时间后递交的样品将被拒绝接收。</w:t>
      </w:r>
      <w:r/>
    </w:p>
    <w:p>
      <w:pPr>
        <w:ind w:firstLine="480"/>
        <w:spacing w:line="360" w:lineRule="auto"/>
        <w:widowControl/>
        <w:rPr>
          <w:rFonts w:hint="eastAsia" w:ascii="宋体" w:hAnsi="宋体" w:eastAsia="宋体" w:cs="Times New Roman"/>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2）样品的退还。未中标样品在在招标投标活动结束后由投标人自行搬运离开（费用自理）。各投标人应在接到退还通知后，48小时内将样品搬离；超时未取走的，由采购人自行处置。中标人的样品由中标人负责运送到采购人指定地点并封存，作为履约验收参考。</w:t>
      </w:r>
      <w:r/>
    </w:p>
    <w:p>
      <w:pPr>
        <w:ind w:firstLine="480"/>
        <w:spacing w:line="360" w:lineRule="auto"/>
        <w:widowControl/>
        <w:rPr>
          <w:rFonts w:hint="default" w:ascii="宋体" w:hAnsi="宋体" w:eastAsia="宋体" w:cs="Times New Roman"/>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投标人提交、取回样品时，不得破坏或损毁其他投标人的样品，也不得对其他投标人的样品拍照、录像。</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样板间要求</w:t>
      </w:r>
      <w:r/>
    </w:p>
    <w:p>
      <w:pPr>
        <w:ind w:firstLine="480"/>
        <w:jc w:val="left"/>
        <w:spacing w:line="431" w:lineRule="exac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numPr>
          <w:ilvl w:val="0"/>
          <w:numId w:val="0"/>
        </w:numPr>
        <w:spacing w:line="0" w:lineRule="atLeast"/>
        <w:rPr>
          <w:rFonts w:hint="eastAsia" w:ascii="宋体" w:hAnsi="宋体" w:cs="Times New Roman"/>
          <w:b/>
          <w:color w:val="000000" w:themeColor="text1"/>
          <w:sz w:val="30"/>
          <w:szCs w:val="30"/>
          <w:highlight w:val="none"/>
          <w:lang w:val="en-US" w:eastAsia="zh-CN"/>
          <w14:textFill>
            <w14:solidFill>
              <w14:schemeClr w14:val="tx1"/>
            </w14:solidFill>
          </w14:textFill>
        </w:rPr>
      </w:pPr>
      <w:r>
        <w:rPr>
          <w:rFonts w:hint="eastAsia" w:ascii="宋体" w:hAnsi="宋体" w:eastAsia="宋体" w:cs="Times New Roman"/>
          <w:b/>
          <w:color w:val="000000" w:themeColor="text1"/>
          <w:sz w:val="30"/>
          <w:szCs w:val="30"/>
          <w:highlight w:val="none"/>
          <w14:textFill>
            <w14:solidFill>
              <w14:schemeClr w14:val="tx1"/>
            </w14:solidFill>
          </w14:textFill>
        </w:rPr>
        <w:t xml:space="preserve">采购包</w:t>
      </w:r>
      <w:r>
        <w:rPr>
          <w:rFonts w:hint="eastAsia" w:ascii="宋体" w:hAnsi="宋体" w:cs="Times New Roman"/>
          <w:b/>
          <w:color w:val="000000" w:themeColor="text1"/>
          <w:sz w:val="30"/>
          <w:szCs w:val="30"/>
          <w:highlight w:val="none"/>
          <w:lang w:val="en-US" w:eastAsia="zh-CN"/>
          <w14:textFill>
            <w14:solidFill>
              <w14:schemeClr w14:val="tx1"/>
            </w14:solidFill>
          </w14:textFill>
        </w:rPr>
        <w:t xml:space="preserve">3</w:t>
      </w:r>
      <w:r/>
    </w:p>
    <w:p>
      <w:pPr>
        <w:ind w:firstLine="480"/>
        <w:spacing w:line="360" w:lineRule="auto"/>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pPr>
      <w:r>
        <w:rPr>
          <w:rFonts w:hint="default" w:ascii="Calibri" w:hAnsi="Calibri" w:eastAsia="宋体" w:cs="Times New Roman"/>
          <w:b/>
          <w:bCs w:val="0"/>
          <w:color w:val="000000" w:themeColor="text1"/>
          <w:sz w:val="24"/>
          <w:szCs w:val="24"/>
          <w:highlight w:val="none"/>
          <w:lang w:val="en-US" w:eastAsia="zh-CN" w:bidi="ar-SA"/>
          <w14:textFill>
            <w14:solidFill>
              <w14:schemeClr w14:val="tx1"/>
            </w14:solidFill>
          </w14:textFill>
        </w:rPr>
        <w:t xml:space="preserve">一、基本情况</w:t>
      </w:r>
      <w:r/>
    </w:p>
    <w:p>
      <w:pPr>
        <w:ind w:firstLine="480"/>
        <w:spacing w:line="360" w:lineRule="auto"/>
        <w:widowControl/>
        <w:rPr>
          <w:rFonts w:hint="default" w:ascii="Calibri" w:hAnsi="Calibri" w:eastAsia="宋体" w:cs="Times New Roman"/>
          <w:bCs/>
          <w:color w:val="000000" w:themeColor="text1"/>
          <w:sz w:val="24"/>
          <w:szCs w:val="24"/>
          <w:highlight w:val="none"/>
          <w:lang w:val="en-US" w:bidi="ar-SA"/>
          <w14:textFill>
            <w14:solidFill>
              <w14:schemeClr w14:val="tx1"/>
            </w14:solidFill>
          </w14:textFill>
        </w:rPr>
      </w:pP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1.</w:t>
      </w:r>
      <w:r>
        <w:rPr>
          <w:rFonts w:hint="eastAsia" w:ascii="Calibri" w:hAnsi="Calibri" w:cs="Times New Roman"/>
          <w:bCs/>
          <w:color w:val="000000" w:themeColor="text1"/>
          <w:sz w:val="24"/>
          <w:szCs w:val="24"/>
          <w:highlight w:val="none"/>
          <w:lang w:val="en-US" w:eastAsia="zh-CN" w:bidi="ar-SA"/>
          <w14:textFill>
            <w14:solidFill>
              <w14:schemeClr w14:val="tx1"/>
            </w14:solidFill>
          </w14:textFill>
        </w:rPr>
        <w:t xml:space="preserve">1</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 预算金额：</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526</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万元</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w:t>
      </w:r>
      <w:r/>
    </w:p>
    <w:p>
      <w:pPr>
        <w:ind w:firstLine="480"/>
        <w:spacing w:line="360" w:lineRule="auto"/>
        <w:widowControl/>
        <w:rPr>
          <w:rFonts w:hint="default" w:ascii="Calibri" w:hAnsi="Calibri" w:eastAsia="宋体" w:cs="Times New Roman"/>
          <w:bCs/>
          <w:color w:val="000000" w:themeColor="text1"/>
          <w:sz w:val="24"/>
          <w:szCs w:val="24"/>
          <w:highlight w:val="none"/>
          <w:lang w:val="en-US" w:bidi="ar-SA"/>
          <w14:textFill>
            <w14:solidFill>
              <w14:schemeClr w14:val="tx1"/>
            </w14:solidFill>
          </w14:textFill>
        </w:rPr>
      </w:pP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1.</w:t>
      </w:r>
      <w:r>
        <w:rPr>
          <w:rFonts w:hint="eastAsia" w:ascii="Calibri" w:hAnsi="Calibri" w:cs="Times New Roman"/>
          <w:bCs/>
          <w:color w:val="000000" w:themeColor="text1"/>
          <w:sz w:val="24"/>
          <w:szCs w:val="24"/>
          <w:highlight w:val="none"/>
          <w:lang w:val="en-US" w:eastAsia="zh-CN" w:bidi="ar-SA"/>
          <w14:textFill>
            <w14:solidFill>
              <w14:schemeClr w14:val="tx1"/>
            </w14:solidFill>
          </w14:textFill>
        </w:rPr>
        <w:t xml:space="preserve">2</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设定最高限价，最高限价为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426</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万元。</w:t>
      </w:r>
      <w:r/>
    </w:p>
    <w:p>
      <w:pPr>
        <w:ind w:firstLine="480"/>
        <w:spacing w:line="360" w:lineRule="auto"/>
        <w:widowControl/>
        <w:rPr>
          <w:rFonts w:hint="default" w:ascii="Calibri" w:hAnsi="Calibri" w:eastAsia="宋体" w:cs="Times New Roman"/>
          <w:bCs/>
          <w:color w:val="000000" w:themeColor="text1"/>
          <w:sz w:val="24"/>
          <w:szCs w:val="24"/>
          <w:highlight w:val="none"/>
          <w:lang w:val="en-US" w:bidi="ar-SA"/>
          <w14:textFill>
            <w14:solidFill>
              <w14:schemeClr w14:val="tx1"/>
            </w14:solidFill>
          </w14:textFill>
        </w:rPr>
      </w:pP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1.</w:t>
      </w:r>
      <w:r>
        <w:rPr>
          <w:rFonts w:hint="eastAsia" w:ascii="Calibri" w:hAnsi="Calibri" w:cs="Times New Roman"/>
          <w:bCs/>
          <w:color w:val="000000" w:themeColor="text1"/>
          <w:sz w:val="24"/>
          <w:szCs w:val="24"/>
          <w:highlight w:val="none"/>
          <w:lang w:val="en-US" w:eastAsia="zh-CN" w:bidi="ar-SA"/>
          <w14:textFill>
            <w14:solidFill>
              <w14:schemeClr w14:val="tx1"/>
            </w14:solidFill>
          </w14:textFill>
        </w:rPr>
        <w:t xml:space="preserve">3</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采购需求：</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爬梯款</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家具采购，包括家具制作、运输、装卸、安装、调试及售后三包服务等。</w:t>
      </w:r>
      <w:r/>
    </w:p>
    <w:p>
      <w:pPr>
        <w:ind w:firstLine="480"/>
        <w:spacing w:line="360" w:lineRule="auto"/>
        <w:widowControl/>
        <w:rPr>
          <w:rFonts w:hint="default" w:ascii="Calibri" w:hAnsi="Calibri" w:eastAsia="宋体" w:cs="Times New Roman"/>
          <w:bCs/>
          <w:color w:val="000000" w:themeColor="text1"/>
          <w:sz w:val="24"/>
          <w:szCs w:val="24"/>
          <w:highlight w:val="none"/>
          <w:lang w:val="en-US" w:bidi="ar-SA"/>
          <w14:textFill>
            <w14:solidFill>
              <w14:schemeClr w14:val="tx1"/>
            </w14:solidFill>
          </w14:textFill>
        </w:rPr>
      </w:pP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1.</w:t>
      </w:r>
      <w:r>
        <w:rPr>
          <w:rFonts w:hint="eastAsia" w:ascii="Calibri" w:hAnsi="Calibri" w:cs="Times New Roman"/>
          <w:bCs/>
          <w:color w:val="000000" w:themeColor="text1"/>
          <w:sz w:val="24"/>
          <w:szCs w:val="24"/>
          <w:highlight w:val="none"/>
          <w:lang w:val="en-US" w:eastAsia="zh-CN" w:bidi="ar-SA"/>
          <w14:textFill>
            <w14:solidFill>
              <w14:schemeClr w14:val="tx1"/>
            </w14:solidFill>
          </w14:textFill>
        </w:rPr>
        <w:t xml:space="preserve">4</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实施地点：采购人指定地点。</w:t>
      </w:r>
      <w:r/>
    </w:p>
    <w:p>
      <w:pPr>
        <w:ind w:firstLine="480"/>
        <w:spacing w:line="360" w:lineRule="auto"/>
        <w:rPr>
          <w:rFonts w:hint="default" w:ascii="Calibri" w:hAnsi="Calibri" w:eastAsia="宋体" w:cs="Times New Roman"/>
          <w:color w:val="000000" w:themeColor="text1"/>
          <w:sz w:val="24"/>
          <w:szCs w:val="24"/>
          <w:highlight w:val="none"/>
          <w:lang w:val="en-US" w:bidi="ar-SA"/>
          <w14:textFill>
            <w14:solidFill>
              <w14:schemeClr w14:val="tx1"/>
            </w14:solidFill>
          </w14:textFill>
        </w:rPr>
      </w:pP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1.</w:t>
      </w:r>
      <w:r>
        <w:rPr>
          <w:rFonts w:hint="eastAsia" w:ascii="Calibri" w:hAnsi="Calibri" w:cs="Times New Roman"/>
          <w:bCs/>
          <w:color w:val="000000" w:themeColor="text1"/>
          <w:sz w:val="24"/>
          <w:szCs w:val="24"/>
          <w:highlight w:val="none"/>
          <w:lang w:val="en-US" w:eastAsia="zh-CN" w:bidi="ar-SA"/>
          <w14:textFill>
            <w14:solidFill>
              <w14:schemeClr w14:val="tx1"/>
            </w14:solidFill>
          </w14:textFill>
        </w:rPr>
        <w:t xml:space="preserve">5</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实施时间期限：</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合同履行期限：合同签订后50日历天内送到甲方指定地点完成安装、调试、检测并经验收合格后交付甲方使用（含二次搬运费）。</w:t>
      </w:r>
      <w:r/>
    </w:p>
    <w:p>
      <w:pPr>
        <w:ind w:firstLine="480"/>
        <w:spacing w:line="360" w:lineRule="auto"/>
        <w:rPr>
          <w:rFonts w:hint="default" w:ascii="宋体" w:hAnsi="宋体" w:cs="Times New Roman"/>
          <w:b/>
          <w:color w:val="000000" w:themeColor="text1"/>
          <w:sz w:val="30"/>
          <w:szCs w:val="30"/>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14:textFill>
            <w14:solidFill>
              <w14:schemeClr w14:val="tx1"/>
            </w14:solidFill>
          </w14:textFill>
        </w:rPr>
        <w:t xml:space="preserve">采购标的所属行业为：工业</w:t>
      </w:r>
      <w:r/>
    </w:p>
    <w:p>
      <w:pPr>
        <w:ind w:firstLine="480"/>
        <w:spacing w:line="360" w:lineRule="auto"/>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pPr>
      <w:r>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t xml:space="preserve">二、采购标的清单</w:t>
      </w:r>
      <w:r/>
    </w:p>
    <w:tbl>
      <w:tblPr>
        <w:tblStyle w:val="741"/>
        <w:tblpPr w:horzAnchor="page" w:tblpXSpec="center" w:vertAnchor="text" w:tblpY="301" w:leftFromText="180" w:topFromText="0" w:rightFromText="180" w:bottomFromText="0"/>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665"/>
        <w:gridCol w:w="2628"/>
        <w:gridCol w:w="825"/>
        <w:gridCol w:w="1032"/>
        <w:gridCol w:w="930"/>
        <w:gridCol w:w="1821"/>
      </w:tblGrid>
      <w:tr>
        <w:trPr>
          <w:jc w:val="center"/>
          <w:trHeight w:val="567"/>
        </w:trPr>
        <w:tc>
          <w:tcPr>
            <w:tcW w:w="65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序号</w:t>
            </w:r>
            <w:r/>
          </w:p>
        </w:tc>
        <w:tc>
          <w:tcPr>
            <w:tcW w:w="166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名称</w:t>
            </w:r>
            <w:r/>
          </w:p>
        </w:tc>
        <w:tc>
          <w:tcPr>
            <w:tcW w:w="2628"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规格</w:t>
            </w:r>
            <w:r/>
          </w:p>
        </w:tc>
        <w:tc>
          <w:tcPr>
            <w:tcW w:w="82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单位</w:t>
            </w:r>
            <w:r/>
          </w:p>
        </w:tc>
        <w:tc>
          <w:tcPr>
            <w:tcW w:w="1032"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数量</w:t>
            </w:r>
            <w:r/>
          </w:p>
        </w:tc>
        <w:tc>
          <w:tcPr>
            <w:tcW w:w="930"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是否核心产品</w:t>
            </w:r>
            <w:r/>
          </w:p>
        </w:tc>
        <w:tc>
          <w:tcPr>
            <w:tcW w:w="1821"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对应中小企业划分标准所属行业</w:t>
            </w:r>
            <w:r/>
          </w:p>
        </w:tc>
      </w:tr>
      <w:tr>
        <w:trPr>
          <w:jc w:val="center"/>
          <w:trHeight w:val="578"/>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tcW w:w="166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上床下柜（桌）组合家具</w:t>
            </w:r>
            <w:r/>
          </w:p>
        </w:tc>
        <w:tc>
          <w:tcPr>
            <w:tcW w:w="2628"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2010*930*3050mm</w:t>
            </w:r>
            <w:r/>
          </w:p>
        </w:tc>
        <w:tc>
          <w:tcPr>
            <w:tcW w:w="82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套</w:t>
            </w:r>
            <w:r/>
          </w:p>
        </w:tc>
        <w:tc>
          <w:tcPr>
            <w:tcW w:w="1032"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1044</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是</w:t>
            </w:r>
            <w:r/>
          </w:p>
        </w:tc>
        <w:tc>
          <w:tcPr>
            <w:tcW w:w="182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jc w:val="center"/>
          <w:trHeight w:val="563"/>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储物柜</w:t>
            </w:r>
            <w:r/>
          </w:p>
        </w:tc>
        <w:tc>
          <w:tcPr>
            <w:tcW w:w="2628"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930*530*2330mm</w:t>
            </w:r>
            <w:r/>
          </w:p>
        </w:tc>
        <w:tc>
          <w:tcPr>
            <w:tcW w:w="82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套</w:t>
            </w:r>
            <w:r/>
          </w:p>
        </w:tc>
        <w:tc>
          <w:tcPr>
            <w:tcW w:w="1032"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261</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否</w:t>
            </w:r>
            <w:r/>
          </w:p>
        </w:tc>
        <w:tc>
          <w:tcPr>
            <w:tcW w:w="182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jc w:val="center"/>
          <w:trHeight w:val="572"/>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学生椅</w:t>
            </w:r>
            <w:r/>
          </w:p>
        </w:tc>
        <w:tc>
          <w:tcPr>
            <w:tcW w:w="2628"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450*500*850mm</w:t>
            </w:r>
            <w:r/>
          </w:p>
        </w:tc>
        <w:tc>
          <w:tcPr>
            <w:tcW w:w="82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把</w:t>
            </w:r>
            <w:r/>
          </w:p>
        </w:tc>
        <w:tc>
          <w:tcPr>
            <w:tcW w:w="1032"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2044</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否</w:t>
            </w:r>
            <w:r/>
          </w:p>
        </w:tc>
        <w:tc>
          <w:tcPr>
            <w:tcW w:w="182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bl>
    <w:p>
      <w:pPr>
        <w:numPr>
          <w:ilvl w:val="0"/>
          <w:numId w:val="0"/>
        </w:numPr>
        <w:spacing w:line="0" w:lineRule="atLeas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0"/>
        <w:spacing w:line="360" w:lineRule="auto"/>
        <w:rPr>
          <w:rFonts w:hint="eastAsia" w:ascii="Calibri" w:hAnsi="Calibri" w:eastAsia="宋体" w:cs="Times New Roman"/>
          <w:bCs/>
          <w:color w:val="000000" w:themeColor="text1"/>
          <w:sz w:val="24"/>
          <w:szCs w:val="24"/>
          <w:highlight w:val="none"/>
          <w:lang w:val="en-US" w:eastAsia="zh-CN" w:bidi="ar-SA"/>
          <w14:textFill>
            <w14:solidFill>
              <w14:schemeClr w14:val="tx1"/>
            </w14:solidFill>
          </w14:textFill>
        </w:rPr>
      </w:pPr>
      <w:r>
        <w:rPr>
          <w:rFonts w:hint="eastAsia" w:ascii="Calibri" w:hAnsi="Calibri" w:eastAsia="宋体" w:cs="Times New Roman"/>
          <w:bCs/>
          <w:color w:val="000000" w:themeColor="text1"/>
          <w:sz w:val="24"/>
          <w:szCs w:val="24"/>
          <w:highlight w:val="none"/>
          <w:lang w:val="en-US" w:eastAsia="zh-CN" w:bidi="ar-SA"/>
          <w14:textFill>
            <w14:solidFill>
              <w14:schemeClr w14:val="tx1"/>
            </w14:solidFill>
          </w14:textFill>
        </w:rPr>
        <w:t xml:space="preserve">注：当采购数量与实际使用数量不一致时，中标人应根据实际使用量供货，合同的最终结算金额按实际使用量乘以中标单价进行计算。</w:t>
      </w:r>
      <w:r/>
    </w:p>
    <w:p>
      <w:pPr>
        <w:ind w:firstLine="480"/>
        <w:spacing w:line="360" w:lineRule="auto"/>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pPr>
      <w:r>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t xml:space="preserve">三、采购图纸及技术参数要求</w:t>
      </w:r>
      <w:bookmarkStart w:id="200" w:name="_Toc120614281"/>
      <w:r/>
      <w:r/>
    </w:p>
    <w:p>
      <w:pPr>
        <w:ind w:firstLine="480"/>
        <w:spacing w:line="360" w:lineRule="auto"/>
        <w:rPr>
          <w:rFonts w:hint="eastAsia" w:ascii="Calibri" w:hAnsi="Calibri" w:eastAsia="宋体" w:cs="Times New Roman"/>
          <w:bCs/>
          <w:color w:val="000000" w:themeColor="text1"/>
          <w:sz w:val="24"/>
          <w:szCs w:val="24"/>
          <w:highlight w:val="none"/>
          <w:lang w:val="en-US" w:eastAsia="zh-CN" w:bidi="ar-SA"/>
          <w14:textFill>
            <w14:solidFill>
              <w14:schemeClr w14:val="tx1"/>
            </w14:solidFill>
          </w14:textFill>
        </w:rPr>
      </w:pPr>
      <w:r>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t xml:space="preserve">3.1采购图纸</w:t>
      </w:r>
      <w:r>
        <w:rPr>
          <w:rFonts w:hint="eastAsia" w:ascii="Calibri" w:hAnsi="Calibri" w:eastAsia="宋体" w:cs="Times New Roman"/>
          <w:bCs/>
          <w:color w:val="000000" w:themeColor="text1"/>
          <w:sz w:val="24"/>
          <w:szCs w:val="24"/>
          <w:highlight w:val="none"/>
          <w:lang w:val="en-US" w:eastAsia="zh-CN" w:bidi="ar-SA"/>
          <w14:textFill>
            <w14:solidFill>
              <w14:schemeClr w14:val="tx1"/>
            </w14:solidFill>
          </w14:textFill>
        </w:rPr>
        <w:t xml:space="preserve">（图纸与技术参数不一致之处，以技术参数要求为准）</w:t>
      </w:r>
      <w:r/>
    </w:p>
    <w:p>
      <w:pPr>
        <w:ind w:firstLine="480"/>
        <w:spacing w:line="360" w:lineRule="auto"/>
        <w:rPr>
          <w:rFonts w:hint="default" w:ascii="Calibri" w:hAnsi="Calibri" w:eastAsia="宋体" w:cs="Times New Roman"/>
          <w:bCs/>
          <w:color w:val="000000" w:themeColor="text1"/>
          <w:sz w:val="24"/>
          <w:szCs w:val="24"/>
          <w:highlight w:val="none"/>
          <w:lang w:val="en-US" w:eastAsia="zh-CN" w:bidi="ar-SA"/>
          <w14:textFill>
            <w14:solidFill>
              <w14:schemeClr w14:val="tx1"/>
            </w14:solidFill>
          </w14:textFill>
        </w:rPr>
      </w:pPr>
      <w:r>
        <w:rPr>
          <w:rFonts w:hint="eastAsia" w:ascii="Calibri" w:hAnsi="Calibri" w:eastAsia="宋体" w:cs="Times New Roman"/>
          <w:bCs/>
          <w:color w:val="000000" w:themeColor="text1"/>
          <w:sz w:val="24"/>
          <w:szCs w:val="24"/>
          <w:highlight w:val="none"/>
          <w:lang w:val="en-US" w:eastAsia="zh-CN" w:bidi="ar-SA"/>
          <w14:textFill>
            <w14:solidFill>
              <w14:schemeClr w14:val="tx1"/>
            </w14:solidFill>
          </w14:textFill>
        </w:rPr>
        <w:t xml:space="preserve">房型2</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560060" cy="2612390"/>
                <wp:effectExtent l="0" t="0" r="2540" b="16510"/>
                <wp:docPr id="23"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4"/>
                        <a:stretch/>
                      </pic:blipFill>
                      <pic:spPr bwMode="auto">
                        <a:xfrm>
                          <a:off x="0" y="0"/>
                          <a:ext cx="5560060" cy="2612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37.8pt;height:205.7pt;mso-wrap-distance-left:0.0pt;mso-wrap-distance-top:0.0pt;mso-wrap-distance-right:0.0pt;mso-wrap-distance-bottom:0.0pt;" stroked="f">
                <v:path textboxrect="0,0,0,0"/>
                <v:imagedata r:id="rId24"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16905" cy="4039235"/>
                <wp:effectExtent l="0" t="0" r="17145" b="18415"/>
                <wp:docPr id="24"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5"/>
                        <a:stretch/>
                      </pic:blipFill>
                      <pic:spPr bwMode="auto">
                        <a:xfrm>
                          <a:off x="0" y="0"/>
                          <a:ext cx="5716905" cy="403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0.1pt;height:318.1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80455" cy="2691765"/>
                <wp:effectExtent l="0" t="0" r="10795" b="13335"/>
                <wp:docPr id="25"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6"/>
                        <a:srcRect l="0" t="19337" r="0" b="18980"/>
                        <a:stretch/>
                      </pic:blipFill>
                      <pic:spPr bwMode="auto">
                        <a:xfrm>
                          <a:off x="0" y="0"/>
                          <a:ext cx="6180455" cy="2691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86.6pt;height:211.9pt;mso-wrap-distance-left:0.0pt;mso-wrap-distance-top:0.0pt;mso-wrap-distance-right:0.0pt;mso-wrap-distance-bottom:0.0pt;" stroked="f">
                <v:path textboxrect="0,0,0,0"/>
                <v:imagedata r:id="rId26"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90285" cy="4302760"/>
                <wp:effectExtent l="0" t="0" r="5715" b="2540"/>
                <wp:docPr id="26"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7"/>
                        <a:stretch/>
                      </pic:blipFill>
                      <pic:spPr bwMode="auto">
                        <a:xfrm>
                          <a:off x="0" y="0"/>
                          <a:ext cx="6090285" cy="4302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9.5pt;height:338.8pt;mso-wrap-distance-left:0.0pt;mso-wrap-distance-top:0.0pt;mso-wrap-distance-right:0.0pt;mso-wrap-distance-bottom:0.0pt;" stroked="f">
                <v:path textboxrect="0,0,0,0"/>
                <v:imagedata r:id="rId27"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15380" cy="4391025"/>
                <wp:effectExtent l="0" t="0" r="13970" b="9525"/>
                <wp:docPr id="27"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8"/>
                        <a:stretch/>
                      </pic:blipFill>
                      <pic:spPr bwMode="auto">
                        <a:xfrm>
                          <a:off x="0" y="0"/>
                          <a:ext cx="6215380"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89.4pt;height:345.8pt;mso-wrap-distance-left:0.0pt;mso-wrap-distance-top:0.0pt;mso-wrap-distance-right:0.0pt;mso-wrap-distance-bottom:0.0pt;" stroked="f">
                <v:path textboxrect="0,0,0,0"/>
                <v:imagedata r:id="rId28"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63640" cy="4429125"/>
                <wp:effectExtent l="0" t="0" r="3810" b="9525"/>
                <wp:docPr id="28"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9"/>
                        <a:stretch/>
                      </pic:blipFill>
                      <pic:spPr bwMode="auto">
                        <a:xfrm>
                          <a:off x="0" y="0"/>
                          <a:ext cx="6263640" cy="442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93.2pt;height:348.8pt;mso-wrap-distance-left:0.0pt;mso-wrap-distance-top:0.0pt;mso-wrap-distance-right:0.0pt;mso-wrap-distance-bottom:0.0pt;" stroked="f">
                <v:path textboxrect="0,0,0,0"/>
                <v:imagedata r:id="rId29"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64530" cy="4072890"/>
                <wp:effectExtent l="0" t="0" r="7620" b="3810"/>
                <wp:docPr id="29"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30"/>
                        <a:srcRect l="0" t="44" r="0" b="43"/>
                        <a:stretch/>
                      </pic:blipFill>
                      <pic:spPr bwMode="auto">
                        <a:xfrm>
                          <a:off x="0" y="0"/>
                          <a:ext cx="5764530" cy="4072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53.9pt;height:320.7pt;mso-wrap-distance-left:0.0pt;mso-wrap-distance-top:0.0pt;mso-wrap-distance-right:0.0pt;mso-wrap-distance-bottom:0.0pt;" stroked="f">
                <v:path textboxrect="0,0,0,0"/>
                <v:imagedata r:id="rId30"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00115" cy="4243070"/>
                <wp:effectExtent l="0" t="0" r="635" b="5080"/>
                <wp:docPr id="30"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20"/>
                        <a:stretch/>
                      </pic:blipFill>
                      <pic:spPr bwMode="auto">
                        <a:xfrm>
                          <a:off x="0" y="0"/>
                          <a:ext cx="6000115" cy="424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2.4pt;height:334.1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18860" cy="4323080"/>
                <wp:effectExtent l="0" t="0" r="15240" b="1270"/>
                <wp:docPr id="31"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22"/>
                        <a:stretch/>
                      </pic:blipFill>
                      <pic:spPr bwMode="auto">
                        <a:xfrm>
                          <a:off x="0" y="0"/>
                          <a:ext cx="6118860" cy="432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1.8pt;height:340.4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66485" cy="4360545"/>
                <wp:effectExtent l="0" t="0" r="5715" b="1905"/>
                <wp:docPr id="32"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21"/>
                        <a:stretch/>
                      </pic:blipFill>
                      <pic:spPr bwMode="auto">
                        <a:xfrm>
                          <a:off x="0" y="0"/>
                          <a:ext cx="6166485" cy="4360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5.5pt;height:343.3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97905" cy="4308475"/>
                <wp:effectExtent l="0" t="0" r="17145" b="15875"/>
                <wp:docPr id="33"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31"/>
                        <a:stretch/>
                      </pic:blipFill>
                      <pic:spPr bwMode="auto">
                        <a:xfrm>
                          <a:off x="0" y="0"/>
                          <a:ext cx="6097905" cy="4308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0.1pt;height:339.2pt;mso-wrap-distance-left:0.0pt;mso-wrap-distance-top:0.0pt;mso-wrap-distance-right:0.0pt;mso-wrap-distance-bottom:0.0pt;" stroked="f">
                <v:path textboxrect="0,0,0,0"/>
                <v:imagedata r:id="rId31" o:title=""/>
              </v:shape>
            </w:pict>
          </mc:Fallback>
        </mc:AlternateContent>
      </w:r>
      <w:r/>
    </w:p>
    <w:p>
      <w:pPr>
        <w:jc w:val="left"/>
        <w:tabs>
          <w:tab w:val="left" w:pos="1086" w:leader="none"/>
        </w:tabs>
        <w:rPr>
          <w:rFonts w:hint="eastAsia" w:ascii="宋体" w:hAnsi="宋体"/>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19140" cy="4116070"/>
                <wp:effectExtent l="0" t="0" r="10160" b="17780"/>
                <wp:docPr id="34"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23"/>
                        <a:srcRect l="21" t="0" r="21" b="0"/>
                        <a:stretch/>
                      </pic:blipFill>
                      <pic:spPr bwMode="auto">
                        <a:xfrm>
                          <a:off x="0" y="0"/>
                          <a:ext cx="5819140" cy="411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58.2pt;height:324.1pt;mso-wrap-distance-left:0.0pt;mso-wrap-distance-top:0.0pt;mso-wrap-distance-right:0.0pt;mso-wrap-distance-bottom:0.0pt;" stroked="f">
                <v:path textboxrect="0,0,0,0"/>
                <v:imagedata r:id="rId23" o:title=""/>
              </v:shape>
            </w:pict>
          </mc:Fallback>
        </mc:AlternateContent>
      </w:r>
      <w:r/>
    </w:p>
    <w:p>
      <w:pPr>
        <w:jc w:val="lef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lef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lef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备注：</w:t>
      </w:r>
      <w:r/>
    </w:p>
    <w:p>
      <w:pPr>
        <w:ind w:firstLine="480"/>
        <w:jc w:val="both"/>
        <w:widowControl w:val="off"/>
        <w:rPr>
          <w:rFonts w:ascii="Times New Roman" w:hAnsi="Times New Roman" w:eastAsia="宋体" w:cs="Times New Roman"/>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ascii="宋体" w:hAnsi="宋体" w:eastAsia="宋体" w:cs="宋体"/>
          <w:color w:val="000000" w:themeColor="text1"/>
          <w:sz w:val="24"/>
          <w:szCs w:val="21"/>
          <w:highlight w:val="none"/>
          <w:lang w:val="en-US" w:eastAsia="zh-CN" w:bidi="ar-SA"/>
          <w14:textFill>
            <w14:solidFill>
              <w14:schemeClr w14:val="tx1"/>
            </w14:solidFill>
          </w14:textFill>
        </w:rPr>
        <w:t xml:space="preserve">家具颜色：中标单位在中标后提供色板给甲方，按甲方选定的颜色生产。</w:t>
      </w:r>
      <w:r/>
    </w:p>
    <w:p>
      <w:pPr>
        <w:ind w:firstLine="480"/>
        <w:jc w:val="left"/>
        <w:spacing w:line="431" w:lineRule="exact"/>
        <w:rPr>
          <w:rFonts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ascii="宋体" w:hAnsi="宋体" w:eastAsia="宋体" w:cs="宋体"/>
          <w:color w:val="000000" w:themeColor="text1"/>
          <w:sz w:val="24"/>
          <w:highlight w:val="none"/>
          <w14:textFill>
            <w14:solidFill>
              <w14:schemeClr w14:val="tx1"/>
            </w14:solidFill>
          </w14:textFill>
        </w:rPr>
        <w:t xml:space="preserve">.中标单位在中标后自行复核现场实际尺寸及家具方向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确保家具能够正常安装</w:t>
      </w:r>
      <w:r>
        <w:rPr>
          <w:rFonts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31"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3.2技术参数要求</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一</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上床下柜（桌）组合家具</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1、尺寸：W2010*D930*H3050mm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Calibri" w:hAnsi="Calibri" w:eastAsia="宋体" w:cs="Times New Roman"/>
          <w:color w:val="000000" w:themeColor="text1"/>
          <w:highlight w:val="none"/>
          <w14:textFill>
            <w14:solidFill>
              <w14:schemeClr w14:val="tx1"/>
            </w14:solidFill>
          </w14:textFill>
        </w:rPr>
        <w:t xml:space="preserve">允许±5%偏差</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2、钢材：经环氧聚酯塑粉静电喷塑处理。</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立柱：采用优质冷轧钢板经特制成型线轧制而成，其立面为中空异形闭口型材，立柱正面为圆弧形设计，起到防撞作用，外侧设有安全斜边,内侧直角设计，避免组合柜与床立柱之间的缝隙，立面成型后尺寸规格≥72mm*72mm，材料厚度为≥1.5mm。</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4、▲立柱喷塑涂层硬度为5H，</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★前床厅及后床厅：采用优质冷轧钢板经特制成型线轧制而成，其立面尺寸规格≥80mm*30mm矩形管,材料厚度为≥1.5mm</w:t>
      </w:r>
      <w:r>
        <w:rPr>
          <w:rFonts w:hint="eastAsia" w:ascii="宋体" w:hAnsi="宋体" w:cs="Times New Roman"/>
          <w:b/>
          <w:bCs/>
          <w:i/>
          <w:color w:val="000000" w:themeColor="text1"/>
          <w:sz w:val="24"/>
          <w:szCs w:val="21"/>
          <w:highlight w:val="none"/>
          <w:u w:val="single"/>
          <w:lang w:val="en-US" w:eastAsia="zh-CN" w:bidi="ar-SA"/>
          <w14:textFill>
            <w14:solidFill>
              <w14:schemeClr w14:val="tx1"/>
            </w14:solidFill>
          </w14:textFill>
        </w:rPr>
        <w:t xml:space="preserve">，</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后床厅管材规格≥80mm*30mm矩形管,材料厚度≥1.5mm</w:t>
      </w:r>
      <w:r>
        <w:rPr>
          <w:rFonts w:hint="eastAsia" w:ascii="宋体" w:hAnsi="宋体" w:cs="Times New Roman"/>
          <w:b/>
          <w:bCs/>
          <w:i/>
          <w:color w:val="000000" w:themeColor="text1"/>
          <w:sz w:val="24"/>
          <w:szCs w:val="21"/>
          <w:highlight w:val="none"/>
          <w:u w:val="single"/>
          <w:lang w:val="en-US" w:eastAsia="zh-CN" w:bidi="ar-SA"/>
          <w14:textFill>
            <w14:solidFill>
              <w14:schemeClr w14:val="tx1"/>
            </w14:solidFill>
          </w14:textFill>
        </w:rPr>
        <w:t xml:space="preserve">，</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侧床厅管材规格≥80mm*30mm矩形管,材料厚度≥1.5mm，左右两侧与立柱连接，床厅与立柱采取隐藏式卡扣连接，带锁死功能，更加美观牢固。</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6、▲塑粉涂层和覆面层中</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可迁移有害元素</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，金属喷漆（塑）涂层附着力不低于1级。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7、床前护栏:采用钢、铝、塑、木材料,方管规格≥25*25*1.5mm，护栏高度为450mm嵌入一块18mm厚E0级三聚氰胺饰面实木多层板, 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前护栏带推拉窗，推拉窗整体格:≥700*300*40mm，观察窗带隐藏式储物功能,不占用床铺空间,方便存放手机、眼镜、书本等随身携带物品,外形采用跑道圆设计，圆弧部分ABS材质注塑工艺成型，滑道采用铝型材，确保稳固安全，观察窗透明全封闭,同时具备推拉开启关闭功能，保护使用者的隐私。</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、床后护栏:采钢木结构,方管≥25*25*1.5mm,护栏高度为450mm+蚊帐杆链接高度720mm,嵌入一块18mm厚E0级三聚氰胺饰面实木多层板, 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等级不低于B1级,具有良好的抗变形性能,后护栏内嵌隐藏式水杯架。</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、床头护栏:采用钢木结构,管材规格≥20*20*1.5mm方管,护栏高度为450mm嵌入一块18mm厚E0级三聚氰胺饰面实木多层板，多层板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等级不低于B1级,具有良好的抗变形性能，护栏整体与立柱连接。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、床尾护栏:采用钢木结构,方管≥20*20*1.5mm,护栏高度为450mm圆弧设计,护栏中间设一根横杆,整体与立柱连接,嵌入一块18mm厚E0级三聚氰胺饰面实木多层板，多层板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、床换:采用规格≥20*30*1.5mm矩形管，矩形管自带锁定槽与床厅稳固连接，每张床配置数量不少于5根。</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、蚊帐架采用规格≥φ19*1.5mm 圆管制作，与后护栏连接。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、铺板:采用双面刨光杉木床板，含水率≤12%，经干燥、防虫处理，宽度≥70mm，厚度≥18mm，每两根木条的距离间隙≤10mm，每块床板需要有≥4根（≥40×20mm）实木方料做横档加固，板条与横档之间</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用不锈钢螺丝固定连接。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、床下书桌:桌面采用≥25mm厚E0级三聚氰胺饰面板,前口鸭嘴边设计，其余三边圆弧角设计，整体采用PVC吸塑工艺；桌架和书架板材采用≥18mm厚E0级三聚氰胺饰面实木多层板，多层板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等级不低于B1级，具有良好的抗变形性能，同色 PVC 封边，封边条厚度不低于2mm，桌子上方为书架，桌背板与中架侧板共用，桌下设有双抽屉，抽屉门板(尺寸:400±2mm*170±2mm)采用≥18mm厚E0级三聚氰胺饰面实木多层板，多层板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等级不低于B1级，抽屉门板采用铝合金暗扣拉手,四周边缘采用PP环保塑料注塑封边；配备高强度、耐磨损、耐腐蚀等特性导轨，五金配件表面处理具有美观性和保护性；底部防潮架采用规格≥20*20*1.5mm方管制作。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、床下衣柜:尺寸(≥600mm *850mm+1815mm)设有两个门，一个门开向朝走道，内部设一块层板，层板下方配≥φ22*1.2mm铝合金材质挂衣杆，另一个门开向朝书桌，内部设置两块层板，底部防潮架采用≥20*20*1.5mm方管制作。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、衣柜小门板尺寸(1505±2mm *350±2mm)门板均采用≥18mm厚E0级环保三聚氰胺饰面实木多层板，多层板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、衣柜大门板(尺寸:1505±2mm *560±2mm)门板均采用≥18mm厚E0级环保三聚氰胺饰面实木多层板，多层板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、爬梯</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主管≥40*30*1.5mm，踏步板≥400*120*25mm，爬梯采用走梯式设计，所有钢管均采用整体焊接工艺制作，踏步板采用环保 PP材质注塑工艺一次成型，两者采用螺丝固定，稳固安全</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安装螺丝位置环形整体扣边条内扣遮挡设计，安全美观合理防滑纹路，并配备荧光条，下方采用≥25*30*1.5mm圆角钢管支撑。</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19</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、▲公寓床形状和位置公差合格，外观性能要求中金属件、木制件、塑料件检测结果合格，木制件表面装饰层(软硬质覆面层)耐干热和耐湿热不低于4级，</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单层床</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强度和耐久性合格</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二</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）储物柜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1、储物柜:尺寸(≥930mm *560mm+2330mm)设有4个门，底部防潮架采用≥20*20*1.5mm方管制作</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门开向朝走道。</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2、衣柜小门板尺寸(560±2mm *566±2mm)门板均采用≥18mm厚E0级环保三聚氰胺饰面实木多层板，多层板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三</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）学生椅</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1、尺寸：≥450*500*850mm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2、椅座：采用聚丙烯加玻璃纤维全新材料模具一体成型制作，厚度≥8mm。座面安装高度≥440mm，座宽≥450mm，座深≥500mm，深装饰沟槽面</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背面配PP材质弧形螺丝闷盖。</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3、椅背：采用聚丙烯加玻璃纤维全新材料模具一体成型制作厚度≥6mm，座椅总高度≥850mm，背宽≥410mm，背高≥410mm；防滑面设有多根筋位。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★椅脚：采用优质圆管≥φ19mm*2.0mm厚；各金属件进行打磨、去油、酸洗、磷化、清洗、防锈等工艺处理后，通过粉末喷涂设备进行静电喷塑，防锈防腐蚀；地脚配有4个优质PP材质脚垫。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5、塑料件外观应无裂纹、明显变形、缩水、针孔；应无凹陷、飞边、 杂质、伤痕、白印；表面应光洁，应无划痕、毛刺、拉毛、污渍；应无明显色差。</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特别说明：</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钢制部分材质要求：床框架采用公寓床隐藏式卡扣件连接，所有钢材均采用国家标准钢，未喷涂前厚度≥1.5mm，各钢件经除油、防锈等工序处理，外层采用聚脂环氧粉末喷塑，具有长时间使用不生锈、不掉漆的特性；所有焊接部位要求满焊，表面波纹均匀，焊接处无夹渣、气孔、焊瘤、焊丝头咬边飞溅，无脱焊、虚焊及焊穿等现象。</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2、木质部分材质要求：本次招标范围内所有板材（包括但不限于桌面板、柜门板、侧板、层板、背板、底板、顶板）采用≥18mm厚E0级三聚氰胺饰面实木多层板，多层板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等级不低于B1级，其中桌面板厚度≥25mm。</w:t>
      </w:r>
      <w:r/>
    </w:p>
    <w:p>
      <w:pPr>
        <w:ind w:firstLine="482"/>
        <w:jc w:val="both"/>
        <w:keepLines w:val="0"/>
        <w:keepNext w:val="0"/>
        <w:pageBreakBefore w:val="0"/>
        <w:spacing w:line="460" w:lineRule="exact"/>
        <w:widowControl w:val="off"/>
        <w:rPr>
          <w:rFonts w:hint="default"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Times New Roman" w:hAnsi="Times New Roman"/>
          <w:color w:val="000000" w:themeColor="text1"/>
          <w:sz w:val="24"/>
          <w:szCs w:val="21"/>
          <w:highlight w:val="none"/>
          <w14:textFill>
            <w14:solidFill>
              <w14:schemeClr w14:val="tx1"/>
            </w14:solidFill>
          </w14:textFill>
        </w:rPr>
        <w:t xml:space="preserve">技术参数要求未提及的</w:t>
      </w:r>
      <w:r>
        <w:rPr>
          <w:rFonts w:ascii="Times New Roman" w:hAnsi="Times New Roman"/>
          <w:color w:val="000000" w:themeColor="text1"/>
          <w:sz w:val="24"/>
          <w:szCs w:val="21"/>
          <w:highlight w:val="none"/>
          <w14:textFill>
            <w14:solidFill>
              <w14:schemeClr w14:val="tx1"/>
            </w14:solidFill>
          </w14:textFill>
        </w:rPr>
        <w:t xml:space="preserve">，按照国家强制性标准履行</w:t>
      </w:r>
      <w:r>
        <w:rPr>
          <w:rFonts w:hint="eastAsia" w:ascii="Times New Roman" w:hAnsi="Times New Roman"/>
          <w:color w:val="000000" w:themeColor="text1"/>
          <w:sz w:val="24"/>
          <w:szCs w:val="21"/>
          <w:highlight w:val="none"/>
          <w14:textFill>
            <w14:solidFill>
              <w14:schemeClr w14:val="tx1"/>
            </w14:solidFill>
          </w14:textFill>
        </w:rPr>
        <w:t xml:space="preserve">。</w:t>
      </w:r>
      <w:r/>
    </w:p>
    <w:p>
      <w:pPr>
        <w:ind w:firstLine="482"/>
        <w:jc w:val="left"/>
        <w:spacing w:line="50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四、检测报告要求：</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4.1</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投标人需提供所投产品成品检验合格报告:报告由具备CMA资质认定的检测机构出具签发日期距投标截止之日不超过</w:t>
      </w:r>
      <w:r>
        <w:rPr>
          <w:rFonts w:hint="eastAsia" w:ascii="Times New Roman" w:eastAsia="宋体"/>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jc w:val="left"/>
        <w:spacing w:line="560" w:lineRule="exact"/>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公寓床，检验项目</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包含：外观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（焊接件、喷漆(塑)涂层 、塑料件）、结构安全、金属喷漆（塑）涂层理化性能要求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单层床强度和耐久性、甲醛释放量、TVOC、苯并[a]芘）。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2.床下</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衣柜和床下书桌</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包含：外观要求（</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软硬质覆面人造板</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、五金件、塑料件）、</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木制件表面理化性能</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、金属拉手耐腐蚀性要求中检测时间不少于200小时、柜架类强度和耐久性、柜</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架</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类稳定性、结构安全性、甲醛释放量、TVOC、苯并[a]芘</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p>
    <w:p>
      <w:pPr>
        <w:ind w:firstLine="480"/>
        <w:jc w:val="left"/>
        <w:spacing w:line="560" w:lineRule="exact"/>
        <w:widowControl/>
        <w:rPr>
          <w:rFonts w:hint="default" w:ascii="Times New Roman" w:hAnsi="Times New Roman" w:eastAsia="宋体"/>
          <w:color w:val="000000" w:themeColor="text1"/>
          <w:sz w:val="24"/>
          <w:szCs w:val="32"/>
          <w:highlight w:val="none"/>
          <w:lang w:val="en-US"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3.学生椅</w:t>
      </w:r>
      <w:r>
        <w:rPr>
          <w:rFonts w:hint="eastAsia" w:ascii="Times New Roman" w:hAnsi="Times New Roman"/>
          <w:color w:val="000000" w:themeColor="text1"/>
          <w:sz w:val="24"/>
          <w:szCs w:val="32"/>
          <w:highlight w:val="none"/>
          <w14:textFill>
            <w14:solidFill>
              <w14:schemeClr w14:val="tx1"/>
            </w14:solidFill>
          </w14:textFill>
        </w:rPr>
        <w:t xml:space="preserve">，</w:t>
      </w:r>
      <w:r>
        <w:rPr>
          <w:rFonts w:ascii="Times New Roman" w:hAnsi="Times New Roman"/>
          <w:color w:val="000000" w:themeColor="text1"/>
          <w:sz w:val="24"/>
          <w:szCs w:val="21"/>
          <w:highlight w:val="none"/>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ascii="Times New Roman" w:hAnsi="Times New Roman"/>
          <w:color w:val="000000" w:themeColor="text1"/>
          <w:sz w:val="24"/>
          <w:szCs w:val="21"/>
          <w:highlight w:val="none"/>
          <w14:textFill>
            <w14:solidFill>
              <w14:schemeClr w14:val="tx1"/>
            </w14:solidFill>
          </w14:textFill>
        </w:rPr>
        <w:t xml:space="preserve">包含</w:t>
      </w:r>
      <w:r>
        <w:rPr>
          <w:rFonts w:hint="eastAsia" w:ascii="Times New Roman" w:hAnsi="Times New Roman"/>
          <w:color w:val="000000" w:themeColor="text1"/>
          <w:sz w:val="24"/>
          <w:szCs w:val="21"/>
          <w:highlight w:val="none"/>
          <w14:textFill>
            <w14:solidFill>
              <w14:schemeClr w14:val="tx1"/>
            </w14:solidFill>
          </w14:textFill>
        </w:rPr>
        <w:t xml:space="preserve">：</w:t>
      </w:r>
      <w:r>
        <w:rPr>
          <w:rFonts w:ascii="Times New Roman" w:hAnsi="Times New Roman"/>
          <w:color w:val="000000" w:themeColor="text1"/>
          <w:sz w:val="24"/>
          <w:szCs w:val="32"/>
          <w:highlight w:val="none"/>
          <w14:textFill>
            <w14:solidFill>
              <w14:schemeClr w14:val="tx1"/>
            </w14:solidFill>
          </w14:textFill>
        </w:rPr>
        <w:t xml:space="preserve">阻燃性≥2级，抑菌率≥99%，产烟毒性危险分级≤ZA1级）。</w:t>
      </w:r>
      <w:r/>
    </w:p>
    <w:p>
      <w:pPr>
        <w:ind w:firstLine="480"/>
        <w:jc w:val="left"/>
        <w:spacing w:line="400" w:lineRule="exact"/>
        <w:widowControl/>
        <w:rPr>
          <w:rFonts w:hint="eastAsia" w:ascii="Times New Roman" w:hAnsi="Times New Roman"/>
          <w:color w:val="000000" w:themeColor="text1"/>
          <w:sz w:val="24"/>
          <w:szCs w:val="32"/>
          <w:highlight w:val="none"/>
          <w14:textFill>
            <w14:solidFill>
              <w14:schemeClr w14:val="tx1"/>
            </w14:solidFill>
          </w14:textFill>
        </w:rPr>
      </w:pPr>
      <w:r>
        <w:rPr>
          <w:rFonts w:hint="eastAsia" w:ascii="Times New Roman" w:hAnsi="Times New Roman"/>
          <w:color w:val="000000" w:themeColor="text1"/>
          <w:sz w:val="24"/>
          <w:szCs w:val="32"/>
          <w:highlight w:val="none"/>
          <w14:textFill>
            <w14:solidFill>
              <w14:schemeClr w14:val="tx1"/>
            </w14:solidFill>
          </w14:textFill>
        </w:rPr>
        <w:t xml:space="preserve">注：1.以上检测项目可在同一份或多份CMA报告中体现，但须完整覆盖。</w:t>
      </w:r>
      <w:r/>
    </w:p>
    <w:p>
      <w:pPr>
        <w:ind w:firstLine="480"/>
        <w:spacing w:line="400" w:lineRule="exact"/>
        <w:widowControl/>
        <w:rPr>
          <w:rFonts w:hint="default" w:ascii="Times New Roman" w:hAnsi="Times New Roman" w:eastAsia="宋体"/>
          <w:color w:val="000000" w:themeColor="text1"/>
          <w:sz w:val="24"/>
          <w:szCs w:val="32"/>
          <w:highlight w:val="none"/>
          <w:lang w:val="en-US" w:eastAsia="zh-CN"/>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 xml:space="preserve">2.</w:t>
      </w:r>
      <w:r>
        <w:rPr>
          <w:rFonts w:hint="eastAsia" w:ascii="宋体" w:hAnsi="宋体"/>
          <w:color w:val="000000" w:themeColor="text1"/>
          <w:sz w:val="24"/>
          <w:szCs w:val="32"/>
          <w:highlight w:val="none"/>
          <w14:textFill>
            <w14:solidFill>
              <w14:schemeClr w14:val="tx1"/>
            </w14:solidFill>
          </w14:textFill>
        </w:rPr>
        <w:t xml:space="preserve">在项目履约及验收阶段，所有检测标准均依据国家级行业现行有效标准。</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4.2 </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w:t>
      </w:r>
      <w:r>
        <w:rPr>
          <w:rFonts w:hint="eastAsia"/>
          <w:b/>
          <w:bCs/>
          <w:color w:val="000000" w:themeColor="text1"/>
          <w:sz w:val="24"/>
          <w:szCs w:val="32"/>
          <w:highlight w:val="none"/>
          <w:lang w:val="en-US" w:eastAsia="zh-CN"/>
          <w14:textFill>
            <w14:solidFill>
              <w14:schemeClr w14:val="tx1"/>
            </w14:solidFill>
          </w14:textFill>
        </w:rPr>
        <w:t xml:space="preserve">原材料</w:t>
      </w:r>
      <w:r>
        <w:rPr>
          <w:rFonts w:hint="eastAsia" w:ascii="Times New Roman" w:hAnsi="Times New Roman"/>
          <w:b/>
          <w:bCs/>
          <w:color w:val="000000" w:themeColor="text1"/>
          <w:sz w:val="24"/>
          <w:szCs w:val="32"/>
          <w:highlight w:val="none"/>
          <w14:textFill>
            <w14:solidFill>
              <w14:schemeClr w14:val="tx1"/>
            </w14:solidFill>
          </w14:textFill>
        </w:rPr>
        <w:t xml:space="preserve">检验合格报告:报告由具备CMA资质认定的检测机构出具签发日期距投标截止之日不超过</w:t>
      </w:r>
      <w:r>
        <w:rPr>
          <w:rFonts w:hint="eastAsia" w:ascii="Times New Roman" w:eastAsia="宋体"/>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jc w:val="left"/>
        <w:spacing w:line="360" w:lineRule="auto"/>
        <w:widowControl/>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1.多层实木板</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检测项目需要包含</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甲醛释放量≤0.050mg/m³；苯、甲苯、二甲</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苯释放量符合要求；TVOC≤0.05mg/m³,燃烧性能等级不低于B1级。</w:t>
      </w:r>
      <w:r/>
    </w:p>
    <w:p>
      <w:pPr>
        <w:ind w:firstLine="480"/>
        <w:jc w:val="left"/>
        <w:spacing w:line="560" w:lineRule="exact"/>
        <w:widowControl/>
        <w:rPr>
          <w:rFonts w:hint="eastAsia" w:ascii="方正仿宋_GB2312" w:hAnsi="方正仿宋_GB2312"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2.</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封边条</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ascii="Times New Roman" w:hAnsi="Times New Roman"/>
          <w:color w:val="000000" w:themeColor="text1"/>
          <w:sz w:val="24"/>
          <w:szCs w:val="32"/>
          <w:highlight w:val="none"/>
          <w14:textFill>
            <w14:solidFill>
              <w14:schemeClr w14:val="tx1"/>
            </w14:solidFill>
          </w14:textFill>
        </w:rPr>
        <w:t xml:space="preserve">检验项目需要包含</w:t>
      </w:r>
      <w:r>
        <w:rPr>
          <w:rFonts w:hint="eastAsia" w:ascii="Times New Roman" w:hAnsi="Times New Roman"/>
          <w:color w:val="000000" w:themeColor="text1"/>
          <w:sz w:val="24"/>
          <w:szCs w:val="32"/>
          <w:highlight w:val="none"/>
          <w14:textFill>
            <w14:solidFill>
              <w14:schemeClr w14:val="tx1"/>
            </w14:solidFill>
          </w14:textFill>
        </w:rPr>
        <w:t xml:space="preserve">：</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抗菌性能：抗菌率≥99%</w:t>
      </w:r>
      <w:r>
        <w:rPr>
          <w:rFonts w:hint="eastAsia" w:ascii="Arial" w:hAnsi="Arial" w:eastAsia="Arial" w:cs="Arial"/>
          <w:b w:val="0"/>
          <w:bCs w:val="0"/>
          <w:color w:val="000000" w:themeColor="text1"/>
          <w:sz w:val="24"/>
          <w:szCs w:val="24"/>
          <w:highlight w:val="none"/>
          <w14:textFill>
            <w14:solidFill>
              <w14:schemeClr w14:val="tx1"/>
            </w14:solidFill>
          </w14:textFill>
        </w:rPr>
        <w:t xml:space="preserve">，</w:t>
      </w:r>
      <w:r>
        <w:rPr>
          <w:rFonts w:hint="eastAsia" w:ascii="Arial" w:hAnsi="Arial" w:eastAsia="Arial" w:cs="Arial"/>
          <w:b w:val="0"/>
          <w:bCs w:val="0"/>
          <w:color w:val="000000" w:themeColor="text1"/>
          <w:sz w:val="24"/>
          <w:szCs w:val="24"/>
          <w:highlight w:val="none"/>
          <w:u w:val="single"/>
          <w14:textFill>
            <w14:solidFill>
              <w14:schemeClr w14:val="tx1"/>
            </w14:solidFill>
          </w14:textFill>
        </w:rPr>
        <w:t xml:space="preserve">甲醛释放量、可迁移元素(可溶性重金属)邻苯二甲酸酯：未检出，耐磨性：磨</w:t>
      </w:r>
      <w:r>
        <w:rPr>
          <w:rFonts w:hint="eastAsia" w:ascii="Arial" w:hAnsi="Arial" w:eastAsia="Arial" w:cs="Arial"/>
          <w:b w:val="0"/>
          <w:bCs w:val="0"/>
          <w:color w:val="000000" w:themeColor="text1"/>
          <w:sz w:val="24"/>
          <w:szCs w:val="24"/>
          <w:highlight w:val="none"/>
          <w:u w:val="single"/>
          <w:lang w:val="en-US" w:eastAsia="zh-CN"/>
          <w14:textFill>
            <w14:solidFill>
              <w14:schemeClr w14:val="tx1"/>
            </w14:solidFill>
          </w14:textFill>
        </w:rPr>
        <w:t xml:space="preserve">40</w:t>
      </w:r>
      <w:r>
        <w:rPr>
          <w:rFonts w:hint="eastAsia" w:ascii="Arial" w:hAnsi="Arial" w:eastAsia="Arial" w:cs="Arial"/>
          <w:b w:val="0"/>
          <w:bCs w:val="0"/>
          <w:color w:val="000000" w:themeColor="text1"/>
          <w:sz w:val="24"/>
          <w:szCs w:val="24"/>
          <w:highlight w:val="none"/>
          <w:u w:val="single"/>
          <w14:textFill>
            <w14:solidFill>
              <w14:schemeClr w14:val="tx1"/>
            </w14:solidFill>
          </w14:textFill>
        </w:rPr>
        <w:t xml:space="preserve">r后，应无露底现象；耐干热性≥四级【70℃】;  耐光色牢度(灰色样卡)≥4级。</w:t>
      </w:r>
      <w:r/>
    </w:p>
    <w:p>
      <w:pPr>
        <w:ind w:firstLine="480"/>
        <w:jc w:val="left"/>
        <w:spacing w:line="360" w:lineRule="auto"/>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3.</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钢管</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Times New Roman" w:hAnsi="Times New Roman"/>
          <w:color w:val="000000" w:themeColor="text1"/>
          <w:sz w:val="24"/>
          <w:szCs w:val="32"/>
          <w:highlight w:val="none"/>
          <w14:textFill>
            <w14:solidFill>
              <w14:schemeClr w14:val="tx1"/>
            </w14:solidFill>
          </w14:textFill>
        </w:rPr>
        <w:t xml:space="preserve">检验项目需要包含</w:t>
      </w:r>
      <w:r>
        <w:rPr>
          <w:rFonts w:ascii="Times New Roman" w:hAnsi="Times New Roman"/>
          <w:color w:val="000000" w:themeColor="text1"/>
          <w:sz w:val="24"/>
          <w:szCs w:val="32"/>
          <w:highlight w:val="none"/>
          <w14:textFill>
            <w14:solidFill>
              <w14:schemeClr w14:val="tx1"/>
            </w14:solidFill>
          </w14:textFill>
        </w:rPr>
        <w:t xml:space="preserve">：</w:t>
      </w:r>
      <w:r>
        <w:rPr>
          <w:rFonts w:hint="eastAsia"/>
          <w:color w:val="000000" w:themeColor="text1"/>
          <w:sz w:val="24"/>
          <w:szCs w:val="32"/>
          <w:highlight w:val="none"/>
          <w:lang w:val="en-US" w:eastAsia="zh-CN"/>
          <w14:textFill>
            <w14:solidFill>
              <w14:schemeClr w14:val="tx1"/>
            </w14:solidFill>
          </w14:textFill>
        </w:rPr>
        <w:t xml:space="preserve">3.</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外观性能金属件喷漆(塑)涂层</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：应无漏喷、锈蚀、脱色、掉色等；应光滑均匀，色泽一致，应无流挂、疙瘩、皱皮、飞漆等</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3.</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2.金属喷漆(塑)涂层硬度≥</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H,附着力达到</w:t>
      </w: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不低于</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1级，冲击强度、</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3.中性盐雾试验、乙酸盐雾试验、铜加速乙酸盐雾试验、铜加速乙酸盐雾试验连续喷雾≥</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2</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00h,镀层本身的耐腐蚀等级和镀层对基体的保护等级≥10级；4.产品有害物质8项元素均未检出</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p>
    <w:p>
      <w:pPr>
        <w:ind w:firstLine="480"/>
        <w:spacing w:line="360" w:lineRule="auto"/>
        <w:rPr>
          <w:rFonts w:hint="eastAsia" w:ascii="Arial" w:hAnsi="Arial" w:eastAsia="宋体" w:cs="Arial"/>
          <w:color w:val="000000" w:themeColor="text1"/>
          <w:sz w:val="24"/>
          <w:szCs w:val="24"/>
          <w:highlight w:val="none"/>
          <w:u w:val="single"/>
          <w:lang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4.铰链（阻尼门铰）</w:t>
      </w:r>
      <w:r>
        <w:rPr>
          <w:rFonts w:hint="eastAsia" w:eastAsia="宋体"/>
          <w:color w:val="000000" w:themeColor="text1"/>
          <w:sz w:val="24"/>
          <w:szCs w:val="32"/>
          <w:highlight w:val="none"/>
          <w:lang w:eastAsia="zh-CN"/>
          <w14:textFill>
            <w14:solidFill>
              <w14:schemeClr w14:val="tx1"/>
            </w14:solidFill>
          </w14:textFill>
        </w:rPr>
        <w:t xml:space="preserve">，</w:t>
      </w:r>
      <w:r>
        <w:rPr>
          <w:rFonts w:hint="eastAsia" w:ascii="Times New Roman" w:hAnsi="Times New Roman"/>
          <w:color w:val="000000" w:themeColor="text1"/>
          <w:sz w:val="24"/>
          <w:szCs w:val="32"/>
          <w:highlight w:val="none"/>
          <w14:textFill>
            <w14:solidFill>
              <w14:schemeClr w14:val="tx1"/>
            </w14:solidFill>
          </w14:textFill>
        </w:rPr>
        <w:t xml:space="preserve">检验项目需要包含</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：中性盐雾试验（</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200</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h）≥10级</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Arial" w:hAnsi="Arial" w:eastAsia="Arial" w:cs="Arial"/>
          <w:color w:val="000000" w:themeColor="text1"/>
          <w:sz w:val="24"/>
          <w:szCs w:val="24"/>
          <w:highlight w:val="none"/>
          <w:u w:val="single"/>
          <w14:textFill>
            <w14:solidFill>
              <w14:schemeClr w14:val="tx1"/>
            </w14:solidFill>
          </w14:textFill>
        </w:rPr>
        <w:t xml:space="preserve">耐久性：10万次，操作力：在耐久性试验前后，打开力和关闭力不应大于20N,下沉量≤1mm</w:t>
      </w:r>
      <w:r>
        <w:rPr>
          <w:rFonts w:hint="eastAsia" w:ascii="Arial" w:hAnsi="Arial" w:eastAsia="宋体" w:cs="Arial"/>
          <w:color w:val="000000" w:themeColor="text1"/>
          <w:sz w:val="24"/>
          <w:szCs w:val="24"/>
          <w:highlight w:val="none"/>
          <w:u w:val="single"/>
          <w:lang w:eastAsia="zh-CN"/>
          <w14:textFill>
            <w14:solidFill>
              <w14:schemeClr w14:val="tx1"/>
            </w14:solidFill>
          </w14:textFill>
        </w:rPr>
        <w:t xml:space="preserve">。</w:t>
      </w:r>
      <w:r/>
    </w:p>
    <w:p>
      <w:pPr>
        <w:ind w:firstLine="480"/>
        <w:jc w:val="left"/>
        <w:spacing w:line="560" w:lineRule="exact"/>
        <w:widowControl/>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5.导轨</w:t>
      </w:r>
      <w:r>
        <w:rPr>
          <w:rFonts w:hint="eastAsia" w:eastAsia="宋体"/>
          <w:color w:val="000000" w:themeColor="text1"/>
          <w:sz w:val="24"/>
          <w:szCs w:val="32"/>
          <w:highlight w:val="none"/>
          <w:lang w:eastAsia="zh-CN"/>
          <w14:textFill>
            <w14:solidFill>
              <w14:schemeClr w14:val="tx1"/>
            </w14:solidFill>
          </w14:textFill>
        </w:rPr>
        <w:t xml:space="preserve">，</w:t>
      </w:r>
      <w:r>
        <w:rPr>
          <w:rFonts w:hint="eastAsia" w:ascii="Times New Roman" w:hAnsi="Times New Roman"/>
          <w:color w:val="000000" w:themeColor="text1"/>
          <w:sz w:val="24"/>
          <w:szCs w:val="32"/>
          <w:highlight w:val="none"/>
          <w14:textFill>
            <w14:solidFill>
              <w14:schemeClr w14:val="tx1"/>
            </w14:solidFill>
          </w14:textFill>
        </w:rPr>
        <w:t xml:space="preserve">检验项目需要包含</w:t>
      </w:r>
      <w:r>
        <w:rPr>
          <w:rFonts w:ascii="Times New Roman" w:hAnsi="Times New Roman"/>
          <w:color w:val="000000" w:themeColor="text1"/>
          <w:sz w:val="24"/>
          <w:szCs w:val="32"/>
          <w:highlight w:val="none"/>
          <w14:textFill>
            <w14:solidFill>
              <w14:schemeClr w14:val="tx1"/>
            </w14:solidFill>
          </w14:textFill>
        </w:rPr>
        <w:t xml:space="preserve">：</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中性盐雾试验（</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200</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h）</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10级</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耐久性：10万次。</w:t>
      </w:r>
      <w:r/>
    </w:p>
    <w:p>
      <w:pPr>
        <w:ind w:firstLine="480"/>
        <w:jc w:val="left"/>
        <w:spacing w:line="560" w:lineRule="exact"/>
        <w:widowControl/>
        <w:rPr>
          <w:rFonts w:hint="default" w:ascii="方正仿宋_GB2312" w:hAnsi="方正仿宋_GB2312" w:eastAsia="宋体" w:cs="方正仿宋_GB2312"/>
          <w:b w:val="0"/>
          <w:bCs w:val="0"/>
          <w:color w:val="000000" w:themeColor="text1"/>
          <w:sz w:val="24"/>
          <w:szCs w:val="32"/>
          <w:highlight w:val="none"/>
          <w:lang w:val="en-US"/>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6.PP塑料</w:t>
      </w:r>
      <w:r>
        <w:rPr>
          <w:rFonts w:hint="eastAsia" w:cs="Times New Roman"/>
          <w:color w:val="000000" w:themeColor="text1"/>
          <w:sz w:val="24"/>
          <w:szCs w:val="32"/>
          <w:highlight w:val="none"/>
          <w:lang w:eastAsia="zh-CN"/>
          <w14:textFill>
            <w14:solidFill>
              <w14:schemeClr w14:val="tx1"/>
            </w14:solidFill>
          </w14:textFill>
        </w:rPr>
        <w:t xml:space="preserve">，</w:t>
      </w:r>
      <w:r>
        <w:rPr>
          <w:rFonts w:hint="eastAsia" w:ascii="Times New Roman" w:hAnsi="Times New Roman"/>
          <w:color w:val="000000" w:themeColor="text1"/>
          <w:sz w:val="24"/>
          <w:szCs w:val="32"/>
          <w:highlight w:val="none"/>
          <w14:textFill>
            <w14:solidFill>
              <w14:schemeClr w14:val="tx1"/>
            </w14:solidFill>
          </w14:textFill>
        </w:rPr>
        <w:t xml:space="preserve">检验项目需要包含</w:t>
      </w:r>
      <w:r>
        <w:rPr>
          <w:rFonts w:ascii="Times New Roman" w:hAnsi="Times New Roman"/>
          <w:color w:val="000000" w:themeColor="text1"/>
          <w:sz w:val="24"/>
          <w:szCs w:val="32"/>
          <w:highlight w:val="none"/>
          <w14:textFill>
            <w14:solidFill>
              <w14:schemeClr w14:val="tx1"/>
            </w14:solidFill>
          </w14:textFill>
        </w:rPr>
        <w:t xml:space="preserve">：</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防霉</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菌性能、硬度符合要求。</w:t>
      </w:r>
      <w:r/>
    </w:p>
    <w:p>
      <w:pPr>
        <w:numPr>
          <w:ilvl w:val="0"/>
          <w:numId w:val="0"/>
        </w:numPr>
        <w:ind w:left="420"/>
        <w:jc w:val="left"/>
        <w:spacing w:line="500" w:lineRule="exact"/>
        <w:widowControl/>
        <w:rPr>
          <w:rFonts w:hint="eastAsia" w:ascii="Times New Roman" w:hAnsi="Times New Roman" w:eastAsia="宋体" w:cs="Times New Roman"/>
          <w:color w:val="000000" w:themeColor="text1"/>
          <w:sz w:val="24"/>
          <w:szCs w:val="32"/>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32"/>
          <w:highlight w:val="none"/>
          <w:lang w:val="en-US" w:bidi="ar-SA"/>
          <w14:textFill>
            <w14:solidFill>
              <w14:schemeClr w14:val="tx1"/>
            </w14:solidFill>
          </w14:textFill>
        </w:rPr>
        <w:t xml:space="preserve">注：</w:t>
      </w:r>
      <w:r>
        <w:rPr>
          <w:rFonts w:hint="eastAsia" w:cs="Times New Roman"/>
          <w:color w:val="000000" w:themeColor="text1"/>
          <w:sz w:val="24"/>
          <w:szCs w:val="32"/>
          <w:highlight w:val="non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4"/>
          <w:szCs w:val="32"/>
          <w:highlight w:val="none"/>
          <w:lang w:val="en-US" w:bidi="ar-SA"/>
          <w14:textFill>
            <w14:solidFill>
              <w14:schemeClr w14:val="tx1"/>
            </w14:solidFill>
          </w14:textFill>
        </w:rPr>
        <w:t xml:space="preserve">以上检测项目可在同一份或多份CMA报告中体现，但须完整覆盖。</w:t>
      </w:r>
      <w:r/>
    </w:p>
    <w:p>
      <w:pPr>
        <w:ind w:firstLine="480"/>
        <w:spacing w:line="400" w:lineRule="exact"/>
        <w:widowControl/>
        <w:rPr>
          <w:rFonts w:hint="eastAsia" w:ascii="Times New Roman" w:hAnsi="Times New Roman" w:eastAsia="宋体" w:cs="Times New Roman"/>
          <w:color w:val="000000" w:themeColor="text1"/>
          <w:sz w:val="24"/>
          <w:szCs w:val="32"/>
          <w:highlight w:val="none"/>
          <w:lang w:val="en-US" w:eastAsia="zh-CN" w:bidi="ar-SA"/>
          <w14:textFill>
            <w14:solidFill>
              <w14:schemeClr w14:val="tx1"/>
            </w14:solidFill>
          </w14:textFill>
        </w:rPr>
      </w:pPr>
      <w:r>
        <w:rPr>
          <w:rFonts w:hint="eastAsia" w:ascii="宋体" w:hAnsi="宋体"/>
          <w:color w:val="000000" w:themeColor="text1"/>
          <w:sz w:val="24"/>
          <w:szCs w:val="32"/>
          <w:highlight w:val="none"/>
          <w14:textFill>
            <w14:solidFill>
              <w14:schemeClr w14:val="tx1"/>
            </w14:solidFill>
          </w14:textFill>
        </w:rPr>
        <w:t xml:space="preserve">2.在项目履约及验收阶段，所有检测标准均依据国家及行业现行有效标准。</w:t>
      </w:r>
      <w:r/>
    </w:p>
    <w:p>
      <w:pPr>
        <w:numPr>
          <w:ilvl w:val="0"/>
          <w:numId w:val="0"/>
        </w:numPr>
        <w:ind w:left="420"/>
        <w:jc w:val="left"/>
        <w:spacing w:line="500" w:lineRule="exact"/>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五、投标样品提供</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.2投标供应商递交以下样品：</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.2.1材料样品一套：请投标供应商按照招标文件的要求提供所投产品的小样，具体如下：</w:t>
      </w:r>
      <w:r/>
    </w:p>
    <w:tbl>
      <w:tblPr>
        <w:tblStyle w:val="741"/>
        <w:tblW w:w="5300" w:type="pct"/>
        <w:jc w:val="center"/>
        <w:tblLayout w:type="fixed"/>
        <w:tblCellMar>
          <w:left w:w="108" w:type="dxa"/>
          <w:top w:w="0" w:type="dxa"/>
          <w:right w:w="108" w:type="dxa"/>
          <w:bottom w:w="0" w:type="dxa"/>
        </w:tblCellMar>
        <w:tblLook w:val="04A0" w:firstRow="1" w:lastRow="0" w:firstColumn="1" w:lastColumn="0" w:noHBand="0" w:noVBand="1"/>
      </w:tblPr>
      <w:tblGrid>
        <w:gridCol w:w="595"/>
        <w:gridCol w:w="885"/>
        <w:gridCol w:w="2116"/>
        <w:gridCol w:w="4400"/>
        <w:gridCol w:w="1044"/>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样品名称</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样品尺寸</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ascii="Times New Roman" w:hAnsi="Times New Roman"/>
                <w:b/>
                <w:bCs/>
                <w:color w:val="000000" w:themeColor="text1"/>
                <w:sz w:val="24"/>
                <w:szCs w:val="24"/>
                <w:highlight w:val="none"/>
                <w14:textFill>
                  <w14:solidFill>
                    <w14:schemeClr w14:val="tx1"/>
                  </w14:solidFill>
                </w14:textFill>
              </w:rPr>
              <w:t xml:space="preserve">样品</w:t>
            </w:r>
            <w:r>
              <w:rPr>
                <w:rFonts w:hint="eastAsia" w:ascii="Times New Roman" w:hAnsi="Times New Roman"/>
                <w:b/>
                <w:bCs/>
                <w:color w:val="000000" w:themeColor="text1"/>
                <w:sz w:val="24"/>
                <w:szCs w:val="24"/>
                <w:highlight w:val="none"/>
                <w14:textFill>
                  <w14:solidFill>
                    <w14:schemeClr w14:val="tx1"/>
                  </w14:solidFill>
                </w14:textFill>
              </w:rPr>
              <w:t xml:space="preserve">材质、工艺、外观</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备注</w:t>
            </w:r>
            <w:r/>
          </w:p>
        </w:tc>
      </w:tr>
      <w:tr>
        <w:trPr>
          <w:jc w:val="center"/>
          <w:trHeight w:val="725"/>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201" w:name="OLE_LINK7"/>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床前护栏</w:t>
            </w:r>
            <w:bookmarkEnd w:id="201"/>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850mm（含推拉窗，推拉窗整体格:≥700*300*40mm）</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高度≥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450mm</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采用钢、铝、塑、木材料</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工艺：嵌入一块18mm厚的实木多层板</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前护栏带推拉窗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推拉窗整体规格：700*300*40，外形采用跑道圆设计，圆弧部分</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ABS</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材质注塑工艺一次成型，滑道采用铝型材，设一个观察窗。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无流挂、疙瘩、皱皮等缺陷，安全稳定</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不生锈、不掉漆的特性；焊接表面波纹均匀，焊接处无夹渣、气孔、焊瘤、焊丝头咬边飞溅，无脱焊、虚焊及焊穿现象。整体美观，表面涂层应光滑均匀，色泽一致</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202" w:name="_Hlk166487397"/>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立柱</w:t>
            </w:r>
            <w:bookmarkEnd w:id="202"/>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立面成型后尺寸规格≥72mm*72mm，壁厚≥1.5mm</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材质：钢；立柱脚采用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塑料的防滑静音内塞。</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工艺：立面为中空异形闭口型材，正面为圆弧形设计，无流挂、疙瘩、皱皮等缺陷，安全稳定。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外观：整体美观，表面涂层应光滑均匀，色泽一致。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203" w:name="_Hlk166487403"/>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前/后床厅</w:t>
            </w:r>
            <w:bookmarkEnd w:id="203"/>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管/侧床厅矩形管</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立面尺寸≥80mm*30mm管,壁厚≥1.5mm</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整体美观，表面涂层应光滑均匀，色泽一致</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衣柜柜门</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门板尺寸：</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300mm×300mm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带铝合金暗拉手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采用≥</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18mm厚</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门板采用铝合金暗扣拉手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配置隐藏式圆柱孔门锁</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，四周边缘采用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环保塑料成型注塑封边，</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材质均匀细腻，表面平整光滑无瑕疵，结构稳定且不易变形开裂，拉手手感顺滑无毛刺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外观造型要求，整体美观，色彩搭配合理</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桌面板</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尺寸</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300mm×300mm截面厚度</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≥25mm</w:t>
            </w:r>
            <w:r/>
          </w:p>
        </w:tc>
        <w:tc>
          <w:tcPr>
            <w:tcBorders>
              <w:top w:val="single" w:color="000000" w:sz="4" w:space="0"/>
              <w:left w:val="single" w:color="000000" w:sz="4" w:space="0"/>
              <w:bottom w:val="none" w:color="000000" w:sz="4" w:space="0"/>
              <w:right w:val="single" w:color="000000" w:sz="4" w:space="0"/>
            </w:tcBorders>
            <w:tcW w:w="440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前口鸭嘴边设计，其余三边圆弧角设计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具有较高的强度和平整度。</w:t>
            </w:r>
            <w:r/>
          </w:p>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平整光滑、无异味，无开裂现象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non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铰链</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工艺：手感顺滑无毛刺、无可见的变形、翘曲。</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外观：整体安全美观，耐磨损等特性。</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导轨</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工艺：轨道推拉顺滑无卡顿。</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bookmarkStart w:id="204" w:name="OLE_LINK148"/>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整体安全美观</w:t>
            </w:r>
            <w:bookmarkEnd w:id="204"/>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36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firstLine="0"/>
              <w:jc w:val="left"/>
              <w:spacing w:line="2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爬梯</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left"/>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钢管 主管≥40*30*1.5mm</w:t>
            </w:r>
            <w:r/>
          </w:p>
          <w:p>
            <w:pPr>
              <w:jc w:val="left"/>
              <w:spacing w:line="2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踏步板：400*120*25mm提供一个踏步完整组装</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样品</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（包含主管，踏步板防滑纹路，并配备荧光条，下方采用钢管支撑）</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材质：钢、</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PP(聚丙烯)</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爬梯采用走梯式设计，所有钢管均采用整体焊接工艺制作，踏步板采用环保 PP材质注塑工艺一次成型，两者采用螺丝固定，稳固安全</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，安装螺丝位置环形整体扣边条内扣遮挡设计，安全美观合理防滑纹路，并配备荧光条，下方采用钢管支撑。</w:t>
            </w:r>
            <w:r/>
          </w:p>
          <w:p>
            <w:pPr>
              <w:jc w:val="left"/>
              <w:spacing w:line="36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床板</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left"/>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长度300mm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br/>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宽度≥70mm，</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厚度≥18mm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双面刨光杉木床板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每两根木条的距离间隙≤10mm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每块床板需要有≥4根（≥40×20mm）实木方料做横档加固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板条与横档需要用不锈钢螺丝固定连接</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材质均匀细腻，表面平整光滑无瑕疵,具有较高的强度和平整度。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造型要求，平整光滑、无异味，无开裂现象</w:t>
            </w:r>
            <w:r>
              <w:rPr>
                <w:rFonts w:hint="eastAsia" w:ascii="Times New Roman" w:hAnsi="Times New Roman" w:eastAsia="宋体" w:cs="Times New Roman"/>
                <w:color w:val="000000" w:themeColor="text1"/>
                <w:sz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学生椅</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left"/>
              <w:spacing w:line="374"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尺寸：≥450*500*850mm</w:t>
            </w:r>
            <w:r>
              <w:rPr>
                <w:rFonts w:hint="eastAsia" w:ascii="Times New Roman" w:hAnsi="Times New Roman"/>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PP(聚丙烯)</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工艺及细节要求：1.椅座：一体成型，</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厚度≥8mm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座面安装高度≥440mm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深装饰沟槽面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背面配PP材质弧形螺丝闷盖</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2.椅背：</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一体成型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厚度≥6mm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座椅总高度≥850mm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背宽≥410mm，背高≥410mm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座宽≥450mm，座深≥500mm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防滑透气面设有多根筋位，防滑透气；</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椅脚：采用圆管≥φ19mm*2.0mm厚</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地脚配有4个PP材质脚垫。</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喷塑涂层厚薄均匀、无流挂、无褶皱，结构稳定，符合人体工程学。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造型要求，整体安全美观，边口圆润光滑无毛刺，平整牢固。</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整件</w:t>
            </w:r>
            <w:r/>
          </w:p>
        </w:tc>
      </w:tr>
    </w:tbl>
    <w:p>
      <w:pPr>
        <w:ind w:firstLine="48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注:</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（1）</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样品制作标准参照采购需求中的技术参数要求制作。</w:t>
      </w:r>
      <w:r/>
    </w:p>
    <w:p>
      <w:pPr>
        <w:numPr>
          <w:ilvl w:val="0"/>
          <w:numId w:val="0"/>
        </w:numPr>
        <w:ind w:left="420"/>
        <w:jc w:val="left"/>
        <w:spacing w:line="431" w:lineRule="exact"/>
        <w:rPr>
          <w:rFonts w:hint="eastAsia"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投标人所提供的样品与招标文件要求不符合或未提供对应样品不得分，3D打印的样品不得分。</w:t>
      </w:r>
      <w:r/>
    </w:p>
    <w:p>
      <w:pPr>
        <w:numPr>
          <w:ilvl w:val="0"/>
          <w:numId w:val="0"/>
        </w:numPr>
        <w:ind w:left="42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采购包1、采购包2、采购包3涉及的相同样品（如：床前护栏、立柱、前/后床厅管、侧床厅矩形管、衣柜柜门、桌面板、铰链、导轨、学生椅、床板），投标人可选择整体提交一套，也可选择按采购包分别提供。</w:t>
      </w:r>
      <w:r/>
    </w:p>
    <w:p>
      <w:pPr>
        <w:numPr>
          <w:ilvl w:val="0"/>
          <w:numId w:val="0"/>
        </w:numPr>
        <w:ind w:left="42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样品提交</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（1）投标人提供的样品应为全新的产品。样品提交时间：2026年</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月   </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日</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上午10</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30-12:00</w:t>
      </w:r>
      <w:bookmarkStart w:id="223" w:name="_GoBack"/>
      <w:r/>
      <w:bookmarkEnd w:id="223"/>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、下午14:00-17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0。</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样品不显示品牌、制造商及投标单位名称信息。样品制作及运输费用由投标人自行承担，因投标人原因导致样品无法按要求送达指定地点的，责任由投标人自负。</w:t>
      </w:r>
      <w:r/>
    </w:p>
    <w:p>
      <w:pPr>
        <w:ind w:firstLine="480"/>
        <w:spacing w:line="360" w:lineRule="auto"/>
        <w:widowControl/>
        <w:rPr>
          <w:rFonts w:hint="default"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采购人接收及退还要求</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（1）样品由采购人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和采购代理机构</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负责接收，每种样品只接收一个。接收地点：宿迁市公共资源交易中心（宿迁市便民方舟2#10</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层</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或</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11</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层</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开标厅，具体房间号按现场指示牌要求执行）。联系人：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杨</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老师</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，联系方式：13218917936；李许静，联系方式：18036985612。</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样品递交截止时间后递交的样品将被拒绝接收。</w:t>
      </w:r>
      <w:r/>
    </w:p>
    <w:p>
      <w:pPr>
        <w:ind w:firstLine="480"/>
        <w:spacing w:line="360" w:lineRule="auto"/>
        <w:widowControl/>
        <w:rPr>
          <w:rFonts w:hint="eastAsia" w:ascii="宋体" w:hAnsi="宋体" w:eastAsia="宋体" w:cs="Times New Roman"/>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2）样品的退还。未中标样品在在招标投标活动结束后由投标人自行搬运离开（费用自理）。各投标人应在接到退还通知后，48小时内将样品搬离；超时未取走的，由采购人自行处置。中标人的样品由中标人负责运送到采购人指定地点并封存，作为履约验收参考。</w:t>
      </w:r>
      <w:r/>
    </w:p>
    <w:p>
      <w:pPr>
        <w:ind w:firstLine="480"/>
        <w:spacing w:line="360" w:lineRule="auto"/>
        <w:widowControl/>
        <w:rPr>
          <w:rFonts w:hint="default" w:ascii="宋体" w:hAnsi="宋体" w:eastAsia="宋体" w:cs="Times New Roman"/>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投标人提交、取回样品时，不得破坏或损毁其他投标人的样品，也不得对其他投标人的样品拍照、录像。</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样板间要求</w:t>
      </w:r>
      <w:r/>
    </w:p>
    <w:p>
      <w:pPr>
        <w:ind w:firstLine="480"/>
        <w:jc w:val="left"/>
        <w:spacing w:line="431" w:lineRule="exac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jc w:val="left"/>
        <w:spacing w:line="431" w:lineRule="exact"/>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采购包1至采购包3共用需求</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highlight w:val="none"/>
          <w14:textFill>
            <w14:solidFill>
              <w14:schemeClr w14:val="tx1"/>
            </w14:solidFill>
          </w14:textFill>
        </w:rPr>
        <w:t xml:space="preserve">、商务要求</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（一）供应商要求</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1.服务承诺书从工期保证措施（工期每延误1天罚款5000元）、质量保证措施（提供主材的规格、型号和品牌，质保期不少于</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年）、安全文明保证措施（施工人员指定工作服、施工区域围护等）、有针对性的专项方案。</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2.供应商需承诺其承担的项目在合同期内全部验收合格。</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3.供应商需承诺不得将成交项目转包及其它违规行为，一经发现立即取消供应商资格，并按相关法律法规上报处理。</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4.提供本项目详细家具采购及安装项目供货方案，家具采购及安装项目采购清单报价表。</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（二）项目实施要求</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1.该项目为交钥匙工程，项目内容包括及不限于以下内容：家具生产、运输、安装、</w:t>
      </w:r>
      <w:r>
        <w:rPr>
          <w:rFonts w:hint="eastAsia" w:ascii="宋体" w:hAnsi="宋体" w:cs="宋体"/>
          <w:color w:val="000000" w:themeColor="text1"/>
          <w:sz w:val="24"/>
          <w:highlight w:val="none"/>
          <w:lang w:val="en-US" w:eastAsia="zh-CN"/>
          <w14:textFill>
            <w14:solidFill>
              <w14:schemeClr w14:val="tx1"/>
            </w14:solidFill>
          </w14:textFill>
        </w:rPr>
        <w:t xml:space="preserve">二次搬运、</w:t>
      </w:r>
      <w:r>
        <w:rPr>
          <w:rFonts w:hint="eastAsia" w:ascii="宋体" w:hAnsi="宋体" w:cs="宋体"/>
          <w:color w:val="000000" w:themeColor="text1"/>
          <w:sz w:val="24"/>
          <w:highlight w:val="none"/>
          <w14:textFill>
            <w14:solidFill>
              <w14:schemeClr w14:val="tx1"/>
            </w14:solidFill>
          </w14:textFill>
        </w:rPr>
        <w:t xml:space="preserve">后期质保维护</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检测</w:t>
      </w:r>
      <w:r>
        <w:rPr>
          <w:rFonts w:hint="eastAsia" w:ascii="宋体" w:hAnsi="宋体" w:cs="宋体"/>
          <w:color w:val="000000" w:themeColor="text1"/>
          <w:sz w:val="24"/>
          <w:highlight w:val="none"/>
          <w14:textFill>
            <w14:solidFill>
              <w14:schemeClr w14:val="tx1"/>
            </w14:solidFill>
          </w14:textFill>
        </w:rPr>
        <w:t xml:space="preserve">等。</w:t>
      </w:r>
      <w:r/>
    </w:p>
    <w:p>
      <w:pPr>
        <w:ind w:firstLine="480"/>
        <w:jc w:val="left"/>
        <w:spacing w:line="431"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w:t>
      </w:r>
      <w:r>
        <w:rPr>
          <w:rFonts w:hint="eastAsia" w:ascii="宋体" w:hAnsi="宋体" w:cs="宋体"/>
          <w:color w:val="000000" w:themeColor="text1"/>
          <w:sz w:val="24"/>
          <w:highlight w:val="none"/>
          <w:lang w:val="en-US" w:eastAsia="zh-CN"/>
          <w14:textFill>
            <w14:solidFill>
              <w14:schemeClr w14:val="tx1"/>
            </w14:solidFill>
          </w14:textFill>
        </w:rPr>
        <w:t xml:space="preserve">检测合格的，检测费用由采购人承担。检测不合格的</w:t>
      </w:r>
      <w:r>
        <w:rPr>
          <w:rFonts w:hint="eastAsia" w:ascii="宋体" w:hAnsi="宋体" w:cs="宋体"/>
          <w:color w:val="000000" w:themeColor="text1"/>
          <w:sz w:val="24"/>
          <w:highlight w:val="none"/>
          <w14:textFill>
            <w14:solidFill>
              <w14:schemeClr w14:val="tx1"/>
            </w14:solidFill>
          </w14:textFill>
        </w:rPr>
        <w:t xml:space="preserve">检测费用及补货费用由中标供应商承担</w:t>
      </w:r>
      <w:r>
        <w:rPr>
          <w:rFonts w:hint="eastAsia" w:ascii="宋体" w:hAnsi="宋体" w:cs="宋体"/>
          <w:color w:val="000000" w:themeColor="text1"/>
          <w:sz w:val="24"/>
          <w:highlight w:val="none"/>
          <w:lang w:eastAsia="zh-CN"/>
          <w14:textFill>
            <w14:solidFill>
              <w14:schemeClr w14:val="tx1"/>
            </w14:solidFill>
          </w14:textFill>
        </w:rPr>
        <w:t xml:space="preserve">，投标人应考虑在投标报价中。</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项目实施方案。投标人应根据招标文件要求，提供质量管理及安装保障措施方案和进度控制方案。</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质量管理及保障方案</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根据本项目特点及现场勘察，制定本项目质量管理及保障措施。质量管理可以包括原材料、生产加工、成品检验、安装等方面，保障措施应能确保施工质量、成品保护等。成品保护方案具有完善的成品保护措施、现场材料和器械管理措施等。该方案应覆盖从生产到安装验收等过程，措施具体、责任到人、流程清晰。</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进度控制方案</w:t>
      </w:r>
      <w:r/>
    </w:p>
    <w:p>
      <w:pPr>
        <w:ind w:firstLine="480"/>
        <w:jc w:val="left"/>
        <w:spacing w:line="431"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（三）售后服务要求</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1.货物免费质保期不低于</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年，自采购人验收合格之日起计算。</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保期间，中标人承担维修、保养、安检、调换等，相关费用包含在预算内，采购方不再支付任何费用；如果中标人在质保期内不能按照投标承诺提供保养、维修、调换等服务，采购人有权另找他人进行保养、维修、调换，费用由中标人</w:t>
      </w:r>
      <w:r>
        <w:rPr>
          <w:rFonts w:hint="eastAsia" w:ascii="宋体" w:hAnsi="宋体" w:cs="宋体"/>
          <w:color w:val="000000" w:themeColor="text1"/>
          <w:sz w:val="24"/>
          <w:highlight w:val="none"/>
          <w:lang w:val="en-US" w:eastAsia="zh-CN"/>
          <w14:textFill>
            <w14:solidFill>
              <w14:schemeClr w14:val="tx1"/>
            </w14:solidFill>
          </w14:textFill>
        </w:rPr>
        <w:t xml:space="preserve">双倍</w:t>
      </w:r>
      <w:r>
        <w:rPr>
          <w:rFonts w:hint="eastAsia" w:ascii="宋体" w:hAnsi="宋体" w:cs="宋体"/>
          <w:color w:val="000000" w:themeColor="text1"/>
          <w:sz w:val="24"/>
          <w:highlight w:val="none"/>
          <w14:textFill>
            <w14:solidFill>
              <w14:schemeClr w14:val="tx1"/>
            </w14:solidFill>
          </w14:textFill>
        </w:rPr>
        <w:t xml:space="preserve">承担。</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为所供产品提供终身维护服务及不低于3年原厂免费质保服务（如投标人按照评分办法要求提供原厂免费质保期长于招标文件要求的，按照投标人提供的实际免费质保期执行）。在质保期内，一旦发生质量问题，中标供应商保证在接到通知后的2小时内进行响应，并在8小时内组织人员到现场进行检修，确因产品本身质量问题的，将组织原厂人员进行维修、更换或退货处理，费用由中标供应商负责。产品出现故障 48小时不能修复的，免费提供同等功能的产品供采购人使用，直至故障修复。质保期满后，能根据采购人要求提供充足的备品、备件。</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（四）交付要求</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1．中标供应商须在中标后的15天内，按照采购人的要求，于宿迁学院公寓空置房间内建设样板间，所有费用由中标商承担。</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2.交货、交付期限：合同签订后50日历天内送到甲方指定地点完成安装、调试、检测并经验收合格后交付甲方使用（含二次搬运费）。</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4．送货商品和送样样品的一致性比较、与项目需求的各类技术规格比较，如有不符，由供货人整改或换货，造成的损失由供货人承担。</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五</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验收要求</w:t>
      </w:r>
      <w:r/>
    </w:p>
    <w:p>
      <w:pPr>
        <w:ind w:firstLine="480"/>
        <w:jc w:val="left"/>
        <w:spacing w:line="431" w:lineRule="exact"/>
        <w:rPr>
          <w:rFonts w:hint="eastAsia" w:ascii="宋体" w:hAnsi="宋体" w:eastAsia="宋体" w:cs="微软雅黑"/>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微软雅黑"/>
          <w:color w:val="000000" w:themeColor="text1"/>
          <w:sz w:val="24"/>
          <w:szCs w:val="24"/>
          <w:highlight w:val="none"/>
          <w14:textFill>
            <w14:solidFill>
              <w14:schemeClr w14:val="tx1"/>
            </w14:solidFill>
          </w14:textFill>
        </w:rPr>
        <w:t xml:space="preserve">中标供应商应按照采购人的要求，提供由质检部门出具的家具（随机抽样）的检测报告。验收标准为：家具主要尺寸及其偏差、形状和位置公差、外观性能要求（</w:t>
      </w:r>
      <w:r>
        <w:rPr>
          <w:rFonts w:hint="eastAsia" w:ascii="宋体" w:hAnsi="宋体" w:eastAsia="宋体" w:cs="微软雅黑"/>
          <w:color w:val="000000" w:themeColor="text1"/>
          <w:sz w:val="24"/>
          <w:szCs w:val="24"/>
          <w:highlight w:val="none"/>
          <w:lang w:val="en-US" w:eastAsia="zh-CN"/>
          <w14:textFill>
            <w14:solidFill>
              <w14:schemeClr w14:val="tx1"/>
            </w14:solidFill>
          </w14:textFill>
        </w:rPr>
        <w:t xml:space="preserve">焊接件、喷漆（塑）涂层、木制件</w:t>
      </w:r>
      <w:r>
        <w:rPr>
          <w:rFonts w:hint="eastAsia" w:ascii="宋体" w:hAnsi="宋体" w:eastAsia="宋体" w:cs="微软雅黑"/>
          <w:color w:val="000000" w:themeColor="text1"/>
          <w:sz w:val="24"/>
          <w:szCs w:val="24"/>
          <w:highlight w:val="none"/>
          <w14:textFill>
            <w14:solidFill>
              <w14:schemeClr w14:val="tx1"/>
            </w14:solidFill>
          </w14:textFill>
        </w:rPr>
        <w:t xml:space="preserve">）、结构安全、金属喷漆（塑）涂层理化性能要求、力学性能、有害物质限量，检测项数值均达到甲方第四章项目需求中的详细标准；如有不符的，由供货人整改或换货，造成所有的损失（包括：因此给采购造成的损失），由供货人承担。采购人有权委托第三方专业检测机构对同种类家具抽检样品</w:t>
      </w:r>
      <w:r>
        <w:rPr>
          <w:rFonts w:hint="eastAsia" w:ascii="宋体" w:hAnsi="宋体" w:cs="微软雅黑"/>
          <w:color w:val="000000" w:themeColor="text1"/>
          <w:sz w:val="24"/>
          <w:szCs w:val="24"/>
          <w:highlight w:val="none"/>
          <w:lang w:eastAsia="zh-CN"/>
          <w14:textFill>
            <w14:solidFill>
              <w14:schemeClr w14:val="tx1"/>
            </w14:solidFill>
          </w14:textFill>
        </w:rPr>
        <w:t xml:space="preserve">（</w:t>
      </w:r>
      <w:r>
        <w:rPr>
          <w:rFonts w:hint="eastAsia" w:ascii="宋体" w:hAnsi="宋体" w:cs="微软雅黑"/>
          <w:color w:val="000000" w:themeColor="text1"/>
          <w:sz w:val="24"/>
          <w:szCs w:val="24"/>
          <w:highlight w:val="none"/>
          <w:lang w:val="en-US" w:eastAsia="zh-CN"/>
          <w14:textFill>
            <w14:solidFill>
              <w14:schemeClr w14:val="tx1"/>
            </w14:solidFill>
          </w14:textFill>
        </w:rPr>
        <w:t xml:space="preserve">采购包1抽取5套、采购包2抽取3套、采购包3抽取2套</w:t>
      </w:r>
      <w:r>
        <w:rPr>
          <w:rFonts w:hint="eastAsia" w:ascii="宋体" w:hAnsi="宋体" w:cs="微软雅黑"/>
          <w:color w:val="000000" w:themeColor="text1"/>
          <w:sz w:val="24"/>
          <w:szCs w:val="24"/>
          <w:highlight w:val="none"/>
          <w:lang w:eastAsia="zh-CN"/>
          <w14:textFill>
            <w14:solidFill>
              <w14:schemeClr w14:val="tx1"/>
            </w14:solidFill>
          </w14:textFill>
        </w:rPr>
        <w:t xml:space="preserve">）</w:t>
      </w:r>
      <w:r>
        <w:rPr>
          <w:rFonts w:hint="eastAsia" w:ascii="宋体" w:hAnsi="宋体" w:eastAsia="宋体" w:cs="微软雅黑"/>
          <w:color w:val="000000" w:themeColor="text1"/>
          <w:sz w:val="24"/>
          <w:szCs w:val="24"/>
          <w:highlight w:val="none"/>
          <w14:textFill>
            <w14:solidFill>
              <w14:schemeClr w14:val="tx1"/>
            </w14:solidFill>
          </w14:textFill>
        </w:rPr>
        <w:t xml:space="preserve">，进行破坏性检测</w:t>
      </w:r>
      <w:r>
        <w:rPr>
          <w:rFonts w:hint="eastAsia" w:ascii="宋体" w:hAnsi="宋体" w:eastAsia="宋体" w:cs="微软雅黑"/>
          <w:color w:val="000000" w:themeColor="text1"/>
          <w:sz w:val="24"/>
          <w:szCs w:val="24"/>
          <w:highlight w:val="none"/>
          <w:lang w:eastAsia="zh-CN"/>
          <w14:textFill>
            <w14:solidFill>
              <w14:schemeClr w14:val="tx1"/>
            </w14:solidFill>
          </w14:textFill>
        </w:rPr>
        <w:t xml:space="preserve">，</w:t>
      </w:r>
      <w:r>
        <w:rPr>
          <w:rFonts w:hint="eastAsia" w:ascii="宋体" w:hAnsi="宋体" w:eastAsia="宋体" w:cs="微软雅黑"/>
          <w:color w:val="000000" w:themeColor="text1"/>
          <w:sz w:val="24"/>
          <w:szCs w:val="24"/>
          <w:highlight w:val="none"/>
          <w:lang w:val="en-US" w:eastAsia="zh-CN"/>
          <w14:textFill>
            <w14:solidFill>
              <w14:schemeClr w14:val="tx1"/>
            </w14:solidFill>
          </w14:textFill>
        </w:rPr>
        <w:t xml:space="preserve">样品检测合格，检测费用由采购</w:t>
      </w:r>
      <w:r>
        <w:rPr>
          <w:rFonts w:hint="eastAsia" w:ascii="宋体" w:hAnsi="宋体" w:eastAsia="宋体" w:cs="微软雅黑"/>
          <w:color w:val="000000" w:themeColor="text1"/>
          <w:sz w:val="24"/>
          <w:szCs w:val="24"/>
          <w:highlight w:val="none"/>
          <w14:textFill>
            <w14:solidFill>
              <w14:schemeClr w14:val="tx1"/>
            </w14:solidFill>
          </w14:textFill>
        </w:rPr>
        <w:t xml:space="preserve">人</w:t>
      </w:r>
      <w:r>
        <w:rPr>
          <w:rFonts w:hint="eastAsia" w:ascii="宋体" w:hAnsi="宋体" w:eastAsia="宋体" w:cs="微软雅黑"/>
          <w:color w:val="000000" w:themeColor="text1"/>
          <w:sz w:val="24"/>
          <w:szCs w:val="24"/>
          <w:highlight w:val="none"/>
          <w:lang w:val="en-US" w:eastAsia="zh-CN"/>
          <w14:textFill>
            <w14:solidFill>
              <w14:schemeClr w14:val="tx1"/>
            </w14:solidFill>
          </w14:textFill>
        </w:rPr>
        <w:t xml:space="preserve">承担。样品检测不合格，检测费用由</w:t>
      </w:r>
      <w:r>
        <w:rPr>
          <w:rFonts w:hint="eastAsia" w:ascii="宋体" w:hAnsi="宋体" w:eastAsia="宋体" w:cs="微软雅黑"/>
          <w:color w:val="000000" w:themeColor="text1"/>
          <w:sz w:val="24"/>
          <w:szCs w:val="24"/>
          <w:highlight w:val="none"/>
          <w14:textFill>
            <w14:solidFill>
              <w14:schemeClr w14:val="tx1"/>
            </w14:solidFill>
          </w14:textFill>
        </w:rPr>
        <w:t xml:space="preserve">供货人</w:t>
      </w:r>
      <w:r>
        <w:rPr>
          <w:rFonts w:hint="eastAsia" w:ascii="宋体" w:hAnsi="宋体" w:eastAsia="宋体" w:cs="微软雅黑"/>
          <w:color w:val="000000" w:themeColor="text1"/>
          <w:sz w:val="24"/>
          <w:szCs w:val="24"/>
          <w:highlight w:val="none"/>
          <w:lang w:val="en-US" w:eastAsia="zh-CN"/>
          <w14:textFill>
            <w14:solidFill>
              <w14:schemeClr w14:val="tx1"/>
            </w14:solidFill>
          </w14:textFill>
        </w:rPr>
        <w:t xml:space="preserve">承担。</w:t>
      </w:r>
      <w:r/>
    </w:p>
    <w:p>
      <w:pPr>
        <w:ind w:firstLine="360"/>
        <w:jc w:val="left"/>
        <w:spacing w:line="431" w:lineRule="exact"/>
        <w:rPr>
          <w:rFonts w:hint="eastAsia" w:ascii="宋体" w:hAnsi="宋体" w:eastAsia="宋体" w:cs="微软雅黑"/>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质量达不到招标文件和国家有关质量标准要求，采购人将视情况严重程度要求整改或赔偿。对于情况不严重将由供应商免费整改。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微软雅黑"/>
          <w:color w:val="000000" w:themeColor="text1"/>
          <w:sz w:val="24"/>
          <w:szCs w:val="24"/>
          <w:highlight w:val="none"/>
          <w:lang w:val="en-US" w:eastAsia="zh-CN" w:bidi="ar-SA"/>
          <w14:textFill>
            <w14:solidFill>
              <w14:schemeClr w14:val="tx1"/>
            </w14:solidFill>
          </w14:textFill>
        </w:rPr>
        <w:t xml:space="preserve">检测合格，检测费用由采购人承担。样品检测不合格，检测费用由供货人承担。</w:t>
      </w:r>
      <w:r/>
    </w:p>
    <w:p>
      <w:pPr>
        <w:ind w:firstLine="480"/>
        <w:jc w:val="left"/>
        <w:spacing w:line="431" w:lineRule="exact"/>
        <w:rPr>
          <w:rFonts w:hint="eastAsia" w:ascii="宋体" w:hAnsi="宋体" w:eastAsia="宋体" w:cs="微软雅黑"/>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采购单位代表</w:t>
      </w:r>
      <w:r>
        <w:rPr>
          <w:rFonts w:hint="eastAsia" w:ascii="宋体" w:hAnsi="宋体"/>
          <w:color w:val="000000" w:themeColor="text1"/>
          <w:sz w:val="24"/>
          <w:szCs w:val="24"/>
          <w:highlight w:val="none"/>
          <w14:textFill>
            <w14:solidFill>
              <w14:schemeClr w14:val="tx1"/>
            </w14:solidFill>
          </w14:textFill>
        </w:rPr>
        <w:t xml:space="preserve">可</w:t>
      </w:r>
      <w:r>
        <w:rPr>
          <w:rFonts w:ascii="宋体" w:hAnsi="宋体"/>
          <w:color w:val="000000" w:themeColor="text1"/>
          <w:sz w:val="24"/>
          <w:szCs w:val="24"/>
          <w:highlight w:val="none"/>
          <w14:textFill>
            <w14:solidFill>
              <w14:schemeClr w14:val="tx1"/>
            </w14:solidFill>
          </w14:textFill>
        </w:rPr>
        <w:t xml:space="preserve">在生产过程中到生产现场查看本项目所有制作材料的型号和进货清单等书面材料及原始凭证，中标供应商在基材备货完成阶段和货物生产完成30%阶段，及时告知采购人，以便采购人安排现场监督。</w:t>
      </w:r>
      <w:r/>
    </w:p>
    <w:p>
      <w:pPr>
        <w:ind w:firstLine="480"/>
        <w:jc w:val="left"/>
        <w:spacing w:line="431"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（4）中标供应商需在货物安装结束后，验收前由具有相关资质的专业检测机构依据GB/T 18883-2022标准进行空气检测，抽检数量为10%的房间数，并出具空气环境检测报告，检测费用由中标供应商承担。如交货安装完成后空气检测不合格，由中标供应商进行整改，在招标文件规定的合同期限内达到国家空气健康标准；如仍不合格，采购人有权拒付货款并要求中标供应商承担由此所造成的一切损失。</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5．中标供应商在最终验收合格之后，向采购人提供装箱清单、测试报告、产品合格证、使用说明书、保养、维护所</w:t>
      </w:r>
      <w:r>
        <w:rPr>
          <w:rFonts w:hint="eastAsia" w:ascii="宋体" w:hAnsi="宋体" w:cs="宋体"/>
          <w:color w:val="000000" w:themeColor="text1"/>
          <w:sz w:val="24"/>
          <w:highlight w:val="none"/>
          <w:lang w:val="en-US" w:eastAsia="zh-CN"/>
          <w14:textFill>
            <w14:solidFill>
              <w14:schemeClr w14:val="tx1"/>
            </w14:solidFill>
          </w14:textFill>
        </w:rPr>
        <w:t xml:space="preserve">需要</w:t>
      </w:r>
      <w:r>
        <w:rPr>
          <w:rFonts w:hint="eastAsia" w:ascii="宋体" w:hAnsi="宋体" w:cs="宋体"/>
          <w:color w:val="000000" w:themeColor="text1"/>
          <w:sz w:val="24"/>
          <w:highlight w:val="none"/>
          <w14:textFill>
            <w14:solidFill>
              <w14:schemeClr w14:val="tx1"/>
            </w14:solidFill>
          </w14:textFill>
        </w:rPr>
        <w:t xml:space="preserve">的资料。供货商无条件配合甲方聘请的监理单位、审计单位参与进行的验收工作。</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五</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投标人履约能力及其他要求</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.1投标人或所投产品制造商具有完成本项目所需的生产设备，如</w:t>
      </w:r>
      <w:r>
        <w:rPr>
          <w:rFonts w:hint="eastAsia" w:ascii="宋体" w:hAnsi="宋体" w:cs="宋体"/>
          <w:color w:val="000000" w:themeColor="text1"/>
          <w:sz w:val="24"/>
          <w:highlight w:val="none"/>
          <w:lang w:val="en-US" w:eastAsia="zh-CN"/>
          <w14:textFill>
            <w14:solidFill>
              <w14:schemeClr w14:val="tx1"/>
            </w14:solidFill>
          </w14:textFill>
        </w:rPr>
        <w:t xml:space="preserve">激光切割设备、焊接机器人（自动焊接设备）、喷涂生产线、数控弯管机、数控板材开料锯、自动封边机</w:t>
      </w:r>
      <w:r>
        <w:rPr>
          <w:rFonts w:hint="eastAsia" w:ascii="宋体" w:hAnsi="宋体" w:cs="宋体"/>
          <w:color w:val="000000" w:themeColor="text1"/>
          <w:sz w:val="24"/>
          <w:highlight w:val="none"/>
          <w14:textFill>
            <w14:solidFill>
              <w14:schemeClr w14:val="tx1"/>
            </w14:solidFill>
          </w14:textFill>
        </w:rPr>
        <w:t xml:space="preserve">等具有相同或类似功能的设备。</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投标人提供自202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年1月1日以来（以合同签订时间为准）销售、供货及安装与本项目类似的成功案例</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根据评分办法具体内容提供证明材料</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431" w:lineRule="exact"/>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highlight w:val="none"/>
          <w:lang w:eastAsia="zh-CN"/>
          <w14:textFill>
            <w14:solidFill>
              <w14:schemeClr w14:val="tx1"/>
            </w14:solidFill>
          </w14:textFill>
        </w:rPr>
        <w:t xml:space="preserve">）履约保证金</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1、</w:t>
      </w:r>
      <w:r>
        <w:rPr>
          <w:rFonts w:hint="eastAsia" w:ascii="Times New Roman" w:hAnsi="Times New Roman" w:cs="仿宋"/>
          <w:color w:val="000000" w:themeColor="text1"/>
          <w:sz w:val="24"/>
          <w:highlight w:val="none"/>
          <w14:textFill>
            <w14:solidFill>
              <w14:schemeClr w14:val="tx1"/>
            </w14:solidFill>
          </w14:textFill>
        </w:rPr>
        <w:t xml:space="preserve">履约保证金提交形式</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14:textFill>
            <w14:solidFill>
              <w14:schemeClr w14:val="tx1"/>
            </w14:solidFill>
          </w14:textFill>
        </w:rPr>
        <w:t xml:space="preserve">履约保证金提交金额</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按采购合同总价的</w:t>
      </w:r>
      <w:r>
        <w:rPr>
          <w:rFonts w:hint="eastAsia" w:ascii="Times New Roman" w:hAnsi="Times New Roman" w:cs="仿宋"/>
          <w:color w:val="000000" w:themeColor="text1"/>
          <w:sz w:val="24"/>
          <w:highlight w:val="none"/>
          <w:u w:val="single"/>
          <w14:textFill>
            <w14:solidFill>
              <w14:schemeClr w14:val="tx1"/>
            </w14:solidFill>
          </w14:textFill>
        </w:rPr>
        <w:t xml:space="preserve">10</w:t>
      </w:r>
      <w:r>
        <w:rPr>
          <w:rFonts w:hint="eastAsia" w:ascii="Times New Roman" w:hAnsi="Times New Roman" w:cs="仿宋"/>
          <w:color w:val="000000" w:themeColor="text1"/>
          <w:sz w:val="24"/>
          <w:highlight w:val="none"/>
          <w14:textFill>
            <w14:solidFill>
              <w14:schemeClr w14:val="tx1"/>
            </w14:solidFill>
          </w14:textFill>
        </w:rPr>
        <w:t xml:space="preserve">%提交。</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themeColor="text1"/>
          <w:sz w:val="24"/>
          <w:highlight w:val="none"/>
          <w:u w:val="single"/>
          <w14:textFill>
            <w14:solidFill>
              <w14:schemeClr w14:val="tx1"/>
            </w14:solidFill>
          </w14:textFill>
        </w:rPr>
        <w:t xml:space="preserve">6</w:t>
      </w:r>
      <w:r>
        <w:rPr>
          <w:rFonts w:hint="eastAsia" w:ascii="Times New Roman" w:hAnsi="Times New Roman" w:cs="仿宋"/>
          <w:color w:val="000000" w:themeColor="text1"/>
          <w:sz w:val="24"/>
          <w:highlight w:val="none"/>
          <w14:textFill>
            <w14:solidFill>
              <w14:schemeClr w14:val="tx1"/>
            </w14:solidFill>
          </w14:textFill>
        </w:rPr>
        <w:t xml:space="preserve">%提交。办理流程、偿付等内容见江苏政府采购网“保险保函”模块。</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3、</w:t>
      </w:r>
      <w:r>
        <w:rPr>
          <w:rFonts w:hint="eastAsia" w:ascii="Times New Roman" w:hAnsi="Times New Roman" w:cs="仿宋"/>
          <w:color w:val="000000" w:themeColor="text1"/>
          <w:sz w:val="24"/>
          <w:highlight w:val="none"/>
          <w14:textFill>
            <w14:solidFill>
              <w14:schemeClr w14:val="tx1"/>
            </w14:solidFill>
          </w14:textFill>
        </w:rPr>
        <w:t xml:space="preserve">履约保证金退还方式</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4、</w:t>
      </w:r>
      <w:r>
        <w:rPr>
          <w:rFonts w:hint="eastAsia" w:ascii="Times New Roman" w:hAnsi="Times New Roman" w:cs="仿宋"/>
          <w:color w:val="000000" w:themeColor="text1"/>
          <w:sz w:val="24"/>
          <w:highlight w:val="none"/>
          <w14:textFill>
            <w14:solidFill>
              <w14:schemeClr w14:val="tx1"/>
            </w14:solidFill>
          </w14:textFill>
        </w:rPr>
        <w:t xml:space="preserve">履约保证金退还条件</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具有验收合格相关证明材料。</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5、</w:t>
      </w:r>
      <w:r>
        <w:rPr>
          <w:rFonts w:hint="eastAsia" w:ascii="Times New Roman" w:hAnsi="Times New Roman" w:cs="仿宋"/>
          <w:color w:val="000000" w:themeColor="text1"/>
          <w:sz w:val="24"/>
          <w:highlight w:val="none"/>
          <w14:textFill>
            <w14:solidFill>
              <w14:schemeClr w14:val="tx1"/>
            </w14:solidFill>
          </w14:textFill>
        </w:rPr>
        <w:t xml:space="preserve">履约保证金退还时间</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采购人收到投标人退付申请后5个工作日内退还。</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6</w:t>
      </w:r>
      <w:r>
        <w:rPr>
          <w:rFonts w:hint="eastAsia" w:ascii="Times New Roman" w:hAnsi="Times New Roman" w:cs="仿宋"/>
          <w:color w:val="000000" w:themeColor="text1"/>
          <w:sz w:val="24"/>
          <w:highlight w:val="none"/>
          <w:lang w:eastAsia="zh-CN"/>
          <w14:textFill>
            <w14:solidFill>
              <w14:schemeClr w14:val="tx1"/>
            </w14:solidFill>
          </w14:textFill>
        </w:rPr>
        <w:t xml:space="preserve">、</w:t>
      </w:r>
      <w:r>
        <w:rPr>
          <w:rFonts w:hint="eastAsia" w:ascii="Times New Roman" w:hAnsi="Times New Roman" w:cs="仿宋"/>
          <w:color w:val="000000" w:themeColor="text1"/>
          <w:sz w:val="24"/>
          <w:highlight w:val="none"/>
          <w14:textFill>
            <w14:solidFill>
              <w14:schemeClr w14:val="tx1"/>
            </w14:solidFill>
          </w14:textFill>
        </w:rPr>
        <w:t xml:space="preserve">履约保证金不予退还情形</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7、</w:t>
      </w:r>
      <w:r>
        <w:rPr>
          <w:rFonts w:hint="eastAsia" w:ascii="Times New Roman" w:hAnsi="Times New Roman" w:cs="仿宋"/>
          <w:color w:val="000000" w:themeColor="text1"/>
          <w:sz w:val="24"/>
          <w:highlight w:val="none"/>
          <w14:textFill>
            <w14:solidFill>
              <w14:schemeClr w14:val="tx1"/>
            </w14:solidFill>
          </w14:textFill>
        </w:rPr>
        <w:t xml:space="preserve">逾期退还履约保证金违约责任</w:t>
      </w:r>
      <w:r/>
    </w:p>
    <w:p>
      <w:pPr>
        <w:ind w:firstLine="480"/>
        <w:spacing w:line="48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采购人逾期退还履约保证金的，除应退还履约保证金外，还应按中国人民银行同期贷款基准利率上浮20％后的利率支付超期资金占用费，但因投标人自身原因导致无法及时退还的除外。</w:t>
      </w:r>
      <w:r/>
    </w:p>
    <w:p>
      <w:pPr>
        <w:numPr>
          <w:ilvl w:val="0"/>
          <w:numId w:val="16"/>
        </w:numPr>
        <w:ind w:firstLine="480"/>
        <w:jc w:val="left"/>
        <w:spacing w:line="431" w:lineRule="exact"/>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付款方式：</w:t>
      </w:r>
      <w:r/>
    </w:p>
    <w:p>
      <w:pPr>
        <w:numPr>
          <w:ilvl w:val="0"/>
          <w:numId w:val="0"/>
        </w:num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签订合同后，</w:t>
      </w:r>
      <w:r>
        <w:rPr>
          <w:rFonts w:hint="eastAsia" w:ascii="宋体" w:hAnsi="宋体" w:cs="宋体"/>
          <w:color w:val="000000" w:themeColor="text1"/>
          <w:sz w:val="24"/>
          <w:highlight w:val="none"/>
          <w:lang w:val="en-US"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人</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收到</w:t>
      </w:r>
      <w:r>
        <w:rPr>
          <w:rFonts w:hint="eastAsia" w:ascii="Times New Roman" w:hAnsi="Times New Roman" w:cs="Times New Roman"/>
          <w:color w:val="000000" w:themeColor="text1"/>
          <w:sz w:val="24"/>
          <w:szCs w:val="21"/>
          <w:highlight w:val="none"/>
          <w:lang w:val="en-US" w:eastAsia="zh-CN"/>
          <w14:textFill>
            <w14:solidFill>
              <w14:schemeClr w14:val="tx1"/>
            </w14:solidFill>
          </w14:textFill>
        </w:rPr>
        <w:t xml:space="preserve">中标</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供应商发票10</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个</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工作日内</w:t>
      </w:r>
      <w:r>
        <w:rPr>
          <w:rFonts w:hint="eastAsia" w:ascii="宋体" w:hAnsi="宋体" w:cs="宋体"/>
          <w:color w:val="000000" w:themeColor="text1"/>
          <w:sz w:val="24"/>
          <w:highlight w:val="none"/>
          <w14:textFill>
            <w14:solidFill>
              <w14:schemeClr w14:val="tx1"/>
            </w14:solidFill>
          </w14:textFill>
        </w:rPr>
        <w:t xml:space="preserve">支付合同总价款的30%作为预付款。货到现场，采购人委托第三方专业检测机构进行抽样检测，对家具进行破坏性抽检，对基材、五金配件及各项指标是否按照招标文件要求进行检测抽查，家具安装调试结束，采购人验收合格后，</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收到</w:t>
      </w:r>
      <w:r>
        <w:rPr>
          <w:rFonts w:hint="eastAsia" w:ascii="Times New Roman" w:hAnsi="Times New Roman" w:cs="Times New Roman"/>
          <w:color w:val="000000" w:themeColor="text1"/>
          <w:sz w:val="24"/>
          <w:szCs w:val="21"/>
          <w:highlight w:val="none"/>
          <w:lang w:val="en-US" w:eastAsia="zh-CN"/>
          <w14:textFill>
            <w14:solidFill>
              <w14:schemeClr w14:val="tx1"/>
            </w14:solidFill>
          </w14:textFill>
        </w:rPr>
        <w:t xml:space="preserve">中标</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供应商发票10</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个</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工作日内</w:t>
      </w:r>
      <w:r>
        <w:rPr>
          <w:rFonts w:hint="eastAsia" w:ascii="宋体" w:hAnsi="宋体" w:cs="宋体"/>
          <w:color w:val="000000" w:themeColor="text1"/>
          <w:sz w:val="24"/>
          <w:highlight w:val="none"/>
          <w14:textFill>
            <w14:solidFill>
              <w14:schemeClr w14:val="tx1"/>
            </w14:solidFill>
          </w14:textFill>
        </w:rPr>
        <w:t xml:space="preserve">付至合同总价款的100%。</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微软雅黑"/>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746"/>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p>
      <w:pPr>
        <w:ind w:firstLine="480"/>
        <w:jc w:val="center"/>
        <w:spacing w:line="360" w:lineRule="auto"/>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t xml:space="preserve">第五章  </w:t>
      </w:r>
      <w:r>
        <w:rPr>
          <w:rFonts w:hint="eastAsia" w:ascii="黑体" w:hAnsi="Times New Roman" w:eastAsia="黑体"/>
          <w:b/>
          <w:bCs/>
          <w:color w:val="000000" w:themeColor="text1"/>
          <w:sz w:val="44"/>
          <w:szCs w:val="28"/>
          <w:highlight w:val="none"/>
          <w14:textFill>
            <w14:solidFill>
              <w14:schemeClr w14:val="tx1"/>
            </w14:solidFill>
          </w14:textFill>
        </w:rPr>
        <w:t xml:space="preserve">评标方法与评标标准</w:t>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ind w:firstLine="480"/>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w:t>
      </w:r>
      <w:r/>
    </w:p>
    <w:tbl>
      <w:tblPr>
        <w:tblStyle w:val="741"/>
        <w:tblW w:w="7083"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采购包号</w:t>
            </w:r>
            <w:r/>
          </w:p>
        </w:tc>
        <w:tc>
          <w:tcPr>
            <w:tcW w:w="1610"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选取</w:t>
            </w: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中标候选人数量</w:t>
            </w:r>
            <w:r/>
          </w:p>
        </w:tc>
        <w:tc>
          <w:tcPr>
            <w:tcW w:w="4325"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选取</w:t>
            </w: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中标候选人的原则</w:t>
            </w:r>
            <w:r/>
          </w:p>
        </w:tc>
      </w:tr>
      <w:tr>
        <w:trPr/>
        <w:tc>
          <w:tcPr>
            <w:tcW w:w="1148"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p>
        </w:tc>
        <w:tc>
          <w:tcPr>
            <w:tcW w:w="1610"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p>
        </w:tc>
        <w:tc>
          <w:tcPr>
            <w:tcW w:w="4325"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满足招标文件全部实质性要求，且按照评审因素的量化指标评审得分最高的投标人为中标候选人。</w:t>
            </w:r>
            <w:r/>
          </w:p>
        </w:tc>
      </w:tr>
      <w:tr>
        <w:trPr/>
        <w:tc>
          <w:tcPr>
            <w:tcW w:w="1148" w:type="dxa"/>
            <w:vAlign w:val="center"/>
            <w:textDirection w:val="lrTb"/>
            <w:noWrap w:val="false"/>
          </w:tcPr>
          <w:p>
            <w:pPr>
              <w:jc w:val="center"/>
              <w:widowControl w:val="off"/>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2</w:t>
            </w:r>
            <w:r/>
          </w:p>
        </w:tc>
        <w:tc>
          <w:tcPr>
            <w:tcW w:w="1610" w:type="dxa"/>
            <w:vAlign w:val="center"/>
            <w:textDirection w:val="lrTb"/>
            <w:noWrap w:val="false"/>
          </w:tcPr>
          <w:p>
            <w:pPr>
              <w:jc w:val="center"/>
              <w:widowControl w:val="off"/>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1</w:t>
            </w:r>
            <w:r/>
          </w:p>
        </w:tc>
        <w:tc>
          <w:tcPr>
            <w:tcW w:w="4325"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满足招标文件全部实质性要求，且按照评审因素的量化指标评审得分最高的投标人为中标候选人。</w:t>
            </w:r>
            <w:r/>
          </w:p>
        </w:tc>
      </w:tr>
      <w:tr>
        <w:trPr/>
        <w:tc>
          <w:tcPr>
            <w:tcW w:w="1148" w:type="dxa"/>
            <w:vAlign w:val="center"/>
            <w:textDirection w:val="lrTb"/>
            <w:noWrap w:val="false"/>
          </w:tcPr>
          <w:p>
            <w:pPr>
              <w:jc w:val="center"/>
              <w:widowControl w:val="off"/>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3</w:t>
            </w:r>
            <w:r/>
          </w:p>
        </w:tc>
        <w:tc>
          <w:tcPr>
            <w:tcW w:w="1610" w:type="dxa"/>
            <w:vAlign w:val="center"/>
            <w:textDirection w:val="lrTb"/>
            <w:noWrap w:val="false"/>
          </w:tcPr>
          <w:p>
            <w:pPr>
              <w:jc w:val="center"/>
              <w:widowControl w:val="off"/>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1</w:t>
            </w:r>
            <w:r/>
          </w:p>
        </w:tc>
        <w:tc>
          <w:tcPr>
            <w:tcW w:w="4325"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r>
      <w:r/>
    </w:p>
    <w:p>
      <w:pPr>
        <w:ind w:firstLine="439"/>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政府采购政策功能落实</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1、</w:t>
      </w:r>
      <w:r>
        <w:rPr>
          <w:rFonts w:hint="eastAsia" w:ascii="Times New Roman" w:hAnsi="Times New Roman" w:cs="仿宋"/>
          <w:color w:val="000000" w:themeColor="text1"/>
          <w:sz w:val="24"/>
          <w:highlight w:val="none"/>
          <w14:textFill>
            <w14:solidFill>
              <w14:schemeClr w14:val="tx1"/>
            </w14:solidFill>
          </w14:textFill>
        </w:rPr>
        <w:t xml:space="preserve">中小企业政策</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本项目对符合规定情形的小微企业报价给予</w:t>
      </w:r>
      <w:r>
        <w:rPr>
          <w:rFonts w:hint="eastAsia" w:ascii="Times New Roman" w:hAnsi="Times New Roman" w:cs="仿宋"/>
          <w:color w:val="000000" w:themeColor="text1"/>
          <w:sz w:val="24"/>
          <w:highlight w:val="none"/>
          <w:u w:val="single"/>
          <w14:textFill>
            <w14:solidFill>
              <w14:schemeClr w14:val="tx1"/>
            </w14:solidFill>
          </w14:textFill>
        </w:rPr>
        <w:t xml:space="preserve">10%</w:t>
      </w:r>
      <w:r>
        <w:rPr>
          <w:rFonts w:hint="eastAsia" w:ascii="Times New Roman" w:hAnsi="Times New Roman" w:cs="仿宋"/>
          <w:color w:val="000000" w:themeColor="text1"/>
          <w:sz w:val="24"/>
          <w:highlight w:val="none"/>
          <w14:textFill>
            <w14:solidFill>
              <w14:schemeClr w14:val="tx1"/>
            </w14:solidFill>
          </w14:textFill>
        </w:rPr>
        <w:t xml:space="preserve">扣除，用扣除后的价格参加评审。</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_GB2312"/>
          <w:color w:val="000000" w:themeColor="text1"/>
          <w:sz w:val="24"/>
          <w:highlight w:val="none"/>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14:textFill>
            <w14:solidFill>
              <w14:schemeClr w14:val="tx1"/>
            </w14:solidFill>
          </w14:textFill>
        </w:rPr>
        <w:t xml:space="preserve">采购本国产品的支持政策</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2.1 </w:t>
      </w:r>
      <w:r>
        <w:rPr>
          <w:rFonts w:hint="eastAsia" w:ascii="宋体" w:hAnsi="宋体"/>
          <w:bCs/>
          <w:color w:val="000000" w:themeColor="text1"/>
          <w:sz w:val="24"/>
          <w:szCs w:val="24"/>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2.2本项目政府采购活动中既有本国产品又有非本国产品参与竞争的，依法对本国产品给予价格评审优惠，对本国产品的报价给予</w:t>
      </w:r>
      <w:r>
        <w:rPr>
          <w:rFonts w:hint="eastAsia" w:ascii="Times New Roman" w:hAnsi="Times New Roman" w:cs="仿宋"/>
          <w:b/>
          <w:bCs/>
          <w:color w:val="000000" w:themeColor="text1"/>
          <w:sz w:val="24"/>
          <w:highlight w:val="none"/>
          <w:u w:val="single"/>
          <w14:textFill>
            <w14:solidFill>
              <w14:schemeClr w14:val="tx1"/>
            </w14:solidFill>
          </w14:textFill>
        </w:rPr>
        <w:t xml:space="preserve">20%</w:t>
      </w:r>
      <w:r>
        <w:rPr>
          <w:rFonts w:hint="eastAsia" w:ascii="Times New Roman" w:hAnsi="Times New Roman" w:cs="仿宋"/>
          <w:color w:val="000000" w:themeColor="text1"/>
          <w:sz w:val="24"/>
          <w:highlight w:val="none"/>
          <w14:textFill>
            <w14:solidFill>
              <w14:schemeClr w14:val="tx1"/>
            </w14:solidFill>
          </w14:textFill>
        </w:rPr>
        <w:t xml:space="preserve">的价格扣除，用扣除后的价格参与评审。</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themeColor="text1"/>
          <w:sz w:val="24"/>
          <w:highlight w:val="none"/>
          <w14:textFill>
            <w14:solidFill>
              <w14:schemeClr w14:val="tx1"/>
            </w14:solidFill>
          </w14:textFill>
        </w:rPr>
        <w:t xml:space="preserve">80%以上</w:t>
      </w:r>
      <w:r>
        <w:rPr>
          <w:rFonts w:hint="eastAsia" w:ascii="Times New Roman" w:hAnsi="Times New Roman" w:cs="仿宋"/>
          <w:color w:val="000000" w:themeColor="text1"/>
          <w:sz w:val="24"/>
          <w:highlight w:val="none"/>
          <w14:textFill>
            <w14:solidFill>
              <w14:schemeClr w14:val="tx1"/>
            </w14:solidFill>
          </w14:textFill>
        </w:rPr>
        <w:t xml:space="preserve">时，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采购包1</w:t>
      </w:r>
      <w:r>
        <w:rPr>
          <w:rFonts w:hint="eastAsia" w:ascii="宋体" w:hAnsi="宋体"/>
          <w:b/>
          <w:color w:val="000000" w:themeColor="text1"/>
          <w:sz w:val="24"/>
          <w:szCs w:val="24"/>
          <w:highlight w:val="none"/>
          <w14:textFill>
            <w14:solidFill>
              <w14:schemeClr w14:val="tx1"/>
            </w14:solidFill>
          </w14:textFill>
        </w:rPr>
        <w:t xml:space="preserve">评标方法与评标标准</w:t>
      </w:r>
      <w:r/>
    </w:p>
    <w:tbl>
      <w:tblPr>
        <w:tblStyle w:val="741"/>
        <w:tblW w:w="9570" w:type="dxa"/>
        <w:jc w:val="center"/>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jc w:val="center"/>
          <w:trHeight w:val="60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评分因素</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分值   （100分）</w:t>
            </w:r>
            <w:r/>
          </w:p>
        </w:tc>
        <w:tc>
          <w:tcPr>
            <w:tcW w:w="7057"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评分标准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1.投标报价</w:t>
            </w:r>
            <w:r/>
          </w:p>
        </w:tc>
        <w:tc>
          <w:tcPr>
            <w:tcW w:w="1233" w:type="dxa"/>
            <w:vAlign w:val="center"/>
            <w:textDirection w:val="lrTb"/>
            <w:noWrap w:val="false"/>
          </w:tcPr>
          <w:p>
            <w:pPr>
              <w:jc w:val="center"/>
              <w:widowControl w:val="off"/>
              <w:rPr>
                <w:rFonts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2.质量管理及保障方案</w:t>
            </w:r>
            <w:r/>
          </w:p>
        </w:tc>
        <w:tc>
          <w:tcPr>
            <w:tcW w:w="1233"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w:t>
            </w:r>
            <w:bookmarkStart w:id="205" w:name="OLE_LINK132"/>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（二）项目实施要求-3.1质量管理及保障</w:t>
            </w:r>
            <w:bookmarkEnd w:id="205"/>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方案”提供质量管理及保障方案。优于采购需求的得5分；满足采购需求的得3分；其他情况不得分。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3.进度控制方案</w:t>
            </w:r>
            <w:r/>
          </w:p>
        </w:tc>
        <w:tc>
          <w:tcPr>
            <w:tcW w:w="1233"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采购需求”中的“七、商务要求-（二）项目实施要求-3.2进度控制方案”提供进度控制方案。优于采购需求的得5分；满足采购需求的得3分；其他情况不得分。</w:t>
            </w:r>
            <w:r/>
          </w:p>
        </w:tc>
      </w:tr>
      <w:tr>
        <w:trPr>
          <w:jc w:val="center"/>
          <w:trHeight w:val="904"/>
        </w:trPr>
        <w:tc>
          <w:tcPr>
            <w:tcW w:w="1280"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4.项目交付方案</w:t>
            </w:r>
            <w:r/>
          </w:p>
        </w:tc>
        <w:tc>
          <w:tcPr>
            <w:tcW w:w="1233"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七</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、商务要求-（</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四</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）交付要求”提供项目交付方案。优于采购需求的得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分；满足采购需求的得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分；其他情况不得分。</w:t>
            </w:r>
            <w:r/>
          </w:p>
        </w:tc>
      </w:tr>
      <w:tr>
        <w:trPr>
          <w:jc w:val="center"/>
          <w:trHeight w:val="339"/>
        </w:trPr>
        <w:tc>
          <w:tcPr>
            <w:tcW w:w="1280" w:type="dxa"/>
            <w:vAlign w:val="center"/>
            <w:textDirection w:val="lrTb"/>
            <w:noWrap w:val="false"/>
          </w:tcPr>
          <w:p>
            <w:pPr>
              <w:jc w:val="center"/>
              <w:widowControl w:val="off"/>
              <w:rPr>
                <w:rFonts w:hint="eastAsia" w:ascii="宋体" w:hAnsi="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5.免费质保期</w:t>
            </w:r>
            <w:r/>
          </w:p>
        </w:tc>
        <w:tc>
          <w:tcPr>
            <w:tcW w:w="1233" w:type="dxa"/>
            <w:vAlign w:val="center"/>
            <w:textDirection w:val="lrTb"/>
            <w:noWrap w:val="false"/>
          </w:tcPr>
          <w:p>
            <w:pPr>
              <w:jc w:val="center"/>
              <w:widowControl w:val="off"/>
              <w:rPr>
                <w:rFonts w:hint="default" w:ascii="宋体" w:hAnsi="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满足招标文件免费质保期3年要求后,每增加1年得2分，最高得4分。注：需在投标文件中附承诺函明确标注延长的质保年限，每增加一年的加分仅以承诺函载明的年限为准；未提供承诺函或承诺年限不清晰不得分（格式自拟）。</w:t>
            </w:r>
            <w:r/>
          </w:p>
        </w:tc>
      </w:tr>
      <w:tr>
        <w:trPr>
          <w:jc w:val="center"/>
          <w:trHeight w:val="405"/>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.售后服务</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七</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、商务要求-（</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三</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）售后服务要求”提供售后服务方案。优于采购需求的得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分；满足采购需求的得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分；其他情况不得分。</w:t>
            </w:r>
            <w:r/>
          </w:p>
        </w:tc>
      </w:tr>
      <w:tr>
        <w:trPr>
          <w:jc w:val="center"/>
          <w:trHeight w:val="360"/>
        </w:trPr>
        <w:tc>
          <w:tcPr>
            <w:tcW w:w="1280" w:type="dxa"/>
            <w:vAlign w:val="center"/>
            <w:textDirection w:val="lrTb"/>
            <w:noWrap w:val="false"/>
          </w:tcPr>
          <w:p>
            <w:pPr>
              <w:jc w:val="center"/>
              <w:spacing w:before="68"/>
              <w:widowControl w:val="off"/>
              <w:rPr>
                <w:rFonts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安装调试及履约能力</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bookmarkStart w:id="206" w:name="OLE_LINK36"/>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投标人或所投产品制造商相关生产设备：激光切割设备</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bookmarkStart w:id="207" w:name="OLE_LINK12"/>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焊接机器人</w:t>
            </w:r>
            <w:bookmarkEnd w:id="207"/>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（自动焊接设备）（0.5分）、喷涂生产线（0.5分）、数控弯管机（0.5分）、数控板材开料锯（0.5分）、自动封边机（0.5分），每提供一项得</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分，本项最高得3分。</w:t>
            </w:r>
            <w:bookmarkStart w:id="208" w:name="OLE_LINK192"/>
            <w:r/>
            <w:bookmarkStart w:id="209" w:name="OLE_LINK142"/>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注：1.需提供设备生产车间实景照片、设备照片、设备清单及生产设备购置（租赁）发票（或设备采购（租赁）合同或付款凭证），</w:t>
            </w:r>
            <w:bookmarkStart w:id="210" w:name="OLE_LINK137"/>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否则不得分</w:t>
            </w:r>
            <w:bookmarkEnd w:id="210"/>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；2.如所提供设备名称与要求不完全一致，但功能符合要求，需提供相应功能证明材料可得分</w:t>
            </w:r>
            <w:bookmarkEnd w:id="206"/>
            <w:r/>
            <w:bookmarkEnd w:id="208"/>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bookmarkEnd w:id="209"/>
            <w:r/>
            <w:r/>
          </w:p>
        </w:tc>
      </w:tr>
      <w:tr>
        <w:trPr>
          <w:jc w:val="center"/>
          <w:trHeight w:val="54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.样品</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bookmarkStart w:id="211" w:name="OLE_LINK161"/>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采购需求”中的“采购包1-五、投标样品提供-5.2.1”提供样品，评标委员会对投标人提供的样品外观、工艺、材质方面进行评审。</w:t>
            </w:r>
            <w:bookmarkEnd w:id="211"/>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床前护栏（2分）：样品优于招标文件的对应样品得2分；完全符合招标文件的，得1分。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立柱（1分）、前/后床厅管/侧床厅矩形管（1分）、衣柜柜门（1分）、桌面板（1分）、铰链（1分）、导轨（1分）、床板（1分）、学生椅（1分）：样品优于招标文件的对应样品得1分；完全符合招标文件的，得0.5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本项合计10分。</w:t>
            </w:r>
            <w:r/>
          </w:p>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注:投标人所提供的样品与招标文件要求不符合或未提供对应样品不得分，3D打印的样品不得分。</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.项目需求响应情况</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cs="宋体"/>
                <w:color w:val="000000" w:themeColor="text1"/>
                <w:sz w:val="21"/>
                <w:szCs w:val="21"/>
                <w:highlight w:val="none"/>
                <w:lang w:eastAsia="zh-CN" w:bidi="ar-SA"/>
                <w14:textFill>
                  <w14:solidFill>
                    <w14:schemeClr w14:val="tx1"/>
                  </w14:solidFill>
                </w14:textFill>
              </w:rPr>
              <w:t xml:space="preserve">14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c>
          <w:tcPr>
            <w:tcW w:w="7057" w:type="dxa"/>
            <w:vAlign w:val="center"/>
            <w:textDirection w:val="lrTb"/>
            <w:noWrap w:val="false"/>
          </w:tcPr>
          <w:p>
            <w:pPr>
              <w:jc w:val="lef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针对招标文件“第四章 采购需求”中的“采购包1-三、采购图纸及</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技术参数要求</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-3.2技术参数要求”所列内容进行评分（★项除外），所投产品技术参数完全满足或优于招标文件技术参数要求的得14分。“▲”为重点参数要求，共3项，每有一项（一个句号的完整内容为一“项”）不满足的扣1分；其余为一般参数要求（▲、★除外），共20项，每有一项（一个句号的完整内容为一“项”）负偏离扣0.55分，扣完为止。</w:t>
            </w:r>
            <w:r/>
          </w:p>
          <w:p>
            <w:pPr>
              <w:jc w:val="left"/>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注：供应商针对本项评标内容在响应文件《技术响应偏离表》中逐条列出响应及偏离情况，《技术响应偏离表》中未列出的对应项按负偏离进行扣分处理。</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.原材料检测报告</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6分</w:t>
            </w:r>
            <w:r/>
          </w:p>
        </w:tc>
        <w:tc>
          <w:tcPr>
            <w:tcW w:w="7057" w:type="dxa"/>
            <w:vAlign w:val="center"/>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bookmarkStart w:id="212" w:name="OLE_LINK59"/>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针对招标文件“第四章 采购需求”中的“采购包1-四、检测报告要求-4.2原材料检验报告要求”提供符合对应项的检测报告，每提供1项（每个序号为完整的一项）符合对应要求的检验检测报告电子件的得1分，最高得6分</w:t>
            </w:r>
            <w:bookmarkEnd w:id="212"/>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.成品检测报告</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3分</w:t>
            </w:r>
            <w:r/>
          </w:p>
        </w:tc>
        <w:tc>
          <w:tcPr>
            <w:tcW w:w="7057" w:type="dxa"/>
            <w:vAlign w:val="center"/>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针对招标文件“第四章 采购需求”中的“采购包1-四、检测报告要求-4.1成品检验报告要求”提供对应项的检测报告。每提供1项（每个序号为完整的一项）符合对应要求的检验检测报告电子件的得1分，最高得3分。</w:t>
            </w:r>
            <w:r/>
          </w:p>
        </w:tc>
      </w:tr>
      <w:tr>
        <w:trPr>
          <w:jc w:val="center"/>
          <w:trHeight w:val="720"/>
        </w:trPr>
        <w:tc>
          <w:tcPr>
            <w:tcW w:w="1280" w:type="dxa"/>
            <w:vAlign w:val="center"/>
            <w:textDirection w:val="lrTb"/>
            <w:noWrap w:val="false"/>
          </w:tcPr>
          <w:p>
            <w:pPr>
              <w:pStyle w:val="1054"/>
              <w:jc w:val="center"/>
              <w:widowControl w:val="off"/>
              <w:rPr>
                <w:rFonts w:ascii="宋体" w:hAnsi="宋体" w:eastAsia="宋体" w:cs="宋体"/>
                <w:color w:val="000000" w:themeColor="text1"/>
                <w:sz w:val="21"/>
                <w:szCs w:val="21"/>
                <w:highlight w:val="none"/>
                <w:lang w:val="zh-CN" w:eastAsia="zh-CN" w:bidi="zh-CN"/>
                <w14:textFill>
                  <w14:solidFill>
                    <w14:schemeClr w14:val="tx1"/>
                  </w14:solidFill>
                </w14:textFill>
              </w:rPr>
            </w:pPr>
            <w:r>
              <w:rPr>
                <w:rFonts w:hint="eastAsia" w:cs="宋体"/>
                <w:color w:val="000000" w:themeColor="text1"/>
                <w:spacing w:val="-1"/>
                <w:sz w:val="21"/>
                <w:szCs w:val="21"/>
                <w:highlight w:val="none"/>
                <w:lang w:val="en-US" w:eastAsia="zh-CN" w:bidi="zh-CN"/>
                <w14:textFill>
                  <w14:solidFill>
                    <w14:schemeClr w14:val="tx1"/>
                  </w14:solidFill>
                </w14:textFill>
              </w:rPr>
              <w:t xml:space="preserve">12</w:t>
            </w:r>
            <w:r>
              <w:rPr>
                <w:rFonts w:hint="eastAsia" w:ascii="宋体" w:hAnsi="宋体" w:eastAsia="宋体" w:cs="宋体"/>
                <w:color w:val="000000" w:themeColor="text1"/>
                <w:spacing w:val="-1"/>
                <w:sz w:val="21"/>
                <w:szCs w:val="21"/>
                <w:highlight w:val="none"/>
                <w:lang w:val="en-US" w:eastAsia="zh-CN" w:bidi="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val="zh-CN" w:eastAsia="zh-CN" w:bidi="zh-CN"/>
                <w14:textFill>
                  <w14:solidFill>
                    <w14:schemeClr w14:val="tx1"/>
                  </w14:solidFill>
                </w14:textFill>
              </w:rPr>
              <w:t xml:space="preserve">同类业绩</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center"/>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投标人提供自2022年1月1日以来（以合同签订时间为准）实施的同类项目（需与本项目核心产品同类）成功案例，每提供一个业绩得2分，最多得10分。（需提供中标通知书、合同及验收报告扫描件，缺项不得分。）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.环保认证</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2分</w:t>
            </w:r>
            <w:r/>
          </w:p>
        </w:tc>
        <w:tc>
          <w:tcPr>
            <w:tcW w:w="7057" w:type="dxa"/>
            <w:vAlign w:val="top"/>
            <w:textDirection w:val="lrTb"/>
            <w:noWrap w:val="false"/>
          </w:tcPr>
          <w:p>
            <w:pPr>
              <w:jc w:val="lef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bookmarkStart w:id="213" w:name="OLE_LINK123"/>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①认证单元</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钢木家具、②认证单元</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实木类家具。证书每满足上述一项认证单元的得1分，最高得2分。</w:t>
            </w:r>
            <w:r/>
          </w:p>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投标文件提供上述证书电子件和在国家市场监督管理总局全国认证认可信息公共服务平台查询认证完整页面截图，未提供的不得分。</w:t>
            </w:r>
            <w:bookmarkEnd w:id="213"/>
            <w:r/>
            <w:r/>
          </w:p>
        </w:tc>
      </w:tr>
    </w:tbl>
    <w:p>
      <w:pPr>
        <w:ind w:firstLine="480"/>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采购包2</w:t>
      </w:r>
      <w:r>
        <w:rPr>
          <w:rFonts w:hint="eastAsia" w:ascii="宋体" w:hAnsi="宋体"/>
          <w:b/>
          <w:color w:val="000000" w:themeColor="text1"/>
          <w:sz w:val="24"/>
          <w:szCs w:val="24"/>
          <w:highlight w:val="none"/>
          <w14:textFill>
            <w14:solidFill>
              <w14:schemeClr w14:val="tx1"/>
            </w14:solidFill>
          </w14:textFill>
        </w:rPr>
        <w:t xml:space="preserve">评标方法与评标标准</w:t>
      </w:r>
      <w:r/>
    </w:p>
    <w:tbl>
      <w:tblPr>
        <w:tblStyle w:val="741"/>
        <w:tblW w:w="9570" w:type="dxa"/>
        <w:jc w:val="center"/>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jc w:val="center"/>
          <w:trHeight w:val="60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评分因素</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分值   （100分）</w:t>
            </w:r>
            <w:r/>
          </w:p>
        </w:tc>
        <w:tc>
          <w:tcPr>
            <w:tcW w:w="7057"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评分标准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1.投标报价</w:t>
            </w:r>
            <w:r/>
          </w:p>
        </w:tc>
        <w:tc>
          <w:tcPr>
            <w:tcW w:w="1233" w:type="dxa"/>
            <w:vAlign w:val="center"/>
            <w:textDirection w:val="lrTb"/>
            <w:noWrap w:val="false"/>
          </w:tcPr>
          <w:p>
            <w:pPr>
              <w:jc w:val="center"/>
              <w:widowControl w:val="off"/>
              <w:rPr>
                <w:rFonts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934"/>
        </w:trPr>
        <w:tc>
          <w:tcPr>
            <w:tcW w:w="1280"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2.质量管理及保障方案</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针对招标文件“第四章 采购需求”中的“七、商务要求-（二）项目实施要求-3.1质量管理及保障方案”提供质量管理及保障方案。优于采购需求的得5分；满足采购需求的得3分；其他情况不得分。</w:t>
            </w:r>
            <w:r/>
          </w:p>
        </w:tc>
      </w:tr>
      <w:tr>
        <w:trPr>
          <w:jc w:val="center"/>
          <w:trHeight w:val="829"/>
        </w:trPr>
        <w:tc>
          <w:tcPr>
            <w:tcW w:w="1280"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3.进度控制方案</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针对招标文件“第四章 采购需求”中的“七、商务要求-（二）项目实施要求-3.2进度控制方案”提供进度控制方案。优于采购需求的得5分；满足采购需求的得3分；其他情况不得分。</w:t>
            </w:r>
            <w:r/>
          </w:p>
        </w:tc>
      </w:tr>
      <w:tr>
        <w:trPr>
          <w:jc w:val="center"/>
          <w:trHeight w:val="904"/>
        </w:trPr>
        <w:tc>
          <w:tcPr>
            <w:tcW w:w="1280"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4.项目交付方案</w:t>
            </w:r>
            <w:r/>
          </w:p>
        </w:tc>
        <w:tc>
          <w:tcPr>
            <w:tcW w:w="1233"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七</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、商务要求-（</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四</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）交付要求”提供项目交付方案。优于采购需求的得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分；满足采购需求的得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分；其他情况不得分。</w:t>
            </w:r>
            <w:r/>
          </w:p>
        </w:tc>
      </w:tr>
      <w:tr>
        <w:trPr>
          <w:jc w:val="center"/>
          <w:trHeight w:val="405"/>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5.免费质保期</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满足招标文件免费质保期3年要求后,每增加1年得2分，最高得4分。注：需在投标文件中附承诺函明确标注延长的质保年限，每增加一年的加分仅以承诺函载明的年限为准；未提供承诺函或承诺年限不清晰不得分（格式自拟）。</w:t>
            </w:r>
            <w:r/>
          </w:p>
        </w:tc>
      </w:tr>
      <w:tr>
        <w:trPr>
          <w:jc w:val="center"/>
          <w:trHeight w:val="405"/>
        </w:trPr>
        <w:tc>
          <w:tcPr>
            <w:tcW w:w="1280" w:type="dxa"/>
            <w:vAlign w:val="center"/>
            <w:textDirection w:val="lrTb"/>
            <w:noWrap w:val="false"/>
          </w:tcPr>
          <w:p>
            <w:pPr>
              <w:jc w:val="center"/>
              <w:widowControl w:val="off"/>
              <w:rPr>
                <w:rFonts w:hint="eastAsia" w:ascii="宋体" w:hAnsi="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.售后服务</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采购需求”中的“七、商务要求-（三）售后服务要求”提供售后服务方案。优于采购需求的得4分；满足采购需求的得2分；其他情况不得分。</w:t>
            </w:r>
            <w:r/>
          </w:p>
        </w:tc>
      </w:tr>
      <w:tr>
        <w:trPr>
          <w:jc w:val="center"/>
          <w:trHeight w:val="90"/>
        </w:trPr>
        <w:tc>
          <w:tcPr>
            <w:tcW w:w="1280" w:type="dxa"/>
            <w:vAlign w:val="center"/>
            <w:textDirection w:val="lrTb"/>
            <w:noWrap w:val="false"/>
          </w:tcPr>
          <w:p>
            <w:pPr>
              <w:jc w:val="center"/>
              <w:spacing w:before="68"/>
              <w:widowControl w:val="off"/>
              <w:rPr>
                <w:rFonts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安装调试及履约能力</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投标人或所投产品制造商相关生产设备：激光切割设备</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、焊接机器人（自动焊接设备）（0.5分）、喷涂生产线（0.5分）、数控弯管机（0.5分）、数控板材开料锯（0.5分）、自动封边机（0.5分），每提供一项得</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分，本项最高得3分。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jc w:val="center"/>
          <w:trHeight w:val="1422"/>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.样品</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采购需求”中的“采购包2-五、投标样品提供-5.2.1”提供样品，评标委员会对投标人提供的样品外观、工艺、材质方面进行评审。</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床前护栏（2分）：样品优于招标文件的对应样品得2分；完全符合招标文件的，得1分。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立柱（1分）、前/后床厅管/侧床厅矩形管（1分）、衣柜柜门（1分）、桌面板（1分）、铰链（1分）、导轨（1分）、床板（1分）、学生椅（1分）：样品优于招标文件的对应样品得1分；完全符合招标文件的，得0.5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本项合计10分。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注:投标人所提供的样品与招标文件要求不符合或未提供对应样品不得分，3D打印的样品不得分。</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.项目需求响应情况</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cs="宋体"/>
                <w:color w:val="000000" w:themeColor="text1"/>
                <w:sz w:val="21"/>
                <w:szCs w:val="21"/>
                <w:highlight w:val="none"/>
                <w:lang w:eastAsia="zh-CN" w:bidi="ar-SA"/>
                <w14:textFill>
                  <w14:solidFill>
                    <w14:schemeClr w14:val="tx1"/>
                  </w14:solidFill>
                </w14:textFill>
              </w:rPr>
              <w:t xml:space="preserve">14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c>
          <w:tcPr>
            <w:tcW w:w="7057" w:type="dxa"/>
            <w:vAlign w:val="center"/>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采购需求”中的“采购包2-三、采购图纸及</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技术参数要求</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-3.2技术参数要求”所列内容进行评分（★项除外），所投产品技术参数完全满足或优于招标文件技术参数要求的得14分。“▲”为重点参数要求，共3项，每有一项（一个句号的完整内容为一“项”）不满足的扣1分；其余为一般参数要求（▲、★除外），共20项，每有一项（一个句号的完整内容为一“项”）负偏离扣0.55分，扣完为止。</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注：供应商针对本项评标内容在响应文件《技术响应偏离表》中逐条列出响应及偏离情况，《技术响应偏离表》中未列出的对应项按负偏离进行扣分处理。</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.原材料检测报告</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6分</w:t>
            </w:r>
            <w:r/>
          </w:p>
        </w:tc>
        <w:tc>
          <w:tcPr>
            <w:tcW w:w="7057"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采购需求”中的“采购包2-四、检测报告要求-4.2原材料检验报告要求”提供符合对应项的检测报告，每提供1项（每个序号为完整的一项）符合对应要求的检验检测报告电子件的得1分，最高得6分。</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.成品检测报告</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3分</w:t>
            </w:r>
            <w:r/>
          </w:p>
        </w:tc>
        <w:tc>
          <w:tcPr>
            <w:tcW w:w="7057"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采购需求”中的“采购包2-四、检测报告要求-4.1成品检验报告要求”提供对应项的检测报告。每提供1项（每个序号为完整的一项）符合对应要求的检验检测报告电子件的得1分，最高得3分。</w:t>
            </w:r>
            <w:r/>
          </w:p>
        </w:tc>
      </w:tr>
      <w:tr>
        <w:trPr>
          <w:jc w:val="center"/>
          <w:trHeight w:val="345"/>
        </w:trPr>
        <w:tc>
          <w:tcPr>
            <w:tcW w:w="1280" w:type="dxa"/>
            <w:vAlign w:val="center"/>
            <w:textDirection w:val="lrTb"/>
            <w:noWrap w:val="false"/>
          </w:tcPr>
          <w:p>
            <w:pPr>
              <w:pStyle w:val="1054"/>
              <w:jc w:val="center"/>
              <w:widowControl w:val="off"/>
              <w:rPr>
                <w:rFonts w:ascii="宋体" w:hAnsi="宋体" w:eastAsia="宋体" w:cs="宋体"/>
                <w:color w:val="000000" w:themeColor="text1"/>
                <w:sz w:val="21"/>
                <w:szCs w:val="21"/>
                <w:highlight w:val="none"/>
                <w:lang w:val="zh-CN" w:eastAsia="zh-CN" w:bidi="zh-CN"/>
                <w14:textFill>
                  <w14:solidFill>
                    <w14:schemeClr w14:val="tx1"/>
                  </w14:solidFill>
                </w14:textFill>
              </w:rPr>
            </w:pPr>
            <w:r>
              <w:rPr>
                <w:rFonts w:hint="eastAsia" w:cs="宋体"/>
                <w:color w:val="000000" w:themeColor="text1"/>
                <w:spacing w:val="-1"/>
                <w:sz w:val="21"/>
                <w:szCs w:val="21"/>
                <w:highlight w:val="none"/>
                <w:lang w:val="en-US" w:eastAsia="zh-CN" w:bidi="zh-CN"/>
                <w14:textFill>
                  <w14:solidFill>
                    <w14:schemeClr w14:val="tx1"/>
                  </w14:solidFill>
                </w14:textFill>
              </w:rPr>
              <w:t xml:space="preserve">12</w:t>
            </w:r>
            <w:r>
              <w:rPr>
                <w:rFonts w:hint="eastAsia" w:ascii="宋体" w:hAnsi="宋体" w:eastAsia="宋体" w:cs="宋体"/>
                <w:color w:val="000000" w:themeColor="text1"/>
                <w:spacing w:val="-1"/>
                <w:sz w:val="21"/>
                <w:szCs w:val="21"/>
                <w:highlight w:val="none"/>
                <w:lang w:val="en-US" w:eastAsia="zh-CN" w:bidi="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val="zh-CN" w:eastAsia="zh-CN" w:bidi="zh-CN"/>
                <w14:textFill>
                  <w14:solidFill>
                    <w14:schemeClr w14:val="tx1"/>
                  </w14:solidFill>
                </w14:textFill>
              </w:rPr>
              <w:t xml:space="preserve">同类业绩</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投标人提供自2022年1月1日以来（以合同签订时间为准）实施的同类项目（需与本项目核心产品同类）成功案例，每提供一个业绩得2分，最多得10分。（需提供中标通知书、合同及验收报告扫描件，缺项不得分。）</w:t>
            </w:r>
            <w:r/>
          </w:p>
        </w:tc>
      </w:tr>
      <w:tr>
        <w:trPr>
          <w:jc w:val="center"/>
          <w:trHeight w:val="720"/>
        </w:trPr>
        <w:tc>
          <w:tcPr>
            <w:tcW w:w="1280"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.环保认证</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2分</w:t>
            </w:r>
            <w:r/>
          </w:p>
        </w:tc>
        <w:tc>
          <w:tcPr>
            <w:tcW w:w="7057" w:type="dxa"/>
            <w:vAlign w:val="top"/>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①认证单元</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钢木家具、②认证单元</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实木类家具。证书每满足上述一项认证单元的得1分，最高得2分。</w:t>
            </w:r>
            <w:r/>
          </w:p>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投标文件提供上述证书电子件和在国家市场监督管理总局全国认证认可信息公共服务平台查询认证完整页面截图，未提供的不得分。</w:t>
            </w:r>
            <w:r/>
          </w:p>
        </w:tc>
      </w:tr>
    </w:tbl>
    <w:p>
      <w:pPr>
        <w:ind w:firstLine="480"/>
        <w:jc w:val="left"/>
        <w:spacing w:before="120" w:after="120" w:line="0" w:lineRule="atLeast"/>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r>
      <w:r/>
    </w:p>
    <w:p>
      <w:pPr>
        <w:ind w:firstLine="480"/>
        <w:jc w:val="left"/>
        <w:spacing w:before="120" w:after="120" w:line="0" w:lineRule="atLeast"/>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r>
      <w:r/>
    </w:p>
    <w:p>
      <w:pPr>
        <w:ind w:firstLine="480"/>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采购包3：</w:t>
      </w:r>
      <w:r>
        <w:rPr>
          <w:rFonts w:hint="eastAsia" w:ascii="宋体" w:hAnsi="宋体"/>
          <w:b/>
          <w:color w:val="000000" w:themeColor="text1"/>
          <w:sz w:val="24"/>
          <w:szCs w:val="24"/>
          <w:highlight w:val="none"/>
          <w14:textFill>
            <w14:solidFill>
              <w14:schemeClr w14:val="tx1"/>
            </w14:solidFill>
          </w14:textFill>
        </w:rPr>
        <w:t xml:space="preserve">评标方法与评标标准</w:t>
      </w:r>
      <w:r/>
    </w:p>
    <w:tbl>
      <w:tblPr>
        <w:tblStyle w:val="741"/>
        <w:tblW w:w="9570" w:type="dxa"/>
        <w:jc w:val="center"/>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jc w:val="center"/>
          <w:trHeight w:val="60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评分因素</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分值   （100分）</w:t>
            </w:r>
            <w:r/>
          </w:p>
        </w:tc>
        <w:tc>
          <w:tcPr>
            <w:tcW w:w="7057"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评分标准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1.投标报价</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2.质量管理及保障方案</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采购需求”中的“七、商务要求-（二）项目实施要求-3.1质量管理及保障方案”提供质量管理及保障方案。优于采购需求的得5分；满足采购需求的得3分；其他情况不得分。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3.进度控制方案</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采购需求”中的“七、商务要求-（二）项目实施要求-3.2进度控制方案”提供进度控制方案。优于采购需求的得5分；满足采购需求的得3分；其他情况不得分。</w:t>
            </w:r>
            <w:r/>
          </w:p>
        </w:tc>
      </w:tr>
      <w:tr>
        <w:trPr>
          <w:jc w:val="center"/>
          <w:trHeight w:val="664"/>
        </w:trPr>
        <w:tc>
          <w:tcPr>
            <w:tcW w:w="1280"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4.项目交付方案</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七</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、商务要求-（</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四</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）交付要求”提供项目交付方案。优于采购需求的得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分；满足采购需求的得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分；其他情况不得分。</w:t>
            </w:r>
            <w:r/>
          </w:p>
        </w:tc>
      </w:tr>
      <w:tr>
        <w:trPr>
          <w:jc w:val="center"/>
          <w:trHeight w:val="405"/>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5.免费质保期</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满足招标文件免费质保期3年要求后,每增加1年得2分，最高得4分。注：需在投标文件中附承诺函明确标注延长的质保年限，每增加一年的加分仅以承诺函载明的年限为准；未提供承诺函或承诺年限不清晰不得分（格式自拟）。</w:t>
            </w:r>
            <w:r/>
          </w:p>
        </w:tc>
      </w:tr>
      <w:tr>
        <w:trPr>
          <w:jc w:val="center"/>
          <w:trHeight w:val="405"/>
        </w:trPr>
        <w:tc>
          <w:tcPr>
            <w:tcW w:w="1280" w:type="dxa"/>
            <w:vAlign w:val="center"/>
            <w:textDirection w:val="lrTb"/>
            <w:noWrap w:val="false"/>
          </w:tcPr>
          <w:p>
            <w:pPr>
              <w:jc w:val="center"/>
              <w:widowControl w:val="off"/>
              <w:rPr>
                <w:rFonts w:hint="eastAsia" w:ascii="宋体" w:hAnsi="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.售后服务</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采购需求”中的“七、商务要求-（三）售后服务要求”提供售后服务方案。优于采购需求的得4分；满足采购需求的得2分；其他情况不得分。</w:t>
            </w:r>
            <w:r/>
          </w:p>
        </w:tc>
      </w:tr>
      <w:tr>
        <w:trPr>
          <w:jc w:val="center"/>
          <w:trHeight w:val="360"/>
        </w:trPr>
        <w:tc>
          <w:tcPr>
            <w:tcW w:w="1280" w:type="dxa"/>
            <w:vAlign w:val="center"/>
            <w:textDirection w:val="lrTb"/>
            <w:noWrap w:val="false"/>
          </w:tcPr>
          <w:p>
            <w:pPr>
              <w:jc w:val="center"/>
              <w:spacing w:before="68"/>
              <w:widowControl w:val="off"/>
              <w:rPr>
                <w:rFonts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安装调试及履约能力</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投标人或所投产品制造商相关生产设备：激光切割设备</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、焊接机器人（自动焊接设备）（0.5分）、喷涂生产线（0.5分）、数控弯管机（0.5分）、数控板材开料锯（0.5分）、自动封边机（0.5分），每提供一项得</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分，本项最高得3分。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jc w:val="center"/>
          <w:trHeight w:val="208"/>
        </w:trPr>
        <w:tc>
          <w:tcPr>
            <w:tcW w:w="1280"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8.样品</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采购需求”中的“采购包3-五、投标样品提供要求”提供样品，评标委员会对投标人提供的样品外观、工艺、材质方面进行评审。</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床前护栏（1分）、立柱（1分）、前/后床厅管/侧床厅矩形管（1分）、衣柜柜门（1分）、桌面板（1分）、铰链（1分）、导轨（1分）、爬梯（1分）、床板（1分）、学生椅（1分）：样品优于招标文件的对应样品得1分；完全符合招标文件的，得0.5分。本项合计10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注:投标人所提供的样品与招标文件要求不符合或未提供对应样品不得分，3D打印的样品不得分。</w:t>
            </w:r>
            <w:r/>
          </w:p>
        </w:tc>
      </w:tr>
      <w:tr>
        <w:trPr>
          <w:jc w:val="center"/>
          <w:trHeight w:val="90"/>
        </w:trPr>
        <w:tc>
          <w:tcPr>
            <w:tcW w:w="1280"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9.项目需求响应情况</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14分</w:t>
            </w:r>
            <w:r/>
          </w:p>
        </w:tc>
        <w:tc>
          <w:tcPr>
            <w:tcW w:w="7057" w:type="dxa"/>
            <w:vAlign w:val="center"/>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采购需求”中的“采购包3-三、采购图纸及</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技术参数要求</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-3.2技术参数要求”所列内容进行评分（★项除外），所投产品技术参数完全满足或优于招标文件技术参数要求的得14分。“▲”为重点参数要求，共3项，每有一项（一个句号的完整内容为一“项”）不满足的扣1分；其余为一般参数要求（▲、★除外），共20项，每有一项（一个句号的完整内容为一“项”）负偏离扣0.55分，扣完为止。</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注：供应商针对本项评标内容在响应文件《技术响应偏离表》中逐条列出响应及偏离情况，《技术响应偏离表》中未列出的对应项按负偏离进行扣分处理。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10.原材料检测报告</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6分</w:t>
            </w:r>
            <w:r/>
          </w:p>
        </w:tc>
        <w:tc>
          <w:tcPr>
            <w:tcW w:w="7057"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采购需求”中的“采购包3-四、检测报告要求-4.2原材料检验报告要求”提供符合对应项的检测报告，每提供1项（每个序号为完整的一项）符合对应要求的检验检测报告电子件的得1分，最高得6分。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11.成品检测报告</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3分</w:t>
            </w:r>
            <w:r/>
          </w:p>
        </w:tc>
        <w:tc>
          <w:tcPr>
            <w:tcW w:w="7057"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采购需求”中的“采购包3-四、检测报告要求-4.1成品检验报告要求”提供对应项的检测报告。每提供1项（每个序号为完整的一项）符合对应要求的检验检测报告电子件的得1分，最高得3分。</w:t>
            </w:r>
            <w:r/>
          </w:p>
        </w:tc>
      </w:tr>
      <w:tr>
        <w:trPr>
          <w:jc w:val="center"/>
          <w:trHeight w:val="720"/>
        </w:trPr>
        <w:tc>
          <w:tcPr>
            <w:tcW w:w="1280" w:type="dxa"/>
            <w:vAlign w:val="center"/>
            <w:textDirection w:val="lrTb"/>
            <w:noWrap w:val="false"/>
          </w:tcPr>
          <w:p>
            <w:pPr>
              <w:pStyle w:val="1054"/>
              <w:jc w:val="center"/>
              <w:widowControl w:val="off"/>
              <w:rPr>
                <w:rFonts w:ascii="宋体" w:hAnsi="宋体" w:eastAsia="宋体" w:cs="宋体"/>
                <w:color w:val="000000" w:themeColor="text1"/>
                <w:sz w:val="21"/>
                <w:szCs w:val="21"/>
                <w:highlight w:val="none"/>
                <w:lang w:val="zh-CN" w:eastAsia="zh-CN" w:bidi="zh-CN"/>
                <w14:textFill>
                  <w14:solidFill>
                    <w14:schemeClr w14:val="tx1"/>
                  </w14:solidFill>
                </w14:textFill>
              </w:rPr>
            </w:pPr>
            <w:r>
              <w:rPr>
                <w:rFonts w:hint="eastAsia" w:cs="宋体"/>
                <w:color w:val="000000" w:themeColor="text1"/>
                <w:spacing w:val="-1"/>
                <w:sz w:val="21"/>
                <w:szCs w:val="21"/>
                <w:highlight w:val="none"/>
                <w:lang w:val="en-US" w:eastAsia="zh-CN" w:bidi="zh-CN"/>
                <w14:textFill>
                  <w14:solidFill>
                    <w14:schemeClr w14:val="tx1"/>
                  </w14:solidFill>
                </w14:textFill>
              </w:rPr>
              <w:t xml:space="preserve">12</w:t>
            </w:r>
            <w:r>
              <w:rPr>
                <w:rFonts w:hint="eastAsia" w:ascii="宋体" w:hAnsi="宋体" w:eastAsia="宋体" w:cs="宋体"/>
                <w:color w:val="000000" w:themeColor="text1"/>
                <w:spacing w:val="-1"/>
                <w:sz w:val="21"/>
                <w:szCs w:val="21"/>
                <w:highlight w:val="none"/>
                <w:lang w:val="en-US" w:eastAsia="zh-CN" w:bidi="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val="zh-CN" w:eastAsia="zh-CN" w:bidi="zh-CN"/>
                <w14:textFill>
                  <w14:solidFill>
                    <w14:schemeClr w14:val="tx1"/>
                  </w14:solidFill>
                </w14:textFill>
              </w:rPr>
              <w:t xml:space="preserve">同类业绩</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center"/>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投标人提供自2022年1月1日以来（以合同签订时间为准）实施的同类项目（需与本项目核心产品同类）成功案例，每提供一个业绩得2分，最多得10分。（需提供中标通知书、合同及验收报告扫描件，缺项不得分。）</w:t>
            </w:r>
            <w:r/>
          </w:p>
        </w:tc>
      </w:tr>
      <w:tr>
        <w:trPr>
          <w:jc w:val="center"/>
          <w:trHeight w:val="720"/>
        </w:trPr>
        <w:tc>
          <w:tcPr>
            <w:tcW w:w="1280"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.环保认证</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2分</w:t>
            </w:r>
            <w:r/>
          </w:p>
        </w:tc>
        <w:tc>
          <w:tcPr>
            <w:tcW w:w="7057" w:type="dxa"/>
            <w:vAlign w:val="top"/>
            <w:textDirection w:val="lrTb"/>
            <w:noWrap w:val="false"/>
          </w:tcPr>
          <w:p>
            <w:pPr>
              <w:jc w:val="lef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①认证单元</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钢木家具、②认证单元</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实木类家具。证书每满足上述一项认证单元的得1分，最高得2分。</w:t>
            </w:r>
            <w:r/>
          </w:p>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投标文件提供上述证书电子件和在国家市场监督管理总局全国认证认可信息公共服务平台查询认证完整页面截图，未提供的不得分。</w:t>
            </w:r>
            <w:r/>
          </w:p>
        </w:tc>
      </w:tr>
    </w:tbl>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pStyle w:val="746"/>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46"/>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46"/>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46"/>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46"/>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46"/>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t xml:space="preserve">第六章  投标</w:t>
      </w:r>
      <w:bookmarkEnd w:id="183"/>
      <w:r/>
      <w:bookmarkEnd w:id="184"/>
      <w:r/>
      <w:bookmarkEnd w:id="200"/>
      <w:r>
        <w:rPr>
          <w:rFonts w:hint="eastAsia" w:ascii="黑体" w:hAnsi="Times New Roman" w:eastAsia="黑体"/>
          <w:bCs/>
          <w:color w:val="000000" w:themeColor="text1"/>
          <w:sz w:val="44"/>
          <w:szCs w:val="28"/>
          <w:highlight w:val="none"/>
          <w14:textFill>
            <w14:solidFill>
              <w14:schemeClr w14:val="tx1"/>
            </w14:solidFill>
          </w14:textFill>
        </w:rPr>
        <w:t xml:space="preserve">文件格式</w:t>
      </w:r>
      <w:r/>
    </w:p>
    <w:p>
      <w:pPr>
        <w:jc w:val="center"/>
        <w:rPr>
          <w:rFonts w:hint="eastAsia" w:ascii="宋体" w:hAnsi="宋体"/>
          <w:b/>
          <w:color w:val="000000" w:themeColor="text1"/>
          <w:sz w:val="72"/>
          <w:szCs w:val="21"/>
          <w:highlight w:val="none"/>
          <w14:textFill>
            <w14:solidFill>
              <w14:schemeClr w14:val="tx1"/>
            </w14:solidFill>
          </w14:textFill>
        </w:rPr>
      </w:pPr>
      <w:r/>
      <w:bookmarkStart w:id="214" w:name="_Hlt26955039"/>
      <w:r/>
      <w:bookmarkEnd w:id="214"/>
      <w:r/>
      <w:bookmarkStart w:id="215" w:name="_Hlt26671244"/>
      <w:r/>
      <w:bookmarkEnd w:id="215"/>
      <w:r/>
      <w:bookmarkStart w:id="216" w:name="_Toc120614282"/>
      <w:r/>
      <w:bookmarkStart w:id="217" w:name="_Toc26554094"/>
      <w:r/>
      <w:bookmarkStart w:id="218" w:name="_Toc49090576"/>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0"/>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0"/>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75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投标文件的</w:t>
      </w:r>
      <w:r>
        <w:rPr>
          <w:rFonts w:ascii="宋体" w:hAnsi="宋体"/>
          <w:b/>
          <w:bCs/>
          <w:color w:val="000000" w:themeColor="text1"/>
          <w:sz w:val="32"/>
          <w:szCs w:val="32"/>
          <w:highlight w:val="none"/>
          <w14:textFill>
            <w14:solidFill>
              <w14:schemeClr w14:val="tx1"/>
            </w14:solidFill>
          </w14:textFill>
        </w:rPr>
        <w:t xml:space="preserve">组成</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left="480"/>
        <w:spacing w:line="40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一、基本目录</w:t>
      </w:r>
      <w:r/>
    </w:p>
    <w:p>
      <w:pPr>
        <w:ind w:left="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开标一览表（格式见附件</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投标分项报价表（格式见</w:t>
      </w:r>
      <w:r>
        <w:rPr>
          <w:rFonts w:ascii="宋体" w:hAnsi="宋体"/>
          <w:color w:val="000000" w:themeColor="text1"/>
          <w:sz w:val="24"/>
          <w:szCs w:val="21"/>
          <w:highlight w:val="none"/>
          <w14:textFill>
            <w14:solidFill>
              <w14:schemeClr w14:val="tx1"/>
            </w14:solidFill>
          </w14:textFill>
        </w:rPr>
        <w:t xml:space="preserve">附件2</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技术要求响应及偏离表（格式见</w:t>
      </w:r>
      <w:r>
        <w:rPr>
          <w:rFonts w:ascii="宋体" w:hAnsi="宋体"/>
          <w:color w:val="000000" w:themeColor="text1"/>
          <w:sz w:val="24"/>
          <w:szCs w:val="21"/>
          <w:highlight w:val="none"/>
          <w14:textFill>
            <w14:solidFill>
              <w14:schemeClr w14:val="tx1"/>
            </w14:solidFill>
          </w14:textFill>
        </w:rPr>
        <w:t xml:space="preserve">附件3</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商务要求响应及偏离表（格式见</w:t>
      </w:r>
      <w:r>
        <w:rPr>
          <w:rFonts w:ascii="宋体" w:hAnsi="宋体"/>
          <w:color w:val="000000" w:themeColor="text1"/>
          <w:sz w:val="24"/>
          <w:szCs w:val="21"/>
          <w:highlight w:val="none"/>
          <w14:textFill>
            <w14:solidFill>
              <w14:schemeClr w14:val="tx1"/>
            </w14:solidFill>
          </w14:textFill>
        </w:rPr>
        <w:t xml:space="preserve">附件4</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二</w:t>
      </w:r>
      <w:r>
        <w:rPr>
          <w:rFonts w:ascii="宋体" w:hAnsi="宋体"/>
          <w:b/>
          <w:color w:val="000000" w:themeColor="text1"/>
          <w:sz w:val="24"/>
          <w:szCs w:val="21"/>
          <w:highlight w:val="none"/>
          <w14:textFill>
            <w14:solidFill>
              <w14:schemeClr w14:val="tx1"/>
            </w14:solidFill>
          </w14:textFill>
        </w:rPr>
        <w:t xml:space="preserve">、资格审查内容</w:t>
      </w:r>
      <w:r/>
    </w:p>
    <w:p>
      <w:pPr>
        <w:ind w:left="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法人或者其他组织的营业执照等证明文件，自然人的身份证明</w:t>
      </w:r>
      <w:r/>
    </w:p>
    <w:p>
      <w:pPr>
        <w:ind w:left="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lang w:val="en-US" w:eastAsia="zh-CN"/>
          <w14:textFill>
            <w14:solidFill>
              <w14:schemeClr w14:val="tx1"/>
            </w14:solidFill>
          </w14:textFill>
        </w:rPr>
        <w:t xml:space="preserve">2024或2025</w:t>
      </w:r>
      <w:r>
        <w:rPr>
          <w:rFonts w:hint="eastAsia" w:ascii="宋体" w:hAnsi="宋体"/>
          <w:color w:val="000000" w:themeColor="text1"/>
          <w:sz w:val="24"/>
          <w:szCs w:val="21"/>
          <w:highlight w:val="none"/>
          <w14:textFill>
            <w14:solidFill>
              <w14:schemeClr w14:val="tx1"/>
            </w14:solidFill>
          </w14:textFill>
        </w:rPr>
        <w:t xml:space="preserve">年度的财务状况报告（投标人成立不满一年无需提供）</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依法缴纳税收和社会保障资金的相关材料（提供提交投标文件截止时间</w:t>
      </w:r>
      <w:r/>
    </w:p>
    <w:p>
      <w:pPr>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具备履行合同所必需的设备和专业技术能力的书面声明（格式见</w:t>
      </w:r>
      <w:r>
        <w:rPr>
          <w:rFonts w:ascii="宋体" w:hAnsi="宋体"/>
          <w:color w:val="000000" w:themeColor="text1"/>
          <w:sz w:val="24"/>
          <w:szCs w:val="21"/>
          <w:highlight w:val="none"/>
          <w14:textFill>
            <w14:solidFill>
              <w14:schemeClr w14:val="tx1"/>
            </w14:solidFill>
          </w14:textFill>
        </w:rPr>
        <w:t xml:space="preserve">附件5</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5.参加政府采购活动前 3 年内在经营活动中没有重大违法记录的书面声</w:t>
      </w:r>
      <w:r/>
    </w:p>
    <w:p>
      <w:pPr>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明（格式见</w:t>
      </w:r>
      <w:r>
        <w:rPr>
          <w:rFonts w:ascii="宋体" w:hAnsi="宋体"/>
          <w:color w:val="000000" w:themeColor="text1"/>
          <w:sz w:val="24"/>
          <w:szCs w:val="21"/>
          <w:highlight w:val="none"/>
          <w14:textFill>
            <w14:solidFill>
              <w14:schemeClr w14:val="tx1"/>
            </w14:solidFill>
          </w14:textFill>
        </w:rPr>
        <w:t xml:space="preserve">附件6</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特定资格要求的证明文件（如果本项目对投标人</w:t>
      </w:r>
      <w:r>
        <w:rPr>
          <w:rFonts w:ascii="宋体" w:hAnsi="宋体"/>
          <w:color w:val="000000" w:themeColor="text1"/>
          <w:sz w:val="24"/>
          <w:szCs w:val="21"/>
          <w:highlight w:val="none"/>
          <w14:textFill>
            <w14:solidFill>
              <w14:schemeClr w14:val="tx1"/>
            </w14:solidFill>
          </w14:textFill>
        </w:rPr>
        <w:t xml:space="preserve">做出特定资格要求的</w:t>
      </w:r>
      <w:r>
        <w:rPr>
          <w:rFonts w:hint="eastAsia" w:ascii="宋体" w:hAnsi="宋体"/>
          <w:color w:val="000000" w:themeColor="text1"/>
          <w:sz w:val="24"/>
          <w:szCs w:val="21"/>
          <w:highlight w:val="none"/>
          <w14:textFill>
            <w14:solidFill>
              <w14:schemeClr w14:val="tx1"/>
            </w14:solidFill>
          </w14:textFill>
        </w:rPr>
        <w:t xml:space="preserve">，必须提供）</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8.</w:t>
      </w:r>
      <w:r>
        <w:rPr>
          <w:rFonts w:hint="eastAsia" w:ascii="宋体" w:hAnsi="宋体"/>
          <w:color w:val="000000" w:themeColor="text1"/>
          <w:sz w:val="24"/>
          <w:szCs w:val="21"/>
          <w:highlight w:val="none"/>
          <w14:textFill>
            <w14:solidFill>
              <w14:schemeClr w14:val="tx1"/>
            </w14:solidFill>
          </w14:textFill>
        </w:rPr>
        <w:t xml:space="preserve">法人授权书（格式见附件</w:t>
      </w: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9.</w:t>
      </w:r>
      <w:r>
        <w:rPr>
          <w:rFonts w:hint="eastAsia" w:ascii="宋体" w:hAnsi="宋体"/>
          <w:color w:val="000000" w:themeColor="text1"/>
          <w:sz w:val="24"/>
          <w:szCs w:val="21"/>
          <w:highlight w:val="none"/>
          <w14:textFill>
            <w14:solidFill>
              <w14:schemeClr w14:val="tx1"/>
            </w14:solidFill>
          </w14:textFill>
        </w:rPr>
        <w:t xml:space="preserve">投标函（格式见附件</w:t>
      </w:r>
      <w:r>
        <w:rPr>
          <w:rFonts w:ascii="宋体" w:hAnsi="宋体"/>
          <w:color w:val="000000" w:themeColor="text1"/>
          <w:sz w:val="24"/>
          <w:szCs w:val="21"/>
          <w:highlight w:val="none"/>
          <w14:textFill>
            <w14:solidFill>
              <w14:schemeClr w14:val="tx1"/>
            </w14:solidFill>
          </w14:textFill>
        </w:rPr>
        <w:t xml:space="preserve">8</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10.</w:t>
      </w:r>
      <w:r>
        <w:rPr>
          <w:rFonts w:hint="eastAsia" w:ascii="宋体" w:hAnsi="宋体"/>
          <w:color w:val="000000" w:themeColor="text1"/>
          <w:sz w:val="24"/>
          <w:szCs w:val="21"/>
          <w:highlight w:val="none"/>
          <w14:textFill>
            <w14:solidFill>
              <w14:schemeClr w14:val="tx1"/>
            </w14:solidFill>
          </w14:textFill>
        </w:rPr>
        <w:t xml:space="preserve">中小微企业声明函（如果本项目</w:t>
      </w:r>
      <w:r>
        <w:rPr>
          <w:rFonts w:ascii="宋体" w:hAnsi="宋体"/>
          <w:color w:val="000000" w:themeColor="text1"/>
          <w:sz w:val="24"/>
          <w:szCs w:val="21"/>
          <w:highlight w:val="none"/>
          <w14:textFill>
            <w14:solidFill>
              <w14:schemeClr w14:val="tx1"/>
            </w14:solidFill>
          </w14:textFill>
        </w:rPr>
        <w:t xml:space="preserve">专门面向中小微型企业采购，则必须提供</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附件9</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残疾人福利性单位声明函（如果本项目</w:t>
      </w:r>
      <w:r>
        <w:rPr>
          <w:rFonts w:ascii="宋体" w:hAnsi="宋体"/>
          <w:color w:val="000000" w:themeColor="text1"/>
          <w:sz w:val="24"/>
          <w:szCs w:val="21"/>
          <w:highlight w:val="none"/>
          <w14:textFill>
            <w14:solidFill>
              <w14:schemeClr w14:val="tx1"/>
            </w14:solidFill>
          </w14:textFill>
        </w:rPr>
        <w:t xml:space="preserve">专门面向中小微型企业采购，</w:t>
      </w:r>
      <w:r>
        <w:rPr>
          <w:rFonts w:hint="eastAsia" w:ascii="宋体" w:hAnsi="宋体"/>
          <w:color w:val="000000" w:themeColor="text1"/>
          <w:sz w:val="24"/>
          <w:szCs w:val="21"/>
          <w:highlight w:val="none"/>
          <w14:textFill>
            <w14:solidFill>
              <w14:schemeClr w14:val="tx1"/>
            </w14:solidFill>
          </w14:textFill>
        </w:rPr>
        <w:t xml:space="preserve">供应商为</w:t>
      </w:r>
      <w:r>
        <w:rPr>
          <w:rFonts w:ascii="宋体" w:hAnsi="宋体"/>
          <w:color w:val="000000" w:themeColor="text1"/>
          <w:sz w:val="24"/>
          <w:szCs w:val="21"/>
          <w:highlight w:val="none"/>
          <w14:textFill>
            <w14:solidFill>
              <w14:schemeClr w14:val="tx1"/>
            </w14:solidFill>
          </w14:textFill>
        </w:rPr>
        <w:t xml:space="preserve">残疾人福利性单位并</w:t>
      </w:r>
      <w:r>
        <w:rPr>
          <w:rFonts w:hint="eastAsia" w:ascii="宋体" w:hAnsi="宋体"/>
          <w:color w:val="000000" w:themeColor="text1"/>
          <w:sz w:val="24"/>
          <w:szCs w:val="21"/>
          <w:highlight w:val="none"/>
          <w14:textFill>
            <w14:solidFill>
              <w14:schemeClr w14:val="tx1"/>
            </w14:solidFill>
          </w14:textFill>
        </w:rPr>
        <w:t xml:space="preserve">提供本单位制造的货物，或者提供其他残疾人福利性单位制造的货物，</w:t>
      </w:r>
      <w:r>
        <w:rPr>
          <w:rFonts w:ascii="宋体" w:hAnsi="宋体"/>
          <w:color w:val="000000" w:themeColor="text1"/>
          <w:sz w:val="24"/>
          <w:szCs w:val="21"/>
          <w:highlight w:val="none"/>
          <w14:textFill>
            <w14:solidFill>
              <w14:schemeClr w14:val="tx1"/>
            </w14:solidFill>
          </w14:textFill>
        </w:rPr>
        <w:t xml:space="preserve">则必须提供</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附件10</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总备注：上述“资格审查内容”中1-5条、</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、9条投标人必须在投标文件</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中提供相关材料，否则作无效投标处理；6、10、11条如招标文件要求必须提供相关材料而未提供的，作无效投标处理。</w:t>
      </w:r>
      <w:r/>
    </w:p>
    <w:p>
      <w:pPr>
        <w:ind w:left="480"/>
        <w:spacing w:line="40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三</w:t>
      </w:r>
      <w:r>
        <w:rPr>
          <w:rFonts w:ascii="宋体" w:hAnsi="宋体"/>
          <w:b/>
          <w:color w:val="000000" w:themeColor="text1"/>
          <w:sz w:val="24"/>
          <w:szCs w:val="21"/>
          <w:highlight w:val="none"/>
          <w14:textFill>
            <w14:solidFill>
              <w14:schemeClr w14:val="tx1"/>
            </w14:solidFill>
          </w14:textFill>
        </w:rPr>
        <w:t xml:space="preserve">、</w:t>
      </w:r>
      <w:r>
        <w:rPr>
          <w:rFonts w:hint="eastAsia" w:ascii="宋体" w:hAnsi="宋体"/>
          <w:b/>
          <w:color w:val="000000" w:themeColor="text1"/>
          <w:sz w:val="24"/>
          <w:szCs w:val="21"/>
          <w:highlight w:val="none"/>
          <w14:textFill>
            <w14:solidFill>
              <w14:schemeClr w14:val="tx1"/>
            </w14:solidFill>
          </w14:textFill>
        </w:rPr>
        <w:t xml:space="preserve">符合性</w:t>
      </w:r>
      <w:r>
        <w:rPr>
          <w:rFonts w:ascii="宋体" w:hAnsi="宋体"/>
          <w:b/>
          <w:color w:val="000000" w:themeColor="text1"/>
          <w:sz w:val="24"/>
          <w:szCs w:val="21"/>
          <w:highlight w:val="none"/>
          <w14:textFill>
            <w14:solidFill>
              <w14:schemeClr w14:val="tx1"/>
            </w14:solidFill>
          </w14:textFill>
        </w:rPr>
        <w:t xml:space="preserve">审查内容</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投标人必须</w:t>
      </w:r>
      <w:r>
        <w:rPr>
          <w:rFonts w:ascii="宋体" w:hAnsi="宋体"/>
          <w:color w:val="000000" w:themeColor="text1"/>
          <w:sz w:val="24"/>
          <w:szCs w:val="21"/>
          <w:highlight w:val="none"/>
          <w14:textFill>
            <w14:solidFill>
              <w14:schemeClr w14:val="tx1"/>
            </w14:solidFill>
          </w14:textFill>
        </w:rPr>
        <w:t xml:space="preserve">对</w:t>
      </w:r>
      <w:r>
        <w:rPr>
          <w:rFonts w:hint="eastAsia" w:ascii="宋体" w:hAnsi="宋体"/>
          <w:color w:val="000000" w:themeColor="text1"/>
          <w:sz w:val="24"/>
          <w:szCs w:val="21"/>
          <w:highlight w:val="none"/>
          <w14:textFill>
            <w14:solidFill>
              <w14:schemeClr w14:val="tx1"/>
            </w14:solidFill>
          </w14:textFill>
        </w:rPr>
        <w:t xml:space="preserve">招标文件（含技术</w:t>
      </w:r>
      <w:r>
        <w:rPr>
          <w:rFonts w:ascii="宋体" w:hAnsi="宋体"/>
          <w:color w:val="000000" w:themeColor="text1"/>
          <w:sz w:val="24"/>
          <w:szCs w:val="21"/>
          <w:highlight w:val="none"/>
          <w14:textFill>
            <w14:solidFill>
              <w14:schemeClr w14:val="tx1"/>
            </w14:solidFill>
          </w14:textFill>
        </w:rPr>
        <w:t xml:space="preserve">要求和商务</w:t>
      </w:r>
      <w:r>
        <w:rPr>
          <w:rFonts w:hint="eastAsia" w:ascii="宋体" w:hAnsi="宋体"/>
          <w:color w:val="000000" w:themeColor="text1"/>
          <w:sz w:val="24"/>
          <w:szCs w:val="21"/>
          <w:highlight w:val="none"/>
          <w14:textFill>
            <w14:solidFill>
              <w14:schemeClr w14:val="tx1"/>
            </w14:solidFill>
          </w14:textFill>
        </w:rPr>
        <w:t xml:space="preserve">要求）</w:t>
      </w:r>
      <w:r>
        <w:rPr>
          <w:rFonts w:ascii="宋体" w:hAnsi="宋体"/>
          <w:color w:val="000000" w:themeColor="text1"/>
          <w:sz w:val="24"/>
          <w:szCs w:val="21"/>
          <w:highlight w:val="none"/>
          <w14:textFill>
            <w14:solidFill>
              <w14:schemeClr w14:val="tx1"/>
            </w14:solidFill>
          </w14:textFill>
        </w:rPr>
        <w:t xml:space="preserve">中</w:t>
      </w:r>
      <w:r>
        <w:rPr>
          <w:rFonts w:hint="eastAsia" w:ascii="宋体" w:hAnsi="宋体"/>
          <w:b/>
          <w:bCs/>
          <w:i/>
          <w:color w:val="000000" w:themeColor="text1"/>
          <w:sz w:val="24"/>
          <w:szCs w:val="21"/>
          <w:highlight w:val="none"/>
          <w:u w:val="single"/>
          <w14:textFill>
            <w14:solidFill>
              <w14:schemeClr w14:val="tx1"/>
            </w14:solidFill>
          </w14:textFill>
        </w:rPr>
        <w:t xml:space="preserve">斜体且有下划线部分</w:t>
      </w:r>
      <w:r>
        <w:rPr>
          <w:rFonts w:hint="eastAsia" w:ascii="宋体" w:hAnsi="宋体"/>
          <w:b/>
          <w:bCs/>
          <w:color w:val="000000" w:themeColor="text1"/>
          <w:sz w:val="24"/>
          <w:szCs w:val="21"/>
          <w:highlight w:val="none"/>
          <w14:textFill>
            <w14:solidFill>
              <w14:schemeClr w14:val="tx1"/>
            </w14:solidFill>
          </w14:textFill>
        </w:rPr>
        <w:t xml:space="preserve">或加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b/>
          <w:bCs/>
          <w:color w:val="000000" w:themeColor="text1"/>
          <w:sz w:val="24"/>
          <w:szCs w:val="21"/>
          <w:highlight w:val="none"/>
          <w14:textFill>
            <w14:solidFill>
              <w14:schemeClr w14:val="tx1"/>
            </w14:solidFill>
          </w14:textFill>
        </w:rPr>
        <w:t xml:space="preserve">号条款</w:t>
      </w:r>
      <w:r>
        <w:rPr>
          <w:rFonts w:ascii="宋体" w:hAnsi="宋体"/>
          <w:color w:val="000000" w:themeColor="text1"/>
          <w:sz w:val="24"/>
          <w:szCs w:val="21"/>
          <w:highlight w:val="none"/>
          <w14:textFill>
            <w14:solidFill>
              <w14:schemeClr w14:val="tx1"/>
            </w14:solidFill>
          </w14:textFill>
        </w:rPr>
        <w:t xml:space="preserve">的实质性要求</w:t>
      </w:r>
      <w:r>
        <w:rPr>
          <w:rFonts w:hint="eastAsia" w:ascii="宋体" w:hAnsi="宋体"/>
          <w:color w:val="000000" w:themeColor="text1"/>
          <w:sz w:val="24"/>
          <w:szCs w:val="21"/>
          <w:highlight w:val="none"/>
          <w14:textFill>
            <w14:solidFill>
              <w14:schemeClr w14:val="tx1"/>
            </w14:solidFill>
          </w14:textFill>
        </w:rPr>
        <w:t xml:space="preserve">逐条</w:t>
      </w:r>
      <w:r>
        <w:rPr>
          <w:rFonts w:ascii="宋体" w:hAnsi="宋体"/>
          <w:color w:val="000000" w:themeColor="text1"/>
          <w:sz w:val="24"/>
          <w:szCs w:val="21"/>
          <w:highlight w:val="none"/>
          <w14:textFill>
            <w14:solidFill>
              <w14:schemeClr w14:val="tx1"/>
            </w14:solidFill>
          </w14:textFill>
        </w:rPr>
        <w:t xml:space="preserve">做出响应，并按照招标</w:t>
      </w:r>
      <w:r>
        <w:rPr>
          <w:rFonts w:hint="eastAsia" w:ascii="宋体" w:hAnsi="宋体"/>
          <w:color w:val="000000" w:themeColor="text1"/>
          <w:sz w:val="24"/>
          <w:szCs w:val="21"/>
          <w:highlight w:val="none"/>
          <w14:textFill>
            <w14:solidFill>
              <w14:schemeClr w14:val="tx1"/>
            </w14:solidFill>
          </w14:textFill>
        </w:rPr>
        <w:t xml:space="preserve">文件</w:t>
      </w:r>
      <w:r>
        <w:rPr>
          <w:rFonts w:ascii="宋体" w:hAnsi="宋体"/>
          <w:color w:val="000000" w:themeColor="text1"/>
          <w:sz w:val="24"/>
          <w:szCs w:val="21"/>
          <w:highlight w:val="none"/>
          <w14:textFill>
            <w14:solidFill>
              <w14:schemeClr w14:val="tx1"/>
            </w14:solidFill>
          </w14:textFill>
        </w:rPr>
        <w:t xml:space="preserve">要求提供</w:t>
      </w:r>
      <w:r>
        <w:rPr>
          <w:rFonts w:hint="eastAsia" w:ascii="宋体" w:hAnsi="宋体"/>
          <w:color w:val="000000" w:themeColor="text1"/>
          <w:sz w:val="24"/>
          <w:szCs w:val="21"/>
          <w:highlight w:val="none"/>
          <w14:textFill>
            <w14:solidFill>
              <w14:schemeClr w14:val="tx1"/>
            </w14:solidFill>
          </w14:textFill>
        </w:rPr>
        <w:t xml:space="preserve">证明</w:t>
      </w:r>
      <w:r>
        <w:rPr>
          <w:rFonts w:ascii="宋体" w:hAnsi="宋体"/>
          <w:color w:val="000000" w:themeColor="text1"/>
          <w:sz w:val="24"/>
          <w:szCs w:val="21"/>
          <w:highlight w:val="none"/>
          <w14:textFill>
            <w14:solidFill>
              <w14:schemeClr w14:val="tx1"/>
            </w14:solidFill>
          </w14:textFill>
        </w:rPr>
        <w:t xml:space="preserve">材料</w:t>
      </w:r>
      <w:r>
        <w:rPr>
          <w:rFonts w:hint="eastAsia" w:ascii="宋体" w:hAnsi="宋体"/>
          <w:color w:val="000000" w:themeColor="text1"/>
          <w:sz w:val="24"/>
          <w:szCs w:val="21"/>
          <w:highlight w:val="none"/>
          <w14:textFill>
            <w14:solidFill>
              <w14:schemeClr w14:val="tx1"/>
            </w14:solidFill>
          </w14:textFill>
        </w:rPr>
        <w:t xml:space="preserve">，否则</w:t>
      </w:r>
      <w:r>
        <w:rPr>
          <w:rFonts w:hint="eastAsia" w:ascii="宋体" w:hAnsi="宋体"/>
          <w:color w:val="000000" w:themeColor="text1"/>
          <w:sz w:val="24"/>
          <w:szCs w:val="21"/>
          <w:highlight w:val="none"/>
          <w:lang w:eastAsia="zh-CN"/>
          <w14:textFill>
            <w14:solidFill>
              <w14:schemeClr w14:val="tx1"/>
            </w14:solidFill>
          </w14:textFill>
        </w:rPr>
        <w:t xml:space="preserve">作</w:t>
      </w:r>
      <w:r>
        <w:rPr>
          <w:rFonts w:hint="eastAsia" w:ascii="宋体" w:hAnsi="宋体"/>
          <w:color w:val="000000" w:themeColor="text1"/>
          <w:sz w:val="24"/>
          <w:szCs w:val="21"/>
          <w:highlight w:val="none"/>
          <w14:textFill>
            <w14:solidFill>
              <w14:schemeClr w14:val="tx1"/>
            </w14:solidFill>
          </w14:textFill>
        </w:rPr>
        <w:t xml:space="preserve">无效投标处理。（格式见</w:t>
      </w:r>
      <w:r>
        <w:rPr>
          <w:rFonts w:ascii="宋体" w:hAnsi="宋体"/>
          <w:color w:val="000000" w:themeColor="text1"/>
          <w:sz w:val="24"/>
          <w:szCs w:val="21"/>
          <w:highlight w:val="none"/>
          <w14:textFill>
            <w14:solidFill>
              <w14:schemeClr w14:val="tx1"/>
            </w14:solidFill>
          </w14:textFill>
        </w:rPr>
        <w:t xml:space="preserve">附件1</w:t>
      </w:r>
      <w:r>
        <w:rPr>
          <w:rFonts w:hint="eastAsia" w:ascii="宋体" w:hAnsi="宋体"/>
          <w:color w:val="000000" w:themeColor="text1"/>
          <w:sz w:val="24"/>
          <w:szCs w:val="21"/>
          <w:highlight w:val="none"/>
          <w:lang w:val="en-US" w:eastAsia="zh-CN"/>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bookmarkEnd w:id="180"/>
      <w:r/>
      <w:bookmarkEnd w:id="181"/>
      <w:r/>
      <w:bookmarkEnd w:id="216"/>
      <w:r/>
      <w:bookmarkEnd w:id="217"/>
      <w:r/>
      <w:bookmarkEnd w:id="218"/>
      <w:r/>
      <w:r/>
    </w:p>
    <w:p>
      <w:pPr>
        <w:ind w:firstLine="480"/>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四、价格</w:t>
      </w:r>
      <w:r>
        <w:rPr>
          <w:rFonts w:ascii="宋体" w:hAnsi="宋体"/>
          <w:b/>
          <w:color w:val="000000" w:themeColor="text1"/>
          <w:sz w:val="24"/>
          <w:szCs w:val="21"/>
          <w:highlight w:val="none"/>
          <w14:textFill>
            <w14:solidFill>
              <w14:schemeClr w14:val="tx1"/>
            </w14:solidFill>
          </w14:textFill>
        </w:rPr>
        <w:t xml:space="preserve">扣除证明文件</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中小微企业声明函（</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附件9</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残疾人福利性单位声明函（</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附件10</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3.关于符合本国产品标准的声明函（</w:t>
      </w:r>
      <w:r>
        <w:rPr>
          <w:rFonts w:hint="eastAsia" w:ascii="宋体" w:hAnsi="宋体" w:eastAsia="宋体" w:cs="Times New Roman"/>
          <w:color w:val="000000" w:themeColor="text1"/>
          <w:sz w:val="24"/>
          <w:szCs w:val="21"/>
          <w:highlight w:val="none"/>
          <w14:textFill>
            <w14:solidFill>
              <w14:schemeClr w14:val="tx1"/>
            </w14:solidFill>
          </w14:textFill>
        </w:rPr>
        <w:t xml:space="preserve">格式见附件</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1</w:t>
      </w:r>
      <w:r>
        <w:rPr>
          <w:rFonts w:hint="eastAsia" w:ascii="宋体" w:hAnsi="宋体" w:cs="Times New Roman"/>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rPr>
          <w:rFonts w:hint="eastAsia" w:ascii="Times New Roman" w:hAnsi="Times New Roman" w:eastAsia="仿宋_GB2312"/>
          <w:color w:val="000000" w:themeColor="text1"/>
          <w:sz w:val="24"/>
          <w:szCs w:val="20"/>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 </w:t>
      </w:r>
      <w:r>
        <w:rPr>
          <w:rFonts w:hint="eastAsia" w:ascii="宋体" w:hAnsi="宋体"/>
          <w:b/>
          <w:color w:val="000000" w:themeColor="text1"/>
          <w:sz w:val="24"/>
          <w:szCs w:val="24"/>
          <w:highlight w:val="none"/>
          <w14:textFill>
            <w14:solidFill>
              <w14:schemeClr w14:val="tx1"/>
            </w14:solidFill>
          </w14:textFill>
        </w:rPr>
        <w:t xml:space="preserve">开标一览表</w:t>
      </w:r>
      <w:r/>
    </w:p>
    <w:p>
      <w:pPr>
        <w:ind w:firstLine="482"/>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投标人全称（加盖CA电子签章）：</w:t>
      </w:r>
      <w:r/>
    </w:p>
    <w:p>
      <w:pPr>
        <w:ind w:firstLine="482"/>
        <w:spacing w:line="400" w:lineRule="exact"/>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采购编号</w:t>
      </w:r>
      <w:r>
        <w:rPr>
          <w:rFonts w:hint="eastAsia" w:ascii="宋体" w:hAnsi="宋体"/>
          <w:color w:val="000000" w:themeColor="text1"/>
          <w:sz w:val="24"/>
          <w:szCs w:val="24"/>
          <w:highlight w:val="none"/>
          <w14:textFill>
            <w14:solidFill>
              <w14:schemeClr w14:val="tx1"/>
            </w14:solidFill>
          </w14:textFill>
        </w:rPr>
        <w:t xml:space="preserve">：                                   </w:t>
      </w: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采购包号：</w:t>
      </w:r>
      <w:r/>
    </w:p>
    <w:tbl>
      <w:tblPr>
        <w:tblStyle w:val="7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投标总报价</w:t>
            </w:r>
            <w:r/>
          </w:p>
        </w:tc>
      </w:tr>
      <w:tr>
        <w:trPr>
          <w:cantSplit/>
          <w:trHeight w:val="612"/>
        </w:trPr>
        <w:tc>
          <w:tcPr>
            <w:gridSpan w:val="2"/>
            <w:tcW w:w="8886" w:type="dxa"/>
            <w:vAlign w:val="center"/>
            <w:textDirection w:val="lrTb"/>
            <w:noWrap w:val="false"/>
          </w:tcPr>
          <w:p>
            <w:pPr>
              <w:jc w:val="left"/>
              <w:spacing w:line="500" w:lineRule="exact"/>
              <w:widowControl w:val="off"/>
              <w:rPr>
                <w:rFonts w:hint="eastAsia" w:ascii="宋体" w:hAnsi="宋体" w:eastAsia="宋体" w:cs="Times New Roman"/>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小写：                             （人民币：元）</w:t>
            </w:r>
            <w:r/>
          </w:p>
        </w:tc>
      </w:tr>
      <w:tr>
        <w:trPr>
          <w:cantSplit/>
          <w:trHeight w:val="612"/>
        </w:trPr>
        <w:tc>
          <w:tcPr>
            <w:tcW w:w="2481" w:type="dxa"/>
            <w:vAlign w:val="center"/>
            <w:textDirection w:val="lrTb"/>
            <w:noWrap w:val="false"/>
          </w:tcPr>
          <w:p>
            <w:pPr>
              <w:jc w:val="center"/>
              <w:spacing w:line="30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核心产品品牌</w:t>
            </w:r>
            <w:r/>
          </w:p>
        </w:tc>
        <w:tc>
          <w:tcPr>
            <w:tcW w:w="6405" w:type="dxa"/>
            <w:vAlign w:val="center"/>
            <w:textDirection w:val="lrTb"/>
            <w:noWrap w:val="false"/>
          </w:tcPr>
          <w:p>
            <w:pPr>
              <w:jc w:val="left"/>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bl>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both"/>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both"/>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 投标分项报价表（采购包号：***）</w:t>
      </w:r>
      <w:r/>
    </w:p>
    <w:tbl>
      <w:tblPr>
        <w:tblStyle w:val="74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106"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00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6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724"/>
        </w:trPr>
        <w:tc>
          <w:tcPr>
            <w:tcW w:w="50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106"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00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6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640"/>
        </w:trPr>
        <w:tc>
          <w:tcPr>
            <w:tcW w:w="50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106"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00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6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580"/>
        </w:trPr>
        <w:tc>
          <w:tcPr>
            <w:tcW w:w="500" w:type="dxa"/>
            <w:vAlign w:val="center"/>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106"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00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6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434"/>
        </w:trPr>
        <w:tc>
          <w:tcPr>
            <w:gridSpan w:val="10"/>
            <w:tcW w:w="9263" w:type="dxa"/>
            <w:vAlign w:val="top"/>
            <w:textDirection w:val="lrTb"/>
            <w:noWrap w:val="false"/>
          </w:tcPr>
          <w:p>
            <w:pPr>
              <w:jc w:val="both"/>
              <w:widowControl w:val="off"/>
              <w:rPr>
                <w:rFonts w:ascii="宋体" w:hAnsi="宋体" w:eastAsia="宋体" w:cs="Times New Roman"/>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投标总报价（人民币：元）</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p>
        </w:tc>
      </w:tr>
      <w:tr>
        <w:trPr>
          <w:cantSplit/>
          <w:trHeight w:val="767"/>
        </w:trPr>
        <w:tc>
          <w:tcPr>
            <w:gridSpan w:val="10"/>
            <w:tcW w:w="9263" w:type="dxa"/>
            <w:vAlign w:val="top"/>
            <w:textDirection w:val="lrTb"/>
            <w:noWrap w:val="false"/>
          </w:tcPr>
          <w:p>
            <w:pPr>
              <w:pStyle w:val="789"/>
              <w:ind w:right="0"/>
              <w:jc w:val="left"/>
              <w:keepLines w:val="0"/>
              <w:keepNext w:val="0"/>
              <w:pageBreakBefore w:val="0"/>
              <w:spacing w:before="0" w:beforeAutospacing="0" w:after="0" w:afterAutospacing="0" w:line="0" w:lineRule="atLeas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t xml:space="preserve">本采购包</w:t>
            </w:r>
            <w:r>
              <w:rPr>
                <w:rFonts w:hint="eastAsia" w:ascii="宋体" w:hAnsi="宋体" w:eastAsia="宋体" w:cs="宋体"/>
                <w:i w:val="0"/>
                <w:iCs w:val="0"/>
                <w:caps w:val="0"/>
                <w:color w:val="000000" w:themeColor="text1"/>
                <w:spacing w:val="0"/>
                <w:sz w:val="24"/>
                <w:szCs w:val="24"/>
                <w:highlight w:val="none"/>
                <w:u w:val="none"/>
                <w:lang w:val="en-US" w:eastAsia="zh-CN" w:bidi="ar-SA"/>
                <w14:textFill>
                  <w14:solidFill>
                    <w14:schemeClr w14:val="tx1"/>
                  </w14:solidFill>
                </w14:textFill>
              </w:rPr>
              <w:t xml:space="preserve">中</w:t>
            </w:r>
            <w:r>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t xml:space="preserve">提供的符合本国产品标准的产品成本之和占该采购包提供的全部产品成本之和的比例为</w:t>
            </w:r>
            <w:r>
              <w:rPr>
                <w:rFonts w:hint="eastAsia" w:ascii="宋体" w:hAnsi="宋体" w:eastAsia="宋体" w:cs="宋体"/>
                <w:i w:val="0"/>
                <w:iCs w:val="0"/>
                <w:caps w:val="0"/>
                <w:color w:val="000000" w:themeColor="text1"/>
                <w:spacing w:val="0"/>
                <w:sz w:val="24"/>
                <w:szCs w:val="24"/>
                <w:highlight w:val="none"/>
                <w:u w:val="single"/>
                <w:lang w:val="en-US" w:eastAsia="zh-CN" w:bidi="ar-SA"/>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t xml:space="preserve">。</w:t>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p>
    <w:p>
      <w:pPr>
        <w:spacing w:line="400" w:lineRule="exact"/>
        <w:rPr>
          <w:rFonts w:hint="eastAsia" w:ascii="宋体" w:hAnsi="宋体" w:eastAsia="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1.投标报价</w:t>
      </w:r>
      <w:r>
        <w:rPr>
          <w:rFonts w:hint="eastAsia" w:ascii="宋体" w:hAnsi="宋体"/>
          <w:color w:val="000000" w:themeColor="text1"/>
          <w:sz w:val="24"/>
          <w:szCs w:val="21"/>
          <w:highlight w:val="none"/>
          <w14:textFill>
            <w14:solidFill>
              <w14:schemeClr w14:val="tx1"/>
            </w14:solidFill>
          </w14:textFill>
        </w:rPr>
        <w:t xml:space="preserve">采用总承包方式，“投标总报价”应包括所投货物（包含与货物相关的服务）费用、安装调试费、测试验收费、培训费、运行维护费用、税金、国际（如果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）国内运输保险、报关清关（如果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）、开证（如果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）、办理全套免税手续费用（如果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）及其他有关的为完成本项目发生的所有费用，招标文件中另有规定的除外。</w:t>
      </w:r>
      <w:r>
        <w:rPr>
          <w:rFonts w:hint="eastAsia" w:ascii="宋体" w:hAnsi="宋体" w:eastAsia="宋体" w:cs="Times New Roman"/>
          <w:color w:val="000000" w:themeColor="text1"/>
          <w:sz w:val="24"/>
          <w:szCs w:val="21"/>
          <w:highlight w:val="none"/>
          <w14:textFill>
            <w14:solidFill>
              <w14:schemeClr w14:val="tx1"/>
            </w14:solidFill>
          </w14:textFill>
        </w:rPr>
        <w:t xml:space="preserve">“投标总报价”</w:t>
      </w:r>
      <w:r>
        <w:rPr>
          <w:rFonts w:hint="eastAsia" w:ascii="宋体" w:hAnsi="宋体" w:eastAsia="宋体" w:cs="Times New Roman"/>
          <w:color w:val="000000" w:themeColor="text1"/>
          <w:sz w:val="24"/>
          <w:szCs w:val="21"/>
          <w:highlight w:val="none"/>
          <w:lang w:eastAsia="zh-CN"/>
          <w14:textFill>
            <w14:solidFill>
              <w14:schemeClr w14:val="tx1"/>
            </w14:solidFill>
          </w14:textFill>
        </w:rPr>
        <w:t xml:space="preserve">数额为各“分项总价”之和。</w:t>
      </w:r>
      <w:r/>
    </w:p>
    <w:p>
      <w:pPr>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投标分项报价表</w:t>
      </w: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中“投标总报价”数额应当与“开标一览表”中“投标总报价”数额一致。</w:t>
      </w:r>
      <w:r/>
    </w:p>
    <w:p>
      <w:pPr>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3.</w:t>
      </w:r>
      <w:r>
        <w:rPr>
          <w:rFonts w:hint="eastAsia" w:ascii="宋体" w:hAnsi="宋体" w:eastAsia="宋体" w:cs="Times New Roman"/>
          <w:color w:val="000000" w:themeColor="text1"/>
          <w:sz w:val="24"/>
          <w:szCs w:val="21"/>
          <w:highlight w:val="none"/>
          <w:lang w:eastAsia="zh-CN"/>
          <w14:textFill>
            <w14:solidFill>
              <w14:schemeClr w14:val="tx1"/>
            </w14:solidFill>
          </w14:textFill>
        </w:rPr>
        <w:t xml:space="preserve">本</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采购包中含有多种产品时，</w:t>
      </w:r>
      <w:r>
        <w:rPr>
          <w:rFonts w:hint="eastAsia" w:ascii="宋体" w:hAnsi="宋体" w:eastAsia="宋体" w:cs="Times New Roman"/>
          <w:color w:val="000000" w:themeColor="text1"/>
          <w:sz w:val="24"/>
          <w:szCs w:val="21"/>
          <w:highlight w:val="none"/>
          <w14:textFill>
            <w14:solidFill>
              <w14:schemeClr w14:val="tx1"/>
            </w14:solidFill>
          </w14:textFill>
        </w:rPr>
        <w:t xml:space="preserve">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color w:val="000000" w:themeColor="text1"/>
          <w:sz w:val="32"/>
          <w:szCs w:val="32"/>
          <w:highlight w:val="none"/>
          <w14:textFill>
            <w14:solidFill>
              <w14:schemeClr w14:val="tx1"/>
            </w14:solidFill>
          </w14:textFill>
        </w:rPr>
      </w:pPr>
      <w:r>
        <w:rPr>
          <w:rFonts w:hint="eastAsia" w:ascii="方正黑体_GBK" w:hAnsi="宋体" w:eastAsia="方正黑体_GBK"/>
          <w:b/>
          <w:color w:val="000000" w:themeColor="text1"/>
          <w:sz w:val="32"/>
          <w:szCs w:val="32"/>
          <w:highlight w:val="none"/>
          <w:lang w:val="en-US" w:eastAsia="zh-CN"/>
          <w14:textFill>
            <w14:solidFill>
              <w14:schemeClr w14:val="tx1"/>
            </w14:solidFill>
          </w14:textFill>
        </w:rPr>
        <w:t xml:space="preserve">4</w:t>
      </w:r>
      <w:r>
        <w:rPr>
          <w:rFonts w:hint="eastAsia" w:ascii="方正黑体_GBK" w:hAnsi="宋体" w:eastAsia="方正黑体_GBK"/>
          <w:b/>
          <w:color w:val="000000" w:themeColor="text1"/>
          <w:sz w:val="32"/>
          <w:szCs w:val="32"/>
          <w:highlight w:val="none"/>
          <w14:textFill>
            <w14:solidFill>
              <w14:schemeClr w14:val="tx1"/>
            </w14:solidFill>
          </w14:textFill>
        </w:rPr>
        <w:t xml:space="preserve">.投标人需认真填写本报价表，尤其注意规格型号的准确填写。</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lang w:val="en-US" w:eastAsia="zh-CN"/>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.项目</w:t>
      </w:r>
      <w:r>
        <w:rPr>
          <w:rFonts w:ascii="宋体" w:hAnsi="宋体"/>
          <w:color w:val="000000" w:themeColor="text1"/>
          <w:sz w:val="24"/>
          <w:szCs w:val="21"/>
          <w:highlight w:val="none"/>
          <w14:textFill>
            <w14:solidFill>
              <w14:schemeClr w14:val="tx1"/>
            </w14:solidFill>
          </w14:textFill>
        </w:rPr>
        <w:t xml:space="preserve">经办人可以根据</w:t>
      </w:r>
      <w:r>
        <w:rPr>
          <w:rFonts w:hint="eastAsia" w:ascii="宋体" w:hAnsi="宋体"/>
          <w:color w:val="000000" w:themeColor="text1"/>
          <w:sz w:val="24"/>
          <w:szCs w:val="21"/>
          <w:highlight w:val="none"/>
          <w14:textFill>
            <w14:solidFill>
              <w14:schemeClr w14:val="tx1"/>
            </w14:solidFill>
          </w14:textFill>
        </w:rPr>
        <w:t xml:space="preserve">项目</w:t>
      </w:r>
      <w:r>
        <w:rPr>
          <w:rFonts w:ascii="宋体" w:hAnsi="宋体"/>
          <w:color w:val="000000" w:themeColor="text1"/>
          <w:sz w:val="24"/>
          <w:szCs w:val="21"/>
          <w:highlight w:val="none"/>
          <w14:textFill>
            <w14:solidFill>
              <w14:schemeClr w14:val="tx1"/>
            </w14:solidFill>
          </w14:textFill>
        </w:rPr>
        <w:t xml:space="preserve">实际需要</w:t>
      </w:r>
      <w:r>
        <w:rPr>
          <w:rFonts w:hint="eastAsia" w:ascii="宋体" w:hAnsi="宋体"/>
          <w:color w:val="000000" w:themeColor="text1"/>
          <w:sz w:val="24"/>
          <w:szCs w:val="21"/>
          <w:highlight w:val="none"/>
          <w14:textFill>
            <w14:solidFill>
              <w14:schemeClr w14:val="tx1"/>
            </w14:solidFill>
          </w14:textFill>
        </w:rPr>
        <w:t xml:space="preserve">对</w:t>
      </w:r>
      <w:r>
        <w:rPr>
          <w:rFonts w:ascii="宋体" w:hAnsi="宋体"/>
          <w:color w:val="000000" w:themeColor="text1"/>
          <w:sz w:val="24"/>
          <w:szCs w:val="21"/>
          <w:highlight w:val="none"/>
          <w14:textFill>
            <w14:solidFill>
              <w14:schemeClr w14:val="tx1"/>
            </w14:solidFill>
          </w14:textFill>
        </w:rPr>
        <w:t xml:space="preserve">表格结构进行</w:t>
      </w:r>
      <w:r>
        <w:rPr>
          <w:rFonts w:hint="eastAsia" w:ascii="宋体" w:hAnsi="宋体"/>
          <w:color w:val="000000" w:themeColor="text1"/>
          <w:sz w:val="24"/>
          <w:szCs w:val="21"/>
          <w:highlight w:val="none"/>
          <w14:textFill>
            <w14:solidFill>
              <w14:schemeClr w14:val="tx1"/>
            </w14:solidFill>
          </w14:textFill>
        </w:rPr>
        <w:t xml:space="preserve">调整</w:t>
      </w:r>
      <w:r>
        <w:rPr>
          <w:rFonts w:ascii="宋体" w:hAnsi="宋体"/>
          <w:color w:val="000000" w:themeColor="text1"/>
          <w:sz w:val="24"/>
          <w:szCs w:val="21"/>
          <w:highlight w:val="none"/>
          <w14:textFill>
            <w14:solidFill>
              <w14:schemeClr w14:val="tx1"/>
            </w14:solidFill>
          </w14:textFill>
        </w:rPr>
        <w:t xml:space="preserve">。</w:t>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3 </w:t>
      </w:r>
      <w:r>
        <w:rPr>
          <w:rFonts w:hint="eastAsia" w:ascii="宋体" w:hAnsi="宋体"/>
          <w:b/>
          <w:color w:val="000000" w:themeColor="text1"/>
          <w:sz w:val="24"/>
          <w:szCs w:val="24"/>
          <w:highlight w:val="none"/>
          <w14:textFill>
            <w14:solidFill>
              <w14:schemeClr w14:val="tx1"/>
            </w14:solidFill>
          </w14:textFill>
        </w:rPr>
        <w:t xml:space="preserve">技术要求响应及偏离表（采购包号：**）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序号</w:t>
            </w:r>
            <w:r/>
          </w:p>
        </w:tc>
        <w:tc>
          <w:tcPr>
            <w:tcW w:w="3063"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技术要求</w:t>
            </w:r>
            <w:r/>
          </w:p>
        </w:tc>
        <w:tc>
          <w:tcPr>
            <w:tcW w:w="3191"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投标响应情况</w:t>
            </w:r>
            <w:r/>
          </w:p>
        </w:tc>
        <w:tc>
          <w:tcPr>
            <w:tcW w:w="2128"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3063"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19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2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063"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319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2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bl>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  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1.投标人需对招标文件技术要求中非实质性要求（</w:t>
      </w:r>
      <w:r>
        <w:rPr>
          <w:rFonts w:hint="eastAsia" w:ascii="宋体" w:hAnsi="宋体" w:eastAsia="宋体" w:cs="宋体"/>
          <w:b/>
          <w:color w:val="000000" w:themeColor="text1"/>
          <w:sz w:val="24"/>
          <w:szCs w:val="24"/>
          <w:highlight w:val="none"/>
          <w14:textFill>
            <w14:solidFill>
              <w14:schemeClr w14:val="tx1"/>
            </w14:solidFill>
          </w14:textFill>
        </w:rPr>
        <w:t xml:space="preserve">未加</w:t>
      </w:r>
      <w:r>
        <w:rPr>
          <w:rFonts w:hint="eastAsia" w:ascii="宋体" w:hAnsi="宋体" w:eastAsia="宋体" w:cs="宋体"/>
          <w:b/>
          <w:i/>
          <w:color w:val="000000" w:themeColor="text1"/>
          <w:sz w:val="24"/>
          <w:szCs w:val="24"/>
          <w:highlight w:val="none"/>
          <w:u w:val="single"/>
          <w14:textFill>
            <w14:solidFill>
              <w14:schemeClr w14:val="tx1"/>
            </w14:solidFill>
          </w14:textFill>
        </w:rPr>
        <w:t xml:space="preserve">斜体下划线</w:t>
      </w:r>
      <w:r>
        <w:rPr>
          <w:rFonts w:hint="eastAsia" w:ascii="宋体" w:hAnsi="宋体" w:eastAsia="宋体" w:cs="宋体"/>
          <w:b/>
          <w:iCs/>
          <w:color w:val="000000" w:themeColor="text1"/>
          <w:sz w:val="24"/>
          <w:szCs w:val="24"/>
          <w:highlight w:val="none"/>
          <w14:textFill>
            <w14:solidFill>
              <w14:schemeClr w14:val="tx1"/>
            </w14:solidFill>
          </w14:textFill>
        </w:rPr>
        <w:t xml:space="preserve">部分</w:t>
      </w:r>
      <w:r>
        <w:rPr>
          <w:rFonts w:hint="eastAsia" w:ascii="宋体" w:hAnsi="宋体" w:eastAsia="宋体" w:cs="宋体"/>
          <w:b/>
          <w:color w:val="000000" w:themeColor="text1"/>
          <w:sz w:val="24"/>
          <w:szCs w:val="24"/>
          <w:highlight w:val="none"/>
          <w14:textFill>
            <w14:solidFill>
              <w14:schemeClr w14:val="tx1"/>
            </w14:solidFill>
          </w14:textFill>
        </w:rPr>
        <w:t xml:space="preserve">或未加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号条款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4 </w:t>
      </w:r>
      <w:r>
        <w:rPr>
          <w:rFonts w:hint="eastAsia" w:ascii="宋体" w:hAnsi="宋体"/>
          <w:b/>
          <w:color w:val="000000" w:themeColor="text1"/>
          <w:sz w:val="24"/>
          <w:szCs w:val="24"/>
          <w:highlight w:val="none"/>
          <w14:textFill>
            <w14:solidFill>
              <w14:schemeClr w14:val="tx1"/>
            </w14:solidFill>
          </w14:textFill>
        </w:rPr>
        <w:t xml:space="preserve">商务要求响应及偏离表（采购包号：**）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序号</w:t>
            </w:r>
            <w:r/>
          </w:p>
        </w:tc>
        <w:tc>
          <w:tcPr>
            <w:tcW w:w="3063"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商务要求</w:t>
            </w:r>
            <w:r/>
          </w:p>
        </w:tc>
        <w:tc>
          <w:tcPr>
            <w:tcW w:w="3191"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投标响应情况</w:t>
            </w:r>
            <w:r/>
          </w:p>
        </w:tc>
        <w:tc>
          <w:tcPr>
            <w:tcW w:w="2128"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3063"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19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2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063"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319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2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bl>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  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1.投标人需对招标文件商务要求中非实质性要求（</w:t>
      </w:r>
      <w:r>
        <w:rPr>
          <w:rFonts w:hint="eastAsia" w:ascii="宋体" w:hAnsi="宋体" w:eastAsia="宋体" w:cs="宋体"/>
          <w:b/>
          <w:color w:val="000000" w:themeColor="text1"/>
          <w:sz w:val="24"/>
          <w:szCs w:val="24"/>
          <w:highlight w:val="none"/>
          <w14:textFill>
            <w14:solidFill>
              <w14:schemeClr w14:val="tx1"/>
            </w14:solidFill>
          </w14:textFill>
        </w:rPr>
        <w:t xml:space="preserve">未加</w:t>
      </w:r>
      <w:r>
        <w:rPr>
          <w:rFonts w:hint="eastAsia" w:ascii="宋体" w:hAnsi="宋体" w:eastAsia="宋体" w:cs="宋体"/>
          <w:b/>
          <w:i/>
          <w:color w:val="000000" w:themeColor="text1"/>
          <w:sz w:val="24"/>
          <w:szCs w:val="24"/>
          <w:highlight w:val="none"/>
          <w:u w:val="single"/>
          <w14:textFill>
            <w14:solidFill>
              <w14:schemeClr w14:val="tx1"/>
            </w14:solidFill>
          </w14:textFill>
        </w:rPr>
        <w:t xml:space="preserve">斜体下划线</w:t>
      </w:r>
      <w:r>
        <w:rPr>
          <w:rFonts w:hint="eastAsia" w:ascii="宋体" w:hAnsi="宋体" w:eastAsia="宋体" w:cs="宋体"/>
          <w:b/>
          <w:iCs/>
          <w:color w:val="000000" w:themeColor="text1"/>
          <w:sz w:val="24"/>
          <w:szCs w:val="24"/>
          <w:highlight w:val="none"/>
          <w14:textFill>
            <w14:solidFill>
              <w14:schemeClr w14:val="tx1"/>
            </w14:solidFill>
          </w14:textFill>
        </w:rPr>
        <w:t xml:space="preserve">部分</w:t>
      </w:r>
      <w:r>
        <w:rPr>
          <w:rFonts w:hint="eastAsia" w:ascii="宋体" w:hAnsi="宋体" w:eastAsia="宋体" w:cs="宋体"/>
          <w:b/>
          <w:color w:val="000000" w:themeColor="text1"/>
          <w:sz w:val="24"/>
          <w:szCs w:val="24"/>
          <w:highlight w:val="none"/>
          <w14:textFill>
            <w14:solidFill>
              <w14:schemeClr w14:val="tx1"/>
            </w14:solidFill>
          </w14:textFill>
        </w:rPr>
        <w:t xml:space="preserve">或未加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号条款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p>
    <w:p>
      <w:pPr>
        <w:ind w:left="480"/>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5</w:t>
      </w:r>
      <w:r>
        <w:rPr>
          <w:rFonts w:hint="eastAsia" w:ascii="宋体" w:hAnsi="宋体"/>
          <w:b/>
          <w:color w:val="000000" w:themeColor="text1"/>
          <w:sz w:val="24"/>
          <w:szCs w:val="21"/>
          <w:highlight w:val="none"/>
          <w14:textFill>
            <w14:solidFill>
              <w14:schemeClr w14:val="tx1"/>
            </w14:solidFill>
          </w14:textFill>
        </w:rPr>
        <w:t xml:space="preserve"> 具备履行合同所必需的设备和专业技术能力的书面声明</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主要设备有：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主要专业技术能力有：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p>
    <w:p>
      <w:pP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6 </w:t>
      </w:r>
      <w:r>
        <w:rPr>
          <w:rFonts w:hint="eastAsia" w:ascii="宋体" w:hAnsi="宋体"/>
          <w:b/>
          <w:color w:val="000000" w:themeColor="text1"/>
          <w:sz w:val="24"/>
          <w:szCs w:val="21"/>
          <w:highlight w:val="none"/>
          <w14:textFill>
            <w14:solidFill>
              <w14:schemeClr w14:val="tx1"/>
            </w14:solidFill>
          </w14:textFill>
        </w:rPr>
        <w:t xml:space="preserve">参加政府采购活动前 3 年内在经营活动中没有重大违法记录的书</w:t>
      </w: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面声明</w:t>
      </w:r>
      <w:r/>
    </w:p>
    <w:p>
      <w:pPr>
        <w:ind w:firstLine="480"/>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bookmarkStart w:id="219" w:name="_Toc120614284"/>
      <w:r/>
      <w:r/>
    </w:p>
    <w:p>
      <w:pPr>
        <w:spacing w:line="46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p>
    <w:p>
      <w:pPr>
        <w:ind w:firstLine="480"/>
        <w:spacing w:line="4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firstLine="480"/>
        <w:spacing w:line="4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firstLine="480"/>
        <w:spacing w:line="4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firstLine="480"/>
        <w:spacing w:line="4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firstLine="480"/>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7</w:t>
      </w:r>
      <w:r>
        <w:rPr>
          <w:rFonts w:hint="eastAsia" w:ascii="宋体" w:hAnsi="宋体"/>
          <w:b/>
          <w:color w:val="000000" w:themeColor="text1"/>
          <w:sz w:val="24"/>
          <w:szCs w:val="21"/>
          <w:highlight w:val="none"/>
          <w14:textFill>
            <w14:solidFill>
              <w14:schemeClr w14:val="tx1"/>
            </w14:solidFill>
          </w14:textFill>
        </w:rPr>
        <w:t xml:space="preserve"> </w:t>
      </w:r>
      <w:r>
        <w:rPr>
          <w:rFonts w:ascii="宋体" w:hAnsi="宋体"/>
          <w:b/>
          <w:color w:val="000000" w:themeColor="text1"/>
          <w:sz w:val="24"/>
          <w:szCs w:val="21"/>
          <w:highlight w:val="none"/>
          <w14:textFill>
            <w14:solidFill>
              <w14:schemeClr w14:val="tx1"/>
            </w14:solidFill>
          </w14:textFill>
        </w:rPr>
        <w:t xml:space="preserve">                        </w:t>
      </w:r>
      <w:r>
        <w:rPr>
          <w:rFonts w:hint="eastAsia" w:ascii="宋体" w:hAnsi="宋体"/>
          <w:b/>
          <w:color w:val="000000" w:themeColor="text1"/>
          <w:sz w:val="24"/>
          <w:szCs w:val="21"/>
          <w:highlight w:val="none"/>
          <w14:textFill>
            <w14:solidFill>
              <w14:schemeClr w14:val="tx1"/>
            </w14:solidFill>
          </w14:textFill>
        </w:rPr>
        <w:t xml:space="preserve">法人授权书</w:t>
      </w:r>
      <w:r/>
    </w:p>
    <w:p>
      <w:pPr>
        <w:ind w:firstLine="48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本授权书声明：____________（投标人名称）授权________________（被授权人的姓名）为我方就采购编号为JSZC-320000-</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SCZX-G20**-****</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olor w:val="000000" w:themeColor="text1"/>
          <w:sz w:val="24"/>
          <w:szCs w:val="24"/>
          <w:highlight w:val="none"/>
          <w14:textFill>
            <w14:solidFill>
              <w14:schemeClr w14:val="tx1"/>
            </w14:solidFill>
          </w14:textFill>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本授权书于______年____月____日起生效，特此声明。</w:t>
      </w:r>
      <w:r/>
    </w:p>
    <w:p>
      <w:pPr>
        <w:spacing w:line="400" w:lineRule="exact"/>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被授权人身份证号码：</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spacing w:line="400" w:lineRule="exact"/>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被授权人联系电话：（手机）</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1200"/>
        <w:spacing w:line="40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被授权人电子邮箱：</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120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授权单位名称：</w:t>
      </w:r>
      <w:r>
        <w:rPr>
          <w:rFonts w:hint="eastAsia" w:ascii="Times New Roman" w:hAnsi="Times New Roman"/>
          <w:color w:val="000000" w:themeColor="text1"/>
          <w:sz w:val="24"/>
          <w:szCs w:val="24"/>
          <w:highlight w:val="none"/>
          <w:u w:val="single"/>
          <w14:textFill>
            <w14:solidFill>
              <w14:schemeClr w14:val="tx1"/>
            </w14:solidFill>
          </w14:textFill>
        </w:rPr>
        <w:t xml:space="preserve">（加盖CA电子公章）</w:t>
      </w:r>
      <w:r/>
    </w:p>
    <w:p>
      <w:pPr>
        <w:ind w:firstLine="480"/>
        <w:spacing w:line="400" w:lineRule="exact"/>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单位地址：</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日期：</w:t>
      </w:r>
      <w:bookmarkStart w:id="220" w:name="_Hlt26955070"/>
      <w:r/>
      <w:bookmarkEnd w:id="220"/>
      <w:r/>
      <w:bookmarkStart w:id="221" w:name="_格式3__银行出具的资信证明"/>
      <w:r/>
      <w:bookmarkEnd w:id="221"/>
      <w:r/>
      <w:bookmarkStart w:id="222" w:name="_Hlt26671380"/>
      <w:r/>
      <w:bookmarkEnd w:id="222"/>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360"/>
        <w:spacing w:line="40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keepLines/>
        <w:keepNext/>
        <w:spacing w:before="260" w:after="260" w:line="416" w:lineRule="auto"/>
        <w:rPr>
          <w:rFonts w:ascii="黑体" w:hAnsi="黑体" w:eastAsia="黑体"/>
          <w:b/>
          <w:i/>
          <w:color w:val="000000" w:themeColor="text1"/>
          <w:sz w:val="32"/>
          <w:szCs w:val="32"/>
          <w:highlight w:val="none"/>
          <w:u w:val="single"/>
          <w14:textFill>
            <w14:solidFill>
              <w14:schemeClr w14:val="tx1"/>
            </w14:solidFill>
          </w14:textFill>
        </w:rPr>
        <w:outlineLvl w:val="1"/>
      </w:pPr>
      <w:r>
        <w:rPr>
          <w:rFonts w:ascii="宋体" w:hAnsi="宋体" w:eastAsia="幼圆" w:cs="Arial"/>
          <w:b/>
          <w:color w:val="000000" w:themeColor="text1"/>
          <w:sz w:val="24"/>
          <w:szCs w:val="44"/>
          <w:highlight w:val="none"/>
          <w14:textFill>
            <w14:solidFill>
              <w14:schemeClr w14:val="tx1"/>
            </w14:solidFill>
          </w14:textFill>
        </w:rPr>
        <w:br w:type="page" w:clear="all"/>
      </w: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8                            </w:t>
      </w:r>
      <w:r>
        <w:rPr>
          <w:rFonts w:hint="eastAsia" w:ascii="宋体" w:hAnsi="宋体"/>
          <w:b/>
          <w:color w:val="000000" w:themeColor="text1"/>
          <w:sz w:val="24"/>
          <w:szCs w:val="21"/>
          <w:highlight w:val="none"/>
          <w14:textFill>
            <w14:solidFill>
              <w14:schemeClr w14:val="tx1"/>
            </w14:solidFill>
          </w14:textFill>
        </w:rPr>
        <w:t xml:space="preserve">投标函（采购包号：**）</w:t>
      </w:r>
      <w:r/>
    </w:p>
    <w:p>
      <w:pPr>
        <w:jc w:val="left"/>
        <w:spacing w:line="420" w:lineRule="exact"/>
        <w:rPr>
          <w:rFonts w:hint="default" w:ascii="宋体" w:hAnsi="宋体" w:eastAsia="宋体"/>
          <w:color w:val="000000" w:themeColor="text1"/>
          <w:sz w:val="24"/>
          <w:szCs w:val="21"/>
          <w:highlight w:val="none"/>
          <w:u w:val="single"/>
          <w:lang w:val="en-US" w:eastAsia="zh-CN"/>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w:t>
      </w:r>
      <w:r>
        <w:rPr>
          <w:rFonts w:hint="eastAsia" w:ascii="宋体" w:hAnsi="宋体"/>
          <w:color w:val="000000" w:themeColor="text1"/>
          <w:sz w:val="24"/>
          <w:szCs w:val="21"/>
          <w:highlight w:val="none"/>
          <w:u w:val="single"/>
          <w:lang w:val="en-US" w:eastAsia="zh-CN"/>
          <w14:textFill>
            <w14:solidFill>
              <w14:schemeClr w14:val="tx1"/>
            </w14:solidFill>
          </w14:textFill>
        </w:rPr>
        <w:t xml:space="preserve">   采购人   </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w:t>
      </w:r>
      <w:r>
        <w:rPr>
          <w:rFonts w:hint="eastAsia" w:ascii="宋体" w:hAnsi="宋体"/>
          <w:color w:val="000000" w:themeColor="text1"/>
          <w:sz w:val="24"/>
          <w:szCs w:val="24"/>
          <w:highlight w:val="none"/>
          <w14:textFill>
            <w14:solidFill>
              <w14:schemeClr w14:val="tx1"/>
            </w14:solidFill>
          </w14:textFill>
        </w:rPr>
        <w:t xml:space="preserve">采购编号为</w:t>
      </w:r>
      <w:r>
        <w:rPr>
          <w:rFonts w:hint="eastAsia" w:ascii="Times New Roman" w:hAnsi="Times New Roman"/>
          <w:color w:val="000000" w:themeColor="text1"/>
          <w:sz w:val="24"/>
          <w:szCs w:val="24"/>
          <w:highlight w:val="none"/>
          <w14:textFill>
            <w14:solidFill>
              <w14:schemeClr w14:val="tx1"/>
            </w14:solidFill>
          </w14:textFill>
        </w:rPr>
        <w:t xml:space="preserve">JSZC-320000-</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SCZX-G20**-****</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u w:val="none"/>
          <w14:textFill>
            <w14:solidFill>
              <w14:schemeClr w14:val="tx1"/>
            </w14:solidFill>
          </w14:textFill>
        </w:rPr>
        <w:t xml:space="preserve">（项目名称）</w:t>
      </w:r>
      <w:r>
        <w:rPr>
          <w:rFonts w:hint="eastAsia" w:ascii="宋体" w:hAnsi="宋体"/>
          <w:color w:val="000000" w:themeColor="text1"/>
          <w:sz w:val="24"/>
          <w:szCs w:val="21"/>
          <w:highlight w:val="none"/>
          <w14:textFill>
            <w14:solidFill>
              <w14:schemeClr w14:val="tx1"/>
            </w14:solidFill>
          </w14:textFill>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期：___年____月____日</w:t>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spacing w:line="5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firstLine="241"/>
        <w:jc w:val="center"/>
        <w:spacing w:line="56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9</w:t>
      </w:r>
      <w:r>
        <w:rPr>
          <w:rFonts w:hint="eastAsia" w:ascii="宋体" w:hAnsi="宋体"/>
          <w:b/>
          <w:color w:val="000000" w:themeColor="text1"/>
          <w:sz w:val="24"/>
          <w:szCs w:val="21"/>
          <w:highlight w:val="none"/>
          <w14:textFill>
            <w14:solidFill>
              <w14:schemeClr w14:val="tx1"/>
            </w14:solidFill>
          </w14:textFill>
        </w:rPr>
        <w:t xml:space="preserve"> </w:t>
      </w:r>
      <w:r>
        <w:rPr>
          <w:rFonts w:ascii="宋体" w:hAnsi="宋体"/>
          <w:b/>
          <w:color w:val="000000" w:themeColor="text1"/>
          <w:sz w:val="24"/>
          <w:szCs w:val="21"/>
          <w:highlight w:val="none"/>
          <w14:textFill>
            <w14:solidFill>
              <w14:schemeClr w14:val="tx1"/>
            </w14:solidFill>
          </w14:textFill>
        </w:rPr>
        <w:t xml:space="preserve"> </w:t>
      </w:r>
      <w:r>
        <w:rPr>
          <w:rFonts w:hint="eastAsia" w:ascii="宋体" w:hAnsi="宋体"/>
          <w:b/>
          <w:color w:val="000000" w:themeColor="text1"/>
          <w:sz w:val="24"/>
          <w:szCs w:val="21"/>
          <w:highlight w:val="none"/>
          <w14:textFill>
            <w14:solidFill>
              <w14:schemeClr w14:val="tx1"/>
            </w14:solidFill>
          </w14:textFill>
        </w:rPr>
        <w:t xml:space="preserve">中小微企业声明函（货物类项目）（采购包号：**）</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本公司（联合体）郑重声明，根据《政府采购促进中小企业发展管理办法》(财库〔2020〕46号)的规定，本公司（联合体）参加江苏省政府</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组织的</w:t>
      </w:r>
      <w:r>
        <w:rPr>
          <w:rFonts w:hint="eastAsia" w:ascii="宋体" w:hAnsi="宋体"/>
          <w:color w:val="000000" w:themeColor="text1"/>
          <w:sz w:val="24"/>
          <w:szCs w:val="24"/>
          <w:highlight w:val="none"/>
          <w:u w:val="singl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采购编号为</w:t>
      </w:r>
      <w:r>
        <w:rPr>
          <w:rFonts w:hint="eastAsia" w:ascii="Times New Roman" w:hAnsi="Times New Roman"/>
          <w:color w:val="000000" w:themeColor="text1"/>
          <w:sz w:val="24"/>
          <w:szCs w:val="24"/>
          <w:highlight w:val="none"/>
          <w14:textFill>
            <w14:solidFill>
              <w14:schemeClr w14:val="tx1"/>
            </w14:solidFill>
          </w14:textFill>
        </w:rPr>
        <w:t xml:space="preserve">JSZC-320000-</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SCZX-G20**-****</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u w:val="none"/>
          <w14:textFill>
            <w14:solidFill>
              <w14:schemeClr w14:val="tx1"/>
            </w14:solidFill>
          </w14:textFill>
        </w:rPr>
        <w:t xml:space="preserve">（项目名称）（采购包号：**）</w:t>
      </w:r>
      <w:r>
        <w:rPr>
          <w:rFonts w:hint="eastAsia" w:ascii="宋体" w:hAnsi="宋体"/>
          <w:color w:val="000000" w:themeColor="text1"/>
          <w:sz w:val="24"/>
          <w:szCs w:val="24"/>
          <w:highlight w:val="none"/>
          <w14:textFill>
            <w14:solidFill>
              <w14:schemeClr w14:val="tx1"/>
            </w14:solidFill>
          </w14:textFill>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（供应商填写招标文件中明确的所属行业）</w:t>
      </w:r>
      <w:r>
        <w:rPr>
          <w:rFonts w:hint="eastAsia" w:ascii="宋体" w:hAnsi="宋体"/>
          <w:color w:val="000000" w:themeColor="text1"/>
          <w:sz w:val="24"/>
          <w:szCs w:val="24"/>
          <w:highlight w:val="none"/>
          <w14:textFill>
            <w14:solidFill>
              <w14:schemeClr w14:val="tx1"/>
            </w14:solidFill>
          </w14:textFill>
        </w:rPr>
        <w:t xml:space="preserve">行业；投标产品制造商为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中型企业 □小型企业 </w:t>
      </w:r>
      <w:r>
        <w:rPr>
          <w:rFonts w:hint="eastAsia" w:ascii="宋体" w:hAnsi="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微型企业）；</w:t>
      </w:r>
      <w:r/>
    </w:p>
    <w:p>
      <w:pPr>
        <w:ind w:firstLine="360"/>
        <w:spacing w:line="400" w:lineRule="exact"/>
        <w:rPr>
          <w:rFonts w:hint="eastAsia"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（供应商填写招标文件中明确的所属行业）</w:t>
      </w:r>
      <w:r>
        <w:rPr>
          <w:rFonts w:hint="eastAsia" w:ascii="宋体" w:hAnsi="宋体"/>
          <w:color w:val="000000" w:themeColor="text1"/>
          <w:sz w:val="24"/>
          <w:szCs w:val="24"/>
          <w:highlight w:val="none"/>
          <w14:textFill>
            <w14:solidFill>
              <w14:schemeClr w14:val="tx1"/>
            </w14:solidFill>
          </w14:textFill>
        </w:rPr>
        <w:t xml:space="preserve">行业；投标产品制造商为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（□中型企业 □小型企业 □微型企业）；</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360"/>
        <w:jc w:val="right"/>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企业名称（加盖CA电子公章）：</w:t>
      </w:r>
      <w:r/>
    </w:p>
    <w:p>
      <w:pPr>
        <w:ind w:right="480" w:firstLine="45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rPr>
          <w:rFonts w:hint="eastAsia" w:ascii="宋体" w:hAnsi="宋体"/>
          <w:color w:val="000000" w:themeColor="text1"/>
          <w:sz w:val="24"/>
          <w:szCs w:val="21"/>
          <w:highlight w:val="none"/>
          <w14:textFill>
            <w14:solidFill>
              <w14:schemeClr w14:val="tx1"/>
            </w14:solidFill>
          </w14:textFill>
        </w:rPr>
        <w:t xml:space="preserve">___年____月____日</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供应商如不提供此声明函，则</w:t>
      </w:r>
      <w:r>
        <w:rPr>
          <w:rFonts w:ascii="宋体" w:hAnsi="宋体"/>
          <w:color w:val="000000" w:themeColor="text1"/>
          <w:sz w:val="24"/>
          <w:szCs w:val="24"/>
          <w:highlight w:val="none"/>
          <w14:textFill>
            <w14:solidFill>
              <w14:schemeClr w14:val="tx1"/>
            </w14:solidFill>
          </w14:textFill>
        </w:rPr>
        <w:t xml:space="preserve">不能通过资格审查；</w:t>
      </w:r>
      <w:r>
        <w:rPr>
          <w:rFonts w:hint="eastAsia" w:ascii="宋体" w:hAnsi="宋体"/>
          <w:color w:val="000000" w:themeColor="text1"/>
          <w:sz w:val="24"/>
          <w:szCs w:val="24"/>
          <w:highlight w:val="none"/>
          <w14:textFill>
            <w14:solidFill>
              <w14:schemeClr w14:val="tx1"/>
            </w14:solidFill>
          </w14:textFill>
        </w:rPr>
        <w:t xml:space="preserve">非专门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供应商如不提供此声明函，价格将不做相应扣除。</w:t>
      </w:r>
      <w:r/>
    </w:p>
    <w:p>
      <w:pPr>
        <w:ind w:left="540" w:hanging="12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3.供应商应对照《工业和信息化部、国家统计局、国家发展和改革委员会、</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highlight w:val="none"/>
          <w14:textFill>
            <w14:solidFill>
              <w14:schemeClr w14:val="tx1"/>
            </w14:solidFill>
          </w14:textFill>
        </w:rPr>
        <w:t xml:space="preserve">自行勾选</w:t>
      </w:r>
      <w:r>
        <w:rPr>
          <w:rFonts w:hint="eastAsia" w:ascii="宋体" w:hAnsi="宋体"/>
          <w:color w:val="000000" w:themeColor="text1"/>
          <w:sz w:val="24"/>
          <w:szCs w:val="24"/>
          <w:highlight w:val="none"/>
          <w14:textFill>
            <w14:solidFill>
              <w14:schemeClr w14:val="tx1"/>
            </w14:solidFill>
          </w14:textFill>
        </w:rPr>
        <w:t xml:space="preserve">制造商</w:t>
      </w:r>
      <w:r>
        <w:rPr>
          <w:rFonts w:ascii="宋体" w:hAnsi="宋体"/>
          <w:color w:val="000000" w:themeColor="text1"/>
          <w:sz w:val="24"/>
          <w:szCs w:val="24"/>
          <w:highlight w:val="none"/>
          <w14:textFill>
            <w14:solidFill>
              <w14:schemeClr w14:val="tx1"/>
            </w14:solidFill>
          </w14:textFill>
        </w:rPr>
        <w:t xml:space="preserve">的企业</w:t>
      </w:r>
      <w:r>
        <w:rPr>
          <w:rFonts w:hint="eastAsia" w:ascii="宋体" w:hAnsi="宋体"/>
          <w:color w:val="000000" w:themeColor="text1"/>
          <w:sz w:val="24"/>
          <w:szCs w:val="24"/>
          <w:highlight w:val="none"/>
          <w14:textFill>
            <w14:solidFill>
              <w14:schemeClr w14:val="tx1"/>
            </w14:solidFill>
          </w14:textFill>
        </w:rPr>
        <w:t xml:space="preserve">规模类型</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10</w:t>
      </w:r>
      <w:r>
        <w:rPr>
          <w:rFonts w:hint="eastAsia" w:ascii="宋体" w:hAnsi="宋体"/>
          <w:b/>
          <w:color w:val="000000" w:themeColor="text1"/>
          <w:sz w:val="24"/>
          <w:szCs w:val="24"/>
          <w:highlight w:val="none"/>
          <w14:textFill>
            <w14:solidFill>
              <w14:schemeClr w14:val="tx1"/>
            </w14:solidFill>
          </w14:textFill>
        </w:rPr>
        <w:t xml:space="preserve">残疾人福利性单位声明函（货物类项目）（采购包号：**）</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themeColor="text1"/>
          <w:sz w:val="24"/>
          <w:szCs w:val="24"/>
          <w:highlight w:val="none"/>
          <w14:textFill>
            <w14:solidFill>
              <w14:schemeClr w14:val="tx1"/>
            </w14:solidFill>
          </w14:textFill>
        </w:rPr>
        <w:t xml:space="preserve">JSZC-320000-</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SCZX-G20**-****</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4"/>
          <w:highlight w:val="none"/>
          <w:u w:val="none"/>
          <w14:textFill>
            <w14:solidFill>
              <w14:schemeClr w14:val="tx1"/>
            </w14:solidFill>
          </w14:textFill>
        </w:rPr>
        <w:t xml:space="preserve">（项目名称）</w:t>
      </w:r>
      <w:r>
        <w:rPr>
          <w:rFonts w:hint="eastAsia" w:ascii="宋体" w:hAnsi="宋体"/>
          <w:color w:val="000000" w:themeColor="text1"/>
          <w:sz w:val="24"/>
          <w:szCs w:val="21"/>
          <w:highlight w:val="none"/>
          <w14:textFill>
            <w14:solidFill>
              <w14:schemeClr w14:val="tx1"/>
            </w14:solidFill>
          </w14:textFill>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专门面向中小微型企业采购的</w:t>
      </w:r>
      <w:r>
        <w:rPr>
          <w:rFonts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1"/>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宋体" w:hAnsi="宋体"/>
          <w:color w:val="000000" w:themeColor="text1"/>
          <w:sz w:val="24"/>
          <w:szCs w:val="21"/>
          <w:highlight w:val="none"/>
          <w14:textFill>
            <w14:solidFill>
              <w14:schemeClr w14:val="tx1"/>
            </w14:solidFill>
          </w14:textFill>
        </w:rPr>
        <w:t xml:space="preserve">声明函</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否则将</w:t>
      </w:r>
      <w:r>
        <w:rPr>
          <w:rFonts w:hint="eastAsia" w:ascii="宋体" w:hAnsi="宋体"/>
          <w:color w:val="000000" w:themeColor="text1"/>
          <w:sz w:val="24"/>
          <w:szCs w:val="21"/>
          <w:highlight w:val="none"/>
          <w14:textFill>
            <w14:solidFill>
              <w14:schemeClr w14:val="tx1"/>
            </w14:solidFill>
          </w14:textFill>
        </w:rPr>
        <w:t xml:space="preserve">不能</w:t>
      </w:r>
      <w:r>
        <w:rPr>
          <w:rFonts w:ascii="宋体" w:hAnsi="宋体"/>
          <w:color w:val="000000" w:themeColor="text1"/>
          <w:sz w:val="24"/>
          <w:szCs w:val="21"/>
          <w:highlight w:val="none"/>
          <w14:textFill>
            <w14:solidFill>
              <w14:schemeClr w14:val="tx1"/>
            </w14:solidFill>
          </w14:textFill>
        </w:rPr>
        <w:t xml:space="preserve">通过资格审查</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 非专门面向中小微型企业采购的</w:t>
      </w:r>
      <w:r>
        <w:rPr>
          <w:rFonts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1"/>
          <w:highlight w:val="none"/>
          <w14:textFill>
            <w14:solidFill>
              <w14:schemeClr w14:val="tx1"/>
            </w14:solidFill>
          </w14:textFill>
        </w:rPr>
        <w:t xml:space="preserve">，供应商如不提供此声明函，价格将不做相应扣除。</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olor w:val="000000" w:themeColor="text1"/>
          <w:spacing w:val="6"/>
          <w:sz w:val="30"/>
          <w:szCs w:val="30"/>
          <w:highlight w:val="none"/>
          <w14:textFill>
            <w14:solidFill>
              <w14:schemeClr w14:val="tx1"/>
            </w14:solidFill>
          </w14:textFill>
        </w:rPr>
      </w:pPr>
      <w:r>
        <w:rPr>
          <w:rFonts w:ascii="仿宋_GB2312" w:hAnsi="Times New Roman" w:eastAsia="仿宋_GB2312"/>
          <w:color w:val="000000" w:themeColor="text1"/>
          <w:spacing w:val="6"/>
          <w:sz w:val="30"/>
          <w:szCs w:val="30"/>
          <w:highlight w:val="none"/>
          <w14:textFill>
            <w14:solidFill>
              <w14:schemeClr w14:val="tx1"/>
            </w14:solidFill>
          </w14:textFill>
        </w:rPr>
      </w:r>
      <w:r/>
    </w:p>
    <w:p>
      <w:pPr>
        <w:ind w:right="1559" w:firstLine="624"/>
        <w:jc w:val="center"/>
        <w:spacing w:line="400"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仿宋_GB2312" w:hAnsi="Times New Roman" w:eastAsia="仿宋_GB2312"/>
          <w:color w:val="000000" w:themeColor="text1"/>
          <w:spacing w:val="6"/>
          <w:sz w:val="30"/>
          <w:szCs w:val="30"/>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供应商全称（加盖CA电子公章）：</w:t>
      </w:r>
      <w:r/>
    </w:p>
    <w:p>
      <w:pPr>
        <w:ind w:right="1559" w:firstLine="480"/>
        <w:jc w:val="center"/>
        <w:spacing w:line="400"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lang w:val="en-US" w:eastAsia="zh-CN"/>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日  期：___年____月____日</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lang w:val="en-US" w:eastAsia="zh-CN"/>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实质性要求响应及偏离表（采购包号：**）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序号</w:t>
            </w:r>
            <w:r/>
          </w:p>
        </w:tc>
        <w:tc>
          <w:tcPr>
            <w:tcW w:w="3609"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1"/>
                <w:highlight w:val="none"/>
                <w:lang w:val="en-US" w:eastAsia="zh-CN" w:bidi="ar-SA"/>
                <w14:textFill>
                  <w14:solidFill>
                    <w14:schemeClr w14:val="tx1"/>
                  </w14:solidFill>
                </w14:textFill>
              </w:rPr>
              <w:t xml:space="preserve">招标文件（含技术</w:t>
            </w:r>
            <w:r>
              <w:rPr>
                <w:rFonts w:ascii="宋体" w:hAnsi="宋体" w:eastAsia="宋体" w:cs="Times New Roman"/>
                <w:color w:val="000000" w:themeColor="text1"/>
                <w:sz w:val="24"/>
                <w:szCs w:val="21"/>
                <w:highlight w:val="none"/>
                <w:lang w:val="en-US" w:eastAsia="zh-CN" w:bidi="ar-SA"/>
                <w14:textFill>
                  <w14:solidFill>
                    <w14:schemeClr w14:val="tx1"/>
                  </w14:solidFill>
                </w14:textFill>
              </w:rPr>
              <w:t xml:space="preserve">要求和商务</w:t>
            </w:r>
            <w:r>
              <w:rPr>
                <w:rFonts w:hint="eastAsia" w:ascii="宋体" w:hAnsi="宋体" w:eastAsia="宋体" w:cs="Times New Roman"/>
                <w:color w:val="000000" w:themeColor="text1"/>
                <w:sz w:val="24"/>
                <w:szCs w:val="21"/>
                <w:highlight w:val="none"/>
                <w:lang w:val="en-US" w:eastAsia="zh-CN" w:bidi="ar-SA"/>
                <w14:textFill>
                  <w14:solidFill>
                    <w14:schemeClr w14:val="tx1"/>
                  </w14:solidFill>
                </w14:textFill>
              </w:rPr>
              <w:t xml:space="preserve">要求）</w:t>
            </w:r>
            <w:r>
              <w:rPr>
                <w:rFonts w:ascii="宋体" w:hAnsi="宋体" w:eastAsia="宋体" w:cs="Times New Roman"/>
                <w:color w:val="000000" w:themeColor="text1"/>
                <w:sz w:val="24"/>
                <w:szCs w:val="21"/>
                <w:highlight w:val="none"/>
                <w:lang w:val="en-US" w:eastAsia="zh-CN" w:bidi="ar-SA"/>
                <w14:textFill>
                  <w14:solidFill>
                    <w14:schemeClr w14:val="tx1"/>
                  </w14:solidFill>
                </w14:textFill>
              </w:rPr>
              <w:t xml:space="preserve">中</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的实质性要求</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斜体且有下划线部分</w:t>
            </w:r>
            <w:r>
              <w:rPr>
                <w:rFonts w:hint="eastAsia" w:ascii="宋体" w:hAnsi="宋体" w:eastAsia="宋体" w:cs="Times New Roman"/>
                <w:b/>
                <w:bCs/>
                <w:color w:val="000000" w:themeColor="text1"/>
                <w:sz w:val="24"/>
                <w:szCs w:val="21"/>
                <w:highlight w:val="none"/>
                <w:lang w:val="en-US" w:eastAsia="zh-CN" w:bidi="ar-SA"/>
                <w14:textFill>
                  <w14:solidFill>
                    <w14:schemeClr w14:val="tx1"/>
                  </w14:solidFill>
                </w14:textFill>
              </w:rPr>
              <w:t xml:space="preserve">或加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eastAsia="宋体" w:cs="Times New Roman"/>
                <w:b/>
                <w:bCs/>
                <w:color w:val="000000" w:themeColor="text1"/>
                <w:sz w:val="24"/>
                <w:szCs w:val="21"/>
                <w:highlight w:val="none"/>
                <w:lang w:val="en-US" w:eastAsia="zh-CN" w:bidi="ar-SA"/>
                <w14:textFill>
                  <w14:solidFill>
                    <w14:schemeClr w14:val="tx1"/>
                  </w14:solidFill>
                </w14:textFill>
              </w:rPr>
              <w:t xml:space="preserve">号条款）</w:t>
            </w:r>
            <w:r/>
          </w:p>
        </w:tc>
        <w:tc>
          <w:tcPr>
            <w:tcW w:w="3317"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投标响应情况</w:t>
            </w:r>
            <w:r/>
          </w:p>
        </w:tc>
        <w:tc>
          <w:tcPr>
            <w:tcW w:w="1526"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3609"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31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26"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p>
        </w:tc>
        <w:tc>
          <w:tcPr>
            <w:tcW w:w="3609"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31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26"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609"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331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26"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12-1 </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w:t>
      </w:r>
      <w:r>
        <w:rPr>
          <w:rFonts w:hint="eastAsia" w:ascii="宋体" w:hAnsi="宋体"/>
          <w:color w:val="000000" w:themeColor="text1"/>
          <w:sz w:val="24"/>
          <w:szCs w:val="21"/>
          <w:highlight w:val="none"/>
          <w14:textFill>
            <w14:solidFill>
              <w14:schemeClr w14:val="tx1"/>
            </w14:solidFill>
          </w14:textFill>
        </w:rPr>
        <w:t xml:space="preserve">招标文件（含技术</w:t>
      </w:r>
      <w:r>
        <w:rPr>
          <w:rFonts w:ascii="宋体" w:hAnsi="宋体"/>
          <w:color w:val="000000" w:themeColor="text1"/>
          <w:sz w:val="24"/>
          <w:szCs w:val="21"/>
          <w:highlight w:val="none"/>
          <w14:textFill>
            <w14:solidFill>
              <w14:schemeClr w14:val="tx1"/>
            </w14:solidFill>
          </w14:textFill>
        </w:rPr>
        <w:t xml:space="preserve">要求和商务</w:t>
      </w:r>
      <w:r>
        <w:rPr>
          <w:rFonts w:hint="eastAsia" w:ascii="宋体" w:hAnsi="宋体"/>
          <w:color w:val="000000" w:themeColor="text1"/>
          <w:sz w:val="24"/>
          <w:szCs w:val="21"/>
          <w:highlight w:val="none"/>
          <w14:textFill>
            <w14:solidFill>
              <w14:schemeClr w14:val="tx1"/>
            </w14:solidFill>
          </w14:textFill>
        </w:rPr>
        <w:t xml:space="preserve">要求）</w:t>
      </w:r>
      <w:r>
        <w:rPr>
          <w:rFonts w:ascii="宋体" w:hAnsi="宋体"/>
          <w:color w:val="000000" w:themeColor="text1"/>
          <w:sz w:val="24"/>
          <w:szCs w:val="21"/>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的实质性要求</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i/>
          <w:color w:val="000000" w:themeColor="text1"/>
          <w:sz w:val="24"/>
          <w:szCs w:val="21"/>
          <w:highlight w:val="none"/>
          <w:u w:val="single"/>
          <w14:textFill>
            <w14:solidFill>
              <w14:schemeClr w14:val="tx1"/>
            </w14:solidFill>
          </w14:textFill>
        </w:rPr>
        <w:t xml:space="preserve">斜体且有下划线部分</w:t>
      </w:r>
      <w:r>
        <w:rPr>
          <w:rFonts w:hint="eastAsia" w:ascii="宋体" w:hAnsi="宋体"/>
          <w:b/>
          <w:bCs/>
          <w:color w:val="000000" w:themeColor="text1"/>
          <w:sz w:val="24"/>
          <w:szCs w:val="21"/>
          <w:highlight w:val="none"/>
          <w14:textFill>
            <w14:solidFill>
              <w14:schemeClr w14:val="tx1"/>
            </w14:solidFill>
          </w14:textFill>
        </w:rPr>
        <w:t xml:space="preserve">或加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b/>
          <w:bCs/>
          <w:color w:val="000000" w:themeColor="text1"/>
          <w:sz w:val="24"/>
          <w:szCs w:val="21"/>
          <w:highlight w:val="none"/>
          <w14:textFill>
            <w14:solidFill>
              <w14:schemeClr w14:val="tx1"/>
            </w14:solidFill>
          </w14:textFill>
        </w:rPr>
        <w:t xml:space="preserve">号条款）</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必须</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附件1</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 关于符合本国产品标准的声明函（采购包号：**）</w:t>
      </w:r>
      <w:r/>
    </w:p>
    <w:p>
      <w:pPr>
        <w:pStyle w:val="789"/>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（产品名称1）</w:t>
      </w:r>
      <w:r>
        <w:rPr>
          <w:rStyle w:val="795"/>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，生产厂为</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（厂名）</w:t>
      </w:r>
      <w:r>
        <w:rPr>
          <w:rStyle w:val="795"/>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，厂址为</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在中国境内完成。</w:t>
      </w:r>
      <w:r/>
    </w:p>
    <w:p>
      <w:pPr>
        <w:pStyle w:val="78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（产品名称</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2</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，生产厂为</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，厂址为</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在中国境内完成。</w:t>
      </w:r>
      <w:r/>
    </w:p>
    <w:p>
      <w:pPr>
        <w:pStyle w:val="78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p>
    <w:p>
      <w:pPr>
        <w:pStyle w:val="78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89"/>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r>
      <w:r/>
    </w:p>
    <w:p>
      <w:pPr>
        <w:pStyle w:val="789"/>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789"/>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日期：</w:t>
      </w:r>
      <w:r>
        <w:rPr>
          <w:rFonts w:hint="eastAsia" w:ascii="宋体" w:hAnsi="宋体"/>
          <w:color w:val="000000" w:themeColor="text1"/>
          <w:sz w:val="24"/>
          <w:szCs w:val="21"/>
          <w:highlight w:val="none"/>
          <w14:textFill>
            <w14:solidFill>
              <w14:schemeClr w14:val="tx1"/>
            </w14:solidFill>
          </w14:textFill>
        </w:rPr>
        <w:t xml:space="preserve">___年____月____日</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789"/>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__________________</w:t>
      </w:r>
      <w:r/>
    </w:p>
    <w:p>
      <w:pPr>
        <w:pStyle w:val="78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1.产品如有型号，请在“产品名称”栏一并填写。</w:t>
      </w:r>
      <w:r/>
    </w:p>
    <w:p>
      <w:pPr>
        <w:pStyle w:val="78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2.生产厂名与厂址应与生产厂营业执照载明的相关信息保持一致。</w:t>
      </w:r>
      <w:r/>
    </w:p>
    <w:p>
      <w:pPr>
        <w:pStyle w:val="78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8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4.该产品的关键组件要求实施前，“关键组件”栏可不填，下同。</w:t>
      </w:r>
      <w:r/>
    </w:p>
    <w:p>
      <w:pPr>
        <w:pStyle w:val="78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5.该产品的关键工序要求实施前，“关键工序”栏可不填，下同。</w:t>
      </w:r>
      <w:r/>
    </w:p>
    <w:p>
      <w:pPr>
        <w:pStyle w:val="78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95"/>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”的地方无需填写。</w:t>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bookmarkEnd w:id="219"/>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750"/>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746"/>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746"/>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746"/>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312"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3.质疑供应商若对项目的某一采购包进行质疑，质疑函中应列明具体采购包号。</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方正魏碑_GBK">
    <w:panose1 w:val="020B0503020202020204"/>
  </w:font>
  <w:font w:name="华文新魏">
    <w:panose1 w:val="02010800040101010101"/>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entury">
    <w:panose1 w:val="020406040505050203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fldChar w:fldCharType="begin"/>
    </w:r>
    <w:r>
      <w:instrText xml:space="preserve">PAGE   \* MERGEFORMAT</w:instrText>
    </w:r>
    <w:r>
      <w:fldChar w:fldCharType="separate"/>
    </w:r>
    <w:r>
      <w:rPr>
        <w:lang w:val="zh-CN"/>
      </w:rPr>
      <w:t xml:space="preserve">19</w: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57"/>
        <w:rFonts w:ascii="宋体" w:hAnsi="宋体"/>
      </w:rPr>
      <w:framePr w:wrap="around" w:vAnchor="text" w:hAnchor="margin" w:xAlign="center" w:y="1"/>
    </w:pPr>
    <w:r>
      <w:rPr>
        <w:rFonts w:ascii="宋体" w:hAnsi="宋体"/>
      </w:rPr>
      <w:fldChar w:fldCharType="begin"/>
    </w:r>
    <w:r>
      <w:rPr>
        <w:rStyle w:val="1057"/>
        <w:rFonts w:ascii="宋体" w:hAnsi="宋体"/>
      </w:rPr>
      <w:instrText xml:space="preserve">PAGE  </w:instrText>
    </w:r>
    <w:r>
      <w:rPr>
        <w:rFonts w:ascii="宋体" w:hAnsi="宋体"/>
      </w:rPr>
      <w:fldChar w:fldCharType="separate"/>
    </w:r>
    <w:r>
      <w:rPr>
        <w:rStyle w:val="1057"/>
        <w:rFonts w:ascii="宋体" w:hAnsi="宋体"/>
      </w:rPr>
      <w:t xml:space="preserve">22</w:t>
    </w:r>
    <w:r>
      <w:rPr>
        <w:rFonts w:ascii="宋体" w:hAnsi="宋体"/>
      </w:rPr>
      <w:fldChar w:fldCharType="end"/>
    </w:r>
    <w:r/>
  </w:p>
  <w:p>
    <w:pPr>
      <w:pStyle w:val="985"/>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57"/>
      </w:rPr>
      <w:framePr w:wrap="around" w:vAnchor="text" w:hAnchor="margin" w:xAlign="center" w:y="1"/>
    </w:pPr>
    <w:r>
      <w:fldChar w:fldCharType="begin"/>
    </w:r>
    <w:r>
      <w:rPr>
        <w:rStyle w:val="1057"/>
      </w:rPr>
      <w:instrText xml:space="preserve">PAGE  </w:instrText>
    </w:r>
    <w:r>
      <w:fldChar w:fldCharType="separate"/>
    </w:r>
    <w:r>
      <w:rPr>
        <w:rStyle w:val="1057"/>
      </w:rPr>
      <w:t xml:space="preserve">1</w:t>
    </w:r>
    <w:r>
      <w:fldChar w:fldCharType="end"/>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0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5"/>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9"/>
      <w:isLgl w:val="false"/>
      <w:suff w:val="nothing"/>
      <w:lvlText w:val=""/>
      <w:lvlJc w:val="left"/>
      <w:pPr>
        <w:ind w:left="0" w:firstLine="0"/>
      </w:pPr>
      <w:rPr>
        <w:rFonts w:hint="eastAsia"/>
      </w:rPr>
    </w:lvl>
    <w:lvl w:ilvl="8">
      <w:start w:val="1"/>
      <w:numFmt w:val="decimal"/>
      <w:pStyle w:val="961"/>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2"/>
  </w:num>
  <w:num w:numId="4">
    <w:abstractNumId w:val="2"/>
  </w:num>
  <w:num w:numId="5">
    <w:abstractNumId w:val="11"/>
  </w:num>
  <w:num w:numId="6">
    <w:abstractNumId w:val="1"/>
  </w:num>
  <w:num w:numId="7">
    <w:abstractNumId w:val="7"/>
  </w:num>
  <w:num w:numId="8">
    <w:abstractNumId w:val="9"/>
  </w:num>
  <w:num w:numId="9">
    <w:abstractNumId w:val="14"/>
  </w:num>
  <w:num w:numId="10">
    <w:abstractNumId w:val="6"/>
  </w:num>
  <w:num w:numId="11">
    <w:abstractNumId w:val="0"/>
  </w:num>
  <w:num w:numId="12">
    <w:abstractNumId w:val="10"/>
  </w:num>
  <w:num w:numId="13">
    <w:abstractNumId w:val="13"/>
  </w:num>
  <w:num w:numId="14">
    <w:abstractNumId w:val="15"/>
  </w:num>
  <w:num w:numId="15">
    <w:abstractNumId w:val="8"/>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Normal"/>
    <w:link w:val="1062"/>
    <w:uiPriority w:val="0"/>
    <w:qFormat/>
    <w:pPr>
      <w:jc w:val="both"/>
      <w:widowControl w:val="off"/>
    </w:pPr>
    <w:rPr>
      <w:rFonts w:hint="default" w:ascii="Times New Roman" w:hAnsi="Times New Roman" w:eastAsia="宋体" w:cs="Times New Roman"/>
      <w:sz w:val="21"/>
      <w:szCs w:val="22"/>
      <w:lang w:eastAsia="zh-CN"/>
    </w:rPr>
  </w:style>
  <w:style w:type="paragraph" w:styleId="731">
    <w:name w:val="Heading 1"/>
    <w:basedOn w:val="730"/>
    <w:next w:val="730"/>
    <w:link w:val="798"/>
    <w:uiPriority w:val="9"/>
    <w:qFormat/>
    <w:pPr>
      <w:keepLines/>
      <w:keepNext/>
      <w:spacing w:before="480" w:after="200"/>
      <w:outlineLvl w:val="0"/>
    </w:pPr>
    <w:rPr>
      <w:rFonts w:ascii="楷体_GB2312" w:hAnsi="Times New Roman" w:eastAsia="楷体_GB2312" w:cs="Times New Roman"/>
      <w:sz w:val="28"/>
      <w:szCs w:val="28"/>
    </w:rPr>
  </w:style>
  <w:style w:type="paragraph" w:styleId="732">
    <w:name w:val="Heading 2"/>
    <w:basedOn w:val="730"/>
    <w:next w:val="730"/>
    <w:link w:val="799"/>
    <w:uiPriority w:val="9"/>
    <w:unhideWhenUsed/>
    <w:qFormat/>
    <w:pPr>
      <w:keepLines/>
      <w:keepNext/>
      <w:spacing w:before="360" w:after="200"/>
      <w:outlineLvl w:val="1"/>
    </w:pPr>
    <w:rPr>
      <w:rFonts w:ascii="Arial" w:hAnsi="Arial" w:eastAsia="幼圆" w:cs="Arial"/>
      <w:b/>
      <w:bCs/>
      <w:sz w:val="44"/>
      <w:szCs w:val="44"/>
    </w:rPr>
  </w:style>
  <w:style w:type="paragraph" w:styleId="733">
    <w:name w:val="Heading 3"/>
    <w:basedOn w:val="730"/>
    <w:next w:val="742"/>
    <w:link w:val="800"/>
    <w:uiPriority w:val="9"/>
    <w:unhideWhenUsed/>
    <w:qFormat/>
    <w:pPr>
      <w:keepLines/>
      <w:keepNext/>
      <w:spacing w:before="320" w:after="200"/>
      <w:outlineLvl w:val="2"/>
    </w:pPr>
    <w:rPr>
      <w:rFonts w:ascii="Times New Roman" w:hAnsi="Times New Roman" w:eastAsia="宋体" w:cs="Times New Roman"/>
      <w:b/>
      <w:bCs/>
      <w:sz w:val="32"/>
      <w:szCs w:val="32"/>
    </w:rPr>
  </w:style>
  <w:style w:type="paragraph" w:styleId="734">
    <w:name w:val="Heading 4"/>
    <w:basedOn w:val="730"/>
    <w:next w:val="730"/>
    <w:link w:val="801"/>
    <w:uiPriority w:val="9"/>
    <w:unhideWhenUsed/>
    <w:qFormat/>
    <w:pPr>
      <w:keepLines/>
      <w:keepNext/>
      <w:spacing w:before="320" w:after="200"/>
      <w:outlineLvl w:val="3"/>
    </w:pPr>
    <w:rPr>
      <w:rFonts w:ascii="Arial" w:hAnsi="Arial" w:eastAsia="黑体" w:cs="Arial"/>
      <w:b/>
      <w:bCs/>
      <w:sz w:val="28"/>
      <w:szCs w:val="28"/>
    </w:rPr>
  </w:style>
  <w:style w:type="paragraph" w:styleId="735">
    <w:name w:val="Heading 5"/>
    <w:basedOn w:val="730"/>
    <w:next w:val="730"/>
    <w:link w:val="802"/>
    <w:uiPriority w:val="9"/>
    <w:unhideWhenUsed/>
    <w:qFormat/>
    <w:pPr>
      <w:keepLines/>
      <w:keepNext/>
      <w:spacing w:before="320" w:after="200"/>
      <w:outlineLvl w:val="4"/>
    </w:pPr>
    <w:rPr>
      <w:rFonts w:ascii="宋体" w:hAnsi="Times New Roman" w:eastAsia="宋体" w:cs="Times New Roman"/>
      <w:color w:val="000000"/>
      <w:sz w:val="28"/>
      <w:szCs w:val="28"/>
    </w:rPr>
  </w:style>
  <w:style w:type="paragraph" w:styleId="736">
    <w:name w:val="Heading 6"/>
    <w:basedOn w:val="730"/>
    <w:next w:val="730"/>
    <w:link w:val="803"/>
    <w:uiPriority w:val="9"/>
    <w:unhideWhenUsed/>
    <w:qFormat/>
    <w:pPr>
      <w:keepLines/>
      <w:keepNext/>
      <w:spacing w:before="320" w:after="200"/>
      <w:outlineLvl w:val="5"/>
    </w:pPr>
    <w:rPr>
      <w:rFonts w:ascii="Arial" w:hAnsi="Arial" w:eastAsia="黑体" w:cs="Times New Roman"/>
      <w:b/>
      <w:bCs/>
      <w:sz w:val="24"/>
      <w:szCs w:val="24"/>
    </w:rPr>
  </w:style>
  <w:style w:type="paragraph" w:styleId="737">
    <w:name w:val="Heading 7"/>
    <w:basedOn w:val="730"/>
    <w:next w:val="730"/>
    <w:link w:val="804"/>
    <w:uiPriority w:val="9"/>
    <w:unhideWhenUsed/>
    <w:qFormat/>
    <w:pPr>
      <w:keepLines/>
      <w:keepNext/>
      <w:spacing w:before="320" w:after="200"/>
      <w:outlineLvl w:val="6"/>
    </w:pPr>
    <w:rPr>
      <w:rFonts w:ascii="Times New Roman" w:hAnsi="Times New Roman" w:eastAsia="宋体" w:cs="Times New Roman"/>
      <w:b/>
      <w:bCs/>
      <w:sz w:val="24"/>
      <w:szCs w:val="24"/>
    </w:rPr>
  </w:style>
  <w:style w:type="paragraph" w:styleId="738">
    <w:name w:val="Heading 8"/>
    <w:basedOn w:val="730"/>
    <w:next w:val="730"/>
    <w:link w:val="805"/>
    <w:uiPriority w:val="9"/>
    <w:unhideWhenUsed/>
    <w:qFormat/>
    <w:pPr>
      <w:keepLines/>
      <w:keepNext/>
      <w:spacing w:before="320" w:after="200"/>
      <w:outlineLvl w:val="7"/>
    </w:pPr>
    <w:rPr>
      <w:rFonts w:ascii="Arial" w:hAnsi="Arial" w:eastAsia="黑体" w:cs="Times New Roman"/>
      <w:sz w:val="24"/>
      <w:szCs w:val="24"/>
    </w:rPr>
  </w:style>
  <w:style w:type="paragraph" w:styleId="739">
    <w:name w:val="Heading 9"/>
    <w:basedOn w:val="730"/>
    <w:next w:val="730"/>
    <w:link w:val="806"/>
    <w:uiPriority w:val="9"/>
    <w:unhideWhenUsed/>
    <w:qFormat/>
    <w:pPr>
      <w:keepLines/>
      <w:keepNext/>
      <w:spacing w:before="320" w:after="200"/>
      <w:outlineLvl w:val="8"/>
    </w:pPr>
    <w:rPr>
      <w:rFonts w:ascii="Arial" w:hAnsi="Arial" w:eastAsia="黑体" w:cs="Times New Roman"/>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customStyle="1">
    <w:name w:val="Normal_19"/>
    <w:next w:val="743"/>
    <w:uiPriority w:val="0"/>
    <w:qFormat/>
    <w:rPr>
      <w:rFonts w:ascii="黑体" w:hAnsi="黑体" w:eastAsia="黑体" w:cs="黑体"/>
      <w:b/>
      <w:sz w:val="32"/>
      <w:szCs w:val="24"/>
      <w:lang w:val="en-US" w:eastAsia="zh-CN" w:bidi="ar-SA"/>
    </w:rPr>
  </w:style>
  <w:style w:type="paragraph" w:styleId="743" w:customStyle="1">
    <w:name w:val="Normal"/>
    <w:next w:val="744"/>
    <w:uiPriority w:val="0"/>
    <w:qFormat/>
    <w:pPr>
      <w:jc w:val="both"/>
      <w:widowControl w:val="off"/>
    </w:pPr>
    <w:rPr>
      <w:rFonts w:ascii="Times New Roman" w:hAnsi="Times New Roman" w:eastAsia="宋体" w:cs="Times New Roman"/>
      <w:szCs w:val="21"/>
      <w:lang w:val="en-US" w:eastAsia="zh-CN" w:bidi="ar-SA"/>
    </w:rPr>
  </w:style>
  <w:style w:type="paragraph" w:styleId="744" w:customStyle="1">
    <w:name w:val="Body Text First Indent1"/>
    <w:uiPriority w:val="99"/>
    <w:unhideWhenUsed/>
    <w:qFormat/>
    <w:pPr>
      <w:ind w:firstLine="420"/>
      <w:jc w:val="both"/>
      <w:spacing w:after="120"/>
      <w:widowControl w:val="off"/>
    </w:pPr>
    <w:rPr>
      <w:rFonts w:ascii="Times New Roman" w:hAnsi="Times New Roman" w:eastAsia="宋体" w:cs="Times New Roman"/>
      <w:szCs w:val="21"/>
      <w:lang w:val="en-US" w:eastAsia="zh-CN" w:bidi="ar-SA"/>
    </w:rPr>
  </w:style>
  <w:style w:type="paragraph" w:styleId="745">
    <w:name w:val="toc 7"/>
    <w:basedOn w:val="730"/>
    <w:next w:val="730"/>
    <w:uiPriority w:val="39"/>
    <w:unhideWhenUsed/>
    <w:qFormat/>
    <w:pPr>
      <w:ind w:left="1701" w:right="0" w:firstLine="0"/>
      <w:spacing w:after="57"/>
    </w:pPr>
  </w:style>
  <w:style w:type="paragraph" w:styleId="746">
    <w:name w:val="Normal Indent"/>
    <w:uiPriority w:val="0"/>
    <w:qFormat/>
    <w:pPr>
      <w:ind w:firstLine="420"/>
      <w:jc w:val="both"/>
      <w:widowControl w:val="off"/>
    </w:pPr>
    <w:rPr>
      <w:rFonts w:hint="default" w:ascii="宋体" w:hAnsi="Times New Roman" w:eastAsia="宋体" w:cs="Times New Roman"/>
      <w:color w:val="000000"/>
      <w:sz w:val="24"/>
      <w:szCs w:val="20"/>
      <w:lang w:eastAsia="zh-CN"/>
    </w:rPr>
  </w:style>
  <w:style w:type="paragraph" w:styleId="747">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toc 5"/>
    <w:basedOn w:val="730"/>
    <w:next w:val="730"/>
    <w:uiPriority w:val="39"/>
    <w:unhideWhenUsed/>
    <w:qFormat/>
    <w:pPr>
      <w:ind w:left="1134" w:right="0" w:firstLine="0"/>
      <w:spacing w:after="57"/>
    </w:pPr>
  </w:style>
  <w:style w:type="paragraph" w:styleId="749">
    <w:name w:val="toc 3"/>
    <w:basedOn w:val="730"/>
    <w:next w:val="730"/>
    <w:uiPriority w:val="39"/>
    <w:unhideWhenUsed/>
    <w:qFormat/>
    <w:pPr>
      <w:ind w:left="567" w:right="0" w:firstLine="0"/>
      <w:spacing w:after="57"/>
    </w:pPr>
  </w:style>
  <w:style w:type="paragraph" w:styleId="750">
    <w:name w:val="Plain Text"/>
    <w:next w:val="746"/>
    <w:uiPriority w:val="0"/>
    <w:qFormat/>
    <w:pPr>
      <w:jc w:val="both"/>
      <w:widowControl w:val="off"/>
    </w:pPr>
    <w:rPr>
      <w:rFonts w:hint="default" w:ascii="宋体" w:hAnsi="Times New Roman" w:eastAsia="宋体" w:cs="Times New Roman"/>
      <w:sz w:val="21"/>
      <w:szCs w:val="21"/>
      <w:lang w:eastAsia="zh-CN"/>
    </w:rPr>
  </w:style>
  <w:style w:type="paragraph" w:styleId="751">
    <w:name w:val="toc 8"/>
    <w:basedOn w:val="730"/>
    <w:next w:val="730"/>
    <w:uiPriority w:val="39"/>
    <w:unhideWhenUsed/>
    <w:qFormat/>
    <w:pPr>
      <w:ind w:left="1984" w:right="0" w:firstLine="0"/>
      <w:spacing w:after="57"/>
    </w:pPr>
  </w:style>
  <w:style w:type="paragraph" w:styleId="752">
    <w:name w:val="endnote text"/>
    <w:basedOn w:val="730"/>
    <w:uiPriority w:val="99"/>
    <w:semiHidden/>
    <w:unhideWhenUsed/>
    <w:qFormat/>
    <w:pPr>
      <w:spacing w:after="0" w:line="240" w:lineRule="auto"/>
    </w:pPr>
    <w:rPr>
      <w:sz w:val="20"/>
    </w:rPr>
  </w:style>
  <w:style w:type="paragraph" w:styleId="753">
    <w:name w:val="Footer"/>
    <w:basedOn w:val="730"/>
    <w:uiPriority w:val="99"/>
    <w:unhideWhenUsed/>
    <w:qFormat/>
    <w:pPr>
      <w:spacing w:after="0" w:line="240" w:lineRule="auto"/>
      <w:tabs>
        <w:tab w:val="center" w:pos="7143" w:leader="none"/>
        <w:tab w:val="right" w:pos="14287" w:leader="none"/>
      </w:tabs>
    </w:pPr>
  </w:style>
  <w:style w:type="paragraph" w:styleId="754">
    <w:name w:val="Header"/>
    <w:basedOn w:val="730"/>
    <w:uiPriority w:val="99"/>
    <w:unhideWhenUsed/>
    <w:qFormat/>
    <w:pPr>
      <w:spacing w:after="0" w:line="240" w:lineRule="auto"/>
      <w:tabs>
        <w:tab w:val="center" w:pos="7143" w:leader="none"/>
        <w:tab w:val="right" w:pos="14287" w:leader="none"/>
      </w:tabs>
    </w:pPr>
  </w:style>
  <w:style w:type="paragraph" w:styleId="755">
    <w:name w:val="toc 1"/>
    <w:basedOn w:val="730"/>
    <w:next w:val="730"/>
    <w:uiPriority w:val="39"/>
    <w:unhideWhenUsed/>
    <w:qFormat/>
    <w:pPr>
      <w:ind w:left="0" w:right="0" w:firstLine="0"/>
      <w:spacing w:after="57"/>
    </w:pPr>
  </w:style>
  <w:style w:type="paragraph" w:styleId="756">
    <w:name w:val="toc 4"/>
    <w:basedOn w:val="730"/>
    <w:next w:val="730"/>
    <w:uiPriority w:val="39"/>
    <w:unhideWhenUsed/>
    <w:qFormat/>
    <w:pPr>
      <w:ind w:left="850" w:right="0" w:firstLine="0"/>
      <w:spacing w:after="57"/>
    </w:pPr>
  </w:style>
  <w:style w:type="paragraph" w:styleId="757">
    <w:name w:val="Subtitle"/>
    <w:basedOn w:val="730"/>
    <w:next w:val="730"/>
    <w:uiPriority w:val="11"/>
    <w:qFormat/>
    <w:pPr>
      <w:spacing w:before="200" w:after="200"/>
    </w:pPr>
    <w:rPr>
      <w:sz w:val="24"/>
      <w:szCs w:val="24"/>
    </w:rPr>
  </w:style>
  <w:style w:type="paragraph" w:styleId="758">
    <w:name w:val="footnote text"/>
    <w:basedOn w:val="730"/>
    <w:uiPriority w:val="99"/>
    <w:semiHidden/>
    <w:unhideWhenUsed/>
    <w:qFormat/>
    <w:pPr>
      <w:spacing w:after="40" w:line="240" w:lineRule="auto"/>
    </w:pPr>
    <w:rPr>
      <w:sz w:val="18"/>
    </w:rPr>
  </w:style>
  <w:style w:type="paragraph" w:styleId="759">
    <w:name w:val="toc 6"/>
    <w:basedOn w:val="730"/>
    <w:next w:val="730"/>
    <w:uiPriority w:val="39"/>
    <w:unhideWhenUsed/>
    <w:qFormat/>
    <w:pPr>
      <w:ind w:left="1417" w:right="0" w:firstLine="0"/>
      <w:spacing w:after="57"/>
    </w:pPr>
  </w:style>
  <w:style w:type="paragraph" w:styleId="760">
    <w:name w:val="table of figures"/>
    <w:basedOn w:val="730"/>
    <w:next w:val="730"/>
    <w:uiPriority w:val="99"/>
    <w:unhideWhenUsed/>
    <w:qFormat/>
    <w:pPr>
      <w:spacing w:after="0" w:afterAutospacing="0"/>
    </w:pPr>
  </w:style>
  <w:style w:type="paragraph" w:styleId="761">
    <w:name w:val="toc 2"/>
    <w:basedOn w:val="730"/>
    <w:next w:val="730"/>
    <w:uiPriority w:val="39"/>
    <w:unhideWhenUsed/>
    <w:qFormat/>
    <w:pPr>
      <w:ind w:left="283" w:right="0" w:firstLine="0"/>
      <w:spacing w:after="57"/>
    </w:pPr>
  </w:style>
  <w:style w:type="paragraph" w:styleId="762">
    <w:name w:val="toc 9"/>
    <w:basedOn w:val="730"/>
    <w:next w:val="730"/>
    <w:uiPriority w:val="39"/>
    <w:unhideWhenUsed/>
    <w:qFormat/>
    <w:pPr>
      <w:ind w:left="2268" w:right="0" w:firstLine="0"/>
      <w:spacing w:after="57"/>
    </w:pPr>
  </w:style>
  <w:style w:type="paragraph" w:styleId="763">
    <w:name w:val="Title"/>
    <w:basedOn w:val="730"/>
    <w:next w:val="730"/>
    <w:uiPriority w:val="10"/>
    <w:qFormat/>
    <w:pPr>
      <w:contextualSpacing/>
      <w:spacing w:before="300" w:after="200"/>
    </w:pPr>
    <w:rPr>
      <w:sz w:val="48"/>
      <w:szCs w:val="48"/>
    </w:r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uiPriority w:val="22"/>
    <w:qFormat/>
    <w:rPr>
      <w:b/>
    </w:rPr>
  </w:style>
  <w:style w:type="character" w:styleId="766">
    <w:name w:val="endnote reference"/>
    <w:uiPriority w:val="99"/>
    <w:semiHidden/>
    <w:unhideWhenUsed/>
    <w:qFormat/>
    <w:rPr>
      <w:vertAlign w:val="superscript"/>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footnote reference"/>
    <w:uiPriority w:val="99"/>
    <w:unhideWhenUsed/>
    <w:qFormat/>
    <w:rPr>
      <w:vertAlign w:val="superscript"/>
    </w:rPr>
  </w:style>
  <w:style w:type="character" w:styleId="769" w:customStyle="1">
    <w:name w:val="默认段落字体11"/>
    <w:link w:val="730"/>
    <w:uiPriority w:val="1"/>
    <w:unhideWhenUsed/>
    <w:qFormat/>
  </w:style>
  <w:style w:type="table" w:styleId="770" w:customStyle="1">
    <w:name w:val="普通表格1"/>
    <w:uiPriority w:val="99"/>
    <w:unhideWhenUsed/>
    <w:qFormat/>
    <w:tblPr/>
  </w:style>
  <w:style w:type="paragraph" w:styleId="771" w:customStyle="1">
    <w:name w:val="目录 711"/>
    <w:basedOn w:val="730"/>
    <w:next w:val="730"/>
    <w:uiPriority w:val="39"/>
    <w:unhideWhenUsed/>
    <w:qFormat/>
    <w:pPr>
      <w:ind w:left="1701" w:right="0" w:firstLine="0"/>
      <w:spacing w:after="57"/>
    </w:pPr>
  </w:style>
  <w:style w:type="paragraph" w:styleId="772" w:customStyle="1">
    <w:name w:val="批注文字11"/>
    <w:basedOn w:val="730"/>
    <w:uiPriority w:val="99"/>
    <w:unhideWhenUsed/>
    <w:qFormat/>
    <w:pPr>
      <w:jc w:val="left"/>
    </w:pPr>
  </w:style>
  <w:style w:type="paragraph" w:styleId="773" w:customStyle="1">
    <w:name w:val="索引 41"/>
    <w:basedOn w:val="730"/>
    <w:next w:val="730"/>
    <w:uiPriority w:val="0"/>
    <w:qFormat/>
    <w:pPr>
      <w:ind w:left="600"/>
      <w:spacing w:line="360" w:lineRule="auto"/>
    </w:pPr>
    <w:rPr>
      <w:rFonts w:ascii="Century" w:hAnsi="Century" w:cs="Century"/>
      <w:sz w:val="24"/>
    </w:rPr>
  </w:style>
  <w:style w:type="paragraph" w:styleId="774" w:customStyle="1">
    <w:name w:val="目录 511"/>
    <w:basedOn w:val="730"/>
    <w:next w:val="730"/>
    <w:uiPriority w:val="39"/>
    <w:unhideWhenUsed/>
    <w:qFormat/>
    <w:pPr>
      <w:ind w:left="1134" w:right="0" w:firstLine="0"/>
      <w:spacing w:after="57"/>
    </w:pPr>
  </w:style>
  <w:style w:type="paragraph" w:styleId="775" w:customStyle="1">
    <w:name w:val="目录 311"/>
    <w:basedOn w:val="730"/>
    <w:next w:val="730"/>
    <w:uiPriority w:val="39"/>
    <w:unhideWhenUsed/>
    <w:qFormat/>
    <w:pPr>
      <w:ind w:left="567" w:right="0" w:firstLine="0"/>
      <w:spacing w:after="57"/>
    </w:pPr>
  </w:style>
  <w:style w:type="paragraph" w:styleId="776" w:customStyle="1">
    <w:name w:val="目录 811"/>
    <w:basedOn w:val="730"/>
    <w:next w:val="730"/>
    <w:uiPriority w:val="39"/>
    <w:unhideWhenUsed/>
    <w:qFormat/>
    <w:pPr>
      <w:ind w:left="1984" w:right="0" w:firstLine="0"/>
      <w:spacing w:after="57"/>
    </w:pPr>
  </w:style>
  <w:style w:type="paragraph" w:styleId="777" w:customStyle="1">
    <w:name w:val="尾注文本1"/>
    <w:basedOn w:val="730"/>
    <w:link w:val="778"/>
    <w:uiPriority w:val="99"/>
    <w:unhideWhenUsed/>
    <w:qFormat/>
    <w:pPr>
      <w:spacing w:after="0" w:line="240" w:lineRule="auto"/>
    </w:pPr>
    <w:rPr>
      <w:sz w:val="20"/>
    </w:rPr>
  </w:style>
  <w:style w:type="character" w:styleId="778" w:customStyle="1">
    <w:name w:val="Endnote Text Char"/>
    <w:link w:val="777"/>
    <w:uiPriority w:val="99"/>
    <w:qFormat/>
    <w:rPr>
      <w:sz w:val="20"/>
    </w:rPr>
  </w:style>
  <w:style w:type="paragraph" w:styleId="779" w:customStyle="1">
    <w:name w:val="目录 111"/>
    <w:basedOn w:val="730"/>
    <w:next w:val="730"/>
    <w:uiPriority w:val="39"/>
    <w:unhideWhenUsed/>
    <w:qFormat/>
    <w:pPr>
      <w:ind w:left="0" w:right="0" w:firstLine="0"/>
      <w:spacing w:after="57"/>
    </w:pPr>
  </w:style>
  <w:style w:type="paragraph" w:styleId="780" w:customStyle="1">
    <w:name w:val="目录 411"/>
    <w:basedOn w:val="730"/>
    <w:next w:val="730"/>
    <w:uiPriority w:val="39"/>
    <w:unhideWhenUsed/>
    <w:qFormat/>
    <w:pPr>
      <w:ind w:left="850" w:right="0" w:firstLine="0"/>
      <w:spacing w:after="57"/>
    </w:pPr>
  </w:style>
  <w:style w:type="paragraph" w:styleId="781" w:customStyle="1">
    <w:name w:val="副标题1"/>
    <w:basedOn w:val="730"/>
    <w:next w:val="730"/>
    <w:link w:val="782"/>
    <w:uiPriority w:val="11"/>
    <w:qFormat/>
    <w:pPr>
      <w:spacing w:before="200" w:after="200"/>
    </w:pPr>
    <w:rPr>
      <w:sz w:val="24"/>
      <w:szCs w:val="24"/>
    </w:rPr>
  </w:style>
  <w:style w:type="character" w:styleId="782" w:customStyle="1">
    <w:name w:val="Subtitle Char Char"/>
    <w:link w:val="781"/>
    <w:uiPriority w:val="11"/>
    <w:qFormat/>
    <w:rPr>
      <w:sz w:val="24"/>
      <w:szCs w:val="24"/>
    </w:rPr>
  </w:style>
  <w:style w:type="paragraph" w:styleId="783" w:customStyle="1">
    <w:name w:val="脚注文本1"/>
    <w:basedOn w:val="730"/>
    <w:link w:val="784"/>
    <w:uiPriority w:val="99"/>
    <w:unhideWhenUsed/>
    <w:qFormat/>
    <w:pPr>
      <w:spacing w:after="40" w:line="240" w:lineRule="auto"/>
    </w:pPr>
    <w:rPr>
      <w:sz w:val="18"/>
    </w:rPr>
  </w:style>
  <w:style w:type="character" w:styleId="784" w:customStyle="1">
    <w:name w:val="Footnote Text Char"/>
    <w:link w:val="783"/>
    <w:uiPriority w:val="99"/>
    <w:qFormat/>
    <w:rPr>
      <w:sz w:val="18"/>
    </w:rPr>
  </w:style>
  <w:style w:type="paragraph" w:styleId="785" w:customStyle="1">
    <w:name w:val="目录 611"/>
    <w:basedOn w:val="730"/>
    <w:next w:val="730"/>
    <w:uiPriority w:val="39"/>
    <w:unhideWhenUsed/>
    <w:qFormat/>
    <w:pPr>
      <w:ind w:left="1417" w:right="0" w:firstLine="0"/>
      <w:spacing w:after="57"/>
    </w:pPr>
  </w:style>
  <w:style w:type="paragraph" w:styleId="786" w:customStyle="1">
    <w:name w:val="图表目录11"/>
    <w:basedOn w:val="730"/>
    <w:next w:val="730"/>
    <w:uiPriority w:val="99"/>
    <w:unhideWhenUsed/>
    <w:qFormat/>
    <w:pPr>
      <w:spacing w:after="0" w:afterAutospacing="0"/>
    </w:pPr>
  </w:style>
  <w:style w:type="paragraph" w:styleId="787" w:customStyle="1">
    <w:name w:val="目录 211"/>
    <w:basedOn w:val="730"/>
    <w:next w:val="730"/>
    <w:uiPriority w:val="39"/>
    <w:unhideWhenUsed/>
    <w:qFormat/>
    <w:pPr>
      <w:ind w:left="283" w:right="0" w:firstLine="0"/>
      <w:spacing w:after="57"/>
    </w:pPr>
  </w:style>
  <w:style w:type="paragraph" w:styleId="788" w:customStyle="1">
    <w:name w:val="目录 911"/>
    <w:basedOn w:val="730"/>
    <w:next w:val="730"/>
    <w:uiPriority w:val="39"/>
    <w:unhideWhenUsed/>
    <w:qFormat/>
    <w:pPr>
      <w:ind w:left="2268" w:right="0" w:firstLine="0"/>
      <w:spacing w:after="57"/>
    </w:pPr>
  </w:style>
  <w:style w:type="paragraph" w:styleId="789" w:customStyle="1">
    <w:name w:val="普通(网站)11"/>
    <w:basedOn w:val="730"/>
    <w:uiPriority w:val="99"/>
    <w:qFormat/>
    <w:pPr>
      <w:jc w:val="left"/>
      <w:spacing w:before="100" w:beforeAutospacing="1" w:after="100" w:afterAutospacing="1"/>
      <w:widowControl/>
    </w:pPr>
    <w:rPr>
      <w:rFonts w:ascii="宋体" w:hAnsi="宋体" w:eastAsia="宋体" w:cs="宋体"/>
      <w:sz w:val="24"/>
      <w:szCs w:val="24"/>
    </w:rPr>
  </w:style>
  <w:style w:type="paragraph" w:styleId="790" w:customStyle="1">
    <w:name w:val="标题11"/>
    <w:basedOn w:val="730"/>
    <w:next w:val="730"/>
    <w:link w:val="791"/>
    <w:uiPriority w:val="10"/>
    <w:qFormat/>
    <w:pPr>
      <w:contextualSpacing/>
      <w:spacing w:before="300" w:after="200"/>
    </w:pPr>
    <w:rPr>
      <w:sz w:val="48"/>
      <w:szCs w:val="48"/>
    </w:rPr>
  </w:style>
  <w:style w:type="character" w:styleId="791" w:customStyle="1">
    <w:name w:val="Title Char Char"/>
    <w:link w:val="790"/>
    <w:uiPriority w:val="10"/>
    <w:qFormat/>
    <w:rPr>
      <w:sz w:val="48"/>
      <w:szCs w:val="48"/>
    </w:rPr>
  </w:style>
  <w:style w:type="table" w:styleId="792" w:customStyle="1">
    <w:name w:val="网格型1"/>
    <w:basedOn w:val="770"/>
    <w:uiPriority w:val="59"/>
    <w:qFormat/>
    <w:pPr>
      <w:spacing w:after="0" w:line="240" w:lineRule="auto"/>
    </w:pPr>
    <w:tblPr/>
  </w:style>
  <w:style w:type="character" w:styleId="793" w:customStyle="1">
    <w:name w:val="尾注引用1"/>
    <w:link w:val="730"/>
    <w:uiPriority w:val="99"/>
    <w:unhideWhenUsed/>
    <w:qFormat/>
    <w:rPr>
      <w:vertAlign w:val="superscript"/>
    </w:rPr>
  </w:style>
  <w:style w:type="character" w:styleId="794" w:customStyle="1">
    <w:name w:val="页码11"/>
    <w:link w:val="730"/>
    <w:uiPriority w:val="0"/>
    <w:qFormat/>
  </w:style>
  <w:style w:type="character" w:styleId="795" w:customStyle="1">
    <w:name w:val="强调11"/>
    <w:basedOn w:val="769"/>
    <w:link w:val="730"/>
    <w:uiPriority w:val="0"/>
    <w:qFormat/>
    <w:rPr>
      <w:i/>
    </w:rPr>
  </w:style>
  <w:style w:type="character" w:styleId="796" w:customStyle="1">
    <w:name w:val="超链接11"/>
    <w:link w:val="730"/>
    <w:uiPriority w:val="99"/>
    <w:unhideWhenUsed/>
    <w:qFormat/>
    <w:rPr>
      <w:color w:val="0000ff"/>
      <w:u w:val="single"/>
    </w:rPr>
  </w:style>
  <w:style w:type="character" w:styleId="797" w:customStyle="1">
    <w:name w:val="脚注引用1"/>
    <w:link w:val="730"/>
    <w:uiPriority w:val="99"/>
    <w:unhideWhenUsed/>
    <w:qFormat/>
    <w:rPr>
      <w:vertAlign w:val="superscript"/>
    </w:rPr>
  </w:style>
  <w:style w:type="character" w:styleId="798" w:customStyle="1">
    <w:name w:val="Heading 1 Char"/>
    <w:link w:val="731"/>
    <w:uiPriority w:val="9"/>
    <w:qFormat/>
    <w:rPr>
      <w:rFonts w:ascii="Arial" w:hAnsi="Arial" w:eastAsia="Arial" w:cs="Arial"/>
      <w:sz w:val="40"/>
      <w:szCs w:val="40"/>
    </w:rPr>
  </w:style>
  <w:style w:type="character" w:styleId="799" w:customStyle="1">
    <w:name w:val="Heading 2 Char"/>
    <w:link w:val="732"/>
    <w:uiPriority w:val="9"/>
    <w:qFormat/>
    <w:rPr>
      <w:rFonts w:ascii="Arial" w:hAnsi="Arial" w:eastAsia="Arial" w:cs="Arial"/>
      <w:sz w:val="34"/>
    </w:rPr>
  </w:style>
  <w:style w:type="character" w:styleId="800" w:customStyle="1">
    <w:name w:val="Heading 3 Char"/>
    <w:link w:val="733"/>
    <w:uiPriority w:val="9"/>
    <w:qFormat/>
    <w:rPr>
      <w:rFonts w:ascii="Arial" w:hAnsi="Arial" w:eastAsia="Arial" w:cs="Arial"/>
      <w:sz w:val="30"/>
      <w:szCs w:val="30"/>
    </w:rPr>
  </w:style>
  <w:style w:type="character" w:styleId="801" w:customStyle="1">
    <w:name w:val="Heading 4 Char"/>
    <w:link w:val="734"/>
    <w:uiPriority w:val="9"/>
    <w:qFormat/>
    <w:rPr>
      <w:rFonts w:ascii="Arial" w:hAnsi="Arial" w:eastAsia="Arial" w:cs="Arial"/>
      <w:b/>
      <w:bCs/>
      <w:sz w:val="26"/>
      <w:szCs w:val="26"/>
    </w:rPr>
  </w:style>
  <w:style w:type="character" w:styleId="802" w:customStyle="1">
    <w:name w:val="Heading 5 Char"/>
    <w:link w:val="735"/>
    <w:uiPriority w:val="9"/>
    <w:qFormat/>
    <w:rPr>
      <w:rFonts w:ascii="Arial" w:hAnsi="Arial" w:eastAsia="Arial" w:cs="Arial"/>
      <w:b/>
      <w:bCs/>
      <w:sz w:val="24"/>
      <w:szCs w:val="24"/>
    </w:rPr>
  </w:style>
  <w:style w:type="character" w:styleId="803" w:customStyle="1">
    <w:name w:val="Heading 6 Char"/>
    <w:link w:val="736"/>
    <w:uiPriority w:val="9"/>
    <w:qFormat/>
    <w:rPr>
      <w:rFonts w:ascii="Arial" w:hAnsi="Arial" w:eastAsia="Arial" w:cs="Arial"/>
      <w:b/>
      <w:bCs/>
      <w:sz w:val="22"/>
      <w:szCs w:val="22"/>
    </w:rPr>
  </w:style>
  <w:style w:type="character" w:styleId="804" w:customStyle="1">
    <w:name w:val="Heading 7 Char"/>
    <w:link w:val="737"/>
    <w:uiPriority w:val="9"/>
    <w:qFormat/>
    <w:rPr>
      <w:rFonts w:ascii="Arial" w:hAnsi="Arial" w:eastAsia="Arial" w:cs="Arial"/>
      <w:b/>
      <w:bCs/>
      <w:i/>
      <w:iCs/>
      <w:sz w:val="22"/>
      <w:szCs w:val="22"/>
    </w:rPr>
  </w:style>
  <w:style w:type="character" w:styleId="805" w:customStyle="1">
    <w:name w:val="Heading 8 Char"/>
    <w:link w:val="738"/>
    <w:uiPriority w:val="9"/>
    <w:qFormat/>
    <w:rPr>
      <w:rFonts w:ascii="Arial" w:hAnsi="Arial" w:eastAsia="Arial" w:cs="Arial"/>
      <w:i/>
      <w:iCs/>
      <w:sz w:val="22"/>
      <w:szCs w:val="22"/>
    </w:rPr>
  </w:style>
  <w:style w:type="character" w:styleId="806" w:customStyle="1">
    <w:name w:val="Heading 9 Char"/>
    <w:link w:val="739"/>
    <w:uiPriority w:val="9"/>
    <w:qFormat/>
    <w:rPr>
      <w:rFonts w:ascii="Arial" w:hAnsi="Arial" w:eastAsia="Arial" w:cs="Arial"/>
      <w:i/>
      <w:iCs/>
      <w:sz w:val="21"/>
      <w:szCs w:val="21"/>
    </w:rPr>
  </w:style>
  <w:style w:type="paragraph" w:styleId="807" w:customStyle="1">
    <w:name w:val="Caption1"/>
    <w:basedOn w:val="730"/>
    <w:next w:val="730"/>
    <w:uiPriority w:val="35"/>
    <w:unhideWhenUsed/>
    <w:qFormat/>
    <w:pPr>
      <w:spacing w:line="276" w:lineRule="auto"/>
    </w:pPr>
    <w:rPr>
      <w:b/>
      <w:bCs/>
      <w:color w:val="4f81bd"/>
      <w:sz w:val="18"/>
      <w:szCs w:val="18"/>
    </w:rPr>
  </w:style>
  <w:style w:type="paragraph" w:styleId="808" w:customStyle="1">
    <w:name w:val="Footer1"/>
    <w:basedOn w:val="730"/>
    <w:link w:val="810"/>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18"/>
      <w:szCs w:val="18"/>
    </w:rPr>
  </w:style>
  <w:style w:type="character" w:styleId="809" w:customStyle="1">
    <w:name w:val="Footer Char"/>
    <w:link w:val="808"/>
    <w:uiPriority w:val="99"/>
    <w:qFormat/>
  </w:style>
  <w:style w:type="character" w:styleId="810" w:customStyle="1">
    <w:name w:val="Caption Char"/>
    <w:link w:val="808"/>
    <w:uiPriority w:val="99"/>
    <w:qFormat/>
  </w:style>
  <w:style w:type="paragraph" w:styleId="811" w:customStyle="1">
    <w:name w:val="Header1"/>
    <w:basedOn w:val="730"/>
    <w:link w:val="812"/>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18"/>
      <w:szCs w:val="18"/>
    </w:rPr>
  </w:style>
  <w:style w:type="character" w:styleId="812" w:customStyle="1">
    <w:name w:val="Header Char"/>
    <w:link w:val="811"/>
    <w:uiPriority w:val="99"/>
    <w:qFormat/>
  </w:style>
  <w:style w:type="character" w:styleId="813" w:customStyle="1">
    <w:name w:val="Title Char"/>
    <w:basedOn w:val="769"/>
    <w:link w:val="730"/>
    <w:uiPriority w:val="10"/>
    <w:qFormat/>
    <w:rPr>
      <w:sz w:val="48"/>
      <w:szCs w:val="48"/>
    </w:rPr>
  </w:style>
  <w:style w:type="character" w:styleId="814" w:customStyle="1">
    <w:name w:val="Subtitle Char"/>
    <w:basedOn w:val="769"/>
    <w:link w:val="730"/>
    <w:uiPriority w:val="11"/>
    <w:qFormat/>
    <w:rPr>
      <w:sz w:val="24"/>
      <w:szCs w:val="24"/>
    </w:rPr>
  </w:style>
  <w:style w:type="character" w:styleId="815" w:customStyle="1">
    <w:name w:val="Quote Char"/>
    <w:link w:val="730"/>
    <w:uiPriority w:val="29"/>
    <w:qFormat/>
    <w:rPr>
      <w:i/>
    </w:rPr>
  </w:style>
  <w:style w:type="character" w:styleId="816" w:customStyle="1">
    <w:name w:val="Intense Quote Char"/>
    <w:link w:val="730"/>
    <w:uiPriority w:val="30"/>
    <w:qFormat/>
    <w:rPr>
      <w:i/>
    </w:rPr>
  </w:style>
  <w:style w:type="table" w:styleId="817" w:customStyle="1">
    <w:name w:val="Table Grid Light"/>
    <w:basedOn w:val="770"/>
    <w:uiPriority w:val="59"/>
    <w:qFormat/>
    <w:pPr>
      <w:spacing w:after="0" w:line="240" w:lineRule="auto"/>
    </w:pPr>
    <w:tblPr/>
  </w:style>
  <w:style w:type="table" w:styleId="818" w:customStyle="1">
    <w:name w:val="Plain Table 1"/>
    <w:basedOn w:val="770"/>
    <w:uiPriority w:val="59"/>
    <w:qFormat/>
    <w:pPr>
      <w:spacing w:after="0" w:line="240" w:lineRule="auto"/>
    </w:pPr>
    <w:tblPr/>
  </w:style>
  <w:style w:type="table" w:styleId="819" w:customStyle="1">
    <w:name w:val="Plain Table 2"/>
    <w:basedOn w:val="770"/>
    <w:uiPriority w:val="59"/>
    <w:qFormat/>
    <w:pPr>
      <w:spacing w:after="0" w:line="240" w:lineRule="auto"/>
    </w:pPr>
    <w:tblPr/>
  </w:style>
  <w:style w:type="table" w:styleId="820" w:customStyle="1">
    <w:name w:val="Plain Table 3"/>
    <w:basedOn w:val="770"/>
    <w:uiPriority w:val="99"/>
    <w:qFormat/>
    <w:pPr>
      <w:spacing w:after="0" w:line="240" w:lineRule="auto"/>
    </w:pPr>
    <w:tblPr/>
  </w:style>
  <w:style w:type="table" w:styleId="821" w:customStyle="1">
    <w:name w:val="Plain Table 4"/>
    <w:basedOn w:val="770"/>
    <w:uiPriority w:val="99"/>
    <w:qFormat/>
    <w:pPr>
      <w:spacing w:after="0" w:line="240" w:lineRule="auto"/>
    </w:pPr>
    <w:tblPr/>
  </w:style>
  <w:style w:type="table" w:styleId="822" w:customStyle="1">
    <w:name w:val="Plain Table 5"/>
    <w:basedOn w:val="770"/>
    <w:uiPriority w:val="99"/>
    <w:qFormat/>
    <w:pPr>
      <w:spacing w:after="0" w:line="240" w:lineRule="auto"/>
    </w:pPr>
    <w:tblPr/>
  </w:style>
  <w:style w:type="table" w:styleId="823" w:customStyle="1">
    <w:name w:val="Grid Table 1 Light"/>
    <w:basedOn w:val="770"/>
    <w:uiPriority w:val="99"/>
    <w:qFormat/>
    <w:pPr>
      <w:spacing w:after="0" w:line="240" w:lineRule="auto"/>
    </w:pPr>
    <w:tblPr/>
  </w:style>
  <w:style w:type="table" w:styleId="824" w:customStyle="1">
    <w:name w:val="Grid Table 1 Light - Accent 1"/>
    <w:basedOn w:val="770"/>
    <w:uiPriority w:val="99"/>
    <w:qFormat/>
    <w:pPr>
      <w:spacing w:after="0" w:line="240" w:lineRule="auto"/>
    </w:pPr>
    <w:tblPr/>
  </w:style>
  <w:style w:type="table" w:styleId="825" w:customStyle="1">
    <w:name w:val="Grid Table 1 Light - Accent 2"/>
    <w:basedOn w:val="770"/>
    <w:uiPriority w:val="99"/>
    <w:qFormat/>
    <w:pPr>
      <w:spacing w:after="0" w:line="240" w:lineRule="auto"/>
    </w:pPr>
    <w:tblPr/>
  </w:style>
  <w:style w:type="table" w:styleId="826" w:customStyle="1">
    <w:name w:val="Grid Table 1 Light - Accent 3"/>
    <w:basedOn w:val="770"/>
    <w:uiPriority w:val="99"/>
    <w:qFormat/>
    <w:pPr>
      <w:spacing w:after="0" w:line="240" w:lineRule="auto"/>
    </w:pPr>
    <w:tblPr/>
  </w:style>
  <w:style w:type="table" w:styleId="827" w:customStyle="1">
    <w:name w:val="Grid Table 1 Light - Accent 4"/>
    <w:basedOn w:val="770"/>
    <w:uiPriority w:val="99"/>
    <w:qFormat/>
    <w:pPr>
      <w:spacing w:after="0" w:line="240" w:lineRule="auto"/>
    </w:pPr>
    <w:tblPr/>
  </w:style>
  <w:style w:type="table" w:styleId="828" w:customStyle="1">
    <w:name w:val="Grid Table 1 Light - Accent 5"/>
    <w:basedOn w:val="770"/>
    <w:uiPriority w:val="99"/>
    <w:qFormat/>
    <w:pPr>
      <w:spacing w:after="0" w:line="240" w:lineRule="auto"/>
    </w:pPr>
    <w:tblPr/>
  </w:style>
  <w:style w:type="table" w:styleId="829" w:customStyle="1">
    <w:name w:val="Grid Table 1 Light - Accent 6"/>
    <w:basedOn w:val="770"/>
    <w:uiPriority w:val="99"/>
    <w:qFormat/>
    <w:pPr>
      <w:spacing w:after="0" w:line="240" w:lineRule="auto"/>
    </w:pPr>
    <w:tblPr/>
  </w:style>
  <w:style w:type="table" w:styleId="830" w:customStyle="1">
    <w:name w:val="Grid Table 2"/>
    <w:basedOn w:val="770"/>
    <w:uiPriority w:val="99"/>
    <w:qFormat/>
    <w:pPr>
      <w:spacing w:after="0" w:line="240" w:lineRule="auto"/>
    </w:pPr>
    <w:tblPr/>
  </w:style>
  <w:style w:type="table" w:styleId="831" w:customStyle="1">
    <w:name w:val="Grid Table 2 - Accent 1"/>
    <w:basedOn w:val="770"/>
    <w:uiPriority w:val="99"/>
    <w:qFormat/>
    <w:pPr>
      <w:spacing w:after="0" w:line="240" w:lineRule="auto"/>
    </w:pPr>
    <w:tblPr/>
  </w:style>
  <w:style w:type="table" w:styleId="832" w:customStyle="1">
    <w:name w:val="Grid Table 2 - Accent 2"/>
    <w:basedOn w:val="770"/>
    <w:uiPriority w:val="99"/>
    <w:qFormat/>
    <w:pPr>
      <w:spacing w:after="0" w:line="240" w:lineRule="auto"/>
    </w:pPr>
    <w:tblPr/>
  </w:style>
  <w:style w:type="table" w:styleId="833" w:customStyle="1">
    <w:name w:val="Grid Table 2 - Accent 3"/>
    <w:basedOn w:val="770"/>
    <w:uiPriority w:val="99"/>
    <w:qFormat/>
    <w:pPr>
      <w:spacing w:after="0" w:line="240" w:lineRule="auto"/>
    </w:pPr>
    <w:tblPr/>
  </w:style>
  <w:style w:type="table" w:styleId="834" w:customStyle="1">
    <w:name w:val="Grid Table 2 - Accent 4"/>
    <w:basedOn w:val="770"/>
    <w:uiPriority w:val="99"/>
    <w:qFormat/>
    <w:pPr>
      <w:spacing w:after="0" w:line="240" w:lineRule="auto"/>
    </w:pPr>
    <w:tblPr/>
  </w:style>
  <w:style w:type="table" w:styleId="835" w:customStyle="1">
    <w:name w:val="Grid Table 2 - Accent 5"/>
    <w:basedOn w:val="770"/>
    <w:uiPriority w:val="99"/>
    <w:qFormat/>
    <w:pPr>
      <w:spacing w:after="0" w:line="240" w:lineRule="auto"/>
    </w:pPr>
    <w:tblPr/>
  </w:style>
  <w:style w:type="table" w:styleId="836" w:customStyle="1">
    <w:name w:val="Grid Table 2 - Accent 6"/>
    <w:basedOn w:val="770"/>
    <w:uiPriority w:val="99"/>
    <w:qFormat/>
    <w:pPr>
      <w:spacing w:after="0" w:line="240" w:lineRule="auto"/>
    </w:pPr>
    <w:tblPr/>
  </w:style>
  <w:style w:type="table" w:styleId="837" w:customStyle="1">
    <w:name w:val="Grid Table 3"/>
    <w:basedOn w:val="770"/>
    <w:uiPriority w:val="99"/>
    <w:qFormat/>
    <w:pPr>
      <w:spacing w:after="0" w:line="240" w:lineRule="auto"/>
    </w:pPr>
    <w:tblPr/>
  </w:style>
  <w:style w:type="table" w:styleId="838" w:customStyle="1">
    <w:name w:val="Grid Table 3 - Accent 1"/>
    <w:basedOn w:val="770"/>
    <w:uiPriority w:val="99"/>
    <w:qFormat/>
    <w:pPr>
      <w:spacing w:after="0" w:line="240" w:lineRule="auto"/>
    </w:pPr>
    <w:tblPr/>
  </w:style>
  <w:style w:type="table" w:styleId="839" w:customStyle="1">
    <w:name w:val="Grid Table 3 - Accent 2"/>
    <w:basedOn w:val="770"/>
    <w:uiPriority w:val="99"/>
    <w:qFormat/>
    <w:pPr>
      <w:spacing w:after="0" w:line="240" w:lineRule="auto"/>
    </w:pPr>
    <w:tblPr/>
  </w:style>
  <w:style w:type="table" w:styleId="840" w:customStyle="1">
    <w:name w:val="Grid Table 3 - Accent 3"/>
    <w:basedOn w:val="770"/>
    <w:uiPriority w:val="99"/>
    <w:qFormat/>
    <w:pPr>
      <w:spacing w:after="0" w:line="240" w:lineRule="auto"/>
    </w:pPr>
    <w:tblPr/>
  </w:style>
  <w:style w:type="table" w:styleId="841" w:customStyle="1">
    <w:name w:val="Grid Table 3 - Accent 4"/>
    <w:basedOn w:val="770"/>
    <w:uiPriority w:val="99"/>
    <w:qFormat/>
    <w:pPr>
      <w:spacing w:after="0" w:line="240" w:lineRule="auto"/>
    </w:pPr>
    <w:tblPr/>
  </w:style>
  <w:style w:type="table" w:styleId="842" w:customStyle="1">
    <w:name w:val="Grid Table 3 - Accent 5"/>
    <w:basedOn w:val="770"/>
    <w:uiPriority w:val="99"/>
    <w:qFormat/>
    <w:pPr>
      <w:spacing w:after="0" w:line="240" w:lineRule="auto"/>
    </w:pPr>
    <w:tblPr/>
  </w:style>
  <w:style w:type="table" w:styleId="843" w:customStyle="1">
    <w:name w:val="Grid Table 3 - Accent 6"/>
    <w:basedOn w:val="770"/>
    <w:uiPriority w:val="99"/>
    <w:qFormat/>
    <w:pPr>
      <w:spacing w:after="0" w:line="240" w:lineRule="auto"/>
    </w:pPr>
    <w:tblPr/>
  </w:style>
  <w:style w:type="table" w:styleId="844" w:customStyle="1">
    <w:name w:val="Grid Table 4"/>
    <w:basedOn w:val="770"/>
    <w:uiPriority w:val="59"/>
    <w:qFormat/>
    <w:pPr>
      <w:spacing w:after="0" w:line="240" w:lineRule="auto"/>
    </w:pPr>
    <w:tblPr/>
  </w:style>
  <w:style w:type="table" w:styleId="845" w:customStyle="1">
    <w:name w:val="Grid Table 4 - Accent 1"/>
    <w:basedOn w:val="770"/>
    <w:uiPriority w:val="59"/>
    <w:qFormat/>
    <w:pPr>
      <w:spacing w:after="0" w:line="240" w:lineRule="auto"/>
    </w:pPr>
    <w:tblPr/>
  </w:style>
  <w:style w:type="table" w:styleId="846" w:customStyle="1">
    <w:name w:val="Grid Table 4 - Accent 2"/>
    <w:basedOn w:val="770"/>
    <w:uiPriority w:val="59"/>
    <w:qFormat/>
    <w:pPr>
      <w:spacing w:after="0" w:line="240" w:lineRule="auto"/>
    </w:pPr>
    <w:tblPr/>
  </w:style>
  <w:style w:type="table" w:styleId="847" w:customStyle="1">
    <w:name w:val="Grid Table 4 - Accent 3"/>
    <w:basedOn w:val="770"/>
    <w:uiPriority w:val="59"/>
    <w:qFormat/>
    <w:pPr>
      <w:spacing w:after="0" w:line="240" w:lineRule="auto"/>
    </w:pPr>
    <w:tblPr/>
  </w:style>
  <w:style w:type="table" w:styleId="848" w:customStyle="1">
    <w:name w:val="Grid Table 4 - Accent 4"/>
    <w:basedOn w:val="770"/>
    <w:uiPriority w:val="59"/>
    <w:qFormat/>
    <w:pPr>
      <w:spacing w:after="0" w:line="240" w:lineRule="auto"/>
    </w:pPr>
    <w:tblPr/>
  </w:style>
  <w:style w:type="table" w:styleId="849" w:customStyle="1">
    <w:name w:val="Grid Table 4 - Accent 5"/>
    <w:basedOn w:val="770"/>
    <w:uiPriority w:val="59"/>
    <w:qFormat/>
    <w:pPr>
      <w:spacing w:after="0" w:line="240" w:lineRule="auto"/>
    </w:pPr>
    <w:tblPr/>
  </w:style>
  <w:style w:type="table" w:styleId="850" w:customStyle="1">
    <w:name w:val="Grid Table 4 - Accent 6"/>
    <w:basedOn w:val="770"/>
    <w:uiPriority w:val="59"/>
    <w:qFormat/>
    <w:pPr>
      <w:spacing w:after="0" w:line="240" w:lineRule="auto"/>
    </w:pPr>
    <w:tblPr/>
  </w:style>
  <w:style w:type="table" w:styleId="851" w:customStyle="1">
    <w:name w:val="Grid Table 5 Dark"/>
    <w:basedOn w:val="770"/>
    <w:uiPriority w:val="99"/>
    <w:qFormat/>
    <w:pPr>
      <w:spacing w:after="0" w:line="240" w:lineRule="auto"/>
    </w:pPr>
    <w:tblPr/>
  </w:style>
  <w:style w:type="table" w:styleId="852" w:customStyle="1">
    <w:name w:val="Grid Table 5 Dark- Accent 1"/>
    <w:basedOn w:val="770"/>
    <w:uiPriority w:val="99"/>
    <w:qFormat/>
    <w:pPr>
      <w:spacing w:after="0" w:line="240" w:lineRule="auto"/>
    </w:pPr>
    <w:tblPr/>
  </w:style>
  <w:style w:type="table" w:styleId="853" w:customStyle="1">
    <w:name w:val="Grid Table 5 Dark - Accent 2"/>
    <w:basedOn w:val="770"/>
    <w:uiPriority w:val="99"/>
    <w:qFormat/>
    <w:pPr>
      <w:spacing w:after="0" w:line="240" w:lineRule="auto"/>
    </w:pPr>
    <w:tblPr/>
  </w:style>
  <w:style w:type="table" w:styleId="854" w:customStyle="1">
    <w:name w:val="Grid Table 5 Dark - Accent 3"/>
    <w:basedOn w:val="770"/>
    <w:uiPriority w:val="99"/>
    <w:qFormat/>
    <w:pPr>
      <w:spacing w:after="0" w:line="240" w:lineRule="auto"/>
    </w:pPr>
    <w:tblPr/>
  </w:style>
  <w:style w:type="table" w:styleId="855" w:customStyle="1">
    <w:name w:val="Grid Table 5 Dark- Accent 4"/>
    <w:basedOn w:val="770"/>
    <w:uiPriority w:val="99"/>
    <w:qFormat/>
    <w:pPr>
      <w:spacing w:after="0" w:line="240" w:lineRule="auto"/>
    </w:pPr>
    <w:tblPr/>
  </w:style>
  <w:style w:type="table" w:styleId="856" w:customStyle="1">
    <w:name w:val="Grid Table 5 Dark - Accent 5"/>
    <w:basedOn w:val="770"/>
    <w:uiPriority w:val="99"/>
    <w:qFormat/>
    <w:pPr>
      <w:spacing w:after="0" w:line="240" w:lineRule="auto"/>
    </w:pPr>
    <w:tblPr/>
  </w:style>
  <w:style w:type="table" w:styleId="857" w:customStyle="1">
    <w:name w:val="Grid Table 5 Dark - Accent 6"/>
    <w:basedOn w:val="770"/>
    <w:uiPriority w:val="99"/>
    <w:qFormat/>
    <w:pPr>
      <w:spacing w:after="0" w:line="240" w:lineRule="auto"/>
    </w:pPr>
    <w:tblPr/>
  </w:style>
  <w:style w:type="table" w:styleId="858" w:customStyle="1">
    <w:name w:val="Grid Table 6 Colorful"/>
    <w:basedOn w:val="770"/>
    <w:uiPriority w:val="99"/>
    <w:qFormat/>
    <w:pPr>
      <w:spacing w:after="0" w:line="240" w:lineRule="auto"/>
    </w:pPr>
    <w:tblPr/>
  </w:style>
  <w:style w:type="table" w:styleId="859" w:customStyle="1">
    <w:name w:val="Grid Table 6 Colorful - Accent 1"/>
    <w:basedOn w:val="770"/>
    <w:uiPriority w:val="99"/>
    <w:qFormat/>
    <w:pPr>
      <w:spacing w:after="0" w:line="240" w:lineRule="auto"/>
    </w:pPr>
    <w:tblPr/>
  </w:style>
  <w:style w:type="table" w:styleId="860" w:customStyle="1">
    <w:name w:val="Grid Table 6 Colorful - Accent 2"/>
    <w:basedOn w:val="770"/>
    <w:uiPriority w:val="99"/>
    <w:qFormat/>
    <w:pPr>
      <w:spacing w:after="0" w:line="240" w:lineRule="auto"/>
    </w:pPr>
    <w:tblPr/>
  </w:style>
  <w:style w:type="table" w:styleId="861" w:customStyle="1">
    <w:name w:val="Grid Table 6 Colorful - Accent 3"/>
    <w:basedOn w:val="770"/>
    <w:uiPriority w:val="99"/>
    <w:qFormat/>
    <w:pPr>
      <w:spacing w:after="0" w:line="240" w:lineRule="auto"/>
    </w:pPr>
    <w:tblPr/>
  </w:style>
  <w:style w:type="table" w:styleId="862" w:customStyle="1">
    <w:name w:val="Grid Table 6 Colorful - Accent 4"/>
    <w:basedOn w:val="770"/>
    <w:uiPriority w:val="99"/>
    <w:qFormat/>
    <w:pPr>
      <w:spacing w:after="0" w:line="240" w:lineRule="auto"/>
    </w:pPr>
    <w:tblPr/>
  </w:style>
  <w:style w:type="table" w:styleId="863" w:customStyle="1">
    <w:name w:val="Grid Table 6 Colorful - Accent 5"/>
    <w:basedOn w:val="770"/>
    <w:uiPriority w:val="99"/>
    <w:qFormat/>
    <w:pPr>
      <w:spacing w:after="0" w:line="240" w:lineRule="auto"/>
    </w:pPr>
    <w:tblPr/>
  </w:style>
  <w:style w:type="table" w:styleId="864" w:customStyle="1">
    <w:name w:val="Grid Table 6 Colorful - Accent 6"/>
    <w:basedOn w:val="770"/>
    <w:uiPriority w:val="99"/>
    <w:qFormat/>
    <w:pPr>
      <w:spacing w:after="0" w:line="240" w:lineRule="auto"/>
    </w:pPr>
    <w:tblPr/>
  </w:style>
  <w:style w:type="table" w:styleId="865" w:customStyle="1">
    <w:name w:val="Grid Table 7 Colorful"/>
    <w:basedOn w:val="770"/>
    <w:uiPriority w:val="99"/>
    <w:qFormat/>
    <w:pPr>
      <w:spacing w:after="0" w:line="240" w:lineRule="auto"/>
    </w:pPr>
    <w:tblPr/>
  </w:style>
  <w:style w:type="table" w:styleId="866" w:customStyle="1">
    <w:name w:val="Grid Table 7 Colorful - Accent 1"/>
    <w:basedOn w:val="770"/>
    <w:uiPriority w:val="99"/>
    <w:qFormat/>
    <w:pPr>
      <w:spacing w:after="0" w:line="240" w:lineRule="auto"/>
    </w:pPr>
    <w:tblPr/>
  </w:style>
  <w:style w:type="table" w:styleId="867" w:customStyle="1">
    <w:name w:val="Grid Table 7 Colorful - Accent 2"/>
    <w:basedOn w:val="770"/>
    <w:uiPriority w:val="99"/>
    <w:qFormat/>
    <w:pPr>
      <w:spacing w:after="0" w:line="240" w:lineRule="auto"/>
    </w:pPr>
    <w:tblPr/>
  </w:style>
  <w:style w:type="table" w:styleId="868" w:customStyle="1">
    <w:name w:val="Grid Table 7 Colorful - Accent 3"/>
    <w:basedOn w:val="770"/>
    <w:uiPriority w:val="99"/>
    <w:qFormat/>
    <w:pPr>
      <w:spacing w:after="0" w:line="240" w:lineRule="auto"/>
    </w:pPr>
    <w:tblPr/>
  </w:style>
  <w:style w:type="table" w:styleId="869" w:customStyle="1">
    <w:name w:val="Grid Table 7 Colorful - Accent 4"/>
    <w:basedOn w:val="770"/>
    <w:uiPriority w:val="99"/>
    <w:qFormat/>
    <w:pPr>
      <w:spacing w:after="0" w:line="240" w:lineRule="auto"/>
    </w:pPr>
    <w:tblPr/>
  </w:style>
  <w:style w:type="table" w:styleId="870" w:customStyle="1">
    <w:name w:val="Grid Table 7 Colorful - Accent 5"/>
    <w:basedOn w:val="770"/>
    <w:uiPriority w:val="99"/>
    <w:qFormat/>
    <w:pPr>
      <w:spacing w:after="0" w:line="240" w:lineRule="auto"/>
    </w:pPr>
    <w:tblPr/>
  </w:style>
  <w:style w:type="table" w:styleId="871" w:customStyle="1">
    <w:name w:val="Grid Table 7 Colorful - Accent 6"/>
    <w:basedOn w:val="770"/>
    <w:uiPriority w:val="99"/>
    <w:qFormat/>
    <w:pPr>
      <w:spacing w:after="0" w:line="240" w:lineRule="auto"/>
    </w:pPr>
    <w:tblPr/>
  </w:style>
  <w:style w:type="table" w:styleId="872" w:customStyle="1">
    <w:name w:val="List Table 1 Light"/>
    <w:basedOn w:val="770"/>
    <w:uiPriority w:val="99"/>
    <w:qFormat/>
    <w:pPr>
      <w:spacing w:after="0" w:line="240" w:lineRule="auto"/>
    </w:pPr>
    <w:tblPr/>
  </w:style>
  <w:style w:type="table" w:styleId="873" w:customStyle="1">
    <w:name w:val="List Table 1 Light - Accent 1"/>
    <w:basedOn w:val="770"/>
    <w:uiPriority w:val="99"/>
    <w:qFormat/>
    <w:pPr>
      <w:spacing w:after="0" w:line="240" w:lineRule="auto"/>
    </w:pPr>
    <w:tblPr/>
  </w:style>
  <w:style w:type="table" w:styleId="874" w:customStyle="1">
    <w:name w:val="List Table 1 Light - Accent 2"/>
    <w:basedOn w:val="770"/>
    <w:uiPriority w:val="99"/>
    <w:qFormat/>
    <w:pPr>
      <w:spacing w:after="0" w:line="240" w:lineRule="auto"/>
    </w:pPr>
    <w:tblPr/>
  </w:style>
  <w:style w:type="table" w:styleId="875" w:customStyle="1">
    <w:name w:val="List Table 1 Light - Accent 3"/>
    <w:basedOn w:val="770"/>
    <w:uiPriority w:val="99"/>
    <w:qFormat/>
    <w:pPr>
      <w:spacing w:after="0" w:line="240" w:lineRule="auto"/>
    </w:pPr>
    <w:tblPr/>
  </w:style>
  <w:style w:type="table" w:styleId="876" w:customStyle="1">
    <w:name w:val="List Table 1 Light - Accent 4"/>
    <w:basedOn w:val="770"/>
    <w:uiPriority w:val="99"/>
    <w:qFormat/>
    <w:pPr>
      <w:spacing w:after="0" w:line="240" w:lineRule="auto"/>
    </w:pPr>
    <w:tblPr/>
  </w:style>
  <w:style w:type="table" w:styleId="877" w:customStyle="1">
    <w:name w:val="List Table 1 Light - Accent 5"/>
    <w:basedOn w:val="770"/>
    <w:uiPriority w:val="99"/>
    <w:qFormat/>
    <w:pPr>
      <w:spacing w:after="0" w:line="240" w:lineRule="auto"/>
    </w:pPr>
    <w:tblPr/>
  </w:style>
  <w:style w:type="table" w:styleId="878" w:customStyle="1">
    <w:name w:val="List Table 1 Light - Accent 6"/>
    <w:basedOn w:val="770"/>
    <w:uiPriority w:val="99"/>
    <w:qFormat/>
    <w:pPr>
      <w:spacing w:after="0" w:line="240" w:lineRule="auto"/>
    </w:pPr>
    <w:tblPr/>
  </w:style>
  <w:style w:type="table" w:styleId="879" w:customStyle="1">
    <w:name w:val="List Table 2"/>
    <w:basedOn w:val="770"/>
    <w:uiPriority w:val="99"/>
    <w:qFormat/>
    <w:pPr>
      <w:spacing w:after="0" w:line="240" w:lineRule="auto"/>
    </w:pPr>
    <w:tblPr/>
  </w:style>
  <w:style w:type="table" w:styleId="880" w:customStyle="1">
    <w:name w:val="List Table 2 - Accent 1"/>
    <w:basedOn w:val="770"/>
    <w:uiPriority w:val="99"/>
    <w:qFormat/>
    <w:pPr>
      <w:spacing w:after="0" w:line="240" w:lineRule="auto"/>
    </w:pPr>
    <w:tblPr/>
  </w:style>
  <w:style w:type="table" w:styleId="881" w:customStyle="1">
    <w:name w:val="List Table 2 - Accent 2"/>
    <w:basedOn w:val="770"/>
    <w:uiPriority w:val="99"/>
    <w:qFormat/>
    <w:pPr>
      <w:spacing w:after="0" w:line="240" w:lineRule="auto"/>
    </w:pPr>
    <w:tblPr/>
  </w:style>
  <w:style w:type="table" w:styleId="882" w:customStyle="1">
    <w:name w:val="List Table 2 - Accent 3"/>
    <w:basedOn w:val="770"/>
    <w:uiPriority w:val="99"/>
    <w:qFormat/>
    <w:pPr>
      <w:spacing w:after="0" w:line="240" w:lineRule="auto"/>
    </w:pPr>
    <w:tblPr/>
  </w:style>
  <w:style w:type="table" w:styleId="883" w:customStyle="1">
    <w:name w:val="List Table 2 - Accent 4"/>
    <w:basedOn w:val="770"/>
    <w:uiPriority w:val="99"/>
    <w:qFormat/>
    <w:pPr>
      <w:spacing w:after="0" w:line="240" w:lineRule="auto"/>
    </w:pPr>
    <w:tblPr/>
  </w:style>
  <w:style w:type="table" w:styleId="884" w:customStyle="1">
    <w:name w:val="List Table 2 - Accent 5"/>
    <w:basedOn w:val="770"/>
    <w:uiPriority w:val="99"/>
    <w:qFormat/>
    <w:pPr>
      <w:spacing w:after="0" w:line="240" w:lineRule="auto"/>
    </w:pPr>
    <w:tblPr/>
  </w:style>
  <w:style w:type="table" w:styleId="885" w:customStyle="1">
    <w:name w:val="List Table 2 - Accent 6"/>
    <w:basedOn w:val="770"/>
    <w:uiPriority w:val="99"/>
    <w:qFormat/>
    <w:pPr>
      <w:spacing w:after="0" w:line="240" w:lineRule="auto"/>
    </w:pPr>
    <w:tblPr/>
  </w:style>
  <w:style w:type="table" w:styleId="886" w:customStyle="1">
    <w:name w:val="List Table 3"/>
    <w:basedOn w:val="770"/>
    <w:uiPriority w:val="99"/>
    <w:qFormat/>
    <w:pPr>
      <w:spacing w:after="0" w:line="240" w:lineRule="auto"/>
    </w:pPr>
    <w:tblPr/>
  </w:style>
  <w:style w:type="table" w:styleId="887" w:customStyle="1">
    <w:name w:val="List Table 3 - Accent 1"/>
    <w:basedOn w:val="770"/>
    <w:uiPriority w:val="99"/>
    <w:qFormat/>
    <w:pPr>
      <w:spacing w:after="0" w:line="240" w:lineRule="auto"/>
    </w:pPr>
    <w:tblPr/>
  </w:style>
  <w:style w:type="table" w:styleId="888" w:customStyle="1">
    <w:name w:val="List Table 3 - Accent 2"/>
    <w:basedOn w:val="770"/>
    <w:uiPriority w:val="99"/>
    <w:qFormat/>
    <w:pPr>
      <w:spacing w:after="0" w:line="240" w:lineRule="auto"/>
    </w:pPr>
    <w:tblPr/>
  </w:style>
  <w:style w:type="table" w:styleId="889" w:customStyle="1">
    <w:name w:val="List Table 3 - Accent 3"/>
    <w:basedOn w:val="770"/>
    <w:uiPriority w:val="99"/>
    <w:qFormat/>
    <w:pPr>
      <w:spacing w:after="0" w:line="240" w:lineRule="auto"/>
    </w:pPr>
    <w:tblPr/>
  </w:style>
  <w:style w:type="table" w:styleId="890" w:customStyle="1">
    <w:name w:val="List Table 3 - Accent 4"/>
    <w:basedOn w:val="770"/>
    <w:uiPriority w:val="99"/>
    <w:qFormat/>
    <w:pPr>
      <w:spacing w:after="0" w:line="240" w:lineRule="auto"/>
    </w:pPr>
    <w:tblPr/>
  </w:style>
  <w:style w:type="table" w:styleId="891" w:customStyle="1">
    <w:name w:val="List Table 3 - Accent 5"/>
    <w:basedOn w:val="770"/>
    <w:uiPriority w:val="99"/>
    <w:qFormat/>
    <w:pPr>
      <w:spacing w:after="0" w:line="240" w:lineRule="auto"/>
    </w:pPr>
    <w:tblPr/>
  </w:style>
  <w:style w:type="table" w:styleId="892" w:customStyle="1">
    <w:name w:val="List Table 3 - Accent 6"/>
    <w:basedOn w:val="770"/>
    <w:uiPriority w:val="99"/>
    <w:qFormat/>
    <w:pPr>
      <w:spacing w:after="0" w:line="240" w:lineRule="auto"/>
    </w:pPr>
    <w:tblPr/>
  </w:style>
  <w:style w:type="table" w:styleId="893" w:customStyle="1">
    <w:name w:val="List Table 4"/>
    <w:basedOn w:val="770"/>
    <w:uiPriority w:val="99"/>
    <w:qFormat/>
    <w:pPr>
      <w:spacing w:after="0" w:line="240" w:lineRule="auto"/>
    </w:pPr>
    <w:tblPr/>
  </w:style>
  <w:style w:type="table" w:styleId="894" w:customStyle="1">
    <w:name w:val="List Table 4 - Accent 1"/>
    <w:basedOn w:val="770"/>
    <w:uiPriority w:val="99"/>
    <w:qFormat/>
    <w:pPr>
      <w:spacing w:after="0" w:line="240" w:lineRule="auto"/>
    </w:pPr>
    <w:tblPr/>
  </w:style>
  <w:style w:type="table" w:styleId="895" w:customStyle="1">
    <w:name w:val="List Table 4 - Accent 2"/>
    <w:basedOn w:val="770"/>
    <w:uiPriority w:val="99"/>
    <w:qFormat/>
    <w:pPr>
      <w:spacing w:after="0" w:line="240" w:lineRule="auto"/>
    </w:pPr>
    <w:tblPr/>
  </w:style>
  <w:style w:type="table" w:styleId="896" w:customStyle="1">
    <w:name w:val="List Table 4 - Accent 3"/>
    <w:basedOn w:val="770"/>
    <w:uiPriority w:val="99"/>
    <w:qFormat/>
    <w:pPr>
      <w:spacing w:after="0" w:line="240" w:lineRule="auto"/>
    </w:pPr>
    <w:tblPr/>
  </w:style>
  <w:style w:type="table" w:styleId="897" w:customStyle="1">
    <w:name w:val="List Table 4 - Accent 4"/>
    <w:basedOn w:val="770"/>
    <w:uiPriority w:val="99"/>
    <w:qFormat/>
    <w:pPr>
      <w:spacing w:after="0" w:line="240" w:lineRule="auto"/>
    </w:pPr>
    <w:tblPr/>
  </w:style>
  <w:style w:type="table" w:styleId="898" w:customStyle="1">
    <w:name w:val="List Table 4 - Accent 5"/>
    <w:basedOn w:val="770"/>
    <w:uiPriority w:val="99"/>
    <w:qFormat/>
    <w:pPr>
      <w:spacing w:after="0" w:line="240" w:lineRule="auto"/>
    </w:pPr>
    <w:tblPr/>
  </w:style>
  <w:style w:type="table" w:styleId="899" w:customStyle="1">
    <w:name w:val="List Table 4 - Accent 6"/>
    <w:basedOn w:val="770"/>
    <w:uiPriority w:val="99"/>
    <w:qFormat/>
    <w:pPr>
      <w:spacing w:after="0" w:line="240" w:lineRule="auto"/>
    </w:pPr>
    <w:tblPr/>
  </w:style>
  <w:style w:type="table" w:styleId="900" w:customStyle="1">
    <w:name w:val="List Table 5 Dark"/>
    <w:basedOn w:val="770"/>
    <w:uiPriority w:val="99"/>
    <w:qFormat/>
    <w:pPr>
      <w:spacing w:after="0" w:line="240" w:lineRule="auto"/>
    </w:pPr>
    <w:tblPr/>
  </w:style>
  <w:style w:type="table" w:styleId="901" w:customStyle="1">
    <w:name w:val="List Table 5 Dark - Accent 1"/>
    <w:basedOn w:val="770"/>
    <w:uiPriority w:val="99"/>
    <w:qFormat/>
    <w:pPr>
      <w:spacing w:after="0" w:line="240" w:lineRule="auto"/>
    </w:pPr>
    <w:tblPr/>
  </w:style>
  <w:style w:type="table" w:styleId="902" w:customStyle="1">
    <w:name w:val="List Table 5 Dark - Accent 2"/>
    <w:basedOn w:val="770"/>
    <w:uiPriority w:val="99"/>
    <w:qFormat/>
    <w:pPr>
      <w:spacing w:after="0" w:line="240" w:lineRule="auto"/>
    </w:pPr>
    <w:tblPr/>
  </w:style>
  <w:style w:type="table" w:styleId="903" w:customStyle="1">
    <w:name w:val="List Table 5 Dark - Accent 3"/>
    <w:basedOn w:val="770"/>
    <w:uiPriority w:val="99"/>
    <w:qFormat/>
    <w:pPr>
      <w:spacing w:after="0" w:line="240" w:lineRule="auto"/>
    </w:pPr>
    <w:tblPr/>
  </w:style>
  <w:style w:type="table" w:styleId="904" w:customStyle="1">
    <w:name w:val="List Table 5 Dark - Accent 4"/>
    <w:basedOn w:val="770"/>
    <w:uiPriority w:val="99"/>
    <w:qFormat/>
    <w:pPr>
      <w:spacing w:after="0" w:line="240" w:lineRule="auto"/>
    </w:pPr>
    <w:tblPr/>
  </w:style>
  <w:style w:type="table" w:styleId="905" w:customStyle="1">
    <w:name w:val="List Table 5 Dark - Accent 5"/>
    <w:basedOn w:val="770"/>
    <w:uiPriority w:val="99"/>
    <w:qFormat/>
    <w:pPr>
      <w:spacing w:after="0" w:line="240" w:lineRule="auto"/>
    </w:pPr>
    <w:tblPr/>
  </w:style>
  <w:style w:type="table" w:styleId="906" w:customStyle="1">
    <w:name w:val="List Table 5 Dark - Accent 6"/>
    <w:basedOn w:val="770"/>
    <w:uiPriority w:val="99"/>
    <w:qFormat/>
    <w:pPr>
      <w:spacing w:after="0" w:line="240" w:lineRule="auto"/>
    </w:pPr>
    <w:tblPr/>
  </w:style>
  <w:style w:type="table" w:styleId="907" w:customStyle="1">
    <w:name w:val="List Table 6 Colorful"/>
    <w:basedOn w:val="770"/>
    <w:uiPriority w:val="99"/>
    <w:qFormat/>
    <w:pPr>
      <w:spacing w:after="0" w:line="240" w:lineRule="auto"/>
    </w:pPr>
    <w:tblPr/>
  </w:style>
  <w:style w:type="table" w:styleId="908" w:customStyle="1">
    <w:name w:val="List Table 6 Colorful - Accent 1"/>
    <w:basedOn w:val="770"/>
    <w:uiPriority w:val="99"/>
    <w:qFormat/>
    <w:pPr>
      <w:spacing w:after="0" w:line="240" w:lineRule="auto"/>
    </w:pPr>
    <w:tblPr/>
  </w:style>
  <w:style w:type="table" w:styleId="909" w:customStyle="1">
    <w:name w:val="List Table 6 Colorful - Accent 2"/>
    <w:basedOn w:val="770"/>
    <w:uiPriority w:val="99"/>
    <w:qFormat/>
    <w:pPr>
      <w:spacing w:after="0" w:line="240" w:lineRule="auto"/>
    </w:pPr>
    <w:tblPr/>
  </w:style>
  <w:style w:type="table" w:styleId="910" w:customStyle="1">
    <w:name w:val="List Table 6 Colorful - Accent 3"/>
    <w:basedOn w:val="770"/>
    <w:uiPriority w:val="99"/>
    <w:qFormat/>
    <w:pPr>
      <w:spacing w:after="0" w:line="240" w:lineRule="auto"/>
    </w:pPr>
    <w:tblPr/>
  </w:style>
  <w:style w:type="table" w:styleId="911" w:customStyle="1">
    <w:name w:val="List Table 6 Colorful - Accent 4"/>
    <w:basedOn w:val="770"/>
    <w:uiPriority w:val="99"/>
    <w:qFormat/>
    <w:pPr>
      <w:spacing w:after="0" w:line="240" w:lineRule="auto"/>
    </w:pPr>
    <w:tblPr/>
  </w:style>
  <w:style w:type="table" w:styleId="912" w:customStyle="1">
    <w:name w:val="List Table 6 Colorful - Accent 5"/>
    <w:basedOn w:val="770"/>
    <w:uiPriority w:val="99"/>
    <w:qFormat/>
    <w:pPr>
      <w:spacing w:after="0" w:line="240" w:lineRule="auto"/>
    </w:pPr>
    <w:tblPr/>
  </w:style>
  <w:style w:type="table" w:styleId="913" w:customStyle="1">
    <w:name w:val="List Table 6 Colorful - Accent 6"/>
    <w:basedOn w:val="770"/>
    <w:uiPriority w:val="99"/>
    <w:qFormat/>
    <w:pPr>
      <w:spacing w:after="0" w:line="240" w:lineRule="auto"/>
    </w:pPr>
    <w:tblPr/>
  </w:style>
  <w:style w:type="table" w:styleId="914" w:customStyle="1">
    <w:name w:val="List Table 7 Colorful"/>
    <w:basedOn w:val="770"/>
    <w:uiPriority w:val="99"/>
    <w:qFormat/>
    <w:pPr>
      <w:spacing w:after="0" w:line="240" w:lineRule="auto"/>
    </w:pPr>
    <w:tblPr/>
  </w:style>
  <w:style w:type="table" w:styleId="915" w:customStyle="1">
    <w:name w:val="List Table 7 Colorful - Accent 1"/>
    <w:basedOn w:val="770"/>
    <w:uiPriority w:val="99"/>
    <w:qFormat/>
    <w:pPr>
      <w:spacing w:after="0" w:line="240" w:lineRule="auto"/>
    </w:pPr>
    <w:tblPr/>
  </w:style>
  <w:style w:type="table" w:styleId="916" w:customStyle="1">
    <w:name w:val="List Table 7 Colorful - Accent 2"/>
    <w:basedOn w:val="770"/>
    <w:uiPriority w:val="99"/>
    <w:qFormat/>
    <w:pPr>
      <w:spacing w:after="0" w:line="240" w:lineRule="auto"/>
    </w:pPr>
    <w:tblPr/>
  </w:style>
  <w:style w:type="table" w:styleId="917" w:customStyle="1">
    <w:name w:val="List Table 7 Colorful - Accent 3"/>
    <w:basedOn w:val="770"/>
    <w:uiPriority w:val="99"/>
    <w:qFormat/>
    <w:pPr>
      <w:spacing w:after="0" w:line="240" w:lineRule="auto"/>
    </w:pPr>
    <w:tblPr/>
  </w:style>
  <w:style w:type="table" w:styleId="918" w:customStyle="1">
    <w:name w:val="List Table 7 Colorful - Accent 4"/>
    <w:basedOn w:val="770"/>
    <w:uiPriority w:val="99"/>
    <w:qFormat/>
    <w:pPr>
      <w:spacing w:after="0" w:line="240" w:lineRule="auto"/>
    </w:pPr>
    <w:tblPr/>
  </w:style>
  <w:style w:type="table" w:styleId="919" w:customStyle="1">
    <w:name w:val="List Table 7 Colorful - Accent 5"/>
    <w:basedOn w:val="770"/>
    <w:uiPriority w:val="99"/>
    <w:qFormat/>
    <w:pPr>
      <w:spacing w:after="0" w:line="240" w:lineRule="auto"/>
    </w:pPr>
    <w:tblPr/>
  </w:style>
  <w:style w:type="table" w:styleId="920" w:customStyle="1">
    <w:name w:val="List Table 7 Colorful - Accent 6"/>
    <w:basedOn w:val="770"/>
    <w:uiPriority w:val="99"/>
    <w:qFormat/>
    <w:pPr>
      <w:spacing w:after="0" w:line="240" w:lineRule="auto"/>
    </w:pPr>
    <w:tblPr/>
  </w:style>
  <w:style w:type="table" w:styleId="921" w:customStyle="1">
    <w:name w:val="Lined - Accent"/>
    <w:basedOn w:val="770"/>
    <w:uiPriority w:val="99"/>
    <w:qFormat/>
    <w:pPr>
      <w:spacing w:after="0" w:line="240" w:lineRule="auto"/>
    </w:pPr>
    <w:rPr>
      <w:color w:val="404040"/>
    </w:rPr>
    <w:tblPr/>
  </w:style>
  <w:style w:type="table" w:styleId="922" w:customStyle="1">
    <w:name w:val="Lined - Accent 1"/>
    <w:basedOn w:val="770"/>
    <w:uiPriority w:val="99"/>
    <w:qFormat/>
    <w:pPr>
      <w:spacing w:after="0" w:line="240" w:lineRule="auto"/>
    </w:pPr>
    <w:rPr>
      <w:color w:val="404040"/>
    </w:rPr>
    <w:tblPr/>
  </w:style>
  <w:style w:type="table" w:styleId="923" w:customStyle="1">
    <w:name w:val="Lined - Accent 2"/>
    <w:basedOn w:val="770"/>
    <w:uiPriority w:val="99"/>
    <w:qFormat/>
    <w:pPr>
      <w:spacing w:after="0" w:line="240" w:lineRule="auto"/>
    </w:pPr>
    <w:rPr>
      <w:color w:val="404040"/>
    </w:rPr>
    <w:tblPr/>
  </w:style>
  <w:style w:type="table" w:styleId="924" w:customStyle="1">
    <w:name w:val="Lined - Accent 3"/>
    <w:basedOn w:val="770"/>
    <w:uiPriority w:val="99"/>
    <w:qFormat/>
    <w:pPr>
      <w:spacing w:after="0" w:line="240" w:lineRule="auto"/>
    </w:pPr>
    <w:rPr>
      <w:color w:val="404040"/>
    </w:rPr>
    <w:tblPr/>
  </w:style>
  <w:style w:type="table" w:styleId="925" w:customStyle="1">
    <w:name w:val="Lined - Accent 4"/>
    <w:basedOn w:val="770"/>
    <w:uiPriority w:val="99"/>
    <w:qFormat/>
    <w:pPr>
      <w:spacing w:after="0" w:line="240" w:lineRule="auto"/>
    </w:pPr>
    <w:rPr>
      <w:color w:val="404040"/>
    </w:rPr>
    <w:tblPr/>
  </w:style>
  <w:style w:type="table" w:styleId="926" w:customStyle="1">
    <w:name w:val="Lined - Accent 5"/>
    <w:basedOn w:val="770"/>
    <w:uiPriority w:val="99"/>
    <w:qFormat/>
    <w:pPr>
      <w:spacing w:after="0" w:line="240" w:lineRule="auto"/>
    </w:pPr>
    <w:rPr>
      <w:color w:val="404040"/>
    </w:rPr>
    <w:tblPr/>
  </w:style>
  <w:style w:type="table" w:styleId="927" w:customStyle="1">
    <w:name w:val="Lined - Accent 6"/>
    <w:basedOn w:val="770"/>
    <w:uiPriority w:val="99"/>
    <w:qFormat/>
    <w:pPr>
      <w:spacing w:after="0" w:line="240" w:lineRule="auto"/>
    </w:pPr>
    <w:rPr>
      <w:color w:val="404040"/>
    </w:rPr>
    <w:tblPr/>
  </w:style>
  <w:style w:type="table" w:styleId="928" w:customStyle="1">
    <w:name w:val="Bordered &amp; Lined - Accent"/>
    <w:basedOn w:val="770"/>
    <w:uiPriority w:val="99"/>
    <w:qFormat/>
    <w:pPr>
      <w:spacing w:after="0" w:line="240" w:lineRule="auto"/>
    </w:pPr>
    <w:rPr>
      <w:color w:val="404040"/>
    </w:rPr>
    <w:tblPr/>
  </w:style>
  <w:style w:type="table" w:styleId="929" w:customStyle="1">
    <w:name w:val="Bordered &amp; Lined - Accent 1"/>
    <w:basedOn w:val="770"/>
    <w:uiPriority w:val="99"/>
    <w:qFormat/>
    <w:pPr>
      <w:spacing w:after="0" w:line="240" w:lineRule="auto"/>
    </w:pPr>
    <w:rPr>
      <w:color w:val="404040"/>
    </w:rPr>
    <w:tblPr/>
  </w:style>
  <w:style w:type="table" w:styleId="930" w:customStyle="1">
    <w:name w:val="Bordered &amp; Lined - Accent 2"/>
    <w:basedOn w:val="770"/>
    <w:uiPriority w:val="99"/>
    <w:qFormat/>
    <w:pPr>
      <w:spacing w:after="0" w:line="240" w:lineRule="auto"/>
    </w:pPr>
    <w:rPr>
      <w:color w:val="404040"/>
    </w:rPr>
    <w:tblPr/>
  </w:style>
  <w:style w:type="table" w:styleId="931" w:customStyle="1">
    <w:name w:val="Bordered &amp; Lined - Accent 3"/>
    <w:basedOn w:val="770"/>
    <w:uiPriority w:val="99"/>
    <w:qFormat/>
    <w:pPr>
      <w:spacing w:after="0" w:line="240" w:lineRule="auto"/>
    </w:pPr>
    <w:rPr>
      <w:color w:val="404040"/>
    </w:rPr>
    <w:tblPr/>
  </w:style>
  <w:style w:type="table" w:styleId="932" w:customStyle="1">
    <w:name w:val="Bordered &amp; Lined - Accent 4"/>
    <w:basedOn w:val="770"/>
    <w:uiPriority w:val="99"/>
    <w:qFormat/>
    <w:pPr>
      <w:spacing w:after="0" w:line="240" w:lineRule="auto"/>
    </w:pPr>
    <w:rPr>
      <w:color w:val="404040"/>
    </w:rPr>
    <w:tblPr/>
  </w:style>
  <w:style w:type="table" w:styleId="933" w:customStyle="1">
    <w:name w:val="Bordered &amp; Lined - Accent 5"/>
    <w:basedOn w:val="770"/>
    <w:uiPriority w:val="99"/>
    <w:qFormat/>
    <w:pPr>
      <w:spacing w:after="0" w:line="240" w:lineRule="auto"/>
    </w:pPr>
    <w:rPr>
      <w:color w:val="404040"/>
    </w:rPr>
    <w:tblPr/>
  </w:style>
  <w:style w:type="table" w:styleId="934" w:customStyle="1">
    <w:name w:val="Bordered &amp; Lined - Accent 6"/>
    <w:basedOn w:val="770"/>
    <w:uiPriority w:val="99"/>
    <w:qFormat/>
    <w:pPr>
      <w:spacing w:after="0" w:line="240" w:lineRule="auto"/>
    </w:pPr>
    <w:rPr>
      <w:color w:val="404040"/>
    </w:rPr>
    <w:tblPr/>
  </w:style>
  <w:style w:type="table" w:styleId="935" w:customStyle="1">
    <w:name w:val="Bordered"/>
    <w:basedOn w:val="770"/>
    <w:uiPriority w:val="99"/>
    <w:qFormat/>
    <w:pPr>
      <w:spacing w:after="0" w:line="240" w:lineRule="auto"/>
    </w:pPr>
    <w:tblPr/>
  </w:style>
  <w:style w:type="table" w:styleId="936" w:customStyle="1">
    <w:name w:val="Bordered - Accent 1"/>
    <w:basedOn w:val="770"/>
    <w:uiPriority w:val="99"/>
    <w:qFormat/>
    <w:pPr>
      <w:spacing w:after="0" w:line="240" w:lineRule="auto"/>
    </w:pPr>
    <w:tblPr/>
  </w:style>
  <w:style w:type="table" w:styleId="937" w:customStyle="1">
    <w:name w:val="Bordered - Accent 2"/>
    <w:basedOn w:val="770"/>
    <w:uiPriority w:val="99"/>
    <w:qFormat/>
    <w:pPr>
      <w:spacing w:after="0" w:line="240" w:lineRule="auto"/>
    </w:pPr>
    <w:tblPr/>
  </w:style>
  <w:style w:type="table" w:styleId="938" w:customStyle="1">
    <w:name w:val="Bordered - Accent 3"/>
    <w:basedOn w:val="770"/>
    <w:uiPriority w:val="99"/>
    <w:qFormat/>
    <w:pPr>
      <w:spacing w:after="0" w:line="240" w:lineRule="auto"/>
    </w:pPr>
    <w:tblPr/>
  </w:style>
  <w:style w:type="table" w:styleId="939" w:customStyle="1">
    <w:name w:val="Bordered - Accent 4"/>
    <w:basedOn w:val="770"/>
    <w:uiPriority w:val="99"/>
    <w:qFormat/>
    <w:pPr>
      <w:spacing w:after="0" w:line="240" w:lineRule="auto"/>
    </w:pPr>
    <w:tblPr/>
  </w:style>
  <w:style w:type="table" w:styleId="940" w:customStyle="1">
    <w:name w:val="Bordered - Accent 5"/>
    <w:basedOn w:val="770"/>
    <w:uiPriority w:val="99"/>
    <w:qFormat/>
    <w:pPr>
      <w:spacing w:after="0" w:line="240" w:lineRule="auto"/>
    </w:pPr>
    <w:tblPr/>
  </w:style>
  <w:style w:type="table" w:styleId="941" w:customStyle="1">
    <w:name w:val="Bordered - Accent 6"/>
    <w:basedOn w:val="770"/>
    <w:uiPriority w:val="99"/>
    <w:qFormat/>
    <w:pPr>
      <w:spacing w:after="0" w:line="240" w:lineRule="auto"/>
    </w:pPr>
    <w:tblPr/>
  </w:style>
  <w:style w:type="character" w:styleId="942" w:customStyle="1">
    <w:name w:val="标题 1 Char"/>
    <w:link w:val="943"/>
    <w:uiPriority w:val="0"/>
    <w:qFormat/>
    <w:rPr>
      <w:rFonts w:ascii="楷体_GB2312" w:hAnsi="Times New Roman" w:eastAsia="楷体_GB2312" w:cs="Times New Roman"/>
      <w:sz w:val="28"/>
      <w:szCs w:val="28"/>
    </w:rPr>
  </w:style>
  <w:style w:type="paragraph" w:styleId="943" w:customStyle="1">
    <w:name w:val="标题 11"/>
    <w:basedOn w:val="730"/>
    <w:next w:val="730"/>
    <w:link w:val="942"/>
    <w:uiPriority w:val="0"/>
    <w:qFormat/>
    <w:pPr>
      <w:jc w:val="center"/>
      <w:keepNext/>
      <w:outlineLvl w:val="0"/>
    </w:pPr>
    <w:rPr>
      <w:rFonts w:ascii="楷体_GB2312" w:hAnsi="Times New Roman" w:eastAsia="楷体_GB2312" w:cs="Times New Roman"/>
      <w:sz w:val="28"/>
      <w:szCs w:val="28"/>
    </w:rPr>
  </w:style>
  <w:style w:type="character" w:styleId="944" w:customStyle="1">
    <w:name w:val="标题 2 Char"/>
    <w:link w:val="945"/>
    <w:uiPriority w:val="0"/>
    <w:qFormat/>
    <w:rPr>
      <w:rFonts w:ascii="Arial" w:hAnsi="Arial" w:eastAsia="幼圆" w:cs="Arial"/>
      <w:b/>
      <w:bCs/>
      <w:sz w:val="44"/>
      <w:szCs w:val="44"/>
    </w:rPr>
  </w:style>
  <w:style w:type="paragraph" w:styleId="945" w:customStyle="1">
    <w:name w:val="标题 21"/>
    <w:basedOn w:val="730"/>
    <w:next w:val="946"/>
    <w:link w:val="9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6" w:customStyle="1">
    <w:name w:val="正文缩进11"/>
    <w:basedOn w:val="730"/>
    <w:link w:val="947"/>
    <w:uiPriority w:val="0"/>
    <w:qFormat/>
    <w:pPr>
      <w:ind w:firstLine="420"/>
    </w:pPr>
    <w:rPr>
      <w:szCs w:val="21"/>
    </w:rPr>
  </w:style>
  <w:style w:type="character" w:styleId="947" w:customStyle="1">
    <w:name w:val="正文缩进 Char"/>
    <w:link w:val="946"/>
    <w:uiPriority w:val="0"/>
    <w:qFormat/>
    <w:rPr>
      <w:szCs w:val="21"/>
    </w:rPr>
  </w:style>
  <w:style w:type="character" w:styleId="948" w:customStyle="1">
    <w:name w:val="标题 3 Char"/>
    <w:link w:val="949"/>
    <w:uiPriority w:val="0"/>
    <w:qFormat/>
    <w:rPr>
      <w:rFonts w:ascii="Times New Roman" w:hAnsi="Times New Roman" w:eastAsia="宋体" w:cs="Times New Roman"/>
      <w:b/>
      <w:bCs/>
      <w:sz w:val="32"/>
      <w:szCs w:val="32"/>
    </w:rPr>
  </w:style>
  <w:style w:type="paragraph" w:styleId="949" w:customStyle="1">
    <w:name w:val="标题 31"/>
    <w:basedOn w:val="730"/>
    <w:next w:val="946"/>
    <w:link w:val="948"/>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50" w:customStyle="1">
    <w:name w:val="标题 4 Char"/>
    <w:link w:val="951"/>
    <w:uiPriority w:val="0"/>
    <w:qFormat/>
    <w:rPr>
      <w:rFonts w:ascii="Arial" w:hAnsi="Arial" w:eastAsia="黑体" w:cs="Arial"/>
      <w:b/>
      <w:bCs/>
      <w:sz w:val="28"/>
      <w:szCs w:val="28"/>
    </w:rPr>
  </w:style>
  <w:style w:type="paragraph" w:styleId="951" w:customStyle="1">
    <w:name w:val="标题 41"/>
    <w:basedOn w:val="730"/>
    <w:next w:val="946"/>
    <w:link w:val="950"/>
    <w:uiPriority w:val="0"/>
    <w:qFormat/>
    <w:pPr>
      <w:keepLines/>
      <w:keepNext/>
      <w:spacing w:before="280" w:after="290" w:line="376" w:lineRule="auto"/>
      <w:outlineLvl w:val="3"/>
    </w:pPr>
    <w:rPr>
      <w:rFonts w:ascii="Arial" w:hAnsi="Arial" w:eastAsia="黑体" w:cs="Arial"/>
      <w:b/>
      <w:bCs/>
      <w:sz w:val="28"/>
      <w:szCs w:val="28"/>
    </w:rPr>
  </w:style>
  <w:style w:type="character" w:styleId="952" w:customStyle="1">
    <w:name w:val="标题 5 Char"/>
    <w:link w:val="953"/>
    <w:uiPriority w:val="0"/>
    <w:qFormat/>
    <w:rPr>
      <w:rFonts w:ascii="宋体" w:hAnsi="Times New Roman" w:eastAsia="宋体" w:cs="Times New Roman"/>
      <w:color w:val="000000"/>
      <w:sz w:val="28"/>
      <w:szCs w:val="28"/>
    </w:rPr>
  </w:style>
  <w:style w:type="paragraph" w:styleId="953" w:customStyle="1">
    <w:name w:val="标题 51"/>
    <w:basedOn w:val="730"/>
    <w:next w:val="946"/>
    <w:link w:val="952"/>
    <w:uiPriority w:val="0"/>
    <w:qFormat/>
    <w:pPr>
      <w:keepNext/>
      <w:outlineLvl w:val="4"/>
    </w:pPr>
    <w:rPr>
      <w:rFonts w:ascii="宋体" w:hAnsi="Times New Roman" w:eastAsia="宋体" w:cs="Times New Roman"/>
      <w:color w:val="000000"/>
      <w:sz w:val="28"/>
      <w:szCs w:val="28"/>
    </w:rPr>
  </w:style>
  <w:style w:type="character" w:styleId="954" w:customStyle="1">
    <w:name w:val="标题 6 Char"/>
    <w:link w:val="955"/>
    <w:uiPriority w:val="0"/>
    <w:qFormat/>
    <w:rPr>
      <w:rFonts w:ascii="Arial" w:hAnsi="Arial" w:eastAsia="黑体" w:cs="Times New Roman"/>
      <w:b/>
      <w:bCs/>
      <w:sz w:val="24"/>
      <w:szCs w:val="24"/>
    </w:rPr>
  </w:style>
  <w:style w:type="paragraph" w:styleId="955" w:customStyle="1">
    <w:name w:val="标题 61"/>
    <w:basedOn w:val="730"/>
    <w:next w:val="730"/>
    <w:link w:val="95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56" w:customStyle="1">
    <w:name w:val="标题 7 Char"/>
    <w:link w:val="957"/>
    <w:uiPriority w:val="0"/>
    <w:qFormat/>
    <w:rPr>
      <w:rFonts w:ascii="Times New Roman" w:hAnsi="Times New Roman" w:eastAsia="宋体" w:cs="Times New Roman"/>
      <w:b/>
      <w:bCs/>
      <w:sz w:val="24"/>
      <w:szCs w:val="24"/>
    </w:rPr>
  </w:style>
  <w:style w:type="paragraph" w:styleId="957" w:customStyle="1">
    <w:name w:val="标题 71"/>
    <w:basedOn w:val="730"/>
    <w:next w:val="730"/>
    <w:link w:val="95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58" w:customStyle="1">
    <w:name w:val="标题 8 Char"/>
    <w:link w:val="959"/>
    <w:uiPriority w:val="0"/>
    <w:qFormat/>
    <w:rPr>
      <w:rFonts w:ascii="Arial" w:hAnsi="Arial" w:eastAsia="黑体" w:cs="Times New Roman"/>
      <w:sz w:val="24"/>
      <w:szCs w:val="24"/>
    </w:rPr>
  </w:style>
  <w:style w:type="paragraph" w:styleId="959" w:customStyle="1">
    <w:name w:val="标题 81"/>
    <w:basedOn w:val="730"/>
    <w:next w:val="730"/>
    <w:link w:val="95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60" w:customStyle="1">
    <w:name w:val="标题 9 Char"/>
    <w:link w:val="961"/>
    <w:uiPriority w:val="0"/>
    <w:qFormat/>
    <w:rPr>
      <w:rFonts w:ascii="Arial" w:hAnsi="Arial" w:eastAsia="黑体" w:cs="Times New Roman"/>
      <w:szCs w:val="21"/>
    </w:rPr>
  </w:style>
  <w:style w:type="paragraph" w:styleId="961" w:customStyle="1">
    <w:name w:val="标题 91"/>
    <w:basedOn w:val="730"/>
    <w:next w:val="730"/>
    <w:link w:val="96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2" w:customStyle="1">
    <w:name w:val="批注主题 Char"/>
    <w:link w:val="963"/>
    <w:uiPriority w:val="0"/>
    <w:semiHidden/>
    <w:qFormat/>
    <w:rPr>
      <w:rFonts w:ascii="Times New Roman" w:hAnsi="Times New Roman" w:eastAsia="宋体" w:cs="Times New Roman"/>
      <w:b/>
      <w:bCs/>
      <w:szCs w:val="21"/>
    </w:rPr>
  </w:style>
  <w:style w:type="paragraph" w:styleId="963" w:customStyle="1">
    <w:name w:val="批注主题1"/>
    <w:basedOn w:val="964"/>
    <w:next w:val="964"/>
    <w:link w:val="962"/>
    <w:uiPriority w:val="0"/>
    <w:semiHidden/>
    <w:qFormat/>
    <w:rPr>
      <w:rFonts w:ascii="Times New Roman" w:hAnsi="Times New Roman" w:eastAsia="宋体" w:cs="Times New Roman"/>
      <w:b/>
      <w:bCs/>
      <w:szCs w:val="21"/>
    </w:rPr>
  </w:style>
  <w:style w:type="paragraph" w:styleId="964" w:customStyle="1">
    <w:name w:val="批注文字1"/>
    <w:basedOn w:val="730"/>
    <w:link w:val="965"/>
    <w:uiPriority w:val="0"/>
    <w:unhideWhenUsed/>
    <w:qFormat/>
    <w:pPr>
      <w:jc w:val="left"/>
    </w:pPr>
  </w:style>
  <w:style w:type="character" w:styleId="965" w:customStyle="1">
    <w:name w:val="批注文字 Char"/>
    <w:link w:val="964"/>
    <w:uiPriority w:val="99"/>
    <w:semiHidden/>
    <w:qFormat/>
  </w:style>
  <w:style w:type="character" w:styleId="966" w:customStyle="1">
    <w:name w:val="正文首行缩进 Char"/>
    <w:link w:val="967"/>
    <w:uiPriority w:val="0"/>
    <w:qFormat/>
    <w:rPr>
      <w:rFonts w:ascii="仿宋_GB2312" w:hAnsi="Times New Roman" w:eastAsia="仿宋_GB2312" w:cs="Times New Roman"/>
      <w:sz w:val="30"/>
      <w:szCs w:val="30"/>
    </w:rPr>
  </w:style>
  <w:style w:type="paragraph" w:styleId="967" w:customStyle="1">
    <w:name w:val="正文首行缩进1"/>
    <w:basedOn w:val="730"/>
    <w:link w:val="966"/>
    <w:uiPriority w:val="0"/>
    <w:qFormat/>
    <w:pPr>
      <w:ind w:firstLine="200"/>
      <w:spacing w:line="360" w:lineRule="auto"/>
    </w:pPr>
    <w:rPr>
      <w:rFonts w:ascii="仿宋_GB2312" w:hAnsi="Times New Roman" w:eastAsia="仿宋_GB2312" w:cs="Times New Roman"/>
      <w:sz w:val="30"/>
      <w:szCs w:val="30"/>
    </w:rPr>
  </w:style>
  <w:style w:type="character" w:styleId="968" w:customStyle="1">
    <w:name w:val="文档结构图 Char"/>
    <w:link w:val="969"/>
    <w:uiPriority w:val="0"/>
    <w:semiHidden/>
    <w:qFormat/>
    <w:rPr>
      <w:rFonts w:ascii="Times New Roman" w:hAnsi="Times New Roman" w:eastAsia="宋体" w:cs="Times New Roman"/>
      <w:szCs w:val="21"/>
      <w:shd w:val="clear" w:color="auto" w:fill="000080"/>
    </w:rPr>
  </w:style>
  <w:style w:type="paragraph" w:styleId="969" w:customStyle="1">
    <w:name w:val="文档结构图1"/>
    <w:basedOn w:val="730"/>
    <w:link w:val="968"/>
    <w:uiPriority w:val="0"/>
    <w:semiHidden/>
    <w:qFormat/>
    <w:pPr>
      <w:shd w:val="clear" w:color="auto" w:fill="000080"/>
    </w:pPr>
    <w:rPr>
      <w:rFonts w:ascii="Times New Roman" w:hAnsi="Times New Roman" w:eastAsia="宋体" w:cs="Times New Roman"/>
      <w:szCs w:val="21"/>
    </w:rPr>
  </w:style>
  <w:style w:type="character" w:styleId="970" w:customStyle="1">
    <w:name w:val="正文文本 3 Char"/>
    <w:link w:val="971"/>
    <w:uiPriority w:val="0"/>
    <w:qFormat/>
    <w:rPr>
      <w:rFonts w:ascii="仿宋_GB2312" w:hAnsi="Arial" w:eastAsia="仿宋_GB2312" w:cs="Times New Roman"/>
      <w:sz w:val="32"/>
      <w:szCs w:val="32"/>
    </w:rPr>
  </w:style>
  <w:style w:type="paragraph" w:styleId="971" w:customStyle="1">
    <w:name w:val="正文文本 31"/>
    <w:basedOn w:val="730"/>
    <w:link w:val="970"/>
    <w:uiPriority w:val="0"/>
    <w:qFormat/>
    <w:rPr>
      <w:rFonts w:ascii="仿宋_GB2312" w:hAnsi="Arial" w:eastAsia="仿宋_GB2312" w:cs="Times New Roman"/>
      <w:sz w:val="32"/>
      <w:szCs w:val="32"/>
    </w:rPr>
  </w:style>
  <w:style w:type="character" w:styleId="972" w:customStyle="1">
    <w:name w:val="正文文本 Char"/>
    <w:link w:val="973"/>
    <w:uiPriority w:val="0"/>
    <w:qFormat/>
    <w:rPr>
      <w:rFonts w:ascii="楷体_GB2312" w:hAnsi="Arial" w:eastAsia="楷体_GB2312" w:cs="Times New Roman"/>
      <w:sz w:val="28"/>
      <w:szCs w:val="28"/>
    </w:rPr>
  </w:style>
  <w:style w:type="paragraph" w:styleId="973" w:customStyle="1">
    <w:name w:val="正文文本1"/>
    <w:basedOn w:val="730"/>
    <w:link w:val="972"/>
    <w:uiPriority w:val="0"/>
    <w:qFormat/>
    <w:rPr>
      <w:rFonts w:ascii="楷体_GB2312" w:hAnsi="Arial" w:eastAsia="楷体_GB2312" w:cs="Times New Roman"/>
      <w:sz w:val="28"/>
      <w:szCs w:val="28"/>
    </w:rPr>
  </w:style>
  <w:style w:type="character" w:styleId="974" w:customStyle="1">
    <w:name w:val="正文文本缩进 Char"/>
    <w:link w:val="975"/>
    <w:uiPriority w:val="99"/>
    <w:semiHidden/>
    <w:qFormat/>
  </w:style>
  <w:style w:type="paragraph" w:styleId="975" w:customStyle="1">
    <w:name w:val="正文文本缩进1"/>
    <w:basedOn w:val="730"/>
    <w:link w:val="974"/>
    <w:uiPriority w:val="0"/>
    <w:unhideWhenUsed/>
    <w:qFormat/>
    <w:pPr>
      <w:ind w:left="420"/>
      <w:spacing w:after="120"/>
    </w:pPr>
  </w:style>
  <w:style w:type="character" w:styleId="976" w:customStyle="1">
    <w:name w:val="纯文本 Char"/>
    <w:link w:val="977"/>
    <w:uiPriority w:val="0"/>
    <w:qFormat/>
    <w:rPr>
      <w:rFonts w:ascii="宋体" w:hAnsi="Courier New" w:eastAsia="宋体" w:cs="Courier New"/>
      <w:szCs w:val="21"/>
    </w:rPr>
  </w:style>
  <w:style w:type="paragraph" w:styleId="977" w:customStyle="1">
    <w:name w:val="纯文本1"/>
    <w:basedOn w:val="730"/>
    <w:link w:val="976"/>
    <w:uiPriority w:val="0"/>
    <w:qFormat/>
    <w:rPr>
      <w:rFonts w:ascii="宋体" w:hAnsi="Courier New" w:eastAsia="宋体" w:cs="Courier New"/>
      <w:szCs w:val="21"/>
    </w:rPr>
  </w:style>
  <w:style w:type="character" w:styleId="978" w:customStyle="1">
    <w:name w:val="日期 Char"/>
    <w:link w:val="979"/>
    <w:uiPriority w:val="0"/>
    <w:qFormat/>
    <w:rPr>
      <w:rFonts w:ascii="Times New Roman" w:hAnsi="Times New Roman" w:eastAsia="宋体" w:cs="Times New Roman"/>
      <w:sz w:val="24"/>
      <w:szCs w:val="24"/>
    </w:rPr>
  </w:style>
  <w:style w:type="paragraph" w:styleId="979" w:customStyle="1">
    <w:name w:val="日期1"/>
    <w:basedOn w:val="730"/>
    <w:next w:val="730"/>
    <w:link w:val="978"/>
    <w:uiPriority w:val="0"/>
    <w:qFormat/>
    <w:rPr>
      <w:rFonts w:ascii="Times New Roman" w:hAnsi="Times New Roman" w:eastAsia="宋体" w:cs="Times New Roman"/>
      <w:sz w:val="24"/>
      <w:szCs w:val="24"/>
    </w:rPr>
  </w:style>
  <w:style w:type="character" w:styleId="980" w:customStyle="1">
    <w:name w:val="正文文本缩进 2 Char"/>
    <w:link w:val="981"/>
    <w:uiPriority w:val="0"/>
    <w:qFormat/>
    <w:rPr>
      <w:rFonts w:ascii="Arial" w:hAnsi="Arial" w:eastAsia="仿宋_GB2312" w:cs="Arial"/>
      <w:sz w:val="32"/>
      <w:szCs w:val="32"/>
    </w:rPr>
  </w:style>
  <w:style w:type="paragraph" w:styleId="981" w:customStyle="1">
    <w:name w:val="正文文本缩进 21"/>
    <w:basedOn w:val="730"/>
    <w:link w:val="980"/>
    <w:uiPriority w:val="0"/>
    <w:qFormat/>
    <w:pPr>
      <w:ind w:left="630" w:firstLine="645"/>
    </w:pPr>
    <w:rPr>
      <w:rFonts w:ascii="Arial" w:hAnsi="Arial" w:eastAsia="仿宋_GB2312" w:cs="Arial"/>
      <w:sz w:val="32"/>
      <w:szCs w:val="32"/>
    </w:rPr>
  </w:style>
  <w:style w:type="character" w:styleId="982" w:customStyle="1">
    <w:name w:val="批注框文本 Char"/>
    <w:link w:val="983"/>
    <w:uiPriority w:val="0"/>
    <w:semiHidden/>
    <w:qFormat/>
    <w:rPr>
      <w:rFonts w:ascii="Times New Roman" w:hAnsi="Times New Roman" w:eastAsia="宋体" w:cs="Times New Roman"/>
      <w:sz w:val="18"/>
      <w:szCs w:val="18"/>
    </w:rPr>
  </w:style>
  <w:style w:type="paragraph" w:styleId="983" w:customStyle="1">
    <w:name w:val="批注框文本1"/>
    <w:basedOn w:val="730"/>
    <w:link w:val="982"/>
    <w:uiPriority w:val="0"/>
    <w:semiHidden/>
    <w:qFormat/>
    <w:rPr>
      <w:rFonts w:ascii="Times New Roman" w:hAnsi="Times New Roman" w:eastAsia="宋体" w:cs="Times New Roman"/>
      <w:sz w:val="18"/>
      <w:szCs w:val="18"/>
    </w:rPr>
  </w:style>
  <w:style w:type="character" w:styleId="984" w:customStyle="1">
    <w:name w:val="页脚 Char"/>
    <w:link w:val="985"/>
    <w:uiPriority w:val="99"/>
    <w:qFormat/>
    <w:rPr>
      <w:rFonts w:ascii="Times New Roman" w:hAnsi="Times New Roman" w:eastAsia="宋体" w:cs="Times New Roman"/>
      <w:sz w:val="18"/>
      <w:szCs w:val="18"/>
    </w:rPr>
  </w:style>
  <w:style w:type="paragraph" w:styleId="985" w:customStyle="1">
    <w:name w:val="页脚1"/>
    <w:basedOn w:val="730"/>
    <w:link w:val="984"/>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86" w:customStyle="1">
    <w:name w:val="正文首行缩进 2 Char"/>
    <w:link w:val="987"/>
    <w:uiPriority w:val="0"/>
    <w:qFormat/>
    <w:rPr>
      <w:rFonts w:ascii="宋体" w:hAnsi="宋体" w:eastAsia="宋体" w:cs="Times New Roman"/>
      <w:szCs w:val="20"/>
    </w:rPr>
  </w:style>
  <w:style w:type="paragraph" w:styleId="987" w:customStyle="1">
    <w:name w:val="正文首行缩进 21"/>
    <w:basedOn w:val="975"/>
    <w:link w:val="986"/>
    <w:uiPriority w:val="0"/>
    <w:qFormat/>
    <w:pPr>
      <w:ind w:left="0" w:firstLine="420"/>
      <w:spacing w:after="0" w:line="360" w:lineRule="auto"/>
    </w:pPr>
    <w:rPr>
      <w:rFonts w:ascii="宋体" w:hAnsi="宋体" w:eastAsia="宋体" w:cs="Times New Roman"/>
      <w:szCs w:val="20"/>
    </w:rPr>
  </w:style>
  <w:style w:type="character" w:styleId="988" w:customStyle="1">
    <w:name w:val="页眉 Char"/>
    <w:link w:val="989"/>
    <w:uiPriority w:val="0"/>
    <w:qFormat/>
    <w:rPr>
      <w:rFonts w:ascii="Times New Roman" w:hAnsi="Times New Roman" w:eastAsia="宋体" w:cs="Times New Roman"/>
      <w:sz w:val="18"/>
      <w:szCs w:val="18"/>
    </w:rPr>
  </w:style>
  <w:style w:type="paragraph" w:styleId="989" w:customStyle="1">
    <w:name w:val="页眉1"/>
    <w:basedOn w:val="730"/>
    <w:link w:val="98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0" w:customStyle="1">
    <w:name w:val="正文文本缩进 3 Char"/>
    <w:link w:val="991"/>
    <w:uiPriority w:val="0"/>
    <w:qFormat/>
    <w:rPr>
      <w:rFonts w:ascii="Arial" w:hAnsi="Arial" w:eastAsia="仿宋_GB2312" w:cs="Arial"/>
      <w:color w:val="ffff00"/>
      <w:sz w:val="32"/>
      <w:szCs w:val="32"/>
    </w:rPr>
  </w:style>
  <w:style w:type="paragraph" w:styleId="991" w:customStyle="1">
    <w:name w:val="正文文本缩进 31"/>
    <w:basedOn w:val="730"/>
    <w:link w:val="990"/>
    <w:uiPriority w:val="0"/>
    <w:qFormat/>
    <w:pPr>
      <w:ind w:left="645" w:firstLine="645"/>
    </w:pPr>
    <w:rPr>
      <w:rFonts w:ascii="Arial" w:hAnsi="Arial" w:eastAsia="仿宋_GB2312" w:cs="Arial"/>
      <w:color w:val="ffff00"/>
      <w:sz w:val="32"/>
      <w:szCs w:val="32"/>
    </w:rPr>
  </w:style>
  <w:style w:type="character" w:styleId="992" w:customStyle="1">
    <w:name w:val="正文文本 2 Char"/>
    <w:link w:val="993"/>
    <w:uiPriority w:val="0"/>
    <w:qFormat/>
    <w:rPr>
      <w:rFonts w:ascii="楷体_GB2312" w:hAnsi="Times New Roman" w:eastAsia="楷体_GB2312" w:cs="Times New Roman"/>
      <w:sz w:val="28"/>
      <w:szCs w:val="28"/>
    </w:rPr>
  </w:style>
  <w:style w:type="paragraph" w:styleId="993" w:customStyle="1">
    <w:name w:val="正文文本 21"/>
    <w:basedOn w:val="730"/>
    <w:link w:val="992"/>
    <w:uiPriority w:val="0"/>
    <w:qFormat/>
    <w:pPr>
      <w:jc w:val="center"/>
      <w:widowControl/>
    </w:pPr>
    <w:rPr>
      <w:rFonts w:ascii="楷体_GB2312" w:hAnsi="Times New Roman" w:eastAsia="楷体_GB2312" w:cs="Times New Roman"/>
      <w:sz w:val="28"/>
      <w:szCs w:val="28"/>
    </w:rPr>
  </w:style>
  <w:style w:type="paragraph" w:styleId="994">
    <w:name w:val="List Paragraph"/>
    <w:basedOn w:val="730"/>
    <w:uiPriority w:val="34"/>
    <w:qFormat/>
    <w:pPr>
      <w:contextualSpacing/>
      <w:ind w:left="720"/>
    </w:pPr>
  </w:style>
  <w:style w:type="paragraph" w:styleId="995">
    <w:name w:val="No Spacing"/>
    <w:uiPriority w:val="1"/>
    <w:qFormat/>
    <w:pPr>
      <w:spacing w:before="0" w:after="0" w:line="240" w:lineRule="auto"/>
    </w:pPr>
    <w:rPr>
      <w:rFonts w:hint="default" w:ascii="Times New Roman" w:hAnsi="Times New Roman" w:eastAsia="宋体" w:cs="Times New Roman"/>
      <w:lang w:eastAsia="zh-CN"/>
    </w:rPr>
  </w:style>
  <w:style w:type="paragraph" w:styleId="996">
    <w:name w:val="Quote"/>
    <w:basedOn w:val="730"/>
    <w:next w:val="730"/>
    <w:link w:val="997"/>
    <w:uiPriority w:val="29"/>
    <w:qFormat/>
    <w:pPr>
      <w:ind w:left="720" w:right="720"/>
    </w:pPr>
    <w:rPr>
      <w:i/>
    </w:rPr>
  </w:style>
  <w:style w:type="character" w:styleId="997" w:customStyle="1">
    <w:name w:val="Quote Char Char"/>
    <w:link w:val="996"/>
    <w:uiPriority w:val="29"/>
    <w:qFormat/>
    <w:rPr>
      <w:i/>
    </w:rPr>
  </w:style>
  <w:style w:type="paragraph" w:styleId="998">
    <w:name w:val="Intense Quote"/>
    <w:basedOn w:val="730"/>
    <w:next w:val="730"/>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Intense Quote Char Char"/>
    <w:link w:val="998"/>
    <w:uiPriority w:val="30"/>
    <w:qFormat/>
    <w:rPr>
      <w:i/>
    </w:rPr>
  </w:style>
  <w:style w:type="paragraph" w:styleId="1000" w:customStyle="1">
    <w:name w:val="TOC Heading"/>
    <w:uiPriority w:val="39"/>
    <w:unhideWhenUsed/>
    <w:qFormat/>
    <w:rPr>
      <w:rFonts w:hint="default" w:ascii="Times New Roman" w:hAnsi="Times New Roman" w:eastAsia="宋体" w:cs="Times New Roman"/>
      <w:lang w:eastAsia="zh-CN"/>
    </w:rPr>
  </w:style>
  <w:style w:type="paragraph" w:styleId="1001" w:customStyle="1">
    <w:name w:val="列表 31"/>
    <w:basedOn w:val="730"/>
    <w:uiPriority w:val="0"/>
    <w:qFormat/>
    <w:pPr>
      <w:ind w:left="100" w:hanging="200"/>
    </w:pPr>
    <w:rPr>
      <w:rFonts w:ascii="Times New Roman" w:hAnsi="Times New Roman" w:eastAsia="宋体" w:cs="Times New Roman"/>
      <w:szCs w:val="21"/>
    </w:rPr>
  </w:style>
  <w:style w:type="paragraph" w:styleId="1002" w:customStyle="1">
    <w:name w:val="目录 71"/>
    <w:basedOn w:val="730"/>
    <w:next w:val="730"/>
    <w:uiPriority w:val="0"/>
    <w:semiHidden/>
    <w:qFormat/>
    <w:pPr>
      <w:ind w:left="1260"/>
      <w:jc w:val="left"/>
    </w:pPr>
    <w:rPr>
      <w:rFonts w:ascii="Times New Roman" w:hAnsi="Times New Roman" w:eastAsia="宋体" w:cs="Times New Roman"/>
      <w:szCs w:val="21"/>
    </w:rPr>
  </w:style>
  <w:style w:type="paragraph" w:styleId="1003" w:customStyle="1">
    <w:name w:val="列表 21"/>
    <w:basedOn w:val="730"/>
    <w:uiPriority w:val="0"/>
    <w:qFormat/>
    <w:pPr>
      <w:ind w:left="100" w:hanging="200"/>
    </w:pPr>
    <w:rPr>
      <w:rFonts w:ascii="Times New Roman" w:hAnsi="Times New Roman" w:eastAsia="宋体" w:cs="Times New Roman"/>
      <w:szCs w:val="21"/>
    </w:rPr>
  </w:style>
  <w:style w:type="paragraph" w:styleId="1004" w:customStyle="1">
    <w:name w:val="文本块1"/>
    <w:basedOn w:val="730"/>
    <w:uiPriority w:val="99"/>
    <w:qFormat/>
    <w:pPr>
      <w:ind w:left="1440" w:right="1440"/>
      <w:spacing w:after="120"/>
    </w:pPr>
    <w:rPr>
      <w:szCs w:val="24"/>
    </w:rPr>
  </w:style>
  <w:style w:type="paragraph" w:styleId="1005" w:customStyle="1">
    <w:name w:val="目录 51"/>
    <w:basedOn w:val="730"/>
    <w:next w:val="730"/>
    <w:uiPriority w:val="0"/>
    <w:semiHidden/>
    <w:qFormat/>
    <w:pPr>
      <w:ind w:left="840"/>
      <w:jc w:val="left"/>
    </w:pPr>
    <w:rPr>
      <w:rFonts w:ascii="Times New Roman" w:hAnsi="Times New Roman" w:eastAsia="宋体" w:cs="Times New Roman"/>
      <w:szCs w:val="21"/>
    </w:rPr>
  </w:style>
  <w:style w:type="paragraph" w:styleId="1006" w:customStyle="1">
    <w:name w:val="目录 31"/>
    <w:basedOn w:val="730"/>
    <w:next w:val="730"/>
    <w:uiPriority w:val="0"/>
    <w:semiHidden/>
    <w:qFormat/>
    <w:pPr>
      <w:ind w:left="420"/>
      <w:jc w:val="left"/>
    </w:pPr>
    <w:rPr>
      <w:rFonts w:ascii="Times New Roman" w:hAnsi="Times New Roman" w:eastAsia="宋体" w:cs="Times New Roman"/>
      <w:i/>
      <w:iCs/>
      <w:szCs w:val="24"/>
    </w:rPr>
  </w:style>
  <w:style w:type="paragraph" w:styleId="1007" w:customStyle="1">
    <w:name w:val="目录 81"/>
    <w:basedOn w:val="730"/>
    <w:next w:val="730"/>
    <w:uiPriority w:val="0"/>
    <w:semiHidden/>
    <w:qFormat/>
    <w:pPr>
      <w:ind w:left="1470"/>
      <w:jc w:val="left"/>
    </w:pPr>
    <w:rPr>
      <w:rFonts w:ascii="Times New Roman" w:hAnsi="Times New Roman" w:eastAsia="宋体" w:cs="Times New Roman"/>
      <w:szCs w:val="21"/>
    </w:rPr>
  </w:style>
  <w:style w:type="paragraph" w:styleId="1008" w:customStyle="1">
    <w:name w:val="目录 11"/>
    <w:basedOn w:val="730"/>
    <w:next w:val="73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09" w:customStyle="1">
    <w:name w:val="目录 41"/>
    <w:basedOn w:val="730"/>
    <w:next w:val="730"/>
    <w:uiPriority w:val="0"/>
    <w:semiHidden/>
    <w:qFormat/>
    <w:pPr>
      <w:ind w:left="630"/>
      <w:jc w:val="left"/>
    </w:pPr>
    <w:rPr>
      <w:rFonts w:ascii="Times New Roman" w:hAnsi="Times New Roman" w:eastAsia="宋体" w:cs="Times New Roman"/>
      <w:szCs w:val="21"/>
    </w:rPr>
  </w:style>
  <w:style w:type="paragraph" w:styleId="1010" w:customStyle="1">
    <w:name w:val="列表1"/>
    <w:basedOn w:val="730"/>
    <w:uiPriority w:val="0"/>
    <w:qFormat/>
    <w:pPr>
      <w:ind w:left="200" w:hanging="200"/>
    </w:pPr>
    <w:rPr>
      <w:rFonts w:ascii="Times New Roman" w:hAnsi="Times New Roman" w:eastAsia="宋体" w:cs="Times New Roman"/>
      <w:szCs w:val="21"/>
    </w:rPr>
  </w:style>
  <w:style w:type="paragraph" w:styleId="1011" w:customStyle="1">
    <w:name w:val="目录 61"/>
    <w:basedOn w:val="730"/>
    <w:next w:val="730"/>
    <w:uiPriority w:val="0"/>
    <w:semiHidden/>
    <w:qFormat/>
    <w:pPr>
      <w:ind w:left="1050"/>
      <w:jc w:val="left"/>
    </w:pPr>
    <w:rPr>
      <w:rFonts w:ascii="Times New Roman" w:hAnsi="Times New Roman" w:eastAsia="宋体" w:cs="Times New Roman"/>
      <w:szCs w:val="21"/>
    </w:rPr>
  </w:style>
  <w:style w:type="paragraph" w:styleId="1012" w:customStyle="1">
    <w:name w:val="图表目录1"/>
    <w:basedOn w:val="730"/>
    <w:next w:val="730"/>
    <w:uiPriority w:val="0"/>
    <w:semiHidden/>
    <w:qFormat/>
    <w:pPr>
      <w:ind w:left="840" w:hanging="420"/>
    </w:pPr>
    <w:rPr>
      <w:rFonts w:ascii="Times New Roman" w:hAnsi="Times New Roman" w:eastAsia="宋体" w:cs="Times New Roman"/>
      <w:szCs w:val="21"/>
    </w:rPr>
  </w:style>
  <w:style w:type="paragraph" w:styleId="1013" w:customStyle="1">
    <w:name w:val="目录 21"/>
    <w:basedOn w:val="730"/>
    <w:next w:val="730"/>
    <w:uiPriority w:val="0"/>
    <w:semiHidden/>
    <w:qFormat/>
    <w:pPr>
      <w:ind w:left="210"/>
      <w:jc w:val="left"/>
    </w:pPr>
    <w:rPr>
      <w:rFonts w:ascii="Times New Roman" w:hAnsi="Times New Roman" w:eastAsia="宋体" w:cs="Times New Roman"/>
      <w:smallCaps/>
      <w:szCs w:val="24"/>
    </w:rPr>
  </w:style>
  <w:style w:type="paragraph" w:styleId="1014" w:customStyle="1">
    <w:name w:val="目录 91"/>
    <w:basedOn w:val="730"/>
    <w:next w:val="730"/>
    <w:uiPriority w:val="0"/>
    <w:semiHidden/>
    <w:qFormat/>
    <w:pPr>
      <w:ind w:left="1680"/>
      <w:jc w:val="left"/>
    </w:pPr>
    <w:rPr>
      <w:rFonts w:ascii="Times New Roman" w:hAnsi="Times New Roman" w:eastAsia="宋体" w:cs="Times New Roman"/>
      <w:szCs w:val="21"/>
    </w:rPr>
  </w:style>
  <w:style w:type="paragraph" w:styleId="1015" w:customStyle="1">
    <w:name w:val="普通(网站)1"/>
    <w:basedOn w:val="730"/>
    <w:uiPriority w:val="99"/>
    <w:qFormat/>
    <w:pPr>
      <w:jc w:val="left"/>
      <w:spacing w:before="100" w:beforeAutospacing="1" w:after="100" w:afterAutospacing="1"/>
      <w:widowControl/>
    </w:pPr>
    <w:rPr>
      <w:rFonts w:ascii="宋体" w:hAnsi="宋体" w:eastAsia="宋体" w:cs="宋体"/>
      <w:sz w:val="24"/>
      <w:szCs w:val="24"/>
    </w:rPr>
  </w:style>
  <w:style w:type="paragraph" w:styleId="1016" w:customStyle="1">
    <w:name w:val="索引 11"/>
    <w:basedOn w:val="730"/>
    <w:next w:val="730"/>
    <w:uiPriority w:val="0"/>
    <w:semiHidden/>
    <w:qFormat/>
    <w:pPr>
      <w:spacing w:line="240" w:lineRule="atLeast"/>
    </w:pPr>
    <w:rPr>
      <w:rFonts w:ascii="Times New Roman" w:hAnsi="Times New Roman" w:eastAsia="宋体" w:cs="Times New Roman"/>
      <w:b/>
      <w:bCs/>
      <w:szCs w:val="21"/>
    </w:rPr>
  </w:style>
  <w:style w:type="paragraph" w:styleId="1017" w:customStyle="1">
    <w:name w:val="二级目录"/>
    <w:next w:val="730"/>
    <w:link w:val="1018"/>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018" w:customStyle="1">
    <w:name w:val="二级目录 Char Char"/>
    <w:link w:val="1017"/>
    <w:uiPriority w:val="0"/>
    <w:qFormat/>
    <w:rPr>
      <w:b/>
      <w:sz w:val="30"/>
      <w:szCs w:val="28"/>
    </w:rPr>
  </w:style>
  <w:style w:type="paragraph" w:styleId="1019" w:customStyle="1">
    <w:name w:val="列出段落1"/>
    <w:basedOn w:val="730"/>
    <w:link w:val="1020"/>
    <w:uiPriority w:val="0"/>
    <w:qFormat/>
    <w:pPr>
      <w:contextualSpacing/>
      <w:ind w:left="720"/>
      <w:jc w:val="left"/>
      <w:widowControl/>
    </w:pPr>
    <w:rPr>
      <w:rFonts w:ascii="Calibri" w:hAnsi="Calibri"/>
      <w:sz w:val="24"/>
      <w:szCs w:val="24"/>
      <w:lang w:eastAsia="en-US" w:bidi="en-US"/>
    </w:rPr>
  </w:style>
  <w:style w:type="character" w:styleId="1020" w:customStyle="1">
    <w:name w:val="列出段落 Char Char"/>
    <w:link w:val="1019"/>
    <w:uiPriority w:val="0"/>
    <w:qFormat/>
    <w:rPr>
      <w:rFonts w:ascii="Calibri" w:hAnsi="Calibri"/>
      <w:sz w:val="24"/>
      <w:szCs w:val="24"/>
      <w:lang w:eastAsia="en-US" w:bidi="en-US"/>
    </w:rPr>
  </w:style>
  <w:style w:type="paragraph" w:styleId="1021" w:customStyle="1">
    <w:name w:val="Body Text(ch)"/>
    <w:basedOn w:val="730"/>
    <w:next w:val="973"/>
    <w:uiPriority w:val="0"/>
    <w:qFormat/>
    <w:pPr>
      <w:spacing w:after="120"/>
    </w:pPr>
    <w:rPr>
      <w:rFonts w:ascii="宋体" w:hAnsi="Arial" w:eastAsia="宋体" w:cs="Times New Roman"/>
      <w:bCs/>
      <w:iCs/>
      <w:szCs w:val="24"/>
    </w:rPr>
  </w:style>
  <w:style w:type="paragraph" w:styleId="1022" w:customStyle="1">
    <w:name w:val="xl2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customStyle="1">
    <w:name w:val="xl2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4" w:customStyle="1">
    <w:name w:val="Char"/>
    <w:basedOn w:val="730"/>
    <w:uiPriority w:val="0"/>
    <w:qFormat/>
    <w:pPr>
      <w:ind w:firstLine="200"/>
      <w:tabs>
        <w:tab w:val="left" w:pos="360" w:leader="none"/>
      </w:tabs>
    </w:pPr>
    <w:rPr>
      <w:rFonts w:ascii="Times New Roman" w:hAnsi="Times New Roman" w:eastAsia="宋体" w:cs="Times New Roman"/>
      <w:sz w:val="28"/>
      <w:szCs w:val="30"/>
    </w:rPr>
  </w:style>
  <w:style w:type="paragraph" w:styleId="1025" w:customStyle="1">
    <w:name w:val=" Char"/>
    <w:basedOn w:val="969"/>
    <w:uiPriority w:val="0"/>
    <w:qFormat/>
    <w:rPr>
      <w:rFonts w:ascii="Tahoma" w:hAnsi="Tahoma"/>
      <w:sz w:val="24"/>
      <w:szCs w:val="24"/>
    </w:rPr>
  </w:style>
  <w:style w:type="paragraph" w:styleId="1026" w:customStyle="1">
    <w:name w:val="普通正文"/>
    <w:basedOn w:val="730"/>
    <w:uiPriority w:val="0"/>
    <w:qFormat/>
    <w:pPr>
      <w:ind w:firstLine="480"/>
      <w:jc w:val="left"/>
      <w:spacing w:before="120" w:after="120" w:line="360" w:lineRule="auto"/>
    </w:pPr>
    <w:rPr>
      <w:rFonts w:ascii="Arial" w:hAnsi="Arial" w:eastAsia="宋体" w:cs="Times New Roman"/>
      <w:sz w:val="24"/>
      <w:szCs w:val="24"/>
    </w:rPr>
  </w:style>
  <w:style w:type="paragraph" w:styleId="1027" w:customStyle="1">
    <w:name w:val="table_lines"/>
    <w:basedOn w:val="730"/>
    <w:uiPriority w:val="0"/>
    <w:qFormat/>
    <w:pPr>
      <w:jc w:val="left"/>
      <w:widowControl/>
    </w:pPr>
    <w:rPr>
      <w:rFonts w:ascii="Times New Roman" w:hAnsi="Times New Roman" w:eastAsia="宋体" w:cs="Times New Roman"/>
      <w:sz w:val="20"/>
      <w:szCs w:val="20"/>
    </w:rPr>
  </w:style>
  <w:style w:type="paragraph" w:styleId="1028"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1029" w:customStyle="1">
    <w:name w:val="font7"/>
    <w:basedOn w:val="73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30" w:customStyle="1">
    <w:name w:val=" Char Char Char Char"/>
    <w:basedOn w:val="969"/>
    <w:uiPriority w:val="0"/>
    <w:qFormat/>
    <w:pPr>
      <w:spacing w:line="360" w:lineRule="auto"/>
    </w:pPr>
    <w:rPr>
      <w:rFonts w:ascii="Tahoma" w:hAnsi="Tahoma"/>
      <w:sz w:val="24"/>
      <w:szCs w:val="24"/>
    </w:rPr>
  </w:style>
  <w:style w:type="paragraph" w:styleId="1031" w:customStyle="1">
    <w:name w:val="列出段落"/>
    <w:basedOn w:val="730"/>
    <w:uiPriority w:val="0"/>
    <w:qFormat/>
    <w:pPr>
      <w:contextualSpacing/>
      <w:ind w:left="720"/>
      <w:jc w:val="left"/>
      <w:widowControl/>
    </w:pPr>
    <w:rPr>
      <w:rFonts w:ascii="Calibri" w:hAnsi="Calibri" w:eastAsia="宋体" w:cs="Times New Roman"/>
      <w:sz w:val="24"/>
      <w:szCs w:val="24"/>
      <w:lang w:eastAsia="en-US" w:bidi="en-US"/>
    </w:rPr>
  </w:style>
  <w:style w:type="paragraph" w:styleId="1032" w:customStyle="1">
    <w:name w:val="4"/>
    <w:basedOn w:val="730"/>
    <w:next w:val="991"/>
    <w:uiPriority w:val="0"/>
    <w:qFormat/>
    <w:pPr>
      <w:ind w:firstLine="420"/>
      <w:spacing w:line="360" w:lineRule="auto"/>
    </w:pPr>
    <w:rPr>
      <w:rFonts w:ascii="Times New Roman" w:hAnsi="Times New Roman" w:eastAsia="宋体" w:cs="Times New Roman"/>
      <w:color w:val="ff0000"/>
      <w:sz w:val="24"/>
      <w:szCs w:val="24"/>
    </w:rPr>
  </w:style>
  <w:style w:type="paragraph" w:styleId="1033" w:customStyle="1">
    <w:name w:val="普通 (Web)"/>
    <w:basedOn w:val="730"/>
    <w:uiPriority w:val="0"/>
    <w:qFormat/>
    <w:pPr>
      <w:jc w:val="left"/>
      <w:spacing w:before="100" w:beforeAutospacing="1" w:after="100" w:afterAutospacing="1"/>
      <w:widowControl/>
    </w:pPr>
    <w:rPr>
      <w:rFonts w:ascii="宋体" w:hAnsi="宋体" w:eastAsia="宋体" w:cs="Times New Roman"/>
      <w:sz w:val="24"/>
      <w:szCs w:val="24"/>
    </w:rPr>
  </w:style>
  <w:style w:type="paragraph" w:styleId="1034" w:customStyle="1">
    <w:name w:val=" Char Char Char Char Char Char Char Char Char Char"/>
    <w:basedOn w:val="730"/>
    <w:uiPriority w:val="0"/>
    <w:qFormat/>
    <w:pPr>
      <w:spacing w:line="360" w:lineRule="auto"/>
    </w:pPr>
    <w:rPr>
      <w:rFonts w:ascii="Times New Roman" w:hAnsi="Times New Roman" w:eastAsia="宋体" w:cs="Times New Roman"/>
      <w:sz w:val="24"/>
      <w:szCs w:val="20"/>
    </w:rPr>
  </w:style>
  <w:style w:type="paragraph" w:styleId="1035" w:customStyle="1">
    <w:name w:val="样式1"/>
    <w:basedOn w:val="730"/>
    <w:uiPriority w:val="0"/>
    <w:qFormat/>
    <w:pPr>
      <w:numPr>
        <w:ilvl w:val="0"/>
        <w:numId w:val="3"/>
      </w:numPr>
    </w:pPr>
    <w:rPr>
      <w:rFonts w:ascii="宋体" w:hAnsi="宋体" w:eastAsia="宋体" w:cs="Times New Roman"/>
      <w:szCs w:val="21"/>
    </w:rPr>
  </w:style>
  <w:style w:type="paragraph" w:styleId="1036" w:customStyle="1">
    <w:name w:val="font6"/>
    <w:basedOn w:val="73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7"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customStyle="1">
    <w:name w:val="图标"/>
    <w:basedOn w:val="730"/>
    <w:next w:val="73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9" w:customStyle="1">
    <w:name w:val="标题3"/>
    <w:basedOn w:val="730"/>
    <w:next w:val="730"/>
    <w:uiPriority w:val="0"/>
    <w:qFormat/>
    <w:pPr>
      <w:ind w:firstLine="624"/>
      <w:spacing w:line="590" w:lineRule="atLeast"/>
    </w:pPr>
    <w:rPr>
      <w:rFonts w:ascii="方正黑体_GBK" w:hAnsi="Times New Roman" w:eastAsia="方正黑体_GBK" w:cs="Times New Roman"/>
      <w:sz w:val="32"/>
      <w:szCs w:val="32"/>
    </w:rPr>
  </w:style>
  <w:style w:type="paragraph" w:styleId="1040" w:customStyle="1">
    <w:name w:val="xl24"/>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customStyle="1">
    <w:name w:val="xl29"/>
    <w:basedOn w:val="73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2" w:customStyle="1">
    <w:name w:val="Char Char Char Char Char Char Char Char"/>
    <w:basedOn w:val="730"/>
    <w:uiPriority w:val="0"/>
    <w:qFormat/>
    <w:pPr>
      <w:jc w:val="left"/>
      <w:spacing w:after="160" w:line="240" w:lineRule="exact"/>
      <w:widowControl/>
    </w:pPr>
    <w:rPr>
      <w:rFonts w:ascii="Verdana" w:hAnsi="Verdana" w:eastAsia="宋体" w:cs="Times New Roman"/>
      <w:sz w:val="20"/>
      <w:szCs w:val="20"/>
      <w:lang w:eastAsia="en-US"/>
    </w:rPr>
  </w:style>
  <w:style w:type="paragraph" w:styleId="1043"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4" w:customStyle="1">
    <w:name w:val=" Char Char Char Char Char Char Char Char"/>
    <w:basedOn w:val="730"/>
    <w:uiPriority w:val="0"/>
    <w:qFormat/>
    <w:pPr>
      <w:jc w:val="left"/>
      <w:spacing w:after="160" w:line="240" w:lineRule="exact"/>
      <w:widowControl/>
    </w:pPr>
    <w:rPr>
      <w:rFonts w:ascii="Verdana" w:hAnsi="Verdana" w:eastAsia="宋体" w:cs="Times New Roman"/>
      <w:sz w:val="20"/>
      <w:szCs w:val="20"/>
      <w:lang w:eastAsia="en-US"/>
    </w:rPr>
  </w:style>
  <w:style w:type="paragraph" w:styleId="1045" w:customStyle="1">
    <w:name w:val="xl30"/>
    <w:basedOn w:val="73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6" w:customStyle="1">
    <w:name w:val="Char Char Char Char"/>
    <w:basedOn w:val="969"/>
    <w:uiPriority w:val="0"/>
    <w:qFormat/>
    <w:pPr>
      <w:spacing w:line="360" w:lineRule="auto"/>
    </w:pPr>
    <w:rPr>
      <w:rFonts w:ascii="Tahoma" w:hAnsi="Tahoma"/>
      <w:sz w:val="24"/>
      <w:szCs w:val="24"/>
    </w:rPr>
  </w:style>
  <w:style w:type="paragraph" w:styleId="1047" w:customStyle="1">
    <w:name w:val="table_1stline"/>
    <w:basedOn w:val="730"/>
    <w:uiPriority w:val="0"/>
    <w:qFormat/>
    <w:pPr>
      <w:jc w:val="left"/>
      <w:spacing w:before="120"/>
      <w:widowControl/>
    </w:pPr>
    <w:rPr>
      <w:rFonts w:ascii="Times New Roman" w:hAnsi="Times New Roman" w:eastAsia="宋体" w:cs="Times New Roman"/>
      <w:bCs/>
      <w:sz w:val="20"/>
      <w:szCs w:val="20"/>
    </w:rPr>
  </w:style>
  <w:style w:type="paragraph" w:styleId="1048" w:customStyle="1">
    <w:name w:val="font5"/>
    <w:basedOn w:val="73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9" w:customStyle="1">
    <w:name w:val="标题1"/>
    <w:basedOn w:val="730"/>
    <w:next w:val="73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0" w:customStyle="1">
    <w:name w:val="修订"/>
    <w:uiPriority w:val="99"/>
    <w:semiHidden/>
    <w:qFormat/>
    <w:rPr>
      <w:rFonts w:hint="default" w:ascii="Times New Roman" w:hAnsi="Times New Roman" w:eastAsia="宋体" w:cs="Times New Roman"/>
      <w:sz w:val="21"/>
      <w:szCs w:val="21"/>
      <w:lang w:eastAsia="zh-CN"/>
    </w:rPr>
  </w:style>
  <w:style w:type="paragraph" w:styleId="1051"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052"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053" w:customStyle="1">
    <w:name w:val="正文缩进1"/>
    <w:basedOn w:val="730"/>
    <w:next w:val="730"/>
    <w:uiPriority w:val="99"/>
    <w:qFormat/>
    <w:pPr>
      <w:ind w:firstLine="420"/>
    </w:pPr>
    <w:rPr>
      <w:rFonts w:ascii="Times New Roman" w:hAnsi="Times New Roman"/>
      <w:sz w:val="20"/>
      <w:szCs w:val="21"/>
      <w:lang w:eastAsia="en-US"/>
    </w:rPr>
  </w:style>
  <w:style w:type="paragraph" w:styleId="1054" w:customStyle="1">
    <w:name w:val="Table Paragraph"/>
    <w:basedOn w:val="730"/>
    <w:uiPriority w:val="0"/>
    <w:qFormat/>
    <w:pPr>
      <w:jc w:val="left"/>
    </w:pPr>
    <w:rPr>
      <w:rFonts w:ascii="宋体" w:hAnsi="宋体" w:cs="宋体"/>
      <w:sz w:val="22"/>
      <w:lang w:val="zh-CN" w:bidi="zh-CN"/>
    </w:rPr>
  </w:style>
  <w:style w:type="character" w:styleId="1055" w:customStyle="1">
    <w:name w:val="默认段落字体1"/>
    <w:link w:val="730"/>
    <w:uiPriority w:val="1"/>
    <w:unhideWhenUsed/>
    <w:qFormat/>
  </w:style>
  <w:style w:type="character" w:styleId="1056" w:customStyle="1">
    <w:name w:val="要点1"/>
    <w:basedOn w:val="1055"/>
    <w:link w:val="730"/>
    <w:uiPriority w:val="0"/>
    <w:qFormat/>
    <w:rPr>
      <w:b/>
      <w:bCs/>
    </w:rPr>
  </w:style>
  <w:style w:type="character" w:styleId="1057" w:customStyle="1">
    <w:name w:val="页码1"/>
    <w:link w:val="730"/>
    <w:uiPriority w:val="0"/>
    <w:qFormat/>
  </w:style>
  <w:style w:type="character" w:styleId="1058" w:customStyle="1">
    <w:name w:val="已访问的超链接1"/>
    <w:link w:val="730"/>
    <w:uiPriority w:val="0"/>
    <w:qFormat/>
    <w:rPr>
      <w:color w:val="800080"/>
      <w:u w:val="single"/>
    </w:rPr>
  </w:style>
  <w:style w:type="character" w:styleId="1059" w:customStyle="1">
    <w:name w:val="强调1"/>
    <w:basedOn w:val="1055"/>
    <w:link w:val="730"/>
    <w:uiPriority w:val="0"/>
    <w:qFormat/>
    <w:rPr>
      <w:i/>
    </w:rPr>
  </w:style>
  <w:style w:type="character" w:styleId="1060" w:customStyle="1">
    <w:name w:val="超链接1"/>
    <w:link w:val="730"/>
    <w:uiPriority w:val="0"/>
    <w:qFormat/>
    <w:rPr>
      <w:color w:val="0000ff"/>
      <w:u w:val="single"/>
    </w:rPr>
  </w:style>
  <w:style w:type="character" w:styleId="1061" w:customStyle="1">
    <w:name w:val="批注引用1"/>
    <w:link w:val="730"/>
    <w:uiPriority w:val="0"/>
    <w:semiHidden/>
    <w:qFormat/>
    <w:rPr>
      <w:sz w:val="21"/>
      <w:szCs w:val="21"/>
    </w:rPr>
  </w:style>
  <w:style w:type="character" w:styleId="1062" w:customStyle="1">
    <w:name w:val="font5 Char Char"/>
    <w:link w:val="730"/>
    <w:uiPriority w:val="0"/>
    <w:qFormat/>
    <w:rPr>
      <w:rFonts w:ascii="宋体" w:hAnsi="宋体" w:eastAsia="宋体"/>
      <w:sz w:val="28"/>
      <w:szCs w:val="28"/>
      <w:lang w:val="en-US" w:eastAsia="zh-CN" w:bidi="ar-SA"/>
    </w:rPr>
  </w:style>
  <w:style w:type="paragraph" w:styleId="1063" w:customStyle="1">
    <w:name w:val="正文_0"/>
    <w:uiPriority w:val="0"/>
    <w:qFormat/>
    <w:pPr>
      <w:jc w:val="both"/>
      <w:widowControl w:val="off"/>
    </w:pPr>
    <w:rPr>
      <w:rFonts w:hint="default" w:ascii="Times New Roman" w:hAnsi="Times New Roman" w:eastAsia="宋体" w:cs="Times New Roman"/>
      <w:sz w:val="21"/>
      <w:szCs w:val="24"/>
      <w:lang w:eastAsia="zh-CN"/>
    </w:rPr>
  </w:style>
  <w:style w:type="paragraph" w:styleId="1064" w:customStyle="1">
    <w:name w:val="Normal1"/>
    <w:next w:val="733"/>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Body Text1"/>
    <w:uiPriority w:val="99"/>
    <w:unhideWhenUsed/>
    <w:qFormat/>
    <w:pPr>
      <w:jc w:val="both"/>
      <w:spacing w:after="120"/>
      <w:widowControl w:val="off"/>
    </w:pPr>
    <w:rPr>
      <w:rFonts w:ascii="Times New Roman" w:hAnsi="Times New Roman" w:eastAsia="宋体" w:cs="Times New Roman"/>
      <w:szCs w:val="21"/>
      <w:lang w:val="en-US" w:eastAsia="zh-CN" w:bidi="ar-SA"/>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png"/><Relationship Id="rId31" Type="http://schemas.openxmlformats.org/officeDocument/2006/relationships/image" Target="media/image1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赵</dc:creator>
  <cp:lastModifiedBy>李许静</cp:lastModifiedBy>
  <cp:revision>10</cp:revision>
  <dcterms:created xsi:type="dcterms:W3CDTF">2023-03-16T02:13:00Z</dcterms:created>
  <dcterms:modified xsi:type="dcterms:W3CDTF">2026-06-17T04:10:29Z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5A9D9F0E701243D7B90E78DA95E21D72_13</vt:lpwstr>
  </property>
  <property fmtid="{D5CDD505-2E9C-101B-9397-08002B2CF9AE}" pid="4" name="KSOTemplateDocerSaveRecord">
    <vt:lpwstr>eyJoZGlkIjoiODZkYzAxNDBhNTFlOTk0OWZiN2Q0NjcxOGRlZjM3NDAiLCJ1c2VySWQiOiI5NDA4NzQzOTQifQ==</vt:lpwstr>
  </property>
</Properties>
</file>